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7" w:rightFromText="187" w:vertAnchor="text" w:horzAnchor="margin" w:tblpY="1831"/>
        <w:tblW w:w="17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8905"/>
      </w:tblGrid>
      <w:tr w:rsidR="00117A4F" w:rsidRPr="003A7A2D" w14:paraId="08AE1D54" w14:textId="77777777" w:rsidTr="00117A4F">
        <w:trPr>
          <w:trHeight w:val="1558"/>
        </w:trPr>
        <w:tc>
          <w:tcPr>
            <w:tcW w:w="8905" w:type="dxa"/>
          </w:tcPr>
          <w:p w14:paraId="1C7BB40B" w14:textId="66431662" w:rsidR="00117A4F" w:rsidRPr="00E448F9" w:rsidRDefault="00117A4F" w:rsidP="00E448F9">
            <w:pPr>
              <w:pStyle w:val="Title"/>
            </w:pPr>
            <w:r w:rsidRPr="00E448F9">
              <w:t xml:space="preserve">Australian Public Assessment Report for </w:t>
            </w:r>
            <w:bookmarkStart w:id="0" w:name="_Hlk174453538"/>
            <w:r w:rsidRPr="00E448F9">
              <w:t>Radicava</w:t>
            </w:r>
            <w:bookmarkEnd w:id="0"/>
          </w:p>
        </w:tc>
        <w:tc>
          <w:tcPr>
            <w:tcW w:w="8905" w:type="dxa"/>
          </w:tcPr>
          <w:p w14:paraId="2538A211" w14:textId="4343D629" w:rsidR="00117A4F" w:rsidRPr="00DF74D1" w:rsidRDefault="00117A4F" w:rsidP="00117A4F">
            <w:pPr>
              <w:pStyle w:val="BodyCopy"/>
              <w:rPr>
                <w:rFonts w:ascii="Arial" w:hAnsi="Arial" w:cs="Arial"/>
                <w:color w:val="002060"/>
                <w:sz w:val="52"/>
                <w:szCs w:val="48"/>
              </w:rPr>
            </w:pPr>
          </w:p>
        </w:tc>
      </w:tr>
      <w:tr w:rsidR="00117A4F" w:rsidRPr="003A7A2D" w14:paraId="318A40A3" w14:textId="77777777" w:rsidTr="00117A4F">
        <w:trPr>
          <w:trHeight w:val="995"/>
        </w:trPr>
        <w:tc>
          <w:tcPr>
            <w:tcW w:w="8905" w:type="dxa"/>
          </w:tcPr>
          <w:p w14:paraId="11AE8D2B" w14:textId="719BE19C" w:rsidR="00117A4F" w:rsidRPr="003A7A2D" w:rsidRDefault="00117A4F" w:rsidP="00117A4F">
            <w:pPr>
              <w:pStyle w:val="Subtitle"/>
              <w:ind w:left="0"/>
            </w:pPr>
            <w:r w:rsidRPr="00BE229E">
              <w:rPr>
                <w:lang w:eastAsia="en-US"/>
              </w:rPr>
              <w:t xml:space="preserve">Active ingredient: </w:t>
            </w:r>
            <w:bookmarkStart w:id="1" w:name="_Hlk174453831"/>
            <w:r w:rsidRPr="00117A4F">
              <w:rPr>
                <w:lang w:eastAsia="en-US"/>
              </w:rPr>
              <w:t>Edaravone</w:t>
            </w:r>
            <w:bookmarkEnd w:id="1"/>
          </w:p>
        </w:tc>
        <w:tc>
          <w:tcPr>
            <w:tcW w:w="8905" w:type="dxa"/>
          </w:tcPr>
          <w:p w14:paraId="1AA7C701" w14:textId="50B6D8F8" w:rsidR="00117A4F" w:rsidRPr="003A7A2D" w:rsidRDefault="00117A4F" w:rsidP="00117A4F">
            <w:pPr>
              <w:pStyle w:val="Subtitle"/>
              <w:ind w:left="0"/>
            </w:pPr>
          </w:p>
        </w:tc>
      </w:tr>
      <w:tr w:rsidR="00117A4F" w:rsidRPr="003A7A2D" w14:paraId="362CCAE4" w14:textId="77777777" w:rsidTr="00117A4F">
        <w:trPr>
          <w:trHeight w:val="1916"/>
        </w:trPr>
        <w:tc>
          <w:tcPr>
            <w:tcW w:w="8905" w:type="dxa"/>
          </w:tcPr>
          <w:p w14:paraId="3EE77161" w14:textId="0AC2C9D2" w:rsidR="00117A4F" w:rsidRPr="003A7A2D" w:rsidRDefault="00117A4F" w:rsidP="00117A4F">
            <w:pPr>
              <w:pStyle w:val="Subtitle"/>
              <w:spacing w:line="0" w:lineRule="atLeast"/>
              <w:ind w:left="0"/>
              <w:contextualSpacing/>
            </w:pPr>
            <w:r w:rsidRPr="00BE229E">
              <w:rPr>
                <w:lang w:eastAsia="en-US"/>
              </w:rPr>
              <w:t xml:space="preserve">Sponsor: </w:t>
            </w:r>
            <w:bookmarkStart w:id="2" w:name="_Hlk174453843"/>
            <w:r w:rsidRPr="00117A4F">
              <w:rPr>
                <w:lang w:eastAsia="en-US"/>
              </w:rPr>
              <w:t>Teva Pharma Australia Pty Ltd</w:t>
            </w:r>
            <w:bookmarkEnd w:id="2"/>
          </w:p>
        </w:tc>
        <w:tc>
          <w:tcPr>
            <w:tcW w:w="8905" w:type="dxa"/>
          </w:tcPr>
          <w:p w14:paraId="709C45C0" w14:textId="706A73C0" w:rsidR="00117A4F" w:rsidRPr="003A7A2D" w:rsidRDefault="00117A4F" w:rsidP="00117A4F">
            <w:pPr>
              <w:pStyle w:val="Subtitle"/>
              <w:spacing w:line="0" w:lineRule="atLeast"/>
              <w:ind w:left="0"/>
              <w:contextualSpacing/>
            </w:pPr>
          </w:p>
        </w:tc>
      </w:tr>
      <w:tr w:rsidR="00117A4F" w:rsidRPr="003A7A2D" w14:paraId="37F2AA1F" w14:textId="77777777" w:rsidTr="00117A4F">
        <w:tc>
          <w:tcPr>
            <w:tcW w:w="8905" w:type="dxa"/>
          </w:tcPr>
          <w:p w14:paraId="2ABEEE33" w14:textId="77777777" w:rsidR="00117A4F" w:rsidRDefault="00117A4F" w:rsidP="00117A4F">
            <w:pPr>
              <w:pStyle w:val="Date"/>
              <w:rPr>
                <w:szCs w:val="20"/>
                <w:lang w:eastAsia="en-US"/>
              </w:rPr>
            </w:pPr>
            <w:r w:rsidRPr="00BE229E">
              <w:rPr>
                <w:szCs w:val="20"/>
                <w:lang w:eastAsia="en-US"/>
              </w:rPr>
              <w:t>August 2024</w:t>
            </w:r>
          </w:p>
          <w:p w14:paraId="15890490" w14:textId="6377A825" w:rsidR="00E448F9" w:rsidRPr="00E448F9" w:rsidRDefault="00E448F9" w:rsidP="00E448F9"/>
        </w:tc>
        <w:tc>
          <w:tcPr>
            <w:tcW w:w="8905" w:type="dxa"/>
          </w:tcPr>
          <w:p w14:paraId="1FDE8DCD" w14:textId="4FF56DFB" w:rsidR="00117A4F" w:rsidRPr="002B1097" w:rsidRDefault="00117A4F" w:rsidP="00117A4F">
            <w:pPr>
              <w:pStyle w:val="Date"/>
            </w:pPr>
          </w:p>
        </w:tc>
      </w:tr>
    </w:tbl>
    <w:p w14:paraId="73752706" w14:textId="77777777" w:rsidR="00F02AEC" w:rsidRPr="003A7A2D" w:rsidRDefault="00F02AEC" w:rsidP="007452E8">
      <w:pPr>
        <w:pStyle w:val="ListBullet"/>
        <w:numPr>
          <w:ilvl w:val="0"/>
          <w:numId w:val="0"/>
        </w:numPr>
        <w:sectPr w:rsidR="00F02AEC" w:rsidRPr="003A7A2D"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3A7A2D" w:rsidRDefault="00346EC2" w:rsidP="00346EC2">
      <w:pPr>
        <w:pStyle w:val="NonTOCHeading20"/>
      </w:pPr>
      <w:r w:rsidRPr="003A7A2D">
        <w:lastRenderedPageBreak/>
        <w:t>About the Therapeutic Goods Administration (TGA)</w:t>
      </w:r>
    </w:p>
    <w:p w14:paraId="79558AE9" w14:textId="77777777" w:rsidR="00346EC2" w:rsidRPr="003A7A2D" w:rsidRDefault="00346EC2" w:rsidP="0056766D">
      <w:pPr>
        <w:pStyle w:val="ListBullet"/>
      </w:pPr>
      <w:r w:rsidRPr="003A7A2D">
        <w:t>The Therapeutic Goods Administration (TGA) is part of the Australian Government Department of Health and Aged Care and is responsible for regulating therapeutic goods, including medicines, medical devices, and biologicals.</w:t>
      </w:r>
    </w:p>
    <w:p w14:paraId="61BEFDB6" w14:textId="77777777" w:rsidR="00346EC2" w:rsidRPr="003A7A2D" w:rsidRDefault="00346EC2" w:rsidP="00346EC2">
      <w:pPr>
        <w:pStyle w:val="ListBullet"/>
      </w:pPr>
      <w:r w:rsidRPr="003A7A2D">
        <w:t xml:space="preserve">The TGA administers the </w:t>
      </w:r>
      <w:r w:rsidRPr="003A7A2D">
        <w:rPr>
          <w:i/>
          <w:iCs/>
        </w:rPr>
        <w:t>Therapeutic Goods Act 1989</w:t>
      </w:r>
      <w:r w:rsidRPr="003A7A2D">
        <w:t xml:space="preserve"> (the Act), applying a risk management approach designed to ensure therapeutic goods supplied in Australia meet acceptable standards of quality, safety, and efficacy.</w:t>
      </w:r>
    </w:p>
    <w:p w14:paraId="77180CB3" w14:textId="77777777" w:rsidR="00346EC2" w:rsidRPr="003A7A2D" w:rsidRDefault="00346EC2" w:rsidP="00346EC2">
      <w:pPr>
        <w:pStyle w:val="ListBullet"/>
      </w:pPr>
      <w:r w:rsidRPr="003A7A2D">
        <w:t>The work of the TGA is based on applying scientific and clinical expertise to decision-making, to ensure that the benefits to the Australian public outweigh any risks associated with the use of therapeutic goods.</w:t>
      </w:r>
    </w:p>
    <w:p w14:paraId="70AC2A35" w14:textId="77777777" w:rsidR="00346EC2" w:rsidRPr="003A7A2D" w:rsidRDefault="00346EC2" w:rsidP="00346EC2">
      <w:pPr>
        <w:pStyle w:val="ListBullet"/>
      </w:pPr>
      <w:r w:rsidRPr="003A7A2D">
        <w:t>The TGA relies on the public, healthcare professionals and industry to report problems with therapeutic goods. The TGA investigates reports received to determine any necessary regulatory action.</w:t>
      </w:r>
    </w:p>
    <w:p w14:paraId="17DC24C6" w14:textId="1C976CB8" w:rsidR="00346EC2" w:rsidRPr="003A7A2D" w:rsidRDefault="00346EC2" w:rsidP="00346EC2">
      <w:pPr>
        <w:pStyle w:val="ListBullet"/>
      </w:pPr>
      <w:r w:rsidRPr="003A7A2D">
        <w:t xml:space="preserve">To report a problem with a therapeutic good, please see the information on the </w:t>
      </w:r>
      <w:hyperlink r:id="rId15" w:history="1">
        <w:r w:rsidRPr="003A7A2D">
          <w:rPr>
            <w:rStyle w:val="Hyperlink"/>
          </w:rPr>
          <w:t>TGA website</w:t>
        </w:r>
      </w:hyperlink>
      <w:r w:rsidRPr="003A7A2D">
        <w:t>.</w:t>
      </w:r>
    </w:p>
    <w:p w14:paraId="737B7A99" w14:textId="77777777" w:rsidR="00346EC2" w:rsidRPr="003A7A2D" w:rsidRDefault="00346EC2" w:rsidP="00346EC2">
      <w:pPr>
        <w:pStyle w:val="NonTOCHeading20"/>
      </w:pPr>
      <w:r w:rsidRPr="003A7A2D">
        <w:t>About AusPARs</w:t>
      </w:r>
    </w:p>
    <w:p w14:paraId="631B2209" w14:textId="010FE2EE" w:rsidR="00346EC2" w:rsidRPr="003A7A2D" w:rsidRDefault="00346EC2" w:rsidP="00346EC2">
      <w:pPr>
        <w:pStyle w:val="ListBullet"/>
      </w:pPr>
      <w:r w:rsidRPr="003A7A2D">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6" w:history="1">
        <w:r w:rsidRPr="003A7A2D">
          <w:rPr>
            <w:rStyle w:val="Hyperlink"/>
          </w:rPr>
          <w:t>Australian Public Assessment Report (AusPAR) guidance</w:t>
        </w:r>
      </w:hyperlink>
      <w:r w:rsidRPr="003A7A2D">
        <w:t>.</w:t>
      </w:r>
    </w:p>
    <w:p w14:paraId="22F5A730" w14:textId="77777777" w:rsidR="00346EC2" w:rsidRPr="003A7A2D" w:rsidRDefault="00346EC2" w:rsidP="00346EC2">
      <w:pPr>
        <w:pStyle w:val="ListBullet"/>
      </w:pPr>
      <w:r w:rsidRPr="003A7A2D">
        <w:t>AusPARs are prepared and published by the TGA.</w:t>
      </w:r>
    </w:p>
    <w:p w14:paraId="451B8FD7" w14:textId="77777777" w:rsidR="00346EC2" w:rsidRPr="003A7A2D" w:rsidRDefault="00346EC2" w:rsidP="00346EC2">
      <w:pPr>
        <w:pStyle w:val="ListBullet"/>
      </w:pPr>
      <w:r w:rsidRPr="003A7A2D">
        <w:t>AusPARs are static documents that provide information that relates to a submission at a particular point in time. The publication of an AusPAR is an important part of the transparency of the TGA’s decision-making process.</w:t>
      </w:r>
    </w:p>
    <w:p w14:paraId="4D69F5CF" w14:textId="77777777" w:rsidR="00346EC2" w:rsidRPr="003A7A2D" w:rsidRDefault="00346EC2" w:rsidP="00346EC2">
      <w:pPr>
        <w:pStyle w:val="ListBullet"/>
      </w:pPr>
      <w:r w:rsidRPr="003A7A2D">
        <w:t>A new AusPAR may be provided to reflect changes to indications or major variations to a prescription medicine subject to evaluation by the TGA.</w:t>
      </w:r>
    </w:p>
    <w:p w14:paraId="7067011F" w14:textId="510D5C5C" w:rsidR="00F02AEC" w:rsidRPr="003A7A2D" w:rsidRDefault="00F02AEC" w:rsidP="00FE087C">
      <w:pPr>
        <w:pStyle w:val="LegalSubheading"/>
        <w:spacing w:before="3600"/>
      </w:pPr>
      <w:r w:rsidRPr="003A7A2D">
        <w:t>Copyright</w:t>
      </w:r>
    </w:p>
    <w:p w14:paraId="170A8A5D" w14:textId="005FC09D" w:rsidR="00175CD8" w:rsidRPr="003A7A2D" w:rsidRDefault="00F02AEC" w:rsidP="00346EC2">
      <w:pPr>
        <w:pStyle w:val="LegalCopy"/>
        <w:rPr>
          <w:rFonts w:cs="Arial"/>
        </w:rPr>
      </w:pPr>
      <w:r w:rsidRPr="003A7A2D">
        <w:rPr>
          <w:rFonts w:cs="Arial"/>
        </w:rPr>
        <w:t>© Commonwealth of Australia 202</w:t>
      </w:r>
      <w:r w:rsidR="00C90965" w:rsidRPr="003A7A2D">
        <w:rPr>
          <w:rFonts w:cs="Arial"/>
        </w:rPr>
        <w:t>4</w:t>
      </w:r>
      <w:r w:rsidRPr="003A7A2D">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3A7A2D">
        <w:rPr>
          <w:rFonts w:cs="Arial"/>
          <w:i/>
        </w:rPr>
        <w:t>Copyright Act 1968</w:t>
      </w:r>
      <w:r w:rsidRPr="003A7A2D">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3A7A2D">
          <w:rPr>
            <w:rStyle w:val="Hyperlink"/>
            <w:rFonts w:cs="Arial"/>
          </w:rPr>
          <w:t>tga.copyright@tga.gov.au</w:t>
        </w:r>
      </w:hyperlink>
      <w:r w:rsidRPr="003A7A2D">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3A7A2D" w:rsidRDefault="00F02AEC" w:rsidP="007452E8">
          <w:pPr>
            <w:pStyle w:val="NonTOCheading2"/>
          </w:pPr>
          <w:r w:rsidRPr="003A7A2D">
            <w:t>Contents</w:t>
          </w:r>
        </w:p>
        <w:p w14:paraId="01F17FF5" w14:textId="22387E9F" w:rsidR="006530BB"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3A7A2D">
            <w:fldChar w:fldCharType="begin"/>
          </w:r>
          <w:r w:rsidRPr="003A7A2D">
            <w:instrText xml:space="preserve"> TOC \h \z \u \t "Heading 2,1,Heading 3,2,Heading 4,3" </w:instrText>
          </w:r>
          <w:r w:rsidRPr="003A7A2D">
            <w:fldChar w:fldCharType="separate"/>
          </w:r>
          <w:hyperlink w:anchor="_Toc174517592" w:history="1">
            <w:r w:rsidR="006530BB" w:rsidRPr="00142C8B">
              <w:rPr>
                <w:rStyle w:val="Hyperlink"/>
                <w:noProof/>
              </w:rPr>
              <w:t>List of abbreviations</w:t>
            </w:r>
            <w:r w:rsidR="006530BB">
              <w:rPr>
                <w:noProof/>
                <w:webHidden/>
              </w:rPr>
              <w:tab/>
            </w:r>
            <w:r w:rsidR="006530BB">
              <w:rPr>
                <w:noProof/>
                <w:webHidden/>
              </w:rPr>
              <w:fldChar w:fldCharType="begin"/>
            </w:r>
            <w:r w:rsidR="006530BB">
              <w:rPr>
                <w:noProof/>
                <w:webHidden/>
              </w:rPr>
              <w:instrText xml:space="preserve"> PAGEREF _Toc174517592 \h </w:instrText>
            </w:r>
            <w:r w:rsidR="006530BB">
              <w:rPr>
                <w:noProof/>
                <w:webHidden/>
              </w:rPr>
            </w:r>
            <w:r w:rsidR="006530BB">
              <w:rPr>
                <w:noProof/>
                <w:webHidden/>
              </w:rPr>
              <w:fldChar w:fldCharType="separate"/>
            </w:r>
            <w:r w:rsidR="006530BB">
              <w:rPr>
                <w:noProof/>
                <w:webHidden/>
              </w:rPr>
              <w:t>4</w:t>
            </w:r>
            <w:r w:rsidR="006530BB">
              <w:rPr>
                <w:noProof/>
                <w:webHidden/>
              </w:rPr>
              <w:fldChar w:fldCharType="end"/>
            </w:r>
          </w:hyperlink>
        </w:p>
        <w:p w14:paraId="28C681C1" w14:textId="36CFF06C" w:rsidR="006530BB" w:rsidRDefault="006530B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4517593" w:history="1">
            <w:r w:rsidRPr="00142C8B">
              <w:rPr>
                <w:rStyle w:val="Hyperlink"/>
                <w:noProof/>
              </w:rPr>
              <w:t>Product submission</w:t>
            </w:r>
            <w:r>
              <w:rPr>
                <w:noProof/>
                <w:webHidden/>
              </w:rPr>
              <w:tab/>
            </w:r>
            <w:r>
              <w:rPr>
                <w:noProof/>
                <w:webHidden/>
              </w:rPr>
              <w:fldChar w:fldCharType="begin"/>
            </w:r>
            <w:r>
              <w:rPr>
                <w:noProof/>
                <w:webHidden/>
              </w:rPr>
              <w:instrText xml:space="preserve"> PAGEREF _Toc174517593 \h </w:instrText>
            </w:r>
            <w:r>
              <w:rPr>
                <w:noProof/>
                <w:webHidden/>
              </w:rPr>
            </w:r>
            <w:r>
              <w:rPr>
                <w:noProof/>
                <w:webHidden/>
              </w:rPr>
              <w:fldChar w:fldCharType="separate"/>
            </w:r>
            <w:r>
              <w:rPr>
                <w:noProof/>
                <w:webHidden/>
              </w:rPr>
              <w:t>5</w:t>
            </w:r>
            <w:r>
              <w:rPr>
                <w:noProof/>
                <w:webHidden/>
              </w:rPr>
              <w:fldChar w:fldCharType="end"/>
            </w:r>
          </w:hyperlink>
        </w:p>
        <w:p w14:paraId="626C9D98" w14:textId="091063CC" w:rsidR="006530BB" w:rsidRDefault="006530B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517594" w:history="1">
            <w:r w:rsidRPr="00142C8B">
              <w:rPr>
                <w:rStyle w:val="Hyperlink"/>
                <w:noProof/>
                <w:lang w:eastAsia="en-AU"/>
              </w:rPr>
              <w:t>Submission details</w:t>
            </w:r>
            <w:r>
              <w:rPr>
                <w:noProof/>
                <w:webHidden/>
              </w:rPr>
              <w:tab/>
            </w:r>
            <w:r>
              <w:rPr>
                <w:noProof/>
                <w:webHidden/>
              </w:rPr>
              <w:fldChar w:fldCharType="begin"/>
            </w:r>
            <w:r>
              <w:rPr>
                <w:noProof/>
                <w:webHidden/>
              </w:rPr>
              <w:instrText xml:space="preserve"> PAGEREF _Toc174517594 \h </w:instrText>
            </w:r>
            <w:r>
              <w:rPr>
                <w:noProof/>
                <w:webHidden/>
              </w:rPr>
            </w:r>
            <w:r>
              <w:rPr>
                <w:noProof/>
                <w:webHidden/>
              </w:rPr>
              <w:fldChar w:fldCharType="separate"/>
            </w:r>
            <w:r>
              <w:rPr>
                <w:noProof/>
                <w:webHidden/>
              </w:rPr>
              <w:t>5</w:t>
            </w:r>
            <w:r>
              <w:rPr>
                <w:noProof/>
                <w:webHidden/>
              </w:rPr>
              <w:fldChar w:fldCharType="end"/>
            </w:r>
          </w:hyperlink>
        </w:p>
        <w:p w14:paraId="7BE6CC8F" w14:textId="451FBF98" w:rsidR="006530BB" w:rsidRDefault="006530B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517595" w:history="1">
            <w:r w:rsidRPr="00142C8B">
              <w:rPr>
                <w:rStyle w:val="Hyperlink"/>
                <w:noProof/>
              </w:rPr>
              <w:t>Product background</w:t>
            </w:r>
            <w:r>
              <w:rPr>
                <w:noProof/>
                <w:webHidden/>
              </w:rPr>
              <w:tab/>
            </w:r>
            <w:r>
              <w:rPr>
                <w:noProof/>
                <w:webHidden/>
              </w:rPr>
              <w:fldChar w:fldCharType="begin"/>
            </w:r>
            <w:r>
              <w:rPr>
                <w:noProof/>
                <w:webHidden/>
              </w:rPr>
              <w:instrText xml:space="preserve"> PAGEREF _Toc174517595 \h </w:instrText>
            </w:r>
            <w:r>
              <w:rPr>
                <w:noProof/>
                <w:webHidden/>
              </w:rPr>
            </w:r>
            <w:r>
              <w:rPr>
                <w:noProof/>
                <w:webHidden/>
              </w:rPr>
              <w:fldChar w:fldCharType="separate"/>
            </w:r>
            <w:r>
              <w:rPr>
                <w:noProof/>
                <w:webHidden/>
              </w:rPr>
              <w:t>6</w:t>
            </w:r>
            <w:r>
              <w:rPr>
                <w:noProof/>
                <w:webHidden/>
              </w:rPr>
              <w:fldChar w:fldCharType="end"/>
            </w:r>
          </w:hyperlink>
        </w:p>
        <w:p w14:paraId="60428787" w14:textId="5625854E" w:rsidR="006530BB" w:rsidRDefault="006530BB">
          <w:pPr>
            <w:pStyle w:val="TOC3"/>
            <w:rPr>
              <w:rFonts w:asciiTheme="minorHAnsi" w:eastAsiaTheme="minorEastAsia" w:hAnsiTheme="minorHAnsi" w:cstheme="minorBidi"/>
              <w:b w:val="0"/>
              <w:noProof/>
              <w:color w:val="auto"/>
              <w:kern w:val="2"/>
              <w:szCs w:val="22"/>
              <w:lang w:eastAsia="en-AU"/>
              <w14:ligatures w14:val="standardContextual"/>
            </w:rPr>
          </w:pPr>
          <w:hyperlink w:anchor="_Toc174517596" w:history="1">
            <w:r w:rsidRPr="00142C8B">
              <w:rPr>
                <w:rStyle w:val="Hyperlink"/>
                <w:noProof/>
              </w:rPr>
              <w:t>Amyotrophic lateral sclerosis (ALS)</w:t>
            </w:r>
            <w:r>
              <w:rPr>
                <w:noProof/>
                <w:webHidden/>
              </w:rPr>
              <w:tab/>
            </w:r>
            <w:r>
              <w:rPr>
                <w:noProof/>
                <w:webHidden/>
              </w:rPr>
              <w:fldChar w:fldCharType="begin"/>
            </w:r>
            <w:r>
              <w:rPr>
                <w:noProof/>
                <w:webHidden/>
              </w:rPr>
              <w:instrText xml:space="preserve"> PAGEREF _Toc174517596 \h </w:instrText>
            </w:r>
            <w:r>
              <w:rPr>
                <w:noProof/>
                <w:webHidden/>
              </w:rPr>
            </w:r>
            <w:r>
              <w:rPr>
                <w:noProof/>
                <w:webHidden/>
              </w:rPr>
              <w:fldChar w:fldCharType="separate"/>
            </w:r>
            <w:r>
              <w:rPr>
                <w:noProof/>
                <w:webHidden/>
              </w:rPr>
              <w:t>6</w:t>
            </w:r>
            <w:r>
              <w:rPr>
                <w:noProof/>
                <w:webHidden/>
              </w:rPr>
              <w:fldChar w:fldCharType="end"/>
            </w:r>
          </w:hyperlink>
        </w:p>
        <w:p w14:paraId="7356305D" w14:textId="5052DC5B" w:rsidR="006530BB" w:rsidRDefault="006530BB">
          <w:pPr>
            <w:pStyle w:val="TOC3"/>
            <w:rPr>
              <w:rFonts w:asciiTheme="minorHAnsi" w:eastAsiaTheme="minorEastAsia" w:hAnsiTheme="minorHAnsi" w:cstheme="minorBidi"/>
              <w:b w:val="0"/>
              <w:noProof/>
              <w:color w:val="auto"/>
              <w:kern w:val="2"/>
              <w:szCs w:val="22"/>
              <w:lang w:eastAsia="en-AU"/>
              <w14:ligatures w14:val="standardContextual"/>
            </w:rPr>
          </w:pPr>
          <w:hyperlink w:anchor="_Toc174517597" w:history="1">
            <w:r w:rsidRPr="00142C8B">
              <w:rPr>
                <w:rStyle w:val="Hyperlink"/>
                <w:noProof/>
              </w:rPr>
              <w:t>Current treatment options for ALS</w:t>
            </w:r>
            <w:r>
              <w:rPr>
                <w:noProof/>
                <w:webHidden/>
              </w:rPr>
              <w:tab/>
            </w:r>
            <w:r>
              <w:rPr>
                <w:noProof/>
                <w:webHidden/>
              </w:rPr>
              <w:fldChar w:fldCharType="begin"/>
            </w:r>
            <w:r>
              <w:rPr>
                <w:noProof/>
                <w:webHidden/>
              </w:rPr>
              <w:instrText xml:space="preserve"> PAGEREF _Toc174517597 \h </w:instrText>
            </w:r>
            <w:r>
              <w:rPr>
                <w:noProof/>
                <w:webHidden/>
              </w:rPr>
            </w:r>
            <w:r>
              <w:rPr>
                <w:noProof/>
                <w:webHidden/>
              </w:rPr>
              <w:fldChar w:fldCharType="separate"/>
            </w:r>
            <w:r>
              <w:rPr>
                <w:noProof/>
                <w:webHidden/>
              </w:rPr>
              <w:t>7</w:t>
            </w:r>
            <w:r>
              <w:rPr>
                <w:noProof/>
                <w:webHidden/>
              </w:rPr>
              <w:fldChar w:fldCharType="end"/>
            </w:r>
          </w:hyperlink>
        </w:p>
        <w:p w14:paraId="4C8A5652" w14:textId="55758A12" w:rsidR="006530BB" w:rsidRDefault="006530BB">
          <w:pPr>
            <w:pStyle w:val="TOC3"/>
            <w:rPr>
              <w:rFonts w:asciiTheme="minorHAnsi" w:eastAsiaTheme="minorEastAsia" w:hAnsiTheme="minorHAnsi" w:cstheme="minorBidi"/>
              <w:b w:val="0"/>
              <w:noProof/>
              <w:color w:val="auto"/>
              <w:kern w:val="2"/>
              <w:szCs w:val="22"/>
              <w:lang w:eastAsia="en-AU"/>
              <w14:ligatures w14:val="standardContextual"/>
            </w:rPr>
          </w:pPr>
          <w:hyperlink w:anchor="_Toc174517598" w:history="1">
            <w:r w:rsidRPr="00142C8B">
              <w:rPr>
                <w:rStyle w:val="Hyperlink"/>
                <w:noProof/>
              </w:rPr>
              <w:t>Clinical rationale for Radicava use in ALS</w:t>
            </w:r>
            <w:r>
              <w:rPr>
                <w:noProof/>
                <w:webHidden/>
              </w:rPr>
              <w:tab/>
            </w:r>
            <w:r>
              <w:rPr>
                <w:noProof/>
                <w:webHidden/>
              </w:rPr>
              <w:fldChar w:fldCharType="begin"/>
            </w:r>
            <w:r>
              <w:rPr>
                <w:noProof/>
                <w:webHidden/>
              </w:rPr>
              <w:instrText xml:space="preserve"> PAGEREF _Toc174517598 \h </w:instrText>
            </w:r>
            <w:r>
              <w:rPr>
                <w:noProof/>
                <w:webHidden/>
              </w:rPr>
            </w:r>
            <w:r>
              <w:rPr>
                <w:noProof/>
                <w:webHidden/>
              </w:rPr>
              <w:fldChar w:fldCharType="separate"/>
            </w:r>
            <w:r>
              <w:rPr>
                <w:noProof/>
                <w:webHidden/>
              </w:rPr>
              <w:t>7</w:t>
            </w:r>
            <w:r>
              <w:rPr>
                <w:noProof/>
                <w:webHidden/>
              </w:rPr>
              <w:fldChar w:fldCharType="end"/>
            </w:r>
          </w:hyperlink>
        </w:p>
        <w:p w14:paraId="721E6F6A" w14:textId="6E281408" w:rsidR="006530BB" w:rsidRDefault="006530B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517599" w:history="1">
            <w:r w:rsidRPr="00142C8B">
              <w:rPr>
                <w:rStyle w:val="Hyperlink"/>
                <w:noProof/>
              </w:rPr>
              <w:t>Regulatory status</w:t>
            </w:r>
            <w:r>
              <w:rPr>
                <w:noProof/>
                <w:webHidden/>
              </w:rPr>
              <w:tab/>
            </w:r>
            <w:r>
              <w:rPr>
                <w:noProof/>
                <w:webHidden/>
              </w:rPr>
              <w:fldChar w:fldCharType="begin"/>
            </w:r>
            <w:r>
              <w:rPr>
                <w:noProof/>
                <w:webHidden/>
              </w:rPr>
              <w:instrText xml:space="preserve"> PAGEREF _Toc174517599 \h </w:instrText>
            </w:r>
            <w:r>
              <w:rPr>
                <w:noProof/>
                <w:webHidden/>
              </w:rPr>
            </w:r>
            <w:r>
              <w:rPr>
                <w:noProof/>
                <w:webHidden/>
              </w:rPr>
              <w:fldChar w:fldCharType="separate"/>
            </w:r>
            <w:r>
              <w:rPr>
                <w:noProof/>
                <w:webHidden/>
              </w:rPr>
              <w:t>7</w:t>
            </w:r>
            <w:r>
              <w:rPr>
                <w:noProof/>
                <w:webHidden/>
              </w:rPr>
              <w:fldChar w:fldCharType="end"/>
            </w:r>
          </w:hyperlink>
        </w:p>
        <w:p w14:paraId="14A5175E" w14:textId="6B60A0CE" w:rsidR="006530BB" w:rsidRDefault="006530BB">
          <w:pPr>
            <w:pStyle w:val="TOC3"/>
            <w:rPr>
              <w:rFonts w:asciiTheme="minorHAnsi" w:eastAsiaTheme="minorEastAsia" w:hAnsiTheme="minorHAnsi" w:cstheme="minorBidi"/>
              <w:b w:val="0"/>
              <w:noProof/>
              <w:color w:val="auto"/>
              <w:kern w:val="2"/>
              <w:szCs w:val="22"/>
              <w:lang w:eastAsia="en-AU"/>
              <w14:ligatures w14:val="standardContextual"/>
            </w:rPr>
          </w:pPr>
          <w:hyperlink w:anchor="_Toc174517600" w:history="1">
            <w:r w:rsidRPr="00142C8B">
              <w:rPr>
                <w:rStyle w:val="Hyperlink"/>
                <w:noProof/>
              </w:rPr>
              <w:t>Australian regulatory status</w:t>
            </w:r>
            <w:r>
              <w:rPr>
                <w:noProof/>
                <w:webHidden/>
              </w:rPr>
              <w:tab/>
            </w:r>
            <w:r>
              <w:rPr>
                <w:noProof/>
                <w:webHidden/>
              </w:rPr>
              <w:fldChar w:fldCharType="begin"/>
            </w:r>
            <w:r>
              <w:rPr>
                <w:noProof/>
                <w:webHidden/>
              </w:rPr>
              <w:instrText xml:space="preserve"> PAGEREF _Toc174517600 \h </w:instrText>
            </w:r>
            <w:r>
              <w:rPr>
                <w:noProof/>
                <w:webHidden/>
              </w:rPr>
            </w:r>
            <w:r>
              <w:rPr>
                <w:noProof/>
                <w:webHidden/>
              </w:rPr>
              <w:fldChar w:fldCharType="separate"/>
            </w:r>
            <w:r>
              <w:rPr>
                <w:noProof/>
                <w:webHidden/>
              </w:rPr>
              <w:t>7</w:t>
            </w:r>
            <w:r>
              <w:rPr>
                <w:noProof/>
                <w:webHidden/>
              </w:rPr>
              <w:fldChar w:fldCharType="end"/>
            </w:r>
          </w:hyperlink>
        </w:p>
        <w:p w14:paraId="1C7E2D51" w14:textId="10542761" w:rsidR="006530BB" w:rsidRDefault="006530BB">
          <w:pPr>
            <w:pStyle w:val="TOC3"/>
            <w:rPr>
              <w:rFonts w:asciiTheme="minorHAnsi" w:eastAsiaTheme="minorEastAsia" w:hAnsiTheme="minorHAnsi" w:cstheme="minorBidi"/>
              <w:b w:val="0"/>
              <w:noProof/>
              <w:color w:val="auto"/>
              <w:kern w:val="2"/>
              <w:szCs w:val="22"/>
              <w:lang w:eastAsia="en-AU"/>
              <w14:ligatures w14:val="standardContextual"/>
            </w:rPr>
          </w:pPr>
          <w:hyperlink w:anchor="_Toc174517601" w:history="1">
            <w:r w:rsidRPr="00142C8B">
              <w:rPr>
                <w:rStyle w:val="Hyperlink"/>
                <w:noProof/>
              </w:rPr>
              <w:t>Foreign regulatory status</w:t>
            </w:r>
            <w:r>
              <w:rPr>
                <w:noProof/>
                <w:webHidden/>
              </w:rPr>
              <w:tab/>
            </w:r>
            <w:r>
              <w:rPr>
                <w:noProof/>
                <w:webHidden/>
              </w:rPr>
              <w:fldChar w:fldCharType="begin"/>
            </w:r>
            <w:r>
              <w:rPr>
                <w:noProof/>
                <w:webHidden/>
              </w:rPr>
              <w:instrText xml:space="preserve"> PAGEREF _Toc174517601 \h </w:instrText>
            </w:r>
            <w:r>
              <w:rPr>
                <w:noProof/>
                <w:webHidden/>
              </w:rPr>
            </w:r>
            <w:r>
              <w:rPr>
                <w:noProof/>
                <w:webHidden/>
              </w:rPr>
              <w:fldChar w:fldCharType="separate"/>
            </w:r>
            <w:r>
              <w:rPr>
                <w:noProof/>
                <w:webHidden/>
              </w:rPr>
              <w:t>8</w:t>
            </w:r>
            <w:r>
              <w:rPr>
                <w:noProof/>
                <w:webHidden/>
              </w:rPr>
              <w:fldChar w:fldCharType="end"/>
            </w:r>
          </w:hyperlink>
        </w:p>
        <w:p w14:paraId="2F9D50CC" w14:textId="3F3ABBD5" w:rsidR="006530BB" w:rsidRDefault="006530B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4517602" w:history="1">
            <w:r w:rsidRPr="00142C8B">
              <w:rPr>
                <w:rStyle w:val="Hyperlink"/>
                <w:noProof/>
              </w:rPr>
              <w:t>Registration timeline</w:t>
            </w:r>
            <w:r>
              <w:rPr>
                <w:noProof/>
                <w:webHidden/>
              </w:rPr>
              <w:tab/>
            </w:r>
            <w:r>
              <w:rPr>
                <w:noProof/>
                <w:webHidden/>
              </w:rPr>
              <w:fldChar w:fldCharType="begin"/>
            </w:r>
            <w:r>
              <w:rPr>
                <w:noProof/>
                <w:webHidden/>
              </w:rPr>
              <w:instrText xml:space="preserve"> PAGEREF _Toc174517602 \h </w:instrText>
            </w:r>
            <w:r>
              <w:rPr>
                <w:noProof/>
                <w:webHidden/>
              </w:rPr>
            </w:r>
            <w:r>
              <w:rPr>
                <w:noProof/>
                <w:webHidden/>
              </w:rPr>
              <w:fldChar w:fldCharType="separate"/>
            </w:r>
            <w:r>
              <w:rPr>
                <w:noProof/>
                <w:webHidden/>
              </w:rPr>
              <w:t>9</w:t>
            </w:r>
            <w:r>
              <w:rPr>
                <w:noProof/>
                <w:webHidden/>
              </w:rPr>
              <w:fldChar w:fldCharType="end"/>
            </w:r>
          </w:hyperlink>
        </w:p>
        <w:p w14:paraId="413169D1" w14:textId="3D561235" w:rsidR="006530BB" w:rsidRDefault="006530B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4517603" w:history="1">
            <w:r w:rsidRPr="00142C8B">
              <w:rPr>
                <w:rStyle w:val="Hyperlink"/>
                <w:noProof/>
              </w:rPr>
              <w:t>Submission overview and risk/benefit assessment</w:t>
            </w:r>
            <w:r>
              <w:rPr>
                <w:noProof/>
                <w:webHidden/>
              </w:rPr>
              <w:tab/>
            </w:r>
            <w:r>
              <w:rPr>
                <w:noProof/>
                <w:webHidden/>
              </w:rPr>
              <w:fldChar w:fldCharType="begin"/>
            </w:r>
            <w:r>
              <w:rPr>
                <w:noProof/>
                <w:webHidden/>
              </w:rPr>
              <w:instrText xml:space="preserve"> PAGEREF _Toc174517603 \h </w:instrText>
            </w:r>
            <w:r>
              <w:rPr>
                <w:noProof/>
                <w:webHidden/>
              </w:rPr>
            </w:r>
            <w:r>
              <w:rPr>
                <w:noProof/>
                <w:webHidden/>
              </w:rPr>
              <w:fldChar w:fldCharType="separate"/>
            </w:r>
            <w:r>
              <w:rPr>
                <w:noProof/>
                <w:webHidden/>
              </w:rPr>
              <w:t>10</w:t>
            </w:r>
            <w:r>
              <w:rPr>
                <w:noProof/>
                <w:webHidden/>
              </w:rPr>
              <w:fldChar w:fldCharType="end"/>
            </w:r>
          </w:hyperlink>
        </w:p>
        <w:p w14:paraId="1FB54A40" w14:textId="0DEE9276" w:rsidR="006530BB" w:rsidRDefault="006530B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517604" w:history="1">
            <w:r w:rsidRPr="00142C8B">
              <w:rPr>
                <w:rStyle w:val="Hyperlink"/>
                <w:noProof/>
              </w:rPr>
              <w:t>Quality</w:t>
            </w:r>
            <w:r>
              <w:rPr>
                <w:noProof/>
                <w:webHidden/>
              </w:rPr>
              <w:tab/>
            </w:r>
            <w:r>
              <w:rPr>
                <w:noProof/>
                <w:webHidden/>
              </w:rPr>
              <w:fldChar w:fldCharType="begin"/>
            </w:r>
            <w:r>
              <w:rPr>
                <w:noProof/>
                <w:webHidden/>
              </w:rPr>
              <w:instrText xml:space="preserve"> PAGEREF _Toc174517604 \h </w:instrText>
            </w:r>
            <w:r>
              <w:rPr>
                <w:noProof/>
                <w:webHidden/>
              </w:rPr>
            </w:r>
            <w:r>
              <w:rPr>
                <w:noProof/>
                <w:webHidden/>
              </w:rPr>
              <w:fldChar w:fldCharType="separate"/>
            </w:r>
            <w:r>
              <w:rPr>
                <w:noProof/>
                <w:webHidden/>
              </w:rPr>
              <w:t>10</w:t>
            </w:r>
            <w:r>
              <w:rPr>
                <w:noProof/>
                <w:webHidden/>
              </w:rPr>
              <w:fldChar w:fldCharType="end"/>
            </w:r>
          </w:hyperlink>
        </w:p>
        <w:p w14:paraId="08EE2C21" w14:textId="307245AC" w:rsidR="006530BB" w:rsidRDefault="006530B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517605" w:history="1">
            <w:r w:rsidRPr="00142C8B">
              <w:rPr>
                <w:rStyle w:val="Hyperlink"/>
                <w:noProof/>
              </w:rPr>
              <w:t>Nonclinical</w:t>
            </w:r>
            <w:r>
              <w:rPr>
                <w:noProof/>
                <w:webHidden/>
              </w:rPr>
              <w:tab/>
            </w:r>
            <w:r>
              <w:rPr>
                <w:noProof/>
                <w:webHidden/>
              </w:rPr>
              <w:fldChar w:fldCharType="begin"/>
            </w:r>
            <w:r>
              <w:rPr>
                <w:noProof/>
                <w:webHidden/>
              </w:rPr>
              <w:instrText xml:space="preserve"> PAGEREF _Toc174517605 \h </w:instrText>
            </w:r>
            <w:r>
              <w:rPr>
                <w:noProof/>
                <w:webHidden/>
              </w:rPr>
            </w:r>
            <w:r>
              <w:rPr>
                <w:noProof/>
                <w:webHidden/>
              </w:rPr>
              <w:fldChar w:fldCharType="separate"/>
            </w:r>
            <w:r>
              <w:rPr>
                <w:noProof/>
                <w:webHidden/>
              </w:rPr>
              <w:t>10</w:t>
            </w:r>
            <w:r>
              <w:rPr>
                <w:noProof/>
                <w:webHidden/>
              </w:rPr>
              <w:fldChar w:fldCharType="end"/>
            </w:r>
          </w:hyperlink>
        </w:p>
        <w:p w14:paraId="341FAE47" w14:textId="5262334A" w:rsidR="006530BB" w:rsidRDefault="006530B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517606" w:history="1">
            <w:r w:rsidRPr="00142C8B">
              <w:rPr>
                <w:rStyle w:val="Hyperlink"/>
                <w:noProof/>
              </w:rPr>
              <w:t>Clinical</w:t>
            </w:r>
            <w:r>
              <w:rPr>
                <w:noProof/>
                <w:webHidden/>
              </w:rPr>
              <w:tab/>
            </w:r>
            <w:r>
              <w:rPr>
                <w:noProof/>
                <w:webHidden/>
              </w:rPr>
              <w:fldChar w:fldCharType="begin"/>
            </w:r>
            <w:r>
              <w:rPr>
                <w:noProof/>
                <w:webHidden/>
              </w:rPr>
              <w:instrText xml:space="preserve"> PAGEREF _Toc174517606 \h </w:instrText>
            </w:r>
            <w:r>
              <w:rPr>
                <w:noProof/>
                <w:webHidden/>
              </w:rPr>
            </w:r>
            <w:r>
              <w:rPr>
                <w:noProof/>
                <w:webHidden/>
              </w:rPr>
              <w:fldChar w:fldCharType="separate"/>
            </w:r>
            <w:r>
              <w:rPr>
                <w:noProof/>
                <w:webHidden/>
              </w:rPr>
              <w:t>12</w:t>
            </w:r>
            <w:r>
              <w:rPr>
                <w:noProof/>
                <w:webHidden/>
              </w:rPr>
              <w:fldChar w:fldCharType="end"/>
            </w:r>
          </w:hyperlink>
        </w:p>
        <w:p w14:paraId="3E6DADCA" w14:textId="42518756" w:rsidR="006530BB" w:rsidRDefault="006530BB">
          <w:pPr>
            <w:pStyle w:val="TOC3"/>
            <w:rPr>
              <w:rFonts w:asciiTheme="minorHAnsi" w:eastAsiaTheme="minorEastAsia" w:hAnsiTheme="minorHAnsi" w:cstheme="minorBidi"/>
              <w:b w:val="0"/>
              <w:noProof/>
              <w:color w:val="auto"/>
              <w:kern w:val="2"/>
              <w:szCs w:val="22"/>
              <w:lang w:eastAsia="en-AU"/>
              <w14:ligatures w14:val="standardContextual"/>
            </w:rPr>
          </w:pPr>
          <w:hyperlink w:anchor="_Toc174517607" w:history="1">
            <w:r w:rsidRPr="00142C8B">
              <w:rPr>
                <w:rStyle w:val="Hyperlink"/>
                <w:noProof/>
              </w:rPr>
              <w:t>Summary of clinical studies</w:t>
            </w:r>
            <w:r>
              <w:rPr>
                <w:noProof/>
                <w:webHidden/>
              </w:rPr>
              <w:tab/>
            </w:r>
            <w:r>
              <w:rPr>
                <w:noProof/>
                <w:webHidden/>
              </w:rPr>
              <w:fldChar w:fldCharType="begin"/>
            </w:r>
            <w:r>
              <w:rPr>
                <w:noProof/>
                <w:webHidden/>
              </w:rPr>
              <w:instrText xml:space="preserve"> PAGEREF _Toc174517607 \h </w:instrText>
            </w:r>
            <w:r>
              <w:rPr>
                <w:noProof/>
                <w:webHidden/>
              </w:rPr>
            </w:r>
            <w:r>
              <w:rPr>
                <w:noProof/>
                <w:webHidden/>
              </w:rPr>
              <w:fldChar w:fldCharType="separate"/>
            </w:r>
            <w:r>
              <w:rPr>
                <w:noProof/>
                <w:webHidden/>
              </w:rPr>
              <w:t>12</w:t>
            </w:r>
            <w:r>
              <w:rPr>
                <w:noProof/>
                <w:webHidden/>
              </w:rPr>
              <w:fldChar w:fldCharType="end"/>
            </w:r>
          </w:hyperlink>
        </w:p>
        <w:p w14:paraId="10B0E99D" w14:textId="08CF3B55" w:rsidR="006530BB" w:rsidRDefault="006530BB">
          <w:pPr>
            <w:pStyle w:val="TOC3"/>
            <w:rPr>
              <w:rFonts w:asciiTheme="minorHAnsi" w:eastAsiaTheme="minorEastAsia" w:hAnsiTheme="minorHAnsi" w:cstheme="minorBidi"/>
              <w:b w:val="0"/>
              <w:noProof/>
              <w:color w:val="auto"/>
              <w:kern w:val="2"/>
              <w:szCs w:val="22"/>
              <w:lang w:eastAsia="en-AU"/>
              <w14:ligatures w14:val="standardContextual"/>
            </w:rPr>
          </w:pPr>
          <w:hyperlink w:anchor="_Toc174517608" w:history="1">
            <w:r w:rsidRPr="00142C8B">
              <w:rPr>
                <w:rStyle w:val="Hyperlink"/>
                <w:noProof/>
              </w:rPr>
              <w:t>Pharmacology</w:t>
            </w:r>
            <w:r>
              <w:rPr>
                <w:noProof/>
                <w:webHidden/>
              </w:rPr>
              <w:tab/>
            </w:r>
            <w:r>
              <w:rPr>
                <w:noProof/>
                <w:webHidden/>
              </w:rPr>
              <w:fldChar w:fldCharType="begin"/>
            </w:r>
            <w:r>
              <w:rPr>
                <w:noProof/>
                <w:webHidden/>
              </w:rPr>
              <w:instrText xml:space="preserve"> PAGEREF _Toc174517608 \h </w:instrText>
            </w:r>
            <w:r>
              <w:rPr>
                <w:noProof/>
                <w:webHidden/>
              </w:rPr>
            </w:r>
            <w:r>
              <w:rPr>
                <w:noProof/>
                <w:webHidden/>
              </w:rPr>
              <w:fldChar w:fldCharType="separate"/>
            </w:r>
            <w:r>
              <w:rPr>
                <w:noProof/>
                <w:webHidden/>
              </w:rPr>
              <w:t>13</w:t>
            </w:r>
            <w:r>
              <w:rPr>
                <w:noProof/>
                <w:webHidden/>
              </w:rPr>
              <w:fldChar w:fldCharType="end"/>
            </w:r>
          </w:hyperlink>
        </w:p>
        <w:p w14:paraId="6DFEED98" w14:textId="5E362E1E" w:rsidR="006530BB" w:rsidRDefault="006530BB">
          <w:pPr>
            <w:pStyle w:val="TOC3"/>
            <w:rPr>
              <w:rFonts w:asciiTheme="minorHAnsi" w:eastAsiaTheme="minorEastAsia" w:hAnsiTheme="minorHAnsi" w:cstheme="minorBidi"/>
              <w:b w:val="0"/>
              <w:noProof/>
              <w:color w:val="auto"/>
              <w:kern w:val="2"/>
              <w:szCs w:val="22"/>
              <w:lang w:eastAsia="en-AU"/>
              <w14:ligatures w14:val="standardContextual"/>
            </w:rPr>
          </w:pPr>
          <w:hyperlink w:anchor="_Toc174517609" w:history="1">
            <w:r w:rsidRPr="00142C8B">
              <w:rPr>
                <w:rStyle w:val="Hyperlink"/>
                <w:noProof/>
              </w:rPr>
              <w:t>Efficacy</w:t>
            </w:r>
            <w:r>
              <w:rPr>
                <w:noProof/>
                <w:webHidden/>
              </w:rPr>
              <w:tab/>
            </w:r>
            <w:r>
              <w:rPr>
                <w:noProof/>
                <w:webHidden/>
              </w:rPr>
              <w:fldChar w:fldCharType="begin"/>
            </w:r>
            <w:r>
              <w:rPr>
                <w:noProof/>
                <w:webHidden/>
              </w:rPr>
              <w:instrText xml:space="preserve"> PAGEREF _Toc174517609 \h </w:instrText>
            </w:r>
            <w:r>
              <w:rPr>
                <w:noProof/>
                <w:webHidden/>
              </w:rPr>
            </w:r>
            <w:r>
              <w:rPr>
                <w:noProof/>
                <w:webHidden/>
              </w:rPr>
              <w:fldChar w:fldCharType="separate"/>
            </w:r>
            <w:r>
              <w:rPr>
                <w:noProof/>
                <w:webHidden/>
              </w:rPr>
              <w:t>21</w:t>
            </w:r>
            <w:r>
              <w:rPr>
                <w:noProof/>
                <w:webHidden/>
              </w:rPr>
              <w:fldChar w:fldCharType="end"/>
            </w:r>
          </w:hyperlink>
        </w:p>
        <w:p w14:paraId="67EDDDF2" w14:textId="0146B637" w:rsidR="006530BB" w:rsidRDefault="006530BB">
          <w:pPr>
            <w:pStyle w:val="TOC3"/>
            <w:rPr>
              <w:rFonts w:asciiTheme="minorHAnsi" w:eastAsiaTheme="minorEastAsia" w:hAnsiTheme="minorHAnsi" w:cstheme="minorBidi"/>
              <w:b w:val="0"/>
              <w:noProof/>
              <w:color w:val="auto"/>
              <w:kern w:val="2"/>
              <w:szCs w:val="22"/>
              <w:lang w:eastAsia="en-AU"/>
              <w14:ligatures w14:val="standardContextual"/>
            </w:rPr>
          </w:pPr>
          <w:hyperlink w:anchor="_Toc174517610" w:history="1">
            <w:r w:rsidRPr="00142C8B">
              <w:rPr>
                <w:rStyle w:val="Hyperlink"/>
                <w:noProof/>
              </w:rPr>
              <w:t>Discussion</w:t>
            </w:r>
            <w:r>
              <w:rPr>
                <w:noProof/>
                <w:webHidden/>
              </w:rPr>
              <w:tab/>
            </w:r>
            <w:r>
              <w:rPr>
                <w:noProof/>
                <w:webHidden/>
              </w:rPr>
              <w:fldChar w:fldCharType="begin"/>
            </w:r>
            <w:r>
              <w:rPr>
                <w:noProof/>
                <w:webHidden/>
              </w:rPr>
              <w:instrText xml:space="preserve"> PAGEREF _Toc174517610 \h </w:instrText>
            </w:r>
            <w:r>
              <w:rPr>
                <w:noProof/>
                <w:webHidden/>
              </w:rPr>
            </w:r>
            <w:r>
              <w:rPr>
                <w:noProof/>
                <w:webHidden/>
              </w:rPr>
              <w:fldChar w:fldCharType="separate"/>
            </w:r>
            <w:r>
              <w:rPr>
                <w:noProof/>
                <w:webHidden/>
              </w:rPr>
              <w:t>48</w:t>
            </w:r>
            <w:r>
              <w:rPr>
                <w:noProof/>
                <w:webHidden/>
              </w:rPr>
              <w:fldChar w:fldCharType="end"/>
            </w:r>
          </w:hyperlink>
        </w:p>
        <w:p w14:paraId="2B688553" w14:textId="1A767CE0" w:rsidR="006530BB" w:rsidRDefault="006530BB">
          <w:pPr>
            <w:pStyle w:val="TOC3"/>
            <w:rPr>
              <w:rFonts w:asciiTheme="minorHAnsi" w:eastAsiaTheme="minorEastAsia" w:hAnsiTheme="minorHAnsi" w:cstheme="minorBidi"/>
              <w:b w:val="0"/>
              <w:noProof/>
              <w:color w:val="auto"/>
              <w:kern w:val="2"/>
              <w:szCs w:val="22"/>
              <w:lang w:eastAsia="en-AU"/>
              <w14:ligatures w14:val="standardContextual"/>
            </w:rPr>
          </w:pPr>
          <w:hyperlink w:anchor="_Toc174517611" w:history="1">
            <w:r w:rsidRPr="00142C8B">
              <w:rPr>
                <w:rStyle w:val="Hyperlink"/>
                <w:noProof/>
              </w:rPr>
              <w:t>Recommendation following the clinical evaluation</w:t>
            </w:r>
            <w:r>
              <w:rPr>
                <w:noProof/>
                <w:webHidden/>
              </w:rPr>
              <w:tab/>
            </w:r>
            <w:r>
              <w:rPr>
                <w:noProof/>
                <w:webHidden/>
              </w:rPr>
              <w:fldChar w:fldCharType="begin"/>
            </w:r>
            <w:r>
              <w:rPr>
                <w:noProof/>
                <w:webHidden/>
              </w:rPr>
              <w:instrText xml:space="preserve"> PAGEREF _Toc174517611 \h </w:instrText>
            </w:r>
            <w:r>
              <w:rPr>
                <w:noProof/>
                <w:webHidden/>
              </w:rPr>
            </w:r>
            <w:r>
              <w:rPr>
                <w:noProof/>
                <w:webHidden/>
              </w:rPr>
              <w:fldChar w:fldCharType="separate"/>
            </w:r>
            <w:r>
              <w:rPr>
                <w:noProof/>
                <w:webHidden/>
              </w:rPr>
              <w:t>54</w:t>
            </w:r>
            <w:r>
              <w:rPr>
                <w:noProof/>
                <w:webHidden/>
              </w:rPr>
              <w:fldChar w:fldCharType="end"/>
            </w:r>
          </w:hyperlink>
        </w:p>
        <w:p w14:paraId="63CF9705" w14:textId="74F12DC6" w:rsidR="006530BB" w:rsidRDefault="006530BB">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4517612" w:history="1">
            <w:r w:rsidRPr="00142C8B">
              <w:rPr>
                <w:rStyle w:val="Hyperlink"/>
                <w:noProof/>
              </w:rPr>
              <w:t>Advisory Committee considerations</w:t>
            </w:r>
            <w:r>
              <w:rPr>
                <w:noProof/>
                <w:webHidden/>
              </w:rPr>
              <w:tab/>
            </w:r>
            <w:r>
              <w:rPr>
                <w:noProof/>
                <w:webHidden/>
              </w:rPr>
              <w:fldChar w:fldCharType="begin"/>
            </w:r>
            <w:r>
              <w:rPr>
                <w:noProof/>
                <w:webHidden/>
              </w:rPr>
              <w:instrText xml:space="preserve"> PAGEREF _Toc174517612 \h </w:instrText>
            </w:r>
            <w:r>
              <w:rPr>
                <w:noProof/>
                <w:webHidden/>
              </w:rPr>
            </w:r>
            <w:r>
              <w:rPr>
                <w:noProof/>
                <w:webHidden/>
              </w:rPr>
              <w:fldChar w:fldCharType="separate"/>
            </w:r>
            <w:r>
              <w:rPr>
                <w:noProof/>
                <w:webHidden/>
              </w:rPr>
              <w:t>56</w:t>
            </w:r>
            <w:r>
              <w:rPr>
                <w:noProof/>
                <w:webHidden/>
              </w:rPr>
              <w:fldChar w:fldCharType="end"/>
            </w:r>
          </w:hyperlink>
        </w:p>
        <w:p w14:paraId="2DE17ACD" w14:textId="04655457" w:rsidR="006530BB" w:rsidRDefault="006530BB">
          <w:pPr>
            <w:pStyle w:val="TOC3"/>
            <w:rPr>
              <w:rFonts w:asciiTheme="minorHAnsi" w:eastAsiaTheme="minorEastAsia" w:hAnsiTheme="minorHAnsi" w:cstheme="minorBidi"/>
              <w:b w:val="0"/>
              <w:noProof/>
              <w:color w:val="auto"/>
              <w:kern w:val="2"/>
              <w:szCs w:val="22"/>
              <w:lang w:eastAsia="en-AU"/>
              <w14:ligatures w14:val="standardContextual"/>
            </w:rPr>
          </w:pPr>
          <w:hyperlink w:anchor="_Toc174517613" w:history="1">
            <w:r w:rsidRPr="00142C8B">
              <w:rPr>
                <w:rStyle w:val="Hyperlink"/>
                <w:noProof/>
              </w:rPr>
              <w:t>ACM conclusion</w:t>
            </w:r>
            <w:r>
              <w:rPr>
                <w:noProof/>
                <w:webHidden/>
              </w:rPr>
              <w:tab/>
            </w:r>
            <w:r>
              <w:rPr>
                <w:noProof/>
                <w:webHidden/>
              </w:rPr>
              <w:fldChar w:fldCharType="begin"/>
            </w:r>
            <w:r>
              <w:rPr>
                <w:noProof/>
                <w:webHidden/>
              </w:rPr>
              <w:instrText xml:space="preserve"> PAGEREF _Toc174517613 \h </w:instrText>
            </w:r>
            <w:r>
              <w:rPr>
                <w:noProof/>
                <w:webHidden/>
              </w:rPr>
            </w:r>
            <w:r>
              <w:rPr>
                <w:noProof/>
                <w:webHidden/>
              </w:rPr>
              <w:fldChar w:fldCharType="separate"/>
            </w:r>
            <w:r>
              <w:rPr>
                <w:noProof/>
                <w:webHidden/>
              </w:rPr>
              <w:t>57</w:t>
            </w:r>
            <w:r>
              <w:rPr>
                <w:noProof/>
                <w:webHidden/>
              </w:rPr>
              <w:fldChar w:fldCharType="end"/>
            </w:r>
          </w:hyperlink>
        </w:p>
        <w:p w14:paraId="3E30D819" w14:textId="174B7FDB" w:rsidR="006530BB" w:rsidRDefault="006530BB">
          <w:pPr>
            <w:pStyle w:val="TOC3"/>
            <w:rPr>
              <w:rFonts w:asciiTheme="minorHAnsi" w:eastAsiaTheme="minorEastAsia" w:hAnsiTheme="minorHAnsi" w:cstheme="minorBidi"/>
              <w:b w:val="0"/>
              <w:noProof/>
              <w:color w:val="auto"/>
              <w:kern w:val="2"/>
              <w:szCs w:val="22"/>
              <w:lang w:eastAsia="en-AU"/>
              <w14:ligatures w14:val="standardContextual"/>
            </w:rPr>
          </w:pPr>
          <w:hyperlink w:anchor="_Toc174517614" w:history="1">
            <w:r w:rsidRPr="00142C8B">
              <w:rPr>
                <w:rStyle w:val="Hyperlink"/>
                <w:noProof/>
              </w:rPr>
              <w:t>Risk/benefit assessment (post-Advisory Committee Meeting)</w:t>
            </w:r>
            <w:r>
              <w:rPr>
                <w:noProof/>
                <w:webHidden/>
              </w:rPr>
              <w:tab/>
            </w:r>
            <w:r>
              <w:rPr>
                <w:noProof/>
                <w:webHidden/>
              </w:rPr>
              <w:fldChar w:fldCharType="begin"/>
            </w:r>
            <w:r>
              <w:rPr>
                <w:noProof/>
                <w:webHidden/>
              </w:rPr>
              <w:instrText xml:space="preserve"> PAGEREF _Toc174517614 \h </w:instrText>
            </w:r>
            <w:r>
              <w:rPr>
                <w:noProof/>
                <w:webHidden/>
              </w:rPr>
            </w:r>
            <w:r>
              <w:rPr>
                <w:noProof/>
                <w:webHidden/>
              </w:rPr>
              <w:fldChar w:fldCharType="separate"/>
            </w:r>
            <w:r>
              <w:rPr>
                <w:noProof/>
                <w:webHidden/>
              </w:rPr>
              <w:t>57</w:t>
            </w:r>
            <w:r>
              <w:rPr>
                <w:noProof/>
                <w:webHidden/>
              </w:rPr>
              <w:fldChar w:fldCharType="end"/>
            </w:r>
          </w:hyperlink>
        </w:p>
        <w:p w14:paraId="72DF17D0" w14:textId="40FC1667" w:rsidR="006530BB" w:rsidRDefault="006530BB">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4517615" w:history="1">
            <w:r w:rsidRPr="00142C8B">
              <w:rPr>
                <w:rStyle w:val="Hyperlink"/>
                <w:noProof/>
              </w:rPr>
              <w:t>Attachment 1. Product Information</w:t>
            </w:r>
            <w:r>
              <w:rPr>
                <w:noProof/>
                <w:webHidden/>
              </w:rPr>
              <w:tab/>
            </w:r>
            <w:r>
              <w:rPr>
                <w:noProof/>
                <w:webHidden/>
              </w:rPr>
              <w:fldChar w:fldCharType="begin"/>
            </w:r>
            <w:r>
              <w:rPr>
                <w:noProof/>
                <w:webHidden/>
              </w:rPr>
              <w:instrText xml:space="preserve"> PAGEREF _Toc174517615 \h </w:instrText>
            </w:r>
            <w:r>
              <w:rPr>
                <w:noProof/>
                <w:webHidden/>
              </w:rPr>
            </w:r>
            <w:r>
              <w:rPr>
                <w:noProof/>
                <w:webHidden/>
              </w:rPr>
              <w:fldChar w:fldCharType="separate"/>
            </w:r>
            <w:r>
              <w:rPr>
                <w:noProof/>
                <w:webHidden/>
              </w:rPr>
              <w:t>58</w:t>
            </w:r>
            <w:r>
              <w:rPr>
                <w:noProof/>
                <w:webHidden/>
              </w:rPr>
              <w:fldChar w:fldCharType="end"/>
            </w:r>
          </w:hyperlink>
        </w:p>
        <w:p w14:paraId="77659F2D" w14:textId="73A17381" w:rsidR="00F02AEC" w:rsidRPr="003A7A2D" w:rsidRDefault="00F02AEC" w:rsidP="007452E8">
          <w:r w:rsidRPr="003A7A2D">
            <w:fldChar w:fldCharType="end"/>
          </w:r>
        </w:p>
      </w:sdtContent>
    </w:sdt>
    <w:p w14:paraId="10987AE2" w14:textId="77777777" w:rsidR="00F02AEC" w:rsidRPr="003A7A2D" w:rsidRDefault="00F02AEC" w:rsidP="007452E8">
      <w:r w:rsidRPr="003A7A2D">
        <w:br w:type="page"/>
      </w:r>
    </w:p>
    <w:p w14:paraId="1E73AB93" w14:textId="77777777" w:rsidR="00324B33" w:rsidRPr="003A7A2D" w:rsidRDefault="00324B33" w:rsidP="00324B33">
      <w:pPr>
        <w:pStyle w:val="Heading2"/>
      </w:pPr>
      <w:bookmarkStart w:id="3" w:name="_Toc98931917"/>
      <w:bookmarkStart w:id="4" w:name="_Toc103679287"/>
      <w:bookmarkStart w:id="5" w:name="_Toc323739589"/>
      <w:bookmarkStart w:id="6" w:name="_Toc356305216"/>
      <w:bookmarkStart w:id="7" w:name="_Toc174517592"/>
      <w:r w:rsidRPr="003A7A2D">
        <w:lastRenderedPageBreak/>
        <w:t>List of abbreviations</w:t>
      </w:r>
      <w:bookmarkEnd w:id="3"/>
      <w:bookmarkEnd w:id="4"/>
      <w:bookmarkEnd w:id="7"/>
    </w:p>
    <w:tbl>
      <w:tblPr>
        <w:tblStyle w:val="TableTGAblue2023"/>
        <w:tblW w:w="5000" w:type="pct"/>
        <w:tblLook w:val="04A0" w:firstRow="1" w:lastRow="0" w:firstColumn="1" w:lastColumn="0" w:noHBand="0" w:noVBand="1"/>
      </w:tblPr>
      <w:tblGrid>
        <w:gridCol w:w="2174"/>
        <w:gridCol w:w="6886"/>
      </w:tblGrid>
      <w:tr w:rsidR="00324B33" w:rsidRPr="003A7A2D"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3A7A2D" w:rsidRDefault="00324B33" w:rsidP="00324B33">
            <w:pPr>
              <w:rPr>
                <w:szCs w:val="22"/>
              </w:rPr>
            </w:pPr>
            <w:r w:rsidRPr="003A7A2D">
              <w:rPr>
                <w:szCs w:val="22"/>
              </w:rPr>
              <w:t>Abbreviation</w:t>
            </w:r>
          </w:p>
        </w:tc>
        <w:tc>
          <w:tcPr>
            <w:tcW w:w="3800" w:type="pct"/>
          </w:tcPr>
          <w:p w14:paraId="4CF6D0CD" w14:textId="2974FA0B" w:rsidR="00324B33" w:rsidRPr="003A7A2D"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3A7A2D">
              <w:rPr>
                <w:szCs w:val="22"/>
              </w:rPr>
              <w:t>Meaning</w:t>
            </w:r>
          </w:p>
        </w:tc>
      </w:tr>
      <w:tr w:rsidR="00324B33" w:rsidRPr="003A7A2D"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3A7A2D" w:rsidRDefault="00324B33" w:rsidP="00324B33">
            <w:pPr>
              <w:rPr>
                <w:szCs w:val="22"/>
              </w:rPr>
            </w:pPr>
            <w:r w:rsidRPr="003A7A2D">
              <w:rPr>
                <w:szCs w:val="22"/>
              </w:rPr>
              <w:t>ACM</w:t>
            </w:r>
          </w:p>
        </w:tc>
        <w:tc>
          <w:tcPr>
            <w:tcW w:w="3800" w:type="pct"/>
          </w:tcPr>
          <w:p w14:paraId="4F24A873" w14:textId="0539B5FB" w:rsidR="00324B33" w:rsidRPr="003A7A2D"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Advisory Committee on Medicines</w:t>
            </w:r>
          </w:p>
        </w:tc>
      </w:tr>
      <w:tr w:rsidR="00347745" w:rsidRPr="003A7A2D" w14:paraId="4DE7C4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662DBA" w14:textId="06C2BC63" w:rsidR="00347745" w:rsidRPr="009B63DD" w:rsidRDefault="00347745" w:rsidP="00324B33">
            <w:r>
              <w:t>AIS</w:t>
            </w:r>
          </w:p>
        </w:tc>
        <w:tc>
          <w:tcPr>
            <w:tcW w:w="3800" w:type="pct"/>
          </w:tcPr>
          <w:p w14:paraId="21F4F856" w14:textId="394BFB82" w:rsidR="00347745" w:rsidRPr="009B63DD" w:rsidRDefault="00347745" w:rsidP="009B63DD">
            <w:pPr>
              <w:tabs>
                <w:tab w:val="left" w:pos="1154"/>
              </w:tabs>
              <w:cnfStyle w:val="000000000000" w:firstRow="0" w:lastRow="0" w:firstColumn="0" w:lastColumn="0" w:oddVBand="0" w:evenVBand="0" w:oddHBand="0" w:evenHBand="0" w:firstRowFirstColumn="0" w:firstRowLastColumn="0" w:lastRowFirstColumn="0" w:lastRowLastColumn="0"/>
            </w:pPr>
            <w:r>
              <w:t>Acute ischaemic stroke</w:t>
            </w:r>
          </w:p>
        </w:tc>
      </w:tr>
      <w:tr w:rsidR="009B63DD" w:rsidRPr="003A7A2D" w14:paraId="0E9AB0A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C21B65" w14:textId="190D75BC" w:rsidR="009B63DD" w:rsidRPr="003A7A2D" w:rsidRDefault="009B63DD" w:rsidP="00324B33">
            <w:pPr>
              <w:rPr>
                <w:szCs w:val="22"/>
              </w:rPr>
            </w:pPr>
            <w:r w:rsidRPr="009B63DD">
              <w:rPr>
                <w:szCs w:val="22"/>
              </w:rPr>
              <w:t>ALS</w:t>
            </w:r>
          </w:p>
        </w:tc>
        <w:tc>
          <w:tcPr>
            <w:tcW w:w="3800" w:type="pct"/>
          </w:tcPr>
          <w:p w14:paraId="02A1A745" w14:textId="4E40BC5A" w:rsidR="009B63DD" w:rsidRPr="003A7A2D" w:rsidRDefault="009B63DD" w:rsidP="009B63DD">
            <w:pPr>
              <w:tabs>
                <w:tab w:val="left" w:pos="1154"/>
              </w:tabs>
              <w:cnfStyle w:val="000000000000" w:firstRow="0" w:lastRow="0" w:firstColumn="0" w:lastColumn="0" w:oddVBand="0" w:evenVBand="0" w:oddHBand="0" w:evenHBand="0" w:firstRowFirstColumn="0" w:firstRowLastColumn="0" w:lastRowFirstColumn="0" w:lastRowLastColumn="0"/>
              <w:rPr>
                <w:szCs w:val="22"/>
              </w:rPr>
            </w:pPr>
            <w:r w:rsidRPr="009B63DD">
              <w:rPr>
                <w:szCs w:val="22"/>
              </w:rPr>
              <w:t>Amyotrophic lateral sclerosis</w:t>
            </w:r>
          </w:p>
        </w:tc>
      </w:tr>
      <w:tr w:rsidR="009B63DD" w:rsidRPr="003A7A2D" w14:paraId="2782BA9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6384E5" w14:textId="399EA751" w:rsidR="009B63DD" w:rsidRPr="009B63DD" w:rsidRDefault="009B63DD" w:rsidP="00324B33">
            <w:pPr>
              <w:rPr>
                <w:szCs w:val="22"/>
              </w:rPr>
            </w:pPr>
            <w:r w:rsidRPr="009B63DD">
              <w:rPr>
                <w:szCs w:val="22"/>
              </w:rPr>
              <w:t>ALSFRS-R</w:t>
            </w:r>
          </w:p>
        </w:tc>
        <w:tc>
          <w:tcPr>
            <w:tcW w:w="3800" w:type="pct"/>
          </w:tcPr>
          <w:p w14:paraId="6BEE1403" w14:textId="22869AD0" w:rsidR="009B63DD" w:rsidRPr="009B63DD" w:rsidRDefault="009B63DD" w:rsidP="009B63DD">
            <w:pPr>
              <w:tabs>
                <w:tab w:val="left" w:pos="1154"/>
              </w:tabs>
              <w:cnfStyle w:val="000000000000" w:firstRow="0" w:lastRow="0" w:firstColumn="0" w:lastColumn="0" w:oddVBand="0" w:evenVBand="0" w:oddHBand="0" w:evenHBand="0" w:firstRowFirstColumn="0" w:firstRowLastColumn="0" w:lastRowFirstColumn="0" w:lastRowLastColumn="0"/>
              <w:rPr>
                <w:szCs w:val="22"/>
              </w:rPr>
            </w:pPr>
            <w:r w:rsidRPr="009B63DD">
              <w:rPr>
                <w:szCs w:val="22"/>
              </w:rPr>
              <w:t>Revised ALS Functional Rating Scale</w:t>
            </w:r>
          </w:p>
        </w:tc>
      </w:tr>
      <w:tr w:rsidR="00324B33" w:rsidRPr="003A7A2D"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3A7A2D" w:rsidRDefault="00324B33" w:rsidP="00324B33">
            <w:pPr>
              <w:rPr>
                <w:szCs w:val="22"/>
              </w:rPr>
            </w:pPr>
            <w:r w:rsidRPr="003A7A2D">
              <w:rPr>
                <w:szCs w:val="22"/>
              </w:rPr>
              <w:t>ARTG</w:t>
            </w:r>
          </w:p>
        </w:tc>
        <w:tc>
          <w:tcPr>
            <w:tcW w:w="3800" w:type="pct"/>
          </w:tcPr>
          <w:p w14:paraId="228A203A" w14:textId="47EBCFA3" w:rsidR="00324B33" w:rsidRPr="003A7A2D"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Australian Register of Therapeutic Goods</w:t>
            </w:r>
          </w:p>
        </w:tc>
      </w:tr>
      <w:tr w:rsidR="00324B33" w:rsidRPr="003A7A2D"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3A7A2D" w:rsidRDefault="00324B33" w:rsidP="00324B33">
            <w:pPr>
              <w:rPr>
                <w:szCs w:val="22"/>
              </w:rPr>
            </w:pPr>
            <w:r w:rsidRPr="003A7A2D">
              <w:rPr>
                <w:szCs w:val="22"/>
              </w:rPr>
              <w:t>ASA</w:t>
            </w:r>
          </w:p>
        </w:tc>
        <w:tc>
          <w:tcPr>
            <w:tcW w:w="3800" w:type="pct"/>
          </w:tcPr>
          <w:p w14:paraId="4E6F5284" w14:textId="505B286E" w:rsidR="00324B33" w:rsidRPr="003A7A2D" w:rsidRDefault="00324B33" w:rsidP="00324B33">
            <w:pPr>
              <w:cnfStyle w:val="000000000000" w:firstRow="0" w:lastRow="0" w:firstColumn="0" w:lastColumn="0" w:oddVBand="0" w:evenVBand="0" w:oddHBand="0" w:evenHBand="0" w:firstRowFirstColumn="0" w:firstRowLastColumn="0" w:lastRowFirstColumn="0" w:lastRowLastColumn="0"/>
            </w:pPr>
            <w:r w:rsidRPr="7960C88D">
              <w:t>Australia</w:t>
            </w:r>
            <w:r w:rsidR="097388C7" w:rsidRPr="7960C88D">
              <w:t xml:space="preserve"> </w:t>
            </w:r>
            <w:r w:rsidR="00873D7A" w:rsidRPr="003A7A2D">
              <w:rPr>
                <w:szCs w:val="22"/>
              </w:rPr>
              <w:noBreakHyphen/>
            </w:r>
            <w:r w:rsidRPr="7960C88D">
              <w:t>specific annex</w:t>
            </w:r>
          </w:p>
        </w:tc>
      </w:tr>
      <w:tr w:rsidR="7960C88D" w14:paraId="16321519" w14:textId="77777777" w:rsidTr="00BC13A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B8D3CE" w14:textId="3251DA43" w:rsidR="6A2D856C" w:rsidRDefault="6A2D856C" w:rsidP="7960C88D">
            <w:r>
              <w:t>BSA</w:t>
            </w:r>
          </w:p>
        </w:tc>
        <w:tc>
          <w:tcPr>
            <w:tcW w:w="3800" w:type="pct"/>
          </w:tcPr>
          <w:p w14:paraId="54AE5925" w14:textId="7A08AE50" w:rsidR="6A2D856C" w:rsidRDefault="6A2D856C" w:rsidP="7960C88D">
            <w:pPr>
              <w:cnfStyle w:val="000000000000" w:firstRow="0" w:lastRow="0" w:firstColumn="0" w:lastColumn="0" w:oddVBand="0" w:evenVBand="0" w:oddHBand="0" w:evenHBand="0" w:firstRowFirstColumn="0" w:firstRowLastColumn="0" w:lastRowFirstColumn="0" w:lastRowLastColumn="0"/>
            </w:pPr>
            <w:r>
              <w:t>Body surface area</w:t>
            </w:r>
          </w:p>
        </w:tc>
      </w:tr>
      <w:tr w:rsidR="00395140" w:rsidRPr="003A7A2D"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3A7A2D" w:rsidRDefault="00395140" w:rsidP="00324B33">
            <w:pPr>
              <w:rPr>
                <w:szCs w:val="22"/>
              </w:rPr>
            </w:pPr>
            <w:r w:rsidRPr="003A7A2D">
              <w:rPr>
                <w:szCs w:val="22"/>
              </w:rPr>
              <w:t>CMI</w:t>
            </w:r>
          </w:p>
        </w:tc>
        <w:tc>
          <w:tcPr>
            <w:tcW w:w="3800" w:type="pct"/>
          </w:tcPr>
          <w:p w14:paraId="5D8C9DF5" w14:textId="60C23379" w:rsidR="00395140" w:rsidRPr="003A7A2D"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Consumer Medicines Information</w:t>
            </w:r>
          </w:p>
        </w:tc>
      </w:tr>
      <w:tr w:rsidR="00324B33" w:rsidRPr="003A7A2D"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3A7A2D" w:rsidRDefault="00324B33" w:rsidP="00324B33">
            <w:pPr>
              <w:rPr>
                <w:szCs w:val="22"/>
              </w:rPr>
            </w:pPr>
            <w:r w:rsidRPr="003A7A2D">
              <w:rPr>
                <w:szCs w:val="22"/>
              </w:rPr>
              <w:t>DLP</w:t>
            </w:r>
          </w:p>
        </w:tc>
        <w:tc>
          <w:tcPr>
            <w:tcW w:w="3800" w:type="pct"/>
          </w:tcPr>
          <w:p w14:paraId="26109D0B" w14:textId="4AE8F60A" w:rsidR="00324B33" w:rsidRPr="003A7A2D"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Data lock point</w:t>
            </w:r>
          </w:p>
        </w:tc>
      </w:tr>
      <w:tr w:rsidR="00105686" w:rsidRPr="003A7A2D" w14:paraId="315E7B4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FE9294" w14:textId="7531F734" w:rsidR="00105686" w:rsidRPr="003A7A2D" w:rsidRDefault="00105686" w:rsidP="00324B33">
            <w:pPr>
              <w:rPr>
                <w:szCs w:val="22"/>
              </w:rPr>
            </w:pPr>
            <w:r>
              <w:rPr>
                <w:szCs w:val="22"/>
              </w:rPr>
              <w:t>EESP</w:t>
            </w:r>
          </w:p>
        </w:tc>
        <w:tc>
          <w:tcPr>
            <w:tcW w:w="3800" w:type="pct"/>
          </w:tcPr>
          <w:p w14:paraId="214A1042" w14:textId="15D688DC" w:rsidR="00105686" w:rsidRPr="003A7A2D" w:rsidRDefault="0010568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Efficacy Expected Sub-population</w:t>
            </w:r>
          </w:p>
        </w:tc>
      </w:tr>
      <w:tr w:rsidR="004104BA" w:rsidRPr="003A7A2D" w14:paraId="0C93AAC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0FE9CE" w14:textId="6D63BFFA" w:rsidR="004104BA" w:rsidRPr="003A7A2D" w:rsidRDefault="004104BA" w:rsidP="00324B33">
            <w:pPr>
              <w:rPr>
                <w:szCs w:val="22"/>
              </w:rPr>
            </w:pPr>
            <w:r>
              <w:rPr>
                <w:szCs w:val="22"/>
              </w:rPr>
              <w:t>FAS</w:t>
            </w:r>
          </w:p>
        </w:tc>
        <w:tc>
          <w:tcPr>
            <w:tcW w:w="3800" w:type="pct"/>
          </w:tcPr>
          <w:p w14:paraId="0C895BCE" w14:textId="1B05B6D1" w:rsidR="004104BA" w:rsidRPr="003A7A2D" w:rsidRDefault="004104B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Full analysis set</w:t>
            </w:r>
          </w:p>
        </w:tc>
      </w:tr>
      <w:tr w:rsidR="004104BA" w:rsidRPr="003A7A2D" w14:paraId="1B31E1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8C44CC" w14:textId="6023F632" w:rsidR="004104BA" w:rsidRPr="003A7A2D" w:rsidRDefault="004104BA" w:rsidP="00324B33">
            <w:pPr>
              <w:rPr>
                <w:szCs w:val="22"/>
              </w:rPr>
            </w:pPr>
            <w:r>
              <w:rPr>
                <w:szCs w:val="22"/>
              </w:rPr>
              <w:t>LOCF</w:t>
            </w:r>
          </w:p>
        </w:tc>
        <w:tc>
          <w:tcPr>
            <w:tcW w:w="3800" w:type="pct"/>
          </w:tcPr>
          <w:p w14:paraId="62380C04" w14:textId="10BCCA78" w:rsidR="004104BA" w:rsidRPr="003A7A2D" w:rsidRDefault="004104BA" w:rsidP="00324B33">
            <w:pPr>
              <w:cnfStyle w:val="000000000000" w:firstRow="0" w:lastRow="0" w:firstColumn="0" w:lastColumn="0" w:oddVBand="0" w:evenVBand="0" w:oddHBand="0" w:evenHBand="0" w:firstRowFirstColumn="0" w:firstRowLastColumn="0" w:lastRowFirstColumn="0" w:lastRowLastColumn="0"/>
              <w:rPr>
                <w:szCs w:val="22"/>
              </w:rPr>
            </w:pPr>
            <w:r>
              <w:t>L</w:t>
            </w:r>
            <w:r w:rsidRPr="00B81729">
              <w:t>ast observation carried forward</w:t>
            </w:r>
          </w:p>
        </w:tc>
      </w:tr>
      <w:tr w:rsidR="009B63DD" w:rsidRPr="003A7A2D" w14:paraId="2812252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961526" w14:textId="01D0636E" w:rsidR="009B63DD" w:rsidRPr="003A7A2D" w:rsidRDefault="009B63DD" w:rsidP="00324B33">
            <w:pPr>
              <w:rPr>
                <w:szCs w:val="22"/>
              </w:rPr>
            </w:pPr>
            <w:r w:rsidRPr="009B63DD">
              <w:rPr>
                <w:szCs w:val="22"/>
              </w:rPr>
              <w:t>MND</w:t>
            </w:r>
          </w:p>
        </w:tc>
        <w:tc>
          <w:tcPr>
            <w:tcW w:w="3800" w:type="pct"/>
          </w:tcPr>
          <w:p w14:paraId="40B62E11" w14:textId="095A224F" w:rsidR="009B63DD" w:rsidRPr="003A7A2D" w:rsidRDefault="009B63D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M</w:t>
            </w:r>
            <w:r w:rsidRPr="009B63DD">
              <w:rPr>
                <w:szCs w:val="22"/>
              </w:rPr>
              <w:t>otor neuron disease</w:t>
            </w:r>
          </w:p>
        </w:tc>
      </w:tr>
      <w:tr w:rsidR="00745297" w:rsidRPr="003A7A2D" w14:paraId="54C3254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FB61F3" w14:textId="3BA2EB0C" w:rsidR="00745297" w:rsidRPr="009B63DD" w:rsidRDefault="00745297" w:rsidP="00324B33">
            <w:pPr>
              <w:rPr>
                <w:szCs w:val="22"/>
              </w:rPr>
            </w:pPr>
            <w:r>
              <w:rPr>
                <w:szCs w:val="22"/>
              </w:rPr>
              <w:t>NOAEL</w:t>
            </w:r>
          </w:p>
        </w:tc>
        <w:tc>
          <w:tcPr>
            <w:tcW w:w="3800" w:type="pct"/>
          </w:tcPr>
          <w:p w14:paraId="77E985E9" w14:textId="6013692F" w:rsidR="00745297" w:rsidRDefault="00745297" w:rsidP="00324B33">
            <w:pPr>
              <w:cnfStyle w:val="000000000000" w:firstRow="0" w:lastRow="0" w:firstColumn="0" w:lastColumn="0" w:oddVBand="0" w:evenVBand="0" w:oddHBand="0" w:evenHBand="0" w:firstRowFirstColumn="0" w:firstRowLastColumn="0" w:lastRowFirstColumn="0" w:lastRowLastColumn="0"/>
              <w:rPr>
                <w:szCs w:val="22"/>
              </w:rPr>
            </w:pPr>
            <w:r>
              <w:t>N</w:t>
            </w:r>
            <w:r w:rsidRPr="003A7A2D">
              <w:t>o observed adverse effect level</w:t>
            </w:r>
          </w:p>
        </w:tc>
      </w:tr>
      <w:tr w:rsidR="00395140" w:rsidRPr="003A7A2D"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3A7A2D" w:rsidRDefault="00395140" w:rsidP="00324B33">
            <w:pPr>
              <w:rPr>
                <w:szCs w:val="22"/>
              </w:rPr>
            </w:pPr>
            <w:r w:rsidRPr="003A7A2D">
              <w:rPr>
                <w:szCs w:val="22"/>
              </w:rPr>
              <w:t>PI</w:t>
            </w:r>
          </w:p>
        </w:tc>
        <w:tc>
          <w:tcPr>
            <w:tcW w:w="3800" w:type="pct"/>
          </w:tcPr>
          <w:p w14:paraId="354B5DB5" w14:textId="3DAE38C1" w:rsidR="00395140" w:rsidRPr="003A7A2D"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Product Information</w:t>
            </w:r>
          </w:p>
        </w:tc>
      </w:tr>
      <w:tr w:rsidR="45670B4F" w14:paraId="3BD79277" w14:textId="77777777" w:rsidTr="00BC13A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44100D" w14:textId="3846221B" w:rsidR="467A98DC" w:rsidRDefault="467A98DC" w:rsidP="45670B4F">
            <w:r>
              <w:t>PopPK</w:t>
            </w:r>
          </w:p>
        </w:tc>
        <w:tc>
          <w:tcPr>
            <w:tcW w:w="3800" w:type="pct"/>
          </w:tcPr>
          <w:p w14:paraId="560DED60" w14:textId="52F52BED" w:rsidR="467A98DC" w:rsidRDefault="467A98DC" w:rsidP="45670B4F">
            <w:pPr>
              <w:cnfStyle w:val="000000000000" w:firstRow="0" w:lastRow="0" w:firstColumn="0" w:lastColumn="0" w:oddVBand="0" w:evenVBand="0" w:oddHBand="0" w:evenHBand="0" w:firstRowFirstColumn="0" w:firstRowLastColumn="0" w:lastRowFirstColumn="0" w:lastRowLastColumn="0"/>
            </w:pPr>
            <w:r>
              <w:t>Population PK data</w:t>
            </w:r>
          </w:p>
        </w:tc>
      </w:tr>
      <w:tr w:rsidR="00E20081" w14:paraId="46ECC4E1" w14:textId="77777777" w:rsidTr="00BC13A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E5D537" w14:textId="18FD5F17" w:rsidR="00E20081" w:rsidRDefault="00E20081" w:rsidP="45670B4F">
            <w:r>
              <w:t>PT</w:t>
            </w:r>
          </w:p>
        </w:tc>
        <w:tc>
          <w:tcPr>
            <w:tcW w:w="3800" w:type="pct"/>
          </w:tcPr>
          <w:p w14:paraId="09316498" w14:textId="22A457BF" w:rsidR="00E20081" w:rsidRDefault="00E20081" w:rsidP="45670B4F">
            <w:pPr>
              <w:cnfStyle w:val="000000000000" w:firstRow="0" w:lastRow="0" w:firstColumn="0" w:lastColumn="0" w:oddVBand="0" w:evenVBand="0" w:oddHBand="0" w:evenHBand="0" w:firstRowFirstColumn="0" w:firstRowLastColumn="0" w:lastRowFirstColumn="0" w:lastRowLastColumn="0"/>
            </w:pPr>
            <w:r>
              <w:t>Prefe</w:t>
            </w:r>
            <w:r w:rsidR="00AB3981">
              <w:t>rred Term</w:t>
            </w:r>
          </w:p>
        </w:tc>
      </w:tr>
      <w:tr w:rsidR="45670B4F" w14:paraId="104F62DD" w14:textId="77777777" w:rsidTr="00BC13A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64A657" w14:textId="3B152B69" w:rsidR="14674533" w:rsidRDefault="14674533" w:rsidP="45670B4F">
            <w:proofErr w:type="spellStart"/>
            <w:r>
              <w:t>QTcF</w:t>
            </w:r>
            <w:proofErr w:type="spellEnd"/>
          </w:p>
        </w:tc>
        <w:tc>
          <w:tcPr>
            <w:tcW w:w="3800" w:type="pct"/>
          </w:tcPr>
          <w:p w14:paraId="2E84651C" w14:textId="209F4434" w:rsidR="7A5D26A5" w:rsidRDefault="007A54D1" w:rsidP="45670B4F">
            <w:pPr>
              <w:cnfStyle w:val="000000000000" w:firstRow="0" w:lastRow="0" w:firstColumn="0" w:lastColumn="0" w:oddVBand="0" w:evenVBand="0" w:oddHBand="0" w:evenHBand="0" w:firstRowFirstColumn="0" w:firstRowLastColumn="0" w:lastRowFirstColumn="0" w:lastRowLastColumn="0"/>
            </w:pPr>
            <w:r>
              <w:t>C</w:t>
            </w:r>
            <w:r w:rsidR="00A05421" w:rsidRPr="00A05421">
              <w:t>orrected QT interval using Fridericia’s formula</w:t>
            </w:r>
          </w:p>
        </w:tc>
      </w:tr>
      <w:tr w:rsidR="00A704DC" w:rsidRPr="003A7A2D"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3A7A2D" w:rsidRDefault="00A704DC" w:rsidP="00A704DC">
            <w:pPr>
              <w:rPr>
                <w:szCs w:val="22"/>
              </w:rPr>
            </w:pPr>
            <w:r w:rsidRPr="003A7A2D">
              <w:rPr>
                <w:szCs w:val="22"/>
              </w:rPr>
              <w:t>PSUR</w:t>
            </w:r>
          </w:p>
        </w:tc>
        <w:tc>
          <w:tcPr>
            <w:tcW w:w="3800" w:type="pct"/>
          </w:tcPr>
          <w:p w14:paraId="4A97D112" w14:textId="3DC38D82" w:rsidR="00A704DC" w:rsidRPr="003A7A2D"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Periodic safety update report</w:t>
            </w:r>
          </w:p>
        </w:tc>
      </w:tr>
      <w:tr w:rsidR="00A704DC" w:rsidRPr="003A7A2D"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3A7A2D" w:rsidRDefault="00A704DC" w:rsidP="00A704DC">
            <w:pPr>
              <w:rPr>
                <w:szCs w:val="22"/>
              </w:rPr>
            </w:pPr>
            <w:r w:rsidRPr="003A7A2D">
              <w:rPr>
                <w:szCs w:val="22"/>
              </w:rPr>
              <w:t>RMP</w:t>
            </w:r>
          </w:p>
        </w:tc>
        <w:tc>
          <w:tcPr>
            <w:tcW w:w="3800" w:type="pct"/>
          </w:tcPr>
          <w:p w14:paraId="2C862F75" w14:textId="2355E842" w:rsidR="00A704DC" w:rsidRPr="003A7A2D"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Risk management plan</w:t>
            </w:r>
          </w:p>
        </w:tc>
      </w:tr>
      <w:tr w:rsidR="00CD5FC9" w14:paraId="73DCD80A" w14:textId="77777777" w:rsidTr="00BC13A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B248F1" w14:textId="7E329AB6" w:rsidR="00CD5FC9" w:rsidRDefault="00CD5FC9" w:rsidP="45670B4F">
            <w:r>
              <w:t>SAE</w:t>
            </w:r>
          </w:p>
        </w:tc>
        <w:tc>
          <w:tcPr>
            <w:tcW w:w="3800" w:type="pct"/>
          </w:tcPr>
          <w:p w14:paraId="78A52DD9" w14:textId="2E40B6CD" w:rsidR="00CD5FC9" w:rsidRDefault="00CD5FC9" w:rsidP="45670B4F">
            <w:pPr>
              <w:cnfStyle w:val="000000000000" w:firstRow="0" w:lastRow="0" w:firstColumn="0" w:lastColumn="0" w:oddVBand="0" w:evenVBand="0" w:oddHBand="0" w:evenHBand="0" w:firstRowFirstColumn="0" w:firstRowLastColumn="0" w:lastRowFirstColumn="0" w:lastRowLastColumn="0"/>
            </w:pPr>
            <w:r>
              <w:t>Serious adverse event</w:t>
            </w:r>
          </w:p>
        </w:tc>
      </w:tr>
      <w:tr w:rsidR="45670B4F" w14:paraId="7CCA103C" w14:textId="77777777" w:rsidTr="00BC13AF">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D2B8B2" w14:textId="08B9A959" w:rsidR="3F2CF855" w:rsidRDefault="3F2CF855" w:rsidP="45670B4F">
            <w:r>
              <w:t>TEAEs</w:t>
            </w:r>
          </w:p>
        </w:tc>
        <w:tc>
          <w:tcPr>
            <w:tcW w:w="3800" w:type="pct"/>
          </w:tcPr>
          <w:p w14:paraId="266F31F8" w14:textId="1418D6FE" w:rsidR="3F2CF855" w:rsidRDefault="3F2CF855" w:rsidP="45670B4F">
            <w:pPr>
              <w:cnfStyle w:val="000000000000" w:firstRow="0" w:lastRow="0" w:firstColumn="0" w:lastColumn="0" w:oddVBand="0" w:evenVBand="0" w:oddHBand="0" w:evenHBand="0" w:firstRowFirstColumn="0" w:firstRowLastColumn="0" w:lastRowFirstColumn="0" w:lastRowLastColumn="0"/>
            </w:pPr>
            <w:r>
              <w:t>Treatment emergent adverse events</w:t>
            </w:r>
          </w:p>
        </w:tc>
      </w:tr>
      <w:tr w:rsidR="00A704DC" w:rsidRPr="003A7A2D"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3A7A2D" w:rsidRDefault="00A704DC" w:rsidP="00A704DC">
            <w:pPr>
              <w:rPr>
                <w:szCs w:val="22"/>
              </w:rPr>
            </w:pPr>
            <w:r w:rsidRPr="003A7A2D">
              <w:rPr>
                <w:szCs w:val="22"/>
              </w:rPr>
              <w:t>TGA</w:t>
            </w:r>
          </w:p>
        </w:tc>
        <w:tc>
          <w:tcPr>
            <w:tcW w:w="3800" w:type="pct"/>
          </w:tcPr>
          <w:p w14:paraId="29EA6BA3" w14:textId="6F99059F" w:rsidR="00A704DC" w:rsidRPr="003A7A2D"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Therapeutic Goods Administration</w:t>
            </w:r>
          </w:p>
        </w:tc>
      </w:tr>
      <w:tr w:rsidR="00A05421" w:rsidRPr="003A7A2D" w14:paraId="05F6333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624D8A" w14:textId="6BAEB7C7" w:rsidR="00A05421" w:rsidRPr="003A7A2D" w:rsidRDefault="00A05421" w:rsidP="00A704DC">
            <w:pPr>
              <w:rPr>
                <w:szCs w:val="22"/>
              </w:rPr>
            </w:pPr>
            <w:proofErr w:type="spellStart"/>
            <w:r w:rsidRPr="00A3791E">
              <w:rPr>
                <w:szCs w:val="22"/>
              </w:rPr>
              <w:t>ΔΔQTcF</w:t>
            </w:r>
            <w:proofErr w:type="spellEnd"/>
          </w:p>
        </w:tc>
        <w:tc>
          <w:tcPr>
            <w:tcW w:w="3800" w:type="pct"/>
          </w:tcPr>
          <w:p w14:paraId="6A457714" w14:textId="4EE11E91" w:rsidR="00A05421" w:rsidRPr="003A7A2D" w:rsidRDefault="007A54D1"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00A05421" w:rsidRPr="00A05421">
              <w:rPr>
                <w:szCs w:val="22"/>
              </w:rPr>
              <w:t xml:space="preserve">lacebo-adjusted change from baseline in </w:t>
            </w:r>
            <w:proofErr w:type="spellStart"/>
            <w:r w:rsidR="00A05421" w:rsidRPr="00A05421">
              <w:rPr>
                <w:szCs w:val="22"/>
              </w:rPr>
              <w:t>QTcF</w:t>
            </w:r>
            <w:proofErr w:type="spellEnd"/>
          </w:p>
        </w:tc>
      </w:tr>
    </w:tbl>
    <w:p w14:paraId="7378F926" w14:textId="77777777" w:rsidR="00324B33" w:rsidRPr="003A7A2D" w:rsidRDefault="00324B33" w:rsidP="00324B33"/>
    <w:p w14:paraId="02FB1F38" w14:textId="77777777" w:rsidR="00324B33" w:rsidRPr="003A7A2D" w:rsidRDefault="00324B33" w:rsidP="00324B33">
      <w:pPr>
        <w:spacing w:after="200" w:line="0" w:lineRule="auto"/>
        <w:rPr>
          <w:b/>
          <w:i/>
          <w:sz w:val="24"/>
          <w:szCs w:val="24"/>
        </w:rPr>
      </w:pPr>
      <w:r w:rsidRPr="003A7A2D">
        <w:rPr>
          <w:b/>
          <w:i/>
          <w:sz w:val="24"/>
          <w:szCs w:val="24"/>
        </w:rPr>
        <w:br w:type="page"/>
      </w:r>
    </w:p>
    <w:p w14:paraId="44C2A39C" w14:textId="77777777" w:rsidR="00324B33" w:rsidRPr="003A7A2D" w:rsidRDefault="00324B33" w:rsidP="00324B33">
      <w:pPr>
        <w:pStyle w:val="Heading2"/>
      </w:pPr>
      <w:bookmarkStart w:id="8" w:name="_Toc103679288"/>
      <w:bookmarkStart w:id="9" w:name="_Toc174517593"/>
      <w:r w:rsidRPr="003A7A2D">
        <w:lastRenderedPageBreak/>
        <w:t>Product submission</w:t>
      </w:r>
      <w:bookmarkEnd w:id="8"/>
      <w:bookmarkEnd w:id="9"/>
    </w:p>
    <w:p w14:paraId="21D559DF" w14:textId="77777777" w:rsidR="00324B33" w:rsidRPr="003A7A2D" w:rsidRDefault="00324B33" w:rsidP="00324B33">
      <w:pPr>
        <w:pStyle w:val="Heading3"/>
        <w:rPr>
          <w:lang w:eastAsia="en-AU"/>
        </w:rPr>
      </w:pPr>
      <w:bookmarkStart w:id="10" w:name="_Toc247691502"/>
      <w:bookmarkStart w:id="11" w:name="_Toc314842483"/>
      <w:bookmarkStart w:id="12" w:name="_Toc103679289"/>
      <w:bookmarkStart w:id="13" w:name="_Toc174517594"/>
      <w:r w:rsidRPr="003A7A2D">
        <w:rPr>
          <w:lang w:eastAsia="en-AU"/>
        </w:rPr>
        <w:t>Submission details</w:t>
      </w:r>
      <w:bookmarkEnd w:id="10"/>
      <w:bookmarkEnd w:id="11"/>
      <w:bookmarkEnd w:id="12"/>
      <w:bookmarkEnd w:id="13"/>
    </w:p>
    <w:tbl>
      <w:tblPr>
        <w:tblW w:w="5000" w:type="pct"/>
        <w:tblLook w:val="01E0" w:firstRow="1" w:lastRow="1" w:firstColumn="1" w:lastColumn="1" w:noHBand="0" w:noVBand="0"/>
      </w:tblPr>
      <w:tblGrid>
        <w:gridCol w:w="3401"/>
        <w:gridCol w:w="5669"/>
      </w:tblGrid>
      <w:tr w:rsidR="00324B33" w:rsidRPr="003A7A2D" w14:paraId="77D11C95" w14:textId="77777777" w:rsidTr="00BC13AF">
        <w:tc>
          <w:tcPr>
            <w:tcW w:w="1875" w:type="pct"/>
          </w:tcPr>
          <w:p w14:paraId="10E57D62" w14:textId="3E095362" w:rsidR="00324B33" w:rsidRPr="003A7A2D" w:rsidRDefault="00324B33" w:rsidP="007452E8">
            <w:pPr>
              <w:rPr>
                <w:i/>
                <w:szCs w:val="22"/>
              </w:rPr>
            </w:pPr>
            <w:r w:rsidRPr="003A7A2D">
              <w:rPr>
                <w:i/>
                <w:szCs w:val="22"/>
              </w:rPr>
              <w:t>Type of submission:</w:t>
            </w:r>
          </w:p>
        </w:tc>
        <w:tc>
          <w:tcPr>
            <w:tcW w:w="3125" w:type="pct"/>
          </w:tcPr>
          <w:p w14:paraId="4F07C303" w14:textId="0050DC5F" w:rsidR="00324B33" w:rsidRPr="003A7A2D" w:rsidRDefault="00324B33" w:rsidP="007452E8">
            <w:pPr>
              <w:rPr>
                <w:szCs w:val="22"/>
              </w:rPr>
            </w:pPr>
            <w:r w:rsidRPr="003A7A2D">
              <w:rPr>
                <w:szCs w:val="22"/>
              </w:rPr>
              <w:t>New chemical entity</w:t>
            </w:r>
          </w:p>
        </w:tc>
      </w:tr>
      <w:tr w:rsidR="00324B33" w:rsidRPr="003A7A2D" w14:paraId="13482B61" w14:textId="77777777" w:rsidTr="00BC13AF">
        <w:tc>
          <w:tcPr>
            <w:tcW w:w="1875" w:type="pct"/>
          </w:tcPr>
          <w:p w14:paraId="2C427FCF" w14:textId="690EF9B4" w:rsidR="00324B33" w:rsidRPr="003A7A2D" w:rsidRDefault="00324B33" w:rsidP="007452E8">
            <w:pPr>
              <w:rPr>
                <w:i/>
                <w:szCs w:val="22"/>
              </w:rPr>
            </w:pPr>
            <w:r w:rsidRPr="003A7A2D">
              <w:rPr>
                <w:i/>
                <w:szCs w:val="22"/>
              </w:rPr>
              <w:t>Product name:</w:t>
            </w:r>
          </w:p>
        </w:tc>
        <w:tc>
          <w:tcPr>
            <w:tcW w:w="3125" w:type="pct"/>
          </w:tcPr>
          <w:p w14:paraId="0E2DEF76" w14:textId="41EE8B7E" w:rsidR="00324B33" w:rsidRPr="003A7A2D" w:rsidRDefault="002B1097" w:rsidP="007452E8">
            <w:pPr>
              <w:rPr>
                <w:szCs w:val="22"/>
              </w:rPr>
            </w:pPr>
            <w:r w:rsidRPr="002B1097">
              <w:rPr>
                <w:szCs w:val="22"/>
              </w:rPr>
              <w:t>Radicava</w:t>
            </w:r>
          </w:p>
        </w:tc>
      </w:tr>
      <w:tr w:rsidR="00324B33" w:rsidRPr="003A7A2D" w14:paraId="01255B5B" w14:textId="77777777" w:rsidTr="00BC13AF">
        <w:tc>
          <w:tcPr>
            <w:tcW w:w="1875" w:type="pct"/>
          </w:tcPr>
          <w:p w14:paraId="52B4F3D7" w14:textId="6AB196DE" w:rsidR="00324B33" w:rsidRPr="003A7A2D" w:rsidRDefault="00324B33" w:rsidP="007452E8">
            <w:pPr>
              <w:rPr>
                <w:i/>
                <w:szCs w:val="22"/>
              </w:rPr>
            </w:pPr>
            <w:r w:rsidRPr="003A7A2D">
              <w:rPr>
                <w:i/>
                <w:szCs w:val="22"/>
              </w:rPr>
              <w:t>Active ingredient:</w:t>
            </w:r>
          </w:p>
        </w:tc>
        <w:tc>
          <w:tcPr>
            <w:tcW w:w="3125" w:type="pct"/>
          </w:tcPr>
          <w:p w14:paraId="02FB6383" w14:textId="6C57DF1C" w:rsidR="00324B33" w:rsidRPr="003A7A2D" w:rsidRDefault="00E06041" w:rsidP="007452E8">
            <w:pPr>
              <w:rPr>
                <w:szCs w:val="22"/>
              </w:rPr>
            </w:pPr>
            <w:r w:rsidRPr="003A7A2D">
              <w:rPr>
                <w:szCs w:val="22"/>
              </w:rPr>
              <w:t>Edaravone</w:t>
            </w:r>
          </w:p>
        </w:tc>
      </w:tr>
      <w:tr w:rsidR="00324B33" w:rsidRPr="003A7A2D" w14:paraId="219A281B" w14:textId="77777777" w:rsidTr="00BC13AF">
        <w:tc>
          <w:tcPr>
            <w:tcW w:w="1875" w:type="pct"/>
          </w:tcPr>
          <w:p w14:paraId="112E5F78" w14:textId="77777777" w:rsidR="00324B33" w:rsidRPr="003A7A2D" w:rsidRDefault="00324B33" w:rsidP="007452E8">
            <w:pPr>
              <w:rPr>
                <w:i/>
                <w:szCs w:val="22"/>
              </w:rPr>
            </w:pPr>
            <w:r w:rsidRPr="003A7A2D">
              <w:rPr>
                <w:i/>
                <w:szCs w:val="22"/>
              </w:rPr>
              <w:t>Decision:</w:t>
            </w:r>
          </w:p>
        </w:tc>
        <w:tc>
          <w:tcPr>
            <w:tcW w:w="3125" w:type="pct"/>
          </w:tcPr>
          <w:p w14:paraId="3B114BEA" w14:textId="3DF8842E" w:rsidR="00324B33" w:rsidRPr="003A7A2D" w:rsidRDefault="00324B33" w:rsidP="007452E8">
            <w:pPr>
              <w:rPr>
                <w:szCs w:val="22"/>
              </w:rPr>
            </w:pPr>
            <w:r w:rsidRPr="003A7A2D">
              <w:rPr>
                <w:szCs w:val="22"/>
              </w:rPr>
              <w:t>Approved</w:t>
            </w:r>
          </w:p>
        </w:tc>
      </w:tr>
      <w:tr w:rsidR="00AE1947" w:rsidRPr="003A7A2D" w14:paraId="32B72632" w14:textId="77777777" w:rsidTr="00BC13AF">
        <w:tc>
          <w:tcPr>
            <w:tcW w:w="1875" w:type="pct"/>
          </w:tcPr>
          <w:p w14:paraId="332A5CD5" w14:textId="682CD1B3" w:rsidR="00AE1947" w:rsidRPr="003A7A2D" w:rsidRDefault="00AE1947" w:rsidP="00C018DE">
            <w:r w:rsidRPr="003A7A2D">
              <w:rPr>
                <w:i/>
                <w:szCs w:val="22"/>
              </w:rPr>
              <w:t>Date of decision:</w:t>
            </w:r>
          </w:p>
        </w:tc>
        <w:tc>
          <w:tcPr>
            <w:tcW w:w="3125" w:type="pct"/>
          </w:tcPr>
          <w:p w14:paraId="7B381CD6" w14:textId="7CA3B06D" w:rsidR="00AE1947" w:rsidRPr="003A7A2D" w:rsidRDefault="00E06041" w:rsidP="00067238">
            <w:pPr>
              <w:rPr>
                <w:szCs w:val="22"/>
              </w:rPr>
            </w:pPr>
            <w:r w:rsidRPr="003A7A2D">
              <w:rPr>
                <w:szCs w:val="22"/>
              </w:rPr>
              <w:t>17 January 2023</w:t>
            </w:r>
          </w:p>
        </w:tc>
      </w:tr>
      <w:tr w:rsidR="00324B33" w:rsidRPr="003A7A2D" w14:paraId="60A25F5A" w14:textId="77777777" w:rsidTr="00BC13AF">
        <w:tc>
          <w:tcPr>
            <w:tcW w:w="1875" w:type="pct"/>
          </w:tcPr>
          <w:p w14:paraId="5C5E4CBA" w14:textId="77777777" w:rsidR="00324B33" w:rsidRPr="003A7A2D" w:rsidRDefault="00324B33" w:rsidP="007452E8">
            <w:pPr>
              <w:rPr>
                <w:i/>
                <w:szCs w:val="22"/>
              </w:rPr>
            </w:pPr>
            <w:r w:rsidRPr="003A7A2D">
              <w:rPr>
                <w:i/>
                <w:szCs w:val="22"/>
              </w:rPr>
              <w:t>Date of entry onto ARTG:</w:t>
            </w:r>
          </w:p>
        </w:tc>
        <w:tc>
          <w:tcPr>
            <w:tcW w:w="3125" w:type="pct"/>
          </w:tcPr>
          <w:p w14:paraId="28B270E9" w14:textId="6A6892B9" w:rsidR="00324B33" w:rsidRPr="003A7A2D" w:rsidRDefault="00E06041" w:rsidP="007452E8">
            <w:pPr>
              <w:rPr>
                <w:szCs w:val="22"/>
              </w:rPr>
            </w:pPr>
            <w:r w:rsidRPr="003A7A2D">
              <w:rPr>
                <w:szCs w:val="22"/>
              </w:rPr>
              <w:t>15 February 2023</w:t>
            </w:r>
          </w:p>
        </w:tc>
      </w:tr>
      <w:tr w:rsidR="00324B33" w:rsidRPr="003A7A2D" w14:paraId="547E08D7" w14:textId="77777777" w:rsidTr="00BC13AF">
        <w:tc>
          <w:tcPr>
            <w:tcW w:w="1875" w:type="pct"/>
          </w:tcPr>
          <w:p w14:paraId="5030EF30" w14:textId="22F1D8BC" w:rsidR="00324B33" w:rsidRPr="003A7A2D" w:rsidRDefault="00324B33" w:rsidP="007452E8">
            <w:pPr>
              <w:rPr>
                <w:i/>
                <w:szCs w:val="22"/>
              </w:rPr>
            </w:pPr>
            <w:r w:rsidRPr="003A7A2D">
              <w:rPr>
                <w:i/>
                <w:szCs w:val="22"/>
              </w:rPr>
              <w:t>ARTG number:</w:t>
            </w:r>
          </w:p>
        </w:tc>
        <w:tc>
          <w:tcPr>
            <w:tcW w:w="3125" w:type="pct"/>
          </w:tcPr>
          <w:p w14:paraId="0054E912" w14:textId="69B177DD" w:rsidR="00324B33" w:rsidRPr="003A7A2D" w:rsidRDefault="00E06041" w:rsidP="007452E8">
            <w:pPr>
              <w:rPr>
                <w:szCs w:val="22"/>
              </w:rPr>
            </w:pPr>
            <w:r w:rsidRPr="003A7A2D">
              <w:rPr>
                <w:szCs w:val="22"/>
              </w:rPr>
              <w:t>375455</w:t>
            </w:r>
          </w:p>
        </w:tc>
      </w:tr>
      <w:tr w:rsidR="00324B33" w:rsidRPr="003A7A2D" w14:paraId="7618393F" w14:textId="77777777" w:rsidTr="00BC13AF">
        <w:tc>
          <w:tcPr>
            <w:tcW w:w="1875" w:type="pct"/>
          </w:tcPr>
          <w:p w14:paraId="02260DE2" w14:textId="0E06B7D8" w:rsidR="00324B33" w:rsidRPr="003A7A2D" w:rsidRDefault="00324B33" w:rsidP="002B6E75">
            <w:pPr>
              <w:rPr>
                <w:i/>
                <w:szCs w:val="22"/>
              </w:rPr>
            </w:pPr>
            <w:r w:rsidRPr="003A7A2D">
              <w:rPr>
                <w:rFonts w:ascii="Wingdings 3" w:hAnsi="Wingdings 3"/>
                <w:szCs w:val="22"/>
                <w:lang w:eastAsia="en-AU"/>
              </w:rPr>
              <w:t></w:t>
            </w:r>
            <w:hyperlink r:id="rId18" w:history="1">
              <w:r w:rsidRPr="003A7A2D">
                <w:rPr>
                  <w:rStyle w:val="Hyperlink"/>
                  <w:i/>
                  <w:szCs w:val="22"/>
                </w:rPr>
                <w:t>Black Triangle Scheme</w:t>
              </w:r>
            </w:hyperlink>
          </w:p>
        </w:tc>
        <w:tc>
          <w:tcPr>
            <w:tcW w:w="3125" w:type="pct"/>
          </w:tcPr>
          <w:p w14:paraId="6FF3C6A2" w14:textId="4BED41D0" w:rsidR="00324B33" w:rsidRPr="003A7A2D" w:rsidRDefault="00324B33" w:rsidP="007452E8">
            <w:pPr>
              <w:rPr>
                <w:szCs w:val="22"/>
              </w:rPr>
            </w:pPr>
            <w:r w:rsidRPr="003A7A2D">
              <w:rPr>
                <w:szCs w:val="22"/>
              </w:rPr>
              <w:t>Yes</w:t>
            </w:r>
          </w:p>
        </w:tc>
      </w:tr>
      <w:tr w:rsidR="00324B33" w:rsidRPr="003A7A2D" w14:paraId="179E09FE" w14:textId="77777777" w:rsidTr="00BC13AF">
        <w:tc>
          <w:tcPr>
            <w:tcW w:w="1875" w:type="pct"/>
          </w:tcPr>
          <w:p w14:paraId="1A592498" w14:textId="4D78FE2C" w:rsidR="00324B33" w:rsidRPr="003A7A2D" w:rsidRDefault="00C04BB6" w:rsidP="007452E8">
            <w:pPr>
              <w:rPr>
                <w:i/>
                <w:szCs w:val="22"/>
              </w:rPr>
            </w:pPr>
            <w:r>
              <w:rPr>
                <w:i/>
                <w:szCs w:val="22"/>
              </w:rPr>
              <w:t>Sponsor</w:t>
            </w:r>
            <w:r w:rsidR="00324B33" w:rsidRPr="003A7A2D">
              <w:rPr>
                <w:i/>
                <w:szCs w:val="22"/>
              </w:rPr>
              <w:t>’s name and address:</w:t>
            </w:r>
          </w:p>
        </w:tc>
        <w:tc>
          <w:tcPr>
            <w:tcW w:w="3125" w:type="pct"/>
          </w:tcPr>
          <w:p w14:paraId="6BF79731" w14:textId="77777777" w:rsidR="00324B33" w:rsidRPr="003A7A2D" w:rsidRDefault="00E06041" w:rsidP="007452E8">
            <w:pPr>
              <w:rPr>
                <w:szCs w:val="22"/>
              </w:rPr>
            </w:pPr>
            <w:r w:rsidRPr="003A7A2D">
              <w:rPr>
                <w:szCs w:val="22"/>
              </w:rPr>
              <w:t>Teva Pharma Australia Pty Ltd</w:t>
            </w:r>
          </w:p>
          <w:p w14:paraId="68DD94B0" w14:textId="0BAB4094" w:rsidR="00E06041" w:rsidRPr="003A7A2D" w:rsidRDefault="00E06041" w:rsidP="00E06041">
            <w:pPr>
              <w:rPr>
                <w:szCs w:val="22"/>
              </w:rPr>
            </w:pPr>
            <w:r w:rsidRPr="003A7A2D">
              <w:rPr>
                <w:szCs w:val="22"/>
              </w:rPr>
              <w:t>Level 1, 37 Epping Road, Macquarie Park, NSW 2113</w:t>
            </w:r>
          </w:p>
        </w:tc>
      </w:tr>
      <w:tr w:rsidR="00324B33" w:rsidRPr="003A7A2D" w14:paraId="5322B989" w14:textId="77777777" w:rsidTr="00BC13AF">
        <w:tc>
          <w:tcPr>
            <w:tcW w:w="1875" w:type="pct"/>
          </w:tcPr>
          <w:p w14:paraId="24F217E3" w14:textId="6FB3D384" w:rsidR="00324B33" w:rsidRPr="003A7A2D" w:rsidRDefault="00324B33" w:rsidP="007452E8">
            <w:pPr>
              <w:rPr>
                <w:i/>
                <w:szCs w:val="22"/>
              </w:rPr>
            </w:pPr>
            <w:r w:rsidRPr="003A7A2D">
              <w:rPr>
                <w:i/>
                <w:szCs w:val="22"/>
              </w:rPr>
              <w:t>Dose form:</w:t>
            </w:r>
          </w:p>
        </w:tc>
        <w:tc>
          <w:tcPr>
            <w:tcW w:w="3125" w:type="pct"/>
          </w:tcPr>
          <w:p w14:paraId="768B254C" w14:textId="23E46987" w:rsidR="00324B33" w:rsidRPr="003A7A2D" w:rsidRDefault="00E06041" w:rsidP="007452E8">
            <w:pPr>
              <w:rPr>
                <w:szCs w:val="22"/>
              </w:rPr>
            </w:pPr>
            <w:r w:rsidRPr="003A7A2D">
              <w:rPr>
                <w:szCs w:val="22"/>
              </w:rPr>
              <w:t>Concentrated injection</w:t>
            </w:r>
          </w:p>
        </w:tc>
      </w:tr>
      <w:tr w:rsidR="00324B33" w:rsidRPr="003A7A2D" w14:paraId="115243E6" w14:textId="77777777" w:rsidTr="00BC13AF">
        <w:tc>
          <w:tcPr>
            <w:tcW w:w="1875" w:type="pct"/>
          </w:tcPr>
          <w:p w14:paraId="7634B062" w14:textId="3CD7D98F" w:rsidR="00324B33" w:rsidRPr="003A7A2D" w:rsidRDefault="00324B33" w:rsidP="007452E8">
            <w:pPr>
              <w:rPr>
                <w:i/>
                <w:szCs w:val="22"/>
              </w:rPr>
            </w:pPr>
            <w:r w:rsidRPr="003A7A2D">
              <w:rPr>
                <w:i/>
                <w:szCs w:val="22"/>
              </w:rPr>
              <w:t>Strength:</w:t>
            </w:r>
          </w:p>
        </w:tc>
        <w:tc>
          <w:tcPr>
            <w:tcW w:w="3125" w:type="pct"/>
          </w:tcPr>
          <w:p w14:paraId="5E5F83DB" w14:textId="2D2ED6EF" w:rsidR="00324B33" w:rsidRPr="003A7A2D" w:rsidRDefault="00E06041" w:rsidP="007452E8">
            <w:pPr>
              <w:rPr>
                <w:szCs w:val="22"/>
              </w:rPr>
            </w:pPr>
            <w:r w:rsidRPr="003A7A2D">
              <w:rPr>
                <w:szCs w:val="22"/>
              </w:rPr>
              <w:t>30 mg/20 mL</w:t>
            </w:r>
          </w:p>
        </w:tc>
      </w:tr>
      <w:tr w:rsidR="00324B33" w:rsidRPr="003A7A2D" w14:paraId="34B07BA6" w14:textId="77777777" w:rsidTr="00BC13AF">
        <w:tc>
          <w:tcPr>
            <w:tcW w:w="1875" w:type="pct"/>
          </w:tcPr>
          <w:p w14:paraId="1C039224" w14:textId="5CF8A3F9" w:rsidR="00324B33" w:rsidRPr="003A7A2D" w:rsidRDefault="00324B33" w:rsidP="007452E8">
            <w:pPr>
              <w:rPr>
                <w:i/>
                <w:szCs w:val="22"/>
              </w:rPr>
            </w:pPr>
            <w:r w:rsidRPr="003A7A2D">
              <w:rPr>
                <w:i/>
                <w:szCs w:val="22"/>
              </w:rPr>
              <w:t>Container:</w:t>
            </w:r>
          </w:p>
        </w:tc>
        <w:tc>
          <w:tcPr>
            <w:tcW w:w="3125" w:type="pct"/>
          </w:tcPr>
          <w:p w14:paraId="500A42C6" w14:textId="1EA2B5BB" w:rsidR="00324B33" w:rsidRPr="003A7A2D" w:rsidRDefault="00E06041" w:rsidP="007452E8">
            <w:pPr>
              <w:rPr>
                <w:szCs w:val="22"/>
              </w:rPr>
            </w:pPr>
            <w:r w:rsidRPr="003A7A2D">
              <w:rPr>
                <w:szCs w:val="22"/>
              </w:rPr>
              <w:t>Ampoule</w:t>
            </w:r>
          </w:p>
        </w:tc>
      </w:tr>
      <w:tr w:rsidR="00324B33" w:rsidRPr="003A7A2D" w14:paraId="176B6773" w14:textId="77777777" w:rsidTr="00BC13AF">
        <w:tc>
          <w:tcPr>
            <w:tcW w:w="1875" w:type="pct"/>
          </w:tcPr>
          <w:p w14:paraId="71846159" w14:textId="5D6F32DF" w:rsidR="00324B33" w:rsidRPr="003A7A2D" w:rsidRDefault="00324B33" w:rsidP="007452E8">
            <w:pPr>
              <w:rPr>
                <w:i/>
                <w:szCs w:val="22"/>
              </w:rPr>
            </w:pPr>
            <w:r w:rsidRPr="003A7A2D">
              <w:rPr>
                <w:i/>
                <w:szCs w:val="22"/>
              </w:rPr>
              <w:t>Pack size:</w:t>
            </w:r>
          </w:p>
        </w:tc>
        <w:tc>
          <w:tcPr>
            <w:tcW w:w="3125" w:type="pct"/>
          </w:tcPr>
          <w:p w14:paraId="7E978F8F" w14:textId="2B0C5CAE" w:rsidR="00324B33" w:rsidRPr="003A7A2D" w:rsidRDefault="00E06041" w:rsidP="007452E8">
            <w:pPr>
              <w:rPr>
                <w:szCs w:val="22"/>
              </w:rPr>
            </w:pPr>
            <w:r>
              <w:t>10</w:t>
            </w:r>
          </w:p>
        </w:tc>
      </w:tr>
      <w:tr w:rsidR="00324B33" w:rsidRPr="003A7A2D" w14:paraId="19A2544A" w14:textId="77777777" w:rsidTr="00BC13AF">
        <w:tc>
          <w:tcPr>
            <w:tcW w:w="1875" w:type="pct"/>
          </w:tcPr>
          <w:p w14:paraId="0E6C5C0E" w14:textId="7DB3FC66" w:rsidR="00324B33" w:rsidRPr="003A7A2D" w:rsidRDefault="00324B33" w:rsidP="007452E8">
            <w:pPr>
              <w:rPr>
                <w:i/>
                <w:szCs w:val="22"/>
              </w:rPr>
            </w:pPr>
            <w:r w:rsidRPr="003A7A2D">
              <w:rPr>
                <w:i/>
                <w:szCs w:val="22"/>
              </w:rPr>
              <w:t>Approved therapeutic use</w:t>
            </w:r>
            <w:r w:rsidR="00E47E0C" w:rsidRPr="003A7A2D">
              <w:rPr>
                <w:i/>
                <w:szCs w:val="22"/>
              </w:rPr>
              <w:t xml:space="preserve"> </w:t>
            </w:r>
            <w:r w:rsidR="007B04DE" w:rsidRPr="003A7A2D">
              <w:rPr>
                <w:i/>
                <w:szCs w:val="22"/>
              </w:rPr>
              <w:t>for the current</w:t>
            </w:r>
            <w:r w:rsidR="00E47E0C" w:rsidRPr="003A7A2D">
              <w:rPr>
                <w:i/>
                <w:szCs w:val="22"/>
              </w:rPr>
              <w:t xml:space="preserve"> submission</w:t>
            </w:r>
            <w:r w:rsidRPr="003A7A2D">
              <w:rPr>
                <w:i/>
                <w:szCs w:val="22"/>
              </w:rPr>
              <w:t>:</w:t>
            </w:r>
          </w:p>
        </w:tc>
        <w:tc>
          <w:tcPr>
            <w:tcW w:w="3125" w:type="pct"/>
          </w:tcPr>
          <w:p w14:paraId="6E143E2E" w14:textId="6F7C617F" w:rsidR="00324B33" w:rsidRPr="002B6E75" w:rsidRDefault="002B1097" w:rsidP="00E06041">
            <w:pPr>
              <w:rPr>
                <w:szCs w:val="22"/>
              </w:rPr>
            </w:pPr>
            <w:r>
              <w:rPr>
                <w:szCs w:val="22"/>
              </w:rPr>
              <w:t>Radicava</w:t>
            </w:r>
            <w:r w:rsidR="00E06041" w:rsidRPr="002B6E75">
              <w:rPr>
                <w:szCs w:val="22"/>
              </w:rPr>
              <w:t xml:space="preserve"> is indicated in adults with a diagnosis of amyotrophic lateral sclerosis who are independent in activities of daily living with normal respiratory function and where treatment is initiated within two years of disease onset.</w:t>
            </w:r>
          </w:p>
        </w:tc>
      </w:tr>
      <w:tr w:rsidR="00324B33" w:rsidRPr="003A7A2D" w14:paraId="5AFDEED3" w14:textId="77777777" w:rsidTr="00BC13AF">
        <w:tc>
          <w:tcPr>
            <w:tcW w:w="1875" w:type="pct"/>
          </w:tcPr>
          <w:p w14:paraId="03884BD1" w14:textId="77777777" w:rsidR="00324B33" w:rsidRPr="003A7A2D" w:rsidRDefault="00324B33" w:rsidP="007452E8">
            <w:pPr>
              <w:rPr>
                <w:i/>
                <w:szCs w:val="22"/>
              </w:rPr>
            </w:pPr>
            <w:r w:rsidRPr="003A7A2D">
              <w:rPr>
                <w:i/>
                <w:szCs w:val="22"/>
              </w:rPr>
              <w:t>Route(s) of administration:</w:t>
            </w:r>
          </w:p>
        </w:tc>
        <w:tc>
          <w:tcPr>
            <w:tcW w:w="3125" w:type="pct"/>
          </w:tcPr>
          <w:p w14:paraId="1ED1357E" w14:textId="5B1D4279" w:rsidR="00324B33" w:rsidRPr="003A7A2D" w:rsidRDefault="00E06041" w:rsidP="007452E8">
            <w:pPr>
              <w:rPr>
                <w:szCs w:val="22"/>
              </w:rPr>
            </w:pPr>
            <w:r w:rsidRPr="003A7A2D">
              <w:rPr>
                <w:szCs w:val="22"/>
              </w:rPr>
              <w:t>Intravenous infusion</w:t>
            </w:r>
          </w:p>
        </w:tc>
      </w:tr>
      <w:tr w:rsidR="00324B33" w:rsidRPr="003A7A2D" w14:paraId="70D7E9FA" w14:textId="77777777" w:rsidTr="00BC13AF">
        <w:tc>
          <w:tcPr>
            <w:tcW w:w="1875" w:type="pct"/>
          </w:tcPr>
          <w:p w14:paraId="5ABFFC80" w14:textId="77777777" w:rsidR="00324B33" w:rsidRPr="003A7A2D" w:rsidRDefault="00324B33" w:rsidP="007452E8">
            <w:pPr>
              <w:rPr>
                <w:i/>
                <w:szCs w:val="22"/>
              </w:rPr>
            </w:pPr>
            <w:r w:rsidRPr="003A7A2D">
              <w:rPr>
                <w:i/>
                <w:szCs w:val="22"/>
              </w:rPr>
              <w:t>Dosage:</w:t>
            </w:r>
          </w:p>
        </w:tc>
        <w:tc>
          <w:tcPr>
            <w:tcW w:w="3125" w:type="pct"/>
          </w:tcPr>
          <w:p w14:paraId="0847FC9A" w14:textId="56688BF1" w:rsidR="00E06041" w:rsidRPr="003A7A2D" w:rsidRDefault="00E06041" w:rsidP="00E06041">
            <w:pPr>
              <w:rPr>
                <w:szCs w:val="22"/>
              </w:rPr>
            </w:pPr>
            <w:r w:rsidRPr="003A7A2D">
              <w:rPr>
                <w:szCs w:val="22"/>
              </w:rPr>
              <w:t xml:space="preserve">The recommended dosage of </w:t>
            </w:r>
            <w:r w:rsidR="002B1097" w:rsidRPr="002B1097">
              <w:rPr>
                <w:szCs w:val="22"/>
              </w:rPr>
              <w:t xml:space="preserve">Radicava </w:t>
            </w:r>
            <w:r w:rsidRPr="003A7A2D">
              <w:rPr>
                <w:szCs w:val="22"/>
              </w:rPr>
              <w:t>is 60 mg of edaravone (two ampoules) diluted with 100 mL of 0.9% sodium chloride for infusion and administered as an intravenous infusion over a 60-minute period according to the following schedule:</w:t>
            </w:r>
          </w:p>
          <w:p w14:paraId="4CB25CC9" w14:textId="45B0F418" w:rsidR="00E06041" w:rsidRPr="003A7A2D" w:rsidRDefault="00E06041" w:rsidP="00E06041">
            <w:pPr>
              <w:pStyle w:val="ListBullet"/>
            </w:pPr>
            <w:r w:rsidRPr="003A7A2D">
              <w:t xml:space="preserve">An initial treatment cycle with daily dosing for 14 days, followed by a </w:t>
            </w:r>
            <w:r w:rsidR="00D06D73" w:rsidRPr="003A7A2D">
              <w:t>14-day</w:t>
            </w:r>
            <w:r w:rsidRPr="003A7A2D">
              <w:t xml:space="preserve"> drug free period.</w:t>
            </w:r>
          </w:p>
          <w:p w14:paraId="189EF0B9" w14:textId="4729F3FF" w:rsidR="00E06041" w:rsidRPr="003A7A2D" w:rsidRDefault="00E06041" w:rsidP="00E06041">
            <w:pPr>
              <w:pStyle w:val="ListBullet"/>
            </w:pPr>
            <w:r w:rsidRPr="003A7A2D">
              <w:t xml:space="preserve">Subsequent treatment cycles with daily dosing for 10 days out of </w:t>
            </w:r>
            <w:r w:rsidR="00D06D73" w:rsidRPr="003A7A2D">
              <w:t>14-day</w:t>
            </w:r>
            <w:r w:rsidRPr="003A7A2D">
              <w:t xml:space="preserve"> periods, followed by 14 day drug free periods.</w:t>
            </w:r>
          </w:p>
          <w:p w14:paraId="3D0B2D5C" w14:textId="1BB1F34D" w:rsidR="00324B33" w:rsidRPr="003A7A2D" w:rsidRDefault="00324B33" w:rsidP="007452E8">
            <w:pPr>
              <w:rPr>
                <w:szCs w:val="22"/>
              </w:rPr>
            </w:pPr>
            <w:r w:rsidRPr="003A7A2D">
              <w:rPr>
                <w:szCs w:val="22"/>
              </w:rPr>
              <w:t>For further information regarding dosage,</w:t>
            </w:r>
            <w:r w:rsidR="006B7126" w:rsidRPr="003A7A2D">
              <w:rPr>
                <w:szCs w:val="22"/>
              </w:rPr>
              <w:t xml:space="preserve"> </w:t>
            </w:r>
            <w:r w:rsidRPr="003A7A2D">
              <w:rPr>
                <w:szCs w:val="22"/>
              </w:rPr>
              <w:t>refer to the Product Information.</w:t>
            </w:r>
          </w:p>
        </w:tc>
      </w:tr>
      <w:tr w:rsidR="0017005C" w:rsidRPr="003A7A2D" w14:paraId="7B7BB6AE" w14:textId="77777777" w:rsidTr="00BC13AF">
        <w:tc>
          <w:tcPr>
            <w:tcW w:w="1875" w:type="pct"/>
          </w:tcPr>
          <w:p w14:paraId="3A76AFF7" w14:textId="7C436DD9" w:rsidR="0017005C" w:rsidRPr="003A7A2D" w:rsidRDefault="0070330F" w:rsidP="0017005C">
            <w:r w:rsidRPr="003A7A2D">
              <w:rPr>
                <w:i/>
                <w:szCs w:val="22"/>
              </w:rPr>
              <w:t>Pregnancy category:</w:t>
            </w:r>
          </w:p>
        </w:tc>
        <w:tc>
          <w:tcPr>
            <w:tcW w:w="3125" w:type="pct"/>
          </w:tcPr>
          <w:p w14:paraId="5F25CC35" w14:textId="643FF3CE" w:rsidR="00000E6E" w:rsidRPr="003A7A2D" w:rsidRDefault="00E06041" w:rsidP="00E06041">
            <w:r w:rsidRPr="003A7A2D">
              <w:t>B3</w:t>
            </w:r>
          </w:p>
          <w:p w14:paraId="3B628B89" w14:textId="1FF44D3B" w:rsidR="00E06041" w:rsidRPr="003A7A2D" w:rsidRDefault="00E06041" w:rsidP="00E06041">
            <w:r w:rsidRPr="003A7A2D">
              <w:t xml:space="preserve">Drugs which have been taken by only a limited number of pregnant women and women of childbearing age, without an increase in the frequency of malformation or other </w:t>
            </w:r>
            <w:r w:rsidRPr="003A7A2D">
              <w:lastRenderedPageBreak/>
              <w:t>direct or indirect harmful effects on the human fetus having been observed.</w:t>
            </w:r>
          </w:p>
          <w:p w14:paraId="341A48C6" w14:textId="4E8FE015" w:rsidR="00E06041" w:rsidRPr="003A7A2D" w:rsidRDefault="00E06041" w:rsidP="00E06041">
            <w:r w:rsidRPr="003A7A2D">
              <w:t>Studies in animals have shown evidence of an increased occurrence of fetal damage, the significance of which is considered uncertain in humans.</w:t>
            </w:r>
          </w:p>
          <w:p w14:paraId="76497789" w14:textId="634DC28C" w:rsidR="0017005C" w:rsidRPr="003A7A2D" w:rsidRDefault="0070330F" w:rsidP="00306E72">
            <w:pPr>
              <w:rPr>
                <w:szCs w:val="22"/>
              </w:rPr>
            </w:pPr>
            <w:r w:rsidRPr="003A7A2D">
              <w:rPr>
                <w:szCs w:val="22"/>
              </w:rPr>
              <w:t xml:space="preserve">The use of any medicine during pregnancy requires careful consideration of both risks and benefits by the treating health professional. </w:t>
            </w:r>
            <w:r w:rsidR="00721059" w:rsidRPr="003A7A2D">
              <w:rPr>
                <w:szCs w:val="22"/>
              </w:rPr>
              <w:t xml:space="preserve">The </w:t>
            </w:r>
            <w:hyperlink r:id="rId19" w:history="1">
              <w:r w:rsidR="00721059" w:rsidRPr="003A7A2D">
                <w:rPr>
                  <w:rStyle w:val="Hyperlink"/>
                  <w:szCs w:val="22"/>
                </w:rPr>
                <w:t>pregnancy database</w:t>
              </w:r>
            </w:hyperlink>
            <w:r w:rsidR="00387984" w:rsidRPr="003A7A2D">
              <w:t xml:space="preserve"> </w:t>
            </w:r>
            <w:r w:rsidRPr="003A7A2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3A7A2D">
                <w:rPr>
                  <w:rStyle w:val="Hyperlink"/>
                  <w:szCs w:val="22"/>
                </w:rPr>
                <w:t>obstetric drug information services</w:t>
              </w:r>
            </w:hyperlink>
            <w:r w:rsidRPr="003A7A2D">
              <w:rPr>
                <w:szCs w:val="22"/>
              </w:rPr>
              <w:t xml:space="preserve"> in your </w:t>
            </w:r>
            <w:r w:rsidR="00306E72" w:rsidRPr="003A7A2D">
              <w:rPr>
                <w:szCs w:val="22"/>
              </w:rPr>
              <w:t>s</w:t>
            </w:r>
            <w:r w:rsidRPr="003A7A2D">
              <w:rPr>
                <w:szCs w:val="22"/>
              </w:rPr>
              <w:t xml:space="preserve">tate or </w:t>
            </w:r>
            <w:r w:rsidR="00306E72" w:rsidRPr="003A7A2D">
              <w:rPr>
                <w:szCs w:val="22"/>
              </w:rPr>
              <w:t>t</w:t>
            </w:r>
            <w:r w:rsidRPr="003A7A2D">
              <w:rPr>
                <w:szCs w:val="22"/>
              </w:rPr>
              <w:t>erritory.</w:t>
            </w:r>
          </w:p>
        </w:tc>
      </w:tr>
    </w:tbl>
    <w:p w14:paraId="51F2479F" w14:textId="1E34B277" w:rsidR="00324B33" w:rsidRPr="003A7A2D" w:rsidRDefault="00324B33" w:rsidP="00324B33">
      <w:pPr>
        <w:pStyle w:val="Heading3"/>
      </w:pPr>
      <w:bookmarkStart w:id="14" w:name="_Toc247691503"/>
      <w:bookmarkStart w:id="15" w:name="_Toc314842484"/>
      <w:bookmarkStart w:id="16" w:name="_Toc103679290"/>
      <w:bookmarkStart w:id="17" w:name="_Toc174517595"/>
      <w:r w:rsidRPr="003A7A2D">
        <w:lastRenderedPageBreak/>
        <w:t>Product background</w:t>
      </w:r>
      <w:bookmarkEnd w:id="14"/>
      <w:bookmarkEnd w:id="15"/>
      <w:bookmarkEnd w:id="16"/>
      <w:bookmarkEnd w:id="17"/>
    </w:p>
    <w:p w14:paraId="59BF31D1" w14:textId="31BF9DCF" w:rsidR="001500A8" w:rsidRPr="003A7A2D" w:rsidRDefault="00324B33" w:rsidP="00065839">
      <w:r w:rsidRPr="003A7A2D">
        <w:t xml:space="preserve">This AusPAR describes the submission by </w:t>
      </w:r>
      <w:r w:rsidR="00E06041" w:rsidRPr="003A7A2D">
        <w:t xml:space="preserve">Teva Pharma Australia Pty Ltd </w:t>
      </w:r>
      <w:r w:rsidRPr="003A7A2D">
        <w:t xml:space="preserve">(the </w:t>
      </w:r>
      <w:r w:rsidR="00C04BB6">
        <w:t>Sponsor</w:t>
      </w:r>
      <w:r w:rsidRPr="003A7A2D">
        <w:t xml:space="preserve">) to register </w:t>
      </w:r>
      <w:r w:rsidR="002B1097" w:rsidRPr="002B1097">
        <w:t xml:space="preserve">Radicava </w:t>
      </w:r>
      <w:r w:rsidRPr="003A7A2D">
        <w:t>(</w:t>
      </w:r>
      <w:r w:rsidR="00E06041" w:rsidRPr="003A7A2D">
        <w:t xml:space="preserve">edaravone) </w:t>
      </w:r>
      <w:r w:rsidRPr="003A7A2D">
        <w:t>for the following proposed indication:</w:t>
      </w:r>
      <w:r w:rsidR="00D63760" w:rsidRPr="003A7A2D">
        <w:rPr>
          <w:vertAlign w:val="superscript"/>
        </w:rPr>
        <w:footnoteReference w:id="2"/>
      </w:r>
    </w:p>
    <w:p w14:paraId="0E33BC8E" w14:textId="430FEB56" w:rsidR="00E06041" w:rsidRPr="003A7A2D" w:rsidRDefault="002B1097" w:rsidP="00E06041">
      <w:pPr>
        <w:ind w:firstLine="720"/>
        <w:rPr>
          <w:i/>
          <w:iCs/>
        </w:rPr>
      </w:pPr>
      <w:r w:rsidRPr="002B1097">
        <w:rPr>
          <w:i/>
          <w:iCs/>
        </w:rPr>
        <w:t xml:space="preserve">Radicava </w:t>
      </w:r>
      <w:r w:rsidR="00E06041" w:rsidRPr="003A7A2D">
        <w:rPr>
          <w:i/>
          <w:iCs/>
        </w:rPr>
        <w:t>is indicated for the treatment of amyotrophic lateral sclerosis.</w:t>
      </w:r>
    </w:p>
    <w:p w14:paraId="1E63A2AE" w14:textId="24DFD5CA" w:rsidR="00CB6813" w:rsidRPr="003A7A2D" w:rsidRDefault="00554D4A" w:rsidP="00CB6813">
      <w:pPr>
        <w:pStyle w:val="Heading4"/>
      </w:pPr>
      <w:bookmarkStart w:id="18" w:name="_Toc314842485"/>
      <w:bookmarkStart w:id="19" w:name="_Toc247691504"/>
      <w:bookmarkStart w:id="20" w:name="_Toc174517596"/>
      <w:r>
        <w:t>A</w:t>
      </w:r>
      <w:r w:rsidRPr="00554D4A">
        <w:t>myotrophic lateral sclerosis</w:t>
      </w:r>
      <w:r w:rsidR="00B67C8D">
        <w:t xml:space="preserve"> (ALS)</w:t>
      </w:r>
      <w:bookmarkEnd w:id="20"/>
    </w:p>
    <w:p w14:paraId="6593AC8E" w14:textId="54CCB234" w:rsidR="00E06041" w:rsidRPr="003A7A2D" w:rsidRDefault="00E06041" w:rsidP="00E06041">
      <w:bookmarkStart w:id="21" w:name="_Hlk169231277"/>
      <w:r w:rsidRPr="003A7A2D">
        <w:t xml:space="preserve">Amyotrophic lateral sclerosis (ALS) is the most common form of motor neuron disease (MND), </w:t>
      </w:r>
      <w:bookmarkEnd w:id="21"/>
      <w:r w:rsidRPr="003A7A2D">
        <w:t xml:space="preserve">a </w:t>
      </w:r>
      <w:r w:rsidR="00EA2A6F">
        <w:t xml:space="preserve">progressive, </w:t>
      </w:r>
      <w:r w:rsidRPr="003A7A2D">
        <w:t>degenerative disease of the central nervous system</w:t>
      </w:r>
      <w:r w:rsidR="00A559B0">
        <w:t xml:space="preserve"> (CNS)</w:t>
      </w:r>
      <w:r w:rsidRPr="003A7A2D">
        <w:t xml:space="preserve"> that primarily involves motor neurons (and their supporting astrocytes). Amyotrophic lateral sclerosis is a rare disease, with an estimated prevalence in Australia of 8.7 per 100,000.</w:t>
      </w:r>
    </w:p>
    <w:p w14:paraId="6D4FABCF" w14:textId="7C015471" w:rsidR="00E06041" w:rsidRPr="003A7A2D" w:rsidRDefault="00E06041" w:rsidP="00E06041">
      <w:r w:rsidRPr="003A7A2D">
        <w:t xml:space="preserve">The primary neural pathway from </w:t>
      </w:r>
      <w:r w:rsidR="00EA2A6F">
        <w:t xml:space="preserve">the </w:t>
      </w:r>
      <w:r w:rsidRPr="003A7A2D">
        <w:t>motor cortex to muscle involves two tiers of neurons: cortical neurons in the motor cortex (</w:t>
      </w:r>
      <w:bookmarkStart w:id="22" w:name="_Hlk169231295"/>
      <w:r w:rsidRPr="003A7A2D">
        <w:t>upper motor neurons, UMN</w:t>
      </w:r>
      <w:bookmarkEnd w:id="22"/>
      <w:r w:rsidRPr="003A7A2D">
        <w:t>) and neurons in the anterior horn of the grey matter of the spinal cord (</w:t>
      </w:r>
      <w:bookmarkStart w:id="23" w:name="_Hlk169231301"/>
      <w:r w:rsidRPr="003A7A2D">
        <w:t>lower motor neurons, LMN</w:t>
      </w:r>
      <w:bookmarkEnd w:id="23"/>
      <w:r w:rsidRPr="003A7A2D">
        <w:t>). Both groups of neurons are affected in ALS, with involvement of the LMN causing atrophy of muscles (amyotrophy) and involvement of the UMN causing sclerosis of the lateral cortical spinal tract. The clinical picture of ALS consists of wasting and fasciculation of muscles, due to LMN involvement, as well as stiffness and spasticity, due to UMN involvement, with weakness resulting from both UMN and LMN involvement.</w:t>
      </w:r>
    </w:p>
    <w:p w14:paraId="247F1771" w14:textId="5A11641E" w:rsidR="00E06041" w:rsidRPr="003A7A2D" w:rsidRDefault="00E06041" w:rsidP="00E06041">
      <w:r w:rsidRPr="003A7A2D">
        <w:t>Involvement of the motor system may be patchy and asymmetrical, especially during the early phases, with variable involvement of the limbs, face, oropharyngeal muscles, axial muscles, and respiratory muscles. The diagnosis requires demonstration of upper and lower motor neuron pathology in multiple body regions, using clinical examination</w:t>
      </w:r>
      <w:r w:rsidR="00A559B0">
        <w:t>,</w:t>
      </w:r>
      <w:r w:rsidRPr="003A7A2D">
        <w:t xml:space="preserve"> electromyography</w:t>
      </w:r>
      <w:r w:rsidR="00A559B0">
        <w:t xml:space="preserve"> and nerve conduction studies</w:t>
      </w:r>
      <w:r w:rsidRPr="003A7A2D">
        <w:t>, along with exclusion of other potential causes such as spinal cord compression, space-occupying lesions in the central nervous system, and motor neuropathies.</w:t>
      </w:r>
    </w:p>
    <w:p w14:paraId="3AB30B9D" w14:textId="683AB07B" w:rsidR="00E06041" w:rsidRPr="003A7A2D" w:rsidRDefault="00A559B0" w:rsidP="00E06041">
      <w:r>
        <w:t xml:space="preserve">ALS </w:t>
      </w:r>
      <w:r w:rsidR="00E06041" w:rsidRPr="003A7A2D">
        <w:t xml:space="preserve">is a fatal condition. Median survival times are usually reported as 2 to 3 years from the diagnosis (or 3 to 4 years from the first onset of symptom), and only approximately </w:t>
      </w:r>
      <w:r>
        <w:t>5-</w:t>
      </w:r>
      <w:r w:rsidR="00E06041" w:rsidRPr="003A7A2D">
        <w:t xml:space="preserve">10% of ALS patients live over 10 years from onset. Affected patients require increasing support with activities of daily living, with eventual loss of ambulation, feeding, and communication. As the </w:t>
      </w:r>
      <w:r w:rsidR="00E06041" w:rsidRPr="003A7A2D">
        <w:lastRenderedPageBreak/>
        <w:t>disease progresses, weakness becomes more severe and widespread, commonly resulting in death from respiratory failure or as a complication of prolonged immobility.</w:t>
      </w:r>
    </w:p>
    <w:p w14:paraId="02CB1B86" w14:textId="2F8DA10D" w:rsidR="00E06041" w:rsidRPr="003A7A2D" w:rsidRDefault="00E06041" w:rsidP="00E06041">
      <w:r w:rsidRPr="003A7A2D">
        <w:t xml:space="preserve">Involvement of other CNS neurons may cause cognitive impairment or other neurological deficits in addition to the progressive weakness, but weakness is the main symptom in all patients. It has been estimated that approximately 20% of individuals with ALS also develop </w:t>
      </w:r>
      <w:bookmarkStart w:id="24" w:name="_Hlk169231319"/>
      <w:proofErr w:type="spellStart"/>
      <w:r w:rsidRPr="003A7A2D">
        <w:t>fronto</w:t>
      </w:r>
      <w:proofErr w:type="spellEnd"/>
      <w:r w:rsidRPr="003A7A2D">
        <w:t xml:space="preserve">-temporal dementia (FTD), </w:t>
      </w:r>
      <w:bookmarkEnd w:id="24"/>
      <w:r w:rsidRPr="003A7A2D">
        <w:t>leading to changes in personality and behaviour. A small proportion of patients also develop Parkinsonism.</w:t>
      </w:r>
    </w:p>
    <w:p w14:paraId="32755C3E" w14:textId="4AC8A307" w:rsidR="37CA8D36" w:rsidRDefault="2630F22B">
      <w:r>
        <w:t>Latest research suggests that 10-15% of ALS patients have familial ALS, which has been attributed to seve</w:t>
      </w:r>
      <w:r w:rsidR="4DF80B18">
        <w:t>ral different gene mutations, e.g. the mutation of the superoxide dismutase (SOD1) gene is known to cause ALS in humans as well as ALS</w:t>
      </w:r>
      <w:r w:rsidR="2E21282D">
        <w:t>-like syndromes in animal models.</w:t>
      </w:r>
    </w:p>
    <w:p w14:paraId="7DA2ABBE" w14:textId="2DC1ADCA" w:rsidR="445E4122" w:rsidRDefault="2E21282D">
      <w:r>
        <w:t>However, ALS usually occurs as a sporadic disease, the cause of which is unknown but is suspected to involve a combination of genetic and environmental factors. These factors might include ph</w:t>
      </w:r>
      <w:r w:rsidR="52361FC6">
        <w:t>ysical trauma or exercise, aging and exposure to environmental toxins. Oxidative stress</w:t>
      </w:r>
      <w:r w:rsidR="52C7DC40">
        <w:t>, which can lead to tissue and cell damage,</w:t>
      </w:r>
      <w:r w:rsidR="52361FC6">
        <w:t xml:space="preserve"> has been implicated </w:t>
      </w:r>
      <w:r w:rsidR="0B5E1D0A">
        <w:t xml:space="preserve">in the pathogenesis of ALS, but the extent to which oxidative stress contributes to the disease progression remains unclear. </w:t>
      </w:r>
    </w:p>
    <w:p w14:paraId="255E083A" w14:textId="2F2EEFA8" w:rsidR="00CB6813" w:rsidRPr="003A7A2D" w:rsidRDefault="00CB6813" w:rsidP="00CB6813">
      <w:pPr>
        <w:pStyle w:val="Heading4"/>
      </w:pPr>
      <w:bookmarkStart w:id="25" w:name="_Toc174517597"/>
      <w:r w:rsidRPr="003A7A2D">
        <w:t>Current treatment options</w:t>
      </w:r>
      <w:r w:rsidR="00B67C8D">
        <w:t xml:space="preserve"> for ALS</w:t>
      </w:r>
      <w:bookmarkEnd w:id="25"/>
    </w:p>
    <w:p w14:paraId="1B401DA0" w14:textId="67683E9F" w:rsidR="00E06041" w:rsidRPr="003A7A2D" w:rsidRDefault="00E06041" w:rsidP="00E06041">
      <w:r w:rsidRPr="003A7A2D">
        <w:t xml:space="preserve">In Australia, the only </w:t>
      </w:r>
      <w:r w:rsidR="00A559B0">
        <w:t>PBS-listed</w:t>
      </w:r>
      <w:r w:rsidRPr="003A7A2D">
        <w:t xml:space="preserve"> treatment for ALS is riluzole, which is thought to block the release of glutamate from neurons and thereby reduce excitotoxic damage to motor neurons. Riluzole has been shown to have only a modest survival benefit in ALS. The main study leading to its registration and subsequent meta-analyses suggested that riluzole typically extends survival by 2 to 3 months and increases the chance of an additional year of survival by approximately 9%.</w:t>
      </w:r>
    </w:p>
    <w:p w14:paraId="05BD4969" w14:textId="1772D74F" w:rsidR="00E06041" w:rsidRPr="003A7A2D" w:rsidRDefault="00E06041" w:rsidP="00E06041">
      <w:r w:rsidRPr="003A7A2D">
        <w:t>Other treatments for ALS are based on symptom relief and management of complications. These measures include, where appropriate: analgesia, non-invasive and invasive respiratory support, tube feeding, walking aids and wheelchairs, devices to assist communication, treatment of infections, and other elements of supportive and palliative care.</w:t>
      </w:r>
    </w:p>
    <w:p w14:paraId="1ED4DA4E" w14:textId="2BBA9F42" w:rsidR="00E06041" w:rsidRPr="003A7A2D" w:rsidRDefault="00E06041" w:rsidP="00E06041">
      <w:r w:rsidRPr="003A7A2D">
        <w:t>Currently, ALS is an incurable, devastating condition with a very poor prognosis. There is an unmet need for safe and effective treatments for this condition.</w:t>
      </w:r>
    </w:p>
    <w:p w14:paraId="37C47E09" w14:textId="6D18DBBA" w:rsidR="00CB6813" w:rsidRPr="003A7A2D" w:rsidRDefault="00CB6813" w:rsidP="00CB6813">
      <w:pPr>
        <w:pStyle w:val="Heading4"/>
      </w:pPr>
      <w:bookmarkStart w:id="26" w:name="_Toc174517598"/>
      <w:r w:rsidRPr="003A7A2D">
        <w:t>Clinical rational</w:t>
      </w:r>
      <w:r w:rsidR="0025785B" w:rsidRPr="003A7A2D">
        <w:t>e</w:t>
      </w:r>
      <w:r w:rsidR="00B67C8D">
        <w:t xml:space="preserve"> for Radicava use in ALS</w:t>
      </w:r>
      <w:bookmarkEnd w:id="26"/>
    </w:p>
    <w:p w14:paraId="21185685" w14:textId="03A9B578" w:rsidR="00E06041" w:rsidRPr="003A7A2D" w:rsidRDefault="002B1097" w:rsidP="00E06041">
      <w:r>
        <w:t>Radicava</w:t>
      </w:r>
      <w:r w:rsidR="00E06041" w:rsidRPr="003A7A2D">
        <w:t xml:space="preserve"> (edaravone) is a free radical scavenger developed as a neuroprotectant. The </w:t>
      </w:r>
      <w:r w:rsidR="00C04BB6">
        <w:t>Sponsor</w:t>
      </w:r>
      <w:r w:rsidR="00E06041" w:rsidRPr="003A7A2D">
        <w:t>’s rationale for developing edaravone for the treatment of ALS is based on protection of neuronal cell damage against high oxidative stress.</w:t>
      </w:r>
    </w:p>
    <w:p w14:paraId="0D615854" w14:textId="77777777" w:rsidR="00324B33" w:rsidRPr="003A7A2D" w:rsidRDefault="00324B33" w:rsidP="00324B33">
      <w:pPr>
        <w:pStyle w:val="Heading3"/>
      </w:pPr>
      <w:bookmarkStart w:id="27" w:name="_Toc103679291"/>
      <w:bookmarkStart w:id="28" w:name="_Toc174517599"/>
      <w:r w:rsidRPr="003A7A2D">
        <w:t>Regulatory status</w:t>
      </w:r>
      <w:bookmarkEnd w:id="18"/>
      <w:bookmarkEnd w:id="19"/>
      <w:bookmarkEnd w:id="27"/>
      <w:bookmarkEnd w:id="28"/>
    </w:p>
    <w:p w14:paraId="72C889D6" w14:textId="7E200950" w:rsidR="0017005C" w:rsidRPr="003A7A2D" w:rsidRDefault="0017005C" w:rsidP="00741AB9">
      <w:pPr>
        <w:pStyle w:val="Heading4"/>
      </w:pPr>
      <w:bookmarkStart w:id="29" w:name="_Toc174517600"/>
      <w:r w:rsidRPr="003A7A2D">
        <w:t>Australian regulatory sta</w:t>
      </w:r>
      <w:r w:rsidR="0025785B" w:rsidRPr="003A7A2D">
        <w:t>t</w:t>
      </w:r>
      <w:r w:rsidRPr="003A7A2D">
        <w:t>us</w:t>
      </w:r>
      <w:bookmarkEnd w:id="29"/>
    </w:p>
    <w:p w14:paraId="6A8633FA" w14:textId="69B10C88" w:rsidR="00324B33" w:rsidRPr="003A7A2D" w:rsidRDefault="00324B33" w:rsidP="00324B33">
      <w:pPr>
        <w:rPr>
          <w:szCs w:val="22"/>
        </w:rPr>
      </w:pPr>
      <w:r w:rsidRPr="003A7A2D">
        <w:rPr>
          <w:szCs w:val="22"/>
        </w:rPr>
        <w:t>This product is considered a new chemical</w:t>
      </w:r>
      <w:r w:rsidR="008C754C" w:rsidRPr="003A7A2D">
        <w:rPr>
          <w:szCs w:val="22"/>
        </w:rPr>
        <w:t xml:space="preserve"> entity</w:t>
      </w:r>
      <w:r w:rsidRPr="003A7A2D">
        <w:rPr>
          <w:szCs w:val="22"/>
        </w:rPr>
        <w:t xml:space="preserve"> for Australian regulatory purposes.</w:t>
      </w:r>
    </w:p>
    <w:p w14:paraId="3AE785D8" w14:textId="32333200" w:rsidR="00E06041" w:rsidRPr="003A7A2D" w:rsidRDefault="00E06041" w:rsidP="00E06041">
      <w:pPr>
        <w:rPr>
          <w:lang w:val="en-US"/>
        </w:rPr>
      </w:pPr>
      <w:r w:rsidRPr="003A7A2D">
        <w:rPr>
          <w:lang w:val="en-US"/>
        </w:rPr>
        <w:t xml:space="preserve">This is the first application to register edaravone in Australia. </w:t>
      </w:r>
      <w:r w:rsidR="002B1097">
        <w:rPr>
          <w:lang w:val="en-US"/>
        </w:rPr>
        <w:t>Radicava</w:t>
      </w:r>
      <w:r w:rsidRPr="003A7A2D">
        <w:rPr>
          <w:lang w:val="en-US"/>
        </w:rPr>
        <w:t xml:space="preserve"> (edaravone) was designated as an orphan drug for the treatment of amyotrophic lateral sclerosis on 17 August 2021. The application for registration of </w:t>
      </w:r>
      <w:r w:rsidR="002B1097">
        <w:rPr>
          <w:lang w:val="en-US"/>
        </w:rPr>
        <w:t>Radicava</w:t>
      </w:r>
      <w:r w:rsidRPr="003A7A2D">
        <w:rPr>
          <w:lang w:val="en-US"/>
        </w:rPr>
        <w:t xml:space="preserve"> was submitted on 24 September 2021.  </w:t>
      </w:r>
    </w:p>
    <w:p w14:paraId="546C1031" w14:textId="5BAB9E2C" w:rsidR="0017005C" w:rsidRPr="003A7A2D" w:rsidRDefault="0017005C" w:rsidP="0017005C">
      <w:pPr>
        <w:pStyle w:val="Heading4"/>
      </w:pPr>
      <w:bookmarkStart w:id="30" w:name="_Toc174517601"/>
      <w:r w:rsidRPr="003A7A2D">
        <w:lastRenderedPageBreak/>
        <w:t>Foreign regulatory status</w:t>
      </w:r>
      <w:bookmarkEnd w:id="30"/>
    </w:p>
    <w:p w14:paraId="7FDF4A0B" w14:textId="737EC420" w:rsidR="008F4A62" w:rsidRPr="003A7A2D" w:rsidRDefault="008F4A62" w:rsidP="008F4A62">
      <w:r w:rsidRPr="003A7A2D">
        <w:rPr>
          <w:szCs w:val="22"/>
        </w:rPr>
        <w:t>At the time the TGA considered this submission, a similar submission had been considered by other regulatory agencies. The following table summarises these submissions and provides the indications where approved.</w:t>
      </w:r>
    </w:p>
    <w:p w14:paraId="19B9E0AC" w14:textId="41F30FFC" w:rsidR="00324B33" w:rsidRPr="003A7A2D" w:rsidRDefault="00324B33" w:rsidP="00324B33">
      <w:pPr>
        <w:pStyle w:val="TableTitle"/>
      </w:pPr>
      <w:bookmarkStart w:id="31" w:name="_Ref99705479"/>
      <w:r w:rsidRPr="003A7A2D">
        <w:t xml:space="preserve">Table </w:t>
      </w:r>
      <w:r w:rsidR="00C451A8">
        <w:fldChar w:fldCharType="begin"/>
      </w:r>
      <w:r w:rsidR="00C451A8">
        <w:instrText xml:space="preserve"> SEQ Table \* ARABIC </w:instrText>
      </w:r>
      <w:r w:rsidR="00C451A8">
        <w:fldChar w:fldCharType="separate"/>
      </w:r>
      <w:r w:rsidR="008B1CB5" w:rsidRPr="003A7A2D">
        <w:rPr>
          <w:noProof/>
        </w:rPr>
        <w:t>1</w:t>
      </w:r>
      <w:r w:rsidR="00C451A8">
        <w:rPr>
          <w:noProof/>
        </w:rPr>
        <w:fldChar w:fldCharType="end"/>
      </w:r>
      <w:bookmarkEnd w:id="31"/>
      <w:r w:rsidRPr="003A7A2D">
        <w:t>: International regulatory status</w:t>
      </w:r>
      <w:r w:rsidR="007A3E09" w:rsidRPr="003A7A2D">
        <w:t xml:space="preserve"> at the time of product registration.</w:t>
      </w:r>
    </w:p>
    <w:tbl>
      <w:tblPr>
        <w:tblStyle w:val="TableTGAblue2023"/>
        <w:tblW w:w="5000" w:type="pct"/>
        <w:tblLook w:val="04A0" w:firstRow="1" w:lastRow="0" w:firstColumn="1" w:lastColumn="0" w:noHBand="0" w:noVBand="1"/>
      </w:tblPr>
      <w:tblGrid>
        <w:gridCol w:w="1825"/>
        <w:gridCol w:w="2459"/>
        <w:gridCol w:w="1972"/>
        <w:gridCol w:w="2804"/>
      </w:tblGrid>
      <w:tr w:rsidR="00324B33" w:rsidRPr="003A7A2D" w14:paraId="405E5D78" w14:textId="16839333" w:rsidTr="00E66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pct"/>
          </w:tcPr>
          <w:p w14:paraId="185B099B" w14:textId="7A4C0E6C" w:rsidR="00324B33" w:rsidRPr="003A7A2D" w:rsidRDefault="00324B33" w:rsidP="00324B33">
            <w:pPr>
              <w:rPr>
                <w:szCs w:val="22"/>
              </w:rPr>
            </w:pPr>
            <w:r w:rsidRPr="003A7A2D">
              <w:rPr>
                <w:szCs w:val="22"/>
              </w:rPr>
              <w:t>Region</w:t>
            </w:r>
          </w:p>
        </w:tc>
        <w:tc>
          <w:tcPr>
            <w:tcW w:w="1373" w:type="pct"/>
          </w:tcPr>
          <w:p w14:paraId="778C35C7" w14:textId="52D23C85" w:rsidR="00324B33" w:rsidRPr="003A7A2D"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3A7A2D">
              <w:rPr>
                <w:szCs w:val="22"/>
              </w:rPr>
              <w:t>Submission date</w:t>
            </w:r>
          </w:p>
        </w:tc>
        <w:tc>
          <w:tcPr>
            <w:tcW w:w="1041" w:type="pct"/>
          </w:tcPr>
          <w:p w14:paraId="58F81584" w14:textId="66689ABF" w:rsidR="00324B33" w:rsidRPr="003A7A2D"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3A7A2D">
              <w:rPr>
                <w:szCs w:val="22"/>
              </w:rPr>
              <w:t>Status</w:t>
            </w:r>
          </w:p>
        </w:tc>
        <w:tc>
          <w:tcPr>
            <w:tcW w:w="1564" w:type="pct"/>
          </w:tcPr>
          <w:p w14:paraId="50B2D435" w14:textId="560588D2" w:rsidR="00324B33" w:rsidRPr="002F22E2" w:rsidRDefault="00324B33" w:rsidP="00324B33">
            <w:pPr>
              <w:cnfStyle w:val="100000000000" w:firstRow="1" w:lastRow="0" w:firstColumn="0" w:lastColumn="0" w:oddVBand="0" w:evenVBand="0" w:oddHBand="0" w:evenHBand="0" w:firstRowFirstColumn="0" w:firstRowLastColumn="0" w:lastRowFirstColumn="0" w:lastRowLastColumn="0"/>
              <w:rPr>
                <w:i/>
                <w:iCs/>
                <w:szCs w:val="22"/>
              </w:rPr>
            </w:pPr>
            <w:r w:rsidRPr="002F22E2">
              <w:rPr>
                <w:i/>
                <w:iCs/>
                <w:szCs w:val="22"/>
              </w:rPr>
              <w:t>Approved indications</w:t>
            </w:r>
          </w:p>
        </w:tc>
      </w:tr>
      <w:tr w:rsidR="00E06041" w:rsidRPr="003A7A2D" w14:paraId="38D24E86" w14:textId="77777777" w:rsidTr="00E66535">
        <w:trPr>
          <w:trHeight w:val="345"/>
        </w:trPr>
        <w:tc>
          <w:tcPr>
            <w:cnfStyle w:val="001000000000" w:firstRow="0" w:lastRow="0" w:firstColumn="1" w:lastColumn="0" w:oddVBand="0" w:evenVBand="0" w:oddHBand="0" w:evenHBand="0" w:firstRowFirstColumn="0" w:firstRowLastColumn="0" w:lastRowFirstColumn="0" w:lastRowLastColumn="0"/>
            <w:tcW w:w="1023" w:type="pct"/>
            <w:vMerge w:val="restart"/>
          </w:tcPr>
          <w:p w14:paraId="4C540DE5" w14:textId="451470BA" w:rsidR="00E06041" w:rsidRPr="003A7A2D" w:rsidRDefault="00E06041" w:rsidP="00324B33">
            <w:pPr>
              <w:rPr>
                <w:szCs w:val="22"/>
              </w:rPr>
            </w:pPr>
            <w:r w:rsidRPr="003A7A2D">
              <w:rPr>
                <w:szCs w:val="22"/>
              </w:rPr>
              <w:t>Japan</w:t>
            </w:r>
          </w:p>
        </w:tc>
        <w:tc>
          <w:tcPr>
            <w:tcW w:w="1373" w:type="pct"/>
          </w:tcPr>
          <w:p w14:paraId="7D59E6CE" w14:textId="77777777" w:rsidR="00E06041"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31 March 1998</w:t>
            </w:r>
            <w:r w:rsidR="00E66535">
              <w:rPr>
                <w:szCs w:val="22"/>
              </w:rPr>
              <w:t>*</w:t>
            </w:r>
          </w:p>
          <w:p w14:paraId="4FA5DDA9" w14:textId="6151B569" w:rsidR="00E66535" w:rsidRPr="003A7A2D" w:rsidRDefault="00E6653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December 2008</w:t>
            </w:r>
            <w:r w:rsidRPr="00E66535">
              <w:rPr>
                <w:szCs w:val="22"/>
                <w:vertAlign w:val="superscript"/>
              </w:rPr>
              <w:t>#</w:t>
            </w:r>
          </w:p>
        </w:tc>
        <w:tc>
          <w:tcPr>
            <w:tcW w:w="1041" w:type="pct"/>
          </w:tcPr>
          <w:p w14:paraId="3F0C096B" w14:textId="77777777" w:rsidR="00E06041"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Approved on 4 April 2001</w:t>
            </w:r>
            <w:r w:rsidR="00F2194C">
              <w:rPr>
                <w:szCs w:val="22"/>
              </w:rPr>
              <w:t>*</w:t>
            </w:r>
          </w:p>
          <w:p w14:paraId="29358393" w14:textId="3E00E8BD" w:rsidR="00E66535" w:rsidRPr="003A7A2D" w:rsidRDefault="00E66535" w:rsidP="00BC13AF">
            <w:pPr>
              <w:cnfStyle w:val="000000000000" w:firstRow="0" w:lastRow="0" w:firstColumn="0" w:lastColumn="0" w:oddVBand="0" w:evenVBand="0" w:oddHBand="0" w:evenHBand="0" w:firstRowFirstColumn="0" w:firstRowLastColumn="0" w:lastRowFirstColumn="0" w:lastRowLastColumn="0"/>
              <w:rPr>
                <w:szCs w:val="22"/>
              </w:rPr>
            </w:pPr>
            <w:r>
              <w:rPr>
                <w:szCs w:val="22"/>
              </w:rPr>
              <w:t>Approved on 15 January 2010</w:t>
            </w:r>
            <w:r w:rsidRPr="00E66535">
              <w:rPr>
                <w:szCs w:val="22"/>
                <w:vertAlign w:val="superscript"/>
              </w:rPr>
              <w:t>#</w:t>
            </w:r>
          </w:p>
        </w:tc>
        <w:tc>
          <w:tcPr>
            <w:tcW w:w="1564" w:type="pct"/>
          </w:tcPr>
          <w:p w14:paraId="05055674" w14:textId="287D8CFF" w:rsidR="00E06041" w:rsidRPr="002F22E2" w:rsidRDefault="00E06041" w:rsidP="00324B33">
            <w:pPr>
              <w:cnfStyle w:val="000000000000" w:firstRow="0" w:lastRow="0" w:firstColumn="0" w:lastColumn="0" w:oddVBand="0" w:evenVBand="0" w:oddHBand="0" w:evenHBand="0" w:firstRowFirstColumn="0" w:firstRowLastColumn="0" w:lastRowFirstColumn="0" w:lastRowLastColumn="0"/>
              <w:rPr>
                <w:i/>
                <w:iCs/>
                <w:szCs w:val="22"/>
              </w:rPr>
            </w:pPr>
            <w:r w:rsidRPr="002F22E2">
              <w:rPr>
                <w:i/>
                <w:iCs/>
                <w:szCs w:val="22"/>
              </w:rPr>
              <w:t>Improvement of neurological symptoms, disorder of activities of daily living, and functional disorder associated with acute ischaemic stroke</w:t>
            </w:r>
          </w:p>
        </w:tc>
      </w:tr>
      <w:tr w:rsidR="00E06041" w:rsidRPr="003A7A2D" w14:paraId="1195713F" w14:textId="77777777" w:rsidTr="00E66535">
        <w:trPr>
          <w:trHeight w:val="345"/>
        </w:trPr>
        <w:tc>
          <w:tcPr>
            <w:cnfStyle w:val="001000000000" w:firstRow="0" w:lastRow="0" w:firstColumn="1" w:lastColumn="0" w:oddVBand="0" w:evenVBand="0" w:oddHBand="0" w:evenHBand="0" w:firstRowFirstColumn="0" w:firstRowLastColumn="0" w:lastRowFirstColumn="0" w:lastRowLastColumn="0"/>
            <w:tcW w:w="1023" w:type="pct"/>
            <w:vMerge/>
          </w:tcPr>
          <w:p w14:paraId="6F7EE7CD" w14:textId="77777777" w:rsidR="00E06041" w:rsidRPr="003A7A2D" w:rsidRDefault="00E06041" w:rsidP="00324B33">
            <w:pPr>
              <w:rPr>
                <w:szCs w:val="22"/>
              </w:rPr>
            </w:pPr>
          </w:p>
        </w:tc>
        <w:tc>
          <w:tcPr>
            <w:tcW w:w="1373" w:type="pct"/>
          </w:tcPr>
          <w:p w14:paraId="728F88EC" w14:textId="0AE9DBA6" w:rsidR="00E06041" w:rsidRPr="003A7A2D"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29 October 2014</w:t>
            </w:r>
            <w:r w:rsidR="00E66535">
              <w:rPr>
                <w:szCs w:val="22"/>
              </w:rPr>
              <w:t>*</w:t>
            </w:r>
            <w:r w:rsidR="00E66535" w:rsidRPr="00E66535">
              <w:rPr>
                <w:szCs w:val="22"/>
                <w:vertAlign w:val="superscript"/>
              </w:rPr>
              <w:t>#</w:t>
            </w:r>
          </w:p>
        </w:tc>
        <w:tc>
          <w:tcPr>
            <w:tcW w:w="1041" w:type="pct"/>
          </w:tcPr>
          <w:p w14:paraId="0784C3D8" w14:textId="1F4E7792" w:rsidR="00E06041" w:rsidRPr="003A7A2D"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Approved on 26 June 2015</w:t>
            </w:r>
            <w:r w:rsidR="00F2194C">
              <w:rPr>
                <w:szCs w:val="22"/>
              </w:rPr>
              <w:t>*</w:t>
            </w:r>
            <w:r w:rsidR="00E66535" w:rsidRPr="00E66535">
              <w:rPr>
                <w:szCs w:val="22"/>
                <w:vertAlign w:val="superscript"/>
              </w:rPr>
              <w:t>#</w:t>
            </w:r>
          </w:p>
        </w:tc>
        <w:tc>
          <w:tcPr>
            <w:tcW w:w="1564" w:type="pct"/>
          </w:tcPr>
          <w:p w14:paraId="0B59DD8F" w14:textId="32E64829" w:rsidR="00E06041" w:rsidRPr="002F22E2" w:rsidRDefault="00E06041" w:rsidP="00324B33">
            <w:pPr>
              <w:cnfStyle w:val="000000000000" w:firstRow="0" w:lastRow="0" w:firstColumn="0" w:lastColumn="0" w:oddVBand="0" w:evenVBand="0" w:oddHBand="0" w:evenHBand="0" w:firstRowFirstColumn="0" w:firstRowLastColumn="0" w:lastRowFirstColumn="0" w:lastRowLastColumn="0"/>
              <w:rPr>
                <w:i/>
                <w:iCs/>
                <w:szCs w:val="22"/>
              </w:rPr>
            </w:pPr>
            <w:r w:rsidRPr="002F22E2">
              <w:rPr>
                <w:i/>
                <w:iCs/>
                <w:szCs w:val="22"/>
              </w:rPr>
              <w:t>Inhibition on progression of functional disorder in patients with amyotrophic lateral sclerosis (ALS)</w:t>
            </w:r>
          </w:p>
        </w:tc>
      </w:tr>
      <w:tr w:rsidR="00324B33" w:rsidRPr="003A7A2D" w14:paraId="18B6E2AA" w14:textId="7783D66F" w:rsidTr="00E66535">
        <w:tc>
          <w:tcPr>
            <w:cnfStyle w:val="001000000000" w:firstRow="0" w:lastRow="0" w:firstColumn="1" w:lastColumn="0" w:oddVBand="0" w:evenVBand="0" w:oddHBand="0" w:evenHBand="0" w:firstRowFirstColumn="0" w:firstRowLastColumn="0" w:lastRowFirstColumn="0" w:lastRowLastColumn="0"/>
            <w:tcW w:w="1023" w:type="pct"/>
          </w:tcPr>
          <w:p w14:paraId="7F348960" w14:textId="0A7C493C" w:rsidR="00324B33" w:rsidRPr="003A7A2D" w:rsidRDefault="00E06041" w:rsidP="00324B33">
            <w:pPr>
              <w:rPr>
                <w:szCs w:val="22"/>
              </w:rPr>
            </w:pPr>
            <w:r w:rsidRPr="003A7A2D">
              <w:rPr>
                <w:szCs w:val="22"/>
              </w:rPr>
              <w:t>United States of America</w:t>
            </w:r>
          </w:p>
        </w:tc>
        <w:tc>
          <w:tcPr>
            <w:tcW w:w="1373" w:type="pct"/>
          </w:tcPr>
          <w:p w14:paraId="1D871E57" w14:textId="7193E50D" w:rsidR="00324B33" w:rsidRPr="003A7A2D"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16 June 2016</w:t>
            </w:r>
          </w:p>
        </w:tc>
        <w:tc>
          <w:tcPr>
            <w:tcW w:w="1041" w:type="pct"/>
          </w:tcPr>
          <w:p w14:paraId="63A3A9D3" w14:textId="3227BD67" w:rsidR="00324B33" w:rsidRPr="003A7A2D"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Approved on 5 May 2017</w:t>
            </w:r>
            <w:r w:rsidR="00F40A19" w:rsidRPr="00E66535">
              <w:rPr>
                <w:szCs w:val="22"/>
                <w:vertAlign w:val="superscript"/>
              </w:rPr>
              <w:t>#</w:t>
            </w:r>
          </w:p>
        </w:tc>
        <w:tc>
          <w:tcPr>
            <w:tcW w:w="1564" w:type="pct"/>
          </w:tcPr>
          <w:p w14:paraId="17C650B8" w14:textId="4A3C6464" w:rsidR="00324B33" w:rsidRPr="002F22E2" w:rsidRDefault="00E06041" w:rsidP="00324B33">
            <w:pPr>
              <w:cnfStyle w:val="000000000000" w:firstRow="0" w:lastRow="0" w:firstColumn="0" w:lastColumn="0" w:oddVBand="0" w:evenVBand="0" w:oddHBand="0" w:evenHBand="0" w:firstRowFirstColumn="0" w:firstRowLastColumn="0" w:lastRowFirstColumn="0" w:lastRowLastColumn="0"/>
              <w:rPr>
                <w:i/>
                <w:iCs/>
                <w:szCs w:val="22"/>
              </w:rPr>
            </w:pPr>
            <w:r w:rsidRPr="002F22E2">
              <w:rPr>
                <w:i/>
                <w:iCs/>
                <w:szCs w:val="22"/>
              </w:rPr>
              <w:t>Treatment of amyotrophic lateral sclerosis (ALS)</w:t>
            </w:r>
          </w:p>
        </w:tc>
      </w:tr>
      <w:tr w:rsidR="00E06041" w:rsidRPr="003A7A2D" w14:paraId="1B7809DB" w14:textId="77777777" w:rsidTr="00E66535">
        <w:tc>
          <w:tcPr>
            <w:cnfStyle w:val="001000000000" w:firstRow="0" w:lastRow="0" w:firstColumn="1" w:lastColumn="0" w:oddVBand="0" w:evenVBand="0" w:oddHBand="0" w:evenHBand="0" w:firstRowFirstColumn="0" w:firstRowLastColumn="0" w:lastRowFirstColumn="0" w:lastRowLastColumn="0"/>
            <w:tcW w:w="1023" w:type="pct"/>
          </w:tcPr>
          <w:p w14:paraId="072DBC21" w14:textId="56CE9161" w:rsidR="00E06041" w:rsidRPr="003A7A2D" w:rsidRDefault="00E06041" w:rsidP="00324B33">
            <w:pPr>
              <w:rPr>
                <w:szCs w:val="22"/>
              </w:rPr>
            </w:pPr>
            <w:r w:rsidRPr="003A7A2D">
              <w:rPr>
                <w:szCs w:val="22"/>
              </w:rPr>
              <w:t>Switzerland</w:t>
            </w:r>
          </w:p>
        </w:tc>
        <w:tc>
          <w:tcPr>
            <w:tcW w:w="1373" w:type="pct"/>
          </w:tcPr>
          <w:p w14:paraId="0096F8A9" w14:textId="0B3DA018" w:rsidR="00E06041" w:rsidRPr="003A7A2D"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29 August 2017</w:t>
            </w:r>
          </w:p>
        </w:tc>
        <w:tc>
          <w:tcPr>
            <w:tcW w:w="1041" w:type="pct"/>
          </w:tcPr>
          <w:p w14:paraId="3ACE277D" w14:textId="406CBA06" w:rsidR="00E06041" w:rsidRPr="003A7A2D"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Approved on 31 January 2019</w:t>
            </w:r>
            <w:r w:rsidR="00F40A19" w:rsidRPr="00E66535">
              <w:rPr>
                <w:szCs w:val="22"/>
                <w:vertAlign w:val="superscript"/>
              </w:rPr>
              <w:t>#</w:t>
            </w:r>
          </w:p>
        </w:tc>
        <w:tc>
          <w:tcPr>
            <w:tcW w:w="1564" w:type="pct"/>
          </w:tcPr>
          <w:p w14:paraId="11CDB3D1" w14:textId="76B72F6C" w:rsidR="00E06041" w:rsidRPr="002F22E2" w:rsidRDefault="00E06041" w:rsidP="00324B33">
            <w:pPr>
              <w:cnfStyle w:val="000000000000" w:firstRow="0" w:lastRow="0" w:firstColumn="0" w:lastColumn="0" w:oddVBand="0" w:evenVBand="0" w:oddHBand="0" w:evenHBand="0" w:firstRowFirstColumn="0" w:firstRowLastColumn="0" w:lastRowFirstColumn="0" w:lastRowLastColumn="0"/>
              <w:rPr>
                <w:i/>
                <w:iCs/>
                <w:szCs w:val="22"/>
              </w:rPr>
            </w:pPr>
            <w:r w:rsidRPr="002F22E2">
              <w:rPr>
                <w:i/>
                <w:iCs/>
                <w:szCs w:val="22"/>
              </w:rPr>
              <w:t>Treatment of amyotrophic lateral sclerosis (ALS)</w:t>
            </w:r>
          </w:p>
        </w:tc>
      </w:tr>
      <w:tr w:rsidR="00E06041" w:rsidRPr="003A7A2D" w14:paraId="6C08318A" w14:textId="77777777" w:rsidTr="00E66535">
        <w:tc>
          <w:tcPr>
            <w:cnfStyle w:val="001000000000" w:firstRow="0" w:lastRow="0" w:firstColumn="1" w:lastColumn="0" w:oddVBand="0" w:evenVBand="0" w:oddHBand="0" w:evenHBand="0" w:firstRowFirstColumn="0" w:firstRowLastColumn="0" w:lastRowFirstColumn="0" w:lastRowLastColumn="0"/>
            <w:tcW w:w="1023" w:type="pct"/>
          </w:tcPr>
          <w:p w14:paraId="671EE17C" w14:textId="762E1F63" w:rsidR="00E06041" w:rsidRPr="003A7A2D" w:rsidRDefault="00E06041" w:rsidP="00324B33">
            <w:pPr>
              <w:rPr>
                <w:szCs w:val="22"/>
              </w:rPr>
            </w:pPr>
            <w:r w:rsidRPr="003A7A2D">
              <w:rPr>
                <w:szCs w:val="22"/>
              </w:rPr>
              <w:t>Canada</w:t>
            </w:r>
          </w:p>
        </w:tc>
        <w:tc>
          <w:tcPr>
            <w:tcW w:w="1373" w:type="pct"/>
          </w:tcPr>
          <w:p w14:paraId="26BD4477" w14:textId="6E2079B0" w:rsidR="00E06041" w:rsidRPr="003A7A2D"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8 March 2018</w:t>
            </w:r>
          </w:p>
        </w:tc>
        <w:tc>
          <w:tcPr>
            <w:tcW w:w="1041" w:type="pct"/>
          </w:tcPr>
          <w:p w14:paraId="45F84AB8" w14:textId="238FD1D0" w:rsidR="00E06041" w:rsidRPr="003A7A2D"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Approved on 3 October 2018</w:t>
            </w:r>
            <w:r w:rsidR="00F40A19" w:rsidRPr="00E66535">
              <w:rPr>
                <w:szCs w:val="22"/>
                <w:vertAlign w:val="superscript"/>
              </w:rPr>
              <w:t>#</w:t>
            </w:r>
          </w:p>
        </w:tc>
        <w:tc>
          <w:tcPr>
            <w:tcW w:w="1564" w:type="pct"/>
          </w:tcPr>
          <w:p w14:paraId="6157453D" w14:textId="09FBA1F3" w:rsidR="00E06041" w:rsidRPr="002F22E2" w:rsidRDefault="00E06041" w:rsidP="00324B33">
            <w:pPr>
              <w:cnfStyle w:val="000000000000" w:firstRow="0" w:lastRow="0" w:firstColumn="0" w:lastColumn="0" w:oddVBand="0" w:evenVBand="0" w:oddHBand="0" w:evenHBand="0" w:firstRowFirstColumn="0" w:firstRowLastColumn="0" w:lastRowFirstColumn="0" w:lastRowLastColumn="0"/>
              <w:rPr>
                <w:i/>
                <w:iCs/>
                <w:szCs w:val="22"/>
              </w:rPr>
            </w:pPr>
            <w:r w:rsidRPr="002F22E2">
              <w:rPr>
                <w:i/>
                <w:iCs/>
                <w:szCs w:val="22"/>
              </w:rPr>
              <w:t>Treatment of amyotrophic lateral sclerosis (ALS)</w:t>
            </w:r>
          </w:p>
        </w:tc>
      </w:tr>
      <w:tr w:rsidR="00E06041" w:rsidRPr="003A7A2D" w14:paraId="0912CCC0" w14:textId="77777777" w:rsidTr="00E66535">
        <w:tc>
          <w:tcPr>
            <w:cnfStyle w:val="001000000000" w:firstRow="0" w:lastRow="0" w:firstColumn="1" w:lastColumn="0" w:oddVBand="0" w:evenVBand="0" w:oddHBand="0" w:evenHBand="0" w:firstRowFirstColumn="0" w:firstRowLastColumn="0" w:lastRowFirstColumn="0" w:lastRowLastColumn="0"/>
            <w:tcW w:w="1023" w:type="pct"/>
          </w:tcPr>
          <w:p w14:paraId="1D96662A" w14:textId="21DC78DF" w:rsidR="00E06041" w:rsidRPr="003A7A2D" w:rsidRDefault="00F2194C" w:rsidP="00324B33">
            <w:pPr>
              <w:rPr>
                <w:szCs w:val="22"/>
              </w:rPr>
            </w:pPr>
            <w:r w:rsidRPr="00F2194C">
              <w:rPr>
                <w:szCs w:val="22"/>
              </w:rPr>
              <w:t>South</w:t>
            </w:r>
            <w:r>
              <w:rPr>
                <w:szCs w:val="22"/>
              </w:rPr>
              <w:t xml:space="preserve"> Korea</w:t>
            </w:r>
            <w:r w:rsidR="00E66535" w:rsidRPr="00E66535">
              <w:rPr>
                <w:szCs w:val="22"/>
                <w:vertAlign w:val="superscript"/>
              </w:rPr>
              <w:t>†</w:t>
            </w:r>
          </w:p>
        </w:tc>
        <w:tc>
          <w:tcPr>
            <w:tcW w:w="1373" w:type="pct"/>
          </w:tcPr>
          <w:p w14:paraId="1B43940E" w14:textId="535986C2" w:rsidR="00E06041" w:rsidRDefault="00F2194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June 2015</w:t>
            </w:r>
            <w:r w:rsidR="00EA4AEF">
              <w:rPr>
                <w:szCs w:val="22"/>
              </w:rPr>
              <w:t>*</w:t>
            </w:r>
          </w:p>
          <w:p w14:paraId="2DDA1F04" w14:textId="58B901DD" w:rsidR="00EA4AEF" w:rsidRPr="003A7A2D" w:rsidRDefault="00EA4AE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25 June 2015</w:t>
            </w:r>
            <w:r w:rsidRPr="002F22E2">
              <w:rPr>
                <w:szCs w:val="22"/>
                <w:vertAlign w:val="superscript"/>
              </w:rPr>
              <w:t>#</w:t>
            </w:r>
          </w:p>
        </w:tc>
        <w:tc>
          <w:tcPr>
            <w:tcW w:w="1041" w:type="pct"/>
          </w:tcPr>
          <w:p w14:paraId="23E4BA6A" w14:textId="43ED65BD" w:rsidR="00EA4AEF" w:rsidRPr="003A7A2D" w:rsidRDefault="00F2194C" w:rsidP="00BC13AF">
            <w:pPr>
              <w:cnfStyle w:val="000000000000" w:firstRow="0" w:lastRow="0" w:firstColumn="0" w:lastColumn="0" w:oddVBand="0" w:evenVBand="0" w:oddHBand="0" w:evenHBand="0" w:firstRowFirstColumn="0" w:firstRowLastColumn="0" w:lastRowFirstColumn="0" w:lastRowLastColumn="0"/>
              <w:rPr>
                <w:szCs w:val="22"/>
              </w:rPr>
            </w:pPr>
            <w:r>
              <w:rPr>
                <w:szCs w:val="22"/>
              </w:rPr>
              <w:t>Approved on 18 December 2015</w:t>
            </w:r>
            <w:r w:rsidR="00E66535">
              <w:rPr>
                <w:szCs w:val="22"/>
              </w:rPr>
              <w:t>*</w:t>
            </w:r>
            <w:r w:rsidR="00EA4AEF" w:rsidRPr="002F22E2">
              <w:rPr>
                <w:szCs w:val="22"/>
                <w:vertAlign w:val="superscript"/>
              </w:rPr>
              <w:t>#</w:t>
            </w:r>
          </w:p>
        </w:tc>
        <w:tc>
          <w:tcPr>
            <w:tcW w:w="1564" w:type="pct"/>
          </w:tcPr>
          <w:p w14:paraId="18D045CF" w14:textId="472B07FC" w:rsidR="00E06041" w:rsidRPr="002F22E2" w:rsidRDefault="00F2194C" w:rsidP="00324B33">
            <w:pPr>
              <w:cnfStyle w:val="000000000000" w:firstRow="0" w:lastRow="0" w:firstColumn="0" w:lastColumn="0" w:oddVBand="0" w:evenVBand="0" w:oddHBand="0" w:evenHBand="0" w:firstRowFirstColumn="0" w:firstRowLastColumn="0" w:lastRowFirstColumn="0" w:lastRowLastColumn="0"/>
              <w:rPr>
                <w:i/>
                <w:iCs/>
                <w:szCs w:val="22"/>
              </w:rPr>
            </w:pPr>
            <w:r w:rsidRPr="002F22E2">
              <w:rPr>
                <w:i/>
                <w:iCs/>
                <w:szCs w:val="22"/>
              </w:rPr>
              <w:t>Delaying progression of functional disorder in patients with amyotrophic lateral sclerosis (ALS)</w:t>
            </w:r>
          </w:p>
        </w:tc>
      </w:tr>
      <w:tr w:rsidR="00F2194C" w:rsidRPr="003A7A2D" w14:paraId="37E4EF4A" w14:textId="77777777" w:rsidTr="00E66535">
        <w:tc>
          <w:tcPr>
            <w:cnfStyle w:val="001000000000" w:firstRow="0" w:lastRow="0" w:firstColumn="1" w:lastColumn="0" w:oddVBand="0" w:evenVBand="0" w:oddHBand="0" w:evenHBand="0" w:firstRowFirstColumn="0" w:firstRowLastColumn="0" w:lastRowFirstColumn="0" w:lastRowLastColumn="0"/>
            <w:tcW w:w="1023" w:type="pct"/>
          </w:tcPr>
          <w:p w14:paraId="0446B17A" w14:textId="0C753EA1" w:rsidR="00F2194C" w:rsidRPr="003A7A2D" w:rsidRDefault="00F2194C" w:rsidP="00F2194C">
            <w:pPr>
              <w:rPr>
                <w:szCs w:val="22"/>
              </w:rPr>
            </w:pPr>
            <w:r w:rsidRPr="00F2194C">
              <w:rPr>
                <w:szCs w:val="22"/>
              </w:rPr>
              <w:t>Indonesia</w:t>
            </w:r>
          </w:p>
        </w:tc>
        <w:tc>
          <w:tcPr>
            <w:tcW w:w="1373" w:type="pct"/>
          </w:tcPr>
          <w:p w14:paraId="27134BA5" w14:textId="537DA67E" w:rsidR="00F2194C" w:rsidRPr="003A7A2D" w:rsidRDefault="00F2194C" w:rsidP="00F2194C">
            <w:pPr>
              <w:cnfStyle w:val="000000000000" w:firstRow="0" w:lastRow="0" w:firstColumn="0" w:lastColumn="0" w:oddVBand="0" w:evenVBand="0" w:oddHBand="0" w:evenHBand="0" w:firstRowFirstColumn="0" w:firstRowLastColumn="0" w:lastRowFirstColumn="0" w:lastRowLastColumn="0"/>
              <w:rPr>
                <w:szCs w:val="22"/>
              </w:rPr>
            </w:pPr>
            <w:r>
              <w:rPr>
                <w:szCs w:val="22"/>
              </w:rPr>
              <w:t>14 November 2019</w:t>
            </w:r>
          </w:p>
        </w:tc>
        <w:tc>
          <w:tcPr>
            <w:tcW w:w="1041" w:type="pct"/>
          </w:tcPr>
          <w:p w14:paraId="2A49C6DE" w14:textId="1D9A8BA0" w:rsidR="00F2194C" w:rsidRPr="003A7A2D" w:rsidRDefault="00F2194C" w:rsidP="00F2194C">
            <w:pPr>
              <w:cnfStyle w:val="000000000000" w:firstRow="0" w:lastRow="0" w:firstColumn="0" w:lastColumn="0" w:oddVBand="0" w:evenVBand="0" w:oddHBand="0" w:evenHBand="0" w:firstRowFirstColumn="0" w:firstRowLastColumn="0" w:lastRowFirstColumn="0" w:lastRowLastColumn="0"/>
              <w:rPr>
                <w:szCs w:val="22"/>
              </w:rPr>
            </w:pPr>
            <w:r w:rsidRPr="00F2194C">
              <w:rPr>
                <w:szCs w:val="22"/>
              </w:rPr>
              <w:t xml:space="preserve">Approved on </w:t>
            </w:r>
            <w:r>
              <w:rPr>
                <w:szCs w:val="22"/>
              </w:rPr>
              <w:t>8 July 2020</w:t>
            </w:r>
            <w:r w:rsidR="00E66535">
              <w:rPr>
                <w:szCs w:val="22"/>
              </w:rPr>
              <w:t>*</w:t>
            </w:r>
          </w:p>
        </w:tc>
        <w:tc>
          <w:tcPr>
            <w:tcW w:w="1564" w:type="pct"/>
          </w:tcPr>
          <w:p w14:paraId="6B5F08E3" w14:textId="3C2E1490" w:rsidR="00F2194C" w:rsidRPr="002F22E2" w:rsidRDefault="00F2194C" w:rsidP="00F2194C">
            <w:pPr>
              <w:cnfStyle w:val="000000000000" w:firstRow="0" w:lastRow="0" w:firstColumn="0" w:lastColumn="0" w:oddVBand="0" w:evenVBand="0" w:oddHBand="0" w:evenHBand="0" w:firstRowFirstColumn="0" w:firstRowLastColumn="0" w:lastRowFirstColumn="0" w:lastRowLastColumn="0"/>
              <w:rPr>
                <w:i/>
                <w:iCs/>
                <w:szCs w:val="22"/>
              </w:rPr>
            </w:pPr>
            <w:r w:rsidRPr="002F22E2">
              <w:rPr>
                <w:i/>
                <w:iCs/>
                <w:szCs w:val="22"/>
              </w:rPr>
              <w:t>Slowing of progression of functional impairment in patients with amyotrophic lateral sclerosis (ALS)</w:t>
            </w:r>
          </w:p>
        </w:tc>
      </w:tr>
      <w:tr w:rsidR="00F2194C" w:rsidRPr="003A7A2D" w14:paraId="74CBDB14" w14:textId="77777777" w:rsidTr="00E66535">
        <w:tc>
          <w:tcPr>
            <w:cnfStyle w:val="001000000000" w:firstRow="0" w:lastRow="0" w:firstColumn="1" w:lastColumn="0" w:oddVBand="0" w:evenVBand="0" w:oddHBand="0" w:evenHBand="0" w:firstRowFirstColumn="0" w:firstRowLastColumn="0" w:lastRowFirstColumn="0" w:lastRowLastColumn="0"/>
            <w:tcW w:w="1023" w:type="pct"/>
          </w:tcPr>
          <w:p w14:paraId="39C7F766" w14:textId="7DE5B52C" w:rsidR="00F2194C" w:rsidRPr="003A7A2D" w:rsidRDefault="00F2194C" w:rsidP="00F2194C">
            <w:pPr>
              <w:rPr>
                <w:szCs w:val="22"/>
              </w:rPr>
            </w:pPr>
            <w:r w:rsidRPr="00F2194C">
              <w:rPr>
                <w:szCs w:val="22"/>
              </w:rPr>
              <w:t>Thailand</w:t>
            </w:r>
          </w:p>
        </w:tc>
        <w:tc>
          <w:tcPr>
            <w:tcW w:w="1373" w:type="pct"/>
          </w:tcPr>
          <w:p w14:paraId="476AD8B9" w14:textId="2C51C767" w:rsidR="00F2194C" w:rsidRPr="003A7A2D" w:rsidRDefault="00F2194C" w:rsidP="00F2194C">
            <w:pPr>
              <w:cnfStyle w:val="000000000000" w:firstRow="0" w:lastRow="0" w:firstColumn="0" w:lastColumn="0" w:oddVBand="0" w:evenVBand="0" w:oddHBand="0" w:evenHBand="0" w:firstRowFirstColumn="0" w:firstRowLastColumn="0" w:lastRowFirstColumn="0" w:lastRowLastColumn="0"/>
              <w:rPr>
                <w:szCs w:val="22"/>
              </w:rPr>
            </w:pPr>
            <w:r>
              <w:rPr>
                <w:szCs w:val="22"/>
              </w:rPr>
              <w:t>18 December 2019</w:t>
            </w:r>
          </w:p>
        </w:tc>
        <w:tc>
          <w:tcPr>
            <w:tcW w:w="1041" w:type="pct"/>
          </w:tcPr>
          <w:p w14:paraId="690914C9" w14:textId="09E719FB" w:rsidR="00F2194C" w:rsidRPr="003A7A2D" w:rsidRDefault="00F2194C" w:rsidP="00F2194C">
            <w:pPr>
              <w:cnfStyle w:val="000000000000" w:firstRow="0" w:lastRow="0" w:firstColumn="0" w:lastColumn="0" w:oddVBand="0" w:evenVBand="0" w:oddHBand="0" w:evenHBand="0" w:firstRowFirstColumn="0" w:firstRowLastColumn="0" w:lastRowFirstColumn="0" w:lastRowLastColumn="0"/>
              <w:rPr>
                <w:szCs w:val="22"/>
              </w:rPr>
            </w:pPr>
            <w:r w:rsidRPr="00F2194C">
              <w:rPr>
                <w:szCs w:val="22"/>
              </w:rPr>
              <w:t xml:space="preserve">Approved on </w:t>
            </w:r>
            <w:r>
              <w:rPr>
                <w:szCs w:val="22"/>
              </w:rPr>
              <w:t>8 April 2021</w:t>
            </w:r>
            <w:r w:rsidR="00E66535">
              <w:rPr>
                <w:szCs w:val="22"/>
              </w:rPr>
              <w:t>*</w:t>
            </w:r>
          </w:p>
        </w:tc>
        <w:tc>
          <w:tcPr>
            <w:tcW w:w="1564" w:type="pct"/>
          </w:tcPr>
          <w:p w14:paraId="1C6F4C39" w14:textId="7C9FDD27" w:rsidR="00F2194C" w:rsidRPr="002F22E2" w:rsidRDefault="00F2194C" w:rsidP="00F2194C">
            <w:pPr>
              <w:cnfStyle w:val="000000000000" w:firstRow="0" w:lastRow="0" w:firstColumn="0" w:lastColumn="0" w:oddVBand="0" w:evenVBand="0" w:oddHBand="0" w:evenHBand="0" w:firstRowFirstColumn="0" w:firstRowLastColumn="0" w:lastRowFirstColumn="0" w:lastRowLastColumn="0"/>
              <w:rPr>
                <w:i/>
                <w:iCs/>
                <w:szCs w:val="22"/>
              </w:rPr>
            </w:pPr>
            <w:r w:rsidRPr="002F22E2">
              <w:rPr>
                <w:i/>
                <w:iCs/>
                <w:szCs w:val="22"/>
              </w:rPr>
              <w:t>Delaying progression of functional disorder in patients with amyotrophic lateral sclerosis (ALS) not more than grade 2 with</w:t>
            </w:r>
          </w:p>
        </w:tc>
      </w:tr>
      <w:tr w:rsidR="00F2194C" w:rsidRPr="003A7A2D" w14:paraId="4F25B33D" w14:textId="77777777" w:rsidTr="00E66535">
        <w:tc>
          <w:tcPr>
            <w:cnfStyle w:val="001000000000" w:firstRow="0" w:lastRow="0" w:firstColumn="1" w:lastColumn="0" w:oddVBand="0" w:evenVBand="0" w:oddHBand="0" w:evenHBand="0" w:firstRowFirstColumn="0" w:firstRowLastColumn="0" w:lastRowFirstColumn="0" w:lastRowLastColumn="0"/>
            <w:tcW w:w="1023" w:type="pct"/>
          </w:tcPr>
          <w:p w14:paraId="4A167371" w14:textId="152B52E6" w:rsidR="00F2194C" w:rsidRPr="003A7A2D" w:rsidRDefault="00F2194C" w:rsidP="00F2194C">
            <w:pPr>
              <w:rPr>
                <w:szCs w:val="22"/>
              </w:rPr>
            </w:pPr>
            <w:r w:rsidRPr="00F2194C">
              <w:rPr>
                <w:szCs w:val="22"/>
              </w:rPr>
              <w:t>China</w:t>
            </w:r>
          </w:p>
        </w:tc>
        <w:tc>
          <w:tcPr>
            <w:tcW w:w="1373" w:type="pct"/>
          </w:tcPr>
          <w:p w14:paraId="5A5792E3" w14:textId="1BA88770" w:rsidR="00F2194C" w:rsidRPr="003A7A2D" w:rsidRDefault="00F2194C" w:rsidP="00F2194C">
            <w:pPr>
              <w:cnfStyle w:val="000000000000" w:firstRow="0" w:lastRow="0" w:firstColumn="0" w:lastColumn="0" w:oddVBand="0" w:evenVBand="0" w:oddHBand="0" w:evenHBand="0" w:firstRowFirstColumn="0" w:firstRowLastColumn="0" w:lastRowFirstColumn="0" w:lastRowLastColumn="0"/>
              <w:rPr>
                <w:szCs w:val="22"/>
              </w:rPr>
            </w:pPr>
            <w:r>
              <w:rPr>
                <w:szCs w:val="22"/>
              </w:rPr>
              <w:t>27 February 2019</w:t>
            </w:r>
          </w:p>
        </w:tc>
        <w:tc>
          <w:tcPr>
            <w:tcW w:w="1041" w:type="pct"/>
          </w:tcPr>
          <w:p w14:paraId="6CAAEA53" w14:textId="3DFC8D78" w:rsidR="00F2194C" w:rsidRPr="003A7A2D" w:rsidRDefault="00F2194C" w:rsidP="00F2194C">
            <w:pPr>
              <w:cnfStyle w:val="000000000000" w:firstRow="0" w:lastRow="0" w:firstColumn="0" w:lastColumn="0" w:oddVBand="0" w:evenVBand="0" w:oddHBand="0" w:evenHBand="0" w:firstRowFirstColumn="0" w:firstRowLastColumn="0" w:lastRowFirstColumn="0" w:lastRowLastColumn="0"/>
              <w:rPr>
                <w:szCs w:val="22"/>
              </w:rPr>
            </w:pPr>
            <w:r w:rsidRPr="00F2194C">
              <w:rPr>
                <w:szCs w:val="22"/>
              </w:rPr>
              <w:t xml:space="preserve">Approved on </w:t>
            </w:r>
            <w:r>
              <w:rPr>
                <w:szCs w:val="22"/>
              </w:rPr>
              <w:t>25 July 2019</w:t>
            </w:r>
            <w:r w:rsidR="00F40A19" w:rsidRPr="00E66535">
              <w:rPr>
                <w:szCs w:val="22"/>
                <w:vertAlign w:val="superscript"/>
              </w:rPr>
              <w:t>#</w:t>
            </w:r>
          </w:p>
        </w:tc>
        <w:tc>
          <w:tcPr>
            <w:tcW w:w="1564" w:type="pct"/>
          </w:tcPr>
          <w:p w14:paraId="73EC6683" w14:textId="2B763DFB" w:rsidR="00F2194C" w:rsidRPr="002F22E2" w:rsidRDefault="00F2194C" w:rsidP="00F2194C">
            <w:pPr>
              <w:cnfStyle w:val="000000000000" w:firstRow="0" w:lastRow="0" w:firstColumn="0" w:lastColumn="0" w:oddVBand="0" w:evenVBand="0" w:oddHBand="0" w:evenHBand="0" w:firstRowFirstColumn="0" w:firstRowLastColumn="0" w:lastRowFirstColumn="0" w:lastRowLastColumn="0"/>
              <w:rPr>
                <w:i/>
                <w:iCs/>
                <w:szCs w:val="22"/>
              </w:rPr>
            </w:pPr>
            <w:r w:rsidRPr="002F22E2">
              <w:rPr>
                <w:i/>
                <w:iCs/>
                <w:szCs w:val="22"/>
              </w:rPr>
              <w:t>Inhibition on progression of functional disorder in patients with amyotrophic lateral sclerosis (ALS)</w:t>
            </w:r>
          </w:p>
        </w:tc>
      </w:tr>
      <w:tr w:rsidR="00E66535" w:rsidRPr="003A7A2D" w14:paraId="1696EEB8" w14:textId="77777777" w:rsidTr="00E66535">
        <w:tc>
          <w:tcPr>
            <w:cnfStyle w:val="001000000000" w:firstRow="0" w:lastRow="0" w:firstColumn="1" w:lastColumn="0" w:oddVBand="0" w:evenVBand="0" w:oddHBand="0" w:evenHBand="0" w:firstRowFirstColumn="0" w:firstRowLastColumn="0" w:lastRowFirstColumn="0" w:lastRowLastColumn="0"/>
            <w:tcW w:w="1023" w:type="pct"/>
          </w:tcPr>
          <w:p w14:paraId="35987016" w14:textId="6FF41E01" w:rsidR="00E66535" w:rsidRPr="003A7A2D" w:rsidRDefault="00E66535" w:rsidP="00F2194C">
            <w:pPr>
              <w:rPr>
                <w:szCs w:val="22"/>
              </w:rPr>
            </w:pPr>
            <w:r>
              <w:rPr>
                <w:szCs w:val="22"/>
              </w:rPr>
              <w:t>Malaysia</w:t>
            </w:r>
          </w:p>
        </w:tc>
        <w:tc>
          <w:tcPr>
            <w:tcW w:w="1373" w:type="pct"/>
          </w:tcPr>
          <w:p w14:paraId="3410CF2A" w14:textId="588669D7" w:rsidR="00E66535" w:rsidRPr="003A7A2D" w:rsidRDefault="00E66535" w:rsidP="00F2194C">
            <w:pPr>
              <w:cnfStyle w:val="000000000000" w:firstRow="0" w:lastRow="0" w:firstColumn="0" w:lastColumn="0" w:oddVBand="0" w:evenVBand="0" w:oddHBand="0" w:evenHBand="0" w:firstRowFirstColumn="0" w:firstRowLastColumn="0" w:lastRowFirstColumn="0" w:lastRowLastColumn="0"/>
              <w:rPr>
                <w:szCs w:val="22"/>
              </w:rPr>
            </w:pPr>
            <w:r>
              <w:rPr>
                <w:szCs w:val="22"/>
              </w:rPr>
              <w:t>10 March 2020</w:t>
            </w:r>
          </w:p>
        </w:tc>
        <w:tc>
          <w:tcPr>
            <w:tcW w:w="1041" w:type="pct"/>
          </w:tcPr>
          <w:p w14:paraId="03E84991" w14:textId="560A301F" w:rsidR="00E66535" w:rsidRPr="003A7A2D" w:rsidRDefault="00E66535" w:rsidP="00F2194C">
            <w:pPr>
              <w:cnfStyle w:val="000000000000" w:firstRow="0" w:lastRow="0" w:firstColumn="0" w:lastColumn="0" w:oddVBand="0" w:evenVBand="0" w:oddHBand="0" w:evenHBand="0" w:firstRowFirstColumn="0" w:firstRowLastColumn="0" w:lastRowFirstColumn="0" w:lastRowLastColumn="0"/>
              <w:rPr>
                <w:szCs w:val="22"/>
              </w:rPr>
            </w:pPr>
            <w:r>
              <w:rPr>
                <w:szCs w:val="22"/>
              </w:rPr>
              <w:t>Approved on 13 December 2021*</w:t>
            </w:r>
          </w:p>
        </w:tc>
        <w:tc>
          <w:tcPr>
            <w:tcW w:w="1564" w:type="pct"/>
          </w:tcPr>
          <w:p w14:paraId="015AE1D9" w14:textId="59A8F21B" w:rsidR="00E66535" w:rsidRPr="002F22E2" w:rsidRDefault="002B1097" w:rsidP="00F2194C">
            <w:pPr>
              <w:cnfStyle w:val="000000000000" w:firstRow="0" w:lastRow="0" w:firstColumn="0" w:lastColumn="0" w:oddVBand="0" w:evenVBand="0" w:oddHBand="0" w:evenHBand="0" w:firstRowFirstColumn="0" w:firstRowLastColumn="0" w:lastRowFirstColumn="0" w:lastRowLastColumn="0"/>
              <w:rPr>
                <w:i/>
                <w:iCs/>
                <w:szCs w:val="22"/>
              </w:rPr>
            </w:pPr>
            <w:r w:rsidRPr="002F22E2">
              <w:rPr>
                <w:i/>
                <w:iCs/>
                <w:szCs w:val="22"/>
              </w:rPr>
              <w:t>Radicava</w:t>
            </w:r>
            <w:r w:rsidR="00E66535" w:rsidRPr="002F22E2">
              <w:rPr>
                <w:i/>
                <w:iCs/>
                <w:szCs w:val="22"/>
              </w:rPr>
              <w:t xml:space="preserve"> (edaravone) is indicated to slow the loss of function in patients with amyotrophic lateral sclerosis (ALS)</w:t>
            </w:r>
          </w:p>
        </w:tc>
      </w:tr>
      <w:tr w:rsidR="00F2194C" w:rsidRPr="003A7A2D" w14:paraId="41B4005D" w14:textId="77777777" w:rsidTr="00E66535">
        <w:tc>
          <w:tcPr>
            <w:cnfStyle w:val="001000000000" w:firstRow="0" w:lastRow="0" w:firstColumn="1" w:lastColumn="0" w:oddVBand="0" w:evenVBand="0" w:oddHBand="0" w:evenHBand="0" w:firstRowFirstColumn="0" w:firstRowLastColumn="0" w:lastRowFirstColumn="0" w:lastRowLastColumn="0"/>
            <w:tcW w:w="1023" w:type="pct"/>
          </w:tcPr>
          <w:p w14:paraId="08F1078A" w14:textId="6D700C52" w:rsidR="00F2194C" w:rsidRPr="003A7A2D" w:rsidRDefault="00F2194C" w:rsidP="00F2194C">
            <w:pPr>
              <w:rPr>
                <w:szCs w:val="22"/>
              </w:rPr>
            </w:pPr>
            <w:r w:rsidRPr="003A7A2D">
              <w:rPr>
                <w:szCs w:val="22"/>
              </w:rPr>
              <w:lastRenderedPageBreak/>
              <w:t>European Union</w:t>
            </w:r>
          </w:p>
        </w:tc>
        <w:tc>
          <w:tcPr>
            <w:tcW w:w="1373" w:type="pct"/>
          </w:tcPr>
          <w:p w14:paraId="21BAFA8C" w14:textId="49568956" w:rsidR="00F2194C" w:rsidRPr="003A7A2D" w:rsidRDefault="00F2194C" w:rsidP="00F2194C">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30 April 2018</w:t>
            </w:r>
          </w:p>
        </w:tc>
        <w:tc>
          <w:tcPr>
            <w:tcW w:w="1041" w:type="pct"/>
          </w:tcPr>
          <w:p w14:paraId="1D2A964B" w14:textId="0EC80CD6" w:rsidR="00F2194C" w:rsidRPr="003A7A2D" w:rsidRDefault="00F2194C" w:rsidP="00F2194C">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Withdrawn on 24 May 2019</w:t>
            </w:r>
            <w:r w:rsidR="00E079B9" w:rsidRPr="002F22E2">
              <w:rPr>
                <w:szCs w:val="22"/>
                <w:vertAlign w:val="superscript"/>
              </w:rPr>
              <w:t>#</w:t>
            </w:r>
          </w:p>
        </w:tc>
        <w:tc>
          <w:tcPr>
            <w:tcW w:w="1564" w:type="pct"/>
          </w:tcPr>
          <w:p w14:paraId="05D46F07" w14:textId="77777777" w:rsidR="00F2194C" w:rsidRPr="002F22E2" w:rsidRDefault="00F2194C" w:rsidP="00F2194C">
            <w:pPr>
              <w:cnfStyle w:val="000000000000" w:firstRow="0" w:lastRow="0" w:firstColumn="0" w:lastColumn="0" w:oddVBand="0" w:evenVBand="0" w:oddHBand="0" w:evenHBand="0" w:firstRowFirstColumn="0" w:firstRowLastColumn="0" w:lastRowFirstColumn="0" w:lastRowLastColumn="0"/>
              <w:rPr>
                <w:i/>
                <w:iCs/>
                <w:szCs w:val="22"/>
              </w:rPr>
            </w:pPr>
          </w:p>
        </w:tc>
      </w:tr>
      <w:tr w:rsidR="00F2194C" w:rsidRPr="003A7A2D" w14:paraId="28D26D55" w14:textId="77777777" w:rsidTr="00E66535">
        <w:tc>
          <w:tcPr>
            <w:cnfStyle w:val="001000000000" w:firstRow="0" w:lastRow="0" w:firstColumn="1" w:lastColumn="0" w:oddVBand="0" w:evenVBand="0" w:oddHBand="0" w:evenHBand="0" w:firstRowFirstColumn="0" w:firstRowLastColumn="0" w:lastRowFirstColumn="0" w:lastRowLastColumn="0"/>
            <w:tcW w:w="1023" w:type="pct"/>
          </w:tcPr>
          <w:p w14:paraId="31459E38" w14:textId="0BC5D3A5" w:rsidR="00F2194C" w:rsidRPr="003A7A2D" w:rsidRDefault="00F2194C" w:rsidP="00F2194C">
            <w:pPr>
              <w:rPr>
                <w:szCs w:val="22"/>
              </w:rPr>
            </w:pPr>
            <w:r w:rsidRPr="003A7A2D">
              <w:rPr>
                <w:szCs w:val="22"/>
              </w:rPr>
              <w:t>Singapore</w:t>
            </w:r>
          </w:p>
        </w:tc>
        <w:tc>
          <w:tcPr>
            <w:tcW w:w="1373" w:type="pct"/>
          </w:tcPr>
          <w:p w14:paraId="56D39439" w14:textId="27702EC0" w:rsidR="00F2194C" w:rsidRPr="003A7A2D" w:rsidRDefault="00F2194C" w:rsidP="00F2194C">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26 April 2019</w:t>
            </w:r>
          </w:p>
        </w:tc>
        <w:tc>
          <w:tcPr>
            <w:tcW w:w="1041" w:type="pct"/>
          </w:tcPr>
          <w:p w14:paraId="0DEA2C4C" w14:textId="4BB47EBD" w:rsidR="00F2194C" w:rsidRPr="003A7A2D" w:rsidRDefault="00F2194C" w:rsidP="00F2194C">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Withdrawn on 18 August 2020</w:t>
            </w:r>
            <w:r w:rsidR="00E079B9">
              <w:rPr>
                <w:szCs w:val="22"/>
              </w:rPr>
              <w:t>*</w:t>
            </w:r>
          </w:p>
        </w:tc>
        <w:tc>
          <w:tcPr>
            <w:tcW w:w="1564" w:type="pct"/>
          </w:tcPr>
          <w:p w14:paraId="6BB20E10" w14:textId="77777777" w:rsidR="00F2194C" w:rsidRPr="002F22E2" w:rsidRDefault="00F2194C" w:rsidP="00F2194C">
            <w:pPr>
              <w:cnfStyle w:val="000000000000" w:firstRow="0" w:lastRow="0" w:firstColumn="0" w:lastColumn="0" w:oddVBand="0" w:evenVBand="0" w:oddHBand="0" w:evenHBand="0" w:firstRowFirstColumn="0" w:firstRowLastColumn="0" w:lastRowFirstColumn="0" w:lastRowLastColumn="0"/>
              <w:rPr>
                <w:i/>
                <w:iCs/>
                <w:szCs w:val="22"/>
              </w:rPr>
            </w:pPr>
          </w:p>
        </w:tc>
      </w:tr>
    </w:tbl>
    <w:p w14:paraId="380C13CE" w14:textId="0BE203EE" w:rsidR="00E66535" w:rsidRDefault="00E66535" w:rsidP="00E66535">
      <w:pPr>
        <w:pStyle w:val="TableDescription"/>
      </w:pPr>
      <w:bookmarkStart w:id="32" w:name="_Toc504480011"/>
      <w:bookmarkStart w:id="33" w:name="_Toc103679293"/>
      <w:r w:rsidRPr="00E66535">
        <w:t>†</w:t>
      </w:r>
      <w:r>
        <w:t xml:space="preserve"> </w:t>
      </w:r>
      <w:r w:rsidRPr="00E66535">
        <w:t>The product license in South Korea was withdrawn on 29 June 2020 due to high cost of goods.</w:t>
      </w:r>
    </w:p>
    <w:p w14:paraId="16CBD1E8" w14:textId="00BA738A" w:rsidR="00E66535" w:rsidRDefault="00E66535" w:rsidP="00E66535">
      <w:pPr>
        <w:pStyle w:val="TableDescription"/>
      </w:pPr>
      <w:r>
        <w:t xml:space="preserve">*Approval of </w:t>
      </w:r>
      <w:r w:rsidRPr="00E66535">
        <w:t>30 mg/20 mL Ampoule</w:t>
      </w:r>
    </w:p>
    <w:p w14:paraId="5B30DCC0" w14:textId="0D4AE44F" w:rsidR="00E66535" w:rsidRDefault="00E66535" w:rsidP="00E66535">
      <w:pPr>
        <w:pStyle w:val="TableDescription"/>
      </w:pPr>
      <w:r w:rsidRPr="00E66535">
        <w:t>#</w:t>
      </w:r>
      <w:r>
        <w:t xml:space="preserve">Approval of </w:t>
      </w:r>
      <w:r w:rsidRPr="00E66535">
        <w:t>30 mg/100 mL Bag</w:t>
      </w:r>
    </w:p>
    <w:p w14:paraId="6D92589C" w14:textId="2215C3FA" w:rsidR="00324B33" w:rsidRPr="003A7A2D" w:rsidRDefault="00324B33" w:rsidP="00324B33">
      <w:pPr>
        <w:pStyle w:val="Heading2"/>
      </w:pPr>
      <w:bookmarkStart w:id="34" w:name="_Toc174517602"/>
      <w:r w:rsidRPr="003A7A2D">
        <w:t>Registration timeline</w:t>
      </w:r>
      <w:bookmarkEnd w:id="32"/>
      <w:bookmarkEnd w:id="33"/>
      <w:bookmarkEnd w:id="34"/>
    </w:p>
    <w:p w14:paraId="225E3D87" w14:textId="407A8EDB" w:rsidR="00324B33" w:rsidRPr="003A7A2D" w:rsidRDefault="00324B33" w:rsidP="00324B33">
      <w:r>
        <w:t>The following table</w:t>
      </w:r>
      <w:r w:rsidR="00704D36">
        <w:t xml:space="preserve"> (Table 2)</w:t>
      </w:r>
      <w:r>
        <w:t xml:space="preserve"> captures the key steps and dates for this submission.</w:t>
      </w:r>
    </w:p>
    <w:p w14:paraId="6BB76942" w14:textId="49C62989" w:rsidR="00477C4E" w:rsidRPr="003A7A2D" w:rsidRDefault="00477C4E" w:rsidP="00324B33">
      <w:pPr>
        <w:rPr>
          <w:szCs w:val="22"/>
        </w:rPr>
      </w:pPr>
      <w:r w:rsidRPr="003A7A2D">
        <w:rPr>
          <w:szCs w:val="22"/>
        </w:rPr>
        <w:t xml:space="preserve">This submission was evaluated under the </w:t>
      </w:r>
      <w:hyperlink r:id="rId21" w:history="1">
        <w:r w:rsidRPr="003A7A2D">
          <w:rPr>
            <w:rStyle w:val="Hyperlink"/>
            <w:szCs w:val="22"/>
          </w:rPr>
          <w:t>standard prescription medicines registration process</w:t>
        </w:r>
      </w:hyperlink>
      <w:r w:rsidRPr="003A7A2D">
        <w:rPr>
          <w:szCs w:val="22"/>
        </w:rPr>
        <w:t>.</w:t>
      </w:r>
    </w:p>
    <w:p w14:paraId="5B779104" w14:textId="6782FF9D" w:rsidR="0017005C" w:rsidRPr="003A7A2D" w:rsidRDefault="0017005C" w:rsidP="0017005C">
      <w:r w:rsidRPr="003A7A2D">
        <w:rPr>
          <w:szCs w:val="22"/>
        </w:rPr>
        <w:t>Th</w:t>
      </w:r>
      <w:r w:rsidR="00804897" w:rsidRPr="003A7A2D">
        <w:rPr>
          <w:szCs w:val="22"/>
        </w:rPr>
        <w:t>e active ingredient with its proposed indication was given</w:t>
      </w:r>
      <w:r w:rsidR="00804897" w:rsidRPr="003A7A2D">
        <w:t xml:space="preserve"> </w:t>
      </w:r>
      <w:hyperlink r:id="rId22" w:history="1">
        <w:r w:rsidR="00804897" w:rsidRPr="003A7A2D">
          <w:rPr>
            <w:rStyle w:val="Hyperlink"/>
          </w:rPr>
          <w:t>orphan drug designation</w:t>
        </w:r>
      </w:hyperlink>
      <w:r w:rsidR="00804897" w:rsidRPr="003A7A2D">
        <w:t>.</w:t>
      </w:r>
    </w:p>
    <w:p w14:paraId="5263E729" w14:textId="4C67CAE7" w:rsidR="005B02A2" w:rsidRPr="003A7A2D" w:rsidRDefault="00324B33" w:rsidP="00E06041">
      <w:pPr>
        <w:pStyle w:val="TableTitle"/>
      </w:pPr>
      <w:r w:rsidRPr="003A7A2D">
        <w:t xml:space="preserve">Table </w:t>
      </w:r>
      <w:r w:rsidR="00C451A8">
        <w:fldChar w:fldCharType="begin"/>
      </w:r>
      <w:r w:rsidR="00C451A8">
        <w:instrText xml:space="preserve"> SEQ Table \* ARABIC </w:instrText>
      </w:r>
      <w:r w:rsidR="00C451A8">
        <w:fldChar w:fldCharType="separate"/>
      </w:r>
      <w:r w:rsidR="008B1CB5" w:rsidRPr="003A7A2D">
        <w:t>2</w:t>
      </w:r>
      <w:r w:rsidR="00C451A8">
        <w:fldChar w:fldCharType="end"/>
      </w:r>
      <w:r w:rsidRPr="003A7A2D">
        <w:t xml:space="preserve">: Timeline for Submission </w:t>
      </w:r>
      <w:r w:rsidR="00E06041" w:rsidRPr="003A7A2D">
        <w:t>PM-2021-04298-1-1</w:t>
      </w:r>
    </w:p>
    <w:tbl>
      <w:tblPr>
        <w:tblStyle w:val="TableTGAblue2023"/>
        <w:tblW w:w="8642" w:type="dxa"/>
        <w:tblLook w:val="04A0" w:firstRow="1" w:lastRow="0" w:firstColumn="1" w:lastColumn="0" w:noHBand="0" w:noVBand="1"/>
      </w:tblPr>
      <w:tblGrid>
        <w:gridCol w:w="5949"/>
        <w:gridCol w:w="2693"/>
      </w:tblGrid>
      <w:tr w:rsidR="00324B33" w:rsidRPr="003A7A2D" w14:paraId="6C59BE9C" w14:textId="77777777" w:rsidTr="00BC1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16D80E78" w14:textId="3EC0CCAF" w:rsidR="00324B33" w:rsidRPr="003A7A2D" w:rsidRDefault="00324B33" w:rsidP="00324B33">
            <w:pPr>
              <w:rPr>
                <w:szCs w:val="22"/>
              </w:rPr>
            </w:pPr>
            <w:r w:rsidRPr="003A7A2D">
              <w:rPr>
                <w:szCs w:val="22"/>
              </w:rPr>
              <w:t>Description</w:t>
            </w:r>
          </w:p>
        </w:tc>
        <w:tc>
          <w:tcPr>
            <w:tcW w:w="2693" w:type="dxa"/>
          </w:tcPr>
          <w:p w14:paraId="79AFDC4B" w14:textId="05792035" w:rsidR="00324B33" w:rsidRPr="003A7A2D"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3A7A2D">
              <w:rPr>
                <w:szCs w:val="22"/>
              </w:rPr>
              <w:t>Date</w:t>
            </w:r>
          </w:p>
        </w:tc>
      </w:tr>
      <w:tr w:rsidR="00324B33" w:rsidRPr="003A7A2D" w14:paraId="1398460B" w14:textId="77777777" w:rsidTr="00BC13AF">
        <w:tc>
          <w:tcPr>
            <w:cnfStyle w:val="001000000000" w:firstRow="0" w:lastRow="0" w:firstColumn="1" w:lastColumn="0" w:oddVBand="0" w:evenVBand="0" w:oddHBand="0" w:evenHBand="0" w:firstRowFirstColumn="0" w:firstRowLastColumn="0" w:lastRowFirstColumn="0" w:lastRowLastColumn="0"/>
            <w:tcW w:w="5949" w:type="dxa"/>
          </w:tcPr>
          <w:p w14:paraId="1106CC1E" w14:textId="56269E33" w:rsidR="00324B33" w:rsidRPr="003A7A2D" w:rsidRDefault="00324B33" w:rsidP="00E679D1">
            <w:r w:rsidRPr="003A7A2D">
              <w:t>Designation (Orphan)</w:t>
            </w:r>
          </w:p>
        </w:tc>
        <w:tc>
          <w:tcPr>
            <w:tcW w:w="2693" w:type="dxa"/>
          </w:tcPr>
          <w:p w14:paraId="4CD143CF" w14:textId="63A0A9D1" w:rsidR="00324B33" w:rsidRPr="003A7A2D"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17 August 2021</w:t>
            </w:r>
          </w:p>
        </w:tc>
      </w:tr>
      <w:tr w:rsidR="00324B33" w:rsidRPr="003A7A2D" w14:paraId="23610C53" w14:textId="77777777" w:rsidTr="00BC13AF">
        <w:tc>
          <w:tcPr>
            <w:cnfStyle w:val="001000000000" w:firstRow="0" w:lastRow="0" w:firstColumn="1" w:lastColumn="0" w:oddVBand="0" w:evenVBand="0" w:oddHBand="0" w:evenHBand="0" w:firstRowFirstColumn="0" w:firstRowLastColumn="0" w:lastRowFirstColumn="0" w:lastRowLastColumn="0"/>
            <w:tcW w:w="5949" w:type="dxa"/>
          </w:tcPr>
          <w:p w14:paraId="759D2A12" w14:textId="0D705F83" w:rsidR="00324B33" w:rsidRPr="003A7A2D" w:rsidRDefault="00324B33" w:rsidP="00E679D1">
            <w:r w:rsidRPr="003A7A2D">
              <w:t>Submission dossier accepted and first round evaluation commenced</w:t>
            </w:r>
          </w:p>
        </w:tc>
        <w:tc>
          <w:tcPr>
            <w:tcW w:w="2693" w:type="dxa"/>
          </w:tcPr>
          <w:p w14:paraId="2963D9D8" w14:textId="5CE1FBCC" w:rsidR="00324B33" w:rsidRPr="003A7A2D"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1 November 2021</w:t>
            </w:r>
          </w:p>
        </w:tc>
      </w:tr>
      <w:tr w:rsidR="00324B33" w:rsidRPr="003A7A2D" w14:paraId="53437815" w14:textId="77777777" w:rsidTr="00BC13AF">
        <w:tc>
          <w:tcPr>
            <w:cnfStyle w:val="001000000000" w:firstRow="0" w:lastRow="0" w:firstColumn="1" w:lastColumn="0" w:oddVBand="0" w:evenVBand="0" w:oddHBand="0" w:evenHBand="0" w:firstRowFirstColumn="0" w:firstRowLastColumn="0" w:lastRowFirstColumn="0" w:lastRowLastColumn="0"/>
            <w:tcW w:w="5949" w:type="dxa"/>
          </w:tcPr>
          <w:p w14:paraId="4C037D4E" w14:textId="2B0CE255" w:rsidR="00324B33" w:rsidRPr="003A7A2D" w:rsidRDefault="00324B33" w:rsidP="00E679D1">
            <w:r w:rsidRPr="003A7A2D">
              <w:t>First round evaluation completed</w:t>
            </w:r>
          </w:p>
        </w:tc>
        <w:tc>
          <w:tcPr>
            <w:tcW w:w="2693" w:type="dxa"/>
          </w:tcPr>
          <w:p w14:paraId="3CEAFAAB" w14:textId="6EAEECE3" w:rsidR="00324B33" w:rsidRPr="003A7A2D"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30 March 2022</w:t>
            </w:r>
          </w:p>
        </w:tc>
      </w:tr>
      <w:tr w:rsidR="00324B33" w:rsidRPr="003A7A2D" w14:paraId="60DA57CC" w14:textId="77777777" w:rsidTr="00BC13AF">
        <w:tc>
          <w:tcPr>
            <w:cnfStyle w:val="001000000000" w:firstRow="0" w:lastRow="0" w:firstColumn="1" w:lastColumn="0" w:oddVBand="0" w:evenVBand="0" w:oddHBand="0" w:evenHBand="0" w:firstRowFirstColumn="0" w:firstRowLastColumn="0" w:lastRowFirstColumn="0" w:lastRowLastColumn="0"/>
            <w:tcW w:w="5949" w:type="dxa"/>
          </w:tcPr>
          <w:p w14:paraId="02EA1147" w14:textId="723C8918" w:rsidR="00324B33" w:rsidRPr="003A7A2D" w:rsidRDefault="00C04BB6" w:rsidP="00E679D1">
            <w:r>
              <w:t>Sponsor</w:t>
            </w:r>
            <w:r w:rsidR="00324B33" w:rsidRPr="003A7A2D">
              <w:t xml:space="preserve"> provides responses on questions raised in first round evaluation</w:t>
            </w:r>
          </w:p>
        </w:tc>
        <w:tc>
          <w:tcPr>
            <w:tcW w:w="2693" w:type="dxa"/>
          </w:tcPr>
          <w:p w14:paraId="68A577C1" w14:textId="787B43D2" w:rsidR="00324B33" w:rsidRPr="003A7A2D"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29 June 2022</w:t>
            </w:r>
          </w:p>
        </w:tc>
      </w:tr>
      <w:tr w:rsidR="00324B33" w:rsidRPr="003A7A2D" w14:paraId="767E33A4" w14:textId="77777777" w:rsidTr="00BC13AF">
        <w:tc>
          <w:tcPr>
            <w:cnfStyle w:val="001000000000" w:firstRow="0" w:lastRow="0" w:firstColumn="1" w:lastColumn="0" w:oddVBand="0" w:evenVBand="0" w:oddHBand="0" w:evenHBand="0" w:firstRowFirstColumn="0" w:firstRowLastColumn="0" w:lastRowFirstColumn="0" w:lastRowLastColumn="0"/>
            <w:tcW w:w="5949" w:type="dxa"/>
          </w:tcPr>
          <w:p w14:paraId="4AFC5B50" w14:textId="2BCC6A3E" w:rsidR="00324B33" w:rsidRPr="003A7A2D" w:rsidRDefault="00324B33" w:rsidP="00E679D1">
            <w:r w:rsidRPr="003A7A2D">
              <w:t>Second round evaluation completed</w:t>
            </w:r>
          </w:p>
        </w:tc>
        <w:tc>
          <w:tcPr>
            <w:tcW w:w="2693" w:type="dxa"/>
          </w:tcPr>
          <w:p w14:paraId="4E47DF62" w14:textId="25373DDE" w:rsidR="00324B33" w:rsidRPr="003A7A2D" w:rsidRDefault="00DF74D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7 October</w:t>
            </w:r>
            <w:r w:rsidR="00E06041" w:rsidRPr="003A7A2D">
              <w:rPr>
                <w:szCs w:val="22"/>
              </w:rPr>
              <w:t xml:space="preserve"> 2022</w:t>
            </w:r>
          </w:p>
        </w:tc>
      </w:tr>
      <w:tr w:rsidR="00020FF2" w:rsidRPr="003A7A2D" w14:paraId="6BE6DD33" w14:textId="77777777" w:rsidTr="00BC13AF">
        <w:tc>
          <w:tcPr>
            <w:cnfStyle w:val="001000000000" w:firstRow="0" w:lastRow="0" w:firstColumn="1" w:lastColumn="0" w:oddVBand="0" w:evenVBand="0" w:oddHBand="0" w:evenHBand="0" w:firstRowFirstColumn="0" w:firstRowLastColumn="0" w:lastRowFirstColumn="0" w:lastRowLastColumn="0"/>
            <w:tcW w:w="5949" w:type="dxa"/>
          </w:tcPr>
          <w:p w14:paraId="14764CC8" w14:textId="7FFAFD78" w:rsidR="00020FF2" w:rsidRPr="003A7A2D" w:rsidRDefault="004B2EE9" w:rsidP="00020FF2">
            <w:r>
              <w:t>S</w:t>
            </w:r>
            <w:r w:rsidR="00C9412C">
              <w:t>ponsor</w:t>
            </w:r>
            <w:r w:rsidR="00020FF2" w:rsidRPr="003A7A2D">
              <w:t>’s notification to the TGA of errors/omissions in evaluation reports</w:t>
            </w:r>
          </w:p>
        </w:tc>
        <w:tc>
          <w:tcPr>
            <w:tcW w:w="2693" w:type="dxa"/>
          </w:tcPr>
          <w:p w14:paraId="196C5433" w14:textId="3E09FFA4" w:rsidR="00020FF2" w:rsidRPr="003A7A2D"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21 October 2022</w:t>
            </w:r>
          </w:p>
        </w:tc>
      </w:tr>
      <w:tr w:rsidR="00324B33" w:rsidRPr="003A7A2D" w14:paraId="302FCB45" w14:textId="77777777" w:rsidTr="00BC13AF">
        <w:tc>
          <w:tcPr>
            <w:cnfStyle w:val="001000000000" w:firstRow="0" w:lastRow="0" w:firstColumn="1" w:lastColumn="0" w:oddVBand="0" w:evenVBand="0" w:oddHBand="0" w:evenHBand="0" w:firstRowFirstColumn="0" w:firstRowLastColumn="0" w:lastRowFirstColumn="0" w:lastRowLastColumn="0"/>
            <w:tcW w:w="5949" w:type="dxa"/>
          </w:tcPr>
          <w:p w14:paraId="716E9DC1" w14:textId="1C03A6CA" w:rsidR="00324B33" w:rsidRPr="003A7A2D" w:rsidRDefault="004B2EE9" w:rsidP="00324B33">
            <w:pPr>
              <w:rPr>
                <w:szCs w:val="22"/>
              </w:rPr>
            </w:pPr>
            <w:r>
              <w:rPr>
                <w:szCs w:val="22"/>
              </w:rPr>
              <w:t>D</w:t>
            </w:r>
            <w:r w:rsidR="00A76151">
              <w:rPr>
                <w:szCs w:val="22"/>
              </w:rPr>
              <w:t>elegate</w:t>
            </w:r>
            <w:r w:rsidR="00324B33" w:rsidRPr="003A7A2D">
              <w:rPr>
                <w:szCs w:val="22"/>
              </w:rPr>
              <w:t>’s</w:t>
            </w:r>
            <w:r w:rsidR="00500D68" w:rsidRPr="003A7A2D">
              <w:rPr>
                <w:rStyle w:val="FootnoteReference"/>
                <w:szCs w:val="22"/>
              </w:rPr>
              <w:footnoteReference w:id="3"/>
            </w:r>
            <w:r w:rsidR="00324B33" w:rsidRPr="003A7A2D">
              <w:rPr>
                <w:szCs w:val="22"/>
              </w:rPr>
              <w:t xml:space="preserve"> Overall benefit-risk assessment </w:t>
            </w:r>
            <w:r w:rsidR="00324B33" w:rsidRPr="003A7A2D">
              <w:rPr>
                <w:color w:val="auto"/>
                <w:szCs w:val="22"/>
              </w:rPr>
              <w:t>and request for Advisory Committee advice</w:t>
            </w:r>
          </w:p>
        </w:tc>
        <w:tc>
          <w:tcPr>
            <w:tcW w:w="2693" w:type="dxa"/>
          </w:tcPr>
          <w:p w14:paraId="3BA6EF79" w14:textId="3C7038EF" w:rsidR="00324B33" w:rsidRPr="003A7A2D"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31 October 2022</w:t>
            </w:r>
          </w:p>
        </w:tc>
      </w:tr>
      <w:tr w:rsidR="00324B33" w:rsidRPr="003A7A2D" w14:paraId="5832EBC8" w14:textId="77777777" w:rsidTr="00BC13AF">
        <w:tc>
          <w:tcPr>
            <w:cnfStyle w:val="001000000000" w:firstRow="0" w:lastRow="0" w:firstColumn="1" w:lastColumn="0" w:oddVBand="0" w:evenVBand="0" w:oddHBand="0" w:evenHBand="0" w:firstRowFirstColumn="0" w:firstRowLastColumn="0" w:lastRowFirstColumn="0" w:lastRowLastColumn="0"/>
            <w:tcW w:w="5949" w:type="dxa"/>
          </w:tcPr>
          <w:p w14:paraId="720592DE" w14:textId="64F6D83D" w:rsidR="00324B33" w:rsidRPr="003A7A2D" w:rsidRDefault="004B2EE9" w:rsidP="00E679D1">
            <w:r>
              <w:t>S</w:t>
            </w:r>
            <w:r w:rsidR="00C9412C">
              <w:t>ponsor</w:t>
            </w:r>
            <w:r w:rsidR="00324B33" w:rsidRPr="003A7A2D">
              <w:t>’s pre-Advisory Committee response</w:t>
            </w:r>
          </w:p>
        </w:tc>
        <w:tc>
          <w:tcPr>
            <w:tcW w:w="2693" w:type="dxa"/>
          </w:tcPr>
          <w:p w14:paraId="5AE04841" w14:textId="560F8E9C" w:rsidR="00324B33" w:rsidRPr="003A7A2D"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15 November 2022</w:t>
            </w:r>
          </w:p>
        </w:tc>
      </w:tr>
      <w:tr w:rsidR="00324B33" w:rsidRPr="003A7A2D" w14:paraId="5754F7AC" w14:textId="77777777" w:rsidTr="00BC13AF">
        <w:tc>
          <w:tcPr>
            <w:cnfStyle w:val="001000000000" w:firstRow="0" w:lastRow="0" w:firstColumn="1" w:lastColumn="0" w:oddVBand="0" w:evenVBand="0" w:oddHBand="0" w:evenHBand="0" w:firstRowFirstColumn="0" w:firstRowLastColumn="0" w:lastRowFirstColumn="0" w:lastRowLastColumn="0"/>
            <w:tcW w:w="5949" w:type="dxa"/>
          </w:tcPr>
          <w:p w14:paraId="789DE187" w14:textId="123446EE" w:rsidR="00324B33" w:rsidRPr="003A7A2D" w:rsidRDefault="00324B33" w:rsidP="00E679D1">
            <w:r w:rsidRPr="003A7A2D">
              <w:t>Advisory Committee meeting</w:t>
            </w:r>
          </w:p>
        </w:tc>
        <w:tc>
          <w:tcPr>
            <w:tcW w:w="2693" w:type="dxa"/>
          </w:tcPr>
          <w:p w14:paraId="5BE1EDE7" w14:textId="43142CC1" w:rsidR="00324B33" w:rsidRPr="003A7A2D"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1 and 2 December 2022</w:t>
            </w:r>
          </w:p>
        </w:tc>
      </w:tr>
      <w:tr w:rsidR="00324B33" w:rsidRPr="003A7A2D" w14:paraId="6E5D32FE" w14:textId="77777777" w:rsidTr="00BC13AF">
        <w:tc>
          <w:tcPr>
            <w:cnfStyle w:val="001000000000" w:firstRow="0" w:lastRow="0" w:firstColumn="1" w:lastColumn="0" w:oddVBand="0" w:evenVBand="0" w:oddHBand="0" w:evenHBand="0" w:firstRowFirstColumn="0" w:firstRowLastColumn="0" w:lastRowFirstColumn="0" w:lastRowLastColumn="0"/>
            <w:tcW w:w="5949" w:type="dxa"/>
          </w:tcPr>
          <w:p w14:paraId="4E95C44C" w14:textId="7A91C710" w:rsidR="00324B33" w:rsidRPr="003A7A2D" w:rsidRDefault="00324B33" w:rsidP="00E679D1">
            <w:r w:rsidRPr="003A7A2D">
              <w:t>Registration decision (Outcome)</w:t>
            </w:r>
          </w:p>
        </w:tc>
        <w:tc>
          <w:tcPr>
            <w:tcW w:w="2693" w:type="dxa"/>
          </w:tcPr>
          <w:p w14:paraId="62987ABD" w14:textId="62D4E6AA" w:rsidR="00324B33" w:rsidRPr="003A7A2D"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17 January 2023</w:t>
            </w:r>
          </w:p>
        </w:tc>
      </w:tr>
      <w:tr w:rsidR="00324B33" w:rsidRPr="003A7A2D" w14:paraId="6DDCDDA4" w14:textId="77777777" w:rsidTr="00BC13AF">
        <w:tc>
          <w:tcPr>
            <w:cnfStyle w:val="001000000000" w:firstRow="0" w:lastRow="0" w:firstColumn="1" w:lastColumn="0" w:oddVBand="0" w:evenVBand="0" w:oddHBand="0" w:evenHBand="0" w:firstRowFirstColumn="0" w:firstRowLastColumn="0" w:lastRowFirstColumn="0" w:lastRowLastColumn="0"/>
            <w:tcW w:w="5949" w:type="dxa"/>
          </w:tcPr>
          <w:p w14:paraId="192FD19D" w14:textId="3612A2E7" w:rsidR="00324B33" w:rsidRPr="003A7A2D" w:rsidRDefault="0013132F" w:rsidP="00E679D1">
            <w:r w:rsidRPr="003A7A2D">
              <w:t xml:space="preserve">Administrative activities and registration </w:t>
            </w:r>
            <w:r w:rsidR="005C4B46" w:rsidRPr="003A7A2D">
              <w:t xml:space="preserve">in </w:t>
            </w:r>
            <w:r w:rsidRPr="003A7A2D">
              <w:t>the ARTG completed</w:t>
            </w:r>
          </w:p>
        </w:tc>
        <w:tc>
          <w:tcPr>
            <w:tcW w:w="2693" w:type="dxa"/>
          </w:tcPr>
          <w:p w14:paraId="5A8923FD" w14:textId="4A3A3E45" w:rsidR="00324B33" w:rsidRPr="003A7A2D"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15 February 2023</w:t>
            </w:r>
          </w:p>
        </w:tc>
      </w:tr>
      <w:tr w:rsidR="00324B33" w:rsidRPr="003A7A2D" w14:paraId="56D922E2" w14:textId="77777777" w:rsidTr="00BC13AF">
        <w:tc>
          <w:tcPr>
            <w:cnfStyle w:val="001000000000" w:firstRow="0" w:lastRow="0" w:firstColumn="1" w:lastColumn="0" w:oddVBand="0" w:evenVBand="0" w:oddHBand="0" w:evenHBand="0" w:firstRowFirstColumn="0" w:firstRowLastColumn="0" w:lastRowFirstColumn="0" w:lastRowLastColumn="0"/>
            <w:tcW w:w="5949" w:type="dxa"/>
          </w:tcPr>
          <w:p w14:paraId="787FD8DD" w14:textId="0E0CF97F" w:rsidR="00324B33" w:rsidRPr="003A7A2D" w:rsidRDefault="00324B33" w:rsidP="00E679D1">
            <w:r w:rsidRPr="003A7A2D">
              <w:t>Number of working days from submission dossier acceptance to registration decision*</w:t>
            </w:r>
          </w:p>
        </w:tc>
        <w:tc>
          <w:tcPr>
            <w:tcW w:w="2693" w:type="dxa"/>
          </w:tcPr>
          <w:p w14:paraId="5BAF9FA1" w14:textId="4ACA6FDC" w:rsidR="00324B33" w:rsidRPr="003A7A2D" w:rsidRDefault="00E06041" w:rsidP="00324B33">
            <w:pPr>
              <w:cnfStyle w:val="000000000000" w:firstRow="0" w:lastRow="0" w:firstColumn="0" w:lastColumn="0" w:oddVBand="0" w:evenVBand="0" w:oddHBand="0" w:evenHBand="0" w:firstRowFirstColumn="0" w:firstRowLastColumn="0" w:lastRowFirstColumn="0" w:lastRowLastColumn="0"/>
              <w:rPr>
                <w:szCs w:val="22"/>
              </w:rPr>
            </w:pPr>
            <w:r w:rsidRPr="003A7A2D">
              <w:rPr>
                <w:szCs w:val="22"/>
              </w:rPr>
              <w:t>192</w:t>
            </w:r>
          </w:p>
        </w:tc>
      </w:tr>
    </w:tbl>
    <w:p w14:paraId="7B02554C" w14:textId="77777777" w:rsidR="00433318" w:rsidRPr="003A7A2D" w:rsidRDefault="00433318" w:rsidP="00433318">
      <w:pPr>
        <w:pStyle w:val="TableDescription"/>
      </w:pPr>
      <w:r w:rsidRPr="003A7A2D">
        <w:t>*Statutory timeframe for standard submissions is 255 working days</w:t>
      </w:r>
    </w:p>
    <w:p w14:paraId="220925F1" w14:textId="77777777" w:rsidR="00C22214" w:rsidRPr="003A7A2D" w:rsidRDefault="00C22214" w:rsidP="00C22214">
      <w:pPr>
        <w:pStyle w:val="Heading2"/>
      </w:pPr>
      <w:bookmarkStart w:id="35" w:name="_Toc196046504"/>
      <w:bookmarkStart w:id="36" w:name="_Toc247691527"/>
      <w:bookmarkStart w:id="37" w:name="_Toc314842510"/>
      <w:bookmarkStart w:id="38" w:name="_Toc103679294"/>
      <w:bookmarkStart w:id="39" w:name="_Toc174517603"/>
      <w:r w:rsidRPr="003A7A2D">
        <w:lastRenderedPageBreak/>
        <w:t>Submission overview and risk/benefit assessment</w:t>
      </w:r>
      <w:bookmarkEnd w:id="35"/>
      <w:bookmarkEnd w:id="36"/>
      <w:bookmarkEnd w:id="37"/>
      <w:bookmarkEnd w:id="38"/>
      <w:bookmarkEnd w:id="39"/>
    </w:p>
    <w:p w14:paraId="37F5A1C0" w14:textId="77777777" w:rsidR="00C22214" w:rsidRPr="003A7A2D" w:rsidRDefault="00C22214" w:rsidP="00C22214">
      <w:pPr>
        <w:pStyle w:val="Heading3"/>
      </w:pPr>
      <w:bookmarkStart w:id="40" w:name="_Toc247691528"/>
      <w:bookmarkStart w:id="41" w:name="_Toc314842511"/>
      <w:bookmarkStart w:id="42" w:name="_Toc103679295"/>
      <w:bookmarkStart w:id="43" w:name="_Toc174517604"/>
      <w:r w:rsidRPr="003A7A2D">
        <w:t>Quality</w:t>
      </w:r>
      <w:bookmarkEnd w:id="40"/>
      <w:bookmarkEnd w:id="41"/>
      <w:bookmarkEnd w:id="42"/>
      <w:bookmarkEnd w:id="43"/>
    </w:p>
    <w:p w14:paraId="78D00E78" w14:textId="08034179" w:rsidR="00E06041" w:rsidRPr="003A7A2D" w:rsidRDefault="00E06041" w:rsidP="00E06041">
      <w:r w:rsidRPr="003A7A2D">
        <w:t>The drug product is presented as a 30 mg/20 mL concentrated solution for injection in a Type I clear glass ampoule, packaged in a carton containing 10 ampoules.  The concentrated solution must be diluted with 0.9% sodium chloride solution prior to administration by IV infusion.</w:t>
      </w:r>
    </w:p>
    <w:p w14:paraId="39BEDAE5" w14:textId="09AEEC8B" w:rsidR="00E06041" w:rsidRPr="003A7A2D" w:rsidRDefault="00E06041" w:rsidP="00E06041">
      <w:pPr>
        <w:pStyle w:val="FigureTitle"/>
      </w:pPr>
      <w:r w:rsidRPr="003A7A2D">
        <w:t xml:space="preserve">Figure </w:t>
      </w:r>
      <w:r w:rsidR="00C451A8">
        <w:fldChar w:fldCharType="begin"/>
      </w:r>
      <w:r w:rsidR="00C451A8">
        <w:instrText xml:space="preserve"> SEQ Figure \* ARABIC </w:instrText>
      </w:r>
      <w:r w:rsidR="00C451A8">
        <w:fldChar w:fldCharType="separate"/>
      </w:r>
      <w:r w:rsidRPr="003A7A2D">
        <w:rPr>
          <w:noProof/>
        </w:rPr>
        <w:t>1</w:t>
      </w:r>
      <w:r w:rsidR="00C451A8">
        <w:rPr>
          <w:noProof/>
        </w:rPr>
        <w:fldChar w:fldCharType="end"/>
      </w:r>
      <w:r w:rsidRPr="003A7A2D">
        <w:t>: Structure of edaravone</w:t>
      </w:r>
    </w:p>
    <w:p w14:paraId="5A250F76" w14:textId="2ACDBAB8" w:rsidR="00E06041" w:rsidRPr="003A7A2D" w:rsidRDefault="00E06041" w:rsidP="00BC13AF">
      <w:r w:rsidRPr="003A7A2D">
        <w:rPr>
          <w:noProof/>
        </w:rPr>
        <w:drawing>
          <wp:inline distT="0" distB="0" distL="0" distR="0" wp14:anchorId="3180EBBA" wp14:editId="39E011F7">
            <wp:extent cx="2432050" cy="2003765"/>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42118" cy="2012060"/>
                    </a:xfrm>
                    <a:prstGeom prst="rect">
                      <a:avLst/>
                    </a:prstGeom>
                  </pic:spPr>
                </pic:pic>
              </a:graphicData>
            </a:graphic>
          </wp:inline>
        </w:drawing>
      </w:r>
    </w:p>
    <w:p w14:paraId="60C805A8" w14:textId="6B314CB7" w:rsidR="00E06041" w:rsidRPr="003A7A2D" w:rsidRDefault="00E06041" w:rsidP="00E06041">
      <w:r w:rsidRPr="003A7A2D">
        <w:t>The drug substance and finished product specifications are acceptable. All Good Manufacturing Practice (GMP) clearances are currently valid and should remain valid for the remainder of this application. The Product Information (PI) is acceptable from a pharmaceutical chemistry perspective.</w:t>
      </w:r>
    </w:p>
    <w:p w14:paraId="54B0501B" w14:textId="49FD3A5A" w:rsidR="00E06041" w:rsidRPr="003A7A2D" w:rsidRDefault="00E06041" w:rsidP="00E06041">
      <w:r w:rsidRPr="003A7A2D">
        <w:t xml:space="preserve">There is no objection to approval from a pharmaceutical chemistry and quality perspective. </w:t>
      </w:r>
    </w:p>
    <w:p w14:paraId="2BE90AAE" w14:textId="77777777" w:rsidR="00C22214" w:rsidRPr="003A7A2D" w:rsidRDefault="00C22214" w:rsidP="00C22214">
      <w:pPr>
        <w:pStyle w:val="Heading3"/>
      </w:pPr>
      <w:bookmarkStart w:id="44" w:name="_Toc314842512"/>
      <w:bookmarkStart w:id="45" w:name="_Toc103679296"/>
      <w:bookmarkStart w:id="46" w:name="_Toc174517605"/>
      <w:r w:rsidRPr="003A7A2D">
        <w:t>Nonclinical</w:t>
      </w:r>
      <w:bookmarkEnd w:id="44"/>
      <w:bookmarkEnd w:id="45"/>
      <w:bookmarkEnd w:id="46"/>
    </w:p>
    <w:p w14:paraId="3FAD90F1" w14:textId="534D3AE6" w:rsidR="00E06041" w:rsidRPr="003A7A2D" w:rsidRDefault="00E06041" w:rsidP="00E06041">
      <w:r w:rsidRPr="003A7A2D">
        <w:rPr>
          <w:i/>
          <w:iCs/>
        </w:rPr>
        <w:t>In vitro</w:t>
      </w:r>
      <w:r w:rsidRPr="003A7A2D">
        <w:t>, edaravone showed radical scavenging activity, inhibition of lipid peroxidation and protective effects against cell injury in cultured vascular endothelial and neuronal cells</w:t>
      </w:r>
      <w:r w:rsidR="00A85F5C">
        <w:t>,</w:t>
      </w:r>
      <w:r w:rsidRPr="003A7A2D">
        <w:t xml:space="preserve"> but only at concentrations that exceed the concentrations expected in patients. There was limited efficacy in an animal model of ALS at a dose exceeding that proposed in patients. Overall, the nonclinical studies do not support efficacy in the proposed indication.</w:t>
      </w:r>
    </w:p>
    <w:p w14:paraId="009E4466" w14:textId="74AD960C" w:rsidR="00E06041" w:rsidRPr="003A7A2D" w:rsidRDefault="00E06041" w:rsidP="00E06041">
      <w:r w:rsidRPr="003A7A2D">
        <w:t xml:space="preserve">No off-target effects were identified in secondary pharmacodynamic studies. Given the margins at the </w:t>
      </w:r>
      <w:bookmarkStart w:id="47" w:name="_Hlk169231416"/>
      <w:r w:rsidRPr="003A7A2D">
        <w:t xml:space="preserve">no observed adverse effect level (NOAEL) </w:t>
      </w:r>
      <w:bookmarkEnd w:id="47"/>
      <w:r w:rsidRPr="003A7A2D">
        <w:t>for safety pharmacology endpoints, no effects on cardiovascular, respiratory, renal or gastrointestinal function are expected in patients with the proposed clinical use.</w:t>
      </w:r>
    </w:p>
    <w:p w14:paraId="52B29E2C" w14:textId="54D96DCF" w:rsidR="00E06041" w:rsidRPr="003A7A2D" w:rsidRDefault="00E06041" w:rsidP="00E06041">
      <w:r w:rsidRPr="003A7A2D">
        <w:t>Overall, the pharmacokinetic profile of edaravone is sufficiently similar in mice, rats, dogs, cynomolgus monkeys and humans to warrant the use of the chosen animal species in toxicity studies. Following intravenous (IV) dosing, terminal elimination half-life values were short in animal species</w:t>
      </w:r>
      <w:r w:rsidR="00A85F5C">
        <w:t>,</w:t>
      </w:r>
      <w:r w:rsidRPr="003A7A2D">
        <w:t xml:space="preserve"> but slightly longer in humans. The oral bioavailability was low to moderate in mice and in rats. Serum protein binding of edaravone was</w:t>
      </w:r>
      <w:r w:rsidR="00C451A8">
        <w:t xml:space="preserve"> relatively</w:t>
      </w:r>
      <w:r w:rsidRPr="003A7A2D">
        <w:t xml:space="preserve"> high in humans, moderate in mice, rats and monkeys and low in dogs. Tissue distribution of drug-related material was generally low in rats. There was evidence of retention of drug-related material (primarily as the product of the reaction of edaravone with radicals). Edaravone is metabolised to two conjugates, glucuronide and sulfate. Both metabolites were seen across animal species and humans and </w:t>
      </w:r>
      <w:r w:rsidRPr="003A7A2D">
        <w:lastRenderedPageBreak/>
        <w:t xml:space="preserve">edaravone sulfate was the predominant circulating drug-related </w:t>
      </w:r>
      <w:r w:rsidR="00DB7086">
        <w:t>material</w:t>
      </w:r>
      <w:r w:rsidRPr="003A7A2D">
        <w:t>. Excretion of drug</w:t>
      </w:r>
      <w:r w:rsidRPr="003A7A2D">
        <w:noBreakHyphen/>
        <w:t>related material was predominantly via the urine in all animal species and humans.</w:t>
      </w:r>
    </w:p>
    <w:p w14:paraId="296AE2C4" w14:textId="021CFA38" w:rsidR="00E06041" w:rsidRPr="003A7A2D" w:rsidRDefault="00E06041" w:rsidP="00E06041">
      <w:r w:rsidRPr="003A7A2D">
        <w:t>As multiple enzymes are involved in the metabolism of edaravone and its metabolites, there is a low risk that co-administered drugs will alter edaravone exposures by affecting its metabolism. Co-administered drugs that are organic anion transporter 1 (OAT1) or OAT3 inhibitors may alter exposures to edaravone or its sulfate. Edaravone is not expected to alter the exposure of co-administered drugs that are cytochrome P450 (CYP450) substrates. The conjugated metabolites of edaravone may alter exposures to co</w:t>
      </w:r>
      <w:r w:rsidRPr="003A7A2D">
        <w:noBreakHyphen/>
        <w:t>administered drugs that are OAT1 or OAT3 substrates.</w:t>
      </w:r>
    </w:p>
    <w:p w14:paraId="048A43E9" w14:textId="2CB7E94C" w:rsidR="00E06041" w:rsidRPr="003A7A2D" w:rsidRDefault="00E06041" w:rsidP="00E06041">
      <w:r w:rsidRPr="003A7A2D">
        <w:t>Based on data in rats and dogs, edaravone had a low order of acute IV toxicity.</w:t>
      </w:r>
    </w:p>
    <w:p w14:paraId="475BF8CB" w14:textId="73506F61" w:rsidR="00E06041" w:rsidRPr="003A7A2D" w:rsidRDefault="00E06041" w:rsidP="00E06041">
      <w:r w:rsidRPr="003A7A2D">
        <w:t>Repeat-dose toxicity studies by the IV bolus route were conducted in rats and dogs (up to 6 months). Edaravone was also studied in multiple short-term repeat-dose studies in rats, dogs and monkeys by continuous IV infusion. Maximum exposures (</w:t>
      </w:r>
      <w:bookmarkStart w:id="48" w:name="_Hlk169231438"/>
      <w:r w:rsidRPr="003A7A2D">
        <w:t xml:space="preserve">area under the </w:t>
      </w:r>
      <w:r>
        <w:t>concentration</w:t>
      </w:r>
      <w:r w:rsidR="002F22E2">
        <w:t xml:space="preserve"> </w:t>
      </w:r>
      <w:r>
        <w:t>time</w:t>
      </w:r>
      <w:r w:rsidRPr="003A7A2D">
        <w:t xml:space="preserve"> curve, AUC</w:t>
      </w:r>
      <w:bookmarkEnd w:id="48"/>
      <w:r w:rsidRPr="003A7A2D">
        <w:t xml:space="preserve">) tested were high. Toxicity findings included transient signs of CNS suppression (staggering gait, limpness or sedation) associated with peak plasma levels, nerve degeneration associated with continuous IV infusion, haemolytic anaemia (reduction in red blood cell parameters, increased red blood cell turnover, augmented haematopoiesis, and increase in reticulocytes), and renal toxicity in combination with cephalosporin antibiotic </w:t>
      </w:r>
      <w:proofErr w:type="spellStart"/>
      <w:r w:rsidRPr="003A7A2D">
        <w:t>cefalotin</w:t>
      </w:r>
      <w:proofErr w:type="spellEnd"/>
      <w:r w:rsidRPr="003A7A2D">
        <w:t xml:space="preserve"> (degeneration and necrosis of renal proximal tubule epithelia). When </w:t>
      </w:r>
      <w:r w:rsidR="00576924" w:rsidRPr="003A7A2D">
        <w:t>considering</w:t>
      </w:r>
      <w:r w:rsidRPr="003A7A2D">
        <w:t xml:space="preserve"> the safety margins, the severity of the effects, and the intended patient group who have an impaired blood-brain barrier and nerve damage from the disease, the nerve degeneration seen in animals treated with edaravone should be considered a potential safety concern in patients.</w:t>
      </w:r>
    </w:p>
    <w:p w14:paraId="2E645199" w14:textId="1516BDA8" w:rsidR="00E06041" w:rsidRPr="003A7A2D" w:rsidRDefault="00E06041" w:rsidP="00E06041">
      <w:r w:rsidRPr="003A7A2D">
        <w:t xml:space="preserve">Edaravone was not mutagenic in the bacterial reverse mutation assay or clastogenic </w:t>
      </w:r>
      <w:r w:rsidRPr="003A7A2D">
        <w:rPr>
          <w:i/>
          <w:iCs/>
        </w:rPr>
        <w:t>in vitro</w:t>
      </w:r>
      <w:r w:rsidRPr="003A7A2D">
        <w:t xml:space="preserve"> (in chromosomal aberration assay in Chinese hamster lung fibroblasts) or </w:t>
      </w:r>
      <w:r w:rsidRPr="003A7A2D">
        <w:rPr>
          <w:i/>
          <w:iCs/>
        </w:rPr>
        <w:t>in vivo</w:t>
      </w:r>
      <w:r w:rsidRPr="003A7A2D">
        <w:t xml:space="preserve"> (in the mouse micronucleus test). A low genotoxic potential exists for edaravone.</w:t>
      </w:r>
    </w:p>
    <w:p w14:paraId="599B29DB" w14:textId="174ABD27" w:rsidR="00E06041" w:rsidRPr="003A7A2D" w:rsidRDefault="00E06041" w:rsidP="00E06041">
      <w:r w:rsidRPr="003A7A2D">
        <w:t xml:space="preserve">No treatment-related increase in tumour incidence was observed in transgenic mice or rats in </w:t>
      </w:r>
      <w:r w:rsidR="00BC13AF">
        <w:br/>
      </w:r>
      <w:r w:rsidRPr="003A7A2D">
        <w:t>6</w:t>
      </w:r>
      <w:r w:rsidR="00BC13AF">
        <w:t xml:space="preserve"> m</w:t>
      </w:r>
      <w:r w:rsidRPr="003A7A2D">
        <w:t>onth and 2</w:t>
      </w:r>
      <w:r w:rsidR="00BC13AF">
        <w:t xml:space="preserve"> </w:t>
      </w:r>
      <w:proofErr w:type="gramStart"/>
      <w:r w:rsidRPr="003A7A2D">
        <w:t>year</w:t>
      </w:r>
      <w:proofErr w:type="gramEnd"/>
      <w:r w:rsidRPr="003A7A2D">
        <w:t>, respectively, oral carcinogenicity studies. Edaravone is unlikely to be carcinogenic.</w:t>
      </w:r>
    </w:p>
    <w:p w14:paraId="30A19724" w14:textId="2B9EEDCF" w:rsidR="00E06041" w:rsidRPr="003A7A2D" w:rsidRDefault="00E06041" w:rsidP="00E06041">
      <w:r w:rsidRPr="003A7A2D">
        <w:t>There were no drug-related effects on reproductive organs in male rats treated with edaravone at doses less than or equal to 30 times the clinical dose based on body surface area (BSA). There was a decrease in copulation index and prolonged/irregular oestrus in female rats. The NOAEL for effects on oestrous cycling in female rats was low (3 times the clinical dose based on BSA).  Edaravone was not teratogenic in rats or rabbits. Adverse embryofetal development effects (lower fetal weights in rats and increased incidence of embryofetal deaths in rabbits) occurred at maternotoxic doses. High levels of drug-related material were excreted in the milk of lactating rats. In a peri</w:t>
      </w:r>
      <w:r w:rsidR="00A85F5C">
        <w:t>-</w:t>
      </w:r>
      <w:r w:rsidRPr="003A7A2D">
        <w:t>/postnatal study in rats, findings in the F1 generation</w:t>
      </w:r>
      <w:r w:rsidRPr="003A7A2D" w:rsidDel="007F7AC7">
        <w:t xml:space="preserve"> </w:t>
      </w:r>
      <w:r w:rsidRPr="003A7A2D">
        <w:t>included: delayed development in females, increased locomotor activity in behavioural assays, and an increased incidence in embryonic death in the F2 generation. The no adverse effect level for F1 development was subclinical based on BSA.</w:t>
      </w:r>
    </w:p>
    <w:p w14:paraId="42301F16" w14:textId="77777777" w:rsidR="00E06041" w:rsidRPr="003A7A2D" w:rsidRDefault="00E06041" w:rsidP="00E06041">
      <w:r w:rsidRPr="003A7A2D">
        <w:t>Injection site reactions are not predicted based on limited animal data.</w:t>
      </w:r>
    </w:p>
    <w:p w14:paraId="4B25751E" w14:textId="77777777" w:rsidR="00E06041" w:rsidRPr="003A7A2D" w:rsidRDefault="00E06041" w:rsidP="00E06041">
      <w:r w:rsidRPr="003A7A2D">
        <w:t>Withdrawal, place preference and self-administration studies of edaravone in rats, mice and monkeys did not indicate signs for dependence.</w:t>
      </w:r>
    </w:p>
    <w:p w14:paraId="770AEFD7" w14:textId="5F67FA42" w:rsidR="00E06041" w:rsidRPr="003A7A2D" w:rsidRDefault="00E06041" w:rsidP="00E06041">
      <w:r w:rsidRPr="003A7A2D">
        <w:t>The conclusions and recommendations of the nonclinical evaluation are:</w:t>
      </w:r>
    </w:p>
    <w:p w14:paraId="799FF32D" w14:textId="479CF62D" w:rsidR="00E06041" w:rsidRPr="003A7A2D" w:rsidRDefault="00E06041" w:rsidP="00E06041">
      <w:pPr>
        <w:pStyle w:val="ListBullet"/>
      </w:pPr>
      <w:r w:rsidRPr="003A7A2D">
        <w:rPr>
          <w:i/>
          <w:iCs/>
        </w:rPr>
        <w:t>In vitro</w:t>
      </w:r>
      <w:r w:rsidRPr="003A7A2D">
        <w:t xml:space="preserve"> pharmacology studies support that edaravone is a radical scavenging agent. However, overall, the data do not support clinical treatment of ALS with edaravone.</w:t>
      </w:r>
    </w:p>
    <w:p w14:paraId="08411118" w14:textId="77777777" w:rsidR="00E06041" w:rsidRPr="003A7A2D" w:rsidRDefault="00E06041" w:rsidP="00E06041">
      <w:pPr>
        <w:pStyle w:val="ListBullet"/>
      </w:pPr>
      <w:r w:rsidRPr="003A7A2D">
        <w:lastRenderedPageBreak/>
        <w:t>The retention of drug-related material to arterial tissues is a concern, though no obvious findings in toxicity studies could be attributed to this.</w:t>
      </w:r>
    </w:p>
    <w:p w14:paraId="4339700E" w14:textId="00B9F44F" w:rsidR="00E06041" w:rsidRPr="003A7A2D" w:rsidRDefault="00E06041" w:rsidP="00E06041">
      <w:pPr>
        <w:pStyle w:val="ListBullet"/>
      </w:pPr>
      <w:r w:rsidRPr="003A7A2D">
        <w:t>Findings in the repeat-dose toxicity studies indicates the following as potentially clinically relevant safety concerns:</w:t>
      </w:r>
    </w:p>
    <w:p w14:paraId="0D8C949E" w14:textId="7CCDB795" w:rsidR="00E06041" w:rsidRPr="003A7A2D" w:rsidRDefault="00E06041" w:rsidP="00E06041">
      <w:pPr>
        <w:pStyle w:val="ListBullet2"/>
      </w:pPr>
      <w:r w:rsidRPr="003A7A2D">
        <w:t>Central nervous system depression if given as an IV bolus injection.</w:t>
      </w:r>
    </w:p>
    <w:p w14:paraId="652E2878" w14:textId="1AF5ADD7" w:rsidR="00E06041" w:rsidRPr="003A7A2D" w:rsidRDefault="00E06041" w:rsidP="00E06041">
      <w:pPr>
        <w:pStyle w:val="ListBullet2"/>
      </w:pPr>
      <w:r w:rsidRPr="003A7A2D">
        <w:t>Nerve degeneration with lameness.</w:t>
      </w:r>
    </w:p>
    <w:p w14:paraId="36D370D7" w14:textId="5E1ACC13" w:rsidR="00E06041" w:rsidRPr="003A7A2D" w:rsidRDefault="00E06041" w:rsidP="00E06041">
      <w:pPr>
        <w:pStyle w:val="ListBullet2"/>
      </w:pPr>
      <w:r w:rsidRPr="003A7A2D">
        <w:t>Renal toxicity if used in conjunction with cephalosporin antibiotics; as the mechanism is unknown, edaravone may potentiate the renal toxicity of some other drugs, which cannot be predicted at this stage.</w:t>
      </w:r>
    </w:p>
    <w:p w14:paraId="689CBB80" w14:textId="63F897BE" w:rsidR="00E06041" w:rsidRPr="003A7A2D" w:rsidRDefault="00E06041" w:rsidP="00E06041">
      <w:pPr>
        <w:pStyle w:val="ListBullet"/>
      </w:pPr>
      <w:r w:rsidRPr="003A7A2D">
        <w:t>Edaravone is non-genotoxic and does not pose a carcinogenic hazard.</w:t>
      </w:r>
    </w:p>
    <w:p w14:paraId="5FD1FDB5" w14:textId="4F76F5BA" w:rsidR="00E06041" w:rsidRPr="003A7A2D" w:rsidRDefault="00E06041" w:rsidP="00E06041">
      <w:pPr>
        <w:pStyle w:val="ListBullet"/>
      </w:pPr>
      <w:r w:rsidRPr="003A7A2D">
        <w:t>Based on the nonclinical data, there are some concerns regarding the registration of edaravone for the proposed indication: limited evidence of efficacy and a potential risk of drug-associated nerve damage. If there was clear evidence of efficacy in clinical studies, the potential risks may be acceptable.</w:t>
      </w:r>
    </w:p>
    <w:p w14:paraId="35B580A5" w14:textId="69B9BE44" w:rsidR="00C22214" w:rsidRPr="003A7A2D" w:rsidRDefault="00C22214" w:rsidP="008804CF">
      <w:pPr>
        <w:pStyle w:val="Heading3"/>
      </w:pPr>
      <w:bookmarkStart w:id="49" w:name="_Toc247691530"/>
      <w:bookmarkStart w:id="50" w:name="_Toc314842513"/>
      <w:bookmarkStart w:id="51" w:name="_Toc103679297"/>
      <w:bookmarkStart w:id="52" w:name="_Toc174517606"/>
      <w:r w:rsidRPr="003A7A2D">
        <w:t>Clinical</w:t>
      </w:r>
      <w:bookmarkEnd w:id="49"/>
      <w:bookmarkEnd w:id="50"/>
      <w:bookmarkEnd w:id="51"/>
      <w:bookmarkEnd w:id="52"/>
    </w:p>
    <w:p w14:paraId="32B0DEDA" w14:textId="77777777" w:rsidR="00C22214" w:rsidRPr="003A7A2D" w:rsidRDefault="00C22214" w:rsidP="00433318">
      <w:pPr>
        <w:pStyle w:val="Heading4"/>
      </w:pPr>
      <w:bookmarkStart w:id="53" w:name="_Toc98931928"/>
      <w:bookmarkStart w:id="54" w:name="_Toc174517607"/>
      <w:r w:rsidRPr="003A7A2D">
        <w:t>Summary of clinical studies</w:t>
      </w:r>
      <w:bookmarkEnd w:id="53"/>
      <w:bookmarkEnd w:id="54"/>
    </w:p>
    <w:p w14:paraId="1A5075F1" w14:textId="77777777" w:rsidR="00E06041" w:rsidRPr="003A7A2D" w:rsidRDefault="00E06041" w:rsidP="00E06041">
      <w:r w:rsidRPr="003A7A2D">
        <w:t>The clinical dossier for edaravone (also referred to as MCI-186) included:</w:t>
      </w:r>
    </w:p>
    <w:p w14:paraId="1BC962E3" w14:textId="06981F97" w:rsidR="00E06041" w:rsidRPr="003A7A2D" w:rsidRDefault="00E06041" w:rsidP="00E06041">
      <w:pPr>
        <w:pStyle w:val="ListBullet"/>
      </w:pPr>
      <w:r w:rsidRPr="003A7A2D">
        <w:t>Five Phase I pharmacokinetic (PK) studies in healthy subjects (three studies in Japan, two studies in Europe):</w:t>
      </w:r>
    </w:p>
    <w:p w14:paraId="17E36B1F" w14:textId="0053BFD9" w:rsidR="00E06041" w:rsidRPr="003A7A2D" w:rsidRDefault="00E06041" w:rsidP="00E06041">
      <w:pPr>
        <w:pStyle w:val="ListBullet2"/>
      </w:pPr>
      <w:r w:rsidRPr="003A7A2D">
        <w:t>Study MCI-186-01 (Japan): first-in-human study to assess the safety and PK of edaravone, using a single-dose phase and a multi-dose phase.</w:t>
      </w:r>
    </w:p>
    <w:p w14:paraId="0A9130C6" w14:textId="34567963" w:rsidR="00E06041" w:rsidRPr="003A7A2D" w:rsidRDefault="00E06041" w:rsidP="00E06041">
      <w:pPr>
        <w:pStyle w:val="ListBullet2"/>
      </w:pPr>
      <w:r w:rsidRPr="003A7A2D">
        <w:t>Study MCI-186-14 (Japan): safety and PK of edaravone with a 48</w:t>
      </w:r>
      <w:r w:rsidR="00A85F5C">
        <w:t>-</w:t>
      </w:r>
      <w:r w:rsidRPr="003A7A2D">
        <w:t>hour continuous infusion.</w:t>
      </w:r>
    </w:p>
    <w:p w14:paraId="7F08CB5B" w14:textId="74FBF91E" w:rsidR="00E06041" w:rsidRPr="003A7A2D" w:rsidRDefault="00E06041" w:rsidP="00E06041">
      <w:pPr>
        <w:pStyle w:val="ListBullet2"/>
      </w:pPr>
      <w:r w:rsidRPr="003A7A2D">
        <w:t>Study MCI-186-E01 (Europe) and Study MCI-186-E02 (Europe): safety and PK of edaravone in Caucasian subjects.</w:t>
      </w:r>
    </w:p>
    <w:p w14:paraId="0F6E6171" w14:textId="34DA2A23" w:rsidR="00E06041" w:rsidRPr="003A7A2D" w:rsidRDefault="00E06041" w:rsidP="00E06041">
      <w:pPr>
        <w:pStyle w:val="ListBullet2"/>
      </w:pPr>
      <w:r w:rsidRPr="003A7A2D">
        <w:t>Study MCI-186-10 (Japan): PK and pharmacodynamics (PD) of edaravone, and the effect of age on PK.</w:t>
      </w:r>
    </w:p>
    <w:p w14:paraId="189CD770" w14:textId="7720BFE4" w:rsidR="00E06041" w:rsidRPr="003A7A2D" w:rsidRDefault="00E06041" w:rsidP="00E06041">
      <w:pPr>
        <w:pStyle w:val="ListBullet"/>
      </w:pPr>
      <w:r w:rsidRPr="003A7A2D">
        <w:t>Four post-marketing PK or PD studies:</w:t>
      </w:r>
    </w:p>
    <w:p w14:paraId="54019DAE" w14:textId="552607EB" w:rsidR="00E06041" w:rsidRPr="003A7A2D" w:rsidRDefault="00E06041" w:rsidP="00E06041">
      <w:pPr>
        <w:pStyle w:val="ListBullet2"/>
      </w:pPr>
      <w:r w:rsidRPr="003A7A2D">
        <w:t>Study MCI-186-E05 (Europe): open label, single dose PK study in subjects with severe hepatic impairment compared to subjects with normal hepatic function.</w:t>
      </w:r>
    </w:p>
    <w:p w14:paraId="5D0B0CAD" w14:textId="067C62DA" w:rsidR="00E06041" w:rsidRPr="003A7A2D" w:rsidRDefault="00E06041" w:rsidP="00E06041">
      <w:pPr>
        <w:pStyle w:val="ListBullet2"/>
      </w:pPr>
      <w:r w:rsidRPr="003A7A2D">
        <w:t>Study MCI-186-J22 (Japan): open label, single dose PK study in subjects with mild or moderate renal impairment compared to subjects with normal renal function.</w:t>
      </w:r>
    </w:p>
    <w:p w14:paraId="0BF23B57" w14:textId="7230361D" w:rsidR="00E06041" w:rsidRPr="003A7A2D" w:rsidRDefault="00E06041" w:rsidP="00E06041">
      <w:pPr>
        <w:pStyle w:val="ListBullet2"/>
      </w:pPr>
      <w:r w:rsidRPr="003A7A2D">
        <w:t>Study MCI-186-J23 (Japan): multicentre, open label, single dose PK study in subjects with mild or moderate hepatic impairment compared to subjects with normal hepatic function.</w:t>
      </w:r>
    </w:p>
    <w:p w14:paraId="66DB410F" w14:textId="4F06639C" w:rsidR="00E06041" w:rsidRPr="003A7A2D" w:rsidRDefault="00E06041" w:rsidP="00E06041">
      <w:pPr>
        <w:pStyle w:val="ListBullet2"/>
      </w:pPr>
      <w:r w:rsidRPr="003A7A2D">
        <w:lastRenderedPageBreak/>
        <w:t>Study MCI-186-J25 (Japan): randomised, single blind, placebo controlled, three-way crossover study to evaluate the effect of MCI-186 at therapeutic and supra-therapeutic doses on QT/QTc in healthy subjects.</w:t>
      </w:r>
      <w:r w:rsidRPr="003A7A2D">
        <w:rPr>
          <w:rStyle w:val="FootnoteReference"/>
        </w:rPr>
        <w:footnoteReference w:id="4"/>
      </w:r>
    </w:p>
    <w:p w14:paraId="045BCF18" w14:textId="77777777" w:rsidR="00E06041" w:rsidRPr="003A7A2D" w:rsidRDefault="00E06041" w:rsidP="00E06041">
      <w:pPr>
        <w:pStyle w:val="ListBullet"/>
      </w:pPr>
      <w:r w:rsidRPr="003A7A2D">
        <w:t>Five efficacy and safety studies in patients with ALS:</w:t>
      </w:r>
    </w:p>
    <w:p w14:paraId="51247BBF" w14:textId="10865ADE" w:rsidR="00E06041" w:rsidRPr="003A7A2D" w:rsidRDefault="00E06041" w:rsidP="00E06041">
      <w:pPr>
        <w:pStyle w:val="ListBullet2"/>
      </w:pPr>
      <w:r w:rsidRPr="003A7A2D">
        <w:t>Study MCI-186-12: Phase II exploratory, proof-of-principle study.</w:t>
      </w:r>
    </w:p>
    <w:p w14:paraId="7FAC38C8" w14:textId="348097F5" w:rsidR="00E06041" w:rsidRPr="003A7A2D" w:rsidRDefault="00E06041" w:rsidP="00E06041">
      <w:pPr>
        <w:pStyle w:val="ListBullet2"/>
      </w:pPr>
      <w:r w:rsidRPr="003A7A2D">
        <w:t>Study MCI-186-16: Phase III study (this was a negative study, but post hoc analyses after data unblinding suggested a benefit in a sub-population)</w:t>
      </w:r>
    </w:p>
    <w:p w14:paraId="0D0B4E2A" w14:textId="30DD7C9F" w:rsidR="00E06041" w:rsidRPr="003A7A2D" w:rsidRDefault="00E06041" w:rsidP="00E06041">
      <w:pPr>
        <w:pStyle w:val="ListBullet2"/>
      </w:pPr>
      <w:r w:rsidRPr="003A7A2D">
        <w:t>Study MCI-186-19: Phase III study (evaluated efficacy in a restricted population based on the post hoc findings from Study MCI-186-16)</w:t>
      </w:r>
    </w:p>
    <w:p w14:paraId="05C25E54" w14:textId="77777777" w:rsidR="00E06041" w:rsidRPr="003A7A2D" w:rsidRDefault="00E06041" w:rsidP="00E06041">
      <w:pPr>
        <w:pStyle w:val="ListBullet2"/>
      </w:pPr>
      <w:r w:rsidRPr="003A7A2D">
        <w:t>Study MCI-186-17: extension study for patients enrolled in Study MCI-186-16.</w:t>
      </w:r>
    </w:p>
    <w:p w14:paraId="0CA9716B" w14:textId="77777777" w:rsidR="00E06041" w:rsidRPr="003A7A2D" w:rsidRDefault="00E06041" w:rsidP="00E06041">
      <w:pPr>
        <w:pStyle w:val="ListBullet2"/>
      </w:pPr>
      <w:r w:rsidRPr="003A7A2D">
        <w:t>Study MCI-186-18: exploratory study in patients with ALS severity grade 3</w:t>
      </w:r>
      <w:r w:rsidRPr="003A7A2D">
        <w:rPr>
          <w:bCs/>
        </w:rPr>
        <w:t>.</w:t>
      </w:r>
    </w:p>
    <w:p w14:paraId="5B70D27D" w14:textId="77777777" w:rsidR="00E06041" w:rsidRPr="003A7A2D" w:rsidRDefault="00E06041" w:rsidP="00E06041">
      <w:pPr>
        <w:pStyle w:val="ListBullet"/>
      </w:pPr>
      <w:r w:rsidRPr="003A7A2D">
        <w:t>Eight studies of edaravone in patients with acute ischaemic stroke and three studies in patients with subarachnoid haemorrhage were included in the safety evaluation.</w:t>
      </w:r>
    </w:p>
    <w:p w14:paraId="3B138A8E" w14:textId="77777777" w:rsidR="00A3791E" w:rsidRPr="00A3791E" w:rsidRDefault="00A3791E" w:rsidP="007B2DBD">
      <w:pPr>
        <w:pStyle w:val="Heading4"/>
        <w:rPr>
          <w:rFonts w:eastAsia="Times New Roman"/>
          <w:i/>
          <w:color w:val="0070B5"/>
        </w:rPr>
      </w:pPr>
      <w:bookmarkStart w:id="55" w:name="_Toc174517608"/>
      <w:r w:rsidRPr="00A3791E">
        <w:t>Pharmacology</w:t>
      </w:r>
      <w:bookmarkEnd w:id="55"/>
    </w:p>
    <w:p w14:paraId="77B730C4" w14:textId="77777777" w:rsidR="00A3791E" w:rsidRPr="00A3791E" w:rsidRDefault="00A3791E" w:rsidP="007B2DBD">
      <w:pPr>
        <w:pStyle w:val="Heading5"/>
      </w:pPr>
      <w:r w:rsidRPr="00A3791E">
        <w:t>Pharmacokinetics (PK)</w:t>
      </w:r>
    </w:p>
    <w:p w14:paraId="4E55F7C1" w14:textId="391D2C03" w:rsidR="00A3791E" w:rsidRPr="00A3791E" w:rsidRDefault="00A3791E" w:rsidP="00BC13AF">
      <w:pPr>
        <w:spacing w:before="120" w:line="240" w:lineRule="atLeast"/>
        <w:rPr>
          <w:rFonts w:eastAsia="Cambria"/>
        </w:rPr>
      </w:pPr>
      <w:r w:rsidRPr="00A3791E">
        <w:rPr>
          <w:rFonts w:eastAsia="Cambria" w:cs="Times New Roman"/>
          <w:szCs w:val="22"/>
          <w:lang w:eastAsia="ja-JP"/>
        </w:rPr>
        <w:t xml:space="preserve">The development program included five Phase 1 PK studies in healthy subjects, including three studies (MCI-186-01, MCI-186-14, MCI-186-10) in male Japanese subjects </w:t>
      </w:r>
      <w:r w:rsidRPr="00A3791E">
        <w:rPr>
          <w:rFonts w:eastAsia="Cambria" w:cs="Times New Roman"/>
          <w:szCs w:val="22"/>
        </w:rPr>
        <w:t>(age range 20 to 71 years, weight 50.9 to 85.0 kg)</w:t>
      </w:r>
      <w:r w:rsidRPr="00A3791E">
        <w:rPr>
          <w:rFonts w:eastAsia="Cambria" w:cs="Times New Roman"/>
          <w:szCs w:val="22"/>
          <w:lang w:eastAsia="ja-JP"/>
        </w:rPr>
        <w:t xml:space="preserve"> and two studies (MCI-186-E01, MCI-186-E02) in Caucasian males and females </w:t>
      </w:r>
      <w:r w:rsidRPr="00A3791E">
        <w:rPr>
          <w:rFonts w:eastAsia="Cambria" w:cs="Times New Roman"/>
          <w:szCs w:val="22"/>
        </w:rPr>
        <w:t>(age range 51 to 77 years, weight 49.9 to 100.3 kg)</w:t>
      </w:r>
      <w:r w:rsidRPr="00A3791E">
        <w:rPr>
          <w:rFonts w:eastAsia="Cambria" w:cs="Times New Roman"/>
          <w:szCs w:val="22"/>
          <w:lang w:eastAsia="ja-JP"/>
        </w:rPr>
        <w:t>. The studies evaluated different dosing regimens with different doses and infusion durations, ranging from single dose infusions given over 40 minutes to continuous infusions for 48 hours (</w:t>
      </w:r>
      <w:r w:rsidRPr="00A3791E">
        <w:rPr>
          <w:rFonts w:eastAsia="Cambria" w:cs="Times New Roman"/>
          <w:szCs w:val="22"/>
          <w:lang w:eastAsia="ja-JP"/>
        </w:rPr>
        <w:fldChar w:fldCharType="begin"/>
      </w:r>
      <w:r w:rsidRPr="00A3791E">
        <w:rPr>
          <w:rFonts w:eastAsia="Cambria" w:cs="Times New Roman"/>
          <w:szCs w:val="22"/>
          <w:lang w:eastAsia="ja-JP"/>
        </w:rPr>
        <w:instrText xml:space="preserve"> REF _Ref106273264 \h </w:instrText>
      </w:r>
      <w:r w:rsidRPr="00A3791E">
        <w:rPr>
          <w:rFonts w:eastAsia="Cambria" w:cs="Times New Roman"/>
          <w:szCs w:val="22"/>
          <w:lang w:eastAsia="ja-JP"/>
        </w:rPr>
      </w:r>
      <w:r w:rsidRPr="00A3791E">
        <w:rPr>
          <w:rFonts w:eastAsia="Cambria" w:cs="Times New Roman"/>
          <w:szCs w:val="22"/>
          <w:lang w:eastAsia="ja-JP"/>
        </w:rPr>
        <w:fldChar w:fldCharType="separate"/>
      </w:r>
      <w:r w:rsidRPr="00A3791E">
        <w:rPr>
          <w:rFonts w:eastAsia="Cambria" w:cs="Times New Roman"/>
          <w:szCs w:val="22"/>
        </w:rPr>
        <w:t xml:space="preserve">Table </w:t>
      </w:r>
      <w:r w:rsidRPr="00A3791E">
        <w:rPr>
          <w:rFonts w:eastAsia="Cambria" w:cs="Times New Roman"/>
          <w:noProof/>
          <w:szCs w:val="22"/>
        </w:rPr>
        <w:t>3</w:t>
      </w:r>
      <w:r w:rsidRPr="00A3791E">
        <w:rPr>
          <w:rFonts w:eastAsia="Cambria" w:cs="Times New Roman"/>
          <w:szCs w:val="22"/>
          <w:lang w:eastAsia="ja-JP"/>
        </w:rPr>
        <w:fldChar w:fldCharType="end"/>
      </w:r>
      <w:r w:rsidRPr="00A3791E">
        <w:rPr>
          <w:rFonts w:eastAsia="Cambria" w:cs="Times New Roman"/>
          <w:szCs w:val="22"/>
          <w:lang w:eastAsia="ja-JP"/>
        </w:rPr>
        <w:t>).</w:t>
      </w:r>
      <w:r w:rsidR="00BC13AF" w:rsidRPr="00BC13AF">
        <w:rPr>
          <w:rFonts w:eastAsia="Cambria" w:cs="Times New Roman"/>
          <w:szCs w:val="22"/>
          <w:lang w:eastAsia="ja-JP"/>
        </w:rPr>
        <w:t xml:space="preserve"> </w:t>
      </w:r>
      <w:r w:rsidRPr="00A3791E">
        <w:rPr>
          <w:rFonts w:eastAsia="Cambria" w:cs="Times New Roman"/>
          <w:szCs w:val="22"/>
        </w:rPr>
        <w:t>The only PK/PD study directly assessing the proposed dose was MCI-186-J25, a post-marketing QT study in Japanese healthy volunteers. The PK properties of edaravone, as summarised below, are derived primarily from simulation results from</w:t>
      </w:r>
      <w:r w:rsidR="00C246B1">
        <w:rPr>
          <w:rFonts w:eastAsia="Cambria" w:cs="Times New Roman"/>
          <w:szCs w:val="22"/>
        </w:rPr>
        <w:t xml:space="preserve"> Population PK data</w:t>
      </w:r>
      <w:r w:rsidRPr="00A3791E">
        <w:rPr>
          <w:rFonts w:eastAsia="Cambria" w:cs="Times New Roman"/>
          <w:szCs w:val="22"/>
        </w:rPr>
        <w:t xml:space="preserve"> </w:t>
      </w:r>
      <w:r w:rsidR="00BD2C12">
        <w:rPr>
          <w:rFonts w:eastAsia="Cambria" w:cs="Times New Roman"/>
          <w:szCs w:val="22"/>
        </w:rPr>
        <w:t>(</w:t>
      </w:r>
      <w:r w:rsidRPr="00A3791E">
        <w:rPr>
          <w:rFonts w:eastAsia="Cambria" w:cs="Times New Roman"/>
          <w:szCs w:val="22"/>
        </w:rPr>
        <w:t>popPK</w:t>
      </w:r>
      <w:r w:rsidR="00BD2C12">
        <w:rPr>
          <w:rFonts w:eastAsia="Cambria" w:cs="Times New Roman"/>
          <w:szCs w:val="22"/>
        </w:rPr>
        <w:t>)</w:t>
      </w:r>
      <w:r w:rsidR="00BB7563">
        <w:rPr>
          <w:rFonts w:asciiTheme="minorEastAsia" w:hAnsiTheme="minorEastAsia" w:cs="Times New Roman" w:hint="eastAsia"/>
          <w:szCs w:val="22"/>
          <w:lang w:eastAsia="ja-JP"/>
        </w:rPr>
        <w:t xml:space="preserve"> </w:t>
      </w:r>
      <w:r w:rsidRPr="00A3791E">
        <w:rPr>
          <w:rFonts w:eastAsia="Cambria" w:cs="Times New Roman"/>
          <w:szCs w:val="22"/>
        </w:rPr>
        <w:t xml:space="preserve">analysis of the five Phase 1 PK studies.  </w:t>
      </w:r>
      <w:r w:rsidRPr="00A3791E">
        <w:rPr>
          <w:rFonts w:eastAsia="Cambria"/>
        </w:rPr>
        <w:t xml:space="preserve">Absorption </w:t>
      </w:r>
    </w:p>
    <w:p w14:paraId="530E921C" w14:textId="2F2E3573" w:rsidR="00A3791E" w:rsidRPr="00A3791E" w:rsidRDefault="00BD2C12" w:rsidP="00A3791E">
      <w:pPr>
        <w:spacing w:before="120" w:line="240" w:lineRule="atLeast"/>
        <w:rPr>
          <w:rFonts w:eastAsia="Cambria" w:cs="Times New Roman"/>
          <w:szCs w:val="22"/>
          <w:lang w:eastAsia="ja-JP"/>
        </w:rPr>
      </w:pPr>
      <w:r>
        <w:rPr>
          <w:rFonts w:eastAsia="Cambria" w:cs="Calibri"/>
          <w:szCs w:val="22"/>
        </w:rPr>
        <w:t>Edaravone</w:t>
      </w:r>
      <w:r w:rsidR="00A3791E" w:rsidRPr="00A3791E">
        <w:rPr>
          <w:rFonts w:eastAsia="Cambria" w:cs="Calibri"/>
          <w:szCs w:val="22"/>
        </w:rPr>
        <w:t xml:space="preserve"> is administered by intravenous injection with the </w:t>
      </w:r>
      <w:bookmarkStart w:id="56" w:name="_Hlk169231504"/>
      <w:r w:rsidR="00A3791E" w:rsidRPr="00A3791E">
        <w:rPr>
          <w:rFonts w:eastAsia="Cambria" w:cs="Calibri"/>
          <w:szCs w:val="22"/>
        </w:rPr>
        <w:t>maximum plasma concentration (C</w:t>
      </w:r>
      <w:r w:rsidR="00A3791E" w:rsidRPr="00A3791E">
        <w:rPr>
          <w:rFonts w:eastAsia="Cambria" w:cs="Calibri"/>
          <w:szCs w:val="22"/>
          <w:vertAlign w:val="subscript"/>
        </w:rPr>
        <w:t>max</w:t>
      </w:r>
      <w:r w:rsidR="00A3791E" w:rsidRPr="00A3791E">
        <w:rPr>
          <w:rFonts w:eastAsia="Cambria" w:cs="Calibri"/>
          <w:szCs w:val="22"/>
        </w:rPr>
        <w:t xml:space="preserve">) </w:t>
      </w:r>
      <w:bookmarkEnd w:id="56"/>
      <w:r w:rsidR="00A3791E" w:rsidRPr="00A3791E">
        <w:rPr>
          <w:rFonts w:eastAsia="Cambria" w:cs="Calibri"/>
          <w:szCs w:val="22"/>
        </w:rPr>
        <w:t>of edaravone reached by the end of the infusion (60 mg edaravone for 60 min).  No gender effect on edaravone pharmacokinetics has been found. There were no significant racial differences in C</w:t>
      </w:r>
      <w:r w:rsidR="00A3791E" w:rsidRPr="00F05E60">
        <w:rPr>
          <w:rFonts w:eastAsia="Cambria" w:cs="Calibri"/>
          <w:szCs w:val="22"/>
          <w:vertAlign w:val="subscript"/>
        </w:rPr>
        <w:t>max</w:t>
      </w:r>
      <w:r w:rsidR="00A3791E" w:rsidRPr="00A3791E">
        <w:rPr>
          <w:rFonts w:eastAsia="Cambria" w:cs="Calibri"/>
          <w:szCs w:val="22"/>
        </w:rPr>
        <w:t xml:space="preserve"> and the AUC of edaravone between Japanese and Caucasian subjects. There was a trend of more than dose-proportional increase in AUC and C</w:t>
      </w:r>
      <w:r w:rsidR="00A3791E" w:rsidRPr="004B2EE9">
        <w:rPr>
          <w:rFonts w:eastAsia="Cambria" w:cs="Calibri"/>
          <w:szCs w:val="22"/>
          <w:vertAlign w:val="subscript"/>
        </w:rPr>
        <w:t>max</w:t>
      </w:r>
      <w:r w:rsidR="00A3791E" w:rsidRPr="00A3791E">
        <w:rPr>
          <w:rFonts w:eastAsia="Cambria" w:cs="Calibri"/>
          <w:szCs w:val="22"/>
        </w:rPr>
        <w:t xml:space="preserve"> of edaravone. With multiple-dose administration, </w:t>
      </w:r>
      <w:proofErr w:type="spellStart"/>
      <w:r w:rsidR="00A3791E" w:rsidRPr="00A3791E">
        <w:rPr>
          <w:rFonts w:eastAsia="Cambria" w:cs="Calibri"/>
          <w:szCs w:val="22"/>
        </w:rPr>
        <w:t>edaravone</w:t>
      </w:r>
      <w:proofErr w:type="spellEnd"/>
      <w:r w:rsidR="00A3791E" w:rsidRPr="00A3791E">
        <w:rPr>
          <w:rFonts w:eastAsia="Cambria" w:cs="Calibri"/>
          <w:szCs w:val="22"/>
        </w:rPr>
        <w:t xml:space="preserve"> does not accumulate in plasma. </w:t>
      </w:r>
    </w:p>
    <w:p w14:paraId="1D11FA2C" w14:textId="77777777" w:rsidR="00BC13AF" w:rsidRDefault="00A3791E" w:rsidP="001A1B56">
      <w:pPr>
        <w:pStyle w:val="TableTitle"/>
      </w:pPr>
      <w:bookmarkStart w:id="57" w:name="_Ref106273264"/>
      <w:r w:rsidRPr="00A3791E">
        <w:lastRenderedPageBreak/>
        <w:t xml:space="preserve">Table </w:t>
      </w:r>
      <w:r w:rsidR="00C451A8">
        <w:fldChar w:fldCharType="begin"/>
      </w:r>
      <w:r w:rsidR="00C451A8">
        <w:instrText xml:space="preserve"> SEQ Table \* ARABIC </w:instrText>
      </w:r>
      <w:r w:rsidR="00C451A8">
        <w:fldChar w:fldCharType="separate"/>
      </w:r>
      <w:r w:rsidRPr="00A3791E">
        <w:rPr>
          <w:noProof/>
        </w:rPr>
        <w:t>3</w:t>
      </w:r>
      <w:r w:rsidR="00C451A8">
        <w:rPr>
          <w:noProof/>
        </w:rPr>
        <w:fldChar w:fldCharType="end"/>
      </w:r>
      <w:bookmarkEnd w:id="57"/>
      <w:r w:rsidRPr="00A3791E">
        <w:t xml:space="preserve"> Studies contributing to the PK and PD evaluation of </w:t>
      </w:r>
      <w:proofErr w:type="spellStart"/>
      <w:r w:rsidRPr="00A3791E">
        <w:t>edaravone</w:t>
      </w:r>
      <w:proofErr w:type="spellEnd"/>
    </w:p>
    <w:p w14:paraId="1A899738" w14:textId="77777777" w:rsidR="00BC13AF" w:rsidRDefault="00A3791E" w:rsidP="00BC13AF">
      <w:pPr>
        <w:rPr>
          <w:rFonts w:eastAsia="Times New Roman"/>
          <w:color w:val="FF9900"/>
          <w:lang w:eastAsia="ja-JP"/>
        </w:rPr>
      </w:pPr>
      <w:r w:rsidRPr="00A3791E">
        <w:rPr>
          <w:noProof/>
        </w:rPr>
        <w:drawing>
          <wp:inline distT="0" distB="0" distL="0" distR="0" wp14:anchorId="19C0C193" wp14:editId="51993010">
            <wp:extent cx="8425128" cy="4411384"/>
            <wp:effectExtent l="6350" t="0" r="1905" b="1905"/>
            <wp:docPr id="1948149764" name="図 1948149764"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49764" name="Picture 1948149764" descr="A white sheet with black text&#10;&#10;Description automatically generated"/>
                    <pic:cNvPicPr/>
                  </pic:nvPicPr>
                  <pic:blipFill>
                    <a:blip r:embed="rId24"/>
                    <a:stretch>
                      <a:fillRect/>
                    </a:stretch>
                  </pic:blipFill>
                  <pic:spPr>
                    <a:xfrm rot="16200000">
                      <a:off x="0" y="0"/>
                      <a:ext cx="8466171" cy="4432874"/>
                    </a:xfrm>
                    <a:prstGeom prst="rect">
                      <a:avLst/>
                    </a:prstGeom>
                  </pic:spPr>
                </pic:pic>
              </a:graphicData>
            </a:graphic>
          </wp:inline>
        </w:drawing>
      </w:r>
    </w:p>
    <w:p w14:paraId="647C885A" w14:textId="77777777" w:rsidR="00BC13AF" w:rsidRPr="00BC13AF" w:rsidRDefault="004D4EB4" w:rsidP="00BC13AF">
      <w:pPr>
        <w:rPr>
          <w:rFonts w:eastAsia="Times New Roman"/>
          <w:lang w:eastAsia="ja-JP"/>
        </w:rPr>
      </w:pPr>
      <w:r>
        <w:rPr>
          <w:noProof/>
        </w:rPr>
        <w:lastRenderedPageBreak/>
        <w:drawing>
          <wp:inline distT="0" distB="0" distL="0" distR="0" wp14:anchorId="5599A8CC" wp14:editId="7E505AFE">
            <wp:extent cx="9014488" cy="4706020"/>
            <wp:effectExtent l="1587" t="0" r="0" b="0"/>
            <wp:docPr id="1741536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36233" name=""/>
                    <pic:cNvPicPr/>
                  </pic:nvPicPr>
                  <pic:blipFill>
                    <a:blip r:embed="rId25"/>
                    <a:stretch>
                      <a:fillRect/>
                    </a:stretch>
                  </pic:blipFill>
                  <pic:spPr>
                    <a:xfrm rot="16200000">
                      <a:off x="0" y="0"/>
                      <a:ext cx="9034791" cy="4716619"/>
                    </a:xfrm>
                    <a:prstGeom prst="rect">
                      <a:avLst/>
                    </a:prstGeom>
                  </pic:spPr>
                </pic:pic>
              </a:graphicData>
            </a:graphic>
          </wp:inline>
        </w:drawing>
      </w:r>
    </w:p>
    <w:p w14:paraId="34D7C7CC" w14:textId="2E61440E" w:rsidR="00456E75" w:rsidRPr="00BC13AF" w:rsidRDefault="001A1B56" w:rsidP="00BC13AF">
      <w:pPr>
        <w:rPr>
          <w:rFonts w:eastAsia="Times New Roman"/>
          <w:lang w:eastAsia="ja-JP"/>
        </w:rPr>
      </w:pPr>
      <w:r>
        <w:rPr>
          <w:noProof/>
        </w:rPr>
        <w:lastRenderedPageBreak/>
        <w:drawing>
          <wp:inline distT="0" distB="0" distL="0" distR="0" wp14:anchorId="66F2A8D5" wp14:editId="1CC03677">
            <wp:extent cx="8733479" cy="5154094"/>
            <wp:effectExtent l="0" t="952" r="0" b="0"/>
            <wp:docPr id="156152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2486" name=""/>
                    <pic:cNvPicPr/>
                  </pic:nvPicPr>
                  <pic:blipFill rotWithShape="1">
                    <a:blip r:embed="rId26"/>
                    <a:srcRect t="-1" b="968"/>
                    <a:stretch/>
                  </pic:blipFill>
                  <pic:spPr bwMode="auto">
                    <a:xfrm rot="16200000">
                      <a:off x="0" y="0"/>
                      <a:ext cx="8752401" cy="5165261"/>
                    </a:xfrm>
                    <a:prstGeom prst="rect">
                      <a:avLst/>
                    </a:prstGeom>
                    <a:ln>
                      <a:noFill/>
                    </a:ln>
                    <a:extLst>
                      <a:ext uri="{53640926-AAD7-44D8-BBD7-CCE9431645EC}">
                        <a14:shadowObscured xmlns:a14="http://schemas.microsoft.com/office/drawing/2010/main"/>
                      </a:ext>
                    </a:extLst>
                  </pic:spPr>
                </pic:pic>
              </a:graphicData>
            </a:graphic>
          </wp:inline>
        </w:drawing>
      </w:r>
    </w:p>
    <w:p w14:paraId="2B742925" w14:textId="77777777" w:rsidR="00A3791E" w:rsidRPr="00A3791E" w:rsidRDefault="00A3791E" w:rsidP="007B2DBD">
      <w:pPr>
        <w:pStyle w:val="Heading6"/>
        <w:rPr>
          <w:rFonts w:eastAsia="Cambria"/>
        </w:rPr>
      </w:pPr>
      <w:r w:rsidRPr="00A3791E">
        <w:rPr>
          <w:rFonts w:eastAsia="Cambria"/>
        </w:rPr>
        <w:lastRenderedPageBreak/>
        <w:t xml:space="preserve">Distribution </w:t>
      </w:r>
    </w:p>
    <w:p w14:paraId="225B3467" w14:textId="77777777" w:rsidR="00A3791E" w:rsidRPr="00A3791E" w:rsidRDefault="00A3791E" w:rsidP="00A3791E">
      <w:pPr>
        <w:spacing w:before="120" w:line="240" w:lineRule="atLeast"/>
        <w:rPr>
          <w:rFonts w:eastAsia="Cambria" w:cs="Calibri"/>
          <w:szCs w:val="22"/>
        </w:rPr>
      </w:pPr>
      <w:r w:rsidRPr="00A3791E">
        <w:rPr>
          <w:rFonts w:eastAsia="Cambria" w:cs="Calibri"/>
          <w:szCs w:val="22"/>
        </w:rPr>
        <w:t xml:space="preserve">Edaravone is bound to human serum proteins (92%), mainly to albumin, with no concentration dependence in the range of 0.1 to 50 </w:t>
      </w:r>
      <w:proofErr w:type="spellStart"/>
      <w:r w:rsidRPr="00A3791E">
        <w:rPr>
          <w:rFonts w:eastAsia="Cambria" w:cs="Calibri"/>
          <w:szCs w:val="22"/>
        </w:rPr>
        <w:t>micromol</w:t>
      </w:r>
      <w:proofErr w:type="spellEnd"/>
      <w:r w:rsidRPr="00A3791E">
        <w:rPr>
          <w:rFonts w:eastAsia="Cambria" w:cs="Calibri"/>
          <w:szCs w:val="22"/>
        </w:rPr>
        <w:t xml:space="preserve">/L. </w:t>
      </w:r>
    </w:p>
    <w:p w14:paraId="1FF62398" w14:textId="77777777" w:rsidR="00A3791E" w:rsidRPr="00A3791E" w:rsidRDefault="00A3791E" w:rsidP="007B2DBD">
      <w:pPr>
        <w:pStyle w:val="Heading6"/>
        <w:rPr>
          <w:rFonts w:eastAsia="Cambria"/>
        </w:rPr>
      </w:pPr>
      <w:r w:rsidRPr="00A3791E">
        <w:rPr>
          <w:rFonts w:eastAsia="Cambria"/>
        </w:rPr>
        <w:t xml:space="preserve">Metabolism </w:t>
      </w:r>
    </w:p>
    <w:p w14:paraId="40C03F55" w14:textId="77777777" w:rsidR="00A3791E" w:rsidRPr="00A3791E" w:rsidRDefault="00A3791E" w:rsidP="00A3791E">
      <w:pPr>
        <w:spacing w:before="120" w:line="240" w:lineRule="atLeast"/>
        <w:rPr>
          <w:rFonts w:eastAsia="Cambria" w:cs="Calibri"/>
          <w:szCs w:val="22"/>
        </w:rPr>
      </w:pPr>
      <w:r w:rsidRPr="00A3791E">
        <w:rPr>
          <w:rFonts w:eastAsia="Cambria" w:cs="Calibri"/>
          <w:szCs w:val="22"/>
        </w:rPr>
        <w:t xml:space="preserve">Edaravone is metabolised to a sulfate conjugate and a glucuronide conjugate, which are not pharmacologically active. The glucuronide conjugation of edaravone involves multiple uridine diphosphate glucuronosyltransferase (UGT) isoforms (UGT1A6, UGT1A9, UGT2B7, and UGT2B17) in the liver and kidney. In human plasma, edaravone is mainly detected as the sulfate conjugate, which is presumed to be formed by sulfotransferases. </w:t>
      </w:r>
    </w:p>
    <w:p w14:paraId="2A4A73CD" w14:textId="77777777" w:rsidR="00A3791E" w:rsidRPr="00A3791E" w:rsidRDefault="00A3791E" w:rsidP="007B2DBD">
      <w:pPr>
        <w:pStyle w:val="Heading6"/>
        <w:rPr>
          <w:rFonts w:eastAsia="Cambria"/>
        </w:rPr>
      </w:pPr>
      <w:r w:rsidRPr="00A3791E">
        <w:rPr>
          <w:rFonts w:eastAsia="Cambria"/>
        </w:rPr>
        <w:t xml:space="preserve">Excretion </w:t>
      </w:r>
    </w:p>
    <w:p w14:paraId="054943BC" w14:textId="77777777" w:rsidR="00A3791E" w:rsidRPr="00A3791E" w:rsidRDefault="00A3791E" w:rsidP="00A3791E">
      <w:pPr>
        <w:spacing w:before="120" w:line="240" w:lineRule="atLeast"/>
        <w:rPr>
          <w:rFonts w:eastAsia="Cambria" w:cs="Calibri"/>
          <w:szCs w:val="22"/>
        </w:rPr>
      </w:pPr>
      <w:r w:rsidRPr="00A3791E">
        <w:rPr>
          <w:rFonts w:eastAsia="Cambria" w:cs="Calibri"/>
          <w:szCs w:val="22"/>
        </w:rPr>
        <w:t xml:space="preserve">In Japanese and Caucasian healthy volunteers, edaravone was excreted mainly in the urine as its glucuronide conjugate form (70-90% of the dose). Approximately 5-10% of the dose was recovered in the urine as sulfate conjugate, and only 1% of the dose or less was recovered in the urine as unchanged form. </w:t>
      </w:r>
      <w:r w:rsidRPr="004B2EE9">
        <w:rPr>
          <w:rFonts w:eastAsia="Cambria" w:cs="Calibri"/>
          <w:i/>
          <w:iCs/>
          <w:szCs w:val="22"/>
        </w:rPr>
        <w:t>In vitro</w:t>
      </w:r>
      <w:r w:rsidRPr="00A3791E">
        <w:rPr>
          <w:rFonts w:eastAsia="Cambria" w:cs="Calibri"/>
          <w:szCs w:val="22"/>
        </w:rPr>
        <w:t xml:space="preserve"> studies suggest that sulfate conjugate of edaravone is hydrolysed back to edaravone, which is then converted to the glucuronide conjugate in the human kidney before excretion into the urine. </w:t>
      </w:r>
    </w:p>
    <w:p w14:paraId="66B848FA" w14:textId="77777777" w:rsidR="00A3791E" w:rsidRPr="00A3791E" w:rsidRDefault="00A3791E" w:rsidP="00A3791E">
      <w:pPr>
        <w:spacing w:before="120" w:line="240" w:lineRule="atLeast"/>
        <w:rPr>
          <w:rFonts w:eastAsia="Cambria" w:cs="Times New Roman"/>
          <w:color w:val="FF0000"/>
          <w:szCs w:val="22"/>
          <w:u w:val="single"/>
        </w:rPr>
      </w:pPr>
      <w:r w:rsidRPr="00A3791E">
        <w:rPr>
          <w:rFonts w:eastAsia="Cambria" w:cs="Calibri"/>
          <w:szCs w:val="22"/>
        </w:rPr>
        <w:t xml:space="preserve">The mean terminal elimination half-life of edaravone is 4.5 to 6 hours.  The half-lives of its metabolites are 2 to 2.8 hours. </w:t>
      </w:r>
    </w:p>
    <w:p w14:paraId="46D49C2D" w14:textId="2E8AD291" w:rsidR="00A3791E" w:rsidRPr="00A3791E" w:rsidRDefault="00A3791E" w:rsidP="007B2DBD">
      <w:pPr>
        <w:pStyle w:val="Heading6"/>
        <w:rPr>
          <w:rFonts w:eastAsia="Cambria"/>
        </w:rPr>
      </w:pPr>
      <w:r w:rsidRPr="00A3791E">
        <w:rPr>
          <w:rFonts w:eastAsia="Cambria"/>
        </w:rPr>
        <w:t xml:space="preserve">Renal </w:t>
      </w:r>
      <w:r w:rsidR="00BC13AF">
        <w:rPr>
          <w:rFonts w:eastAsia="Cambria"/>
        </w:rPr>
        <w:t>i</w:t>
      </w:r>
      <w:r w:rsidRPr="00A3791E">
        <w:rPr>
          <w:rFonts w:eastAsia="Cambria"/>
        </w:rPr>
        <w:t xml:space="preserve">mpairment </w:t>
      </w:r>
    </w:p>
    <w:p w14:paraId="65783FC4" w14:textId="46B738C4" w:rsidR="00A3791E" w:rsidRPr="00A3791E" w:rsidRDefault="00A3791E" w:rsidP="00A3791E">
      <w:pPr>
        <w:spacing w:before="120" w:line="240" w:lineRule="atLeast"/>
        <w:rPr>
          <w:rFonts w:eastAsia="Cambria" w:cs="Times New Roman"/>
          <w:szCs w:val="22"/>
        </w:rPr>
      </w:pPr>
      <w:r w:rsidRPr="00A3791E">
        <w:rPr>
          <w:rFonts w:eastAsia="Cambria" w:cs="Times New Roman"/>
          <w:szCs w:val="22"/>
        </w:rPr>
        <w:t>Study MCI-186-J22 evaluated the PK of edaravone following a single IV infusion of 30 mg over 60 minutes in subjects with mild or moderate renal impairment compared to subjects with normal renal function.  There was no clinically significant impact of mild or moderate renal impairment on the PK of edaravone, so n</w:t>
      </w:r>
      <w:r w:rsidRPr="00A3791E">
        <w:rPr>
          <w:rFonts w:eastAsia="Cambria" w:cs="Calibri"/>
          <w:szCs w:val="22"/>
        </w:rPr>
        <w:t>o dose adjustment is proposed for these patients</w:t>
      </w:r>
      <w:r w:rsidRPr="00A3791E">
        <w:rPr>
          <w:rFonts w:eastAsia="Cambria" w:cs="Calibri"/>
          <w:color w:val="FF0000"/>
          <w:szCs w:val="22"/>
        </w:rPr>
        <w:t>.</w:t>
      </w:r>
    </w:p>
    <w:p w14:paraId="51331EBD" w14:textId="4D0AB2A3" w:rsidR="00A3791E" w:rsidRPr="00A3791E" w:rsidRDefault="00A3791E" w:rsidP="007B2DBD">
      <w:pPr>
        <w:pStyle w:val="Heading6"/>
        <w:rPr>
          <w:rFonts w:eastAsia="Cambria"/>
        </w:rPr>
      </w:pPr>
      <w:r w:rsidRPr="00A3791E">
        <w:rPr>
          <w:rFonts w:eastAsia="Cambria"/>
        </w:rPr>
        <w:t xml:space="preserve">Hepatic </w:t>
      </w:r>
      <w:r w:rsidR="00BC13AF">
        <w:rPr>
          <w:rFonts w:eastAsia="Cambria"/>
        </w:rPr>
        <w:t>i</w:t>
      </w:r>
      <w:r w:rsidRPr="00A3791E">
        <w:rPr>
          <w:rFonts w:eastAsia="Cambria"/>
        </w:rPr>
        <w:t xml:space="preserve">mpairment </w:t>
      </w:r>
    </w:p>
    <w:p w14:paraId="312F1F03" w14:textId="77777777" w:rsidR="00A3791E" w:rsidRPr="00A3791E" w:rsidRDefault="00A3791E" w:rsidP="00A3791E">
      <w:pPr>
        <w:spacing w:before="120" w:line="240" w:lineRule="atLeast"/>
        <w:rPr>
          <w:rFonts w:eastAsia="Cambria" w:cs="Calibri"/>
          <w:color w:val="FF0000"/>
          <w:szCs w:val="22"/>
        </w:rPr>
      </w:pPr>
      <w:r w:rsidRPr="00A3791E">
        <w:rPr>
          <w:rFonts w:eastAsia="Cambria" w:cs="Times New Roman"/>
          <w:szCs w:val="22"/>
        </w:rPr>
        <w:t>Study MCI-186-J23 evaluated the PK of edaravone in subjects with mild or moderate hepatic impairment, and Study MCI-186-E05 evaluated the PK of edaravone in subjects with severe hepatic impairment, compared to subjects with normal hepatic function.  Following a single IV infusion of 30 mg over 60 minutes, there was no clinically significant impact of mild, moderate or severe hepatic impairment on the PK of edaravone, so n</w:t>
      </w:r>
      <w:r w:rsidRPr="00A3791E">
        <w:rPr>
          <w:rFonts w:eastAsia="Cambria" w:cs="Calibri"/>
          <w:szCs w:val="22"/>
        </w:rPr>
        <w:t>o dose adjustment is proposed for these patients</w:t>
      </w:r>
      <w:r w:rsidRPr="00A3791E">
        <w:rPr>
          <w:rFonts w:eastAsia="Cambria" w:cs="Calibri"/>
          <w:color w:val="FF0000"/>
          <w:szCs w:val="22"/>
        </w:rPr>
        <w:t>.</w:t>
      </w:r>
    </w:p>
    <w:p w14:paraId="77C59492" w14:textId="77777777" w:rsidR="00A3791E" w:rsidRPr="00A3791E" w:rsidRDefault="00A3791E" w:rsidP="007B2DBD">
      <w:pPr>
        <w:pStyle w:val="Heading6"/>
        <w:rPr>
          <w:rFonts w:eastAsia="Cambria"/>
        </w:rPr>
      </w:pPr>
      <w:r w:rsidRPr="00A3791E">
        <w:rPr>
          <w:rFonts w:eastAsia="Cambria"/>
        </w:rPr>
        <w:t>PK interactions</w:t>
      </w:r>
    </w:p>
    <w:p w14:paraId="71E1A71D" w14:textId="506CB1D1" w:rsidR="00A3791E" w:rsidRPr="00A3791E" w:rsidRDefault="00A3791E" w:rsidP="00A3791E">
      <w:pPr>
        <w:spacing w:before="120" w:line="240" w:lineRule="atLeast"/>
        <w:rPr>
          <w:rFonts w:eastAsia="Cambria" w:cs="Times New Roman"/>
          <w:szCs w:val="22"/>
        </w:rPr>
      </w:pPr>
      <w:r w:rsidRPr="00A3791E">
        <w:rPr>
          <w:rFonts w:eastAsia="Cambria" w:cs="Calibri"/>
          <w:szCs w:val="22"/>
        </w:rPr>
        <w:t xml:space="preserve">The submission did not include clinical drug-drug interaction (DDI) studies.  The DDI potential of edaravone was investigated in </w:t>
      </w:r>
      <w:r w:rsidRPr="00A3791E">
        <w:rPr>
          <w:rFonts w:eastAsia="Cambria" w:cs="Calibri"/>
          <w:i/>
          <w:iCs/>
          <w:szCs w:val="22"/>
        </w:rPr>
        <w:t>in vitro</w:t>
      </w:r>
      <w:r w:rsidRPr="00A3791E">
        <w:rPr>
          <w:rFonts w:eastAsia="Cambria" w:cs="Calibri"/>
          <w:szCs w:val="22"/>
        </w:rPr>
        <w:t xml:space="preserve"> studies.</w:t>
      </w:r>
    </w:p>
    <w:p w14:paraId="78D4E9F6" w14:textId="77777777" w:rsidR="00A3791E" w:rsidRPr="00A3791E" w:rsidRDefault="00A3791E" w:rsidP="007B2DBD">
      <w:pPr>
        <w:pStyle w:val="Heading6"/>
      </w:pPr>
      <w:r w:rsidRPr="00A3791E">
        <w:t>Population PK data (popPK)</w:t>
      </w:r>
    </w:p>
    <w:p w14:paraId="1B2067E6" w14:textId="4BCA8194" w:rsidR="00A3791E" w:rsidRPr="00A3791E" w:rsidRDefault="00A3791E" w:rsidP="00A3791E">
      <w:pPr>
        <w:spacing w:before="120" w:line="240" w:lineRule="atLeast"/>
        <w:rPr>
          <w:rFonts w:eastAsia="Cambria" w:cs="Times New Roman"/>
          <w:szCs w:val="22"/>
        </w:rPr>
      </w:pPr>
      <w:r w:rsidRPr="00A3791E">
        <w:rPr>
          <w:rFonts w:eastAsia="Cambria" w:cs="Times New Roman"/>
          <w:szCs w:val="22"/>
        </w:rPr>
        <w:t xml:space="preserve">PopPK analyses were presented based on data from the five Phase 1 PK studies in healthy subjects: </w:t>
      </w:r>
      <w:r w:rsidRPr="00A3791E">
        <w:rPr>
          <w:rFonts w:eastAsia="Cambria" w:cs="Times New Roman"/>
          <w:szCs w:val="22"/>
          <w:lang w:eastAsia="ja-JP"/>
        </w:rPr>
        <w:t xml:space="preserve">MCI-186-01, MCI-186-14, and MCI-186-10 in male Japanese subjects </w:t>
      </w:r>
      <w:r w:rsidRPr="00A3791E">
        <w:rPr>
          <w:rFonts w:eastAsia="Cambria" w:cs="Times New Roman"/>
          <w:szCs w:val="22"/>
        </w:rPr>
        <w:t>(age range 20 to 71 years, weight 50.9 to 85.0 kg)</w:t>
      </w:r>
      <w:r w:rsidRPr="00A3791E">
        <w:rPr>
          <w:rFonts w:eastAsia="Cambria" w:cs="Times New Roman"/>
          <w:szCs w:val="22"/>
          <w:lang w:eastAsia="ja-JP"/>
        </w:rPr>
        <w:t xml:space="preserve"> and MCI-186-E01 and MCI-186-E02 in Caucasian males and females </w:t>
      </w:r>
      <w:r w:rsidRPr="00A3791E">
        <w:rPr>
          <w:rFonts w:eastAsia="Cambria" w:cs="Times New Roman"/>
          <w:szCs w:val="22"/>
        </w:rPr>
        <w:t>(age range 51 to 77 years, weight 49.9 to 100.3 kg)</w:t>
      </w:r>
      <w:r w:rsidRPr="00A3791E">
        <w:rPr>
          <w:rFonts w:eastAsia="Cambria" w:cs="Times New Roman"/>
          <w:szCs w:val="22"/>
          <w:lang w:eastAsia="ja-JP"/>
        </w:rPr>
        <w:t xml:space="preserve">.  </w:t>
      </w:r>
      <w:r w:rsidRPr="00A3791E">
        <w:rPr>
          <w:rFonts w:eastAsia="Cambria" w:cs="Times New Roman"/>
          <w:szCs w:val="22"/>
        </w:rPr>
        <w:t xml:space="preserve">The </w:t>
      </w:r>
      <w:r w:rsidR="00C04BB6">
        <w:rPr>
          <w:rFonts w:eastAsia="Cambria" w:cs="Times New Roman"/>
          <w:szCs w:val="22"/>
        </w:rPr>
        <w:t>Sponsor</w:t>
      </w:r>
      <w:r w:rsidRPr="00A3791E">
        <w:rPr>
          <w:rFonts w:eastAsia="Cambria" w:cs="Times New Roman"/>
          <w:szCs w:val="22"/>
        </w:rPr>
        <w:t xml:space="preserve"> used the model to investigate covariate effects on PK parameters by race (Japanese vs Caucasian), gender (Caucasian males vs Caucasian females), weight, and age.  The analyses showed no effects of gender, age, or weight on any PK parameters.  Race had a minor effect on the peripheral volume of distribution 2 (V2</w:t>
      </w:r>
      <w:r w:rsidR="001A1B56" w:rsidRPr="00A3791E">
        <w:rPr>
          <w:rFonts w:eastAsia="Cambria" w:cs="Times New Roman"/>
          <w:szCs w:val="22"/>
        </w:rPr>
        <w:t>)</w:t>
      </w:r>
      <w:r w:rsidR="001A1B56">
        <w:rPr>
          <w:rFonts w:eastAsia="Cambria" w:cs="Times New Roman"/>
          <w:szCs w:val="22"/>
        </w:rPr>
        <w:t xml:space="preserve"> but</w:t>
      </w:r>
      <w:r w:rsidRPr="00A3791E">
        <w:rPr>
          <w:rFonts w:eastAsia="Cambria" w:cs="Times New Roman"/>
          <w:szCs w:val="22"/>
        </w:rPr>
        <w:t xml:space="preserve"> was not statistically detected as a covariate for any other PK parameter.  Simulations of virtual ALS populations receiving 60 mg/60 min QD for 14 days predicted similar C</w:t>
      </w:r>
      <w:r w:rsidRPr="00A3791E">
        <w:rPr>
          <w:rFonts w:eastAsia="Cambria" w:cs="Times New Roman"/>
          <w:szCs w:val="22"/>
          <w:vertAlign w:val="subscript"/>
        </w:rPr>
        <w:t>max</w:t>
      </w:r>
      <w:r w:rsidRPr="00A3791E">
        <w:rPr>
          <w:rFonts w:eastAsia="Cambria" w:cs="Times New Roman"/>
          <w:szCs w:val="22"/>
        </w:rPr>
        <w:t xml:space="preserve"> and AUC for Japanese and Caucasian subjects.  </w:t>
      </w:r>
    </w:p>
    <w:p w14:paraId="453E9AD3" w14:textId="77777777" w:rsidR="00A3791E" w:rsidRPr="00A3791E" w:rsidRDefault="00A3791E" w:rsidP="007B2DBD">
      <w:pPr>
        <w:pStyle w:val="Heading6"/>
      </w:pPr>
      <w:r w:rsidRPr="00A3791E">
        <w:lastRenderedPageBreak/>
        <w:t>Pharmacodynamics (PD)</w:t>
      </w:r>
    </w:p>
    <w:p w14:paraId="0DC67A4E" w14:textId="77777777" w:rsidR="00A3791E" w:rsidRPr="00A3791E" w:rsidRDefault="00A3791E" w:rsidP="00A3791E">
      <w:pPr>
        <w:spacing w:before="120" w:line="240" w:lineRule="atLeast"/>
        <w:rPr>
          <w:rFonts w:eastAsia="Cambria" w:cs="Times New Roman"/>
          <w:szCs w:val="22"/>
        </w:rPr>
      </w:pPr>
      <w:r w:rsidRPr="00A3791E">
        <w:rPr>
          <w:rFonts w:eastAsia="Cambria" w:cs="Times New Roman"/>
          <w:szCs w:val="22"/>
          <w:lang w:eastAsia="ja-JP"/>
        </w:rPr>
        <w:t xml:space="preserve">Study MCI-186-10 was primarily a PK study, but lipid peroxide and free fatty acid concentrations in blood were assessed as PD endpoints to investigate the effect of edaravone as a free radical scavenger.  </w:t>
      </w:r>
      <w:r w:rsidRPr="00A3791E">
        <w:rPr>
          <w:rFonts w:eastAsia="Cambria" w:cs="Times New Roman"/>
          <w:szCs w:val="22"/>
        </w:rPr>
        <w:t>There was no significant or meaningful change in lipid peroxide levels in response to therapy.  Free fatty acid levels showed an age-related difference but there was no significant change in response to therapy.  No PD effect of edaravone was demonstrated in this study.</w:t>
      </w:r>
    </w:p>
    <w:p w14:paraId="124EBA29" w14:textId="0D410786" w:rsidR="00A3791E" w:rsidRPr="00A3791E" w:rsidRDefault="00A3791E" w:rsidP="00A3791E">
      <w:pPr>
        <w:spacing w:before="120" w:line="240" w:lineRule="atLeast"/>
        <w:rPr>
          <w:rFonts w:eastAsia="Cambria" w:cs="Times New Roman"/>
          <w:szCs w:val="22"/>
        </w:rPr>
      </w:pPr>
      <w:r w:rsidRPr="00A3791E">
        <w:rPr>
          <w:rFonts w:eastAsia="Cambria" w:cs="Times New Roman"/>
          <w:szCs w:val="22"/>
        </w:rPr>
        <w:t xml:space="preserve">Study </w:t>
      </w:r>
      <w:r w:rsidRPr="00A3791E">
        <w:rPr>
          <w:rFonts w:eastAsia="Cambria" w:cs="Times New Roman"/>
          <w:szCs w:val="22"/>
          <w:lang w:eastAsia="ja-JP"/>
        </w:rPr>
        <w:t>MCI-186-</w:t>
      </w:r>
      <w:r w:rsidRPr="00A3791E">
        <w:rPr>
          <w:rFonts w:eastAsia="Cambria" w:cs="Times New Roman"/>
          <w:szCs w:val="22"/>
        </w:rPr>
        <w:t>12 was an exploratory clinical efficacy study (without a placebo control) that included an assessment of 3-nitrotyrosine (3NT) levels in CSF as a minor PD endpoint.  The 3NT biomarker is thought to reflect oxidative stress, and CSF 3NT levels are typically elevated in ALS patients relative to healthy controls.  The study showed a nominally significant decline in 3NT from baseline in the 60 mg group, but not in the 30 mg group. The clinical significance of elevated 3NT levels in ALS subjects is unknown, and it is also unknown whether a treatment that lowers 3NT levels is likely to have a meaningful impact on the underlying disease process.  The role of 3NT as a surrogate efficacy marker remains uncertain.</w:t>
      </w:r>
    </w:p>
    <w:p w14:paraId="714876BB" w14:textId="77777777" w:rsidR="00A3791E" w:rsidRPr="00A3791E" w:rsidRDefault="00A3791E" w:rsidP="007B2DBD">
      <w:pPr>
        <w:pStyle w:val="Heading6"/>
        <w:rPr>
          <w:rFonts w:eastAsia="Cambria"/>
        </w:rPr>
      </w:pPr>
      <w:r w:rsidRPr="00A3791E">
        <w:rPr>
          <w:rFonts w:eastAsia="Cambria"/>
        </w:rPr>
        <w:t>QT</w:t>
      </w:r>
    </w:p>
    <w:p w14:paraId="03FFDAD9" w14:textId="77777777" w:rsidR="00A3791E" w:rsidRPr="00A3791E" w:rsidRDefault="00A3791E" w:rsidP="00A3791E">
      <w:pPr>
        <w:spacing w:before="120" w:line="240" w:lineRule="atLeast"/>
        <w:rPr>
          <w:rFonts w:eastAsia="Cambria" w:cs="Times New Roman"/>
          <w:szCs w:val="22"/>
        </w:rPr>
      </w:pPr>
      <w:r w:rsidRPr="00A3791E">
        <w:rPr>
          <w:rFonts w:eastAsia="Cambria" w:cs="Times New Roman"/>
          <w:szCs w:val="22"/>
        </w:rPr>
        <w:t>The effect of edaravone on the QT interval was evaluated in a post-marketing QT study, MCI-186-J25.  It was a randomised, single-blind, placebo-controlled, three-way crossover study of 27 healthy Japanese male subjects.  Study drug (edaravone 60 mg, edaravone 300 mg, or placebo) was administered as a single IV infusion over 60 minutes.  The primary objective was to evaluate the effect of edaravone on the QT interval corrected for heart rate using Fridericia’s formula (</w:t>
      </w:r>
      <w:proofErr w:type="spellStart"/>
      <w:r w:rsidRPr="00A3791E">
        <w:rPr>
          <w:rFonts w:eastAsia="Cambria" w:cs="Times New Roman"/>
          <w:szCs w:val="22"/>
        </w:rPr>
        <w:t>QTcF</w:t>
      </w:r>
      <w:proofErr w:type="spellEnd"/>
      <w:r w:rsidRPr="00A3791E">
        <w:rPr>
          <w:rFonts w:eastAsia="Cambria" w:cs="Times New Roman"/>
          <w:szCs w:val="22"/>
        </w:rPr>
        <w:t>).  Secondary objectives were to evaluate the PK profile of edaravone, to evaluate the effect of edaravone on other 12-lead ECG intervals, and to evaluate safety and tolerability.</w:t>
      </w:r>
    </w:p>
    <w:p w14:paraId="097B7480" w14:textId="12CA5961" w:rsidR="00A3791E" w:rsidRPr="00A3791E" w:rsidRDefault="00A3791E" w:rsidP="00A3791E">
      <w:pPr>
        <w:spacing w:before="120" w:line="240" w:lineRule="atLeast"/>
        <w:rPr>
          <w:rFonts w:eastAsia="Cambria" w:cs="Times New Roman"/>
          <w:szCs w:val="22"/>
        </w:rPr>
      </w:pPr>
      <w:r w:rsidRPr="00A3791E">
        <w:rPr>
          <w:rFonts w:eastAsia="Cambria" w:cs="Times New Roman"/>
          <w:szCs w:val="22"/>
        </w:rPr>
        <w:t>The study showed no evidence of a significant QT effect from edaravone, even at the supratherapeutic dose of 300 mg.  The upper bounds of the 2-sided 90% CIs (equivalent to 1-sided 95% upper confidence bounds)</w:t>
      </w:r>
      <w:r w:rsidRPr="00A3791E">
        <w:rPr>
          <w:rFonts w:eastAsia="Cambria" w:cs="Times New Roman"/>
          <w:sz w:val="20"/>
        </w:rPr>
        <w:t xml:space="preserve"> </w:t>
      </w:r>
      <w:r w:rsidRPr="00A3791E">
        <w:rPr>
          <w:rFonts w:eastAsia="Cambria" w:cs="Times New Roman"/>
          <w:szCs w:val="22"/>
        </w:rPr>
        <w:t xml:space="preserve">of </w:t>
      </w:r>
      <w:proofErr w:type="spellStart"/>
      <w:r w:rsidRPr="00A3791E">
        <w:rPr>
          <w:rFonts w:eastAsia="Cambria" w:cs="Times New Roman"/>
          <w:szCs w:val="22"/>
        </w:rPr>
        <w:t>ΔΔQTcF</w:t>
      </w:r>
      <w:proofErr w:type="spellEnd"/>
      <w:r w:rsidRPr="00A3791E">
        <w:rPr>
          <w:rFonts w:eastAsia="Cambria" w:cs="Times New Roman"/>
          <w:szCs w:val="22"/>
        </w:rPr>
        <w:t xml:space="preserve"> were all &lt; 10 msec at the geometric mean C</w:t>
      </w:r>
      <w:r w:rsidRPr="00A3791E">
        <w:rPr>
          <w:rFonts w:eastAsia="Cambria" w:cs="Times New Roman"/>
          <w:szCs w:val="22"/>
          <w:vertAlign w:val="subscript"/>
        </w:rPr>
        <w:t>max</w:t>
      </w:r>
      <w:r w:rsidRPr="00A3791E">
        <w:rPr>
          <w:rFonts w:eastAsia="Cambria" w:cs="Times New Roman"/>
          <w:szCs w:val="22"/>
        </w:rPr>
        <w:t xml:space="preserve"> for each dose level (</w:t>
      </w:r>
      <w:r w:rsidRPr="00A3791E">
        <w:rPr>
          <w:rFonts w:eastAsia="Cambria" w:cs="Times New Roman"/>
          <w:szCs w:val="22"/>
        </w:rPr>
        <w:fldChar w:fldCharType="begin"/>
      </w:r>
      <w:r w:rsidRPr="00A3791E">
        <w:rPr>
          <w:rFonts w:eastAsia="Cambria" w:cs="Times New Roman"/>
          <w:szCs w:val="22"/>
        </w:rPr>
        <w:instrText xml:space="preserve"> REF _Ref114480521 \h </w:instrText>
      </w:r>
      <w:r w:rsidRPr="00A3791E">
        <w:rPr>
          <w:rFonts w:eastAsia="Cambria" w:cs="Times New Roman"/>
          <w:szCs w:val="22"/>
        </w:rPr>
      </w:r>
      <w:r w:rsidRPr="00A3791E">
        <w:rPr>
          <w:rFonts w:eastAsia="Cambria" w:cs="Times New Roman"/>
          <w:szCs w:val="22"/>
        </w:rPr>
        <w:fldChar w:fldCharType="separate"/>
      </w:r>
      <w:r w:rsidRPr="00A3791E">
        <w:rPr>
          <w:rFonts w:eastAsia="Cambria" w:cs="Times New Roman"/>
          <w:szCs w:val="22"/>
        </w:rPr>
        <w:t xml:space="preserve">Figure </w:t>
      </w:r>
      <w:r w:rsidRPr="00A3791E">
        <w:rPr>
          <w:rFonts w:eastAsia="Cambria" w:cs="Times New Roman"/>
          <w:noProof/>
          <w:szCs w:val="22"/>
        </w:rPr>
        <w:t>1</w:t>
      </w:r>
      <w:r w:rsidRPr="00A3791E">
        <w:rPr>
          <w:rFonts w:eastAsia="Cambria" w:cs="Times New Roman"/>
          <w:szCs w:val="22"/>
        </w:rPr>
        <w:fldChar w:fldCharType="end"/>
      </w:r>
      <w:r w:rsidRPr="00A3791E">
        <w:rPr>
          <w:rFonts w:eastAsia="Cambria" w:cs="Times New Roman"/>
          <w:szCs w:val="22"/>
        </w:rPr>
        <w:t>).  PK parameters were consistent with the Phase 1 PK studies, and there were no new safety concerns.</w:t>
      </w:r>
    </w:p>
    <w:p w14:paraId="603118C8" w14:textId="2FAEA65F" w:rsidR="00A3791E" w:rsidRPr="00A3791E" w:rsidRDefault="00A3791E" w:rsidP="007B2DBD">
      <w:pPr>
        <w:pStyle w:val="FigureTitle"/>
      </w:pPr>
      <w:bookmarkStart w:id="58" w:name="_Ref114480521"/>
      <w:r w:rsidRPr="00A3791E">
        <w:rPr>
          <w:szCs w:val="18"/>
        </w:rPr>
        <w:lastRenderedPageBreak/>
        <w:t xml:space="preserve">Figure </w:t>
      </w:r>
      <w:bookmarkEnd w:id="58"/>
      <w:r w:rsidR="00BC13AF">
        <w:rPr>
          <w:szCs w:val="18"/>
        </w:rPr>
        <w:t>2</w:t>
      </w:r>
      <w:r w:rsidR="00C9412C">
        <w:rPr>
          <w:noProof/>
          <w:szCs w:val="18"/>
        </w:rPr>
        <w:t>.</w:t>
      </w:r>
      <w:r w:rsidRPr="00A3791E">
        <w:rPr>
          <w:szCs w:val="18"/>
        </w:rPr>
        <w:t xml:space="preserve"> </w:t>
      </w:r>
      <w:r w:rsidRPr="00A3791E">
        <w:t xml:space="preserve">Mean Placebo-Adjusted Change from Baseline in </w:t>
      </w:r>
      <w:proofErr w:type="spellStart"/>
      <w:r w:rsidRPr="00A3791E">
        <w:t>QTcF</w:t>
      </w:r>
      <w:proofErr w:type="spellEnd"/>
      <w:r w:rsidRPr="00A3791E">
        <w:t xml:space="preserve"> and 1-Sided Upper 95% Confidence Bounds (msec), Study MCI-186-J25</w:t>
      </w:r>
    </w:p>
    <w:p w14:paraId="56909908" w14:textId="77777777" w:rsidR="00A3791E" w:rsidRPr="00A3791E" w:rsidRDefault="00A3791E" w:rsidP="00A3791E">
      <w:pPr>
        <w:spacing w:before="120" w:line="240" w:lineRule="atLeast"/>
        <w:rPr>
          <w:rFonts w:eastAsia="Cambria" w:cs="Times New Roman"/>
          <w:color w:val="FF0000"/>
          <w:szCs w:val="22"/>
        </w:rPr>
      </w:pPr>
      <w:r w:rsidRPr="00A3791E">
        <w:rPr>
          <w:rFonts w:eastAsia="Cambria" w:cs="Times New Roman"/>
          <w:noProof/>
          <w:sz w:val="20"/>
        </w:rPr>
        <w:drawing>
          <wp:inline distT="0" distB="0" distL="0" distR="0" wp14:anchorId="55BB7805" wp14:editId="4EBF5FE8">
            <wp:extent cx="8181723" cy="5254816"/>
            <wp:effectExtent l="0" t="3493" r="6668" b="6667"/>
            <wp:docPr id="2" name="図 2"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number of patients&#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245390" cy="5295707"/>
                    </a:xfrm>
                    <a:prstGeom prst="rect">
                      <a:avLst/>
                    </a:prstGeom>
                    <a:noFill/>
                    <a:ln>
                      <a:noFill/>
                    </a:ln>
                  </pic:spPr>
                </pic:pic>
              </a:graphicData>
            </a:graphic>
          </wp:inline>
        </w:drawing>
      </w:r>
    </w:p>
    <w:p w14:paraId="044BA2B9" w14:textId="77777777" w:rsidR="00A3791E" w:rsidRPr="00A3791E" w:rsidRDefault="00A3791E" w:rsidP="00A3791E">
      <w:pPr>
        <w:spacing w:before="120" w:line="240" w:lineRule="atLeast"/>
        <w:rPr>
          <w:rFonts w:eastAsia="Cambria" w:cs="Times New Roman"/>
          <w:szCs w:val="22"/>
        </w:rPr>
      </w:pPr>
    </w:p>
    <w:p w14:paraId="64AE4C60" w14:textId="77777777" w:rsidR="00A3791E" w:rsidRPr="00A3791E" w:rsidRDefault="00A3791E" w:rsidP="007B2DBD">
      <w:pPr>
        <w:pStyle w:val="Heading6"/>
      </w:pPr>
      <w:r w:rsidRPr="00A3791E">
        <w:lastRenderedPageBreak/>
        <w:t>Dose selection</w:t>
      </w:r>
    </w:p>
    <w:p w14:paraId="0DB4EF6C" w14:textId="5E8267B0" w:rsidR="00A3791E" w:rsidRPr="00A3791E" w:rsidRDefault="00A3791E" w:rsidP="00A3791E">
      <w:pPr>
        <w:spacing w:before="120" w:line="240" w:lineRule="atLeast"/>
        <w:rPr>
          <w:rFonts w:eastAsia="Cambria" w:cs="Times New Roman"/>
          <w:szCs w:val="22"/>
        </w:rPr>
      </w:pPr>
      <w:r w:rsidRPr="00A3791E">
        <w:rPr>
          <w:rFonts w:eastAsia="Cambria" w:cs="Times New Roman"/>
          <w:szCs w:val="22"/>
        </w:rPr>
        <w:t xml:space="preserve">There was no placebo-controlled dose-ranging study to inform dose selection for the efficacy studies in patients with ALS.  Instead, the </w:t>
      </w:r>
      <w:r w:rsidR="00C04BB6">
        <w:rPr>
          <w:rFonts w:eastAsia="Cambria" w:cs="Times New Roman"/>
          <w:szCs w:val="22"/>
        </w:rPr>
        <w:t>Sponsor</w:t>
      </w:r>
      <w:r w:rsidRPr="00A3791E">
        <w:rPr>
          <w:rFonts w:eastAsia="Cambria" w:cs="Times New Roman"/>
          <w:szCs w:val="22"/>
        </w:rPr>
        <w:t xml:space="preserve"> adapted the doses used in </w:t>
      </w:r>
      <w:r w:rsidR="00347745">
        <w:rPr>
          <w:rFonts w:eastAsia="Cambria" w:cs="Times New Roman"/>
          <w:szCs w:val="22"/>
        </w:rPr>
        <w:t>acute ischaemic stroke (</w:t>
      </w:r>
      <w:r w:rsidRPr="00A3791E">
        <w:rPr>
          <w:rFonts w:eastAsia="Cambria" w:cs="Times New Roman"/>
          <w:szCs w:val="22"/>
        </w:rPr>
        <w:t>AIS</w:t>
      </w:r>
      <w:r w:rsidR="00347745">
        <w:rPr>
          <w:rFonts w:eastAsia="Cambria" w:cs="Times New Roman"/>
          <w:szCs w:val="22"/>
        </w:rPr>
        <w:t>)</w:t>
      </w:r>
      <w:r w:rsidRPr="00A3791E">
        <w:rPr>
          <w:rFonts w:eastAsia="Cambria" w:cs="Times New Roman"/>
          <w:szCs w:val="22"/>
        </w:rPr>
        <w:t xml:space="preserve"> (30 mg by IV infusion twice a day for 14 days), modifying the regimen for long-term use by using a daily infusion of 60 mg and adding treatment breaks.  The dosage regimen evaluated in the Phase 3 studies and proposed for registration is 60 mg administered as an IV infusion daily for 14 days followed by 14 days of no treatment (initial 28-day treatment cycle), and then daily for 10 of the first 14 days of each subsequent 28-day treatment cycle.  Consequently, no treatment is administered on 18 days of each subsequent treatment cycle.  The treatment breaks appear to have been included for logistical convenience, as there is not a clear pharmacological reason for interrupting treatment.</w:t>
      </w:r>
    </w:p>
    <w:p w14:paraId="7151AEF7" w14:textId="77777777" w:rsidR="00A3791E" w:rsidRPr="00A3791E" w:rsidRDefault="00A3791E" w:rsidP="007B2DBD">
      <w:pPr>
        <w:pStyle w:val="Heading6"/>
        <w:rPr>
          <w:lang w:eastAsia="ja-JP"/>
        </w:rPr>
      </w:pPr>
      <w:r w:rsidRPr="00A3791E">
        <w:t>Study MCI-186-12</w:t>
      </w:r>
      <w:r w:rsidRPr="00A3791E">
        <w:rPr>
          <w:lang w:eastAsia="ja-JP"/>
        </w:rPr>
        <w:t xml:space="preserve"> </w:t>
      </w:r>
    </w:p>
    <w:p w14:paraId="65B2246D" w14:textId="1AFE577B" w:rsidR="00A3791E" w:rsidRPr="00A3791E" w:rsidRDefault="00A3791E" w:rsidP="00A3791E">
      <w:pPr>
        <w:spacing w:before="120" w:line="240" w:lineRule="atLeast"/>
        <w:rPr>
          <w:rFonts w:eastAsia="Cambria" w:cs="Times New Roman"/>
          <w:szCs w:val="22"/>
          <w:lang w:eastAsia="ja-JP"/>
        </w:rPr>
      </w:pPr>
      <w:r w:rsidRPr="00A3791E">
        <w:rPr>
          <w:rFonts w:eastAsia="Cambria" w:cs="Times New Roman"/>
          <w:szCs w:val="22"/>
          <w:lang w:eastAsia="ja-JP"/>
        </w:rPr>
        <w:t xml:space="preserve">This </w:t>
      </w:r>
      <w:r w:rsidRPr="00A3791E">
        <w:rPr>
          <w:rFonts w:eastAsia="Cambria" w:cs="Times New Roman"/>
          <w:szCs w:val="22"/>
        </w:rPr>
        <w:t xml:space="preserve">was a Phase 2 exploratory proof-of-principle study that assessed the efficacy and safety of edaravone at two different doses using an open-label, non-randomised, ascending dose design without a placebo control.  </w:t>
      </w:r>
      <w:r w:rsidRPr="00A3791E">
        <w:rPr>
          <w:rFonts w:eastAsia="Cambria" w:cs="Times New Roman"/>
          <w:szCs w:val="22"/>
          <w:lang w:eastAsia="ja-JP"/>
        </w:rPr>
        <w:t xml:space="preserve">In this small study, with only 19 subjects evaluable for efficacy, the first five subjects were allocated a dose of 30 mg/day, and subsequent patients received 60 mg/day, with each dose administered as an </w:t>
      </w:r>
      <w:r w:rsidR="004B2EE9">
        <w:rPr>
          <w:rFonts w:eastAsia="Cambria" w:cs="Times New Roman"/>
          <w:szCs w:val="22"/>
          <w:lang w:eastAsia="ja-JP"/>
        </w:rPr>
        <w:t>IV</w:t>
      </w:r>
      <w:r w:rsidRPr="00A3791E">
        <w:rPr>
          <w:rFonts w:eastAsia="Cambria" w:cs="Times New Roman"/>
          <w:szCs w:val="22"/>
          <w:lang w:eastAsia="ja-JP"/>
        </w:rPr>
        <w:t xml:space="preserve"> infusion at a rate of 1 mg/min.  The first cycle of treatment was for 14 days followed by 14 days of no treatment, and subsequent cycles consisted of treatment for 5 days a week for 2 weeks, followed by a 2-week period with no treatment.  Subjects were treated for a total of 6 cycles.  </w:t>
      </w:r>
    </w:p>
    <w:p w14:paraId="7E2C5C9C" w14:textId="77777777" w:rsidR="00A3791E" w:rsidRPr="00A3791E" w:rsidRDefault="00A3791E" w:rsidP="00A3791E">
      <w:pPr>
        <w:spacing w:before="120" w:line="240" w:lineRule="atLeast"/>
        <w:rPr>
          <w:rFonts w:eastAsia="Cambria" w:cs="Times New Roman"/>
          <w:szCs w:val="22"/>
        </w:rPr>
      </w:pPr>
      <w:r w:rsidRPr="00A3791E">
        <w:rPr>
          <w:rFonts w:eastAsia="Cambria" w:cs="Times New Roman"/>
          <w:szCs w:val="22"/>
        </w:rPr>
        <w:t>The inclusion criteria were broader than the subsequent Phase 3 studies, with most ALS patients eligible if they could be hospitalised for 2 weeks to receive the study treatment under observation.</w:t>
      </w:r>
    </w:p>
    <w:p w14:paraId="1641A56B" w14:textId="3E1D1DFB" w:rsidR="00315260" w:rsidRDefault="00A3791E" w:rsidP="00A3791E">
      <w:pPr>
        <w:autoSpaceDE w:val="0"/>
        <w:autoSpaceDN w:val="0"/>
        <w:adjustRightInd w:val="0"/>
        <w:spacing w:before="120" w:line="240" w:lineRule="atLeast"/>
        <w:rPr>
          <w:rFonts w:eastAsia="Cambria" w:cs="Times New Roman"/>
          <w:szCs w:val="22"/>
        </w:rPr>
      </w:pPr>
      <w:r w:rsidRPr="00A3791E">
        <w:rPr>
          <w:rFonts w:eastAsia="Cambria" w:cs="Times New Roman"/>
          <w:szCs w:val="22"/>
        </w:rPr>
        <w:t xml:space="preserve">The primary efficacy </w:t>
      </w:r>
      <w:r w:rsidR="00A170C9">
        <w:rPr>
          <w:rFonts w:eastAsia="Cambria" w:cs="Times New Roman"/>
          <w:szCs w:val="22"/>
        </w:rPr>
        <w:t>endpoint</w:t>
      </w:r>
      <w:r w:rsidRPr="00A3791E">
        <w:rPr>
          <w:rFonts w:eastAsia="Cambria" w:cs="Times New Roman"/>
          <w:szCs w:val="22"/>
        </w:rPr>
        <w:t xml:space="preserve"> was </w:t>
      </w:r>
      <w:r w:rsidR="004B2EE9" w:rsidRPr="004B2EE9">
        <w:rPr>
          <w:rFonts w:eastAsia="Cambria" w:cs="Times New Roman"/>
          <w:szCs w:val="22"/>
        </w:rPr>
        <w:t xml:space="preserve">change </w:t>
      </w:r>
      <w:bookmarkStart w:id="59" w:name="_Hlk169250543"/>
      <w:r w:rsidR="004B2EE9" w:rsidRPr="004B2EE9">
        <w:rPr>
          <w:rFonts w:eastAsia="Cambria" w:cs="Times New Roman"/>
          <w:szCs w:val="22"/>
        </w:rPr>
        <w:t xml:space="preserve">in Revised ALS Functional Rating Scale </w:t>
      </w:r>
      <w:r w:rsidR="004B2EE9">
        <w:rPr>
          <w:rFonts w:eastAsia="Cambria" w:cs="Times New Roman"/>
          <w:szCs w:val="22"/>
        </w:rPr>
        <w:t>(</w:t>
      </w:r>
      <w:r w:rsidRPr="00A3791E">
        <w:rPr>
          <w:rFonts w:eastAsia="Cambria" w:cs="Times New Roman"/>
          <w:szCs w:val="22"/>
        </w:rPr>
        <w:t>ALSFRS-R</w:t>
      </w:r>
      <w:r w:rsidR="004B2EE9">
        <w:rPr>
          <w:rFonts w:eastAsia="Cambria" w:cs="Times New Roman"/>
          <w:szCs w:val="22"/>
        </w:rPr>
        <w:t>)</w:t>
      </w:r>
      <w:r w:rsidRPr="00A3791E">
        <w:rPr>
          <w:rFonts w:eastAsia="Cambria" w:cs="Times New Roman"/>
          <w:szCs w:val="22"/>
        </w:rPr>
        <w:t xml:space="preserve"> </w:t>
      </w:r>
      <w:bookmarkEnd w:id="59"/>
      <w:r w:rsidRPr="00A3791E">
        <w:rPr>
          <w:rFonts w:eastAsia="Cambria" w:cs="Times New Roman"/>
          <w:szCs w:val="22"/>
        </w:rPr>
        <w:t xml:space="preserve">score, and other efficacy variables included changes in manual muscle testing, respiratory function testing, arterial blood gas, and CSF/blood parameters. </w:t>
      </w:r>
      <w:r w:rsidR="00315260">
        <w:rPr>
          <w:rFonts w:eastAsia="Cambria" w:cs="Times New Roman"/>
          <w:szCs w:val="22"/>
        </w:rPr>
        <w:t xml:space="preserve"> </w:t>
      </w:r>
      <w:r w:rsidR="00315260" w:rsidRPr="00315260">
        <w:rPr>
          <w:rFonts w:eastAsia="Cambria" w:cs="Times New Roman"/>
          <w:szCs w:val="22"/>
        </w:rPr>
        <w:t>The ALSFRS-R is a disease-specific rating scale that was developed to measure the degree of functional impairment in patients with ALS based on 12 aspects of physical function: Speech, Salivation, Swallowing, Handwriting, Cutting food and handling utensils, Dressing and hygiene, Turning in bed and adjusting bed clothes, Walking (and leg movement), Climbing stairs, Dyspnoea, Orthopnoea, and Respiratory insufficiency (requirement for assisted ventilation).  Each function is scored from 4 (normal) to 0 (no ability), with a maximum total score of 48 and a minimum total score of 0.  The ALSFRS-R is a validated rating scale that is widely accepted by ALS experts and has been shown to correlate with objective measures of disease status and level of disability.  Use of the ALSFRS-R (in conjunction with survival endpoints) is explicitly encouraged by the</w:t>
      </w:r>
      <w:r w:rsidR="002F30EE">
        <w:rPr>
          <w:rFonts w:eastAsia="Cambria" w:cs="Times New Roman"/>
          <w:szCs w:val="22"/>
        </w:rPr>
        <w:t xml:space="preserve"> </w:t>
      </w:r>
      <w:r w:rsidR="002F30EE" w:rsidRPr="002F30EE">
        <w:rPr>
          <w:rFonts w:eastAsia="Cambria" w:cs="Times New Roman"/>
          <w:szCs w:val="22"/>
        </w:rPr>
        <w:t>Committee for Medicinal Product for Human Use</w:t>
      </w:r>
      <w:r w:rsidR="00315260" w:rsidRPr="00315260">
        <w:rPr>
          <w:rFonts w:eastAsia="Cambria" w:cs="Times New Roman"/>
          <w:szCs w:val="22"/>
        </w:rPr>
        <w:t xml:space="preserve"> </w:t>
      </w:r>
      <w:r w:rsidR="002F30EE">
        <w:rPr>
          <w:rFonts w:eastAsia="Cambria" w:cs="Times New Roman"/>
          <w:szCs w:val="22"/>
        </w:rPr>
        <w:t>(</w:t>
      </w:r>
      <w:r w:rsidR="00315260" w:rsidRPr="00315260">
        <w:rPr>
          <w:rFonts w:eastAsia="Cambria" w:cs="Times New Roman"/>
          <w:szCs w:val="22"/>
        </w:rPr>
        <w:t>CHMP</w:t>
      </w:r>
      <w:r w:rsidR="002F30EE">
        <w:rPr>
          <w:rFonts w:eastAsia="Cambria" w:cs="Times New Roman"/>
          <w:szCs w:val="22"/>
        </w:rPr>
        <w:t>)</w:t>
      </w:r>
      <w:r w:rsidR="00315260" w:rsidRPr="00315260">
        <w:rPr>
          <w:rFonts w:eastAsia="Cambria" w:cs="Times New Roman"/>
          <w:szCs w:val="22"/>
        </w:rPr>
        <w:t xml:space="preserve"> guideline.  Functional decline averages about 1 point per month in untreated patients</w:t>
      </w:r>
      <w:r w:rsidR="006E7C28">
        <w:rPr>
          <w:rFonts w:eastAsia="Cambria" w:cs="Times New Roman"/>
          <w:szCs w:val="22"/>
        </w:rPr>
        <w:t xml:space="preserve"> and a</w:t>
      </w:r>
      <w:r w:rsidR="00315260" w:rsidRPr="00315260">
        <w:rPr>
          <w:rFonts w:eastAsia="Cambria" w:cs="Times New Roman"/>
          <w:szCs w:val="22"/>
        </w:rPr>
        <w:t xml:space="preserve"> 20-25% change in the slope of the ALSFRS-R decline is usually considered clinically meaningful.</w:t>
      </w:r>
    </w:p>
    <w:p w14:paraId="06E9C5E9" w14:textId="7E140244" w:rsidR="00A3791E" w:rsidRPr="00A3791E" w:rsidRDefault="00A3791E" w:rsidP="00A3791E">
      <w:pPr>
        <w:autoSpaceDE w:val="0"/>
        <w:autoSpaceDN w:val="0"/>
        <w:adjustRightInd w:val="0"/>
        <w:spacing w:before="120" w:line="240" w:lineRule="atLeast"/>
        <w:rPr>
          <w:rFonts w:eastAsia="Cambria" w:cs="Times New Roman"/>
          <w:szCs w:val="22"/>
        </w:rPr>
      </w:pPr>
      <w:r w:rsidRPr="00A3791E">
        <w:rPr>
          <w:rFonts w:eastAsia="Cambria" w:cs="Times New Roman"/>
          <w:szCs w:val="22"/>
        </w:rPr>
        <w:t xml:space="preserve">The primary efficacy endpoint, </w:t>
      </w:r>
      <w:r w:rsidR="00307399">
        <w:rPr>
          <w:rFonts w:eastAsia="Cambria" w:cs="Times New Roman"/>
          <w:szCs w:val="22"/>
        </w:rPr>
        <w:t xml:space="preserve">the </w:t>
      </w:r>
      <w:r w:rsidRPr="00A3791E">
        <w:rPr>
          <w:rFonts w:eastAsia="Cambria" w:cs="Times New Roman"/>
          <w:szCs w:val="22"/>
        </w:rPr>
        <w:t>ALSFRS-R score, was analysed at each treatment cycle with regression analysis and paired t-</w:t>
      </w:r>
      <w:r w:rsidR="002F30EE" w:rsidRPr="00A3791E">
        <w:rPr>
          <w:rFonts w:eastAsia="Cambria" w:cs="Times New Roman"/>
          <w:szCs w:val="22"/>
        </w:rPr>
        <w:t>tests and</w:t>
      </w:r>
      <w:r w:rsidRPr="00A3791E">
        <w:rPr>
          <w:rFonts w:eastAsia="Cambria" w:cs="Times New Roman"/>
          <w:szCs w:val="22"/>
        </w:rPr>
        <w:t xml:space="preserve"> is summarised in </w:t>
      </w:r>
      <w:r w:rsidRPr="00A3791E">
        <w:rPr>
          <w:rFonts w:eastAsia="Cambria" w:cs="Times New Roman"/>
          <w:szCs w:val="22"/>
        </w:rPr>
        <w:fldChar w:fldCharType="begin"/>
      </w:r>
      <w:r w:rsidRPr="00A3791E">
        <w:rPr>
          <w:rFonts w:eastAsia="Cambria" w:cs="Times New Roman"/>
          <w:szCs w:val="22"/>
        </w:rPr>
        <w:instrText xml:space="preserve"> REF _Ref115247060 \h </w:instrText>
      </w:r>
      <w:r w:rsidRPr="00A3791E">
        <w:rPr>
          <w:rFonts w:eastAsia="Cambria" w:cs="Times New Roman"/>
          <w:szCs w:val="22"/>
        </w:rPr>
      </w:r>
      <w:r w:rsidRPr="00A3791E">
        <w:rPr>
          <w:rFonts w:eastAsia="Cambria" w:cs="Times New Roman"/>
          <w:szCs w:val="22"/>
        </w:rPr>
        <w:fldChar w:fldCharType="separate"/>
      </w:r>
      <w:r w:rsidRPr="00A3791E">
        <w:rPr>
          <w:rFonts w:eastAsia="Cambria" w:cs="Times New Roman"/>
          <w:szCs w:val="22"/>
        </w:rPr>
        <w:t xml:space="preserve">Table </w:t>
      </w:r>
      <w:r w:rsidRPr="00A3791E">
        <w:rPr>
          <w:rFonts w:eastAsia="Cambria" w:cs="Times New Roman"/>
          <w:noProof/>
          <w:szCs w:val="22"/>
        </w:rPr>
        <w:t>4</w:t>
      </w:r>
      <w:r w:rsidRPr="00A3791E">
        <w:rPr>
          <w:rFonts w:eastAsia="Cambria" w:cs="Times New Roman"/>
          <w:szCs w:val="22"/>
        </w:rPr>
        <w:fldChar w:fldCharType="end"/>
      </w:r>
      <w:r w:rsidRPr="00A3791E">
        <w:rPr>
          <w:rFonts w:eastAsia="Cambria" w:cs="Times New Roman"/>
          <w:szCs w:val="22"/>
        </w:rPr>
        <w:t>.  The rate of decline in ALSFRS-R prior to treatment was compared with the rate of decline during treatment (from baseline until 2 weeks after Cycle 6), and subjects with a progression rate ≤50% of the initial rate were considered to have had their disease “suppressed” (</w:t>
      </w:r>
      <w:r w:rsidRPr="00A3791E">
        <w:rPr>
          <w:rFonts w:eastAsia="Cambria" w:cs="Times New Roman"/>
          <w:szCs w:val="22"/>
        </w:rPr>
        <w:fldChar w:fldCharType="begin"/>
      </w:r>
      <w:r w:rsidRPr="00A3791E">
        <w:rPr>
          <w:rFonts w:eastAsia="Cambria" w:cs="Times New Roman"/>
          <w:szCs w:val="22"/>
        </w:rPr>
        <w:instrText xml:space="preserve"> REF _Ref115246145 \h </w:instrText>
      </w:r>
      <w:r w:rsidRPr="00A3791E">
        <w:rPr>
          <w:rFonts w:eastAsia="Cambria" w:cs="Times New Roman"/>
          <w:szCs w:val="22"/>
        </w:rPr>
      </w:r>
      <w:r w:rsidRPr="00A3791E">
        <w:rPr>
          <w:rFonts w:eastAsia="Cambria" w:cs="Times New Roman"/>
          <w:szCs w:val="22"/>
        </w:rPr>
        <w:fldChar w:fldCharType="separate"/>
      </w:r>
      <w:r w:rsidRPr="00A3791E">
        <w:rPr>
          <w:rFonts w:eastAsia="Cambria" w:cs="Times New Roman"/>
          <w:szCs w:val="22"/>
        </w:rPr>
        <w:t xml:space="preserve">Table </w:t>
      </w:r>
      <w:r w:rsidRPr="00A3791E">
        <w:rPr>
          <w:rFonts w:eastAsia="Cambria" w:cs="Times New Roman"/>
          <w:noProof/>
          <w:szCs w:val="22"/>
        </w:rPr>
        <w:t>5</w:t>
      </w:r>
      <w:r w:rsidRPr="00A3791E">
        <w:rPr>
          <w:rFonts w:eastAsia="Cambria" w:cs="Times New Roman"/>
          <w:szCs w:val="22"/>
        </w:rPr>
        <w:fldChar w:fldCharType="end"/>
      </w:r>
      <w:r w:rsidRPr="00A3791E">
        <w:rPr>
          <w:rFonts w:eastAsia="Cambria" w:cs="Times New Roman"/>
          <w:szCs w:val="22"/>
        </w:rPr>
        <w:t>).</w:t>
      </w:r>
    </w:p>
    <w:p w14:paraId="515A2B39" w14:textId="77777777" w:rsidR="00A3791E" w:rsidRPr="00A3791E" w:rsidRDefault="00A3791E" w:rsidP="007B2DBD">
      <w:pPr>
        <w:pStyle w:val="TableTitle"/>
        <w:rPr>
          <w:rFonts w:eastAsia="Times New Roman"/>
        </w:rPr>
      </w:pPr>
      <w:bookmarkStart w:id="60" w:name="_Ref115247060"/>
      <w:r w:rsidRPr="00A3791E">
        <w:lastRenderedPageBreak/>
        <w:t xml:space="preserve">Table </w:t>
      </w:r>
      <w:r w:rsidR="00C451A8">
        <w:fldChar w:fldCharType="begin"/>
      </w:r>
      <w:r w:rsidR="00C451A8">
        <w:instrText xml:space="preserve"> SEQ Table \* ARABIC </w:instrText>
      </w:r>
      <w:r w:rsidR="00C451A8">
        <w:fldChar w:fldCharType="separate"/>
      </w:r>
      <w:r w:rsidRPr="00A3791E">
        <w:rPr>
          <w:noProof/>
        </w:rPr>
        <w:t>4</w:t>
      </w:r>
      <w:r w:rsidR="00C451A8">
        <w:rPr>
          <w:noProof/>
        </w:rPr>
        <w:fldChar w:fldCharType="end"/>
      </w:r>
      <w:bookmarkEnd w:id="60"/>
      <w:r w:rsidRPr="00A3791E">
        <w:t xml:space="preserve"> ALSFRS-R Decline on Edaravone Compared to Six months Pre-treatment, Study 12</w:t>
      </w:r>
    </w:p>
    <w:p w14:paraId="0B3910A9" w14:textId="77777777" w:rsidR="00A3791E" w:rsidRPr="00A3791E" w:rsidRDefault="00A3791E" w:rsidP="00A3791E">
      <w:pPr>
        <w:spacing w:before="120" w:line="240" w:lineRule="atLeast"/>
        <w:rPr>
          <w:rFonts w:eastAsia="Cambria" w:cs="Times New Roman"/>
          <w:szCs w:val="22"/>
        </w:rPr>
      </w:pPr>
      <w:r w:rsidRPr="00A3791E">
        <w:rPr>
          <w:rFonts w:eastAsia="Cambria" w:cs="Times New Roman"/>
          <w:noProof/>
          <w:szCs w:val="22"/>
        </w:rPr>
        <w:drawing>
          <wp:inline distT="0" distB="0" distL="0" distR="0" wp14:anchorId="32429AF7" wp14:editId="403FC2AF">
            <wp:extent cx="5724525" cy="2114550"/>
            <wp:effectExtent l="0" t="0" r="9525" b="0"/>
            <wp:docPr id="48" name="図 48" descr="A ta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table with black 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2114550"/>
                    </a:xfrm>
                    <a:prstGeom prst="rect">
                      <a:avLst/>
                    </a:prstGeom>
                    <a:noFill/>
                    <a:ln>
                      <a:noFill/>
                    </a:ln>
                  </pic:spPr>
                </pic:pic>
              </a:graphicData>
            </a:graphic>
          </wp:inline>
        </w:drawing>
      </w:r>
    </w:p>
    <w:p w14:paraId="2740ECE7" w14:textId="1F024875" w:rsidR="00A3791E" w:rsidRPr="00A3791E" w:rsidRDefault="00A3791E" w:rsidP="007B2DBD">
      <w:pPr>
        <w:pStyle w:val="TableTitle"/>
        <w:rPr>
          <w:rFonts w:eastAsia="Times New Roman"/>
        </w:rPr>
      </w:pPr>
      <w:bookmarkStart w:id="61" w:name="_Ref115246145"/>
      <w:r w:rsidRPr="00A3791E">
        <w:t xml:space="preserve">Table </w:t>
      </w:r>
      <w:r w:rsidR="00C451A8">
        <w:fldChar w:fldCharType="begin"/>
      </w:r>
      <w:r w:rsidR="00C451A8">
        <w:instrText xml:space="preserve"> SEQ Table \* ARABIC </w:instrText>
      </w:r>
      <w:r w:rsidR="00C451A8">
        <w:fldChar w:fldCharType="separate"/>
      </w:r>
      <w:r w:rsidRPr="00A3791E">
        <w:rPr>
          <w:noProof/>
        </w:rPr>
        <w:t>5</w:t>
      </w:r>
      <w:r w:rsidR="00C451A8">
        <w:rPr>
          <w:noProof/>
        </w:rPr>
        <w:fldChar w:fldCharType="end"/>
      </w:r>
      <w:bookmarkEnd w:id="61"/>
      <w:r w:rsidRPr="00A3791E">
        <w:t xml:space="preserve"> “Suppression” of ALSFRS-R Decline by Dose, Study 12</w:t>
      </w:r>
    </w:p>
    <w:p w14:paraId="00CD14AA" w14:textId="77777777" w:rsidR="00A3791E" w:rsidRPr="00A3791E" w:rsidRDefault="00A3791E" w:rsidP="00A3791E">
      <w:pPr>
        <w:autoSpaceDE w:val="0"/>
        <w:autoSpaceDN w:val="0"/>
        <w:adjustRightInd w:val="0"/>
        <w:spacing w:before="120" w:line="240" w:lineRule="atLeast"/>
        <w:rPr>
          <w:rFonts w:eastAsia="Cambria" w:cs="Times New Roman"/>
          <w:szCs w:val="22"/>
          <w:lang w:eastAsia="ja-JP"/>
        </w:rPr>
      </w:pPr>
      <w:r w:rsidRPr="00A3791E">
        <w:rPr>
          <w:rFonts w:eastAsia="Cambria" w:cs="Times New Roman"/>
          <w:noProof/>
          <w:szCs w:val="22"/>
        </w:rPr>
        <w:drawing>
          <wp:inline distT="0" distB="0" distL="0" distR="0" wp14:anchorId="691C7BF4" wp14:editId="410E13A6">
            <wp:extent cx="5836778" cy="1100579"/>
            <wp:effectExtent l="0" t="0" r="0" b="4445"/>
            <wp:docPr id="47" name="図 47"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rectangular box with black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0700" cy="1108861"/>
                    </a:xfrm>
                    <a:prstGeom prst="rect">
                      <a:avLst/>
                    </a:prstGeom>
                    <a:noFill/>
                    <a:ln>
                      <a:noFill/>
                    </a:ln>
                  </pic:spPr>
                </pic:pic>
              </a:graphicData>
            </a:graphic>
          </wp:inline>
        </w:drawing>
      </w:r>
    </w:p>
    <w:p w14:paraId="569E80D1" w14:textId="77777777" w:rsidR="00A3791E" w:rsidRDefault="00A3791E" w:rsidP="00A3791E">
      <w:pPr>
        <w:spacing w:before="120" w:line="240" w:lineRule="atLeast"/>
        <w:rPr>
          <w:rFonts w:eastAsia="Cambria" w:cs="Times New Roman"/>
          <w:szCs w:val="22"/>
          <w:lang w:eastAsia="ja-JP"/>
        </w:rPr>
      </w:pPr>
      <w:r w:rsidRPr="00A3791E">
        <w:rPr>
          <w:rFonts w:eastAsia="Cambria" w:cs="Times New Roman"/>
          <w:szCs w:val="22"/>
          <w:lang w:eastAsia="ja-JP"/>
        </w:rPr>
        <w:t>The results suggested that ALSFRS-R scores declined at a lower rate while subjects were on edaravone than in the 6 months prior to treatment</w:t>
      </w:r>
      <w:r w:rsidRPr="00A3791E">
        <w:rPr>
          <w:rFonts w:eastAsia="Cambria" w:cs="Times New Roman"/>
          <w:szCs w:val="22"/>
        </w:rPr>
        <w:t xml:space="preserve">; however, in the absence of a placebo group, it is uncertain whether the change in slope of the ALSFRS-R vs time curve represents an efficacy signal.  </w:t>
      </w:r>
      <w:r w:rsidRPr="00A3791E">
        <w:rPr>
          <w:rFonts w:eastAsia="Cambria" w:cs="Times New Roman"/>
          <w:szCs w:val="22"/>
          <w:lang w:eastAsia="ja-JP"/>
        </w:rPr>
        <w:t xml:space="preserve">The efficacy results with edaravone 60 mg were numerically better than with 30 mg, but there was no formal comparison, and patient numbers in the 30 mg group were low.   </w:t>
      </w:r>
    </w:p>
    <w:p w14:paraId="38DCEE48" w14:textId="77777777" w:rsidR="007B2DBD" w:rsidRPr="007B2DBD" w:rsidRDefault="007B2DBD" w:rsidP="007B2DBD">
      <w:pPr>
        <w:pStyle w:val="Heading4"/>
      </w:pPr>
      <w:bookmarkStart w:id="62" w:name="_Toc174517609"/>
      <w:r w:rsidRPr="007B2DBD">
        <w:t>Efficacy</w:t>
      </w:r>
      <w:bookmarkEnd w:id="62"/>
    </w:p>
    <w:p w14:paraId="0EAE20F8" w14:textId="1C7951CE"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szCs w:val="22"/>
          <w:lang w:eastAsia="ja-JP"/>
        </w:rPr>
        <w:t xml:space="preserve">Efficacy studies included the exploratory Phase 2 Study MCI186-12 (summarised above) and four Phase 3 studies, listed below.  </w:t>
      </w:r>
      <w:r w:rsidRPr="007B2DBD">
        <w:rPr>
          <w:rFonts w:eastAsia="Cambria" w:cs="Times New Roman"/>
          <w:szCs w:val="22"/>
        </w:rPr>
        <w:t>The first confirmatory study, Study 16, failed to show a therapeutic benefit</w:t>
      </w:r>
      <w:r w:rsidR="00426ACC">
        <w:rPr>
          <w:rFonts w:eastAsia="Cambria" w:cs="Times New Roman"/>
          <w:szCs w:val="22"/>
        </w:rPr>
        <w:t>, but</w:t>
      </w:r>
      <w:r w:rsidRPr="007B2DBD">
        <w:rPr>
          <w:rFonts w:eastAsia="Cambria" w:cs="Times New Roman"/>
          <w:szCs w:val="22"/>
        </w:rPr>
        <w:t xml:space="preserve"> </w:t>
      </w:r>
      <w:r w:rsidRPr="007B2DBD">
        <w:rPr>
          <w:rFonts w:eastAsia="Cambria" w:cs="Times New Roman"/>
          <w:i/>
          <w:iCs/>
          <w:szCs w:val="22"/>
        </w:rPr>
        <w:t>Post hoc</w:t>
      </w:r>
      <w:r w:rsidRPr="007B2DBD">
        <w:rPr>
          <w:rFonts w:eastAsia="Cambria" w:cs="Times New Roman"/>
          <w:szCs w:val="22"/>
        </w:rPr>
        <w:t xml:space="preserve"> analyses of Study 16 after data unblinding identified a sub-population with favourable outcomes.  Efficacy in that restricted population was evaluated in the second confirmatory study, Study 19.</w:t>
      </w:r>
    </w:p>
    <w:p w14:paraId="49338849" w14:textId="7543FAAA" w:rsidR="007B2DBD" w:rsidRPr="007B2DBD" w:rsidRDefault="007B2DBD" w:rsidP="00BC13AF">
      <w:pPr>
        <w:pStyle w:val="ListBullet"/>
        <w:rPr>
          <w:lang w:eastAsia="ja-JP"/>
        </w:rPr>
      </w:pPr>
      <w:r w:rsidRPr="007B2DBD">
        <w:rPr>
          <w:b/>
          <w:lang w:eastAsia="ja-JP"/>
        </w:rPr>
        <w:t>Study MCI186-16</w:t>
      </w:r>
      <w:r w:rsidRPr="007B2DBD">
        <w:rPr>
          <w:lang w:eastAsia="ja-JP"/>
        </w:rPr>
        <w:t xml:space="preserve"> (Study 16), first confirmatory study in patients with Grade 1-2 ALS. </w:t>
      </w:r>
    </w:p>
    <w:p w14:paraId="59002937" w14:textId="77777777" w:rsidR="007B2DBD" w:rsidRPr="007B2DBD" w:rsidRDefault="007B2DBD" w:rsidP="00BC13AF">
      <w:pPr>
        <w:pStyle w:val="ListBullet"/>
        <w:rPr>
          <w:lang w:eastAsia="ja-JP"/>
        </w:rPr>
      </w:pPr>
      <w:r w:rsidRPr="007B2DBD">
        <w:rPr>
          <w:b/>
          <w:lang w:eastAsia="ja-JP"/>
        </w:rPr>
        <w:t>Study MCI186-19</w:t>
      </w:r>
      <w:r w:rsidRPr="007B2DBD">
        <w:rPr>
          <w:lang w:eastAsia="ja-JP"/>
        </w:rPr>
        <w:t xml:space="preserve"> (Study 19), second confirmatory study designed to assess efficacy in a restricted population based on the favourable </w:t>
      </w:r>
      <w:r w:rsidRPr="007B2DBD">
        <w:rPr>
          <w:i/>
          <w:lang w:eastAsia="ja-JP"/>
        </w:rPr>
        <w:t>post hoc</w:t>
      </w:r>
      <w:r w:rsidRPr="007B2DBD">
        <w:rPr>
          <w:lang w:eastAsia="ja-JP"/>
        </w:rPr>
        <w:t xml:space="preserve"> sub-population from Study 16.</w:t>
      </w:r>
    </w:p>
    <w:p w14:paraId="763A14DE" w14:textId="4BF439C1" w:rsidR="007B2DBD" w:rsidRPr="007B2DBD" w:rsidRDefault="007B2DBD" w:rsidP="00BC13AF">
      <w:pPr>
        <w:pStyle w:val="ListBullet"/>
        <w:rPr>
          <w:lang w:eastAsia="ja-JP"/>
        </w:rPr>
      </w:pPr>
      <w:r w:rsidRPr="007B2DBD">
        <w:rPr>
          <w:b/>
          <w:lang w:eastAsia="ja-JP"/>
        </w:rPr>
        <w:t>Study MCI186-17</w:t>
      </w:r>
      <w:r w:rsidRPr="007B2DBD">
        <w:rPr>
          <w:lang w:eastAsia="ja-JP"/>
        </w:rPr>
        <w:t xml:space="preserve"> (Study 17), an extension study of Study 16. </w:t>
      </w:r>
    </w:p>
    <w:p w14:paraId="2D3F8C73" w14:textId="73586D76" w:rsidR="007B2DBD" w:rsidRDefault="007B2DBD" w:rsidP="00BC13AF">
      <w:pPr>
        <w:pStyle w:val="ListBullet"/>
        <w:rPr>
          <w:lang w:eastAsia="ja-JP"/>
        </w:rPr>
      </w:pPr>
      <w:r w:rsidRPr="007B2DBD">
        <w:rPr>
          <w:b/>
          <w:lang w:eastAsia="ja-JP"/>
        </w:rPr>
        <w:t>Study MCI186-18</w:t>
      </w:r>
      <w:r w:rsidRPr="007B2DBD">
        <w:rPr>
          <w:lang w:eastAsia="ja-JP"/>
        </w:rPr>
        <w:t xml:space="preserve"> (Study 18), an exploratory study in patients with Grade 3 ALS.</w:t>
      </w:r>
    </w:p>
    <w:p w14:paraId="79FBDEBB" w14:textId="32E600D9"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The ALSFRS-R was the major efficacy endpoint in the key efficacy studies.  </w:t>
      </w:r>
    </w:p>
    <w:p w14:paraId="4E9CACA9" w14:textId="0ECFC0E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ALS severity was graded according to the Japan ALS severity scale:</w:t>
      </w:r>
    </w:p>
    <w:p w14:paraId="6B98ABA1" w14:textId="22BC0177" w:rsidR="007B2DBD" w:rsidRPr="007B2DBD" w:rsidRDefault="007B2DBD" w:rsidP="00BC13AF">
      <w:pPr>
        <w:pStyle w:val="Numberbullet0"/>
        <w:rPr>
          <w:lang w:eastAsia="ja-JP"/>
        </w:rPr>
      </w:pPr>
      <w:r w:rsidRPr="007B2DBD">
        <w:rPr>
          <w:lang w:eastAsia="ja-JP"/>
        </w:rPr>
        <w:t xml:space="preserve">Able to work or perform </w:t>
      </w:r>
      <w:r w:rsidR="004B2EE9" w:rsidRPr="007B2DBD">
        <w:rPr>
          <w:lang w:eastAsia="ja-JP"/>
        </w:rPr>
        <w:t>housework.</w:t>
      </w:r>
    </w:p>
    <w:p w14:paraId="5AFD3054" w14:textId="39DDC8D8" w:rsidR="007B2DBD" w:rsidRPr="007B2DBD" w:rsidRDefault="007B2DBD" w:rsidP="00BC13AF">
      <w:pPr>
        <w:pStyle w:val="Numberbullet0"/>
        <w:rPr>
          <w:lang w:eastAsia="ja-JP"/>
        </w:rPr>
      </w:pPr>
      <w:r w:rsidRPr="007B2DBD">
        <w:rPr>
          <w:lang w:eastAsia="ja-JP"/>
        </w:rPr>
        <w:t>Independent living</w:t>
      </w:r>
      <w:r w:rsidR="003D4CEA">
        <w:rPr>
          <w:lang w:eastAsia="ja-JP"/>
        </w:rPr>
        <w:t>,</w:t>
      </w:r>
      <w:r w:rsidRPr="007B2DBD">
        <w:rPr>
          <w:lang w:eastAsia="ja-JP"/>
        </w:rPr>
        <w:t xml:space="preserve"> but unable to </w:t>
      </w:r>
      <w:r w:rsidR="004B2EE9" w:rsidRPr="007B2DBD">
        <w:rPr>
          <w:lang w:eastAsia="ja-JP"/>
        </w:rPr>
        <w:t>work.</w:t>
      </w:r>
    </w:p>
    <w:p w14:paraId="3E33F5A2" w14:textId="77777777" w:rsidR="007B2DBD" w:rsidRPr="007B2DBD" w:rsidRDefault="007B2DBD" w:rsidP="00BC13AF">
      <w:pPr>
        <w:pStyle w:val="Numberbullet0"/>
        <w:rPr>
          <w:lang w:eastAsia="ja-JP"/>
        </w:rPr>
      </w:pPr>
      <w:r w:rsidRPr="007B2DBD">
        <w:rPr>
          <w:lang w:eastAsia="ja-JP"/>
        </w:rPr>
        <w:t>Requiring assistance for eating, excretion, or ambulation</w:t>
      </w:r>
    </w:p>
    <w:p w14:paraId="6A633000" w14:textId="77777777" w:rsidR="007B2DBD" w:rsidRPr="007B2DBD" w:rsidRDefault="007B2DBD" w:rsidP="00BC13AF">
      <w:pPr>
        <w:pStyle w:val="Numberbullet0"/>
        <w:rPr>
          <w:lang w:eastAsia="ja-JP"/>
        </w:rPr>
      </w:pPr>
      <w:r w:rsidRPr="007B2DBD">
        <w:rPr>
          <w:lang w:eastAsia="ja-JP"/>
        </w:rPr>
        <w:t>Presence of respiratory insufficiency, difficulty in coughing out sputum, or dysphagia</w:t>
      </w:r>
    </w:p>
    <w:p w14:paraId="7A355C45" w14:textId="77777777" w:rsidR="007B2DBD" w:rsidRPr="007B2DBD" w:rsidRDefault="007B2DBD" w:rsidP="00BC13AF">
      <w:pPr>
        <w:pStyle w:val="Numberbullet0"/>
        <w:rPr>
          <w:lang w:eastAsia="ja-JP"/>
        </w:rPr>
      </w:pPr>
      <w:r w:rsidRPr="007B2DBD">
        <w:rPr>
          <w:lang w:eastAsia="ja-JP"/>
        </w:rPr>
        <w:t>Using a tracheostomy tube, tube feeding, or tracheostomy positive-pressure ventilation.</w:t>
      </w:r>
    </w:p>
    <w:p w14:paraId="634202C9" w14:textId="2F9CC649" w:rsidR="007B2DBD" w:rsidRPr="007B2DBD" w:rsidRDefault="007B2DBD" w:rsidP="007B2DBD">
      <w:pPr>
        <w:pStyle w:val="Heading5"/>
      </w:pPr>
      <w:r w:rsidRPr="007B2DBD">
        <w:lastRenderedPageBreak/>
        <w:t>Study MCI186-16 (Study 16)</w:t>
      </w:r>
    </w:p>
    <w:p w14:paraId="7671B6C0" w14:textId="12D4F7D1" w:rsidR="007B2DBD" w:rsidRPr="007B2DBD" w:rsidRDefault="007B2DBD" w:rsidP="007B2DBD">
      <w:pPr>
        <w:autoSpaceDE w:val="0"/>
        <w:autoSpaceDN w:val="0"/>
        <w:adjustRightInd w:val="0"/>
        <w:spacing w:before="120" w:line="240" w:lineRule="atLeast"/>
        <w:rPr>
          <w:rFonts w:eastAsia="Times New Roman" w:cs="Times New Roman"/>
          <w:szCs w:val="22"/>
        </w:rPr>
      </w:pPr>
      <w:r w:rsidRPr="007B2DBD">
        <w:rPr>
          <w:rFonts w:eastAsia="Cambria" w:cs="Times New Roman"/>
          <w:bCs/>
          <w:iCs/>
          <w:szCs w:val="22"/>
        </w:rPr>
        <w:t>Study 16 was a double-blind, parallel-group, placebo-controlled, Phase 3 study of edaravone for the treatment of</w:t>
      </w:r>
      <w:r w:rsidR="003C31F4">
        <w:rPr>
          <w:rFonts w:eastAsia="Cambria" w:cs="Times New Roman"/>
          <w:bCs/>
          <w:iCs/>
          <w:szCs w:val="22"/>
        </w:rPr>
        <w:t xml:space="preserve"> </w:t>
      </w:r>
      <w:r w:rsidR="00410D59">
        <w:rPr>
          <w:rFonts w:eastAsia="Cambria" w:cs="Times New Roman"/>
          <w:bCs/>
          <w:iCs/>
          <w:szCs w:val="22"/>
        </w:rPr>
        <w:t>ALS</w:t>
      </w:r>
      <w:r w:rsidRPr="007B2DBD">
        <w:rPr>
          <w:rFonts w:eastAsia="Cambria" w:cs="Times New Roman"/>
          <w:bCs/>
          <w:iCs/>
          <w:szCs w:val="22"/>
        </w:rPr>
        <w:t xml:space="preserve">.  It was the initial Phase 3 study designed to confirm the efficacy of edaravone in the proposed indication.   </w:t>
      </w:r>
      <w:r w:rsidRPr="007B2DBD">
        <w:rPr>
          <w:rFonts w:eastAsia="Cambria" w:cs="Times New Roman"/>
          <w:szCs w:val="22"/>
        </w:rPr>
        <w:t>The study was conducted in multiple centres in Japan between 8 May 2006 and 9 September 2008.</w:t>
      </w:r>
    </w:p>
    <w:p w14:paraId="037CECDF" w14:textId="77777777" w:rsidR="007B2DBD" w:rsidRPr="007B2DBD" w:rsidRDefault="007B2DBD" w:rsidP="007B2DBD">
      <w:pPr>
        <w:autoSpaceDE w:val="0"/>
        <w:autoSpaceDN w:val="0"/>
        <w:adjustRightInd w:val="0"/>
        <w:spacing w:before="120" w:line="240" w:lineRule="atLeast"/>
        <w:rPr>
          <w:rFonts w:eastAsia="Cambria" w:cs="Times New Roman"/>
          <w:szCs w:val="22"/>
        </w:rPr>
      </w:pPr>
      <w:r w:rsidRPr="007B2DBD">
        <w:rPr>
          <w:rFonts w:eastAsia="Cambria" w:cs="Times New Roman"/>
          <w:szCs w:val="22"/>
        </w:rPr>
        <w:t xml:space="preserve">The primary objective was to compare the efficacy of edaravone to placebo in patients with ALS based on change in ALSFRS-R over 24 weeks after treatment initiation.  The safety of edaravone in ALS patients was also examined. </w:t>
      </w:r>
    </w:p>
    <w:p w14:paraId="6A97EA12" w14:textId="77777777" w:rsidR="007B2DBD" w:rsidRPr="007B2DBD" w:rsidRDefault="007B2DBD" w:rsidP="007B2DBD">
      <w:pPr>
        <w:autoSpaceDE w:val="0"/>
        <w:autoSpaceDN w:val="0"/>
        <w:spacing w:before="120" w:line="240" w:lineRule="atLeast"/>
        <w:rPr>
          <w:rFonts w:eastAsia="Cambria" w:cs="Times New Roman"/>
          <w:szCs w:val="22"/>
        </w:rPr>
      </w:pPr>
      <w:r w:rsidRPr="007B2DBD">
        <w:rPr>
          <w:rFonts w:eastAsia="Cambria" w:cs="Times New Roman"/>
          <w:szCs w:val="22"/>
        </w:rPr>
        <w:t>The study included a 12-week pre-observation period followed by a 24-week double-blind treatment period (</w:t>
      </w:r>
      <w:r w:rsidRPr="007B2DBD">
        <w:rPr>
          <w:rFonts w:eastAsia="Cambria" w:cs="Times New Roman"/>
          <w:szCs w:val="22"/>
        </w:rPr>
        <w:fldChar w:fldCharType="begin"/>
      </w:r>
      <w:r w:rsidRPr="007B2DBD">
        <w:rPr>
          <w:rFonts w:eastAsia="Cambria" w:cs="Times New Roman"/>
          <w:szCs w:val="22"/>
        </w:rPr>
        <w:instrText xml:space="preserve"> REF _Ref115341571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Figure </w:t>
      </w:r>
      <w:r w:rsidRPr="007B2DBD">
        <w:rPr>
          <w:rFonts w:eastAsia="Cambria" w:cs="Times New Roman"/>
          <w:noProof/>
          <w:szCs w:val="22"/>
        </w:rPr>
        <w:t>2</w:t>
      </w:r>
      <w:r w:rsidRPr="007B2DBD">
        <w:rPr>
          <w:rFonts w:eastAsia="Cambria" w:cs="Times New Roman"/>
          <w:szCs w:val="22"/>
        </w:rPr>
        <w:fldChar w:fldCharType="end"/>
      </w:r>
      <w:r w:rsidRPr="007B2DBD">
        <w:rPr>
          <w:rFonts w:eastAsia="Cambria" w:cs="Times New Roman"/>
          <w:szCs w:val="22"/>
        </w:rPr>
        <w:t>).  Study treatment was edaravone 60 mg or matching placebo, administered intravenously over 60 minutes, according to the following schedule over six 4-week cycles: daily for 14 days at the start of Cycle 1, and then daily for 10 of 14 days at the start of each subsequent 4-week cycle.  No treatment was administered on 14 days in Cycle 1 and 18 days in each subsequent cycle.  Use of riluzole was permitted at a stable dose.</w:t>
      </w:r>
    </w:p>
    <w:p w14:paraId="60FBA42E" w14:textId="03466E1E" w:rsidR="007B2DBD" w:rsidRPr="007B2DBD" w:rsidRDefault="007B2DBD" w:rsidP="004B2EE9">
      <w:pPr>
        <w:pStyle w:val="FigureTitle"/>
      </w:pPr>
      <w:bookmarkStart w:id="63" w:name="_Ref115341571"/>
      <w:r w:rsidRPr="007B2DBD">
        <w:t xml:space="preserve">Figure </w:t>
      </w:r>
      <w:bookmarkEnd w:id="63"/>
      <w:r w:rsidR="00BC13AF">
        <w:t>3</w:t>
      </w:r>
      <w:r w:rsidRPr="007B2DBD">
        <w:t xml:space="preserve"> Outline of Study design, Study 16</w:t>
      </w:r>
    </w:p>
    <w:p w14:paraId="30D66B47" w14:textId="77777777" w:rsidR="007B2DBD" w:rsidRPr="007B2DBD" w:rsidRDefault="007B2DBD" w:rsidP="007B2DBD">
      <w:pPr>
        <w:autoSpaceDE w:val="0"/>
        <w:autoSpaceDN w:val="0"/>
        <w:spacing w:before="120" w:line="240" w:lineRule="atLeast"/>
        <w:rPr>
          <w:rFonts w:eastAsia="Cambria" w:cs="Times New Roman"/>
          <w:szCs w:val="22"/>
        </w:rPr>
      </w:pPr>
      <w:r w:rsidRPr="007B2DBD">
        <w:rPr>
          <w:rFonts w:eastAsia="Cambria" w:cs="Times New Roman"/>
          <w:noProof/>
          <w:szCs w:val="22"/>
        </w:rPr>
        <w:drawing>
          <wp:inline distT="0" distB="0" distL="0" distR="0" wp14:anchorId="63A3356C" wp14:editId="2AFCAACB">
            <wp:extent cx="5522160" cy="1931350"/>
            <wp:effectExtent l="0" t="0" r="2540" b="0"/>
            <wp:docPr id="60" name="図 60" descr="A diagram of a treatment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diagram of a treatment process&#10;&#10;Description automatically generated"/>
                    <pic:cNvPicPr/>
                  </pic:nvPicPr>
                  <pic:blipFill>
                    <a:blip r:embed="rId30"/>
                    <a:stretch>
                      <a:fillRect/>
                    </a:stretch>
                  </pic:blipFill>
                  <pic:spPr>
                    <a:xfrm>
                      <a:off x="0" y="0"/>
                      <a:ext cx="5564349" cy="1946105"/>
                    </a:xfrm>
                    <a:prstGeom prst="rect">
                      <a:avLst/>
                    </a:prstGeom>
                  </pic:spPr>
                </pic:pic>
              </a:graphicData>
            </a:graphic>
          </wp:inline>
        </w:drawing>
      </w:r>
    </w:p>
    <w:p w14:paraId="2CDE5238" w14:textId="77777777" w:rsidR="007B2DBD" w:rsidRPr="007B2DBD" w:rsidRDefault="007B2DBD" w:rsidP="007B2DBD">
      <w:pPr>
        <w:autoSpaceDE w:val="0"/>
        <w:autoSpaceDN w:val="0"/>
        <w:adjustRightInd w:val="0"/>
        <w:spacing w:before="120" w:line="240" w:lineRule="atLeast"/>
        <w:rPr>
          <w:rFonts w:eastAsia="Times New Roman" w:cs="Times New Roman"/>
          <w:szCs w:val="22"/>
        </w:rPr>
      </w:pPr>
      <w:r w:rsidRPr="007B2DBD">
        <w:rPr>
          <w:rFonts w:eastAsia="Cambria" w:cs="Times New Roman"/>
          <w:szCs w:val="22"/>
        </w:rPr>
        <w:t>Inclusion criteria were:</w:t>
      </w:r>
    </w:p>
    <w:p w14:paraId="6804F67F" w14:textId="76F82DEF" w:rsidR="007B2DBD" w:rsidRPr="007B2DBD" w:rsidRDefault="007B2DBD" w:rsidP="00BC13AF">
      <w:pPr>
        <w:pStyle w:val="ListBullet"/>
        <w:rPr>
          <w:rFonts w:eastAsia="Times New Roman"/>
          <w:lang w:eastAsia="ja-JP"/>
        </w:rPr>
      </w:pPr>
      <w:r w:rsidRPr="007B2DBD">
        <w:rPr>
          <w:lang w:eastAsia="ja-JP"/>
        </w:rPr>
        <w:t xml:space="preserve">Patients who correspond to “definite ALS,” “probable ALS,” or “probable ALS-laboratory supported” by the El Escorial revised Airlie House diagnostic </w:t>
      </w:r>
      <w:r w:rsidR="004B2EE9" w:rsidRPr="007B2DBD">
        <w:rPr>
          <w:lang w:eastAsia="ja-JP"/>
        </w:rPr>
        <w:t>criteria.</w:t>
      </w:r>
    </w:p>
    <w:p w14:paraId="21716345" w14:textId="14E2B2C4" w:rsidR="007B2DBD" w:rsidRPr="007B2DBD" w:rsidRDefault="007B2DBD" w:rsidP="00BC13AF">
      <w:pPr>
        <w:pStyle w:val="ListBullet"/>
        <w:rPr>
          <w:lang w:eastAsia="ja-JP"/>
        </w:rPr>
      </w:pPr>
      <w:r w:rsidRPr="007B2DBD">
        <w:rPr>
          <w:lang w:eastAsia="ja-JP"/>
        </w:rPr>
        <w:t>Patients with ALS severity grade 1 or 2 by the Japan ALS severity classification</w:t>
      </w:r>
    </w:p>
    <w:p w14:paraId="15FA0E95" w14:textId="5F277DB3" w:rsidR="007B2DBD" w:rsidRPr="007B2DBD" w:rsidRDefault="007B2DBD" w:rsidP="00BC13AF">
      <w:pPr>
        <w:pStyle w:val="ListBullet"/>
        <w:rPr>
          <w:lang w:eastAsia="ja-JP"/>
        </w:rPr>
      </w:pPr>
      <w:r w:rsidRPr="007B2DBD">
        <w:rPr>
          <w:lang w:eastAsia="ja-JP"/>
        </w:rPr>
        <w:t xml:space="preserve">Patients whose % forced vital capacity (%FVC) is 70% or </w:t>
      </w:r>
      <w:r w:rsidR="004B2EE9" w:rsidRPr="007B2DBD">
        <w:rPr>
          <w:lang w:eastAsia="ja-JP"/>
        </w:rPr>
        <w:t>higher.</w:t>
      </w:r>
    </w:p>
    <w:p w14:paraId="350E2CAB" w14:textId="77777777" w:rsidR="007B2DBD" w:rsidRPr="007B2DBD" w:rsidRDefault="007B2DBD" w:rsidP="00BC13AF">
      <w:pPr>
        <w:pStyle w:val="ListBullet"/>
        <w:rPr>
          <w:lang w:eastAsia="ja-JP"/>
        </w:rPr>
      </w:pPr>
      <w:r w:rsidRPr="007B2DBD">
        <w:rPr>
          <w:lang w:eastAsia="ja-JP"/>
        </w:rPr>
        <w:t>Patients who are within 3 years after the onset of ALS at written informed consent</w:t>
      </w:r>
    </w:p>
    <w:p w14:paraId="7BD45AFC" w14:textId="77777777" w:rsidR="007B2DBD" w:rsidRPr="007B2DBD" w:rsidRDefault="007B2DBD" w:rsidP="00BC13AF">
      <w:pPr>
        <w:pStyle w:val="ListBullet"/>
        <w:rPr>
          <w:lang w:eastAsia="ja-JP"/>
        </w:rPr>
      </w:pPr>
      <w:r w:rsidRPr="007B2DBD">
        <w:rPr>
          <w:lang w:eastAsia="ja-JP"/>
        </w:rPr>
        <w:t>Patients between 20 and 75 years old at written informed consent</w:t>
      </w:r>
    </w:p>
    <w:p w14:paraId="1CB35E99" w14:textId="77777777" w:rsidR="007B2DBD" w:rsidRPr="007B2DBD" w:rsidRDefault="007B2DBD" w:rsidP="00BC13AF">
      <w:pPr>
        <w:pStyle w:val="ListBullet"/>
        <w:rPr>
          <w:lang w:eastAsia="ja-JP"/>
        </w:rPr>
      </w:pPr>
      <w:r w:rsidRPr="007B2DBD">
        <w:rPr>
          <w:lang w:eastAsia="ja-JP"/>
        </w:rPr>
        <w:t xml:space="preserve">Patients who gave written informed consent to study participation </w:t>
      </w:r>
    </w:p>
    <w:p w14:paraId="2840E089" w14:textId="77777777" w:rsidR="007B2DBD" w:rsidRDefault="007B2DBD" w:rsidP="00BC13AF">
      <w:pPr>
        <w:pStyle w:val="ListBullet"/>
        <w:rPr>
          <w:lang w:eastAsia="ja-JP"/>
        </w:rPr>
      </w:pPr>
      <w:r w:rsidRPr="007B2DBD">
        <w:rPr>
          <w:lang w:eastAsia="ja-JP"/>
        </w:rPr>
        <w:t>Patients whose ALSFRS-R score changed by –1 to –4 points during the 12-week pre-observation period.</w:t>
      </w:r>
      <w:r w:rsidRPr="007B2DBD">
        <w:rPr>
          <w:vertAlign w:val="superscript"/>
          <w:lang w:eastAsia="ja-JP"/>
        </w:rPr>
        <w:footnoteReference w:id="5"/>
      </w:r>
    </w:p>
    <w:p w14:paraId="5BF2B026"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bCs/>
          <w:iCs/>
          <w:szCs w:val="22"/>
        </w:rPr>
        <w:t xml:space="preserve">A sample size of 100 subjects in each group was planned based on a treatment effect of 2.2 points on ALSFRS-R which </w:t>
      </w:r>
      <w:r w:rsidRPr="007B2DBD">
        <w:rPr>
          <w:rFonts w:eastAsia="Cambria" w:cs="Times New Roman"/>
          <w:szCs w:val="22"/>
        </w:rPr>
        <w:t xml:space="preserve">would provide 95% power when the standard deviation (SD) is 4.3, 85% power when the SD is 5.2, and 67% power when the SD is 6.5.  </w:t>
      </w:r>
    </w:p>
    <w:p w14:paraId="085C8D7B" w14:textId="50FE4143"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246 patients gave informed consent and underwent pre-registration, and 206 patients were randomised to treatment in the double-blind treatment period.  Subjects were randomised 1:1 (102 to edaravone and 104 to placebo), with dynamic allocation based on 3 factors: ALSFRS-R score changes during the 12-week pre-observation period (-1, -2 vs -3, -4), initial symptom </w:t>
      </w:r>
      <w:r w:rsidRPr="007B2DBD">
        <w:rPr>
          <w:rFonts w:eastAsia="Cambria" w:cs="Times New Roman"/>
          <w:szCs w:val="22"/>
        </w:rPr>
        <w:lastRenderedPageBreak/>
        <w:t xml:space="preserve">(bulbar symptoms vs limb symptoms), and concomitant use of riluzole (Yes or No).  205 patients were included in the </w:t>
      </w:r>
      <w:r w:rsidR="00B81729">
        <w:rPr>
          <w:rFonts w:eastAsia="Cambria" w:cs="Times New Roman"/>
          <w:szCs w:val="22"/>
        </w:rPr>
        <w:t>full analysis set (</w:t>
      </w:r>
      <w:r w:rsidRPr="007B2DBD">
        <w:rPr>
          <w:rFonts w:eastAsia="Cambria" w:cs="Times New Roman"/>
          <w:szCs w:val="22"/>
        </w:rPr>
        <w:t>FAS</w:t>
      </w:r>
      <w:r w:rsidR="00B81729">
        <w:rPr>
          <w:rFonts w:eastAsia="Cambria" w:cs="Times New Roman"/>
          <w:szCs w:val="22"/>
        </w:rPr>
        <w:t>;</w:t>
      </w:r>
      <w:r w:rsidRPr="007B2DBD">
        <w:rPr>
          <w:rFonts w:eastAsia="Cambria" w:cs="Times New Roman"/>
          <w:szCs w:val="22"/>
        </w:rPr>
        <w:t xml:space="preserve"> 101 edaravone, 104 placebo), so the study was adequately powered under its initial assumptions.  Baseline demographic</w:t>
      </w:r>
      <w:r w:rsidR="00EB1E5D">
        <w:rPr>
          <w:rFonts w:eastAsia="Cambria" w:cs="Times New Roman"/>
          <w:szCs w:val="22"/>
        </w:rPr>
        <w:t xml:space="preserve"> characteristics</w:t>
      </w:r>
      <w:r w:rsidRPr="007B2DBD">
        <w:rPr>
          <w:rFonts w:eastAsia="Cambria" w:cs="Times New Roman"/>
          <w:szCs w:val="22"/>
        </w:rPr>
        <w:t xml:space="preserve"> and disease data were reasonably balanced between the treatment groups.  </w:t>
      </w:r>
    </w:p>
    <w:p w14:paraId="61AC5BD5" w14:textId="26CBDD03" w:rsidR="007B2DBD" w:rsidRPr="007B2DBD" w:rsidRDefault="007B2DBD" w:rsidP="007B2DBD">
      <w:pPr>
        <w:autoSpaceDE w:val="0"/>
        <w:autoSpaceDN w:val="0"/>
        <w:spacing w:before="120" w:line="240" w:lineRule="atLeast"/>
        <w:rPr>
          <w:rFonts w:eastAsia="Cambria" w:cs="Times New Roman"/>
          <w:szCs w:val="22"/>
        </w:rPr>
      </w:pPr>
      <w:r w:rsidRPr="007B2DBD">
        <w:rPr>
          <w:rFonts w:eastAsia="Cambria" w:cs="Times New Roman"/>
          <w:szCs w:val="22"/>
        </w:rPr>
        <w:t xml:space="preserve">The primary efficacy endpoint was the change in ALSFRS-R from baseline in Cycle 1 to the end of Cycle 6 or at discontinuation.  Secondary endpoints </w:t>
      </w:r>
      <w:proofErr w:type="gramStart"/>
      <w:r w:rsidRPr="007B2DBD">
        <w:rPr>
          <w:rFonts w:eastAsia="Cambria" w:cs="Times New Roman"/>
          <w:szCs w:val="22"/>
        </w:rPr>
        <w:t>were:</w:t>
      </w:r>
      <w:proofErr w:type="gramEnd"/>
      <w:r w:rsidRPr="007B2DBD">
        <w:rPr>
          <w:rFonts w:eastAsia="Cambria" w:cs="Times New Roman"/>
          <w:szCs w:val="22"/>
        </w:rPr>
        <w:t xml:space="preserve"> time to death or certain disease progression (disability of independent ambulation, loss of upper limb function, tracheotomy, use of respirator and use of tube feeding), domain-specific ALSFRS-R score, %FVC, Modified Norris Scale score, ALS Assessment Questionnaire (ALSAQ40) score, grip strength, pinch grip strength, and ALS severity classification.  </w:t>
      </w:r>
    </w:p>
    <w:p w14:paraId="2C4BE467" w14:textId="76B99B26" w:rsidR="007B2DBD" w:rsidRPr="007B2DBD" w:rsidRDefault="007B2DBD" w:rsidP="007B2DBD">
      <w:pPr>
        <w:autoSpaceDE w:val="0"/>
        <w:autoSpaceDN w:val="0"/>
        <w:spacing w:before="120" w:line="240" w:lineRule="atLeast"/>
        <w:rPr>
          <w:rFonts w:eastAsia="Cambria" w:cs="Times New Roman"/>
          <w:szCs w:val="22"/>
        </w:rPr>
      </w:pPr>
      <w:r w:rsidRPr="007B2DBD">
        <w:rPr>
          <w:rFonts w:eastAsia="Cambria" w:cs="Times New Roman"/>
          <w:szCs w:val="22"/>
        </w:rPr>
        <w:t>The FAS was used for primary analysis.  The evaluator highlighted concern</w:t>
      </w:r>
      <w:r w:rsidR="00B81729">
        <w:rPr>
          <w:rFonts w:eastAsia="Cambria" w:cs="Times New Roman"/>
          <w:szCs w:val="22"/>
        </w:rPr>
        <w:t>s</w:t>
      </w:r>
      <w:r w:rsidRPr="007B2DBD">
        <w:rPr>
          <w:rFonts w:eastAsia="Cambria" w:cs="Times New Roman"/>
          <w:szCs w:val="22"/>
        </w:rPr>
        <w:t xml:space="preserve"> that two analytical methods were specified for the primary analysis without applying any correction for multiplicity of methods.  The secondary endpoints were not formally ranked, and the multiplicity of secondary endpoints was not discussed in the study report.</w:t>
      </w:r>
    </w:p>
    <w:p w14:paraId="76861E14" w14:textId="36256B4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The study failed to achieve its primary endpoint.  The change (mean ± SD) in ALSFRS-R from baseline in </w:t>
      </w:r>
      <w:r w:rsidR="00C72E65">
        <w:rPr>
          <w:rFonts w:eastAsia="Cambria" w:cs="Times New Roman"/>
          <w:szCs w:val="22"/>
        </w:rPr>
        <w:t>t</w:t>
      </w:r>
      <w:r w:rsidRPr="007B2DBD">
        <w:rPr>
          <w:rFonts w:eastAsia="Cambria" w:cs="Times New Roman"/>
          <w:szCs w:val="22"/>
        </w:rPr>
        <w:t xml:space="preserve">reatment </w:t>
      </w:r>
      <w:r w:rsidR="00C72E65">
        <w:rPr>
          <w:rFonts w:eastAsia="Cambria" w:cs="Times New Roman"/>
          <w:szCs w:val="22"/>
        </w:rPr>
        <w:t>c</w:t>
      </w:r>
      <w:r w:rsidRPr="007B2DBD">
        <w:rPr>
          <w:rFonts w:eastAsia="Cambria" w:cs="Times New Roman"/>
          <w:szCs w:val="22"/>
        </w:rPr>
        <w:t xml:space="preserve">ycle 1 to the end of </w:t>
      </w:r>
      <w:r w:rsidR="00C72E65">
        <w:rPr>
          <w:rFonts w:eastAsia="Cambria" w:cs="Times New Roman"/>
          <w:szCs w:val="22"/>
        </w:rPr>
        <w:t>t</w:t>
      </w:r>
      <w:r w:rsidRPr="007B2DBD">
        <w:rPr>
          <w:rFonts w:eastAsia="Cambria" w:cs="Times New Roman"/>
          <w:szCs w:val="22"/>
        </w:rPr>
        <w:t xml:space="preserve">reatment </w:t>
      </w:r>
      <w:r w:rsidR="00C72E65">
        <w:rPr>
          <w:rFonts w:eastAsia="Cambria" w:cs="Times New Roman"/>
          <w:szCs w:val="22"/>
        </w:rPr>
        <w:t>c</w:t>
      </w:r>
      <w:r w:rsidRPr="007B2DBD">
        <w:rPr>
          <w:rFonts w:eastAsia="Cambria" w:cs="Times New Roman"/>
          <w:szCs w:val="22"/>
        </w:rPr>
        <w:t>ycle 6 or at discontinuation was -5.3 ± 5.4 points in the edaravone group and –6.0 ± 6.0 points in the placebo group (</w:t>
      </w:r>
      <w:r w:rsidRPr="007B2DBD">
        <w:rPr>
          <w:rFonts w:eastAsia="Cambria" w:cs="Times New Roman"/>
          <w:szCs w:val="22"/>
        </w:rPr>
        <w:fldChar w:fldCharType="begin"/>
      </w:r>
      <w:r w:rsidRPr="007B2DBD">
        <w:rPr>
          <w:rFonts w:eastAsia="Cambria" w:cs="Times New Roman"/>
          <w:szCs w:val="22"/>
        </w:rPr>
        <w:instrText xml:space="preserve"> REF _Ref114560709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Figure </w:t>
      </w:r>
      <w:r w:rsidRPr="007B2DBD">
        <w:rPr>
          <w:rFonts w:eastAsia="Cambria" w:cs="Times New Roman"/>
          <w:noProof/>
          <w:szCs w:val="22"/>
        </w:rPr>
        <w:t>3</w:t>
      </w:r>
      <w:r w:rsidRPr="007B2DBD">
        <w:rPr>
          <w:rFonts w:eastAsia="Cambria" w:cs="Times New Roman"/>
          <w:szCs w:val="22"/>
        </w:rPr>
        <w:fldChar w:fldCharType="end"/>
      </w:r>
      <w:r w:rsidRPr="007B2DBD">
        <w:rPr>
          <w:rFonts w:eastAsia="Cambria" w:cs="Times New Roman"/>
          <w:szCs w:val="22"/>
        </w:rPr>
        <w:t>).  Both of the analysis methods specified for the primary analysis failed to demonstrate a significant treatment effect (</w:t>
      </w:r>
      <w:r w:rsidRPr="007B2DBD">
        <w:rPr>
          <w:rFonts w:eastAsia="Cambria" w:cs="Times New Roman"/>
          <w:szCs w:val="22"/>
        </w:rPr>
        <w:fldChar w:fldCharType="begin"/>
      </w:r>
      <w:r w:rsidRPr="007B2DBD">
        <w:rPr>
          <w:rFonts w:eastAsia="Cambria" w:cs="Times New Roman"/>
          <w:szCs w:val="22"/>
        </w:rPr>
        <w:instrText xml:space="preserve"> REF _Ref114560240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6</w:t>
      </w:r>
      <w:r w:rsidRPr="007B2DBD">
        <w:rPr>
          <w:rFonts w:eastAsia="Cambria" w:cs="Times New Roman"/>
          <w:szCs w:val="22"/>
        </w:rPr>
        <w:fldChar w:fldCharType="end"/>
      </w:r>
      <w:r w:rsidRPr="007B2DBD">
        <w:rPr>
          <w:rFonts w:eastAsia="Cambria" w:cs="Times New Roman"/>
          <w:szCs w:val="22"/>
        </w:rPr>
        <w:t xml:space="preserve">, </w:t>
      </w:r>
      <w:r w:rsidRPr="007B2DBD">
        <w:rPr>
          <w:rFonts w:eastAsia="Cambria" w:cs="Times New Roman"/>
          <w:szCs w:val="22"/>
        </w:rPr>
        <w:fldChar w:fldCharType="begin"/>
      </w:r>
      <w:r w:rsidRPr="007B2DBD">
        <w:rPr>
          <w:rFonts w:eastAsia="Cambria" w:cs="Times New Roman"/>
          <w:szCs w:val="22"/>
        </w:rPr>
        <w:instrText xml:space="preserve"> REF _Ref114560242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7</w:t>
      </w:r>
      <w:r w:rsidRPr="007B2DBD">
        <w:rPr>
          <w:rFonts w:eastAsia="Cambria" w:cs="Times New Roman"/>
          <w:szCs w:val="22"/>
        </w:rPr>
        <w:fldChar w:fldCharType="end"/>
      </w:r>
      <w:r w:rsidRPr="007B2DBD">
        <w:rPr>
          <w:rFonts w:eastAsia="Cambria" w:cs="Times New Roman"/>
          <w:szCs w:val="22"/>
        </w:rPr>
        <w:t>), so the concern regarding a lack of correction for multiplicity of methods for the primary analysis is not of particular relevance.  A range of prespecified sensitivity analyses in the FAS also failed to show a significant treatment effect, and results in the Per Protocol Set were consistent with the FAS.</w:t>
      </w:r>
    </w:p>
    <w:p w14:paraId="123CDD3B" w14:textId="54914A59"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The secondary efficacy endpoints did not support a therapeutic benefit with edaravone compared to placebo.  The study did not show a meaningful benefit for time to death or certain disease progression (</w:t>
      </w:r>
      <w:r w:rsidRPr="007B2DBD">
        <w:rPr>
          <w:rFonts w:eastAsia="Cambria" w:cs="Times New Roman"/>
          <w:szCs w:val="22"/>
        </w:rPr>
        <w:fldChar w:fldCharType="begin"/>
      </w:r>
      <w:r w:rsidRPr="007B2DBD">
        <w:rPr>
          <w:rFonts w:eastAsia="Cambria" w:cs="Times New Roman"/>
          <w:szCs w:val="22"/>
        </w:rPr>
        <w:instrText xml:space="preserve"> REF _Ref114561608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8</w:t>
      </w:r>
      <w:r w:rsidRPr="007B2DBD">
        <w:rPr>
          <w:rFonts w:eastAsia="Cambria" w:cs="Times New Roman"/>
          <w:szCs w:val="22"/>
        </w:rPr>
        <w:fldChar w:fldCharType="end"/>
      </w:r>
      <w:r w:rsidRPr="007B2DBD">
        <w:rPr>
          <w:rFonts w:eastAsia="Cambria" w:cs="Times New Roman"/>
          <w:szCs w:val="22"/>
        </w:rPr>
        <w:t xml:space="preserve">, </w:t>
      </w:r>
      <w:r w:rsidRPr="007B2DBD">
        <w:rPr>
          <w:rFonts w:eastAsia="Cambria" w:cs="Times New Roman"/>
          <w:szCs w:val="22"/>
        </w:rPr>
        <w:fldChar w:fldCharType="begin"/>
      </w:r>
      <w:r w:rsidRPr="007B2DBD">
        <w:rPr>
          <w:rFonts w:eastAsia="Cambria" w:cs="Times New Roman"/>
          <w:szCs w:val="22"/>
        </w:rPr>
        <w:instrText xml:space="preserve"> REF _Ref114561803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9</w:t>
      </w:r>
      <w:r w:rsidRPr="007B2DBD">
        <w:rPr>
          <w:rFonts w:eastAsia="Cambria" w:cs="Times New Roman"/>
          <w:szCs w:val="22"/>
        </w:rPr>
        <w:fldChar w:fldCharType="end"/>
      </w:r>
      <w:r w:rsidRPr="007B2DBD">
        <w:rPr>
          <w:rFonts w:eastAsia="Cambria" w:cs="Times New Roman"/>
          <w:szCs w:val="22"/>
        </w:rPr>
        <w:t>), bulbar component of the ALSFRS-R score (</w:t>
      </w:r>
      <w:r w:rsidRPr="007B2DBD">
        <w:rPr>
          <w:rFonts w:eastAsia="Cambria" w:cs="Times New Roman"/>
          <w:szCs w:val="22"/>
        </w:rPr>
        <w:fldChar w:fldCharType="begin"/>
      </w:r>
      <w:r w:rsidRPr="007B2DBD">
        <w:rPr>
          <w:rFonts w:eastAsia="Cambria" w:cs="Times New Roman"/>
          <w:szCs w:val="22"/>
        </w:rPr>
        <w:instrText xml:space="preserve"> REF _Ref114562217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10</w:t>
      </w:r>
      <w:r w:rsidRPr="007B2DBD">
        <w:rPr>
          <w:rFonts w:eastAsia="Cambria" w:cs="Times New Roman"/>
          <w:szCs w:val="22"/>
        </w:rPr>
        <w:fldChar w:fldCharType="end"/>
      </w:r>
      <w:r w:rsidRPr="007B2DBD">
        <w:rPr>
          <w:rFonts w:eastAsia="Cambria" w:cs="Times New Roman"/>
          <w:szCs w:val="22"/>
        </w:rPr>
        <w:t>), limb component of the ALSFRS-R score (</w:t>
      </w:r>
      <w:r w:rsidRPr="007B2DBD">
        <w:rPr>
          <w:rFonts w:eastAsia="Cambria" w:cs="Times New Roman"/>
          <w:szCs w:val="22"/>
        </w:rPr>
        <w:fldChar w:fldCharType="begin"/>
      </w:r>
      <w:r w:rsidRPr="007B2DBD">
        <w:rPr>
          <w:rFonts w:eastAsia="Cambria" w:cs="Times New Roman"/>
          <w:szCs w:val="22"/>
        </w:rPr>
        <w:instrText xml:space="preserve"> REF _Ref114562251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11</w:t>
      </w:r>
      <w:r w:rsidRPr="007B2DBD">
        <w:rPr>
          <w:rFonts w:eastAsia="Cambria" w:cs="Times New Roman"/>
          <w:szCs w:val="22"/>
        </w:rPr>
        <w:fldChar w:fldCharType="end"/>
      </w:r>
      <w:r w:rsidRPr="007B2DBD">
        <w:rPr>
          <w:rFonts w:eastAsia="Cambria" w:cs="Times New Roman"/>
          <w:szCs w:val="22"/>
        </w:rPr>
        <w:t>), respiratory component of the ALSFRS-R score (</w:t>
      </w:r>
      <w:r w:rsidRPr="007B2DBD">
        <w:rPr>
          <w:rFonts w:eastAsia="Cambria" w:cs="Times New Roman"/>
          <w:szCs w:val="22"/>
        </w:rPr>
        <w:fldChar w:fldCharType="begin"/>
      </w:r>
      <w:r w:rsidRPr="007B2DBD">
        <w:rPr>
          <w:rFonts w:eastAsia="Cambria" w:cs="Times New Roman"/>
          <w:szCs w:val="22"/>
        </w:rPr>
        <w:instrText xml:space="preserve"> REF _Ref114562325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12</w:t>
      </w:r>
      <w:r w:rsidRPr="007B2DBD">
        <w:rPr>
          <w:rFonts w:eastAsia="Cambria" w:cs="Times New Roman"/>
          <w:szCs w:val="22"/>
        </w:rPr>
        <w:fldChar w:fldCharType="end"/>
      </w:r>
      <w:r w:rsidRPr="007B2DBD">
        <w:rPr>
          <w:rFonts w:eastAsia="Cambria" w:cs="Times New Roman"/>
          <w:szCs w:val="22"/>
        </w:rPr>
        <w:t>), %FVC (</w:t>
      </w:r>
      <w:r w:rsidRPr="007B2DBD">
        <w:rPr>
          <w:rFonts w:eastAsia="Cambria" w:cs="Times New Roman"/>
          <w:szCs w:val="22"/>
        </w:rPr>
        <w:fldChar w:fldCharType="begin"/>
      </w:r>
      <w:r w:rsidRPr="007B2DBD">
        <w:rPr>
          <w:rFonts w:eastAsia="Cambria" w:cs="Times New Roman"/>
          <w:szCs w:val="22"/>
        </w:rPr>
        <w:instrText xml:space="preserve"> REF _Ref114562439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13</w:t>
      </w:r>
      <w:r w:rsidRPr="007B2DBD">
        <w:rPr>
          <w:rFonts w:eastAsia="Cambria" w:cs="Times New Roman"/>
          <w:szCs w:val="22"/>
        </w:rPr>
        <w:fldChar w:fldCharType="end"/>
      </w:r>
      <w:r w:rsidRPr="007B2DBD">
        <w:rPr>
          <w:rFonts w:eastAsia="Cambria" w:cs="Times New Roman"/>
          <w:szCs w:val="22"/>
        </w:rPr>
        <w:t xml:space="preserve">), </w:t>
      </w:r>
      <w:r w:rsidR="004104BA">
        <w:rPr>
          <w:rFonts w:eastAsia="Cambria" w:cs="Times New Roman"/>
          <w:szCs w:val="22"/>
        </w:rPr>
        <w:t xml:space="preserve">Modified </w:t>
      </w:r>
      <w:r w:rsidRPr="007B2DBD">
        <w:rPr>
          <w:rFonts w:eastAsia="Cambria" w:cs="Times New Roman"/>
          <w:szCs w:val="22"/>
        </w:rPr>
        <w:t>Norris Scale score (</w:t>
      </w:r>
      <w:r w:rsidRPr="007B2DBD">
        <w:rPr>
          <w:rFonts w:eastAsia="Cambria" w:cs="Times New Roman"/>
          <w:szCs w:val="22"/>
        </w:rPr>
        <w:fldChar w:fldCharType="begin"/>
      </w:r>
      <w:r w:rsidRPr="007B2DBD">
        <w:rPr>
          <w:rFonts w:eastAsia="Cambria" w:cs="Times New Roman"/>
          <w:szCs w:val="22"/>
        </w:rPr>
        <w:instrText xml:space="preserve"> REF _Ref114562574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14</w:t>
      </w:r>
      <w:r w:rsidRPr="007B2DBD">
        <w:rPr>
          <w:rFonts w:eastAsia="Cambria" w:cs="Times New Roman"/>
          <w:szCs w:val="22"/>
        </w:rPr>
        <w:fldChar w:fldCharType="end"/>
      </w:r>
      <w:r w:rsidRPr="007B2DBD">
        <w:rPr>
          <w:rFonts w:eastAsia="Cambria" w:cs="Times New Roman"/>
          <w:szCs w:val="22"/>
        </w:rPr>
        <w:t>), ALSAQ40 (</w:t>
      </w:r>
      <w:r w:rsidRPr="007B2DBD">
        <w:rPr>
          <w:rFonts w:eastAsia="Cambria" w:cs="Times New Roman"/>
          <w:szCs w:val="22"/>
        </w:rPr>
        <w:fldChar w:fldCharType="begin"/>
      </w:r>
      <w:r w:rsidRPr="007B2DBD">
        <w:rPr>
          <w:rFonts w:eastAsia="Cambria" w:cs="Times New Roman"/>
          <w:szCs w:val="22"/>
        </w:rPr>
        <w:instrText xml:space="preserve"> REF _Ref114562666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15</w:t>
      </w:r>
      <w:r w:rsidRPr="007B2DBD">
        <w:rPr>
          <w:rFonts w:eastAsia="Cambria" w:cs="Times New Roman"/>
          <w:szCs w:val="22"/>
        </w:rPr>
        <w:fldChar w:fldCharType="end"/>
      </w:r>
      <w:r w:rsidRPr="007B2DBD">
        <w:rPr>
          <w:rFonts w:eastAsia="Cambria" w:cs="Times New Roman"/>
          <w:szCs w:val="22"/>
        </w:rPr>
        <w:t>), grip strength (</w:t>
      </w:r>
      <w:r w:rsidRPr="007B2DBD">
        <w:rPr>
          <w:rFonts w:eastAsia="Cambria" w:cs="Times New Roman"/>
          <w:szCs w:val="22"/>
        </w:rPr>
        <w:fldChar w:fldCharType="begin"/>
      </w:r>
      <w:r w:rsidRPr="007B2DBD">
        <w:rPr>
          <w:rFonts w:eastAsia="Cambria" w:cs="Times New Roman"/>
          <w:szCs w:val="22"/>
        </w:rPr>
        <w:instrText xml:space="preserve"> REF _Ref114562754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16</w:t>
      </w:r>
      <w:r w:rsidRPr="007B2DBD">
        <w:rPr>
          <w:rFonts w:eastAsia="Cambria" w:cs="Times New Roman"/>
          <w:szCs w:val="22"/>
        </w:rPr>
        <w:fldChar w:fldCharType="end"/>
      </w:r>
      <w:r w:rsidRPr="007B2DBD">
        <w:rPr>
          <w:rFonts w:eastAsia="Cambria" w:cs="Times New Roman"/>
          <w:szCs w:val="22"/>
        </w:rPr>
        <w:t>), and pinch-grip strength (</w:t>
      </w:r>
      <w:r w:rsidRPr="007B2DBD">
        <w:rPr>
          <w:rFonts w:eastAsia="Cambria" w:cs="Times New Roman"/>
          <w:szCs w:val="22"/>
        </w:rPr>
        <w:fldChar w:fldCharType="begin"/>
      </w:r>
      <w:r w:rsidRPr="007B2DBD">
        <w:rPr>
          <w:rFonts w:eastAsia="Cambria" w:cs="Times New Roman"/>
          <w:szCs w:val="22"/>
        </w:rPr>
        <w:instrText xml:space="preserve"> REF _Ref114562893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17</w:t>
      </w:r>
      <w:r w:rsidRPr="007B2DBD">
        <w:rPr>
          <w:rFonts w:eastAsia="Cambria" w:cs="Times New Roman"/>
          <w:szCs w:val="22"/>
        </w:rPr>
        <w:fldChar w:fldCharType="end"/>
      </w:r>
      <w:r w:rsidRPr="007B2DBD">
        <w:rPr>
          <w:rFonts w:eastAsia="Cambria" w:cs="Times New Roman"/>
          <w:szCs w:val="22"/>
        </w:rPr>
        <w:t>).  There was a small numerical trend favouring edaravone for change in ALS severity classification, but there were missing data and no statistical analysis was performed.</w:t>
      </w:r>
    </w:p>
    <w:p w14:paraId="43FFCC91" w14:textId="6740584C" w:rsidR="007B2DBD" w:rsidRPr="007B2DBD" w:rsidRDefault="007B2DBD" w:rsidP="00B81729">
      <w:pPr>
        <w:pStyle w:val="FigureTitle"/>
      </w:pPr>
      <w:bookmarkStart w:id="64" w:name="_Ref114560709"/>
      <w:r w:rsidRPr="007B2DBD">
        <w:rPr>
          <w:szCs w:val="18"/>
        </w:rPr>
        <w:lastRenderedPageBreak/>
        <w:t xml:space="preserve">Figure </w:t>
      </w:r>
      <w:bookmarkEnd w:id="64"/>
      <w:r w:rsidR="00BC13AF">
        <w:rPr>
          <w:szCs w:val="18"/>
        </w:rPr>
        <w:t>4</w:t>
      </w:r>
      <w:r w:rsidRPr="007B2DBD">
        <w:rPr>
          <w:szCs w:val="18"/>
        </w:rPr>
        <w:t xml:space="preserve"> </w:t>
      </w:r>
      <w:r w:rsidRPr="007B2DBD">
        <w:rPr>
          <w:lang w:eastAsia="en-AU"/>
        </w:rPr>
        <w:t>ALSFRS-R score (mean ± S.D.), FAS, Study 16</w:t>
      </w:r>
    </w:p>
    <w:p w14:paraId="4757AFFD"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09348132" wp14:editId="4748821E">
            <wp:extent cx="5650523" cy="4042803"/>
            <wp:effectExtent l="0" t="0" r="7620" b="0"/>
            <wp:docPr id="7" name="図 7" descr="A graph of a number of different stages of treat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number of different stages of treatment&#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1213" cy="4071916"/>
                    </a:xfrm>
                    <a:prstGeom prst="rect">
                      <a:avLst/>
                    </a:prstGeom>
                    <a:noFill/>
                    <a:ln>
                      <a:noFill/>
                    </a:ln>
                  </pic:spPr>
                </pic:pic>
              </a:graphicData>
            </a:graphic>
          </wp:inline>
        </w:drawing>
      </w:r>
    </w:p>
    <w:p w14:paraId="0A076A89" w14:textId="6C61E84A" w:rsidR="007B2DBD" w:rsidRPr="007B2DBD" w:rsidRDefault="007B2DBD" w:rsidP="00B81729">
      <w:pPr>
        <w:pStyle w:val="TableTitle"/>
      </w:pPr>
      <w:bookmarkStart w:id="65" w:name="_Ref114560240"/>
      <w:r w:rsidRPr="007B2DBD">
        <w:rPr>
          <w:szCs w:val="18"/>
        </w:rPr>
        <w:t xml:space="preserve">Table </w:t>
      </w:r>
      <w:r w:rsidRPr="007B2DBD">
        <w:rPr>
          <w:szCs w:val="18"/>
        </w:rPr>
        <w:fldChar w:fldCharType="begin"/>
      </w:r>
      <w:r w:rsidRPr="007B2DBD">
        <w:rPr>
          <w:szCs w:val="18"/>
        </w:rPr>
        <w:instrText xml:space="preserve"> SEQ Table \* ARABIC </w:instrText>
      </w:r>
      <w:r w:rsidRPr="007B2DBD">
        <w:rPr>
          <w:szCs w:val="18"/>
        </w:rPr>
        <w:fldChar w:fldCharType="separate"/>
      </w:r>
      <w:r w:rsidRPr="007B2DBD">
        <w:rPr>
          <w:noProof/>
          <w:szCs w:val="18"/>
        </w:rPr>
        <w:t>6</w:t>
      </w:r>
      <w:r w:rsidRPr="007B2DBD">
        <w:rPr>
          <w:noProof/>
          <w:szCs w:val="18"/>
        </w:rPr>
        <w:fldChar w:fldCharType="end"/>
      </w:r>
      <w:bookmarkEnd w:id="65"/>
      <w:r w:rsidRPr="007B2DBD">
        <w:rPr>
          <w:szCs w:val="18"/>
        </w:rPr>
        <w:t xml:space="preserve"> </w:t>
      </w:r>
      <w:r w:rsidRPr="007B2DBD">
        <w:t>Analysis of changes in ALSFRS-R score from baseline in Treatment cycle 1 to 2 weeks after the end of Treatment cycle 6</w:t>
      </w:r>
      <w:r w:rsidR="00B81729">
        <w:t xml:space="preserve">, </w:t>
      </w:r>
      <w:r w:rsidR="00B81729" w:rsidRPr="00B81729">
        <w:t>last observation carried forward (LOCF)</w:t>
      </w:r>
      <w:r w:rsidRPr="007B2DBD">
        <w:t>, FAS, Study 16</w:t>
      </w:r>
    </w:p>
    <w:p w14:paraId="598EB347"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304B17D1" wp14:editId="2DB42D2E">
            <wp:extent cx="5692409" cy="1102407"/>
            <wp:effectExtent l="0" t="0" r="3810" b="2540"/>
            <wp:docPr id="5" name="図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graph&#10;&#10;Description automatically generated"/>
                    <pic:cNvPicPr/>
                  </pic:nvPicPr>
                  <pic:blipFill>
                    <a:blip r:embed="rId32"/>
                    <a:stretch>
                      <a:fillRect/>
                    </a:stretch>
                  </pic:blipFill>
                  <pic:spPr>
                    <a:xfrm>
                      <a:off x="0" y="0"/>
                      <a:ext cx="5702675" cy="1104395"/>
                    </a:xfrm>
                    <a:prstGeom prst="rect">
                      <a:avLst/>
                    </a:prstGeom>
                  </pic:spPr>
                </pic:pic>
              </a:graphicData>
            </a:graphic>
          </wp:inline>
        </w:drawing>
      </w:r>
    </w:p>
    <w:p w14:paraId="52809CC2" w14:textId="528F5793" w:rsidR="007B2DBD" w:rsidRPr="007B2DBD" w:rsidRDefault="007B2DBD" w:rsidP="00B81729">
      <w:pPr>
        <w:pStyle w:val="TableTitle"/>
      </w:pPr>
      <w:bookmarkStart w:id="66" w:name="_Ref114560242"/>
      <w:r w:rsidRPr="007B2DBD">
        <w:rPr>
          <w:szCs w:val="18"/>
        </w:rPr>
        <w:t xml:space="preserve">Table </w:t>
      </w:r>
      <w:r w:rsidRPr="007B2DBD">
        <w:rPr>
          <w:szCs w:val="18"/>
        </w:rPr>
        <w:fldChar w:fldCharType="begin"/>
      </w:r>
      <w:r w:rsidRPr="007B2DBD">
        <w:rPr>
          <w:szCs w:val="18"/>
        </w:rPr>
        <w:instrText xml:space="preserve"> SEQ Table \* ARABIC </w:instrText>
      </w:r>
      <w:r w:rsidRPr="007B2DBD">
        <w:rPr>
          <w:szCs w:val="18"/>
        </w:rPr>
        <w:fldChar w:fldCharType="separate"/>
      </w:r>
      <w:r w:rsidRPr="007B2DBD">
        <w:rPr>
          <w:noProof/>
          <w:szCs w:val="18"/>
        </w:rPr>
        <w:t>7</w:t>
      </w:r>
      <w:r w:rsidRPr="007B2DBD">
        <w:rPr>
          <w:noProof/>
          <w:szCs w:val="18"/>
        </w:rPr>
        <w:fldChar w:fldCharType="end"/>
      </w:r>
      <w:bookmarkEnd w:id="66"/>
      <w:r w:rsidRPr="007B2DBD">
        <w:rPr>
          <w:szCs w:val="18"/>
        </w:rPr>
        <w:t xml:space="preserve"> </w:t>
      </w:r>
      <w:r w:rsidRPr="007B2DBD">
        <w:t>Repeated measures analysis of variance of ALSFRS-R score, FAS, Study 16</w:t>
      </w:r>
    </w:p>
    <w:p w14:paraId="2B0AA2E2"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09F87C5D" wp14:editId="1CC7C1B2">
            <wp:extent cx="5731510" cy="1120140"/>
            <wp:effectExtent l="0" t="0" r="2540" b="3810"/>
            <wp:docPr id="6" name="図 6"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rectangular box with black text&#10;&#10;Description automatically generated with medium confidence"/>
                    <pic:cNvPicPr/>
                  </pic:nvPicPr>
                  <pic:blipFill>
                    <a:blip r:embed="rId33"/>
                    <a:stretch>
                      <a:fillRect/>
                    </a:stretch>
                  </pic:blipFill>
                  <pic:spPr>
                    <a:xfrm>
                      <a:off x="0" y="0"/>
                      <a:ext cx="5731510" cy="1120140"/>
                    </a:xfrm>
                    <a:prstGeom prst="rect">
                      <a:avLst/>
                    </a:prstGeom>
                  </pic:spPr>
                </pic:pic>
              </a:graphicData>
            </a:graphic>
          </wp:inline>
        </w:drawing>
      </w:r>
    </w:p>
    <w:p w14:paraId="52177ADD" w14:textId="38BEFFB5" w:rsidR="007B2DBD" w:rsidRPr="007B2DBD" w:rsidRDefault="007B2DBD" w:rsidP="00B81729">
      <w:pPr>
        <w:pStyle w:val="TableTitle"/>
      </w:pPr>
      <w:bookmarkStart w:id="67" w:name="_Ref114561608"/>
      <w:r w:rsidRPr="007B2DBD">
        <w:rPr>
          <w:szCs w:val="18"/>
        </w:rPr>
        <w:lastRenderedPageBreak/>
        <w:t xml:space="preserve">Table </w:t>
      </w:r>
      <w:r w:rsidRPr="007B2DBD">
        <w:rPr>
          <w:szCs w:val="18"/>
        </w:rPr>
        <w:fldChar w:fldCharType="begin"/>
      </w:r>
      <w:r w:rsidRPr="007B2DBD">
        <w:rPr>
          <w:szCs w:val="18"/>
        </w:rPr>
        <w:instrText xml:space="preserve"> SEQ Table \* ARABIC </w:instrText>
      </w:r>
      <w:r w:rsidRPr="007B2DBD">
        <w:rPr>
          <w:szCs w:val="18"/>
        </w:rPr>
        <w:fldChar w:fldCharType="separate"/>
      </w:r>
      <w:r w:rsidRPr="007B2DBD">
        <w:rPr>
          <w:noProof/>
          <w:szCs w:val="18"/>
        </w:rPr>
        <w:t>8</w:t>
      </w:r>
      <w:r w:rsidRPr="007B2DBD">
        <w:rPr>
          <w:noProof/>
          <w:szCs w:val="18"/>
        </w:rPr>
        <w:fldChar w:fldCharType="end"/>
      </w:r>
      <w:bookmarkEnd w:id="67"/>
      <w:r w:rsidRPr="007B2DBD">
        <w:rPr>
          <w:szCs w:val="18"/>
        </w:rPr>
        <w:t xml:space="preserve"> </w:t>
      </w:r>
      <w:r w:rsidRPr="007B2DBD">
        <w:t>Death or certain disease progression; number of events (FAS), Study 16</w:t>
      </w:r>
    </w:p>
    <w:p w14:paraId="69D1440E"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365E8F33" wp14:editId="64A86095">
            <wp:extent cx="5514975" cy="1523271"/>
            <wp:effectExtent l="0" t="0" r="0" b="1270"/>
            <wp:docPr id="8" name="図 8"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able with numbers and letter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3410" cy="1525601"/>
                    </a:xfrm>
                    <a:prstGeom prst="rect">
                      <a:avLst/>
                    </a:prstGeom>
                    <a:noFill/>
                    <a:ln>
                      <a:noFill/>
                    </a:ln>
                  </pic:spPr>
                </pic:pic>
              </a:graphicData>
            </a:graphic>
          </wp:inline>
        </w:drawing>
      </w:r>
    </w:p>
    <w:p w14:paraId="1C2CA9C6" w14:textId="163B6FDC" w:rsidR="007B2DBD" w:rsidRPr="007B2DBD" w:rsidRDefault="007B2DBD" w:rsidP="00B81729">
      <w:pPr>
        <w:pStyle w:val="TableTitle"/>
      </w:pPr>
      <w:bookmarkStart w:id="68" w:name="_Ref114561803"/>
      <w:r w:rsidRPr="007B2DBD">
        <w:rPr>
          <w:szCs w:val="18"/>
        </w:rPr>
        <w:t xml:space="preserve">Table </w:t>
      </w:r>
      <w:r w:rsidRPr="007B2DBD">
        <w:rPr>
          <w:szCs w:val="18"/>
        </w:rPr>
        <w:fldChar w:fldCharType="begin"/>
      </w:r>
      <w:r w:rsidRPr="007B2DBD">
        <w:rPr>
          <w:szCs w:val="18"/>
        </w:rPr>
        <w:instrText xml:space="preserve"> SEQ Table \* ARABIC </w:instrText>
      </w:r>
      <w:r w:rsidRPr="007B2DBD">
        <w:rPr>
          <w:szCs w:val="18"/>
        </w:rPr>
        <w:fldChar w:fldCharType="separate"/>
      </w:r>
      <w:r w:rsidRPr="007B2DBD">
        <w:rPr>
          <w:noProof/>
          <w:szCs w:val="18"/>
        </w:rPr>
        <w:t>9</w:t>
      </w:r>
      <w:r w:rsidRPr="007B2DBD">
        <w:rPr>
          <w:noProof/>
          <w:szCs w:val="18"/>
        </w:rPr>
        <w:fldChar w:fldCharType="end"/>
      </w:r>
      <w:bookmarkEnd w:id="68"/>
      <w:r w:rsidRPr="007B2DBD">
        <w:rPr>
          <w:szCs w:val="18"/>
        </w:rPr>
        <w:t xml:space="preserve"> </w:t>
      </w:r>
      <w:r w:rsidRPr="007B2DBD">
        <w:t>Survival analysis on death or certain disease progression (FAS), Study 16</w:t>
      </w:r>
    </w:p>
    <w:p w14:paraId="7879DEDA" w14:textId="77777777" w:rsidR="007B2DBD" w:rsidRPr="007B2DBD" w:rsidRDefault="007B2DBD" w:rsidP="007B2DBD">
      <w:pPr>
        <w:autoSpaceDE w:val="0"/>
        <w:autoSpaceDN w:val="0"/>
        <w:adjustRightInd w:val="0"/>
        <w:spacing w:after="0" w:line="240" w:lineRule="auto"/>
        <w:rPr>
          <w:rFonts w:eastAsia="Cambria" w:cs="Times New Roman"/>
          <w:sz w:val="16"/>
          <w:szCs w:val="16"/>
        </w:rPr>
      </w:pPr>
      <w:r w:rsidRPr="007B2DBD">
        <w:rPr>
          <w:rFonts w:eastAsia="Cambria" w:cs="Times New Roman"/>
          <w:noProof/>
          <w:szCs w:val="22"/>
        </w:rPr>
        <w:drawing>
          <wp:inline distT="0" distB="0" distL="0" distR="0" wp14:anchorId="2A8E11CA" wp14:editId="274D4E2C">
            <wp:extent cx="5562600" cy="1401435"/>
            <wp:effectExtent l="0" t="0" r="0" b="8890"/>
            <wp:docPr id="9" name="図 9" descr="A number in a white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number in a white box&#10;&#10;Description automatically generated with medium confidence"/>
                    <pic:cNvPicPr/>
                  </pic:nvPicPr>
                  <pic:blipFill>
                    <a:blip r:embed="rId35"/>
                    <a:stretch>
                      <a:fillRect/>
                    </a:stretch>
                  </pic:blipFill>
                  <pic:spPr>
                    <a:xfrm>
                      <a:off x="0" y="0"/>
                      <a:ext cx="5571094" cy="1403575"/>
                    </a:xfrm>
                    <a:prstGeom prst="rect">
                      <a:avLst/>
                    </a:prstGeom>
                  </pic:spPr>
                </pic:pic>
              </a:graphicData>
            </a:graphic>
          </wp:inline>
        </w:drawing>
      </w:r>
      <w:r w:rsidRPr="007B2DBD">
        <w:rPr>
          <w:rFonts w:eastAsia="Cambria" w:cs="Times New Roman"/>
          <w:szCs w:val="22"/>
        </w:rPr>
        <w:br/>
      </w:r>
      <w:r w:rsidRPr="007B2DBD">
        <w:rPr>
          <w:rFonts w:eastAsia="Cambria" w:cs="Times New Roman"/>
          <w:sz w:val="16"/>
          <w:szCs w:val="16"/>
        </w:rPr>
        <w:t>* Death, disability of independent ambulation, loss of upper arm function, tracheotomy, use of respirator, and use of</w:t>
      </w:r>
    </w:p>
    <w:p w14:paraId="76674DCC" w14:textId="77777777" w:rsidR="007B2DBD" w:rsidRPr="007B2DBD" w:rsidRDefault="007B2DBD" w:rsidP="007B2DBD">
      <w:pPr>
        <w:autoSpaceDE w:val="0"/>
        <w:autoSpaceDN w:val="0"/>
        <w:adjustRightInd w:val="0"/>
        <w:spacing w:after="0" w:line="240" w:lineRule="auto"/>
        <w:rPr>
          <w:rFonts w:eastAsia="Cambria" w:cs="Times New Roman"/>
          <w:sz w:val="16"/>
          <w:szCs w:val="16"/>
        </w:rPr>
      </w:pPr>
      <w:r w:rsidRPr="007B2DBD">
        <w:rPr>
          <w:rFonts w:eastAsia="Cambria" w:cs="Times New Roman"/>
          <w:sz w:val="16"/>
          <w:szCs w:val="16"/>
        </w:rPr>
        <w:t>tube feeding.  In patients who experienced multiple events, the day of onset of the first event was defined as the day of event.</w:t>
      </w:r>
    </w:p>
    <w:p w14:paraId="1FF4C928" w14:textId="0CFEB95A" w:rsidR="007B2DBD" w:rsidRPr="007B2DBD" w:rsidRDefault="007B2DBD" w:rsidP="00B81729">
      <w:pPr>
        <w:pStyle w:val="TableTitle"/>
      </w:pPr>
      <w:bookmarkStart w:id="69" w:name="_Ref114562217"/>
      <w:r w:rsidRPr="007B2DBD">
        <w:rPr>
          <w:szCs w:val="18"/>
        </w:rPr>
        <w:t xml:space="preserve">Table </w:t>
      </w:r>
      <w:r w:rsidRPr="007B2DBD">
        <w:rPr>
          <w:szCs w:val="18"/>
        </w:rPr>
        <w:fldChar w:fldCharType="begin"/>
      </w:r>
      <w:r w:rsidRPr="007B2DBD">
        <w:rPr>
          <w:szCs w:val="18"/>
        </w:rPr>
        <w:instrText xml:space="preserve"> SEQ Table \* ARABIC </w:instrText>
      </w:r>
      <w:r w:rsidRPr="007B2DBD">
        <w:rPr>
          <w:szCs w:val="18"/>
        </w:rPr>
        <w:fldChar w:fldCharType="separate"/>
      </w:r>
      <w:r w:rsidRPr="007B2DBD">
        <w:rPr>
          <w:noProof/>
          <w:szCs w:val="18"/>
        </w:rPr>
        <w:t>10</w:t>
      </w:r>
      <w:r w:rsidRPr="007B2DBD">
        <w:rPr>
          <w:noProof/>
          <w:szCs w:val="18"/>
        </w:rPr>
        <w:fldChar w:fldCharType="end"/>
      </w:r>
      <w:bookmarkEnd w:id="69"/>
      <w:r w:rsidRPr="007B2DBD">
        <w:rPr>
          <w:szCs w:val="18"/>
        </w:rPr>
        <w:t xml:space="preserve"> </w:t>
      </w:r>
      <w:r w:rsidRPr="007B2DBD">
        <w:t>Changes in ALSFRS-R score (bulbar function) from baseline in Treatment Cycle 1 to the end of Treatment Cycle 6 (LOCF, FAS), Study 16</w:t>
      </w:r>
    </w:p>
    <w:p w14:paraId="0CD5C2B3"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5BBCB504" wp14:editId="71793BC8">
            <wp:extent cx="5724525" cy="1133475"/>
            <wp:effectExtent l="0" t="0" r="9525" b="9525"/>
            <wp:docPr id="10" name="図 10"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rectangular box with black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1133475"/>
                    </a:xfrm>
                    <a:prstGeom prst="rect">
                      <a:avLst/>
                    </a:prstGeom>
                    <a:noFill/>
                    <a:ln>
                      <a:noFill/>
                    </a:ln>
                  </pic:spPr>
                </pic:pic>
              </a:graphicData>
            </a:graphic>
          </wp:inline>
        </w:drawing>
      </w:r>
    </w:p>
    <w:p w14:paraId="7F9B0538" w14:textId="75A5348B" w:rsidR="007B2DBD" w:rsidRPr="007B2DBD" w:rsidRDefault="007B2DBD" w:rsidP="00B81729">
      <w:pPr>
        <w:pStyle w:val="TableTitle"/>
      </w:pPr>
      <w:bookmarkStart w:id="70" w:name="_Ref114562251"/>
      <w:r w:rsidRPr="007B2DBD">
        <w:rPr>
          <w:szCs w:val="18"/>
        </w:rPr>
        <w:t xml:space="preserve">Table </w:t>
      </w:r>
      <w:r w:rsidRPr="007B2DBD">
        <w:rPr>
          <w:szCs w:val="18"/>
        </w:rPr>
        <w:fldChar w:fldCharType="begin"/>
      </w:r>
      <w:r w:rsidRPr="007B2DBD">
        <w:rPr>
          <w:szCs w:val="18"/>
        </w:rPr>
        <w:instrText xml:space="preserve"> SEQ Table \* ARABIC </w:instrText>
      </w:r>
      <w:r w:rsidRPr="007B2DBD">
        <w:rPr>
          <w:szCs w:val="18"/>
        </w:rPr>
        <w:fldChar w:fldCharType="separate"/>
      </w:r>
      <w:r w:rsidRPr="007B2DBD">
        <w:rPr>
          <w:noProof/>
          <w:szCs w:val="18"/>
        </w:rPr>
        <w:t>11</w:t>
      </w:r>
      <w:r w:rsidRPr="007B2DBD">
        <w:rPr>
          <w:noProof/>
          <w:szCs w:val="18"/>
        </w:rPr>
        <w:fldChar w:fldCharType="end"/>
      </w:r>
      <w:bookmarkEnd w:id="70"/>
      <w:r w:rsidRPr="007B2DBD">
        <w:rPr>
          <w:szCs w:val="18"/>
        </w:rPr>
        <w:t xml:space="preserve"> </w:t>
      </w:r>
      <w:r w:rsidRPr="007B2DBD">
        <w:t>Changes in ALSFRS-R score (limb function) from baseline in Treatment Cycle 1 to the end of Treatment Cycle 6 (LOCF, FAS), Study 16</w:t>
      </w:r>
    </w:p>
    <w:p w14:paraId="79243E62"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52F765FC" wp14:editId="781057F9">
            <wp:extent cx="5724525" cy="1133475"/>
            <wp:effectExtent l="0" t="0" r="9525" b="9525"/>
            <wp:docPr id="1458044718" name="図 1458044718"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44718" name="Picture 1458044718" descr="A white rectangular box with black 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1133475"/>
                    </a:xfrm>
                    <a:prstGeom prst="rect">
                      <a:avLst/>
                    </a:prstGeom>
                    <a:noFill/>
                    <a:ln>
                      <a:noFill/>
                    </a:ln>
                  </pic:spPr>
                </pic:pic>
              </a:graphicData>
            </a:graphic>
          </wp:inline>
        </w:drawing>
      </w:r>
    </w:p>
    <w:p w14:paraId="7E7A3E58" w14:textId="70278C03" w:rsidR="007B2DBD" w:rsidRPr="007B2DBD" w:rsidRDefault="007B2DBD" w:rsidP="00B81729">
      <w:pPr>
        <w:pStyle w:val="TableTitle"/>
      </w:pPr>
      <w:bookmarkStart w:id="71" w:name="_Ref114562325"/>
      <w:r w:rsidRPr="007B2DBD">
        <w:rPr>
          <w:szCs w:val="18"/>
        </w:rPr>
        <w:t xml:space="preserve">Table </w:t>
      </w:r>
      <w:r w:rsidRPr="007B2DBD">
        <w:rPr>
          <w:szCs w:val="18"/>
        </w:rPr>
        <w:fldChar w:fldCharType="begin"/>
      </w:r>
      <w:r w:rsidRPr="007B2DBD">
        <w:rPr>
          <w:szCs w:val="18"/>
        </w:rPr>
        <w:instrText xml:space="preserve"> SEQ Table \* ARABIC </w:instrText>
      </w:r>
      <w:r w:rsidRPr="007B2DBD">
        <w:rPr>
          <w:szCs w:val="18"/>
        </w:rPr>
        <w:fldChar w:fldCharType="separate"/>
      </w:r>
      <w:r w:rsidRPr="007B2DBD">
        <w:rPr>
          <w:noProof/>
          <w:szCs w:val="18"/>
        </w:rPr>
        <w:t>12</w:t>
      </w:r>
      <w:r w:rsidRPr="007B2DBD">
        <w:rPr>
          <w:noProof/>
          <w:szCs w:val="18"/>
        </w:rPr>
        <w:fldChar w:fldCharType="end"/>
      </w:r>
      <w:bookmarkEnd w:id="71"/>
      <w:r w:rsidRPr="007B2DBD">
        <w:rPr>
          <w:szCs w:val="18"/>
        </w:rPr>
        <w:t xml:space="preserve"> </w:t>
      </w:r>
      <w:r w:rsidRPr="007B2DBD">
        <w:t>Changes in ALSFRS-R score (respiratory function) from baseline in Treatment Cycle 1 to the end of Treatment Cycle 6 (LOCF, FAS), Study 16</w:t>
      </w:r>
    </w:p>
    <w:p w14:paraId="32B6A2D7"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260BED16" wp14:editId="329321C3">
            <wp:extent cx="5724525" cy="1171575"/>
            <wp:effectExtent l="0" t="0" r="9525" b="9525"/>
            <wp:docPr id="1575316336" name="図 1575316336"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16336" name="Picture 1575316336" descr="A table with numbers and text&#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1171575"/>
                    </a:xfrm>
                    <a:prstGeom prst="rect">
                      <a:avLst/>
                    </a:prstGeom>
                    <a:noFill/>
                    <a:ln>
                      <a:noFill/>
                    </a:ln>
                  </pic:spPr>
                </pic:pic>
              </a:graphicData>
            </a:graphic>
          </wp:inline>
        </w:drawing>
      </w:r>
    </w:p>
    <w:p w14:paraId="2FA83980" w14:textId="77777777" w:rsidR="007B2DBD" w:rsidRPr="007B2DBD" w:rsidRDefault="007B2DBD" w:rsidP="00B81729">
      <w:pPr>
        <w:pStyle w:val="TableTitle"/>
      </w:pPr>
      <w:bookmarkStart w:id="72" w:name="_Ref114562439"/>
      <w:r w:rsidRPr="007B2DBD">
        <w:lastRenderedPageBreak/>
        <w:t xml:space="preserve">Table </w:t>
      </w:r>
      <w:r w:rsidR="00C451A8">
        <w:fldChar w:fldCharType="begin"/>
      </w:r>
      <w:r w:rsidR="00C451A8">
        <w:instrText xml:space="preserve"> SEQ Table \* ARABIC </w:instrText>
      </w:r>
      <w:r w:rsidR="00C451A8">
        <w:fldChar w:fldCharType="separate"/>
      </w:r>
      <w:r w:rsidRPr="007B2DBD">
        <w:rPr>
          <w:noProof/>
        </w:rPr>
        <w:t>13</w:t>
      </w:r>
      <w:r w:rsidR="00C451A8">
        <w:rPr>
          <w:noProof/>
        </w:rPr>
        <w:fldChar w:fldCharType="end"/>
      </w:r>
      <w:bookmarkEnd w:id="72"/>
      <w:r w:rsidRPr="007B2DBD">
        <w:t xml:space="preserve"> Changes in %FVC from baseline in Treatment Cycle 1 to the end of Treatment Cycle 6 (LOCF, FAS) (Unit: %), Study 16</w:t>
      </w:r>
    </w:p>
    <w:p w14:paraId="63B2C009"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5182F53A" wp14:editId="2806A589">
            <wp:extent cx="5724525" cy="1133475"/>
            <wp:effectExtent l="0" t="0" r="9525" b="9525"/>
            <wp:docPr id="14" name="図 14" descr="A white sheet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hite sheet with black text and number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1133475"/>
                    </a:xfrm>
                    <a:prstGeom prst="rect">
                      <a:avLst/>
                    </a:prstGeom>
                    <a:noFill/>
                    <a:ln>
                      <a:noFill/>
                    </a:ln>
                  </pic:spPr>
                </pic:pic>
              </a:graphicData>
            </a:graphic>
          </wp:inline>
        </w:drawing>
      </w:r>
    </w:p>
    <w:p w14:paraId="5B7DFF9F" w14:textId="6300C1BC" w:rsidR="007B2DBD" w:rsidRPr="007B2DBD" w:rsidRDefault="007B2DBD" w:rsidP="00B81729">
      <w:pPr>
        <w:pStyle w:val="TableTitle"/>
      </w:pPr>
      <w:bookmarkStart w:id="73" w:name="_Ref114562574"/>
      <w:r w:rsidRPr="007B2DBD">
        <w:rPr>
          <w:szCs w:val="18"/>
        </w:rPr>
        <w:t xml:space="preserve">Table </w:t>
      </w:r>
      <w:r w:rsidRPr="007B2DBD">
        <w:rPr>
          <w:szCs w:val="18"/>
        </w:rPr>
        <w:fldChar w:fldCharType="begin"/>
      </w:r>
      <w:r w:rsidRPr="007B2DBD">
        <w:rPr>
          <w:szCs w:val="18"/>
        </w:rPr>
        <w:instrText xml:space="preserve"> SEQ Table \* ARABIC </w:instrText>
      </w:r>
      <w:r w:rsidRPr="007B2DBD">
        <w:rPr>
          <w:szCs w:val="18"/>
        </w:rPr>
        <w:fldChar w:fldCharType="separate"/>
      </w:r>
      <w:r w:rsidRPr="007B2DBD">
        <w:rPr>
          <w:noProof/>
          <w:szCs w:val="18"/>
        </w:rPr>
        <w:t>14</w:t>
      </w:r>
      <w:r w:rsidRPr="007B2DBD">
        <w:rPr>
          <w:noProof/>
          <w:szCs w:val="18"/>
        </w:rPr>
        <w:fldChar w:fldCharType="end"/>
      </w:r>
      <w:bookmarkEnd w:id="73"/>
      <w:r w:rsidRPr="007B2DBD">
        <w:rPr>
          <w:szCs w:val="18"/>
        </w:rPr>
        <w:t xml:space="preserve"> </w:t>
      </w:r>
      <w:r w:rsidRPr="007B2DBD">
        <w:t>Changes in Total Norris Scale score from baseline in Treatment Cycle 1 to the end of Treatment Cycle 6 (LOCF, FAS), Study 16</w:t>
      </w:r>
    </w:p>
    <w:p w14:paraId="0BC45540"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22094F17" wp14:editId="5A2BE26C">
            <wp:extent cx="5724525" cy="1133475"/>
            <wp:effectExtent l="0" t="0" r="9525" b="9525"/>
            <wp:docPr id="15" name="図 15"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able with numbers and text&#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1133475"/>
                    </a:xfrm>
                    <a:prstGeom prst="rect">
                      <a:avLst/>
                    </a:prstGeom>
                    <a:noFill/>
                    <a:ln>
                      <a:noFill/>
                    </a:ln>
                  </pic:spPr>
                </pic:pic>
              </a:graphicData>
            </a:graphic>
          </wp:inline>
        </w:drawing>
      </w:r>
    </w:p>
    <w:p w14:paraId="06072D9A" w14:textId="77777777" w:rsidR="007B2DBD" w:rsidRPr="007B2DBD" w:rsidRDefault="007B2DBD" w:rsidP="00B81729">
      <w:pPr>
        <w:pStyle w:val="TableTitle"/>
      </w:pPr>
      <w:bookmarkStart w:id="74" w:name="_Ref114562666"/>
      <w:r w:rsidRPr="007B2DBD">
        <w:rPr>
          <w:szCs w:val="18"/>
        </w:rPr>
        <w:t xml:space="preserve">Table </w:t>
      </w:r>
      <w:r w:rsidRPr="007B2DBD">
        <w:rPr>
          <w:szCs w:val="18"/>
        </w:rPr>
        <w:fldChar w:fldCharType="begin"/>
      </w:r>
      <w:r w:rsidRPr="007B2DBD">
        <w:rPr>
          <w:szCs w:val="18"/>
        </w:rPr>
        <w:instrText xml:space="preserve"> SEQ Table \* ARABIC </w:instrText>
      </w:r>
      <w:r w:rsidRPr="007B2DBD">
        <w:rPr>
          <w:szCs w:val="18"/>
        </w:rPr>
        <w:fldChar w:fldCharType="separate"/>
      </w:r>
      <w:r w:rsidRPr="007B2DBD">
        <w:rPr>
          <w:noProof/>
          <w:szCs w:val="18"/>
        </w:rPr>
        <w:t>15</w:t>
      </w:r>
      <w:r w:rsidRPr="007B2DBD">
        <w:rPr>
          <w:noProof/>
          <w:szCs w:val="18"/>
        </w:rPr>
        <w:fldChar w:fldCharType="end"/>
      </w:r>
      <w:bookmarkEnd w:id="74"/>
      <w:r w:rsidRPr="007B2DBD">
        <w:rPr>
          <w:szCs w:val="18"/>
        </w:rPr>
        <w:t xml:space="preserve"> </w:t>
      </w:r>
      <w:r w:rsidRPr="007B2DBD">
        <w:t>Changes in ALSAQ40 score from baseline in Treatment Cycle 1 to the end of Treatment Cycle 6 (LOCF, FAS), Study 16</w:t>
      </w:r>
    </w:p>
    <w:p w14:paraId="5C6D2D02"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609A247F" wp14:editId="1476FF1F">
            <wp:extent cx="5724525" cy="1123950"/>
            <wp:effectExtent l="0" t="0" r="9525" b="0"/>
            <wp:docPr id="16" name="図 16"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hite sheet with black 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1123950"/>
                    </a:xfrm>
                    <a:prstGeom prst="rect">
                      <a:avLst/>
                    </a:prstGeom>
                    <a:noFill/>
                    <a:ln>
                      <a:noFill/>
                    </a:ln>
                  </pic:spPr>
                </pic:pic>
              </a:graphicData>
            </a:graphic>
          </wp:inline>
        </w:drawing>
      </w:r>
    </w:p>
    <w:p w14:paraId="63648B2D" w14:textId="789D89A0" w:rsidR="007B2DBD" w:rsidRPr="007B2DBD" w:rsidRDefault="007B2DBD" w:rsidP="00B81729">
      <w:pPr>
        <w:pStyle w:val="TableTitle"/>
      </w:pPr>
      <w:bookmarkStart w:id="75" w:name="_Ref114562754"/>
      <w:r w:rsidRPr="007B2DBD">
        <w:rPr>
          <w:szCs w:val="18"/>
        </w:rPr>
        <w:t xml:space="preserve">Table </w:t>
      </w:r>
      <w:r w:rsidRPr="007B2DBD">
        <w:rPr>
          <w:szCs w:val="18"/>
        </w:rPr>
        <w:fldChar w:fldCharType="begin"/>
      </w:r>
      <w:r w:rsidRPr="007B2DBD">
        <w:rPr>
          <w:szCs w:val="18"/>
        </w:rPr>
        <w:instrText xml:space="preserve"> SEQ Table \* ARABIC </w:instrText>
      </w:r>
      <w:r w:rsidRPr="007B2DBD">
        <w:rPr>
          <w:szCs w:val="18"/>
        </w:rPr>
        <w:fldChar w:fldCharType="separate"/>
      </w:r>
      <w:r w:rsidRPr="007B2DBD">
        <w:rPr>
          <w:noProof/>
          <w:szCs w:val="18"/>
        </w:rPr>
        <w:t>16</w:t>
      </w:r>
      <w:r w:rsidRPr="007B2DBD">
        <w:rPr>
          <w:noProof/>
          <w:szCs w:val="18"/>
        </w:rPr>
        <w:fldChar w:fldCharType="end"/>
      </w:r>
      <w:bookmarkEnd w:id="75"/>
      <w:r w:rsidRPr="007B2DBD">
        <w:rPr>
          <w:szCs w:val="18"/>
        </w:rPr>
        <w:t xml:space="preserve"> </w:t>
      </w:r>
      <w:r w:rsidRPr="007B2DBD">
        <w:t>Changes in Grip Strength score from baseline in Treatment Cycle 1 to the end of Treatment Cycle 6 (LOCF, FAS), Study 16</w:t>
      </w:r>
    </w:p>
    <w:p w14:paraId="233C3B4E"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3425F9B7" wp14:editId="2FE9B6D3">
            <wp:extent cx="5724525" cy="1133475"/>
            <wp:effectExtent l="0" t="0" r="9525" b="9525"/>
            <wp:docPr id="17" name="図 17"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hite sheet with black tex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1133475"/>
                    </a:xfrm>
                    <a:prstGeom prst="rect">
                      <a:avLst/>
                    </a:prstGeom>
                    <a:noFill/>
                    <a:ln>
                      <a:noFill/>
                    </a:ln>
                  </pic:spPr>
                </pic:pic>
              </a:graphicData>
            </a:graphic>
          </wp:inline>
        </w:drawing>
      </w:r>
    </w:p>
    <w:p w14:paraId="58BBDFC6" w14:textId="39528913" w:rsidR="007B2DBD" w:rsidRPr="007B2DBD" w:rsidRDefault="007B2DBD" w:rsidP="00B81729">
      <w:pPr>
        <w:pStyle w:val="TableTitle"/>
      </w:pPr>
      <w:bookmarkStart w:id="76" w:name="_Ref114562893"/>
      <w:r w:rsidRPr="007B2DBD">
        <w:rPr>
          <w:szCs w:val="18"/>
        </w:rPr>
        <w:t xml:space="preserve">Table </w:t>
      </w:r>
      <w:r w:rsidRPr="007B2DBD">
        <w:rPr>
          <w:szCs w:val="18"/>
        </w:rPr>
        <w:fldChar w:fldCharType="begin"/>
      </w:r>
      <w:r w:rsidRPr="007B2DBD">
        <w:rPr>
          <w:szCs w:val="18"/>
        </w:rPr>
        <w:instrText xml:space="preserve"> SEQ Table \* ARABIC </w:instrText>
      </w:r>
      <w:r w:rsidRPr="007B2DBD">
        <w:rPr>
          <w:szCs w:val="18"/>
        </w:rPr>
        <w:fldChar w:fldCharType="separate"/>
      </w:r>
      <w:r w:rsidRPr="007B2DBD">
        <w:rPr>
          <w:noProof/>
          <w:szCs w:val="18"/>
        </w:rPr>
        <w:t>17</w:t>
      </w:r>
      <w:r w:rsidRPr="007B2DBD">
        <w:rPr>
          <w:noProof/>
          <w:szCs w:val="18"/>
        </w:rPr>
        <w:fldChar w:fldCharType="end"/>
      </w:r>
      <w:bookmarkEnd w:id="76"/>
      <w:r w:rsidRPr="007B2DBD">
        <w:rPr>
          <w:szCs w:val="18"/>
        </w:rPr>
        <w:t xml:space="preserve"> </w:t>
      </w:r>
      <w:r w:rsidRPr="007B2DBD">
        <w:t>Changes in Pinch-Grip Strength score from baseline in Treatment Cycle 1 to the end of Treatment Cycle 6 (LOCF, FAS), Study 16</w:t>
      </w:r>
    </w:p>
    <w:p w14:paraId="3A8490DD"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34179239" wp14:editId="075158D2">
            <wp:extent cx="5724525" cy="1133475"/>
            <wp:effectExtent l="0" t="0" r="9525" b="9525"/>
            <wp:docPr id="18" name="図 18"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white sheet with black 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1133475"/>
                    </a:xfrm>
                    <a:prstGeom prst="rect">
                      <a:avLst/>
                    </a:prstGeom>
                    <a:noFill/>
                    <a:ln>
                      <a:noFill/>
                    </a:ln>
                  </pic:spPr>
                </pic:pic>
              </a:graphicData>
            </a:graphic>
          </wp:inline>
        </w:drawing>
      </w:r>
    </w:p>
    <w:p w14:paraId="0AB63146" w14:textId="64DE2414"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Subgroup analyses were conducted on the FAS for the primary endpoint based on sex, age, duration of disease, initial symptom, El Escorial revised Airlie House diagnostic criteria, ALS severity classification, concomitant use of riluzole, complications, </w:t>
      </w:r>
      <w:r w:rsidR="00731B8B">
        <w:rPr>
          <w:rFonts w:eastAsia="Cambria" w:cs="Times New Roman"/>
          <w:szCs w:val="22"/>
        </w:rPr>
        <w:t xml:space="preserve">and </w:t>
      </w:r>
      <w:r w:rsidRPr="007B2DBD">
        <w:rPr>
          <w:rFonts w:eastAsia="Cambria" w:cs="Times New Roman"/>
          <w:szCs w:val="22"/>
        </w:rPr>
        <w:t>ALSFRS-R score changed during the pre-observation period. Some subgroups showed greater numerical difference than the overall cohort, but no subgroup achieved nominal significance for the primary endpoint.</w:t>
      </w:r>
    </w:p>
    <w:p w14:paraId="0A8D0CBF" w14:textId="5D593B66" w:rsidR="007B2DBD" w:rsidRPr="007B2DBD" w:rsidRDefault="007B2DBD" w:rsidP="007B2DBD">
      <w:pPr>
        <w:spacing w:before="120" w:line="240" w:lineRule="atLeast"/>
        <w:rPr>
          <w:rFonts w:eastAsia="Cambria" w:cs="Times New Roman"/>
          <w:szCs w:val="22"/>
        </w:rPr>
      </w:pPr>
      <w:r w:rsidRPr="007B2DBD">
        <w:rPr>
          <w:rFonts w:eastAsia="Cambria" w:cs="Times New Roman"/>
          <w:i/>
          <w:iCs/>
          <w:szCs w:val="22"/>
        </w:rPr>
        <w:lastRenderedPageBreak/>
        <w:t>Post hoc</w:t>
      </w:r>
      <w:r w:rsidRPr="007B2DBD">
        <w:rPr>
          <w:rFonts w:eastAsia="Cambria" w:cs="Times New Roman"/>
          <w:szCs w:val="22"/>
        </w:rPr>
        <w:t xml:space="preserve"> analyses after data unblinding were conducted which identified sub-populations with more favourable results than the prospective FAS.  The </w:t>
      </w:r>
      <w:r w:rsidR="00C04BB6">
        <w:rPr>
          <w:rFonts w:eastAsia="Cambria" w:cs="Times New Roman"/>
          <w:szCs w:val="22"/>
        </w:rPr>
        <w:t>Sponsor</w:t>
      </w:r>
      <w:r w:rsidRPr="007B2DBD">
        <w:rPr>
          <w:rFonts w:eastAsia="Cambria" w:cs="Times New Roman"/>
          <w:szCs w:val="22"/>
        </w:rPr>
        <w:t xml:space="preserve"> uses the term </w:t>
      </w:r>
      <w:r w:rsidR="004C65AE">
        <w:rPr>
          <w:rFonts w:eastAsia="Cambria" w:cs="Times New Roman"/>
          <w:szCs w:val="22"/>
        </w:rPr>
        <w:t>“</w:t>
      </w:r>
      <w:r w:rsidRPr="004C65AE">
        <w:rPr>
          <w:rFonts w:eastAsia="Cambria" w:cs="Times New Roman"/>
          <w:szCs w:val="22"/>
        </w:rPr>
        <w:t>Efficacy Expected Sub-Population</w:t>
      </w:r>
      <w:r w:rsidR="004C65AE">
        <w:rPr>
          <w:rFonts w:eastAsia="Cambria" w:cs="Times New Roman"/>
          <w:szCs w:val="22"/>
        </w:rPr>
        <w:t>”</w:t>
      </w:r>
      <w:r w:rsidRPr="004C65AE">
        <w:rPr>
          <w:rFonts w:eastAsia="Cambria" w:cs="Times New Roman"/>
          <w:szCs w:val="22"/>
        </w:rPr>
        <w:t xml:space="preserve"> (EESP)</w:t>
      </w:r>
      <w:r w:rsidRPr="007B2DBD">
        <w:rPr>
          <w:rFonts w:eastAsia="Cambria" w:cs="Times New Roman"/>
          <w:szCs w:val="22"/>
        </w:rPr>
        <w:t xml:space="preserve"> for the sub-population defined by removing two groups of patients from the FAS:</w:t>
      </w:r>
    </w:p>
    <w:p w14:paraId="602EA558" w14:textId="77777777" w:rsidR="007B2DBD" w:rsidRPr="007B2DBD" w:rsidRDefault="007B2DBD" w:rsidP="00BC13AF">
      <w:pPr>
        <w:pStyle w:val="ListBullet"/>
        <w:rPr>
          <w:lang w:eastAsia="ja-JP"/>
        </w:rPr>
      </w:pPr>
      <w:r w:rsidRPr="007B2DBD">
        <w:rPr>
          <w:lang w:eastAsia="ja-JP"/>
        </w:rPr>
        <w:t>Patients with any parameters of ALSFRS-R score ≤ 1 at baseline in Treatment Cycle 1.</w:t>
      </w:r>
    </w:p>
    <w:p w14:paraId="788A1661" w14:textId="77777777" w:rsidR="007B2DBD" w:rsidRDefault="007B2DBD" w:rsidP="00BC13AF">
      <w:pPr>
        <w:pStyle w:val="ListBullet"/>
        <w:rPr>
          <w:lang w:eastAsia="ja-JP"/>
        </w:rPr>
      </w:pPr>
      <w:r w:rsidRPr="007B2DBD">
        <w:rPr>
          <w:lang w:eastAsia="ja-JP"/>
        </w:rPr>
        <w:t>Patients with %FVC &lt; 80% at baseline in Treatment Cycle 1.</w:t>
      </w:r>
    </w:p>
    <w:p w14:paraId="64897947" w14:textId="019D6A0B"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szCs w:val="22"/>
          <w:lang w:eastAsia="ja-JP"/>
        </w:rPr>
        <w:t xml:space="preserve">During the </w:t>
      </w:r>
      <w:r w:rsidRPr="007B2DBD">
        <w:rPr>
          <w:rFonts w:eastAsia="Cambria" w:cs="Times New Roman"/>
          <w:i/>
          <w:szCs w:val="22"/>
          <w:lang w:eastAsia="ja-JP"/>
        </w:rPr>
        <w:t>post hoc</w:t>
      </w:r>
      <w:r w:rsidRPr="007B2DBD">
        <w:rPr>
          <w:rFonts w:eastAsia="Cambria" w:cs="Times New Roman"/>
          <w:szCs w:val="22"/>
          <w:lang w:eastAsia="ja-JP"/>
        </w:rPr>
        <w:t xml:space="preserve"> analysis, the </w:t>
      </w:r>
      <w:r w:rsidR="00C04BB6">
        <w:rPr>
          <w:rFonts w:eastAsia="Cambria" w:cs="Times New Roman"/>
          <w:szCs w:val="22"/>
          <w:lang w:eastAsia="ja-JP"/>
        </w:rPr>
        <w:t>Sponsor</w:t>
      </w:r>
      <w:r w:rsidRPr="007B2DBD">
        <w:rPr>
          <w:rFonts w:eastAsia="Cambria" w:cs="Times New Roman"/>
          <w:szCs w:val="22"/>
          <w:lang w:eastAsia="ja-JP"/>
        </w:rPr>
        <w:t xml:space="preserve"> considered that further enrichment would be necessary to facilitate measurement of a treatment effect on disease progression, removing two more sets of patients with unfavourable data:</w:t>
      </w:r>
    </w:p>
    <w:p w14:paraId="08FE8452" w14:textId="77777777" w:rsidR="007B2DBD" w:rsidRPr="007B2DBD" w:rsidRDefault="007B2DBD" w:rsidP="00BC13AF">
      <w:pPr>
        <w:pStyle w:val="ListBullet"/>
        <w:rPr>
          <w:lang w:eastAsia="ja-JP"/>
        </w:rPr>
      </w:pPr>
      <w:r w:rsidRPr="007B2DBD">
        <w:rPr>
          <w:lang w:eastAsia="ja-JP"/>
        </w:rPr>
        <w:t>Patients with ALS who did not meet “definite or probable ALS” criteria according to the El Escorial revised Airlie House diagnostic criteria.</w:t>
      </w:r>
    </w:p>
    <w:p w14:paraId="2726E401" w14:textId="77777777" w:rsidR="007B2DBD" w:rsidRDefault="007B2DBD" w:rsidP="00BC13AF">
      <w:pPr>
        <w:pStyle w:val="ListBullet"/>
        <w:rPr>
          <w:lang w:eastAsia="ja-JP"/>
        </w:rPr>
      </w:pPr>
      <w:r w:rsidRPr="007B2DBD">
        <w:rPr>
          <w:lang w:eastAsia="ja-JP"/>
        </w:rPr>
        <w:t>Patients with onset of ALS symptoms more than 2 years prior.</w:t>
      </w:r>
    </w:p>
    <w:p w14:paraId="1A05C645" w14:textId="77777777"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szCs w:val="22"/>
          <w:lang w:eastAsia="ja-JP"/>
        </w:rPr>
        <w:t xml:space="preserve">The rationale for the </w:t>
      </w:r>
      <w:r w:rsidRPr="007B2DBD">
        <w:rPr>
          <w:rFonts w:eastAsia="Cambria" w:cs="Times New Roman"/>
          <w:i/>
          <w:iCs/>
          <w:szCs w:val="22"/>
          <w:lang w:eastAsia="ja-JP"/>
        </w:rPr>
        <w:t>4-factor</w:t>
      </w:r>
      <w:r w:rsidRPr="007B2DBD">
        <w:rPr>
          <w:rFonts w:eastAsia="Cambria" w:cs="Times New Roman"/>
          <w:szCs w:val="22"/>
          <w:lang w:eastAsia="ja-JP"/>
        </w:rPr>
        <w:t xml:space="preserve"> restricted population (referred to as </w:t>
      </w:r>
      <w:r w:rsidRPr="007B2DBD">
        <w:rPr>
          <w:rFonts w:eastAsia="Cambria" w:cs="Times New Roman"/>
          <w:i/>
          <w:iCs/>
          <w:szCs w:val="22"/>
          <w:lang w:eastAsia="ja-JP"/>
        </w:rPr>
        <w:t>definite or probable/EESP/2y)</w:t>
      </w:r>
      <w:r w:rsidRPr="007B2DBD">
        <w:rPr>
          <w:rFonts w:eastAsia="Cambria" w:cs="Times New Roman"/>
          <w:szCs w:val="22"/>
          <w:lang w:eastAsia="ja-JP"/>
        </w:rPr>
        <w:t xml:space="preserve"> was that it would be necessary to exclude stable patients who would be unlikely to show disease progression during the 24-week study period.  </w:t>
      </w:r>
      <w:r w:rsidRPr="007B2DBD">
        <w:rPr>
          <w:rFonts w:eastAsia="Cambria" w:cs="Times New Roman"/>
          <w:sz w:val="23"/>
          <w:szCs w:val="23"/>
        </w:rPr>
        <w:t xml:space="preserve">The </w:t>
      </w:r>
      <w:r w:rsidRPr="007B2DBD">
        <w:rPr>
          <w:rFonts w:eastAsia="Cambria" w:cs="Times New Roman"/>
          <w:i/>
          <w:iCs/>
          <w:szCs w:val="22"/>
          <w:lang w:eastAsia="ja-JP"/>
        </w:rPr>
        <w:t>definite or probable/EESP/2y</w:t>
      </w:r>
      <w:r w:rsidRPr="007B2DBD">
        <w:rPr>
          <w:rFonts w:eastAsia="Cambria" w:cs="Times New Roman"/>
          <w:sz w:val="23"/>
          <w:szCs w:val="23"/>
        </w:rPr>
        <w:t xml:space="preserve"> population was considered to have high likelihood for progression of the disease as they were diagnosed as having definite or probable ALS and had reached the certainty of that diagnosis within 2 years of initial symptom onset.</w:t>
      </w:r>
    </w:p>
    <w:p w14:paraId="6A93F89D"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The </w:t>
      </w:r>
      <w:r w:rsidRPr="007B2DBD">
        <w:rPr>
          <w:rFonts w:eastAsia="Cambria" w:cs="Times New Roman"/>
          <w:i/>
          <w:iCs/>
          <w:szCs w:val="22"/>
        </w:rPr>
        <w:t>EESP</w:t>
      </w:r>
      <w:r w:rsidRPr="007B2DBD">
        <w:rPr>
          <w:rFonts w:eastAsia="Cambria" w:cs="Times New Roman"/>
          <w:szCs w:val="22"/>
        </w:rPr>
        <w:t xml:space="preserve"> comprised 104 patients (54 in the edaravone group and 50 in the placebo group).  The </w:t>
      </w:r>
      <w:r w:rsidRPr="007B2DBD">
        <w:rPr>
          <w:rFonts w:eastAsia="Cambria" w:cs="Times New Roman"/>
          <w:i/>
          <w:iCs/>
          <w:szCs w:val="22"/>
          <w:lang w:eastAsia="ja-JP"/>
        </w:rPr>
        <w:t>definite or probable/EESP/2y</w:t>
      </w:r>
      <w:r w:rsidRPr="007B2DBD">
        <w:rPr>
          <w:rFonts w:eastAsia="Cambria" w:cs="Times New Roman"/>
          <w:szCs w:val="22"/>
        </w:rPr>
        <w:t xml:space="preserve"> comprised 72 patients (40 in the edaravone group and 32 in the placebo group), representing only 35% of the 206 patients randomised to treatment in the main study.</w:t>
      </w:r>
    </w:p>
    <w:p w14:paraId="49B59E0A"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The </w:t>
      </w:r>
      <w:r w:rsidRPr="007B2DBD">
        <w:rPr>
          <w:rFonts w:eastAsia="Cambria" w:cs="Times New Roman"/>
          <w:i/>
          <w:iCs/>
          <w:szCs w:val="22"/>
        </w:rPr>
        <w:t>post hoc</w:t>
      </w:r>
      <w:r w:rsidRPr="007B2DBD">
        <w:rPr>
          <w:rFonts w:eastAsia="Cambria" w:cs="Times New Roman"/>
          <w:szCs w:val="22"/>
        </w:rPr>
        <w:t xml:space="preserve"> analyses of the primary endpoint in the </w:t>
      </w:r>
      <w:r w:rsidRPr="007B2DBD">
        <w:rPr>
          <w:rFonts w:eastAsia="Cambria" w:cs="Times New Roman"/>
          <w:i/>
          <w:iCs/>
          <w:szCs w:val="22"/>
          <w:lang w:eastAsia="ja-JP"/>
        </w:rPr>
        <w:t>EESP</w:t>
      </w:r>
      <w:r w:rsidRPr="007B2DBD">
        <w:rPr>
          <w:rFonts w:eastAsia="Cambria" w:cs="Times New Roman"/>
          <w:szCs w:val="22"/>
          <w:lang w:eastAsia="ja-JP"/>
        </w:rPr>
        <w:t xml:space="preserve"> and </w:t>
      </w:r>
      <w:r w:rsidRPr="007B2DBD">
        <w:rPr>
          <w:rFonts w:eastAsia="Cambria" w:cs="Times New Roman"/>
          <w:i/>
          <w:iCs/>
          <w:szCs w:val="22"/>
          <w:lang w:eastAsia="ja-JP"/>
        </w:rPr>
        <w:t>definite or probable/EESP/2y</w:t>
      </w:r>
      <w:r w:rsidRPr="007B2DBD">
        <w:rPr>
          <w:rFonts w:eastAsia="Cambria" w:cs="Times New Roman"/>
          <w:szCs w:val="22"/>
        </w:rPr>
        <w:t xml:space="preserve"> sub-populations are summarised in </w:t>
      </w:r>
      <w:r w:rsidRPr="007B2DBD">
        <w:rPr>
          <w:rFonts w:eastAsia="Cambria" w:cs="Times New Roman"/>
          <w:szCs w:val="22"/>
        </w:rPr>
        <w:fldChar w:fldCharType="begin"/>
      </w:r>
      <w:r w:rsidRPr="007B2DBD">
        <w:rPr>
          <w:rFonts w:eastAsia="Cambria" w:cs="Times New Roman"/>
          <w:szCs w:val="22"/>
        </w:rPr>
        <w:instrText xml:space="preserve"> REF _Ref114585817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18</w:t>
      </w:r>
      <w:r w:rsidRPr="007B2DBD">
        <w:rPr>
          <w:rFonts w:eastAsia="Cambria" w:cs="Times New Roman"/>
          <w:szCs w:val="22"/>
        </w:rPr>
        <w:fldChar w:fldCharType="end"/>
      </w:r>
      <w:r w:rsidRPr="007B2DBD">
        <w:rPr>
          <w:rFonts w:eastAsia="Cambria" w:cs="Times New Roman"/>
          <w:szCs w:val="22"/>
        </w:rPr>
        <w:t xml:space="preserve">.  The analyses showed nominal significance for the </w:t>
      </w:r>
      <w:r w:rsidRPr="007B2DBD">
        <w:rPr>
          <w:rFonts w:eastAsia="Cambria" w:cs="Times New Roman"/>
          <w:i/>
          <w:iCs/>
          <w:szCs w:val="22"/>
          <w:lang w:eastAsia="ja-JP"/>
        </w:rPr>
        <w:t>EESP</w:t>
      </w:r>
      <w:r w:rsidRPr="007B2DBD">
        <w:rPr>
          <w:rFonts w:eastAsia="Cambria" w:cs="Times New Roman"/>
          <w:szCs w:val="22"/>
          <w:lang w:eastAsia="ja-JP"/>
        </w:rPr>
        <w:t xml:space="preserve"> and </w:t>
      </w:r>
      <w:r w:rsidRPr="007B2DBD">
        <w:rPr>
          <w:rFonts w:eastAsia="Cambria" w:cs="Times New Roman"/>
          <w:i/>
          <w:iCs/>
          <w:szCs w:val="22"/>
          <w:lang w:eastAsia="ja-JP"/>
        </w:rPr>
        <w:t>definite or probable/EESP/2y</w:t>
      </w:r>
      <w:r w:rsidRPr="007B2DBD">
        <w:rPr>
          <w:rFonts w:eastAsia="Cambria" w:cs="Times New Roman"/>
          <w:szCs w:val="22"/>
        </w:rPr>
        <w:t xml:space="preserve"> sub-populations.  Conversely, the non-</w:t>
      </w:r>
      <w:r w:rsidRPr="007B2DBD">
        <w:rPr>
          <w:rFonts w:eastAsia="Cambria" w:cs="Times New Roman"/>
          <w:i/>
          <w:iCs/>
          <w:szCs w:val="22"/>
          <w:lang w:eastAsia="ja-JP"/>
        </w:rPr>
        <w:t>EESP</w:t>
      </w:r>
      <w:r w:rsidRPr="007B2DBD">
        <w:rPr>
          <w:rFonts w:eastAsia="Cambria" w:cs="Times New Roman"/>
          <w:szCs w:val="22"/>
        </w:rPr>
        <w:t xml:space="preserve"> and non-</w:t>
      </w:r>
      <w:r w:rsidRPr="007B2DBD">
        <w:rPr>
          <w:rFonts w:eastAsia="Cambria" w:cs="Times New Roman"/>
          <w:i/>
          <w:iCs/>
          <w:szCs w:val="22"/>
          <w:lang w:eastAsia="ja-JP"/>
        </w:rPr>
        <w:t>definite or probable/EESP/2y</w:t>
      </w:r>
      <w:r w:rsidRPr="007B2DBD">
        <w:rPr>
          <w:rFonts w:eastAsia="Cambria" w:cs="Times New Roman"/>
          <w:szCs w:val="22"/>
        </w:rPr>
        <w:t xml:space="preserve"> sub-populations trended towards negative (i.e. adverse) treatment effects with edaravone compared to placebo.  </w:t>
      </w:r>
    </w:p>
    <w:p w14:paraId="577CBAE6" w14:textId="77777777" w:rsidR="007B2DBD" w:rsidRPr="007B2DBD" w:rsidRDefault="007B2DBD" w:rsidP="00B81729">
      <w:pPr>
        <w:pStyle w:val="TableTitle"/>
      </w:pPr>
      <w:bookmarkStart w:id="77" w:name="_Ref114585817"/>
      <w:r w:rsidRPr="007B2DBD">
        <w:rPr>
          <w:szCs w:val="18"/>
        </w:rPr>
        <w:t xml:space="preserve">Table </w:t>
      </w:r>
      <w:r w:rsidRPr="007B2DBD">
        <w:rPr>
          <w:szCs w:val="18"/>
        </w:rPr>
        <w:fldChar w:fldCharType="begin"/>
      </w:r>
      <w:r w:rsidRPr="007B2DBD">
        <w:rPr>
          <w:szCs w:val="18"/>
        </w:rPr>
        <w:instrText xml:space="preserve"> SEQ Table \* ARABIC </w:instrText>
      </w:r>
      <w:r w:rsidRPr="007B2DBD">
        <w:rPr>
          <w:szCs w:val="18"/>
        </w:rPr>
        <w:fldChar w:fldCharType="separate"/>
      </w:r>
      <w:r w:rsidRPr="007B2DBD">
        <w:rPr>
          <w:noProof/>
          <w:szCs w:val="18"/>
        </w:rPr>
        <w:t>18</w:t>
      </w:r>
      <w:r w:rsidRPr="007B2DBD">
        <w:rPr>
          <w:noProof/>
          <w:szCs w:val="18"/>
        </w:rPr>
        <w:fldChar w:fldCharType="end"/>
      </w:r>
      <w:bookmarkEnd w:id="77"/>
      <w:r w:rsidRPr="007B2DBD">
        <w:rPr>
          <w:szCs w:val="18"/>
        </w:rPr>
        <w:t xml:space="preserve"> </w:t>
      </w:r>
      <w:r w:rsidRPr="007B2DBD">
        <w:t>Difference in ALSFRS-R between Baseline in Cycle 1 and the End of Cycle 6 (LOCF) for Study MCI186-16 (FAS, EESP, Definite-or-Probable/EESP/2y)</w:t>
      </w:r>
    </w:p>
    <w:p w14:paraId="671AFE84"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lang w:eastAsia="ja-JP"/>
        </w:rPr>
        <w:drawing>
          <wp:inline distT="0" distB="0" distL="0" distR="0" wp14:anchorId="56C92809" wp14:editId="7E11C080">
            <wp:extent cx="5629275" cy="3390678"/>
            <wp:effectExtent l="0" t="0" r="0" b="635"/>
            <wp:docPr id="19" name="図 19"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table with numbers and letter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4417" cy="3393775"/>
                    </a:xfrm>
                    <a:prstGeom prst="rect">
                      <a:avLst/>
                    </a:prstGeom>
                    <a:noFill/>
                    <a:ln>
                      <a:noFill/>
                    </a:ln>
                  </pic:spPr>
                </pic:pic>
              </a:graphicData>
            </a:graphic>
          </wp:inline>
        </w:drawing>
      </w:r>
    </w:p>
    <w:p w14:paraId="11A2FC8D"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lastRenderedPageBreak/>
        <w:t xml:space="preserve">The </w:t>
      </w:r>
      <w:r w:rsidRPr="007B2DBD">
        <w:rPr>
          <w:rFonts w:eastAsia="Cambria" w:cs="Times New Roman"/>
          <w:i/>
          <w:iCs/>
          <w:szCs w:val="22"/>
        </w:rPr>
        <w:t>post hoc</w:t>
      </w:r>
      <w:r w:rsidRPr="007B2DBD">
        <w:rPr>
          <w:rFonts w:eastAsia="Cambria" w:cs="Times New Roman"/>
          <w:szCs w:val="22"/>
        </w:rPr>
        <w:t xml:space="preserve"> findings from Study 16 are considered hypothesis-generating (i.e. should not be viewed as providing evidence of efficacy) as the selection of these sub-populations after data unblinding was influenced by known efficacy outcomes.  A subsequent Phase 3 study, MCI-186-19, evaluated efficacy in a population based on the </w:t>
      </w:r>
      <w:r w:rsidRPr="007B2DBD">
        <w:rPr>
          <w:rFonts w:eastAsia="Cambria" w:cs="Times New Roman"/>
          <w:i/>
          <w:iCs/>
          <w:szCs w:val="22"/>
          <w:lang w:eastAsia="ja-JP"/>
        </w:rPr>
        <w:t>definite or probable/EESP/2y</w:t>
      </w:r>
      <w:r w:rsidRPr="007B2DBD">
        <w:rPr>
          <w:rFonts w:eastAsia="Cambria" w:cs="Times New Roman"/>
          <w:szCs w:val="22"/>
        </w:rPr>
        <w:t xml:space="preserve"> criteria.</w:t>
      </w:r>
    </w:p>
    <w:p w14:paraId="34BF6498" w14:textId="77777777" w:rsidR="007B2DBD" w:rsidRPr="007B2DBD" w:rsidRDefault="007B2DBD" w:rsidP="007B2DBD">
      <w:pPr>
        <w:keepNext/>
        <w:keepLines/>
        <w:spacing w:before="120" w:line="220" w:lineRule="atLeast"/>
        <w:outlineLvl w:val="4"/>
        <w:rPr>
          <w:rFonts w:eastAsia="Times New Roman" w:cs="Times New Roman"/>
          <w:b/>
          <w:bCs/>
          <w:i/>
          <w:color w:val="001523"/>
          <w:szCs w:val="21"/>
        </w:rPr>
      </w:pPr>
      <w:r w:rsidRPr="007B2DBD">
        <w:rPr>
          <w:rFonts w:eastAsia="Times New Roman" w:cs="Times New Roman"/>
          <w:b/>
          <w:bCs/>
          <w:i/>
          <w:color w:val="001523"/>
          <w:szCs w:val="21"/>
        </w:rPr>
        <w:t>Study MCI-186-19 (Study 19)</w:t>
      </w:r>
    </w:p>
    <w:p w14:paraId="2D82FDFA" w14:textId="77777777" w:rsidR="007B2DBD" w:rsidRPr="007B2DBD" w:rsidRDefault="007B2DBD" w:rsidP="007B2DBD">
      <w:pPr>
        <w:autoSpaceDE w:val="0"/>
        <w:autoSpaceDN w:val="0"/>
        <w:adjustRightInd w:val="0"/>
        <w:spacing w:before="120" w:line="240" w:lineRule="atLeast"/>
        <w:rPr>
          <w:rFonts w:eastAsia="Cambria" w:cs="Times New Roman"/>
          <w:bCs/>
          <w:iCs/>
          <w:szCs w:val="22"/>
        </w:rPr>
      </w:pPr>
      <w:r w:rsidRPr="007B2DBD">
        <w:rPr>
          <w:rFonts w:eastAsia="Cambria" w:cs="Times New Roman"/>
          <w:bCs/>
          <w:iCs/>
          <w:szCs w:val="22"/>
        </w:rPr>
        <w:t xml:space="preserve">This was a Phase III, multi-centre, randomised, double-blind, placebo-controlled, parallel-group study of edaravone for the treatment of ALS.  The </w:t>
      </w:r>
      <w:r w:rsidRPr="007B2DBD">
        <w:rPr>
          <w:rFonts w:eastAsia="Cambria" w:cs="Times New Roman"/>
          <w:szCs w:val="22"/>
        </w:rPr>
        <w:t xml:space="preserve">primary objective was </w:t>
      </w:r>
      <w:r w:rsidRPr="007B2DBD">
        <w:rPr>
          <w:rFonts w:eastAsia="Cambria" w:cs="Times New Roman"/>
          <w:iCs/>
          <w:szCs w:val="22"/>
        </w:rPr>
        <w:t>to investigate the efficacy of edaravone 60 mg versus placebo in terms of change in ALSFRS-R score at 24 weeks of treatment.</w:t>
      </w:r>
      <w:r w:rsidRPr="007B2DBD">
        <w:rPr>
          <w:rFonts w:eastAsia="Cambria" w:cs="Times New Roman"/>
          <w:szCs w:val="22"/>
        </w:rPr>
        <w:t xml:space="preserve">  </w:t>
      </w:r>
      <w:r w:rsidRPr="007B2DBD">
        <w:rPr>
          <w:rFonts w:eastAsia="Cambria" w:cs="Times New Roman"/>
          <w:bCs/>
          <w:iCs/>
          <w:szCs w:val="22"/>
        </w:rPr>
        <w:t xml:space="preserve">This study evaluated efficacy in a restricted population based on the </w:t>
      </w:r>
      <w:r w:rsidRPr="007B2DBD">
        <w:rPr>
          <w:rFonts w:eastAsia="Cambria" w:cs="Times New Roman"/>
          <w:i/>
          <w:szCs w:val="22"/>
        </w:rPr>
        <w:t>post hoc</w:t>
      </w:r>
      <w:r w:rsidRPr="007B2DBD">
        <w:rPr>
          <w:rFonts w:eastAsia="Cambria" w:cs="Times New Roman"/>
          <w:szCs w:val="22"/>
        </w:rPr>
        <w:t xml:space="preserve"> findings from Study 16.  The key features of the study population were that they had relatively mild ALS (Grade 1 or 2) with normal respiratory function, they were enrolled within 2 years of disease onset, and they exhibited intermediate disease progression during a 12-week pre-treatment period.  The study was conducted in Japan between 28 November 2011 and 3 September 2014.</w:t>
      </w:r>
    </w:p>
    <w:p w14:paraId="155622BC" w14:textId="77777777" w:rsidR="007B2DBD" w:rsidRPr="007B2DBD" w:rsidRDefault="007B2DBD" w:rsidP="007B2DBD">
      <w:pPr>
        <w:spacing w:before="120" w:line="240" w:lineRule="atLeast"/>
        <w:rPr>
          <w:rFonts w:eastAsia="Cambria" w:cs="Times New Roman"/>
          <w:bCs/>
          <w:iCs/>
          <w:szCs w:val="22"/>
        </w:rPr>
      </w:pPr>
      <w:r w:rsidRPr="007B2DBD">
        <w:rPr>
          <w:rFonts w:eastAsia="Cambria" w:cs="Times New Roman"/>
          <w:szCs w:val="22"/>
        </w:rPr>
        <w:t>The study included a 12-week pre-treatment observation period, a 24-week, double-blind period involving treatment with edaravone or matching placebo as scheduled over six 4-week cycles, and a 24-week active treatment period where all subjects were treated with open-label edaravone as scheduled over six 4-week cycles (</w:t>
      </w:r>
      <w:r w:rsidRPr="007B2DBD">
        <w:rPr>
          <w:rFonts w:eastAsia="Cambria" w:cs="Times New Roman"/>
          <w:szCs w:val="22"/>
        </w:rPr>
        <w:fldChar w:fldCharType="begin"/>
      </w:r>
      <w:r w:rsidRPr="007B2DBD">
        <w:rPr>
          <w:rFonts w:eastAsia="Cambria" w:cs="Times New Roman"/>
          <w:szCs w:val="22"/>
        </w:rPr>
        <w:instrText xml:space="preserve"> REF _Ref115096590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Figure </w:t>
      </w:r>
      <w:r w:rsidRPr="007B2DBD">
        <w:rPr>
          <w:rFonts w:eastAsia="Cambria" w:cs="Times New Roman"/>
          <w:noProof/>
          <w:szCs w:val="22"/>
        </w:rPr>
        <w:t>4</w:t>
      </w:r>
      <w:r w:rsidRPr="007B2DBD">
        <w:rPr>
          <w:rFonts w:eastAsia="Cambria" w:cs="Times New Roman"/>
          <w:szCs w:val="22"/>
        </w:rPr>
        <w:fldChar w:fldCharType="end"/>
      </w:r>
      <w:r w:rsidRPr="007B2DBD">
        <w:rPr>
          <w:rFonts w:eastAsia="Cambria" w:cs="Times New Roman"/>
          <w:szCs w:val="22"/>
        </w:rPr>
        <w:t>).  Study treatment was edaravone 60 mg diluted with saline, or matching placebo, administered by intravenous infusion over 60 minutes.  Treatment was administered once daily for the first 14 days of Cycle 1, and then once daily for 10 days of the first two weeks in each subsequent cycle.  Consequently, no treatment was administered for 14 days of Cycle 1, and for 18 days of each subsequent cycle (</w:t>
      </w:r>
      <w:r w:rsidRPr="007B2DBD">
        <w:rPr>
          <w:rFonts w:eastAsia="Cambria" w:cs="Times New Roman"/>
          <w:szCs w:val="22"/>
        </w:rPr>
        <w:fldChar w:fldCharType="begin"/>
      </w:r>
      <w:r w:rsidRPr="007B2DBD">
        <w:rPr>
          <w:rFonts w:eastAsia="Cambria" w:cs="Times New Roman"/>
          <w:szCs w:val="22"/>
        </w:rPr>
        <w:instrText xml:space="preserve"> REF _Ref115184836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Figure </w:t>
      </w:r>
      <w:r w:rsidRPr="007B2DBD">
        <w:rPr>
          <w:rFonts w:eastAsia="Cambria" w:cs="Times New Roman"/>
          <w:noProof/>
          <w:szCs w:val="22"/>
        </w:rPr>
        <w:t>5</w:t>
      </w:r>
      <w:r w:rsidRPr="007B2DBD">
        <w:rPr>
          <w:rFonts w:eastAsia="Cambria" w:cs="Times New Roman"/>
          <w:szCs w:val="22"/>
        </w:rPr>
        <w:fldChar w:fldCharType="end"/>
      </w:r>
      <w:r w:rsidRPr="007B2DBD">
        <w:rPr>
          <w:rFonts w:eastAsia="Cambria" w:cs="Times New Roman"/>
          <w:szCs w:val="22"/>
        </w:rPr>
        <w:t>).</w:t>
      </w:r>
    </w:p>
    <w:p w14:paraId="247F41A4" w14:textId="68A9661D" w:rsidR="007B2DBD" w:rsidRPr="007B2DBD" w:rsidRDefault="007B2DBD" w:rsidP="00B81729">
      <w:pPr>
        <w:pStyle w:val="FigureTitle"/>
      </w:pPr>
      <w:bookmarkStart w:id="78" w:name="_Ref115096590"/>
      <w:r w:rsidRPr="007B2DBD">
        <w:t xml:space="preserve">Figure </w:t>
      </w:r>
      <w:bookmarkEnd w:id="78"/>
      <w:r w:rsidR="00BC13AF">
        <w:t>5</w:t>
      </w:r>
      <w:r w:rsidRPr="007B2DBD">
        <w:t xml:space="preserve"> Study Design, Study 19</w:t>
      </w:r>
    </w:p>
    <w:p w14:paraId="41060506" w14:textId="77777777" w:rsid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0A12E989" wp14:editId="1295EA24">
            <wp:extent cx="5153025" cy="1583701"/>
            <wp:effectExtent l="0" t="0" r="0" b="0"/>
            <wp:docPr id="20" name="図 20" descr="A diagram of a patient's sched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patient's schedul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76788" cy="1591004"/>
                    </a:xfrm>
                    <a:prstGeom prst="rect">
                      <a:avLst/>
                    </a:prstGeom>
                    <a:noFill/>
                    <a:ln>
                      <a:noFill/>
                    </a:ln>
                  </pic:spPr>
                </pic:pic>
              </a:graphicData>
            </a:graphic>
          </wp:inline>
        </w:drawing>
      </w:r>
    </w:p>
    <w:p w14:paraId="1EFB85DB" w14:textId="565A45EF" w:rsidR="007B2DBD" w:rsidRPr="007B2DBD" w:rsidRDefault="007B2DBD" w:rsidP="00B81729">
      <w:pPr>
        <w:pStyle w:val="FigureTitle"/>
      </w:pPr>
      <w:bookmarkStart w:id="79" w:name="_Ref115184836"/>
      <w:r w:rsidRPr="007B2DBD">
        <w:lastRenderedPageBreak/>
        <w:t xml:space="preserve">Figure </w:t>
      </w:r>
      <w:bookmarkEnd w:id="79"/>
      <w:r w:rsidR="00BC13AF">
        <w:t>6</w:t>
      </w:r>
      <w:r w:rsidRPr="007B2DBD">
        <w:t xml:space="preserve"> Summary of treatment periods, Study 19</w:t>
      </w:r>
    </w:p>
    <w:p w14:paraId="324AF1C2"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1C44117D" wp14:editId="56F6CD51">
            <wp:extent cx="5648441" cy="3426863"/>
            <wp:effectExtent l="0" t="0" r="0" b="2540"/>
            <wp:docPr id="53" name="図 53" descr="A table of treatment peri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table of treatment period&#10;&#10;Description automatically generated with medium confidence"/>
                    <pic:cNvPicPr/>
                  </pic:nvPicPr>
                  <pic:blipFill>
                    <a:blip r:embed="rId46"/>
                    <a:stretch>
                      <a:fillRect/>
                    </a:stretch>
                  </pic:blipFill>
                  <pic:spPr>
                    <a:xfrm>
                      <a:off x="0" y="0"/>
                      <a:ext cx="5706759" cy="3462244"/>
                    </a:xfrm>
                    <a:prstGeom prst="rect">
                      <a:avLst/>
                    </a:prstGeom>
                  </pic:spPr>
                </pic:pic>
              </a:graphicData>
            </a:graphic>
          </wp:inline>
        </w:drawing>
      </w:r>
    </w:p>
    <w:p w14:paraId="00297918"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The inclusion criteria were:</w:t>
      </w:r>
    </w:p>
    <w:p w14:paraId="52174A7C" w14:textId="77777777" w:rsidR="007B2DBD" w:rsidRPr="007B2DBD" w:rsidRDefault="007B2DBD" w:rsidP="00BC13AF">
      <w:pPr>
        <w:pStyle w:val="Numberbullet0"/>
        <w:numPr>
          <w:ilvl w:val="0"/>
          <w:numId w:val="47"/>
        </w:numPr>
        <w:rPr>
          <w:lang w:eastAsia="ja-JP"/>
        </w:rPr>
      </w:pPr>
      <w:r w:rsidRPr="007B2DBD">
        <w:rPr>
          <w:lang w:eastAsia="ja-JP"/>
        </w:rPr>
        <w:t>Patients who are categorised as either "Definite ALS" or "Probable ALS" in the El Escorial revised Airlie House diagnostic criteria.</w:t>
      </w:r>
    </w:p>
    <w:p w14:paraId="62915CCD" w14:textId="77777777" w:rsidR="007B2DBD" w:rsidRPr="007B2DBD" w:rsidRDefault="007B2DBD" w:rsidP="00BC13AF">
      <w:pPr>
        <w:pStyle w:val="Numberbullet0"/>
        <w:rPr>
          <w:lang w:eastAsia="ja-JP"/>
        </w:rPr>
      </w:pPr>
      <w:r w:rsidRPr="007B2DBD">
        <w:rPr>
          <w:lang w:eastAsia="ja-JP"/>
        </w:rPr>
        <w:t>Patients at Grade 1 or 2 in Japan ALS severity classification.</w:t>
      </w:r>
    </w:p>
    <w:p w14:paraId="7DA1FFF5" w14:textId="77777777" w:rsidR="007B2DBD" w:rsidRPr="007B2DBD" w:rsidRDefault="007B2DBD" w:rsidP="00BC13AF">
      <w:pPr>
        <w:pStyle w:val="Numberbullet0"/>
        <w:rPr>
          <w:lang w:eastAsia="ja-JP"/>
        </w:rPr>
      </w:pPr>
      <w:r w:rsidRPr="007B2DBD">
        <w:rPr>
          <w:lang w:eastAsia="ja-JP"/>
        </w:rPr>
        <w:t>Patients scoring ≥2 points on each single ALSFRS-R item (</w:t>
      </w:r>
      <w:r w:rsidRPr="007B2DBD">
        <w:rPr>
          <w:i/>
          <w:lang w:eastAsia="ja-JP"/>
        </w:rPr>
        <w:t>"4. Handwriting"</w:t>
      </w:r>
      <w:r w:rsidRPr="007B2DBD">
        <w:rPr>
          <w:lang w:eastAsia="ja-JP"/>
        </w:rPr>
        <w:t xml:space="preserve"> and </w:t>
      </w:r>
      <w:r w:rsidRPr="007B2DBD">
        <w:rPr>
          <w:i/>
          <w:lang w:eastAsia="ja-JP"/>
        </w:rPr>
        <w:t>"5. Eating motion"</w:t>
      </w:r>
      <w:r w:rsidRPr="007B2DBD">
        <w:rPr>
          <w:lang w:eastAsia="ja-JP"/>
        </w:rPr>
        <w:t xml:space="preserve"> should be scored ≥2 points on each side). </w:t>
      </w:r>
    </w:p>
    <w:p w14:paraId="4AE551E4" w14:textId="77777777" w:rsidR="007B2DBD" w:rsidRPr="007B2DBD" w:rsidRDefault="007B2DBD" w:rsidP="00BC13AF">
      <w:pPr>
        <w:pStyle w:val="Numberbullet0"/>
        <w:rPr>
          <w:lang w:eastAsia="ja-JP"/>
        </w:rPr>
      </w:pPr>
      <w:r w:rsidRPr="007B2DBD">
        <w:rPr>
          <w:lang w:eastAsia="ja-JP"/>
        </w:rPr>
        <w:t>Patients with normal respiratory function (%FVC ≥80%).</w:t>
      </w:r>
    </w:p>
    <w:p w14:paraId="5A836348" w14:textId="77777777" w:rsidR="007B2DBD" w:rsidRPr="007B2DBD" w:rsidRDefault="007B2DBD" w:rsidP="00BC13AF">
      <w:pPr>
        <w:pStyle w:val="Numberbullet0"/>
        <w:rPr>
          <w:lang w:eastAsia="ja-JP"/>
        </w:rPr>
      </w:pPr>
      <w:r w:rsidRPr="007B2DBD">
        <w:rPr>
          <w:lang w:eastAsia="ja-JP"/>
        </w:rPr>
        <w:t>Patients with ALS that occurred within 2 years at the time of written informed consent.</w:t>
      </w:r>
    </w:p>
    <w:p w14:paraId="7D84979F" w14:textId="77777777" w:rsidR="007B2DBD" w:rsidRPr="007B2DBD" w:rsidRDefault="007B2DBD" w:rsidP="00BC13AF">
      <w:pPr>
        <w:pStyle w:val="Numberbullet0"/>
        <w:rPr>
          <w:lang w:eastAsia="ja-JP"/>
        </w:rPr>
      </w:pPr>
      <w:r w:rsidRPr="007B2DBD">
        <w:rPr>
          <w:lang w:eastAsia="ja-JP"/>
        </w:rPr>
        <w:t>Patients aged 20 to 75 years at the time of giving written informed consent.</w:t>
      </w:r>
    </w:p>
    <w:p w14:paraId="62B9A020" w14:textId="77777777" w:rsidR="007B2DBD" w:rsidRPr="007B2DBD" w:rsidRDefault="007B2DBD" w:rsidP="00BC13AF">
      <w:pPr>
        <w:pStyle w:val="Numberbullet0"/>
        <w:rPr>
          <w:lang w:eastAsia="ja-JP"/>
        </w:rPr>
      </w:pPr>
      <w:r w:rsidRPr="007B2DBD">
        <w:rPr>
          <w:lang w:eastAsia="ja-JP"/>
        </w:rPr>
        <w:t>Patients who provided written informed consent to participate in the present study.</w:t>
      </w:r>
    </w:p>
    <w:p w14:paraId="0640E516" w14:textId="77777777" w:rsidR="007B2DBD" w:rsidRPr="007B2DBD" w:rsidRDefault="007B2DBD" w:rsidP="00BC13AF">
      <w:pPr>
        <w:pStyle w:val="Numberbullet0"/>
        <w:rPr>
          <w:lang w:eastAsia="ja-JP"/>
        </w:rPr>
      </w:pPr>
      <w:r w:rsidRPr="007B2DBD">
        <w:rPr>
          <w:lang w:eastAsia="ja-JP"/>
        </w:rPr>
        <w:t>Patients in whom changes in ALSFRS-R score during the 12-week pre-observation period are −1 to −4 points.</w:t>
      </w:r>
    </w:p>
    <w:p w14:paraId="02A14155"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The inclusion criteria align with the </w:t>
      </w:r>
      <w:r w:rsidRPr="007B2DBD">
        <w:rPr>
          <w:rFonts w:eastAsia="Cambria" w:cs="Times New Roman"/>
          <w:i/>
          <w:iCs/>
          <w:szCs w:val="22"/>
          <w:lang w:eastAsia="ja-JP"/>
        </w:rPr>
        <w:t>definite or probable/EESP/2y</w:t>
      </w:r>
      <w:r w:rsidRPr="007B2DBD">
        <w:rPr>
          <w:rFonts w:eastAsia="Cambria" w:cs="Times New Roman"/>
          <w:szCs w:val="22"/>
          <w:lang w:eastAsia="ja-JP"/>
        </w:rPr>
        <w:t xml:space="preserve"> sub-population identified from </w:t>
      </w:r>
      <w:r w:rsidRPr="007B2DBD">
        <w:rPr>
          <w:rFonts w:eastAsia="Cambria" w:cs="Times New Roman"/>
          <w:i/>
          <w:iCs/>
          <w:szCs w:val="22"/>
        </w:rPr>
        <w:t>post-hoc</w:t>
      </w:r>
      <w:r w:rsidRPr="007B2DBD">
        <w:rPr>
          <w:rFonts w:eastAsia="Cambria" w:cs="Times New Roman"/>
          <w:szCs w:val="22"/>
        </w:rPr>
        <w:t xml:space="preserve"> analyses in Study 16.  Use of riluzole was permitted provided the dosage and administration were not changed, but it could not be initiated during the study.  </w:t>
      </w:r>
    </w:p>
    <w:p w14:paraId="7F54002A" w14:textId="77777777" w:rsidR="007B2DBD" w:rsidRPr="007B2DBD" w:rsidRDefault="007B2DBD" w:rsidP="007B2DBD">
      <w:pPr>
        <w:autoSpaceDE w:val="0"/>
        <w:autoSpaceDN w:val="0"/>
        <w:adjustRightInd w:val="0"/>
        <w:spacing w:before="120" w:line="240" w:lineRule="atLeast"/>
        <w:rPr>
          <w:rFonts w:eastAsia="Cambria" w:cs="Times New Roman"/>
          <w:szCs w:val="22"/>
        </w:rPr>
      </w:pPr>
      <w:r w:rsidRPr="007B2DBD">
        <w:rPr>
          <w:rFonts w:eastAsia="Cambria" w:cs="Times New Roman"/>
          <w:szCs w:val="22"/>
        </w:rPr>
        <w:t xml:space="preserve">Based on </w:t>
      </w:r>
      <w:r w:rsidRPr="007B2DBD">
        <w:rPr>
          <w:rFonts w:eastAsia="Cambria" w:cs="Times New Roman"/>
          <w:i/>
          <w:szCs w:val="22"/>
        </w:rPr>
        <w:t>post hoc</w:t>
      </w:r>
      <w:r w:rsidRPr="007B2DBD">
        <w:rPr>
          <w:rFonts w:eastAsia="Cambria" w:cs="Times New Roman"/>
          <w:szCs w:val="22"/>
        </w:rPr>
        <w:t xml:space="preserve"> analysis of Study 16, the study planned to recruit 128 subjects (64 per group).  Of 213 patients who provided informed consent, 192 were registered and 137 patients were randomised 1:1 to edaravone (n=69) or placebo (n=68) with dynamic allocation based on:</w:t>
      </w:r>
    </w:p>
    <w:p w14:paraId="5497447E" w14:textId="77777777" w:rsidR="007B2DBD" w:rsidRPr="007B2DBD" w:rsidRDefault="007B2DBD" w:rsidP="00BC13AF">
      <w:pPr>
        <w:pStyle w:val="ListBullet"/>
      </w:pPr>
      <w:r w:rsidRPr="007B2DBD">
        <w:t xml:space="preserve">change in ALSFRS-R score between baseline in the pre-observation period and completion of the pre-observation period (-1 or -2 vs -3 or -4) </w:t>
      </w:r>
    </w:p>
    <w:p w14:paraId="4A2B82A5" w14:textId="77777777" w:rsidR="007B2DBD" w:rsidRPr="007B2DBD" w:rsidRDefault="007B2DBD" w:rsidP="00BC13AF">
      <w:pPr>
        <w:pStyle w:val="ListBullet"/>
      </w:pPr>
      <w:r w:rsidRPr="007B2DBD">
        <w:t>El Escorial revised Airlie House diagnostic criteria (definite vs probable)</w:t>
      </w:r>
    </w:p>
    <w:p w14:paraId="023FCADD" w14:textId="77777777" w:rsidR="007B2DBD" w:rsidRPr="007B2DBD" w:rsidRDefault="007B2DBD" w:rsidP="00BC13AF">
      <w:pPr>
        <w:pStyle w:val="ListBullet"/>
      </w:pPr>
      <w:r w:rsidRPr="007B2DBD">
        <w:t>age (≥65 vs &lt;65 years).</w:t>
      </w:r>
    </w:p>
    <w:p w14:paraId="6456285F" w14:textId="77777777" w:rsidR="007B2DBD" w:rsidRPr="007B2DBD" w:rsidRDefault="007B2DBD" w:rsidP="007B2DBD">
      <w:pPr>
        <w:autoSpaceDE w:val="0"/>
        <w:autoSpaceDN w:val="0"/>
        <w:adjustRightInd w:val="0"/>
        <w:spacing w:before="120" w:line="240" w:lineRule="atLeast"/>
        <w:rPr>
          <w:rFonts w:eastAsia="Cambria" w:cs="Times New Roman"/>
          <w:szCs w:val="22"/>
        </w:rPr>
      </w:pPr>
      <w:r w:rsidRPr="007B2DBD">
        <w:rPr>
          <w:rFonts w:eastAsia="Cambria" w:cs="Times New Roman"/>
          <w:szCs w:val="22"/>
        </w:rPr>
        <w:lastRenderedPageBreak/>
        <w:t>127 patients completed the study, 67 in the edaravone group and 60 in the placebo group.  Discontinuation was more common in the placebo group (11.8%) than in the edaravone group (2.9%).</w:t>
      </w:r>
    </w:p>
    <w:p w14:paraId="5857A52C" w14:textId="77777777" w:rsidR="007B2DBD" w:rsidRPr="007B2DBD" w:rsidRDefault="007B2DBD" w:rsidP="007B2DBD">
      <w:pPr>
        <w:autoSpaceDE w:val="0"/>
        <w:autoSpaceDN w:val="0"/>
        <w:adjustRightInd w:val="0"/>
        <w:spacing w:before="120" w:line="240" w:lineRule="atLeast"/>
        <w:rPr>
          <w:rFonts w:eastAsia="Cambria" w:cs="Times New Roman"/>
          <w:szCs w:val="22"/>
        </w:rPr>
      </w:pPr>
      <w:r w:rsidRPr="007B2DBD">
        <w:rPr>
          <w:rFonts w:eastAsia="Cambria" w:cs="Times New Roman"/>
          <w:szCs w:val="22"/>
        </w:rPr>
        <w:t>Overall, the two treatment groups were reasonably balanced with regard to baseline demographic and disease data, but there were numerical imbalances for gender (edaravone 55.1% male vs placebo 60.3% male) and ALS disease severity (edaravone 31.9% Grade 1, 68.1% Grade 2 vs placebo 23.5% Grade 1, 76.5% Grade 2).  The majority of subjects (∼91%) were taking riluzole.</w:t>
      </w:r>
    </w:p>
    <w:p w14:paraId="35685F9A"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The </w:t>
      </w:r>
      <w:r w:rsidRPr="007B2DBD">
        <w:rPr>
          <w:rFonts w:eastAsia="Cambria" w:cs="Times New Roman"/>
          <w:bCs/>
          <w:szCs w:val="22"/>
        </w:rPr>
        <w:t xml:space="preserve">primary efficacy </w:t>
      </w:r>
      <w:r w:rsidRPr="007B2DBD">
        <w:rPr>
          <w:rFonts w:eastAsia="Cambria" w:cs="Times New Roman"/>
          <w:szCs w:val="22"/>
        </w:rPr>
        <w:t xml:space="preserve">endpoint was the change in ALSFRS-R from the pre-treatment baseline in Cycle 1 to the end of Cycle 6 (or discontinuation).  The primary efficacy analysis was based on an analysis of variance.  The two treatment groups were compared using the same factors that were used in dynamic allocation as covariates.  For patients with missing values at the end of Cycle 6, data imputation was conducted using the </w:t>
      </w:r>
      <w:bookmarkStart w:id="80" w:name="_Hlk169232179"/>
      <w:r w:rsidRPr="007B2DBD">
        <w:rPr>
          <w:rFonts w:eastAsia="Cambria" w:cs="Times New Roman"/>
          <w:szCs w:val="22"/>
        </w:rPr>
        <w:t xml:space="preserve">last observation carried forward (LOCF) </w:t>
      </w:r>
      <w:bookmarkEnd w:id="80"/>
      <w:r w:rsidRPr="007B2DBD">
        <w:rPr>
          <w:rFonts w:eastAsia="Cambria" w:cs="Times New Roman"/>
          <w:szCs w:val="22"/>
        </w:rPr>
        <w:t xml:space="preserve">method. </w:t>
      </w:r>
    </w:p>
    <w:p w14:paraId="00286FE4" w14:textId="1A40A3FE"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The change (mean ± SD) from "baseline in Cycle 1" to "the end of Cycle 6 (or discontinuation, LOCF)" was −4.4±3.8 in the edaravone group and −6.8±4.9 in the placebo group</w:t>
      </w:r>
      <w:r w:rsidR="00513A1F">
        <w:rPr>
          <w:rFonts w:eastAsia="Cambria" w:cs="Times New Roman"/>
          <w:szCs w:val="22"/>
        </w:rPr>
        <w:t xml:space="preserve"> (Figure 6)</w:t>
      </w:r>
      <w:r w:rsidRPr="007B2DBD">
        <w:rPr>
          <w:rFonts w:eastAsia="Cambria" w:cs="Times New Roman"/>
          <w:szCs w:val="22"/>
        </w:rPr>
        <w:t>.  When assessed by analysis of variance (ANOVA) with the same 3 covariates that were used as factors in dynamic allocation (change in ALSFRS-R score during pre-observation period, El Escorial revised Airlie House diagnostic criteria, and age), the adjusted least square mean (LSMean) ± standard error (SE) for each treatment group was −5.01±0.64 for the edaravone group and −7.50±0.66 for the placebo group. The between-group difference was 2.49 (95% CI 0.99 to 3.98</w:t>
      </w:r>
      <w:proofErr w:type="gramStart"/>
      <w:r w:rsidRPr="007B2DBD">
        <w:rPr>
          <w:rFonts w:eastAsia="Cambria" w:cs="Times New Roman"/>
          <w:szCs w:val="22"/>
        </w:rPr>
        <w:t>,  p</w:t>
      </w:r>
      <w:proofErr w:type="gramEnd"/>
      <w:r w:rsidRPr="007B2DBD">
        <w:rPr>
          <w:rFonts w:eastAsia="Cambria" w:cs="Times New Roman"/>
          <w:szCs w:val="22"/>
        </w:rPr>
        <w:t xml:space="preserve">=0.0013, </w:t>
      </w:r>
      <w:r w:rsidRPr="007B2DBD">
        <w:rPr>
          <w:rFonts w:eastAsia="Cambria" w:cs="Times New Roman"/>
          <w:color w:val="FF0000"/>
          <w:szCs w:val="22"/>
        </w:rPr>
        <w:fldChar w:fldCharType="begin"/>
      </w:r>
      <w:r w:rsidRPr="007B2DBD">
        <w:rPr>
          <w:rFonts w:eastAsia="Cambria" w:cs="Times New Roman"/>
          <w:color w:val="FF0000"/>
          <w:szCs w:val="22"/>
        </w:rPr>
        <w:instrText xml:space="preserve"> REF _Ref115103598 \h </w:instrText>
      </w:r>
      <w:r w:rsidRPr="007B2DBD">
        <w:rPr>
          <w:rFonts w:eastAsia="Cambria" w:cs="Times New Roman"/>
          <w:color w:val="FF0000"/>
          <w:szCs w:val="22"/>
        </w:rPr>
      </w:r>
      <w:r w:rsidRPr="007B2DBD">
        <w:rPr>
          <w:rFonts w:eastAsia="Cambria" w:cs="Times New Roman"/>
          <w:color w:val="FF0000"/>
          <w:szCs w:val="22"/>
        </w:rPr>
        <w:fldChar w:fldCharType="separate"/>
      </w:r>
      <w:r w:rsidRPr="007B2DBD">
        <w:rPr>
          <w:rFonts w:eastAsia="Cambria" w:cs="Times New Roman"/>
          <w:szCs w:val="22"/>
        </w:rPr>
        <w:t xml:space="preserve">Table </w:t>
      </w:r>
      <w:r w:rsidRPr="007B2DBD">
        <w:rPr>
          <w:rFonts w:eastAsia="Cambria" w:cs="Times New Roman"/>
          <w:noProof/>
          <w:szCs w:val="22"/>
        </w:rPr>
        <w:t>19</w:t>
      </w:r>
      <w:r w:rsidRPr="007B2DBD">
        <w:rPr>
          <w:rFonts w:eastAsia="Cambria" w:cs="Times New Roman"/>
          <w:color w:val="FF0000"/>
          <w:szCs w:val="22"/>
        </w:rPr>
        <w:fldChar w:fldCharType="end"/>
      </w:r>
      <w:r w:rsidRPr="007B2DBD">
        <w:rPr>
          <w:rFonts w:eastAsia="Cambria" w:cs="Times New Roman"/>
          <w:szCs w:val="22"/>
        </w:rPr>
        <w:t>), approximately one third of the placebo rate of change.  Multiple pre-specified sensitivity analyses were supportive of the primary analysis.</w:t>
      </w:r>
    </w:p>
    <w:p w14:paraId="0EF7108A" w14:textId="77777777" w:rsidR="007B2DBD" w:rsidRPr="007B2DBD" w:rsidRDefault="007B2DBD" w:rsidP="00B81729">
      <w:pPr>
        <w:pStyle w:val="TableTitle"/>
        <w:rPr>
          <w:color w:val="FF0000"/>
        </w:rPr>
      </w:pPr>
      <w:bookmarkStart w:id="81" w:name="_Ref115103598"/>
      <w:r w:rsidRPr="007B2DBD">
        <w:t xml:space="preserve">Table </w:t>
      </w:r>
      <w:r w:rsidR="00C451A8">
        <w:fldChar w:fldCharType="begin"/>
      </w:r>
      <w:r w:rsidR="00C451A8">
        <w:instrText xml:space="preserve"> SEQ Table \* ARABIC </w:instrText>
      </w:r>
      <w:r w:rsidR="00C451A8">
        <w:fldChar w:fldCharType="separate"/>
      </w:r>
      <w:r w:rsidRPr="007B2DBD">
        <w:rPr>
          <w:noProof/>
        </w:rPr>
        <w:t>19</w:t>
      </w:r>
      <w:r w:rsidR="00C451A8">
        <w:rPr>
          <w:noProof/>
        </w:rPr>
        <w:fldChar w:fldCharType="end"/>
      </w:r>
      <w:bookmarkEnd w:id="81"/>
      <w:r w:rsidRPr="007B2DBD">
        <w:t xml:space="preserve"> Change in ALSFRS-R score from baseline in Cycle 1 to the end of Cycle 6 (LOCF), FAS, Study 19</w:t>
      </w:r>
    </w:p>
    <w:p w14:paraId="37424338" w14:textId="77777777" w:rsidR="007B2DBD" w:rsidRPr="007B2DBD" w:rsidRDefault="007B2DBD" w:rsidP="007B2DBD">
      <w:pPr>
        <w:spacing w:before="120" w:line="240" w:lineRule="atLeast"/>
        <w:rPr>
          <w:rFonts w:eastAsia="Cambria" w:cs="Times New Roman"/>
          <w:color w:val="FF0000"/>
          <w:szCs w:val="22"/>
        </w:rPr>
      </w:pPr>
      <w:r w:rsidRPr="007B2DBD">
        <w:rPr>
          <w:rFonts w:eastAsia="Cambria" w:cs="Times New Roman"/>
          <w:noProof/>
          <w:szCs w:val="22"/>
        </w:rPr>
        <w:drawing>
          <wp:inline distT="0" distB="0" distL="0" distR="0" wp14:anchorId="45922F99" wp14:editId="1438C7D8">
            <wp:extent cx="5448300" cy="1031252"/>
            <wp:effectExtent l="0" t="0" r="0" b="0"/>
            <wp:docPr id="21" name="図 2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table with numbers and text&#10;&#10;Description automatically generated"/>
                    <pic:cNvPicPr/>
                  </pic:nvPicPr>
                  <pic:blipFill>
                    <a:blip r:embed="rId47"/>
                    <a:stretch>
                      <a:fillRect/>
                    </a:stretch>
                  </pic:blipFill>
                  <pic:spPr>
                    <a:xfrm>
                      <a:off x="0" y="0"/>
                      <a:ext cx="5461883" cy="1033823"/>
                    </a:xfrm>
                    <a:prstGeom prst="rect">
                      <a:avLst/>
                    </a:prstGeom>
                  </pic:spPr>
                </pic:pic>
              </a:graphicData>
            </a:graphic>
          </wp:inline>
        </w:drawing>
      </w:r>
    </w:p>
    <w:p w14:paraId="041980F5" w14:textId="6C32A774" w:rsidR="007B2DBD" w:rsidRPr="007B2DBD" w:rsidRDefault="007B2DBD" w:rsidP="00B81729">
      <w:pPr>
        <w:pStyle w:val="FigureTitle"/>
        <w:rPr>
          <w:color w:val="FF0000"/>
        </w:rPr>
      </w:pPr>
      <w:r w:rsidRPr="007B2DBD">
        <w:lastRenderedPageBreak/>
        <w:t xml:space="preserve">Figure </w:t>
      </w:r>
      <w:r w:rsidR="00BC13AF">
        <w:t>7</w:t>
      </w:r>
      <w:r w:rsidRPr="007B2DBD">
        <w:t xml:space="preserve"> ALSFRS-R score (mean ± SD) by Time and Treatment Group (FAS), Study 19</w:t>
      </w:r>
    </w:p>
    <w:p w14:paraId="6174E0AA" w14:textId="77777777" w:rsidR="007B2DBD" w:rsidRPr="007B2DBD" w:rsidRDefault="007B2DBD" w:rsidP="007B2DBD">
      <w:pPr>
        <w:spacing w:before="120" w:line="240" w:lineRule="atLeast"/>
        <w:rPr>
          <w:rFonts w:eastAsia="Cambria" w:cs="Times New Roman"/>
          <w:color w:val="FF0000"/>
          <w:szCs w:val="22"/>
        </w:rPr>
      </w:pPr>
      <w:r w:rsidRPr="007B2DBD">
        <w:rPr>
          <w:rFonts w:eastAsia="Cambria" w:cs="Times New Roman"/>
          <w:noProof/>
          <w:szCs w:val="22"/>
        </w:rPr>
        <w:drawing>
          <wp:inline distT="0" distB="0" distL="0" distR="0" wp14:anchorId="615752FA" wp14:editId="71984DFF">
            <wp:extent cx="5727817" cy="3821723"/>
            <wp:effectExtent l="0" t="0" r="6350" b="7620"/>
            <wp:docPr id="22" name="図 2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a graph&#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533" cy="3838881"/>
                    </a:xfrm>
                    <a:prstGeom prst="rect">
                      <a:avLst/>
                    </a:prstGeom>
                    <a:noFill/>
                    <a:ln>
                      <a:noFill/>
                    </a:ln>
                  </pic:spPr>
                </pic:pic>
              </a:graphicData>
            </a:graphic>
          </wp:inline>
        </w:drawing>
      </w:r>
    </w:p>
    <w:p w14:paraId="5BDBB34C" w14:textId="01DC61D8" w:rsidR="007B2DBD" w:rsidRPr="007B2DBD" w:rsidRDefault="007B2DBD" w:rsidP="007B2DBD">
      <w:pPr>
        <w:spacing w:before="120" w:line="240" w:lineRule="atLeast"/>
        <w:rPr>
          <w:rFonts w:eastAsia="Cambria" w:cs="Times New Roman"/>
          <w:szCs w:val="22"/>
        </w:rPr>
      </w:pPr>
      <w:r w:rsidRPr="007B2DBD">
        <w:rPr>
          <w:rFonts w:eastAsia="Cambria" w:cs="Times New Roman"/>
          <w:bCs/>
          <w:szCs w:val="22"/>
        </w:rPr>
        <w:t xml:space="preserve">Secondary efficacy endpoints </w:t>
      </w:r>
      <w:proofErr w:type="gramStart"/>
      <w:r w:rsidRPr="007B2DBD">
        <w:rPr>
          <w:rFonts w:eastAsia="Cambria" w:cs="Times New Roman"/>
          <w:szCs w:val="22"/>
        </w:rPr>
        <w:t>were:</w:t>
      </w:r>
      <w:proofErr w:type="gramEnd"/>
      <w:r w:rsidRPr="007B2DBD">
        <w:rPr>
          <w:rFonts w:eastAsia="Cambria" w:cs="Times New Roman"/>
          <w:szCs w:val="22"/>
        </w:rPr>
        <w:t xml:space="preserve"> time to death or certain disease progression (disability of independent ambulation, loss of upper limbs function, tracheotomy, use of respirator, use of tube feeding, and loss of useful speech), ALSFRS-R score by domain, %FVC, </w:t>
      </w:r>
      <w:r w:rsidR="007D08BD">
        <w:rPr>
          <w:rFonts w:eastAsia="Cambria" w:cs="Times New Roman"/>
          <w:szCs w:val="22"/>
        </w:rPr>
        <w:t>M</w:t>
      </w:r>
      <w:r w:rsidRPr="007B2DBD">
        <w:rPr>
          <w:rFonts w:eastAsia="Cambria" w:cs="Times New Roman"/>
          <w:szCs w:val="22"/>
        </w:rPr>
        <w:t>odified Norris Scale scores, ALSAQ40 scores, grip strength, pinch grip strength, and Japan ALS severity classification.  There was no allowance for multiplicity of secondary endpoints, so the findings should be viewed as nominal.</w:t>
      </w:r>
    </w:p>
    <w:p w14:paraId="167A46C6"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bCs/>
          <w:i/>
          <w:iCs/>
          <w:szCs w:val="22"/>
        </w:rPr>
        <w:t>Time to Death or Certain Disease Progression</w:t>
      </w:r>
    </w:p>
    <w:p w14:paraId="6BF9DD70"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There were no deaths during the double-blind phase of the study, so the only events that contributed to this endpoint related to time to disease progression.  The number of events was low (6 events in the placebo group and 2 events in the </w:t>
      </w:r>
      <w:proofErr w:type="spellStart"/>
      <w:r w:rsidRPr="007B2DBD">
        <w:rPr>
          <w:rFonts w:eastAsia="Cambria" w:cs="Times New Roman"/>
          <w:szCs w:val="22"/>
        </w:rPr>
        <w:t>edaravone</w:t>
      </w:r>
      <w:proofErr w:type="spellEnd"/>
      <w:r w:rsidRPr="007B2DBD">
        <w:rPr>
          <w:rFonts w:eastAsia="Cambria" w:cs="Times New Roman"/>
          <w:szCs w:val="22"/>
        </w:rPr>
        <w:t xml:space="preserve"> group, </w:t>
      </w:r>
      <w:r w:rsidRPr="007B2DBD">
        <w:rPr>
          <w:rFonts w:eastAsia="Cambria" w:cs="Times New Roman"/>
          <w:szCs w:val="22"/>
        </w:rPr>
        <w:fldChar w:fldCharType="begin"/>
      </w:r>
      <w:r w:rsidRPr="007B2DBD">
        <w:rPr>
          <w:rFonts w:eastAsia="Cambria" w:cs="Times New Roman"/>
          <w:szCs w:val="22"/>
        </w:rPr>
        <w:instrText xml:space="preserve"> REF _Ref115105562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20</w:t>
      </w:r>
      <w:r w:rsidRPr="007B2DBD">
        <w:rPr>
          <w:rFonts w:eastAsia="Cambria" w:cs="Times New Roman"/>
          <w:szCs w:val="22"/>
        </w:rPr>
        <w:fldChar w:fldCharType="end"/>
      </w:r>
      <w:r w:rsidRPr="007B2DBD">
        <w:rPr>
          <w:rFonts w:eastAsia="Cambria" w:cs="Times New Roman"/>
          <w:szCs w:val="22"/>
        </w:rPr>
        <w:t>).  The difference between groups was not statistically significant (</w:t>
      </w:r>
      <w:r w:rsidRPr="007B2DBD">
        <w:rPr>
          <w:rFonts w:eastAsia="Cambria" w:cs="Times New Roman"/>
          <w:szCs w:val="22"/>
        </w:rPr>
        <w:fldChar w:fldCharType="begin"/>
      </w:r>
      <w:r w:rsidRPr="007B2DBD">
        <w:rPr>
          <w:rFonts w:eastAsia="Cambria" w:cs="Times New Roman"/>
          <w:szCs w:val="22"/>
        </w:rPr>
        <w:instrText xml:space="preserve"> REF _Ref115166440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21</w:t>
      </w:r>
      <w:r w:rsidRPr="007B2DBD">
        <w:rPr>
          <w:rFonts w:eastAsia="Cambria" w:cs="Times New Roman"/>
          <w:szCs w:val="22"/>
        </w:rPr>
        <w:fldChar w:fldCharType="end"/>
      </w:r>
      <w:r w:rsidRPr="007B2DBD">
        <w:rPr>
          <w:rFonts w:eastAsia="Cambria" w:cs="Times New Roman"/>
          <w:szCs w:val="22"/>
        </w:rPr>
        <w:t xml:space="preserve">).  </w:t>
      </w:r>
    </w:p>
    <w:p w14:paraId="6BB104C6" w14:textId="77777777" w:rsidR="007B2DBD" w:rsidRPr="007B2DBD" w:rsidRDefault="007B2DBD" w:rsidP="00B81729">
      <w:pPr>
        <w:pStyle w:val="TableTitle"/>
      </w:pPr>
      <w:bookmarkStart w:id="82" w:name="_Ref115105562"/>
      <w:r w:rsidRPr="007B2DBD">
        <w:t xml:space="preserve">Table </w:t>
      </w:r>
      <w:r w:rsidR="00C451A8">
        <w:fldChar w:fldCharType="begin"/>
      </w:r>
      <w:r w:rsidR="00C451A8">
        <w:instrText xml:space="preserve"> SEQ Table \* ARABIC </w:instrText>
      </w:r>
      <w:r w:rsidR="00C451A8">
        <w:fldChar w:fldCharType="separate"/>
      </w:r>
      <w:r w:rsidRPr="007B2DBD">
        <w:rPr>
          <w:noProof/>
        </w:rPr>
        <w:t>20</w:t>
      </w:r>
      <w:r w:rsidR="00C451A8">
        <w:rPr>
          <w:noProof/>
        </w:rPr>
        <w:fldChar w:fldCharType="end"/>
      </w:r>
      <w:bookmarkEnd w:id="82"/>
      <w:r w:rsidRPr="007B2DBD">
        <w:t xml:space="preserve"> Number of Progression Events (FAS), Study 19</w:t>
      </w:r>
    </w:p>
    <w:p w14:paraId="01112023"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0B042D6D" wp14:editId="0C431CB8">
            <wp:extent cx="5764002" cy="2196269"/>
            <wp:effectExtent l="0" t="0" r="825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5337" cy="2219640"/>
                    </a:xfrm>
                    <a:prstGeom prst="rect">
                      <a:avLst/>
                    </a:prstGeom>
                    <a:noFill/>
                    <a:ln>
                      <a:noFill/>
                    </a:ln>
                  </pic:spPr>
                </pic:pic>
              </a:graphicData>
            </a:graphic>
          </wp:inline>
        </w:drawing>
      </w:r>
    </w:p>
    <w:p w14:paraId="090A8A1A" w14:textId="77777777" w:rsidR="007B2DBD" w:rsidRPr="007B2DBD" w:rsidRDefault="007B2DBD" w:rsidP="00B81729">
      <w:pPr>
        <w:pStyle w:val="TableTitle"/>
      </w:pPr>
      <w:bookmarkStart w:id="83" w:name="_Ref115166440"/>
      <w:r w:rsidRPr="007B2DBD">
        <w:lastRenderedPageBreak/>
        <w:t xml:space="preserve">Table </w:t>
      </w:r>
      <w:r w:rsidR="00C451A8">
        <w:fldChar w:fldCharType="begin"/>
      </w:r>
      <w:r w:rsidR="00C451A8">
        <w:instrText xml:space="preserve"> SEQ Table \* ARABIC </w:instrText>
      </w:r>
      <w:r w:rsidR="00C451A8">
        <w:fldChar w:fldCharType="separate"/>
      </w:r>
      <w:r w:rsidRPr="007B2DBD">
        <w:rPr>
          <w:noProof/>
        </w:rPr>
        <w:t>21</w:t>
      </w:r>
      <w:r w:rsidR="00C451A8">
        <w:rPr>
          <w:noProof/>
        </w:rPr>
        <w:fldChar w:fldCharType="end"/>
      </w:r>
      <w:bookmarkEnd w:id="83"/>
      <w:r w:rsidRPr="007B2DBD">
        <w:t xml:space="preserve"> Survival analysis for death or certain disease progression (FAS), Study 19</w:t>
      </w:r>
    </w:p>
    <w:p w14:paraId="7460C170" w14:textId="77777777" w:rsidR="007B2DBD" w:rsidRPr="007B2DBD" w:rsidRDefault="007B2DBD" w:rsidP="007B2DBD">
      <w:pPr>
        <w:autoSpaceDE w:val="0"/>
        <w:autoSpaceDN w:val="0"/>
        <w:adjustRightInd w:val="0"/>
        <w:spacing w:after="0" w:line="240" w:lineRule="auto"/>
        <w:rPr>
          <w:rFonts w:eastAsia="Cambria" w:cs="Times New Roman"/>
          <w:szCs w:val="22"/>
        </w:rPr>
      </w:pPr>
      <w:r w:rsidRPr="007B2DBD">
        <w:rPr>
          <w:rFonts w:eastAsia="Cambria" w:cs="Times New Roman"/>
          <w:szCs w:val="22"/>
        </w:rPr>
        <w:t xml:space="preserve"> </w:t>
      </w:r>
      <w:r w:rsidRPr="007B2DBD">
        <w:rPr>
          <w:rFonts w:eastAsia="Cambria" w:cs="Times New Roman"/>
          <w:noProof/>
          <w:szCs w:val="22"/>
        </w:rPr>
        <w:drawing>
          <wp:inline distT="0" distB="0" distL="0" distR="0" wp14:anchorId="14BCAA32" wp14:editId="5DD78E5B">
            <wp:extent cx="5817666" cy="871671"/>
            <wp:effectExtent l="0" t="0" r="0" b="5080"/>
            <wp:docPr id="24" name="図 24"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hite rectangular object with black 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3692" cy="877069"/>
                    </a:xfrm>
                    <a:prstGeom prst="rect">
                      <a:avLst/>
                    </a:prstGeom>
                    <a:noFill/>
                    <a:ln>
                      <a:noFill/>
                    </a:ln>
                  </pic:spPr>
                </pic:pic>
              </a:graphicData>
            </a:graphic>
          </wp:inline>
        </w:drawing>
      </w:r>
    </w:p>
    <w:p w14:paraId="3EE9E1A8" w14:textId="77777777" w:rsidR="007B2DBD" w:rsidRPr="007B2DBD" w:rsidRDefault="007B2DBD" w:rsidP="007B2DBD">
      <w:pPr>
        <w:autoSpaceDE w:val="0"/>
        <w:autoSpaceDN w:val="0"/>
        <w:adjustRightInd w:val="0"/>
        <w:spacing w:after="0" w:line="240" w:lineRule="auto"/>
        <w:ind w:left="142"/>
        <w:rPr>
          <w:rFonts w:eastAsia="Cambria" w:cs="Times New Roman"/>
          <w:sz w:val="16"/>
          <w:szCs w:val="16"/>
        </w:rPr>
      </w:pPr>
      <w:r w:rsidRPr="007B2DBD">
        <w:rPr>
          <w:rFonts w:eastAsia="Cambria" w:cs="Times New Roman"/>
          <w:sz w:val="16"/>
          <w:szCs w:val="16"/>
        </w:rPr>
        <w:t>*Death, disability of independent ambulation, loss of upper limbs function, tracheotomy, use of respirator, use of tube feeding, and loss of useful speech</w:t>
      </w:r>
    </w:p>
    <w:p w14:paraId="2D82C4EC"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58D1E756" wp14:editId="07A4A47D">
            <wp:extent cx="4895850" cy="325847"/>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26329" cy="327876"/>
                    </a:xfrm>
                    <a:prstGeom prst="rect">
                      <a:avLst/>
                    </a:prstGeom>
                    <a:noFill/>
                    <a:ln>
                      <a:noFill/>
                    </a:ln>
                  </pic:spPr>
                </pic:pic>
              </a:graphicData>
            </a:graphic>
          </wp:inline>
        </w:drawing>
      </w:r>
    </w:p>
    <w:p w14:paraId="0CC951E0" w14:textId="77777777" w:rsidR="007B2DBD" w:rsidRPr="007B2DBD" w:rsidRDefault="007B2DBD" w:rsidP="007B2DBD">
      <w:pPr>
        <w:spacing w:before="120" w:line="240" w:lineRule="atLeast"/>
        <w:rPr>
          <w:rFonts w:eastAsia="Cambria" w:cs="Times New Roman"/>
          <w:bCs/>
          <w:i/>
          <w:iCs/>
          <w:szCs w:val="22"/>
        </w:rPr>
      </w:pPr>
      <w:r w:rsidRPr="007B2DBD">
        <w:rPr>
          <w:rFonts w:eastAsia="Cambria" w:cs="Times New Roman"/>
          <w:bCs/>
          <w:i/>
          <w:iCs/>
          <w:szCs w:val="22"/>
        </w:rPr>
        <w:t>ALSFRS-R by Domain</w:t>
      </w:r>
    </w:p>
    <w:p w14:paraId="2256C46F" w14:textId="77777777" w:rsidR="007B2DBD" w:rsidRPr="007B2DBD" w:rsidRDefault="007B2DBD" w:rsidP="007B2DBD">
      <w:pPr>
        <w:spacing w:before="120" w:line="240" w:lineRule="atLeast"/>
        <w:rPr>
          <w:rFonts w:eastAsia="Cambria" w:cs="Times New Roman"/>
          <w:b/>
          <w:szCs w:val="22"/>
        </w:rPr>
      </w:pPr>
      <w:r w:rsidRPr="007B2DBD">
        <w:rPr>
          <w:rFonts w:eastAsia="Cambria" w:cs="Times New Roman"/>
          <w:szCs w:val="22"/>
        </w:rPr>
        <w:t xml:space="preserve">Analyses of change in ALSFRS-R score by domain (bulbar function, limb function, and respiratory function) are shown in </w:t>
      </w:r>
      <w:r w:rsidRPr="007B2DBD">
        <w:rPr>
          <w:rFonts w:eastAsia="Cambria" w:cs="Times New Roman"/>
          <w:szCs w:val="22"/>
        </w:rPr>
        <w:fldChar w:fldCharType="begin"/>
      </w:r>
      <w:r w:rsidRPr="007B2DBD">
        <w:rPr>
          <w:rFonts w:eastAsia="Cambria" w:cs="Times New Roman"/>
          <w:szCs w:val="22"/>
        </w:rPr>
        <w:instrText xml:space="preserve"> REF _Ref115167037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22</w:t>
      </w:r>
      <w:r w:rsidRPr="007B2DBD">
        <w:rPr>
          <w:rFonts w:eastAsia="Cambria" w:cs="Times New Roman"/>
          <w:szCs w:val="22"/>
        </w:rPr>
        <w:fldChar w:fldCharType="end"/>
      </w:r>
      <w:r w:rsidRPr="007B2DBD">
        <w:rPr>
          <w:rFonts w:eastAsia="Cambria" w:cs="Times New Roman"/>
          <w:szCs w:val="22"/>
        </w:rPr>
        <w:t xml:space="preserve">, </w:t>
      </w:r>
      <w:r w:rsidRPr="007B2DBD">
        <w:rPr>
          <w:rFonts w:eastAsia="Cambria" w:cs="Times New Roman"/>
          <w:szCs w:val="22"/>
        </w:rPr>
        <w:fldChar w:fldCharType="begin"/>
      </w:r>
      <w:r w:rsidRPr="007B2DBD">
        <w:rPr>
          <w:rFonts w:eastAsia="Cambria" w:cs="Times New Roman"/>
          <w:szCs w:val="22"/>
        </w:rPr>
        <w:instrText xml:space="preserve"> REF _Ref115167038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23</w:t>
      </w:r>
      <w:r w:rsidRPr="007B2DBD">
        <w:rPr>
          <w:rFonts w:eastAsia="Cambria" w:cs="Times New Roman"/>
          <w:szCs w:val="22"/>
        </w:rPr>
        <w:fldChar w:fldCharType="end"/>
      </w:r>
      <w:r w:rsidRPr="007B2DBD">
        <w:rPr>
          <w:rFonts w:eastAsia="Cambria" w:cs="Times New Roman"/>
          <w:szCs w:val="22"/>
        </w:rPr>
        <w:t xml:space="preserve">, and </w:t>
      </w:r>
      <w:r w:rsidRPr="007B2DBD">
        <w:rPr>
          <w:rFonts w:eastAsia="Cambria" w:cs="Times New Roman"/>
          <w:szCs w:val="22"/>
        </w:rPr>
        <w:fldChar w:fldCharType="begin"/>
      </w:r>
      <w:r w:rsidRPr="007B2DBD">
        <w:rPr>
          <w:rFonts w:eastAsia="Cambria" w:cs="Times New Roman"/>
          <w:szCs w:val="22"/>
        </w:rPr>
        <w:instrText xml:space="preserve"> REF _Ref115167040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24</w:t>
      </w:r>
      <w:r w:rsidRPr="007B2DBD">
        <w:rPr>
          <w:rFonts w:eastAsia="Cambria" w:cs="Times New Roman"/>
          <w:szCs w:val="22"/>
        </w:rPr>
        <w:fldChar w:fldCharType="end"/>
      </w:r>
      <w:r w:rsidRPr="007B2DBD">
        <w:rPr>
          <w:rFonts w:eastAsia="Cambria" w:cs="Times New Roman"/>
          <w:szCs w:val="22"/>
        </w:rPr>
        <w:t>.  There was no allowance for multiplicity, so these results should be viewed as nominal.</w:t>
      </w:r>
    </w:p>
    <w:p w14:paraId="75BAA9CB" w14:textId="77777777" w:rsidR="007B2DBD" w:rsidRPr="007B2DBD" w:rsidRDefault="007B2DBD" w:rsidP="00B81729">
      <w:pPr>
        <w:pStyle w:val="TableTitle"/>
      </w:pPr>
      <w:bookmarkStart w:id="84" w:name="_Ref115167037"/>
      <w:r w:rsidRPr="007B2DBD">
        <w:t xml:space="preserve">Table </w:t>
      </w:r>
      <w:r w:rsidR="00C451A8">
        <w:fldChar w:fldCharType="begin"/>
      </w:r>
      <w:r w:rsidR="00C451A8">
        <w:instrText xml:space="preserve"> SEQ Table \* ARABIC </w:instrText>
      </w:r>
      <w:r w:rsidR="00C451A8">
        <w:fldChar w:fldCharType="separate"/>
      </w:r>
      <w:r w:rsidRPr="007B2DBD">
        <w:rPr>
          <w:noProof/>
        </w:rPr>
        <w:t>22</w:t>
      </w:r>
      <w:r w:rsidR="00C451A8">
        <w:rPr>
          <w:noProof/>
        </w:rPr>
        <w:fldChar w:fldCharType="end"/>
      </w:r>
      <w:bookmarkEnd w:id="84"/>
      <w:r w:rsidRPr="007B2DBD">
        <w:t xml:space="preserve"> Analysis of change in ALSFRS-R score (bulbar function) from baseline in Cycle 1 to the end of Cycle 6 (LOCF), FAS, Study 19</w:t>
      </w:r>
    </w:p>
    <w:p w14:paraId="1510B7ED" w14:textId="77777777" w:rsid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52470582" wp14:editId="09AB2B9D">
            <wp:extent cx="5448300" cy="1037628"/>
            <wp:effectExtent l="0" t="0" r="0" b="0"/>
            <wp:docPr id="26" name="図 26" descr="A white rectangular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white rectangular object with black text&#10;&#10;Description automatically generated with medium confidence"/>
                    <pic:cNvPicPr/>
                  </pic:nvPicPr>
                  <pic:blipFill>
                    <a:blip r:embed="rId52"/>
                    <a:stretch>
                      <a:fillRect/>
                    </a:stretch>
                  </pic:blipFill>
                  <pic:spPr>
                    <a:xfrm>
                      <a:off x="0" y="0"/>
                      <a:ext cx="5461931" cy="1040224"/>
                    </a:xfrm>
                    <a:prstGeom prst="rect">
                      <a:avLst/>
                    </a:prstGeom>
                  </pic:spPr>
                </pic:pic>
              </a:graphicData>
            </a:graphic>
          </wp:inline>
        </w:drawing>
      </w:r>
    </w:p>
    <w:p w14:paraId="3D6CB738" w14:textId="77777777" w:rsidR="007B2DBD" w:rsidRPr="007B2DBD" w:rsidRDefault="007B2DBD" w:rsidP="00B81729">
      <w:pPr>
        <w:pStyle w:val="TableTitle"/>
      </w:pPr>
      <w:bookmarkStart w:id="85" w:name="_Ref115167038"/>
      <w:r w:rsidRPr="007B2DBD">
        <w:t xml:space="preserve">Table </w:t>
      </w:r>
      <w:r w:rsidR="00C451A8">
        <w:fldChar w:fldCharType="begin"/>
      </w:r>
      <w:r w:rsidR="00C451A8">
        <w:instrText xml:space="preserve"> SEQ Table \* ARABIC </w:instrText>
      </w:r>
      <w:r w:rsidR="00C451A8">
        <w:fldChar w:fldCharType="separate"/>
      </w:r>
      <w:r w:rsidRPr="007B2DBD">
        <w:rPr>
          <w:noProof/>
        </w:rPr>
        <w:t>23</w:t>
      </w:r>
      <w:r w:rsidR="00C451A8">
        <w:rPr>
          <w:noProof/>
        </w:rPr>
        <w:fldChar w:fldCharType="end"/>
      </w:r>
      <w:bookmarkEnd w:id="85"/>
      <w:r w:rsidRPr="007B2DBD">
        <w:t xml:space="preserve"> Analysis of change in ALSFRS-R score (limb function) from baseline in Cycle 1 to the end of Cycle 6 (LOCF), FAS, Study 19</w:t>
      </w:r>
    </w:p>
    <w:p w14:paraId="0EBDBB0F" w14:textId="77777777" w:rsid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06B4E248" wp14:editId="64599921">
            <wp:extent cx="5419725" cy="1027382"/>
            <wp:effectExtent l="0" t="0" r="0" b="1905"/>
            <wp:docPr id="27" name="図 27"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rectangular box with black text&#10;&#10;Description automatically generated"/>
                    <pic:cNvPicPr/>
                  </pic:nvPicPr>
                  <pic:blipFill>
                    <a:blip r:embed="rId53"/>
                    <a:stretch>
                      <a:fillRect/>
                    </a:stretch>
                  </pic:blipFill>
                  <pic:spPr>
                    <a:xfrm>
                      <a:off x="0" y="0"/>
                      <a:ext cx="5440870" cy="1031390"/>
                    </a:xfrm>
                    <a:prstGeom prst="rect">
                      <a:avLst/>
                    </a:prstGeom>
                  </pic:spPr>
                </pic:pic>
              </a:graphicData>
            </a:graphic>
          </wp:inline>
        </w:drawing>
      </w:r>
    </w:p>
    <w:p w14:paraId="1FBDEE84" w14:textId="77777777" w:rsidR="007B2DBD" w:rsidRPr="007B2DBD" w:rsidRDefault="007B2DBD" w:rsidP="00B81729">
      <w:pPr>
        <w:pStyle w:val="TableTitle"/>
      </w:pPr>
      <w:bookmarkStart w:id="86" w:name="_Ref115167040"/>
      <w:r w:rsidRPr="007B2DBD">
        <w:t xml:space="preserve">Table </w:t>
      </w:r>
      <w:r w:rsidR="00C451A8">
        <w:fldChar w:fldCharType="begin"/>
      </w:r>
      <w:r w:rsidR="00C451A8">
        <w:instrText xml:space="preserve"> SEQ Table \* ARABIC </w:instrText>
      </w:r>
      <w:r w:rsidR="00C451A8">
        <w:fldChar w:fldCharType="separate"/>
      </w:r>
      <w:r w:rsidRPr="007B2DBD">
        <w:rPr>
          <w:noProof/>
        </w:rPr>
        <w:t>24</w:t>
      </w:r>
      <w:r w:rsidR="00C451A8">
        <w:rPr>
          <w:noProof/>
        </w:rPr>
        <w:fldChar w:fldCharType="end"/>
      </w:r>
      <w:bookmarkEnd w:id="86"/>
      <w:r w:rsidRPr="007B2DBD">
        <w:t xml:space="preserve"> Analysis of change in ALSFRS-R score (respiratory function) from baseline in Cycle 1 to the end of Cycle 6 (LOCF), FAS, Study 19</w:t>
      </w:r>
    </w:p>
    <w:p w14:paraId="5473FD0B" w14:textId="77777777" w:rsid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5C5470EF" wp14:editId="2E7D7AE2">
            <wp:extent cx="5448300" cy="1029781"/>
            <wp:effectExtent l="0" t="0" r="0" b="0"/>
            <wp:docPr id="28" name="図 28"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white sheet with black text&#10;&#10;Description automatically generated"/>
                    <pic:cNvPicPr/>
                  </pic:nvPicPr>
                  <pic:blipFill>
                    <a:blip r:embed="rId54"/>
                    <a:stretch>
                      <a:fillRect/>
                    </a:stretch>
                  </pic:blipFill>
                  <pic:spPr>
                    <a:xfrm>
                      <a:off x="0" y="0"/>
                      <a:ext cx="5461368" cy="1032251"/>
                    </a:xfrm>
                    <a:prstGeom prst="rect">
                      <a:avLst/>
                    </a:prstGeom>
                  </pic:spPr>
                </pic:pic>
              </a:graphicData>
            </a:graphic>
          </wp:inline>
        </w:drawing>
      </w:r>
    </w:p>
    <w:p w14:paraId="00BF6697"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bCs/>
          <w:i/>
          <w:iCs/>
          <w:szCs w:val="22"/>
        </w:rPr>
        <w:t>%FVC</w:t>
      </w:r>
    </w:p>
    <w:p w14:paraId="49CF6F4B" w14:textId="5D87B346" w:rsidR="007B2DBD" w:rsidRPr="007B2DBD" w:rsidRDefault="007B2DBD" w:rsidP="007B2DBD">
      <w:pPr>
        <w:spacing w:before="120" w:line="240" w:lineRule="atLeast"/>
        <w:rPr>
          <w:rFonts w:eastAsia="Cambria" w:cs="Times New Roman"/>
          <w:szCs w:val="22"/>
        </w:rPr>
      </w:pPr>
      <w:r w:rsidRPr="007B2DBD">
        <w:rPr>
          <w:rFonts w:eastAsia="Cambria" w:cs="Times New Roman"/>
          <w:szCs w:val="22"/>
          <w:lang w:eastAsia="ja-JP"/>
        </w:rPr>
        <w:t>The mean %FVC was close to 100% in each treatment group at baseline, and then declined over the course of the study</w:t>
      </w:r>
      <w:r w:rsidR="00DF74D1">
        <w:rPr>
          <w:rFonts w:eastAsia="Cambria" w:cs="Times New Roman"/>
          <w:szCs w:val="22"/>
          <w:lang w:eastAsia="ja-JP"/>
        </w:rPr>
        <w:t xml:space="preserve">. </w:t>
      </w:r>
      <w:r w:rsidRPr="007B2DBD">
        <w:rPr>
          <w:rFonts w:eastAsia="Cambria" w:cs="Times New Roman"/>
          <w:szCs w:val="22"/>
          <w:lang w:eastAsia="ja-JP"/>
        </w:rPr>
        <w:t>There was a trend to greater decline in the placebo group, but the between-group difference did not achieve nominal significance (</w:t>
      </w:r>
      <w:r w:rsidRPr="007B2DBD">
        <w:rPr>
          <w:rFonts w:eastAsia="Cambria" w:cs="Times New Roman"/>
          <w:szCs w:val="22"/>
          <w:lang w:eastAsia="ja-JP"/>
        </w:rPr>
        <w:fldChar w:fldCharType="begin"/>
      </w:r>
      <w:r w:rsidRPr="007B2DBD">
        <w:rPr>
          <w:rFonts w:eastAsia="Cambria" w:cs="Times New Roman"/>
          <w:szCs w:val="22"/>
          <w:lang w:eastAsia="ja-JP"/>
        </w:rPr>
        <w:instrText xml:space="preserve"> REF _Ref115167757 \h </w:instrText>
      </w:r>
      <w:r w:rsidRPr="007B2DBD">
        <w:rPr>
          <w:rFonts w:eastAsia="Cambria" w:cs="Times New Roman"/>
          <w:szCs w:val="22"/>
          <w:lang w:eastAsia="ja-JP"/>
        </w:rPr>
      </w:r>
      <w:r w:rsidRPr="007B2DBD">
        <w:rPr>
          <w:rFonts w:eastAsia="Cambria" w:cs="Times New Roman"/>
          <w:szCs w:val="22"/>
          <w:lang w:eastAsia="ja-JP"/>
        </w:rPr>
        <w:fldChar w:fldCharType="separate"/>
      </w:r>
      <w:r w:rsidRPr="007B2DBD">
        <w:rPr>
          <w:rFonts w:eastAsia="Cambria" w:cs="Times New Roman"/>
          <w:szCs w:val="22"/>
        </w:rPr>
        <w:t xml:space="preserve">Table </w:t>
      </w:r>
      <w:r w:rsidRPr="007B2DBD">
        <w:rPr>
          <w:rFonts w:eastAsia="Cambria" w:cs="Times New Roman"/>
          <w:noProof/>
          <w:szCs w:val="22"/>
        </w:rPr>
        <w:t>25</w:t>
      </w:r>
      <w:r w:rsidRPr="007B2DBD">
        <w:rPr>
          <w:rFonts w:eastAsia="Cambria" w:cs="Times New Roman"/>
          <w:szCs w:val="22"/>
          <w:lang w:eastAsia="ja-JP"/>
        </w:rPr>
        <w:fldChar w:fldCharType="end"/>
      </w:r>
      <w:r w:rsidRPr="007B2DBD">
        <w:rPr>
          <w:rFonts w:eastAsia="Cambria" w:cs="Times New Roman"/>
          <w:szCs w:val="22"/>
          <w:lang w:eastAsia="ja-JP"/>
        </w:rPr>
        <w:t>).</w:t>
      </w:r>
    </w:p>
    <w:p w14:paraId="35ED722E" w14:textId="77777777" w:rsidR="007B2DBD" w:rsidRPr="007B2DBD" w:rsidRDefault="007B2DBD" w:rsidP="00B81729">
      <w:pPr>
        <w:pStyle w:val="TableTitle"/>
      </w:pPr>
      <w:bookmarkStart w:id="87" w:name="_Ref115167757"/>
      <w:r w:rsidRPr="007B2DBD">
        <w:lastRenderedPageBreak/>
        <w:t xml:space="preserve">Table </w:t>
      </w:r>
      <w:r w:rsidR="00C451A8">
        <w:fldChar w:fldCharType="begin"/>
      </w:r>
      <w:r w:rsidR="00C451A8">
        <w:instrText xml:space="preserve"> SEQ Table \* ARABIC </w:instrText>
      </w:r>
      <w:r w:rsidR="00C451A8">
        <w:fldChar w:fldCharType="separate"/>
      </w:r>
      <w:r w:rsidRPr="007B2DBD">
        <w:rPr>
          <w:noProof/>
        </w:rPr>
        <w:t>25</w:t>
      </w:r>
      <w:r w:rsidR="00C451A8">
        <w:rPr>
          <w:noProof/>
        </w:rPr>
        <w:fldChar w:fldCharType="end"/>
      </w:r>
      <w:bookmarkEnd w:id="87"/>
      <w:r w:rsidRPr="007B2DBD">
        <w:t xml:space="preserve"> Analysis of change in %FVC from baseline in Cycle 1 to the end of Cycle 6 (LOCF), FAS, Study 19</w:t>
      </w:r>
    </w:p>
    <w:p w14:paraId="71421D28" w14:textId="77777777" w:rsid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1EE005D2" wp14:editId="134C1B57">
            <wp:extent cx="5429250" cy="1017759"/>
            <wp:effectExtent l="0" t="0" r="0" b="0"/>
            <wp:docPr id="34" name="図 34" descr="A screenshot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alculator&#10;&#10;Description automatically generated"/>
                    <pic:cNvPicPr/>
                  </pic:nvPicPr>
                  <pic:blipFill>
                    <a:blip r:embed="rId55"/>
                    <a:stretch>
                      <a:fillRect/>
                    </a:stretch>
                  </pic:blipFill>
                  <pic:spPr>
                    <a:xfrm>
                      <a:off x="0" y="0"/>
                      <a:ext cx="5442929" cy="1020323"/>
                    </a:xfrm>
                    <a:prstGeom prst="rect">
                      <a:avLst/>
                    </a:prstGeom>
                  </pic:spPr>
                </pic:pic>
              </a:graphicData>
            </a:graphic>
          </wp:inline>
        </w:drawing>
      </w:r>
    </w:p>
    <w:p w14:paraId="10658E8E" w14:textId="77777777" w:rsidR="007B2DBD" w:rsidRPr="007B2DBD" w:rsidRDefault="007B2DBD" w:rsidP="007B2DBD">
      <w:pPr>
        <w:spacing w:before="120" w:line="240" w:lineRule="atLeast"/>
        <w:rPr>
          <w:rFonts w:eastAsia="Cambria" w:cs="Times New Roman"/>
          <w:i/>
          <w:iCs/>
          <w:noProof/>
          <w:szCs w:val="22"/>
          <w:lang w:eastAsia="ja-JP"/>
        </w:rPr>
      </w:pPr>
      <w:r w:rsidRPr="007B2DBD">
        <w:rPr>
          <w:rFonts w:eastAsia="Cambria" w:cs="Times New Roman"/>
          <w:i/>
          <w:iCs/>
          <w:noProof/>
          <w:szCs w:val="22"/>
          <w:lang w:eastAsia="ja-JP"/>
        </w:rPr>
        <w:t>Modified Norris Scale Score</w:t>
      </w:r>
    </w:p>
    <w:p w14:paraId="231A9D5A" w14:textId="77777777" w:rsidR="007B2DBD" w:rsidRDefault="007B2DBD" w:rsidP="007B2DBD">
      <w:pPr>
        <w:spacing w:before="120" w:line="240" w:lineRule="atLeast"/>
        <w:rPr>
          <w:rFonts w:eastAsia="Cambria" w:cs="Times New Roman"/>
          <w:szCs w:val="22"/>
          <w:lang w:eastAsia="ja-JP"/>
        </w:rPr>
      </w:pPr>
      <w:r w:rsidRPr="007B2DBD">
        <w:rPr>
          <w:rFonts w:eastAsia="Cambria" w:cs="Times New Roman"/>
          <w:noProof/>
          <w:szCs w:val="22"/>
          <w:lang w:eastAsia="ja-JP"/>
        </w:rPr>
        <w:t xml:space="preserve">This was </w:t>
      </w:r>
      <w:r w:rsidRPr="007B2DBD">
        <w:rPr>
          <w:rFonts w:eastAsia="Cambria" w:cs="Times New Roman"/>
          <w:szCs w:val="22"/>
          <w:lang w:eastAsia="ja-JP"/>
        </w:rPr>
        <w:t>examined with the Limb Norris Scale score, Bulbar Norris Scale score, and the total score (sum of the limb and bulbar scores).  Only the total score showed a nominally significant difference between treatment groups by ANOVA (</w:t>
      </w:r>
      <w:r w:rsidRPr="007B2DBD">
        <w:rPr>
          <w:rFonts w:eastAsia="Cambria" w:cs="Times New Roman"/>
          <w:szCs w:val="22"/>
          <w:lang w:eastAsia="ja-JP"/>
        </w:rPr>
        <w:fldChar w:fldCharType="begin"/>
      </w:r>
      <w:r w:rsidRPr="007B2DBD">
        <w:rPr>
          <w:rFonts w:eastAsia="Cambria" w:cs="Times New Roman"/>
          <w:szCs w:val="22"/>
          <w:lang w:eastAsia="ja-JP"/>
        </w:rPr>
        <w:instrText xml:space="preserve"> REF _Ref115171688 \h </w:instrText>
      </w:r>
      <w:r w:rsidRPr="007B2DBD">
        <w:rPr>
          <w:rFonts w:eastAsia="Cambria" w:cs="Times New Roman"/>
          <w:szCs w:val="22"/>
          <w:lang w:eastAsia="ja-JP"/>
        </w:rPr>
      </w:r>
      <w:r w:rsidRPr="007B2DBD">
        <w:rPr>
          <w:rFonts w:eastAsia="Cambria" w:cs="Times New Roman"/>
          <w:szCs w:val="22"/>
          <w:lang w:eastAsia="ja-JP"/>
        </w:rPr>
        <w:fldChar w:fldCharType="separate"/>
      </w:r>
      <w:r w:rsidRPr="007B2DBD">
        <w:rPr>
          <w:rFonts w:eastAsia="Cambria" w:cs="Times New Roman"/>
          <w:szCs w:val="22"/>
        </w:rPr>
        <w:t xml:space="preserve">Table </w:t>
      </w:r>
      <w:r w:rsidRPr="007B2DBD">
        <w:rPr>
          <w:rFonts w:eastAsia="Cambria" w:cs="Times New Roman"/>
          <w:noProof/>
          <w:szCs w:val="22"/>
        </w:rPr>
        <w:t>26</w:t>
      </w:r>
      <w:r w:rsidRPr="007B2DBD">
        <w:rPr>
          <w:rFonts w:eastAsia="Cambria" w:cs="Times New Roman"/>
          <w:szCs w:val="22"/>
          <w:lang w:eastAsia="ja-JP"/>
        </w:rPr>
        <w:fldChar w:fldCharType="end"/>
      </w:r>
      <w:r w:rsidRPr="007B2DBD">
        <w:rPr>
          <w:rFonts w:eastAsia="Cambria" w:cs="Times New Roman"/>
          <w:szCs w:val="22"/>
          <w:lang w:eastAsia="ja-JP"/>
        </w:rPr>
        <w:t>).  The ANOVA analyses for limb (</w:t>
      </w:r>
      <w:r w:rsidRPr="007B2DBD">
        <w:rPr>
          <w:rFonts w:eastAsia="Cambria" w:cs="Times New Roman"/>
          <w:szCs w:val="22"/>
          <w:lang w:eastAsia="ja-JP"/>
        </w:rPr>
        <w:fldChar w:fldCharType="begin"/>
      </w:r>
      <w:r w:rsidRPr="007B2DBD">
        <w:rPr>
          <w:rFonts w:eastAsia="Cambria" w:cs="Times New Roman"/>
          <w:szCs w:val="22"/>
          <w:lang w:eastAsia="ja-JP"/>
        </w:rPr>
        <w:instrText xml:space="preserve"> REF _Ref115171634 \h </w:instrText>
      </w:r>
      <w:r w:rsidRPr="007B2DBD">
        <w:rPr>
          <w:rFonts w:eastAsia="Cambria" w:cs="Times New Roman"/>
          <w:szCs w:val="22"/>
          <w:lang w:eastAsia="ja-JP"/>
        </w:rPr>
      </w:r>
      <w:r w:rsidRPr="007B2DBD">
        <w:rPr>
          <w:rFonts w:eastAsia="Cambria" w:cs="Times New Roman"/>
          <w:szCs w:val="22"/>
          <w:lang w:eastAsia="ja-JP"/>
        </w:rPr>
        <w:fldChar w:fldCharType="separate"/>
      </w:r>
      <w:r w:rsidRPr="007B2DBD">
        <w:rPr>
          <w:rFonts w:eastAsia="Cambria" w:cs="Times New Roman"/>
          <w:szCs w:val="22"/>
        </w:rPr>
        <w:t xml:space="preserve">Table </w:t>
      </w:r>
      <w:r w:rsidRPr="007B2DBD">
        <w:rPr>
          <w:rFonts w:eastAsia="Cambria" w:cs="Times New Roman"/>
          <w:noProof/>
          <w:szCs w:val="22"/>
        </w:rPr>
        <w:t>27</w:t>
      </w:r>
      <w:r w:rsidRPr="007B2DBD">
        <w:rPr>
          <w:rFonts w:eastAsia="Cambria" w:cs="Times New Roman"/>
          <w:szCs w:val="22"/>
          <w:lang w:eastAsia="ja-JP"/>
        </w:rPr>
        <w:fldChar w:fldCharType="end"/>
      </w:r>
      <w:r w:rsidRPr="007B2DBD">
        <w:rPr>
          <w:rFonts w:eastAsia="Cambria" w:cs="Times New Roman"/>
          <w:szCs w:val="22"/>
          <w:lang w:eastAsia="ja-JP"/>
        </w:rPr>
        <w:t>) and bulbar (</w:t>
      </w:r>
      <w:r w:rsidRPr="007B2DBD">
        <w:rPr>
          <w:rFonts w:eastAsia="Cambria" w:cs="Times New Roman"/>
          <w:szCs w:val="22"/>
          <w:lang w:eastAsia="ja-JP"/>
        </w:rPr>
        <w:fldChar w:fldCharType="begin"/>
      </w:r>
      <w:r w:rsidRPr="007B2DBD">
        <w:rPr>
          <w:rFonts w:eastAsia="Cambria" w:cs="Times New Roman"/>
          <w:szCs w:val="22"/>
          <w:lang w:eastAsia="ja-JP"/>
        </w:rPr>
        <w:instrText xml:space="preserve"> REF _Ref115171651 \h </w:instrText>
      </w:r>
      <w:r w:rsidRPr="007B2DBD">
        <w:rPr>
          <w:rFonts w:eastAsia="Cambria" w:cs="Times New Roman"/>
          <w:szCs w:val="22"/>
          <w:lang w:eastAsia="ja-JP"/>
        </w:rPr>
      </w:r>
      <w:r w:rsidRPr="007B2DBD">
        <w:rPr>
          <w:rFonts w:eastAsia="Cambria" w:cs="Times New Roman"/>
          <w:szCs w:val="22"/>
          <w:lang w:eastAsia="ja-JP"/>
        </w:rPr>
        <w:fldChar w:fldCharType="separate"/>
      </w:r>
      <w:r w:rsidRPr="007B2DBD">
        <w:rPr>
          <w:rFonts w:eastAsia="Cambria" w:cs="Times New Roman"/>
          <w:szCs w:val="22"/>
        </w:rPr>
        <w:t xml:space="preserve">Table </w:t>
      </w:r>
      <w:r w:rsidRPr="007B2DBD">
        <w:rPr>
          <w:rFonts w:eastAsia="Cambria" w:cs="Times New Roman"/>
          <w:noProof/>
          <w:szCs w:val="22"/>
        </w:rPr>
        <w:t>28</w:t>
      </w:r>
      <w:r w:rsidRPr="007B2DBD">
        <w:rPr>
          <w:rFonts w:eastAsia="Cambria" w:cs="Times New Roman"/>
          <w:szCs w:val="22"/>
          <w:lang w:eastAsia="ja-JP"/>
        </w:rPr>
        <w:fldChar w:fldCharType="end"/>
      </w:r>
      <w:r w:rsidRPr="007B2DBD">
        <w:rPr>
          <w:rFonts w:eastAsia="Cambria" w:cs="Times New Roman"/>
          <w:szCs w:val="22"/>
          <w:lang w:eastAsia="ja-JP"/>
        </w:rPr>
        <w:t>) scores showed weakly favourable trends.</w:t>
      </w:r>
    </w:p>
    <w:p w14:paraId="4F134F46" w14:textId="77777777" w:rsidR="007B2DBD" w:rsidRPr="007B2DBD" w:rsidRDefault="007B2DBD" w:rsidP="008F3C39">
      <w:pPr>
        <w:pStyle w:val="TableTitle"/>
        <w:rPr>
          <w:noProof/>
          <w:lang w:eastAsia="ja-JP"/>
        </w:rPr>
      </w:pPr>
      <w:bookmarkStart w:id="88" w:name="_Ref115171688"/>
      <w:r w:rsidRPr="007B2DBD">
        <w:t xml:space="preserve">Table </w:t>
      </w:r>
      <w:r w:rsidR="00C451A8">
        <w:fldChar w:fldCharType="begin"/>
      </w:r>
      <w:r w:rsidR="00C451A8">
        <w:instrText xml:space="preserve"> SEQ Table \* ARABIC </w:instrText>
      </w:r>
      <w:r w:rsidR="00C451A8">
        <w:fldChar w:fldCharType="separate"/>
      </w:r>
      <w:r w:rsidRPr="007B2DBD">
        <w:rPr>
          <w:noProof/>
        </w:rPr>
        <w:t>26</w:t>
      </w:r>
      <w:r w:rsidR="00C451A8">
        <w:rPr>
          <w:noProof/>
        </w:rPr>
        <w:fldChar w:fldCharType="end"/>
      </w:r>
      <w:bookmarkEnd w:id="88"/>
      <w:r w:rsidRPr="007B2DBD">
        <w:t xml:space="preserve"> Analysis of change in Modified Norris Scale Score (total) from baseline in Cycle 1 to the end of Cycle 6 (LOCF), FAS, Study 19</w:t>
      </w:r>
    </w:p>
    <w:p w14:paraId="32D51882" w14:textId="77777777" w:rsidR="007B2DBD" w:rsidRDefault="007B2DBD" w:rsidP="007B2DBD">
      <w:pPr>
        <w:spacing w:before="120" w:line="240" w:lineRule="atLeast"/>
        <w:rPr>
          <w:rFonts w:eastAsia="Cambria" w:cs="Times New Roman"/>
          <w:noProof/>
          <w:szCs w:val="22"/>
          <w:lang w:eastAsia="ja-JP"/>
        </w:rPr>
      </w:pPr>
      <w:r w:rsidRPr="007B2DBD">
        <w:rPr>
          <w:rFonts w:eastAsia="Cambria" w:cs="Times New Roman"/>
          <w:noProof/>
          <w:szCs w:val="22"/>
        </w:rPr>
        <w:drawing>
          <wp:inline distT="0" distB="0" distL="0" distR="0" wp14:anchorId="69C1881C" wp14:editId="408F7A28">
            <wp:extent cx="5731510" cy="1102360"/>
            <wp:effectExtent l="0" t="0" r="2540" b="2540"/>
            <wp:docPr id="42" name="図 42" descr="A screenshot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alculator&#10;&#10;Description automatically generated"/>
                    <pic:cNvPicPr/>
                  </pic:nvPicPr>
                  <pic:blipFill>
                    <a:blip r:embed="rId56"/>
                    <a:stretch>
                      <a:fillRect/>
                    </a:stretch>
                  </pic:blipFill>
                  <pic:spPr>
                    <a:xfrm>
                      <a:off x="0" y="0"/>
                      <a:ext cx="5731510" cy="1102360"/>
                    </a:xfrm>
                    <a:prstGeom prst="rect">
                      <a:avLst/>
                    </a:prstGeom>
                  </pic:spPr>
                </pic:pic>
              </a:graphicData>
            </a:graphic>
          </wp:inline>
        </w:drawing>
      </w:r>
    </w:p>
    <w:p w14:paraId="3419F22B" w14:textId="77777777" w:rsidR="007B2DBD" w:rsidRPr="007B2DBD" w:rsidRDefault="007B2DBD" w:rsidP="008F3C39">
      <w:pPr>
        <w:pStyle w:val="TableTitle"/>
      </w:pPr>
      <w:bookmarkStart w:id="89" w:name="_Ref115171634"/>
      <w:r w:rsidRPr="007B2DBD">
        <w:t xml:space="preserve">Table </w:t>
      </w:r>
      <w:r w:rsidR="00C451A8">
        <w:fldChar w:fldCharType="begin"/>
      </w:r>
      <w:r w:rsidR="00C451A8">
        <w:instrText xml:space="preserve"> SEQ Table \* ARABIC </w:instrText>
      </w:r>
      <w:r w:rsidR="00C451A8">
        <w:fldChar w:fldCharType="separate"/>
      </w:r>
      <w:r w:rsidRPr="007B2DBD">
        <w:rPr>
          <w:noProof/>
        </w:rPr>
        <w:t>27</w:t>
      </w:r>
      <w:r w:rsidR="00C451A8">
        <w:rPr>
          <w:noProof/>
        </w:rPr>
        <w:fldChar w:fldCharType="end"/>
      </w:r>
      <w:bookmarkEnd w:id="89"/>
      <w:r w:rsidRPr="007B2DBD">
        <w:t xml:space="preserve"> Analysis of change in Limb Norris Scale Score from baseline in Cycle 1 to the end of Cycle 6 (LOCF), FAS, Study 19</w:t>
      </w:r>
    </w:p>
    <w:p w14:paraId="626C2546" w14:textId="77777777" w:rsid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5B4E1E28" wp14:editId="5EE7C543">
            <wp:extent cx="5715000" cy="1424001"/>
            <wp:effectExtent l="0" t="0" r="0" b="5080"/>
            <wp:docPr id="37" name="図 37"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white rectangular box with black text&#10;&#10;Description automatically generated"/>
                    <pic:cNvPicPr/>
                  </pic:nvPicPr>
                  <pic:blipFill>
                    <a:blip r:embed="rId57"/>
                    <a:stretch>
                      <a:fillRect/>
                    </a:stretch>
                  </pic:blipFill>
                  <pic:spPr>
                    <a:xfrm>
                      <a:off x="0" y="0"/>
                      <a:ext cx="5727806" cy="1427192"/>
                    </a:xfrm>
                    <a:prstGeom prst="rect">
                      <a:avLst/>
                    </a:prstGeom>
                  </pic:spPr>
                </pic:pic>
              </a:graphicData>
            </a:graphic>
          </wp:inline>
        </w:drawing>
      </w:r>
    </w:p>
    <w:p w14:paraId="69DEDD79" w14:textId="77777777" w:rsidR="007B2DBD" w:rsidRPr="007B2DBD" w:rsidRDefault="007B2DBD" w:rsidP="008F3C39">
      <w:pPr>
        <w:pStyle w:val="TableTitle"/>
      </w:pPr>
      <w:bookmarkStart w:id="90" w:name="_Ref115171651"/>
      <w:r w:rsidRPr="007B2DBD">
        <w:t xml:space="preserve">Table </w:t>
      </w:r>
      <w:r w:rsidR="00C451A8">
        <w:fldChar w:fldCharType="begin"/>
      </w:r>
      <w:r w:rsidR="00C451A8">
        <w:instrText xml:space="preserve"> SEQ Table \* ARABIC </w:instrText>
      </w:r>
      <w:r w:rsidR="00C451A8">
        <w:fldChar w:fldCharType="separate"/>
      </w:r>
      <w:r w:rsidRPr="007B2DBD">
        <w:rPr>
          <w:noProof/>
        </w:rPr>
        <w:t>28</w:t>
      </w:r>
      <w:r w:rsidR="00C451A8">
        <w:rPr>
          <w:noProof/>
        </w:rPr>
        <w:fldChar w:fldCharType="end"/>
      </w:r>
      <w:bookmarkEnd w:id="90"/>
      <w:r w:rsidRPr="007B2DBD">
        <w:t xml:space="preserve"> Analysis of change in Bulbar Norris Scale Score from baseline in Cycle 1 to the end of Cycle 6 (LOCF), FAS, Study 19</w:t>
      </w:r>
    </w:p>
    <w:p w14:paraId="25E34C24" w14:textId="77777777" w:rsid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7C878848" wp14:editId="76843667">
            <wp:extent cx="5731510" cy="1068070"/>
            <wp:effectExtent l="0" t="0" r="2540" b="0"/>
            <wp:docPr id="39" name="図 39"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white rectangular box with black text&#10;&#10;Description automatically generated"/>
                    <pic:cNvPicPr/>
                  </pic:nvPicPr>
                  <pic:blipFill>
                    <a:blip r:embed="rId58"/>
                    <a:stretch>
                      <a:fillRect/>
                    </a:stretch>
                  </pic:blipFill>
                  <pic:spPr>
                    <a:xfrm>
                      <a:off x="0" y="0"/>
                      <a:ext cx="5731510" cy="1068070"/>
                    </a:xfrm>
                    <a:prstGeom prst="rect">
                      <a:avLst/>
                    </a:prstGeom>
                  </pic:spPr>
                </pic:pic>
              </a:graphicData>
            </a:graphic>
          </wp:inline>
        </w:drawing>
      </w:r>
    </w:p>
    <w:p w14:paraId="1BECCB1C" w14:textId="1E6D867A" w:rsidR="007B2DBD" w:rsidRPr="007B2DBD" w:rsidRDefault="007B2DBD" w:rsidP="007B2DBD">
      <w:pPr>
        <w:spacing w:before="120" w:line="240" w:lineRule="atLeast"/>
        <w:rPr>
          <w:rFonts w:eastAsia="Cambria" w:cs="Times New Roman"/>
          <w:bCs/>
          <w:i/>
          <w:iCs/>
          <w:szCs w:val="22"/>
        </w:rPr>
      </w:pPr>
      <w:r w:rsidRPr="007B2DBD">
        <w:rPr>
          <w:rFonts w:eastAsia="Cambria" w:cs="Times New Roman"/>
          <w:bCs/>
          <w:i/>
          <w:iCs/>
          <w:szCs w:val="22"/>
          <w:lang w:eastAsia="ja-JP"/>
        </w:rPr>
        <w:t>ALS Quality of Life Assessment (ALSAQ40)</w:t>
      </w:r>
    </w:p>
    <w:p w14:paraId="6638B654" w14:textId="248EDEE0" w:rsidR="007B2DBD" w:rsidRPr="007B2DBD" w:rsidRDefault="007B2DBD" w:rsidP="007B2DBD">
      <w:pPr>
        <w:spacing w:before="120" w:line="240" w:lineRule="atLeast"/>
        <w:rPr>
          <w:rFonts w:eastAsia="Cambria" w:cs="Times New Roman"/>
          <w:szCs w:val="22"/>
        </w:rPr>
      </w:pPr>
      <w:r w:rsidRPr="007B2DBD">
        <w:rPr>
          <w:rFonts w:eastAsia="Cambria" w:cs="Times New Roman"/>
          <w:szCs w:val="22"/>
          <w:lang w:eastAsia="ja-JP"/>
        </w:rPr>
        <w:t>The ALSAQ40 showed a nominally significant improvement in quality of life (increasing score represents worsening QoL) when analysed by ANOVA (p=0.0309</w:t>
      </w:r>
      <w:r w:rsidR="00CD7784">
        <w:rPr>
          <w:rFonts w:eastAsia="Cambria" w:cs="Times New Roman"/>
          <w:szCs w:val="22"/>
          <w:lang w:eastAsia="ja-JP"/>
        </w:rPr>
        <w:t>, Table 29</w:t>
      </w:r>
      <w:r w:rsidRPr="007B2DBD">
        <w:rPr>
          <w:rFonts w:eastAsia="Cambria" w:cs="Times New Roman"/>
          <w:szCs w:val="22"/>
          <w:lang w:eastAsia="ja-JP"/>
        </w:rPr>
        <w:t>) and by two-sample t-test (p=0.0295 after Cycle 6 or discontinuation, p=0.0401 after Cycle 6 without LOCF data).  It was unclear which items on the ALSAQ40 contributed to this finding, and whether this result is due to the same difference in motor function that was assessed with the ALSFRS-R.</w:t>
      </w:r>
    </w:p>
    <w:p w14:paraId="28B7A775" w14:textId="77777777" w:rsidR="007B2DBD" w:rsidRPr="007B2DBD" w:rsidRDefault="007B2DBD" w:rsidP="008F3C39">
      <w:pPr>
        <w:pStyle w:val="TableTitle"/>
      </w:pPr>
      <w:r w:rsidRPr="007B2DBD">
        <w:lastRenderedPageBreak/>
        <w:t xml:space="preserve">Table </w:t>
      </w:r>
      <w:r w:rsidR="00C451A8">
        <w:fldChar w:fldCharType="begin"/>
      </w:r>
      <w:r w:rsidR="00C451A8">
        <w:instrText xml:space="preserve"> SEQ Table \* ARABIC </w:instrText>
      </w:r>
      <w:r w:rsidR="00C451A8">
        <w:fldChar w:fldCharType="separate"/>
      </w:r>
      <w:r w:rsidRPr="007B2DBD">
        <w:rPr>
          <w:noProof/>
        </w:rPr>
        <w:t>29</w:t>
      </w:r>
      <w:r w:rsidR="00C451A8">
        <w:rPr>
          <w:noProof/>
        </w:rPr>
        <w:fldChar w:fldCharType="end"/>
      </w:r>
      <w:r w:rsidRPr="007B2DBD">
        <w:t xml:space="preserve"> Analysis of change in ALSAQ40 score from baseline to the end of Cycle 6 (LOCF), FAS, Study 19</w:t>
      </w:r>
    </w:p>
    <w:p w14:paraId="289FFF68" w14:textId="77777777" w:rsidR="007B2DBD" w:rsidRPr="007B2DBD" w:rsidRDefault="007B2DBD" w:rsidP="007B2DBD">
      <w:pPr>
        <w:spacing w:before="120" w:line="240" w:lineRule="atLeast"/>
        <w:rPr>
          <w:rFonts w:eastAsia="Cambria" w:cs="Times New Roman"/>
          <w:noProof/>
          <w:szCs w:val="22"/>
          <w:lang w:eastAsia="ja-JP"/>
        </w:rPr>
      </w:pPr>
      <w:r w:rsidRPr="007B2DBD">
        <w:rPr>
          <w:rFonts w:eastAsia="Cambria" w:cs="Times New Roman"/>
          <w:noProof/>
          <w:szCs w:val="22"/>
        </w:rPr>
        <w:drawing>
          <wp:inline distT="0" distB="0" distL="0" distR="0" wp14:anchorId="4927FE2F" wp14:editId="1E4F3927">
            <wp:extent cx="5731510" cy="1076325"/>
            <wp:effectExtent l="0" t="0" r="2540" b="9525"/>
            <wp:docPr id="45" name="図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pic:cNvPicPr/>
                  </pic:nvPicPr>
                  <pic:blipFill>
                    <a:blip r:embed="rId59"/>
                    <a:stretch>
                      <a:fillRect/>
                    </a:stretch>
                  </pic:blipFill>
                  <pic:spPr>
                    <a:xfrm>
                      <a:off x="0" y="0"/>
                      <a:ext cx="5731510" cy="1076325"/>
                    </a:xfrm>
                    <a:prstGeom prst="rect">
                      <a:avLst/>
                    </a:prstGeom>
                  </pic:spPr>
                </pic:pic>
              </a:graphicData>
            </a:graphic>
          </wp:inline>
        </w:drawing>
      </w:r>
    </w:p>
    <w:p w14:paraId="65CFF89A" w14:textId="77777777" w:rsidR="007B2DBD" w:rsidRPr="007B2DBD" w:rsidRDefault="007B2DBD" w:rsidP="007B2DBD">
      <w:pPr>
        <w:spacing w:before="120" w:line="240" w:lineRule="atLeast"/>
        <w:rPr>
          <w:rFonts w:eastAsia="Cambria" w:cs="Times New Roman"/>
          <w:bCs/>
          <w:i/>
          <w:iCs/>
          <w:szCs w:val="22"/>
          <w:lang w:eastAsia="ja-JP"/>
        </w:rPr>
      </w:pPr>
      <w:r w:rsidRPr="007B2DBD">
        <w:rPr>
          <w:rFonts w:eastAsia="Cambria" w:cs="Times New Roman"/>
          <w:bCs/>
          <w:i/>
          <w:iCs/>
          <w:szCs w:val="22"/>
          <w:lang w:eastAsia="ja-JP"/>
        </w:rPr>
        <w:t>Grip Strength and Pinch-Grip Strength</w:t>
      </w:r>
    </w:p>
    <w:p w14:paraId="7681210E" w14:textId="77777777" w:rsidR="007B2DBD" w:rsidRDefault="007B2DBD" w:rsidP="007B2DBD">
      <w:pPr>
        <w:spacing w:before="120" w:line="240" w:lineRule="atLeast"/>
        <w:rPr>
          <w:rFonts w:eastAsia="Cambria" w:cs="Times New Roman"/>
          <w:szCs w:val="22"/>
          <w:lang w:eastAsia="ja-JP"/>
        </w:rPr>
      </w:pPr>
      <w:r w:rsidRPr="007B2DBD">
        <w:rPr>
          <w:rFonts w:eastAsia="Cambria" w:cs="Times New Roman"/>
          <w:szCs w:val="22"/>
          <w:lang w:eastAsia="ja-JP"/>
        </w:rPr>
        <w:t>Analyses of grip strength and pinch-grip strength, measured in kg and averaged across the left and right limb, showed no benefit for these parameters (</w:t>
      </w:r>
      <w:r w:rsidRPr="007B2DBD">
        <w:rPr>
          <w:rFonts w:eastAsia="Cambria" w:cs="Times New Roman"/>
          <w:szCs w:val="22"/>
          <w:lang w:eastAsia="ja-JP"/>
        </w:rPr>
        <w:fldChar w:fldCharType="begin"/>
      </w:r>
      <w:r w:rsidRPr="007B2DBD">
        <w:rPr>
          <w:rFonts w:eastAsia="Cambria" w:cs="Times New Roman"/>
          <w:szCs w:val="22"/>
          <w:lang w:eastAsia="ja-JP"/>
        </w:rPr>
        <w:instrText xml:space="preserve"> REF _Ref115180335 \h </w:instrText>
      </w:r>
      <w:r w:rsidRPr="007B2DBD">
        <w:rPr>
          <w:rFonts w:eastAsia="Cambria" w:cs="Times New Roman"/>
          <w:szCs w:val="22"/>
          <w:lang w:eastAsia="ja-JP"/>
        </w:rPr>
      </w:r>
      <w:r w:rsidRPr="007B2DBD">
        <w:rPr>
          <w:rFonts w:eastAsia="Cambria" w:cs="Times New Roman"/>
          <w:szCs w:val="22"/>
          <w:lang w:eastAsia="ja-JP"/>
        </w:rPr>
        <w:fldChar w:fldCharType="separate"/>
      </w:r>
      <w:r w:rsidRPr="007B2DBD">
        <w:rPr>
          <w:rFonts w:eastAsia="Cambria" w:cs="Times New Roman"/>
          <w:szCs w:val="22"/>
        </w:rPr>
        <w:t xml:space="preserve">Table </w:t>
      </w:r>
      <w:r w:rsidRPr="007B2DBD">
        <w:rPr>
          <w:rFonts w:eastAsia="Cambria" w:cs="Times New Roman"/>
          <w:noProof/>
          <w:szCs w:val="22"/>
        </w:rPr>
        <w:t>30</w:t>
      </w:r>
      <w:r w:rsidRPr="007B2DBD">
        <w:rPr>
          <w:rFonts w:eastAsia="Cambria" w:cs="Times New Roman"/>
          <w:szCs w:val="22"/>
          <w:lang w:eastAsia="ja-JP"/>
        </w:rPr>
        <w:fldChar w:fldCharType="end"/>
      </w:r>
      <w:r w:rsidRPr="007B2DBD">
        <w:rPr>
          <w:rFonts w:eastAsia="Cambria" w:cs="Times New Roman"/>
          <w:szCs w:val="22"/>
          <w:lang w:eastAsia="ja-JP"/>
        </w:rPr>
        <w:t xml:space="preserve">, </w:t>
      </w:r>
      <w:r w:rsidRPr="007B2DBD">
        <w:rPr>
          <w:rFonts w:eastAsia="Cambria" w:cs="Times New Roman"/>
          <w:szCs w:val="22"/>
          <w:lang w:eastAsia="ja-JP"/>
        </w:rPr>
        <w:fldChar w:fldCharType="begin"/>
      </w:r>
      <w:r w:rsidRPr="007B2DBD">
        <w:rPr>
          <w:rFonts w:eastAsia="Cambria" w:cs="Times New Roman"/>
          <w:szCs w:val="22"/>
          <w:lang w:eastAsia="ja-JP"/>
        </w:rPr>
        <w:instrText xml:space="preserve"> REF _Ref115180336 \h </w:instrText>
      </w:r>
      <w:r w:rsidRPr="007B2DBD">
        <w:rPr>
          <w:rFonts w:eastAsia="Cambria" w:cs="Times New Roman"/>
          <w:szCs w:val="22"/>
          <w:lang w:eastAsia="ja-JP"/>
        </w:rPr>
      </w:r>
      <w:r w:rsidRPr="007B2DBD">
        <w:rPr>
          <w:rFonts w:eastAsia="Cambria" w:cs="Times New Roman"/>
          <w:szCs w:val="22"/>
          <w:lang w:eastAsia="ja-JP"/>
        </w:rPr>
        <w:fldChar w:fldCharType="separate"/>
      </w:r>
      <w:r w:rsidRPr="007B2DBD">
        <w:rPr>
          <w:rFonts w:eastAsia="Cambria" w:cs="Times New Roman"/>
          <w:szCs w:val="22"/>
        </w:rPr>
        <w:t xml:space="preserve">Table </w:t>
      </w:r>
      <w:r w:rsidRPr="007B2DBD">
        <w:rPr>
          <w:rFonts w:eastAsia="Cambria" w:cs="Times New Roman"/>
          <w:noProof/>
          <w:szCs w:val="22"/>
        </w:rPr>
        <w:t>31</w:t>
      </w:r>
      <w:r w:rsidRPr="007B2DBD">
        <w:rPr>
          <w:rFonts w:eastAsia="Cambria" w:cs="Times New Roman"/>
          <w:szCs w:val="22"/>
          <w:lang w:eastAsia="ja-JP"/>
        </w:rPr>
        <w:fldChar w:fldCharType="end"/>
      </w:r>
      <w:r w:rsidRPr="007B2DBD">
        <w:rPr>
          <w:rFonts w:eastAsia="Cambria" w:cs="Times New Roman"/>
          <w:szCs w:val="22"/>
          <w:lang w:eastAsia="ja-JP"/>
        </w:rPr>
        <w:t xml:space="preserve">).  </w:t>
      </w:r>
    </w:p>
    <w:p w14:paraId="52DE129E" w14:textId="77777777" w:rsidR="007B2DBD" w:rsidRPr="007B2DBD" w:rsidRDefault="007B2DBD" w:rsidP="008F3C39">
      <w:pPr>
        <w:pStyle w:val="TableTitle"/>
        <w:rPr>
          <w:lang w:eastAsia="ja-JP"/>
        </w:rPr>
      </w:pPr>
      <w:bookmarkStart w:id="91" w:name="_Ref115180335"/>
      <w:r w:rsidRPr="007B2DBD">
        <w:t xml:space="preserve">Table </w:t>
      </w:r>
      <w:r w:rsidR="00C451A8">
        <w:fldChar w:fldCharType="begin"/>
      </w:r>
      <w:r w:rsidR="00C451A8">
        <w:instrText xml:space="preserve"> SEQ Table \* ARABIC </w:instrText>
      </w:r>
      <w:r w:rsidR="00C451A8">
        <w:fldChar w:fldCharType="separate"/>
      </w:r>
      <w:r w:rsidRPr="007B2DBD">
        <w:rPr>
          <w:noProof/>
        </w:rPr>
        <w:t>30</w:t>
      </w:r>
      <w:r w:rsidR="00C451A8">
        <w:rPr>
          <w:noProof/>
        </w:rPr>
        <w:fldChar w:fldCharType="end"/>
      </w:r>
      <w:bookmarkEnd w:id="91"/>
      <w:r w:rsidRPr="007B2DBD">
        <w:t xml:space="preserve"> Analysis of change in grip strength (mean of the right and left hands) from baseline to the end of Cycle 6 (LOCF) (kg), FAS, Study 19</w:t>
      </w:r>
    </w:p>
    <w:p w14:paraId="2C7D0D0B" w14:textId="77777777" w:rsidR="007B2DBD" w:rsidRPr="007B2DBD" w:rsidRDefault="007B2DBD" w:rsidP="007B2DBD">
      <w:pPr>
        <w:spacing w:before="120" w:line="240" w:lineRule="atLeast"/>
        <w:rPr>
          <w:rFonts w:eastAsia="Cambria" w:cs="Times New Roman"/>
          <w:b/>
          <w:szCs w:val="22"/>
          <w:lang w:eastAsia="ja-JP"/>
        </w:rPr>
      </w:pPr>
      <w:r w:rsidRPr="007B2DBD">
        <w:rPr>
          <w:rFonts w:eastAsia="Cambria" w:cs="Times New Roman"/>
          <w:noProof/>
          <w:szCs w:val="22"/>
        </w:rPr>
        <w:drawing>
          <wp:inline distT="0" distB="0" distL="0" distR="0" wp14:anchorId="60504C1B" wp14:editId="038497D5">
            <wp:extent cx="5676900" cy="1057275"/>
            <wp:effectExtent l="0" t="0" r="0" b="9525"/>
            <wp:docPr id="50" name="図 50"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white rectangular object with black text&#10;&#10;Description automatically generated"/>
                    <pic:cNvPicPr/>
                  </pic:nvPicPr>
                  <pic:blipFill>
                    <a:blip r:embed="rId60"/>
                    <a:stretch>
                      <a:fillRect/>
                    </a:stretch>
                  </pic:blipFill>
                  <pic:spPr>
                    <a:xfrm>
                      <a:off x="0" y="0"/>
                      <a:ext cx="5676900" cy="1057275"/>
                    </a:xfrm>
                    <a:prstGeom prst="rect">
                      <a:avLst/>
                    </a:prstGeom>
                  </pic:spPr>
                </pic:pic>
              </a:graphicData>
            </a:graphic>
          </wp:inline>
        </w:drawing>
      </w:r>
    </w:p>
    <w:p w14:paraId="546A2A13" w14:textId="0CBFFF8B" w:rsidR="007B2DBD" w:rsidRPr="007B2DBD" w:rsidRDefault="007B2DBD" w:rsidP="008F3C39">
      <w:pPr>
        <w:pStyle w:val="TableTitle"/>
        <w:rPr>
          <w:lang w:eastAsia="ja-JP"/>
        </w:rPr>
      </w:pPr>
      <w:bookmarkStart w:id="92" w:name="_Ref115180336"/>
      <w:r w:rsidRPr="007B2DBD">
        <w:t xml:space="preserve">Table </w:t>
      </w:r>
      <w:r w:rsidR="00C451A8">
        <w:fldChar w:fldCharType="begin"/>
      </w:r>
      <w:r w:rsidR="00C451A8">
        <w:instrText xml:space="preserve"> SEQ Table \* ARABIC </w:instrText>
      </w:r>
      <w:r w:rsidR="00C451A8">
        <w:fldChar w:fldCharType="separate"/>
      </w:r>
      <w:r w:rsidRPr="007B2DBD">
        <w:rPr>
          <w:noProof/>
        </w:rPr>
        <w:t>31</w:t>
      </w:r>
      <w:r w:rsidR="00C451A8">
        <w:rPr>
          <w:noProof/>
        </w:rPr>
        <w:fldChar w:fldCharType="end"/>
      </w:r>
      <w:bookmarkEnd w:id="92"/>
      <w:r w:rsidRPr="007B2DBD">
        <w:t xml:space="preserve"> Analysis of change in pinch- grip strength (mean of the right and left hands) from baseline to the end of Cycle 6 (LOCF) (kg), FAS, Study 19</w:t>
      </w:r>
    </w:p>
    <w:p w14:paraId="07DCF4E5" w14:textId="77777777" w:rsidR="007B2DBD" w:rsidRPr="007B2DBD" w:rsidRDefault="007B2DBD" w:rsidP="007B2DBD">
      <w:pPr>
        <w:spacing w:before="120" w:line="240" w:lineRule="atLeast"/>
        <w:rPr>
          <w:rFonts w:eastAsia="Cambria" w:cs="Times New Roman"/>
          <w:b/>
          <w:szCs w:val="22"/>
          <w:lang w:eastAsia="ja-JP"/>
        </w:rPr>
      </w:pPr>
      <w:r w:rsidRPr="007B2DBD">
        <w:rPr>
          <w:rFonts w:eastAsia="Cambria" w:cs="Times New Roman"/>
          <w:noProof/>
          <w:szCs w:val="22"/>
        </w:rPr>
        <w:drawing>
          <wp:inline distT="0" distB="0" distL="0" distR="0" wp14:anchorId="10C168B3" wp14:editId="66DA55D8">
            <wp:extent cx="5695950" cy="1076325"/>
            <wp:effectExtent l="0" t="0" r="0" b="9525"/>
            <wp:docPr id="51" name="図 5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white sheet with black text&#10;&#10;Description automatically generated"/>
                    <pic:cNvPicPr/>
                  </pic:nvPicPr>
                  <pic:blipFill>
                    <a:blip r:embed="rId61"/>
                    <a:stretch>
                      <a:fillRect/>
                    </a:stretch>
                  </pic:blipFill>
                  <pic:spPr>
                    <a:xfrm>
                      <a:off x="0" y="0"/>
                      <a:ext cx="5695950" cy="1076325"/>
                    </a:xfrm>
                    <a:prstGeom prst="rect">
                      <a:avLst/>
                    </a:prstGeom>
                  </pic:spPr>
                </pic:pic>
              </a:graphicData>
            </a:graphic>
          </wp:inline>
        </w:drawing>
      </w:r>
    </w:p>
    <w:p w14:paraId="42ABAE70" w14:textId="046EB8CE" w:rsidR="007B2DBD" w:rsidRPr="007B2DBD" w:rsidRDefault="007B2DBD" w:rsidP="007B2DBD">
      <w:pPr>
        <w:spacing w:before="120" w:line="240" w:lineRule="atLeast"/>
        <w:rPr>
          <w:rFonts w:eastAsia="Cambria" w:cs="Times New Roman"/>
          <w:bCs/>
          <w:i/>
          <w:iCs/>
          <w:szCs w:val="22"/>
          <w:lang w:eastAsia="ja-JP"/>
        </w:rPr>
      </w:pPr>
      <w:r w:rsidRPr="007B2DBD">
        <w:rPr>
          <w:rFonts w:eastAsia="Cambria" w:cs="Times New Roman"/>
          <w:bCs/>
          <w:i/>
          <w:iCs/>
          <w:szCs w:val="22"/>
          <w:lang w:eastAsia="ja-JP"/>
        </w:rPr>
        <w:t>Japan ALS Severity classification</w:t>
      </w:r>
    </w:p>
    <w:p w14:paraId="4F4FCFD6" w14:textId="77777777" w:rsidR="007B2DBD" w:rsidRPr="007B2DBD" w:rsidRDefault="007B2DBD" w:rsidP="007B2DBD">
      <w:pPr>
        <w:spacing w:before="120" w:line="240" w:lineRule="atLeast"/>
        <w:rPr>
          <w:rFonts w:eastAsia="Cambria" w:cs="Times New Roman"/>
          <w:noProof/>
          <w:szCs w:val="22"/>
          <w:lang w:eastAsia="ja-JP"/>
        </w:rPr>
      </w:pPr>
      <w:r w:rsidRPr="007B2DBD">
        <w:rPr>
          <w:rFonts w:eastAsia="Cambria" w:cs="Times New Roman"/>
          <w:szCs w:val="22"/>
          <w:lang w:eastAsia="ja-JP"/>
        </w:rPr>
        <w:t>Japan ALS severity classification was presented in a shift table (</w:t>
      </w:r>
      <w:r w:rsidRPr="007B2DBD">
        <w:rPr>
          <w:rFonts w:eastAsia="Cambria" w:cs="Times New Roman"/>
          <w:szCs w:val="22"/>
          <w:lang w:eastAsia="ja-JP"/>
        </w:rPr>
        <w:fldChar w:fldCharType="begin"/>
      </w:r>
      <w:r w:rsidRPr="007B2DBD">
        <w:rPr>
          <w:rFonts w:eastAsia="Cambria" w:cs="Times New Roman"/>
          <w:szCs w:val="22"/>
          <w:lang w:eastAsia="ja-JP"/>
        </w:rPr>
        <w:instrText xml:space="preserve"> REF _Ref115178511 \h </w:instrText>
      </w:r>
      <w:r w:rsidRPr="007B2DBD">
        <w:rPr>
          <w:rFonts w:eastAsia="Cambria" w:cs="Times New Roman"/>
          <w:szCs w:val="22"/>
          <w:lang w:eastAsia="ja-JP"/>
        </w:rPr>
      </w:r>
      <w:r w:rsidRPr="007B2DBD">
        <w:rPr>
          <w:rFonts w:eastAsia="Cambria" w:cs="Times New Roman"/>
          <w:szCs w:val="22"/>
          <w:lang w:eastAsia="ja-JP"/>
        </w:rPr>
        <w:fldChar w:fldCharType="separate"/>
      </w:r>
      <w:r w:rsidRPr="007B2DBD">
        <w:rPr>
          <w:rFonts w:eastAsia="Cambria" w:cs="Times New Roman"/>
          <w:szCs w:val="22"/>
        </w:rPr>
        <w:t xml:space="preserve">Table </w:t>
      </w:r>
      <w:r w:rsidRPr="007B2DBD">
        <w:rPr>
          <w:rFonts w:eastAsia="Cambria" w:cs="Times New Roman"/>
          <w:noProof/>
          <w:szCs w:val="22"/>
        </w:rPr>
        <w:t>32</w:t>
      </w:r>
      <w:r w:rsidRPr="007B2DBD">
        <w:rPr>
          <w:rFonts w:eastAsia="Cambria" w:cs="Times New Roman"/>
          <w:szCs w:val="22"/>
          <w:lang w:eastAsia="ja-JP"/>
        </w:rPr>
        <w:fldChar w:fldCharType="end"/>
      </w:r>
      <w:r w:rsidRPr="007B2DBD">
        <w:rPr>
          <w:rFonts w:eastAsia="Cambria" w:cs="Times New Roman"/>
          <w:szCs w:val="22"/>
          <w:lang w:eastAsia="ja-JP"/>
        </w:rPr>
        <w:t xml:space="preserve">) showing a count of subjects according to severity grade at </w:t>
      </w:r>
      <w:r w:rsidRPr="007B2DBD">
        <w:rPr>
          <w:rFonts w:eastAsia="Cambria" w:cs="Times New Roman"/>
          <w:i/>
          <w:iCs/>
          <w:szCs w:val="22"/>
          <w:lang w:eastAsia="ja-JP"/>
        </w:rPr>
        <w:t xml:space="preserve">baseline in Cycle 1 </w:t>
      </w:r>
      <w:r w:rsidRPr="007B2DBD">
        <w:rPr>
          <w:rFonts w:eastAsia="Cambria" w:cs="Times New Roman"/>
          <w:szCs w:val="22"/>
          <w:lang w:eastAsia="ja-JP"/>
        </w:rPr>
        <w:t>and at</w:t>
      </w:r>
      <w:r w:rsidRPr="007B2DBD">
        <w:rPr>
          <w:rFonts w:eastAsia="Cambria" w:cs="Times New Roman"/>
          <w:i/>
          <w:iCs/>
          <w:szCs w:val="22"/>
          <w:lang w:eastAsia="ja-JP"/>
        </w:rPr>
        <w:t xml:space="preserve"> the</w:t>
      </w:r>
      <w:r w:rsidRPr="007B2DBD">
        <w:rPr>
          <w:rFonts w:eastAsia="Cambria" w:cs="Times New Roman"/>
          <w:szCs w:val="22"/>
          <w:lang w:eastAsia="ja-JP"/>
        </w:rPr>
        <w:t xml:space="preserve"> </w:t>
      </w:r>
      <w:r w:rsidRPr="007B2DBD">
        <w:rPr>
          <w:rFonts w:eastAsia="Cambria" w:cs="Times New Roman"/>
          <w:i/>
          <w:iCs/>
          <w:szCs w:val="22"/>
          <w:lang w:eastAsia="ja-JP"/>
        </w:rPr>
        <w:t>end of Cycle 6 (or discontinuation)</w:t>
      </w:r>
      <w:r w:rsidRPr="007B2DBD">
        <w:rPr>
          <w:rFonts w:eastAsia="Cambria" w:cs="Times New Roman"/>
          <w:szCs w:val="22"/>
          <w:lang w:eastAsia="ja-JP"/>
        </w:rPr>
        <w:t>.  No statistical analysis was performed.</w:t>
      </w:r>
    </w:p>
    <w:p w14:paraId="43E513B7" w14:textId="77777777" w:rsidR="007B2DBD" w:rsidRPr="007B2DBD" w:rsidRDefault="007B2DBD" w:rsidP="008F3C39">
      <w:pPr>
        <w:pStyle w:val="TableTitle"/>
        <w:rPr>
          <w:noProof/>
          <w:lang w:eastAsia="ja-JP"/>
        </w:rPr>
      </w:pPr>
      <w:bookmarkStart w:id="93" w:name="_Ref115178511"/>
      <w:r w:rsidRPr="007B2DBD">
        <w:t xml:space="preserve">Table </w:t>
      </w:r>
      <w:r w:rsidR="00C451A8">
        <w:fldChar w:fldCharType="begin"/>
      </w:r>
      <w:r w:rsidR="00C451A8">
        <w:instrText xml:space="preserve"> SEQ Table \* ARABIC </w:instrText>
      </w:r>
      <w:r w:rsidR="00C451A8">
        <w:fldChar w:fldCharType="separate"/>
      </w:r>
      <w:r w:rsidRPr="007B2DBD">
        <w:rPr>
          <w:noProof/>
        </w:rPr>
        <w:t>32</w:t>
      </w:r>
      <w:r w:rsidR="00C451A8">
        <w:rPr>
          <w:noProof/>
        </w:rPr>
        <w:fldChar w:fldCharType="end"/>
      </w:r>
      <w:bookmarkEnd w:id="93"/>
      <w:r w:rsidRPr="007B2DBD">
        <w:t xml:space="preserve"> Shifts in the Japan ALS Severity classification (FAS), Study 19</w:t>
      </w:r>
    </w:p>
    <w:p w14:paraId="46323E8E" w14:textId="77777777" w:rsidR="007B2DBD" w:rsidRPr="007B2DBD" w:rsidRDefault="007B2DBD" w:rsidP="007B2DBD">
      <w:pPr>
        <w:spacing w:before="120" w:line="240" w:lineRule="atLeast"/>
        <w:rPr>
          <w:rFonts w:eastAsia="Cambria" w:cs="Times New Roman"/>
          <w:noProof/>
          <w:szCs w:val="22"/>
          <w:lang w:eastAsia="ja-JP"/>
        </w:rPr>
      </w:pPr>
      <w:r w:rsidRPr="007B2DBD">
        <w:rPr>
          <w:rFonts w:eastAsia="Cambria" w:cs="Times New Roman"/>
          <w:noProof/>
          <w:szCs w:val="22"/>
          <w:lang w:eastAsia="ja-JP"/>
        </w:rPr>
        <w:drawing>
          <wp:inline distT="0" distB="0" distL="0" distR="0" wp14:anchorId="611C2FDC" wp14:editId="1164F672">
            <wp:extent cx="5731510" cy="2085340"/>
            <wp:effectExtent l="0" t="0" r="2540" b="0"/>
            <wp:docPr id="49" name="図 49" descr="A table of numbers and a peri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table of numbers and a period&#10;&#10;Description automatically generated with medium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2085340"/>
                    </a:xfrm>
                    <a:prstGeom prst="rect">
                      <a:avLst/>
                    </a:prstGeom>
                    <a:noFill/>
                    <a:ln>
                      <a:noFill/>
                    </a:ln>
                  </pic:spPr>
                </pic:pic>
              </a:graphicData>
            </a:graphic>
          </wp:inline>
        </w:drawing>
      </w:r>
    </w:p>
    <w:p w14:paraId="7C20CF1B" w14:textId="7743A29D"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szCs w:val="22"/>
          <w:lang w:eastAsia="ja-JP"/>
        </w:rPr>
        <w:t xml:space="preserve">Subgroup analyses of the primary endpoint were performed based on the following factors: Sex, Age, Disease duration (&lt;1 year or ≥1 year), Initial symptom (bulbar vs limb symptoms), El Escorial revised Airlie House diagnostic criteria, Japan ALS severity classification, </w:t>
      </w:r>
      <w:r w:rsidR="009F60BC">
        <w:rPr>
          <w:rFonts w:eastAsia="Cambria" w:cs="Times New Roman"/>
          <w:szCs w:val="22"/>
          <w:lang w:eastAsia="ja-JP"/>
        </w:rPr>
        <w:t>c</w:t>
      </w:r>
      <w:r w:rsidRPr="007B2DBD">
        <w:rPr>
          <w:rFonts w:eastAsia="Cambria" w:cs="Times New Roman"/>
          <w:szCs w:val="22"/>
          <w:lang w:eastAsia="ja-JP"/>
        </w:rPr>
        <w:t xml:space="preserve">oncomitant </w:t>
      </w:r>
      <w:r w:rsidRPr="007B2DBD">
        <w:rPr>
          <w:rFonts w:eastAsia="Cambria" w:cs="Times New Roman"/>
          <w:szCs w:val="22"/>
          <w:lang w:eastAsia="ja-JP"/>
        </w:rPr>
        <w:lastRenderedPageBreak/>
        <w:t xml:space="preserve">riluzole, </w:t>
      </w:r>
      <w:r w:rsidR="009F60BC">
        <w:rPr>
          <w:rFonts w:eastAsia="Cambria" w:cs="Times New Roman"/>
          <w:szCs w:val="22"/>
          <w:lang w:eastAsia="ja-JP"/>
        </w:rPr>
        <w:t>c</w:t>
      </w:r>
      <w:r w:rsidRPr="007B2DBD">
        <w:rPr>
          <w:rFonts w:eastAsia="Cambria" w:cs="Times New Roman"/>
          <w:szCs w:val="22"/>
          <w:lang w:eastAsia="ja-JP"/>
        </w:rPr>
        <w:t xml:space="preserve">omplications (presence of ALS complications at baseline), and </w:t>
      </w:r>
      <w:r w:rsidR="009F60BC">
        <w:rPr>
          <w:rFonts w:eastAsia="Cambria" w:cs="Times New Roman"/>
          <w:szCs w:val="22"/>
          <w:lang w:eastAsia="ja-JP"/>
        </w:rPr>
        <w:t>c</w:t>
      </w:r>
      <w:r w:rsidRPr="007B2DBD">
        <w:rPr>
          <w:rFonts w:eastAsia="Cambria" w:cs="Times New Roman"/>
          <w:szCs w:val="22"/>
          <w:lang w:eastAsia="ja-JP"/>
        </w:rPr>
        <w:t>hange in ALSFRS-R score during the pre-observation period (</w:t>
      </w:r>
      <w:r w:rsidRPr="007B2DBD">
        <w:rPr>
          <w:rFonts w:eastAsia="Cambria" w:cs="Times New Roman"/>
          <w:szCs w:val="22"/>
          <w:lang w:eastAsia="ja-JP"/>
        </w:rPr>
        <w:fldChar w:fldCharType="begin"/>
      </w:r>
      <w:r w:rsidRPr="007B2DBD">
        <w:rPr>
          <w:rFonts w:eastAsia="Cambria" w:cs="Times New Roman"/>
          <w:szCs w:val="22"/>
          <w:lang w:eastAsia="ja-JP"/>
        </w:rPr>
        <w:instrText xml:space="preserve"> REF _Ref115776999 \h </w:instrText>
      </w:r>
      <w:r w:rsidRPr="007B2DBD">
        <w:rPr>
          <w:rFonts w:eastAsia="Cambria" w:cs="Times New Roman"/>
          <w:szCs w:val="22"/>
          <w:lang w:eastAsia="ja-JP"/>
        </w:rPr>
      </w:r>
      <w:r w:rsidRPr="007B2DBD">
        <w:rPr>
          <w:rFonts w:eastAsia="Cambria" w:cs="Times New Roman"/>
          <w:szCs w:val="22"/>
          <w:lang w:eastAsia="ja-JP"/>
        </w:rPr>
        <w:fldChar w:fldCharType="separate"/>
      </w:r>
      <w:r w:rsidRPr="007B2DBD">
        <w:rPr>
          <w:rFonts w:eastAsia="Cambria" w:cs="Times New Roman"/>
          <w:szCs w:val="22"/>
        </w:rPr>
        <w:t xml:space="preserve">Table </w:t>
      </w:r>
      <w:r w:rsidRPr="007B2DBD">
        <w:rPr>
          <w:rFonts w:eastAsia="Cambria" w:cs="Times New Roman"/>
          <w:noProof/>
          <w:szCs w:val="22"/>
        </w:rPr>
        <w:t>33</w:t>
      </w:r>
      <w:r w:rsidRPr="007B2DBD">
        <w:rPr>
          <w:rFonts w:eastAsia="Cambria" w:cs="Times New Roman"/>
          <w:szCs w:val="22"/>
          <w:lang w:eastAsia="ja-JP"/>
        </w:rPr>
        <w:fldChar w:fldCharType="end"/>
      </w:r>
      <w:r w:rsidRPr="007B2DBD">
        <w:rPr>
          <w:rFonts w:eastAsia="Cambria" w:cs="Times New Roman"/>
          <w:szCs w:val="22"/>
          <w:lang w:eastAsia="ja-JP"/>
        </w:rPr>
        <w:t>).  Nominal significance was shown across subgroups defined by sex, age, disease duration, and disease severity.  These subgroup findings partially offset the concerns with the numerical imbalance in gender and disease severity at baseline.</w:t>
      </w:r>
    </w:p>
    <w:p w14:paraId="5EB9FE24" w14:textId="77777777" w:rsidR="007B2DBD" w:rsidRPr="007B2DBD" w:rsidRDefault="007B2DBD" w:rsidP="008F3C39">
      <w:pPr>
        <w:pStyle w:val="TableTitle"/>
        <w:rPr>
          <w:rFonts w:eastAsia="Times New Roman"/>
        </w:rPr>
      </w:pPr>
      <w:bookmarkStart w:id="94" w:name="_Ref115776999"/>
      <w:r w:rsidRPr="007B2DBD">
        <w:t xml:space="preserve">Table </w:t>
      </w:r>
      <w:r w:rsidR="00C451A8">
        <w:fldChar w:fldCharType="begin"/>
      </w:r>
      <w:r w:rsidR="00C451A8">
        <w:instrText xml:space="preserve"> SEQ Table \* ARABIC </w:instrText>
      </w:r>
      <w:r w:rsidR="00C451A8">
        <w:fldChar w:fldCharType="separate"/>
      </w:r>
      <w:r w:rsidRPr="007B2DBD">
        <w:rPr>
          <w:noProof/>
        </w:rPr>
        <w:t>33</w:t>
      </w:r>
      <w:r w:rsidR="00C451A8">
        <w:rPr>
          <w:noProof/>
        </w:rPr>
        <w:fldChar w:fldCharType="end"/>
      </w:r>
      <w:bookmarkEnd w:id="94"/>
      <w:r w:rsidRPr="007B2DBD">
        <w:t xml:space="preserve"> Stratified analysis of ALSFRS-R score (FAS), Study 19</w:t>
      </w:r>
    </w:p>
    <w:p w14:paraId="20578C90" w14:textId="77777777"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noProof/>
          <w:szCs w:val="22"/>
          <w:lang w:eastAsia="ja-JP"/>
        </w:rPr>
        <w:drawing>
          <wp:inline distT="0" distB="0" distL="0" distR="0" wp14:anchorId="694F3FFD" wp14:editId="43B330DD">
            <wp:extent cx="7676118" cy="3703951"/>
            <wp:effectExtent l="5080" t="0" r="6350" b="6350"/>
            <wp:docPr id="66" name="図 66" descr="A table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table with numbers and letters&#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6200000">
                      <a:off x="0" y="0"/>
                      <a:ext cx="7700581" cy="3715755"/>
                    </a:xfrm>
                    <a:prstGeom prst="rect">
                      <a:avLst/>
                    </a:prstGeom>
                    <a:noFill/>
                    <a:ln>
                      <a:noFill/>
                    </a:ln>
                  </pic:spPr>
                </pic:pic>
              </a:graphicData>
            </a:graphic>
          </wp:inline>
        </w:drawing>
      </w:r>
    </w:p>
    <w:p w14:paraId="59B82FDA" w14:textId="77777777"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noProof/>
          <w:szCs w:val="22"/>
          <w:lang w:eastAsia="ja-JP"/>
        </w:rPr>
        <w:lastRenderedPageBreak/>
        <w:drawing>
          <wp:inline distT="0" distB="0" distL="0" distR="0" wp14:anchorId="3AF0FB43" wp14:editId="00115B69">
            <wp:extent cx="8931612" cy="4606988"/>
            <wp:effectExtent l="0" t="9525" r="0" b="0"/>
            <wp:docPr id="56" name="図 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16200000">
                      <a:off x="0" y="0"/>
                      <a:ext cx="8971503" cy="4627564"/>
                    </a:xfrm>
                    <a:prstGeom prst="rect">
                      <a:avLst/>
                    </a:prstGeom>
                    <a:noFill/>
                    <a:ln>
                      <a:noFill/>
                    </a:ln>
                  </pic:spPr>
                </pic:pic>
              </a:graphicData>
            </a:graphic>
          </wp:inline>
        </w:drawing>
      </w:r>
    </w:p>
    <w:p w14:paraId="0A10993D"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lang w:eastAsia="ja-JP"/>
        </w:rPr>
        <w:lastRenderedPageBreak/>
        <w:drawing>
          <wp:inline distT="0" distB="0" distL="0" distR="0" wp14:anchorId="4D929F74" wp14:editId="31B6F1CB">
            <wp:extent cx="8854197" cy="4522859"/>
            <wp:effectExtent l="0" t="6032" r="0" b="0"/>
            <wp:docPr id="67" name="図 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screenshot of a computer&#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16200000">
                      <a:off x="0" y="0"/>
                      <a:ext cx="8887335" cy="4539786"/>
                    </a:xfrm>
                    <a:prstGeom prst="rect">
                      <a:avLst/>
                    </a:prstGeom>
                    <a:noFill/>
                    <a:ln>
                      <a:noFill/>
                    </a:ln>
                  </pic:spPr>
                </pic:pic>
              </a:graphicData>
            </a:graphic>
          </wp:inline>
        </w:drawing>
      </w:r>
    </w:p>
    <w:p w14:paraId="39D360DF" w14:textId="78C248BC" w:rsidR="007B2DBD" w:rsidRPr="007B2DBD" w:rsidRDefault="007B2DBD" w:rsidP="007B2DBD">
      <w:pPr>
        <w:spacing w:before="120" w:line="240" w:lineRule="atLeast"/>
        <w:rPr>
          <w:rFonts w:eastAsia="Cambria" w:cs="Times New Roman"/>
          <w:szCs w:val="22"/>
        </w:rPr>
      </w:pPr>
      <w:r w:rsidRPr="008F3C39">
        <w:rPr>
          <w:rFonts w:eastAsia="Cambria" w:cs="Times New Roman"/>
          <w:szCs w:val="22"/>
        </w:rPr>
        <w:lastRenderedPageBreak/>
        <w:t xml:space="preserve">The </w:t>
      </w:r>
      <w:r w:rsidR="00D74D14">
        <w:rPr>
          <w:rFonts w:eastAsia="Cambria" w:cs="Times New Roman"/>
          <w:szCs w:val="22"/>
        </w:rPr>
        <w:t>a</w:t>
      </w:r>
      <w:r w:rsidRPr="008F3C39">
        <w:rPr>
          <w:rFonts w:eastAsia="Cambria" w:cs="Times New Roman"/>
          <w:i/>
          <w:iCs/>
          <w:szCs w:val="22"/>
        </w:rPr>
        <w:t>ctive treatment period</w:t>
      </w:r>
      <w:r w:rsidRPr="008F3C39">
        <w:rPr>
          <w:rFonts w:eastAsia="Cambria" w:cs="Times New Roman"/>
          <w:szCs w:val="22"/>
        </w:rPr>
        <w:t xml:space="preserve"> of Study 19 involved open-label treatment with edaravone.  All</w:t>
      </w:r>
      <w:r w:rsidRPr="007B2DBD">
        <w:rPr>
          <w:rFonts w:eastAsia="Cambria" w:cs="Times New Roman"/>
          <w:szCs w:val="22"/>
        </w:rPr>
        <w:t xml:space="preserve"> subjects who completed Cycle 6 (the double-blind period) in Study 19 were offered the opportunity to receive open-label edaravone for an additional 6 cycles (24 weeks) up to Cycle 12.  Study treatment in the Active treatment period was edaravone 60 mg/day administered by IV infusion on 10 of the first 14 days of each 4-week cycle.</w:t>
      </w:r>
    </w:p>
    <w:p w14:paraId="7D382F30" w14:textId="09CEAC9A"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58 subjects from the placebo group and 65 subjects from the edaravone group entered the</w:t>
      </w:r>
      <w:r w:rsidRPr="007B2DBD">
        <w:rPr>
          <w:rFonts w:eastAsia="Cambria" w:cs="Times New Roman"/>
          <w:i/>
          <w:iCs/>
          <w:szCs w:val="22"/>
        </w:rPr>
        <w:t xml:space="preserve"> </w:t>
      </w:r>
      <w:r w:rsidR="00555ED1">
        <w:rPr>
          <w:rFonts w:eastAsia="Cambria" w:cs="Times New Roman"/>
          <w:szCs w:val="22"/>
        </w:rPr>
        <w:t>a</w:t>
      </w:r>
      <w:r w:rsidRPr="007B2DBD">
        <w:rPr>
          <w:rFonts w:eastAsia="Cambria" w:cs="Times New Roman"/>
          <w:szCs w:val="22"/>
        </w:rPr>
        <w:t xml:space="preserve">ctive treatment period, of whom 56 and 65 subjects, respectively, were evaluable for efficacy after Cycle 7, and 37 and 51 subjects, respectively, were evaluable for efficacy after Cycle 12.  Discontinuations during the </w:t>
      </w:r>
      <w:r w:rsidR="00555ED1">
        <w:rPr>
          <w:rFonts w:eastAsia="Cambria" w:cs="Times New Roman"/>
          <w:i/>
          <w:iCs/>
          <w:szCs w:val="22"/>
        </w:rPr>
        <w:t>a</w:t>
      </w:r>
      <w:r w:rsidRPr="007B2DBD">
        <w:rPr>
          <w:rFonts w:eastAsia="Cambria" w:cs="Times New Roman"/>
          <w:i/>
          <w:iCs/>
          <w:szCs w:val="22"/>
        </w:rPr>
        <w:t>ctive treatment period</w:t>
      </w:r>
      <w:r w:rsidRPr="007B2DBD">
        <w:rPr>
          <w:rFonts w:eastAsia="Cambria" w:cs="Times New Roman"/>
          <w:szCs w:val="22"/>
        </w:rPr>
        <w:t xml:space="preserve"> were higher in the placebo-edaravone (P-E) group than the edaravone-edaravone (E-E) group (18 and 12, respectively).  </w:t>
      </w:r>
    </w:p>
    <w:p w14:paraId="6F773F05" w14:textId="61188CBA"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Efficacy in the </w:t>
      </w:r>
      <w:r w:rsidR="00555ED1">
        <w:rPr>
          <w:rFonts w:eastAsia="Cambria" w:cs="Times New Roman"/>
          <w:szCs w:val="22"/>
        </w:rPr>
        <w:t>a</w:t>
      </w:r>
      <w:r w:rsidRPr="007B2DBD">
        <w:rPr>
          <w:rFonts w:eastAsia="Cambria" w:cs="Times New Roman"/>
          <w:szCs w:val="22"/>
        </w:rPr>
        <w:t xml:space="preserve">ctive treatment period was assessed using the same efficacy variables as applied in the double-blind period, but all efficacy endpoints were exploratory as the study design prevented any formal hypothesis testing.  Interpretation of efficacy in the </w:t>
      </w:r>
      <w:r w:rsidR="00C11C38">
        <w:rPr>
          <w:rFonts w:eastAsia="Cambria" w:cs="Times New Roman"/>
          <w:szCs w:val="22"/>
        </w:rPr>
        <w:t>a</w:t>
      </w:r>
      <w:r w:rsidRPr="007B2DBD">
        <w:rPr>
          <w:rFonts w:eastAsia="Cambria" w:cs="Times New Roman"/>
          <w:szCs w:val="22"/>
        </w:rPr>
        <w:t>ctive treatment period is limited due to the lack of placebo control and the potential for bias (e.g. selection bias, withdrawal bias).</w:t>
      </w:r>
    </w:p>
    <w:p w14:paraId="4CB982F3"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The findings for ALSFRS-R over 12 treatment cycles are shown in </w:t>
      </w:r>
      <w:r w:rsidRPr="007B2DBD">
        <w:rPr>
          <w:rFonts w:eastAsia="Cambria" w:cs="Times New Roman"/>
          <w:szCs w:val="22"/>
        </w:rPr>
        <w:fldChar w:fldCharType="begin"/>
      </w:r>
      <w:r w:rsidRPr="007B2DBD">
        <w:rPr>
          <w:rFonts w:eastAsia="Cambria" w:cs="Times New Roman"/>
          <w:szCs w:val="22"/>
        </w:rPr>
        <w:instrText xml:space="preserve"> REF _Ref115187689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Figure </w:t>
      </w:r>
      <w:r w:rsidRPr="007B2DBD">
        <w:rPr>
          <w:rFonts w:eastAsia="Cambria" w:cs="Times New Roman"/>
          <w:noProof/>
          <w:szCs w:val="22"/>
        </w:rPr>
        <w:t>8</w:t>
      </w:r>
      <w:r w:rsidRPr="007B2DBD">
        <w:rPr>
          <w:rFonts w:eastAsia="Cambria" w:cs="Times New Roman"/>
          <w:szCs w:val="22"/>
        </w:rPr>
        <w:fldChar w:fldCharType="end"/>
      </w:r>
      <w:r w:rsidRPr="007B2DBD">
        <w:rPr>
          <w:rFonts w:eastAsia="Cambria" w:cs="Times New Roman"/>
          <w:szCs w:val="22"/>
        </w:rPr>
        <w:t xml:space="preserve">.  The difference between treatment groups at the end of the double-blind phase was largely maintained through to the end of Cycle 12.  The study was not designed to provide a formal statistical assessment of the effects of switching to active therapy.  The impact of the difference in discontinuations between the groups during the active treatment period remains uncertain. </w:t>
      </w:r>
    </w:p>
    <w:p w14:paraId="7CF51377" w14:textId="2C132454" w:rsidR="007B2DBD" w:rsidRPr="007B2DBD" w:rsidRDefault="007B2DBD" w:rsidP="00BC13AF">
      <w:pPr>
        <w:pStyle w:val="FigureTitle"/>
      </w:pPr>
      <w:bookmarkStart w:id="95" w:name="_Ref115187689"/>
      <w:r w:rsidRPr="007B2DBD">
        <w:t xml:space="preserve">Figure </w:t>
      </w:r>
      <w:r w:rsidR="00BC13AF">
        <w:t>9</w:t>
      </w:r>
      <w:bookmarkEnd w:id="95"/>
      <w:r w:rsidRPr="007B2DBD">
        <w:t xml:space="preserve"> Change in ALSFRS-R Score (</w:t>
      </w:r>
      <w:proofErr w:type="spellStart"/>
      <w:r w:rsidRPr="007B2DBD">
        <w:t>Mean±SD</w:t>
      </w:r>
      <w:proofErr w:type="spellEnd"/>
      <w:r w:rsidRPr="007B2DBD">
        <w:t>) by Visit up to Cycle 12 (Study 19, FAS, Observed Cases)</w:t>
      </w:r>
    </w:p>
    <w:p w14:paraId="60F8A5CE"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38C28841" wp14:editId="19F2035A">
            <wp:extent cx="5543550" cy="3126894"/>
            <wp:effectExtent l="0" t="0" r="0" b="0"/>
            <wp:docPr id="54" name="図 54" descr="A diagram of a patient's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diagram of a patient's cycle&#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44344" cy="3127342"/>
                    </a:xfrm>
                    <a:prstGeom prst="rect">
                      <a:avLst/>
                    </a:prstGeom>
                    <a:noFill/>
                    <a:ln>
                      <a:noFill/>
                    </a:ln>
                  </pic:spPr>
                </pic:pic>
              </a:graphicData>
            </a:graphic>
          </wp:inline>
        </w:drawing>
      </w:r>
    </w:p>
    <w:p w14:paraId="2CCE3359" w14:textId="6FF59C0D"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The number of events for </w:t>
      </w:r>
      <w:r w:rsidR="00842533" w:rsidRPr="002F22E2">
        <w:rPr>
          <w:rFonts w:eastAsia="Cambria" w:cs="Times New Roman"/>
          <w:i/>
          <w:iCs/>
          <w:szCs w:val="22"/>
        </w:rPr>
        <w:t>d</w:t>
      </w:r>
      <w:r w:rsidRPr="007B2DBD">
        <w:rPr>
          <w:rFonts w:eastAsia="Cambria" w:cs="Times New Roman"/>
          <w:i/>
          <w:iCs/>
          <w:szCs w:val="22"/>
        </w:rPr>
        <w:t>eath</w:t>
      </w:r>
      <w:r w:rsidRPr="007B2DBD">
        <w:rPr>
          <w:rFonts w:eastAsia="Cambria" w:cs="Times New Roman"/>
          <w:szCs w:val="22"/>
        </w:rPr>
        <w:t xml:space="preserve"> and </w:t>
      </w:r>
      <w:r w:rsidR="00842533" w:rsidRPr="002F22E2">
        <w:rPr>
          <w:rFonts w:eastAsia="Cambria" w:cs="Times New Roman"/>
          <w:i/>
          <w:iCs/>
          <w:szCs w:val="22"/>
        </w:rPr>
        <w:t>t</w:t>
      </w:r>
      <w:r w:rsidRPr="007B2DBD">
        <w:rPr>
          <w:rFonts w:eastAsia="Cambria" w:cs="Times New Roman"/>
          <w:i/>
          <w:iCs/>
          <w:szCs w:val="22"/>
        </w:rPr>
        <w:t>racheostomy/permanent assisted ventilation</w:t>
      </w:r>
      <w:r w:rsidRPr="007B2DBD">
        <w:rPr>
          <w:rFonts w:eastAsia="Cambria" w:cs="Times New Roman"/>
          <w:szCs w:val="22"/>
        </w:rPr>
        <w:t xml:space="preserve"> during the </w:t>
      </w:r>
      <w:r w:rsidR="00842533">
        <w:rPr>
          <w:rFonts w:eastAsia="Cambria" w:cs="Times New Roman"/>
          <w:szCs w:val="22"/>
        </w:rPr>
        <w:t>d</w:t>
      </w:r>
      <w:r w:rsidRPr="007B2DBD">
        <w:rPr>
          <w:rFonts w:eastAsia="Cambria" w:cs="Times New Roman"/>
          <w:szCs w:val="22"/>
        </w:rPr>
        <w:t xml:space="preserve">ouble-blind period, the </w:t>
      </w:r>
      <w:r w:rsidR="00842533">
        <w:rPr>
          <w:rFonts w:eastAsia="Cambria" w:cs="Times New Roman"/>
          <w:szCs w:val="22"/>
        </w:rPr>
        <w:t>a</w:t>
      </w:r>
      <w:r w:rsidRPr="007B2DBD">
        <w:rPr>
          <w:rFonts w:eastAsia="Cambria" w:cs="Times New Roman"/>
          <w:szCs w:val="22"/>
        </w:rPr>
        <w:t xml:space="preserve">ctive treatment period, and both periods combined are shown in </w:t>
      </w:r>
      <w:r w:rsidRPr="007B2DBD">
        <w:rPr>
          <w:rFonts w:eastAsia="Cambria" w:cs="Times New Roman"/>
          <w:szCs w:val="22"/>
        </w:rPr>
        <w:fldChar w:fldCharType="begin"/>
      </w:r>
      <w:r w:rsidRPr="007B2DBD">
        <w:rPr>
          <w:rFonts w:eastAsia="Cambria" w:cs="Times New Roman"/>
          <w:szCs w:val="22"/>
        </w:rPr>
        <w:instrText xml:space="preserve"> REF _Ref116386695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34</w:t>
      </w:r>
      <w:r w:rsidRPr="007B2DBD">
        <w:rPr>
          <w:rFonts w:eastAsia="Cambria" w:cs="Times New Roman"/>
          <w:szCs w:val="22"/>
        </w:rPr>
        <w:fldChar w:fldCharType="end"/>
      </w:r>
      <w:r w:rsidRPr="007B2DBD">
        <w:rPr>
          <w:rFonts w:eastAsia="Cambria" w:cs="Times New Roman"/>
          <w:szCs w:val="22"/>
        </w:rPr>
        <w:t>.</w:t>
      </w:r>
    </w:p>
    <w:p w14:paraId="7D94A4E3" w14:textId="77777777" w:rsidR="007B2DBD" w:rsidRPr="007B2DBD" w:rsidRDefault="007B2DBD" w:rsidP="008F3C39">
      <w:pPr>
        <w:pStyle w:val="TableTitle"/>
        <w:rPr>
          <w:rFonts w:eastAsia="Times New Roman"/>
          <w:lang w:eastAsia="ja-JP"/>
        </w:rPr>
      </w:pPr>
      <w:bookmarkStart w:id="96" w:name="_Ref116386695"/>
      <w:r w:rsidRPr="007B2DBD">
        <w:lastRenderedPageBreak/>
        <w:t xml:space="preserve">Table </w:t>
      </w:r>
      <w:r w:rsidR="00C451A8">
        <w:fldChar w:fldCharType="begin"/>
      </w:r>
      <w:r w:rsidR="00C451A8">
        <w:instrText xml:space="preserve"> SEQ Table \* ARABIC </w:instrText>
      </w:r>
      <w:r w:rsidR="00C451A8">
        <w:fldChar w:fldCharType="separate"/>
      </w:r>
      <w:r w:rsidRPr="007B2DBD">
        <w:rPr>
          <w:noProof/>
        </w:rPr>
        <w:t>34</w:t>
      </w:r>
      <w:r w:rsidR="00C451A8">
        <w:rPr>
          <w:noProof/>
        </w:rPr>
        <w:fldChar w:fldCharType="end"/>
      </w:r>
      <w:bookmarkEnd w:id="96"/>
      <w:r w:rsidRPr="007B2DBD">
        <w:t xml:space="preserve"> Number of events for “Death” and “Tracheostomy/permanent assisted ventilation or death” for the double-blind period and open-label extension period of Study 19 (MCI186-19 FAS)</w:t>
      </w:r>
    </w:p>
    <w:p w14:paraId="4A868436"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lang w:eastAsia="ja-JP"/>
        </w:rPr>
        <w:drawing>
          <wp:inline distT="0" distB="0" distL="0" distR="0" wp14:anchorId="74775016" wp14:editId="07A2289B">
            <wp:extent cx="5563828" cy="2939753"/>
            <wp:effectExtent l="0" t="0" r="0" b="0"/>
            <wp:docPr id="68" name="図 68"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table with numbers and text&#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0063" cy="2948331"/>
                    </a:xfrm>
                    <a:prstGeom prst="rect">
                      <a:avLst/>
                    </a:prstGeom>
                    <a:noFill/>
                    <a:ln>
                      <a:noFill/>
                    </a:ln>
                  </pic:spPr>
                </pic:pic>
              </a:graphicData>
            </a:graphic>
          </wp:inline>
        </w:drawing>
      </w:r>
    </w:p>
    <w:p w14:paraId="5DBC7DB9" w14:textId="3C7084ED" w:rsidR="007B2DBD" w:rsidRPr="007B2DBD" w:rsidRDefault="007B2DBD" w:rsidP="007B2DBD">
      <w:pPr>
        <w:keepNext/>
        <w:keepLines/>
        <w:spacing w:before="120" w:line="220" w:lineRule="atLeast"/>
        <w:outlineLvl w:val="4"/>
        <w:rPr>
          <w:rFonts w:eastAsia="Times New Roman" w:cs="Times New Roman"/>
          <w:b/>
          <w:bCs/>
          <w:i/>
          <w:color w:val="001523"/>
          <w:szCs w:val="21"/>
        </w:rPr>
      </w:pPr>
      <w:r w:rsidRPr="007B2DBD">
        <w:rPr>
          <w:rFonts w:eastAsia="Times New Roman" w:cs="Times New Roman"/>
          <w:b/>
          <w:bCs/>
          <w:i/>
          <w:color w:val="001523"/>
          <w:szCs w:val="21"/>
        </w:rPr>
        <w:t>Study MCI186-17 (Study 17)</w:t>
      </w:r>
    </w:p>
    <w:p w14:paraId="23301B5E" w14:textId="29F7C5E6"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Study 17 was presented as a separate clinical study report, but it was an extension study of Study 16.  The study objectives were “to investigate the sustainability of effects of edaravone as well as its long-term efficacy and safety by administering edaravone 60 mg or matching placebo once daily in a double-blind, parallel-group comparison in patients who have completed Study 16 In addition, to collect information when edaravone administration is resumed following placebo administration."  It was conducted in multiple centres in Japan between 8 May 2006 and 12 May 2009.</w:t>
      </w:r>
    </w:p>
    <w:p w14:paraId="0796B3FA"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All subjects who completed Study 16 without meeting discontinuation criteria were eligible to enter Study 17.  Study 17 used a double-blind, placebo-controlled design in which placebo recipients from Study 16 were allocated to edaravone, and edaravone recipients from Study 16 were randomised on a 1:1 basis to continue edaravone or change to placebo (</w:t>
      </w:r>
      <w:r w:rsidRPr="007B2DBD">
        <w:rPr>
          <w:rFonts w:eastAsia="Cambria" w:cs="Times New Roman"/>
          <w:szCs w:val="22"/>
        </w:rPr>
        <w:fldChar w:fldCharType="begin"/>
      </w:r>
      <w:r w:rsidRPr="007B2DBD">
        <w:rPr>
          <w:rFonts w:eastAsia="Cambria" w:cs="Times New Roman"/>
          <w:szCs w:val="22"/>
        </w:rPr>
        <w:instrText xml:space="preserve"> REF _Ref115255937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35</w:t>
      </w:r>
      <w:r w:rsidRPr="007B2DBD">
        <w:rPr>
          <w:rFonts w:eastAsia="Cambria" w:cs="Times New Roman"/>
          <w:szCs w:val="22"/>
        </w:rPr>
        <w:fldChar w:fldCharType="end"/>
      </w:r>
      <w:r w:rsidRPr="007B2DBD">
        <w:rPr>
          <w:rFonts w:eastAsia="Cambria" w:cs="Times New Roman"/>
          <w:szCs w:val="22"/>
        </w:rPr>
        <w:t>).  The randomisation was done at the time of the original randomisation for Study 16.  Following six cycles of treatment in the extension study (Cycles 7-12), all subjects were allocated to receive open-label edaravone for a further three cycles (Cycles 13-15).</w:t>
      </w:r>
    </w:p>
    <w:p w14:paraId="3B833498" w14:textId="0532744B"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Study treatment from Cycle 7 to Cycle 12 was edaravone 60 mg or matching placebo administered by IV infusion on 10 days in the first 14 days of each 4-week cycle.  Study treatment from Cycle 13 to Cycle 15 for all subjects was open-label edaravone 60 mg administered by IV infusion on 10 days in the first 14 days of each 4-week cycle.  The treatment groups were named according to treatment allocation in Studies 16 and 17 (</w:t>
      </w:r>
      <w:r w:rsidRPr="007B2DBD">
        <w:rPr>
          <w:rFonts w:eastAsia="Cambria" w:cs="Times New Roman"/>
          <w:szCs w:val="22"/>
        </w:rPr>
        <w:fldChar w:fldCharType="begin"/>
      </w:r>
      <w:r w:rsidRPr="007B2DBD">
        <w:rPr>
          <w:rFonts w:eastAsia="Cambria" w:cs="Times New Roman"/>
          <w:szCs w:val="22"/>
        </w:rPr>
        <w:instrText xml:space="preserve"> REF _Ref115256199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36</w:t>
      </w:r>
      <w:r w:rsidRPr="007B2DBD">
        <w:rPr>
          <w:rFonts w:eastAsia="Cambria" w:cs="Times New Roman"/>
          <w:szCs w:val="22"/>
        </w:rPr>
        <w:fldChar w:fldCharType="end"/>
      </w:r>
      <w:r w:rsidRPr="007B2DBD">
        <w:rPr>
          <w:rFonts w:eastAsia="Cambria" w:cs="Times New Roman"/>
          <w:szCs w:val="22"/>
        </w:rPr>
        <w:t>), and are abbreviated in this report as EE, EP, and PE.</w:t>
      </w:r>
    </w:p>
    <w:p w14:paraId="33857C98" w14:textId="77777777" w:rsidR="007B2DBD" w:rsidRPr="007B2DBD" w:rsidRDefault="007B2DBD" w:rsidP="008F3C39">
      <w:pPr>
        <w:pStyle w:val="TableTitle"/>
      </w:pPr>
      <w:bookmarkStart w:id="97" w:name="_Ref115255937"/>
      <w:r w:rsidRPr="007B2DBD">
        <w:t xml:space="preserve">Table </w:t>
      </w:r>
      <w:r w:rsidR="00C451A8">
        <w:fldChar w:fldCharType="begin"/>
      </w:r>
      <w:r w:rsidR="00C451A8">
        <w:instrText xml:space="preserve"> SEQ Table \* ARABIC </w:instrText>
      </w:r>
      <w:r w:rsidR="00C451A8">
        <w:fldChar w:fldCharType="separate"/>
      </w:r>
      <w:r w:rsidRPr="007B2DBD">
        <w:rPr>
          <w:noProof/>
        </w:rPr>
        <w:t>35</w:t>
      </w:r>
      <w:r w:rsidR="00C451A8">
        <w:rPr>
          <w:noProof/>
        </w:rPr>
        <w:fldChar w:fldCharType="end"/>
      </w:r>
      <w:bookmarkEnd w:id="97"/>
      <w:r w:rsidRPr="007B2DBD">
        <w:t xml:space="preserve"> Overview of the Confirmatory Study (Study 16) and the Extension Study (Study 17)</w:t>
      </w:r>
    </w:p>
    <w:p w14:paraId="230990BD"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0F96237D" wp14:editId="4674F377">
            <wp:extent cx="5717865" cy="1290415"/>
            <wp:effectExtent l="0" t="0" r="0" b="5080"/>
            <wp:docPr id="57" name="図 57" descr="A group of peopl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group of people with numbers&#10;&#10;Description automatically generated with medium confidence"/>
                    <pic:cNvPicPr/>
                  </pic:nvPicPr>
                  <pic:blipFill>
                    <a:blip r:embed="rId68"/>
                    <a:stretch>
                      <a:fillRect/>
                    </a:stretch>
                  </pic:blipFill>
                  <pic:spPr>
                    <a:xfrm>
                      <a:off x="0" y="0"/>
                      <a:ext cx="5758563" cy="1299600"/>
                    </a:xfrm>
                    <a:prstGeom prst="rect">
                      <a:avLst/>
                    </a:prstGeom>
                  </pic:spPr>
                </pic:pic>
              </a:graphicData>
            </a:graphic>
          </wp:inline>
        </w:drawing>
      </w:r>
    </w:p>
    <w:p w14:paraId="0D3FE840" w14:textId="77777777" w:rsidR="007B2DBD" w:rsidRPr="007B2DBD" w:rsidRDefault="007B2DBD" w:rsidP="008F3C39">
      <w:pPr>
        <w:pStyle w:val="TableTitle"/>
      </w:pPr>
      <w:bookmarkStart w:id="98" w:name="_Ref115256199"/>
      <w:r w:rsidRPr="007B2DBD">
        <w:lastRenderedPageBreak/>
        <w:t xml:space="preserve">Table </w:t>
      </w:r>
      <w:r w:rsidR="00C451A8">
        <w:fldChar w:fldCharType="begin"/>
      </w:r>
      <w:r w:rsidR="00C451A8">
        <w:instrText xml:space="preserve"> SEQ Table \* ARABIC </w:instrText>
      </w:r>
      <w:r w:rsidR="00C451A8">
        <w:fldChar w:fldCharType="separate"/>
      </w:r>
      <w:r w:rsidRPr="007B2DBD">
        <w:rPr>
          <w:noProof/>
        </w:rPr>
        <w:t>36</w:t>
      </w:r>
      <w:r w:rsidR="00C451A8">
        <w:rPr>
          <w:noProof/>
        </w:rPr>
        <w:fldChar w:fldCharType="end"/>
      </w:r>
      <w:bookmarkEnd w:id="98"/>
      <w:r w:rsidRPr="007B2DBD">
        <w:t xml:space="preserve"> Treatment group names</w:t>
      </w:r>
    </w:p>
    <w:p w14:paraId="67BD9F76"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51E2A46C" wp14:editId="74FDF3D9">
            <wp:extent cx="5830339" cy="1375873"/>
            <wp:effectExtent l="0" t="0" r="0" b="0"/>
            <wp:docPr id="41" name="図 41" descr="A table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table of text on a white background&#10;&#10;Description automatically generated"/>
                    <pic:cNvPicPr/>
                  </pic:nvPicPr>
                  <pic:blipFill>
                    <a:blip r:embed="rId69"/>
                    <a:stretch>
                      <a:fillRect/>
                    </a:stretch>
                  </pic:blipFill>
                  <pic:spPr>
                    <a:xfrm>
                      <a:off x="0" y="0"/>
                      <a:ext cx="5887158" cy="1389282"/>
                    </a:xfrm>
                    <a:prstGeom prst="rect">
                      <a:avLst/>
                    </a:prstGeom>
                  </pic:spPr>
                </pic:pic>
              </a:graphicData>
            </a:graphic>
          </wp:inline>
        </w:drawing>
      </w:r>
    </w:p>
    <w:p w14:paraId="709B6541" w14:textId="2BF3A7CC" w:rsidR="007B2DBD" w:rsidRPr="007B2DBD" w:rsidRDefault="007B2DBD" w:rsidP="007B2DBD">
      <w:pPr>
        <w:autoSpaceDE w:val="0"/>
        <w:autoSpaceDN w:val="0"/>
        <w:adjustRightInd w:val="0"/>
        <w:spacing w:before="120" w:line="240" w:lineRule="atLeast"/>
        <w:rPr>
          <w:rFonts w:eastAsia="Cambria" w:cs="Times New Roman"/>
          <w:szCs w:val="22"/>
        </w:rPr>
      </w:pPr>
      <w:r w:rsidRPr="007B2DBD">
        <w:rPr>
          <w:rFonts w:eastAsia="Cambria" w:cs="Times New Roman"/>
          <w:szCs w:val="22"/>
        </w:rPr>
        <w:t xml:space="preserve">The efficacy </w:t>
      </w:r>
      <w:r w:rsidR="006A4351">
        <w:rPr>
          <w:rFonts w:eastAsia="Cambria" w:cs="Times New Roman"/>
          <w:szCs w:val="22"/>
        </w:rPr>
        <w:t>endpoint</w:t>
      </w:r>
      <w:r w:rsidRPr="007B2DBD">
        <w:rPr>
          <w:rFonts w:eastAsia="Cambria" w:cs="Times New Roman"/>
          <w:szCs w:val="22"/>
        </w:rPr>
        <w:t xml:space="preserve"> was ALSFRS-R.  Other efficacy </w:t>
      </w:r>
      <w:r w:rsidR="008127E6">
        <w:rPr>
          <w:rFonts w:eastAsia="Cambria" w:cs="Times New Roman"/>
          <w:szCs w:val="22"/>
        </w:rPr>
        <w:t>endpoints</w:t>
      </w:r>
      <w:r w:rsidRPr="007B2DBD">
        <w:rPr>
          <w:rFonts w:eastAsia="Cambria" w:cs="Times New Roman"/>
          <w:szCs w:val="22"/>
        </w:rPr>
        <w:t xml:space="preserve"> </w:t>
      </w:r>
      <w:r w:rsidR="004C65AE" w:rsidRPr="007B2DBD">
        <w:rPr>
          <w:rFonts w:eastAsia="Cambria" w:cs="Times New Roman"/>
          <w:szCs w:val="22"/>
        </w:rPr>
        <w:t>were</w:t>
      </w:r>
      <w:r w:rsidRPr="007B2DBD">
        <w:rPr>
          <w:rFonts w:eastAsia="Cambria" w:cs="Times New Roman"/>
          <w:szCs w:val="22"/>
        </w:rPr>
        <w:t xml:space="preserve"> time to death or certain disease progression (disability of independent ambulation, loss of upper limbs function, tracheostomy, use of respirator, and use of tube feeding), ALSFRS-R score by domain, %FVC, Modified Norris Scale scores, ALSAQ40 scores, grip strength, pinch grip strength, and Japan ALS severity classification.</w:t>
      </w:r>
    </w:p>
    <w:p w14:paraId="14886454"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The analysis populations and statistical methods were similar to Study 16.  The primary analysis focussed on changes between baseline in Cycle 7 and end of Cycle 12 or discontinuation.  The primary comparison was between the EE and EP groups, with results in the PE group largely presented with descriptive statistics.  No correction was applied to account for multiplicity of analysis methods and secondary endpoints.  </w:t>
      </w:r>
    </w:p>
    <w:p w14:paraId="4F7DABC7" w14:textId="77777777" w:rsidR="007B2DBD" w:rsidRPr="007B2DBD" w:rsidRDefault="007B2DBD" w:rsidP="007B2DBD">
      <w:pPr>
        <w:spacing w:before="120" w:line="240" w:lineRule="atLeast"/>
        <w:rPr>
          <w:rFonts w:eastAsia="Times New Roman" w:cs="Times New Roman"/>
          <w:szCs w:val="22"/>
        </w:rPr>
      </w:pPr>
      <w:r w:rsidRPr="007B2DBD">
        <w:rPr>
          <w:rFonts w:eastAsia="Times New Roman" w:cs="Times New Roman"/>
          <w:szCs w:val="22"/>
        </w:rPr>
        <w:t xml:space="preserve">181 patients were enrolled in Study 17 (45 in the EP group, 48 in the EE group, and 88 in the PE group).  The FAS comprised 180 patients (44 in the EP group, 48 in the EE group, and 88 in the PE group).  </w:t>
      </w:r>
    </w:p>
    <w:p w14:paraId="2333D327"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Study 17 was negative for its primary endpoint, showing no significant benefit in change in ALSFRS-R from baseline in Cycle 7 to end of Cycle 12 or discontinuation (</w:t>
      </w:r>
      <w:r w:rsidRPr="007B2DBD">
        <w:rPr>
          <w:rFonts w:eastAsia="Cambria" w:cs="Times New Roman"/>
          <w:szCs w:val="22"/>
        </w:rPr>
        <w:fldChar w:fldCharType="begin"/>
      </w:r>
      <w:r w:rsidRPr="007B2DBD">
        <w:rPr>
          <w:rFonts w:eastAsia="Cambria" w:cs="Times New Roman"/>
          <w:szCs w:val="22"/>
        </w:rPr>
        <w:instrText xml:space="preserve"> REF _Ref115258681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37</w:t>
      </w:r>
      <w:r w:rsidRPr="007B2DBD">
        <w:rPr>
          <w:rFonts w:eastAsia="Cambria" w:cs="Times New Roman"/>
          <w:szCs w:val="22"/>
        </w:rPr>
        <w:fldChar w:fldCharType="end"/>
      </w:r>
      <w:r w:rsidRPr="007B2DBD">
        <w:rPr>
          <w:rFonts w:eastAsia="Cambria" w:cs="Times New Roman"/>
          <w:szCs w:val="22"/>
        </w:rPr>
        <w:t>).  The EP and EE groups showed similar declines in ALSFRS-R over the 6 cycles (</w:t>
      </w:r>
      <w:r w:rsidRPr="007B2DBD">
        <w:rPr>
          <w:rFonts w:eastAsia="Cambria" w:cs="Times New Roman"/>
          <w:szCs w:val="22"/>
        </w:rPr>
        <w:fldChar w:fldCharType="begin"/>
      </w:r>
      <w:r w:rsidRPr="007B2DBD">
        <w:rPr>
          <w:rFonts w:eastAsia="Cambria" w:cs="Times New Roman"/>
          <w:szCs w:val="22"/>
        </w:rPr>
        <w:instrText xml:space="preserve"> REF _Ref115259762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Figure </w:t>
      </w:r>
      <w:r w:rsidRPr="007B2DBD">
        <w:rPr>
          <w:rFonts w:eastAsia="Cambria" w:cs="Times New Roman"/>
          <w:noProof/>
          <w:szCs w:val="22"/>
        </w:rPr>
        <w:t>9</w:t>
      </w:r>
      <w:r w:rsidRPr="007B2DBD">
        <w:rPr>
          <w:rFonts w:eastAsia="Cambria" w:cs="Times New Roman"/>
          <w:szCs w:val="22"/>
        </w:rPr>
        <w:fldChar w:fldCharType="end"/>
      </w:r>
      <w:r w:rsidRPr="007B2DBD">
        <w:rPr>
          <w:rFonts w:eastAsia="Cambria" w:cs="Times New Roman"/>
          <w:szCs w:val="22"/>
        </w:rPr>
        <w:t>).</w:t>
      </w:r>
    </w:p>
    <w:p w14:paraId="16383B30" w14:textId="77777777" w:rsidR="007B2DBD" w:rsidRPr="007B2DBD" w:rsidRDefault="007B2DBD" w:rsidP="008F3C39">
      <w:pPr>
        <w:pStyle w:val="TableTitle"/>
      </w:pPr>
      <w:bookmarkStart w:id="99" w:name="_Ref115258681"/>
      <w:r w:rsidRPr="007B2DBD">
        <w:t xml:space="preserve">Table </w:t>
      </w:r>
      <w:r w:rsidR="00C451A8">
        <w:fldChar w:fldCharType="begin"/>
      </w:r>
      <w:r w:rsidR="00C451A8">
        <w:instrText xml:space="preserve"> SEQ Table \* ARABIC </w:instrText>
      </w:r>
      <w:r w:rsidR="00C451A8">
        <w:fldChar w:fldCharType="separate"/>
      </w:r>
      <w:r w:rsidRPr="007B2DBD">
        <w:rPr>
          <w:noProof/>
        </w:rPr>
        <w:t>37</w:t>
      </w:r>
      <w:r w:rsidR="00C451A8">
        <w:rPr>
          <w:noProof/>
        </w:rPr>
        <w:fldChar w:fldCharType="end"/>
      </w:r>
      <w:bookmarkEnd w:id="99"/>
      <w:r w:rsidRPr="007B2DBD">
        <w:t xml:space="preserve"> Analysis of change in ALSFRS-R from baseline in Cycle 7 to end of Cycle 12 (LOCF), FAS, Study 17</w:t>
      </w:r>
    </w:p>
    <w:p w14:paraId="064366E0" w14:textId="77777777" w:rsid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3C6EE54B" wp14:editId="055F3CDA">
            <wp:extent cx="5676900" cy="895350"/>
            <wp:effectExtent l="0" t="0" r="0" b="0"/>
            <wp:docPr id="79" name="図 79"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close-up of a graph&#10;&#10;Description automatically generated"/>
                    <pic:cNvPicPr/>
                  </pic:nvPicPr>
                  <pic:blipFill>
                    <a:blip r:embed="rId70"/>
                    <a:stretch>
                      <a:fillRect/>
                    </a:stretch>
                  </pic:blipFill>
                  <pic:spPr>
                    <a:xfrm>
                      <a:off x="0" y="0"/>
                      <a:ext cx="5676900" cy="895350"/>
                    </a:xfrm>
                    <a:prstGeom prst="rect">
                      <a:avLst/>
                    </a:prstGeom>
                  </pic:spPr>
                </pic:pic>
              </a:graphicData>
            </a:graphic>
          </wp:inline>
        </w:drawing>
      </w:r>
    </w:p>
    <w:p w14:paraId="62CE48F5" w14:textId="4FD0488B" w:rsidR="007B2DBD" w:rsidRPr="007B2DBD" w:rsidRDefault="007B2DBD" w:rsidP="008F3C39">
      <w:pPr>
        <w:pStyle w:val="FigureTitle"/>
        <w:rPr>
          <w:rFonts w:eastAsia="Times New Roman"/>
        </w:rPr>
      </w:pPr>
      <w:bookmarkStart w:id="100" w:name="_Ref115259762"/>
      <w:r w:rsidRPr="007B2DBD">
        <w:lastRenderedPageBreak/>
        <w:t xml:space="preserve">Figure </w:t>
      </w:r>
      <w:r w:rsidR="00BC13AF">
        <w:t>10</w:t>
      </w:r>
      <w:r w:rsidR="00C451A8">
        <w:fldChar w:fldCharType="begin"/>
      </w:r>
      <w:r w:rsidR="00C451A8">
        <w:instrText xml:space="preserve"> SEQ Figure \* ARABIC </w:instrText>
      </w:r>
      <w:r w:rsidR="00C451A8">
        <w:fldChar w:fldCharType="separate"/>
      </w:r>
      <w:r w:rsidRPr="007B2DBD">
        <w:rPr>
          <w:noProof/>
        </w:rPr>
        <w:t>9</w:t>
      </w:r>
      <w:r w:rsidR="00C451A8">
        <w:rPr>
          <w:noProof/>
        </w:rPr>
        <w:fldChar w:fldCharType="end"/>
      </w:r>
      <w:bookmarkEnd w:id="100"/>
      <w:r w:rsidRPr="007B2DBD">
        <w:t xml:space="preserve"> ALSFRS-R score (mean ± SD) (FAS), Study 17</w:t>
      </w:r>
    </w:p>
    <w:p w14:paraId="1ED1D7F1"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31AE1910" wp14:editId="6A9A78F1">
            <wp:extent cx="5720611" cy="3512321"/>
            <wp:effectExtent l="0" t="0" r="0" b="0"/>
            <wp:docPr id="52" name="図 52"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aph of a number of numbers&#10;&#10;Description automatically generated with medium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0333" cy="3530569"/>
                    </a:xfrm>
                    <a:prstGeom prst="rect">
                      <a:avLst/>
                    </a:prstGeom>
                    <a:noFill/>
                    <a:ln>
                      <a:noFill/>
                    </a:ln>
                  </pic:spPr>
                </pic:pic>
              </a:graphicData>
            </a:graphic>
          </wp:inline>
        </w:drawing>
      </w:r>
    </w:p>
    <w:p w14:paraId="7355F278" w14:textId="21E42874" w:rsidR="007B2DBD" w:rsidRPr="007B2DBD" w:rsidRDefault="007B2DBD" w:rsidP="007B2DBD">
      <w:pPr>
        <w:spacing w:before="120" w:line="240" w:lineRule="atLeast"/>
        <w:rPr>
          <w:rFonts w:eastAsia="Times New Roman" w:cs="Times New Roman"/>
          <w:szCs w:val="22"/>
        </w:rPr>
      </w:pPr>
      <w:r w:rsidRPr="007B2DBD">
        <w:rPr>
          <w:rFonts w:eastAsia="Cambria" w:cs="Times New Roman"/>
          <w:szCs w:val="22"/>
        </w:rPr>
        <w:t xml:space="preserve">As in Study 16, the </w:t>
      </w:r>
      <w:r w:rsidR="00C04BB6">
        <w:rPr>
          <w:rFonts w:eastAsia="Cambria" w:cs="Times New Roman"/>
          <w:szCs w:val="22"/>
        </w:rPr>
        <w:t>Sponsor</w:t>
      </w:r>
      <w:r w:rsidRPr="007B2DBD">
        <w:rPr>
          <w:rFonts w:eastAsia="Cambria" w:cs="Times New Roman"/>
          <w:szCs w:val="22"/>
        </w:rPr>
        <w:t xml:space="preserve"> performed an analysis in the </w:t>
      </w:r>
      <w:r w:rsidRPr="007B2DBD">
        <w:rPr>
          <w:rFonts w:eastAsia="Cambria" w:cs="Times New Roman"/>
          <w:i/>
          <w:iCs/>
          <w:szCs w:val="22"/>
        </w:rPr>
        <w:t>EESP</w:t>
      </w:r>
      <w:r w:rsidRPr="007B2DBD">
        <w:rPr>
          <w:rFonts w:eastAsia="Cambria" w:cs="Times New Roman"/>
          <w:szCs w:val="22"/>
        </w:rPr>
        <w:t xml:space="preserve"> sub-population, defined as the FAS after exclusion of patients with the following:</w:t>
      </w:r>
    </w:p>
    <w:p w14:paraId="4343CF18" w14:textId="77777777" w:rsidR="007B2DBD" w:rsidRPr="007B2DBD" w:rsidRDefault="007B2DBD" w:rsidP="00BC13AF">
      <w:pPr>
        <w:pStyle w:val="ListBullet"/>
        <w:rPr>
          <w:rFonts w:eastAsia="Times New Roman"/>
          <w:lang w:eastAsia="ja-JP"/>
        </w:rPr>
      </w:pPr>
      <w:r w:rsidRPr="007B2DBD">
        <w:rPr>
          <w:lang w:eastAsia="ja-JP"/>
        </w:rPr>
        <w:t>score of ≤1 point on any item in the ALSFRS-R at baseline in Cycle 1.</w:t>
      </w:r>
    </w:p>
    <w:p w14:paraId="1B6C9BF8" w14:textId="77777777" w:rsidR="007B2DBD" w:rsidRPr="008F3C39" w:rsidRDefault="007B2DBD" w:rsidP="00BC13AF">
      <w:pPr>
        <w:pStyle w:val="ListBullet"/>
        <w:rPr>
          <w:rFonts w:eastAsia="Times New Roman"/>
          <w:lang w:eastAsia="ja-JP"/>
        </w:rPr>
      </w:pPr>
      <w:r w:rsidRPr="007B2DBD">
        <w:rPr>
          <w:lang w:eastAsia="ja-JP"/>
        </w:rPr>
        <w:t>%FVC &lt;80% at baseline in Cycle 1.</w:t>
      </w:r>
    </w:p>
    <w:p w14:paraId="30A8412D" w14:textId="3D78F588"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The decision to use the </w:t>
      </w:r>
      <w:r w:rsidRPr="007B2DBD">
        <w:rPr>
          <w:rFonts w:eastAsia="Cambria" w:cs="Times New Roman"/>
          <w:i/>
          <w:iCs/>
          <w:szCs w:val="22"/>
        </w:rPr>
        <w:t>EESP</w:t>
      </w:r>
      <w:r w:rsidRPr="007B2DBD">
        <w:rPr>
          <w:rFonts w:eastAsia="Cambria" w:cs="Times New Roman"/>
          <w:szCs w:val="22"/>
        </w:rPr>
        <w:t xml:space="preserve"> population as an additional dataset for Study 17 was made after the results of Study 16 were available, but before final breaking of the code for Study 17.  </w:t>
      </w:r>
      <w:r w:rsidRPr="007B2DBD">
        <w:rPr>
          <w:rFonts w:eastAsia="Times New Roman" w:cs="Times New Roman"/>
          <w:szCs w:val="22"/>
        </w:rPr>
        <w:t xml:space="preserve">The </w:t>
      </w:r>
      <w:r w:rsidRPr="007B2DBD">
        <w:rPr>
          <w:rFonts w:eastAsia="Times New Roman" w:cs="Times New Roman"/>
          <w:i/>
          <w:iCs/>
          <w:szCs w:val="22"/>
        </w:rPr>
        <w:t>EESP</w:t>
      </w:r>
      <w:r w:rsidRPr="007B2DBD">
        <w:rPr>
          <w:rFonts w:eastAsia="Times New Roman" w:cs="Times New Roman"/>
          <w:szCs w:val="22"/>
        </w:rPr>
        <w:t xml:space="preserve"> comprised 96 patients (25 in the EP group, 27 in the EE group, and 44 in the PE group).  </w:t>
      </w:r>
      <w:r w:rsidRPr="007B2DBD">
        <w:rPr>
          <w:rFonts w:eastAsia="Cambria" w:cs="Times New Roman"/>
          <w:szCs w:val="22"/>
        </w:rPr>
        <w:t xml:space="preserve">The between-group difference for the primary efficacy variable in the </w:t>
      </w:r>
      <w:r w:rsidRPr="007B2DBD">
        <w:rPr>
          <w:rFonts w:eastAsia="Cambria" w:cs="Times New Roman"/>
          <w:i/>
          <w:szCs w:val="22"/>
        </w:rPr>
        <w:t>post hoc</w:t>
      </w:r>
      <w:r w:rsidRPr="007B2DBD">
        <w:rPr>
          <w:rFonts w:eastAsia="Cambria" w:cs="Times New Roman"/>
          <w:szCs w:val="22"/>
        </w:rPr>
        <w:t xml:space="preserve"> analysis of the </w:t>
      </w:r>
      <w:r w:rsidRPr="007B2DBD">
        <w:rPr>
          <w:rFonts w:eastAsia="Cambria" w:cs="Times New Roman"/>
          <w:i/>
          <w:iCs/>
          <w:szCs w:val="22"/>
        </w:rPr>
        <w:t>EESP</w:t>
      </w:r>
      <w:r w:rsidRPr="007B2DBD">
        <w:rPr>
          <w:rFonts w:eastAsia="Cambria" w:cs="Times New Roman"/>
          <w:szCs w:val="22"/>
        </w:rPr>
        <w:t xml:space="preserve"> sub-population was slightly more favourable than the FAS (LSMean 1.85 vs 1.1</w:t>
      </w:r>
      <w:r w:rsidR="00F80A0E">
        <w:rPr>
          <w:rFonts w:eastAsia="Cambria" w:cs="Times New Roman"/>
          <w:szCs w:val="22"/>
        </w:rPr>
        <w:t>6</w:t>
      </w:r>
      <w:r w:rsidRPr="007B2DBD">
        <w:rPr>
          <w:rFonts w:eastAsia="Cambria" w:cs="Times New Roman"/>
          <w:szCs w:val="22"/>
        </w:rPr>
        <w:t xml:space="preserve">, respectively) but the </w:t>
      </w:r>
      <w:r w:rsidRPr="007B2DBD">
        <w:rPr>
          <w:rFonts w:eastAsia="Cambria" w:cs="Times New Roman"/>
          <w:i/>
          <w:iCs/>
          <w:szCs w:val="22"/>
        </w:rPr>
        <w:t>EESP</w:t>
      </w:r>
      <w:r w:rsidRPr="007B2DBD">
        <w:rPr>
          <w:rFonts w:eastAsia="Cambria" w:cs="Times New Roman"/>
          <w:szCs w:val="22"/>
        </w:rPr>
        <w:t xml:space="preserve"> result still did not achieve nominal significance, even without correction for multiplicity (</w:t>
      </w:r>
      <w:r w:rsidRPr="007B2DBD">
        <w:rPr>
          <w:rFonts w:eastAsia="Cambria" w:cs="Times New Roman"/>
          <w:szCs w:val="22"/>
        </w:rPr>
        <w:fldChar w:fldCharType="begin"/>
      </w:r>
      <w:r w:rsidRPr="007B2DBD">
        <w:rPr>
          <w:rFonts w:eastAsia="Cambria" w:cs="Times New Roman"/>
          <w:szCs w:val="22"/>
        </w:rPr>
        <w:instrText xml:space="preserve"> REF _Ref115259629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38</w:t>
      </w:r>
      <w:r w:rsidRPr="007B2DBD">
        <w:rPr>
          <w:rFonts w:eastAsia="Cambria" w:cs="Times New Roman"/>
          <w:szCs w:val="22"/>
        </w:rPr>
        <w:fldChar w:fldCharType="end"/>
      </w:r>
      <w:r w:rsidRPr="007B2DBD">
        <w:rPr>
          <w:rFonts w:eastAsia="Cambria" w:cs="Times New Roman"/>
          <w:szCs w:val="22"/>
        </w:rPr>
        <w:t>).</w:t>
      </w:r>
    </w:p>
    <w:p w14:paraId="41D92B26" w14:textId="77777777" w:rsidR="007B2DBD" w:rsidRPr="007B2DBD" w:rsidRDefault="007B2DBD" w:rsidP="008F3C39">
      <w:pPr>
        <w:pStyle w:val="TableTitle"/>
      </w:pPr>
      <w:bookmarkStart w:id="101" w:name="_Ref115259629"/>
      <w:r w:rsidRPr="007B2DBD">
        <w:t xml:space="preserve">Table </w:t>
      </w:r>
      <w:r w:rsidR="00C451A8">
        <w:fldChar w:fldCharType="begin"/>
      </w:r>
      <w:r w:rsidR="00C451A8">
        <w:instrText xml:space="preserve"> SEQ Table \* ARABIC </w:instrText>
      </w:r>
      <w:r w:rsidR="00C451A8">
        <w:fldChar w:fldCharType="separate"/>
      </w:r>
      <w:r w:rsidRPr="007B2DBD">
        <w:rPr>
          <w:noProof/>
        </w:rPr>
        <w:t>38</w:t>
      </w:r>
      <w:r w:rsidR="00C451A8">
        <w:rPr>
          <w:noProof/>
        </w:rPr>
        <w:fldChar w:fldCharType="end"/>
      </w:r>
      <w:bookmarkEnd w:id="101"/>
      <w:r w:rsidRPr="007B2DBD">
        <w:t xml:space="preserve"> Change in ALSFRS-R score from Baseline, Cycle 7 to End of Cycle 12 (LOCF), </w:t>
      </w:r>
      <w:r w:rsidRPr="007B2DBD">
        <w:rPr>
          <w:i/>
          <w:iCs/>
        </w:rPr>
        <w:t>EESP</w:t>
      </w:r>
      <w:r w:rsidRPr="007B2DBD">
        <w:t>, Study 17</w:t>
      </w:r>
    </w:p>
    <w:p w14:paraId="43591570"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64C5D59D" wp14:editId="14A0D176">
            <wp:extent cx="5676900" cy="942975"/>
            <wp:effectExtent l="0" t="0" r="0" b="9525"/>
            <wp:docPr id="80" name="図 80"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white rectangular box with black text&#10;&#10;Description automatically generated"/>
                    <pic:cNvPicPr/>
                  </pic:nvPicPr>
                  <pic:blipFill>
                    <a:blip r:embed="rId72"/>
                    <a:stretch>
                      <a:fillRect/>
                    </a:stretch>
                  </pic:blipFill>
                  <pic:spPr>
                    <a:xfrm>
                      <a:off x="0" y="0"/>
                      <a:ext cx="5676900" cy="942975"/>
                    </a:xfrm>
                    <a:prstGeom prst="rect">
                      <a:avLst/>
                    </a:prstGeom>
                  </pic:spPr>
                </pic:pic>
              </a:graphicData>
            </a:graphic>
          </wp:inline>
        </w:drawing>
      </w:r>
    </w:p>
    <w:p w14:paraId="4B985236" w14:textId="647033A0"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Other efficacy endpoints were generally negative, showing no significant difference between the EP and EE groups.  The only nominally significant finding was for the limb component of the </w:t>
      </w:r>
      <w:r w:rsidR="00F80A0E">
        <w:rPr>
          <w:rFonts w:eastAsia="Cambria" w:cs="Times New Roman"/>
          <w:szCs w:val="22"/>
        </w:rPr>
        <w:t>M</w:t>
      </w:r>
      <w:r w:rsidRPr="007B2DBD">
        <w:rPr>
          <w:rFonts w:eastAsia="Cambria" w:cs="Times New Roman"/>
          <w:szCs w:val="22"/>
        </w:rPr>
        <w:t>odified Norris Scale, but no adjustment was applied for multiplicity.  Change in %FVC was less favourable in the EE group than the EP group (LSMean -13.33 vs -10.15, respectively).</w:t>
      </w:r>
    </w:p>
    <w:p w14:paraId="2D96CA5E"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Findings for death or certain disease progression did not support a benefit from switching to, or remaining on, </w:t>
      </w:r>
      <w:proofErr w:type="spellStart"/>
      <w:r w:rsidRPr="007B2DBD">
        <w:rPr>
          <w:rFonts w:eastAsia="Cambria" w:cs="Times New Roman"/>
          <w:szCs w:val="22"/>
        </w:rPr>
        <w:t>edaravone</w:t>
      </w:r>
      <w:proofErr w:type="spellEnd"/>
      <w:r w:rsidRPr="007B2DBD">
        <w:rPr>
          <w:rFonts w:eastAsia="Cambria" w:cs="Times New Roman"/>
          <w:szCs w:val="22"/>
        </w:rPr>
        <w:t xml:space="preserve"> (</w:t>
      </w:r>
      <w:r w:rsidRPr="007B2DBD">
        <w:rPr>
          <w:rFonts w:eastAsia="Cambria" w:cs="Times New Roman"/>
          <w:szCs w:val="22"/>
        </w:rPr>
        <w:fldChar w:fldCharType="begin"/>
      </w:r>
      <w:r w:rsidRPr="007B2DBD">
        <w:rPr>
          <w:rFonts w:eastAsia="Cambria" w:cs="Times New Roman"/>
          <w:szCs w:val="22"/>
        </w:rPr>
        <w:instrText xml:space="preserve"> REF _Ref115260270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39</w:t>
      </w:r>
      <w:r w:rsidRPr="007B2DBD">
        <w:rPr>
          <w:rFonts w:eastAsia="Cambria" w:cs="Times New Roman"/>
          <w:szCs w:val="22"/>
        </w:rPr>
        <w:fldChar w:fldCharType="end"/>
      </w:r>
      <w:r w:rsidRPr="007B2DBD">
        <w:rPr>
          <w:rFonts w:eastAsia="Cambria" w:cs="Times New Roman"/>
          <w:szCs w:val="22"/>
        </w:rPr>
        <w:t>).  Of the two smaller groups, overall events were numerically higher in the EE group than the EP group, including 4 of the 6 deaths overall.  The PE group, which comprised nearly half of the total patients, accounted for approximately half of the total events.</w:t>
      </w:r>
    </w:p>
    <w:p w14:paraId="0CDE4F71" w14:textId="77777777" w:rsidR="007B2DBD" w:rsidRPr="007B2DBD" w:rsidRDefault="007B2DBD" w:rsidP="008F3C39">
      <w:pPr>
        <w:pStyle w:val="TableTitle"/>
        <w:rPr>
          <w:rFonts w:eastAsia="Times New Roman"/>
        </w:rPr>
      </w:pPr>
      <w:bookmarkStart w:id="102" w:name="_Ref115260270"/>
      <w:r w:rsidRPr="007B2DBD">
        <w:lastRenderedPageBreak/>
        <w:t xml:space="preserve">Table </w:t>
      </w:r>
      <w:r w:rsidR="00C451A8">
        <w:fldChar w:fldCharType="begin"/>
      </w:r>
      <w:r w:rsidR="00C451A8">
        <w:instrText xml:space="preserve"> SEQ Table \* ARABIC </w:instrText>
      </w:r>
      <w:r w:rsidR="00C451A8">
        <w:fldChar w:fldCharType="separate"/>
      </w:r>
      <w:r w:rsidRPr="007B2DBD">
        <w:rPr>
          <w:noProof/>
        </w:rPr>
        <w:t>39</w:t>
      </w:r>
      <w:r w:rsidR="00C451A8">
        <w:rPr>
          <w:noProof/>
        </w:rPr>
        <w:fldChar w:fldCharType="end"/>
      </w:r>
      <w:bookmarkEnd w:id="102"/>
      <w:r w:rsidRPr="007B2DBD">
        <w:t xml:space="preserve"> Number of events defined as death or certain disease progression (all cycles) (FAS), Study 17</w:t>
      </w:r>
    </w:p>
    <w:p w14:paraId="479A6CFB"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78906525" wp14:editId="56852F01">
            <wp:extent cx="5724525" cy="1876425"/>
            <wp:effectExtent l="0" t="0" r="9525" b="9525"/>
            <wp:docPr id="59" name="図 59"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table with numbers and tex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4525" cy="1876425"/>
                    </a:xfrm>
                    <a:prstGeom prst="rect">
                      <a:avLst/>
                    </a:prstGeom>
                    <a:noFill/>
                    <a:ln>
                      <a:noFill/>
                    </a:ln>
                  </pic:spPr>
                </pic:pic>
              </a:graphicData>
            </a:graphic>
          </wp:inline>
        </w:drawing>
      </w:r>
    </w:p>
    <w:p w14:paraId="45F6D6A6" w14:textId="77777777" w:rsidR="007B2DBD" w:rsidRPr="007B2DBD" w:rsidRDefault="007B2DBD" w:rsidP="007B2DBD">
      <w:pPr>
        <w:keepNext/>
        <w:keepLines/>
        <w:spacing w:before="120" w:line="220" w:lineRule="atLeast"/>
        <w:outlineLvl w:val="4"/>
        <w:rPr>
          <w:rFonts w:eastAsia="Times New Roman" w:cs="Times New Roman"/>
          <w:b/>
          <w:bCs/>
          <w:i/>
          <w:color w:val="001523"/>
          <w:szCs w:val="21"/>
        </w:rPr>
      </w:pPr>
      <w:r w:rsidRPr="007B2DBD">
        <w:rPr>
          <w:rFonts w:eastAsia="Times New Roman" w:cs="Times New Roman"/>
          <w:b/>
          <w:bCs/>
          <w:i/>
          <w:color w:val="001523"/>
          <w:szCs w:val="21"/>
        </w:rPr>
        <w:t>Study MCI-186-18 (Study 18)</w:t>
      </w:r>
    </w:p>
    <w:p w14:paraId="29956EB4" w14:textId="77777777" w:rsidR="007B2DBD" w:rsidRPr="007B2DBD" w:rsidRDefault="007B2DBD" w:rsidP="007B2DBD">
      <w:pPr>
        <w:spacing w:before="120" w:line="240" w:lineRule="atLeast"/>
        <w:rPr>
          <w:rFonts w:eastAsia="Cambria" w:cs="Times New Roman"/>
          <w:bCs/>
          <w:iCs/>
          <w:szCs w:val="22"/>
        </w:rPr>
      </w:pPr>
      <w:r w:rsidRPr="007B2DBD">
        <w:rPr>
          <w:rFonts w:eastAsia="Cambria" w:cs="Times New Roman"/>
          <w:bCs/>
          <w:iCs/>
          <w:szCs w:val="22"/>
        </w:rPr>
        <w:t xml:space="preserve">This was a </w:t>
      </w:r>
      <w:r w:rsidRPr="007B2DBD">
        <w:rPr>
          <w:rFonts w:eastAsia="Cambria" w:cs="Times New Roman"/>
          <w:szCs w:val="22"/>
        </w:rPr>
        <w:t>multi-centre,</w:t>
      </w:r>
      <w:r w:rsidRPr="007B2DBD">
        <w:rPr>
          <w:rFonts w:eastAsia="Cambria" w:cs="Times New Roman"/>
          <w:bCs/>
          <w:iCs/>
          <w:szCs w:val="22"/>
        </w:rPr>
        <w:t xml:space="preserve"> double-blind, parallel-group, placebo-controlled, exploratory study </w:t>
      </w:r>
      <w:r w:rsidRPr="007B2DBD">
        <w:rPr>
          <w:rFonts w:eastAsia="Cambria" w:cs="Times New Roman"/>
          <w:szCs w:val="22"/>
        </w:rPr>
        <w:t xml:space="preserve">to explore the efficacy and safety of edaravone in </w:t>
      </w:r>
      <w:r w:rsidRPr="007B2DBD">
        <w:rPr>
          <w:rFonts w:eastAsia="Cambria" w:cs="Times New Roman"/>
          <w:bCs/>
          <w:iCs/>
          <w:szCs w:val="22"/>
        </w:rPr>
        <w:t>patients with Grade 3 ALS (Japan ALS severity classification).  The study was conducted in Japan between 21 December 2006 and 29 July 2008.</w:t>
      </w:r>
    </w:p>
    <w:p w14:paraId="64C4C568"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The study included a 12-week observation period followed by a 24-week double-blind treatment period (six cycles of treatment).  Study treatment was edaravone 60 mg (or matching placebo) administered by IV infusion on the first 14 days of Cycle 1 (followed by no treatment for 14 days), and then on 10 of the first 14 days of each subsequent 28-day treatment cycle.</w:t>
      </w:r>
    </w:p>
    <w:p w14:paraId="6BD614B3"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The inclusion criteria were:</w:t>
      </w:r>
    </w:p>
    <w:p w14:paraId="0EE502C7" w14:textId="77777777" w:rsidR="007B2DBD" w:rsidRPr="007B2DBD" w:rsidRDefault="007B2DBD" w:rsidP="00BC13AF">
      <w:pPr>
        <w:pStyle w:val="ListBullet"/>
        <w:rPr>
          <w:rFonts w:eastAsia="Times New Roman"/>
          <w:lang w:eastAsia="ja-JP"/>
        </w:rPr>
      </w:pPr>
      <w:r w:rsidRPr="007B2DBD">
        <w:rPr>
          <w:lang w:eastAsia="ja-JP"/>
        </w:rPr>
        <w:t>Patients who correspond to “definite ALS”, “probable ALS”, or “probable-laboratory-supported ALS” by the El Escorial revised Airlie House diagnostic criteria</w:t>
      </w:r>
    </w:p>
    <w:p w14:paraId="02A84791" w14:textId="77777777" w:rsidR="007B2DBD" w:rsidRPr="007B2DBD" w:rsidRDefault="007B2DBD" w:rsidP="00BC13AF">
      <w:pPr>
        <w:pStyle w:val="ListBullet"/>
        <w:rPr>
          <w:lang w:eastAsia="ja-JP"/>
        </w:rPr>
      </w:pPr>
      <w:r w:rsidRPr="007B2DBD">
        <w:rPr>
          <w:lang w:eastAsia="ja-JP"/>
        </w:rPr>
        <w:t>Patients with severity grade 3 ALS by the Japan ALS severity classification</w:t>
      </w:r>
    </w:p>
    <w:p w14:paraId="0CCE2CCB" w14:textId="77777777" w:rsidR="007B2DBD" w:rsidRPr="007B2DBD" w:rsidRDefault="007B2DBD" w:rsidP="00BC13AF">
      <w:pPr>
        <w:pStyle w:val="ListBullet"/>
        <w:rPr>
          <w:lang w:eastAsia="ja-JP"/>
        </w:rPr>
      </w:pPr>
      <w:r w:rsidRPr="007B2DBD">
        <w:rPr>
          <w:lang w:eastAsia="ja-JP"/>
        </w:rPr>
        <w:t>Patients whose % forced vital capacity (%FVC) is 60% or higher</w:t>
      </w:r>
    </w:p>
    <w:p w14:paraId="5C99142E" w14:textId="77777777" w:rsidR="007B2DBD" w:rsidRPr="007B2DBD" w:rsidRDefault="007B2DBD" w:rsidP="00BC13AF">
      <w:pPr>
        <w:pStyle w:val="ListBullet"/>
        <w:rPr>
          <w:lang w:eastAsia="ja-JP"/>
        </w:rPr>
      </w:pPr>
      <w:r w:rsidRPr="007B2DBD">
        <w:rPr>
          <w:lang w:eastAsia="ja-JP"/>
        </w:rPr>
        <w:t>Patients who are within 3 years after the onset of ALS at written informed consent</w:t>
      </w:r>
    </w:p>
    <w:p w14:paraId="77A80E87" w14:textId="77777777" w:rsidR="007B2DBD" w:rsidRPr="007B2DBD" w:rsidRDefault="007B2DBD" w:rsidP="00BC13AF">
      <w:pPr>
        <w:pStyle w:val="ListBullet"/>
        <w:rPr>
          <w:lang w:eastAsia="ja-JP"/>
        </w:rPr>
      </w:pPr>
      <w:r w:rsidRPr="007B2DBD">
        <w:rPr>
          <w:lang w:eastAsia="ja-JP"/>
        </w:rPr>
        <w:t>Patients between 20 and 75 years old at written informed consent</w:t>
      </w:r>
    </w:p>
    <w:p w14:paraId="05423C32" w14:textId="77777777" w:rsidR="007B2DBD" w:rsidRPr="007B2DBD" w:rsidRDefault="007B2DBD" w:rsidP="00BC13AF">
      <w:pPr>
        <w:pStyle w:val="ListBullet"/>
        <w:rPr>
          <w:lang w:eastAsia="ja-JP"/>
        </w:rPr>
      </w:pPr>
      <w:r w:rsidRPr="007B2DBD">
        <w:rPr>
          <w:lang w:eastAsia="ja-JP"/>
        </w:rPr>
        <w:t>Patients who gave written informed consent to study participation</w:t>
      </w:r>
    </w:p>
    <w:p w14:paraId="590BF40C" w14:textId="012CE503" w:rsidR="007B2DBD" w:rsidRPr="007B2DBD" w:rsidRDefault="007B2DBD" w:rsidP="00BC13AF">
      <w:pPr>
        <w:pStyle w:val="ListBullet"/>
        <w:rPr>
          <w:lang w:eastAsia="ja-JP"/>
        </w:rPr>
      </w:pPr>
      <w:r w:rsidRPr="007B2DBD">
        <w:rPr>
          <w:lang w:eastAsia="ja-JP"/>
        </w:rPr>
        <w:t>Patients whose ALSFRS-R score changed by –1 to –4 points during the 12-week pre-observation period</w:t>
      </w:r>
      <w:r w:rsidR="008F3C39">
        <w:rPr>
          <w:lang w:eastAsia="ja-JP"/>
        </w:rPr>
        <w:t>.</w:t>
      </w:r>
    </w:p>
    <w:p w14:paraId="3A9E5ECE" w14:textId="77777777" w:rsidR="007B2DBD" w:rsidRPr="007B2DBD" w:rsidRDefault="007B2DBD" w:rsidP="007B2DBD">
      <w:pPr>
        <w:autoSpaceDE w:val="0"/>
        <w:autoSpaceDN w:val="0"/>
        <w:spacing w:before="120" w:line="240" w:lineRule="atLeast"/>
        <w:rPr>
          <w:rFonts w:eastAsia="Cambria" w:cs="Times New Roman"/>
          <w:szCs w:val="22"/>
        </w:rPr>
      </w:pPr>
      <w:r w:rsidRPr="007B2DBD">
        <w:rPr>
          <w:rFonts w:eastAsia="Cambria" w:cs="Times New Roman"/>
          <w:szCs w:val="22"/>
        </w:rPr>
        <w:t xml:space="preserve">The study was exploratory, and it was not adequately powered.  The planned sample size was 10 patients per group, and this appeared to be based on logistical convenience.  </w:t>
      </w:r>
    </w:p>
    <w:p w14:paraId="68A7D4A2" w14:textId="77777777" w:rsidR="007B2DBD" w:rsidRPr="007B2DBD" w:rsidRDefault="007B2DBD" w:rsidP="007B2DBD">
      <w:pPr>
        <w:autoSpaceDE w:val="0"/>
        <w:autoSpaceDN w:val="0"/>
        <w:spacing w:before="120" w:line="240" w:lineRule="atLeast"/>
        <w:rPr>
          <w:rFonts w:eastAsia="Cambria" w:cs="Times New Roman"/>
          <w:szCs w:val="22"/>
        </w:rPr>
      </w:pPr>
      <w:r w:rsidRPr="007B2DBD">
        <w:rPr>
          <w:rFonts w:eastAsia="Cambria" w:cs="Times New Roman"/>
          <w:szCs w:val="22"/>
        </w:rPr>
        <w:t>25 patients were randomised 1:1 to treatment (13 to edaravone and 12 to placebo), with dynamic allocation based on ALSFRS-R score changes during the 12-week pre-observation period (-1, -2 vs -3, -4).  Baseline demographic and disease characteristics were reasonably balanced for a small exploratory study.</w:t>
      </w:r>
    </w:p>
    <w:p w14:paraId="099535DA"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The analysis populations and statistical methods were similar to the other Phase 3 studies.  No correction was applied to compensate for the multiplicity of analysis methods and secondary endpoints.</w:t>
      </w:r>
    </w:p>
    <w:p w14:paraId="3C3FAE5C" w14:textId="5D5217B2"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The efficacy variable was the ALSFRS-R score, and </w:t>
      </w:r>
      <w:r w:rsidR="00C451A8">
        <w:rPr>
          <w:rFonts w:eastAsia="Cambria" w:cs="Times New Roman"/>
          <w:szCs w:val="22"/>
        </w:rPr>
        <w:t xml:space="preserve">other </w:t>
      </w:r>
      <w:r w:rsidRPr="007B2DBD">
        <w:rPr>
          <w:rFonts w:eastAsia="Cambria" w:cs="Times New Roman"/>
          <w:szCs w:val="22"/>
        </w:rPr>
        <w:t xml:space="preserve">endpoints were </w:t>
      </w:r>
      <w:r w:rsidR="00542D75">
        <w:rPr>
          <w:rFonts w:eastAsia="Cambria" w:cs="Times New Roman"/>
          <w:szCs w:val="22"/>
        </w:rPr>
        <w:t>t</w:t>
      </w:r>
      <w:r w:rsidRPr="007B2DBD">
        <w:rPr>
          <w:rFonts w:eastAsia="Cambria" w:cs="Times New Roman"/>
          <w:szCs w:val="22"/>
        </w:rPr>
        <w:t xml:space="preserve">ime to death or certain disease progression, domain-specific ALSFRS-R score, %FVC, Modified Norris Scale score, ALSAQ40 score, grip strength, pinch-grip strength, and Japan ALS severity classification.  </w:t>
      </w:r>
    </w:p>
    <w:p w14:paraId="7210C1CE" w14:textId="6224C8A2"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This study was negative for its </w:t>
      </w:r>
      <w:r w:rsidR="00C451A8">
        <w:rPr>
          <w:rFonts w:eastAsia="Cambria" w:cs="Times New Roman"/>
          <w:szCs w:val="22"/>
        </w:rPr>
        <w:t xml:space="preserve">defined </w:t>
      </w:r>
      <w:r w:rsidRPr="007B2DBD">
        <w:rPr>
          <w:rFonts w:eastAsia="Cambria" w:cs="Times New Roman"/>
          <w:szCs w:val="22"/>
        </w:rPr>
        <w:t xml:space="preserve">endpoints, with no significant difference between the edaravone and placebo groups.  ALSFRS-R scores over the duration of the study are shown in </w:t>
      </w:r>
      <w:r w:rsidRPr="007B2DBD">
        <w:rPr>
          <w:rFonts w:eastAsia="Cambria" w:cs="Times New Roman"/>
          <w:szCs w:val="22"/>
        </w:rPr>
        <w:lastRenderedPageBreak/>
        <w:fldChar w:fldCharType="begin"/>
      </w:r>
      <w:r w:rsidRPr="007B2DBD">
        <w:rPr>
          <w:rFonts w:eastAsia="Cambria" w:cs="Times New Roman"/>
          <w:szCs w:val="22"/>
        </w:rPr>
        <w:instrText xml:space="preserve"> REF _Ref115344051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Figure </w:t>
      </w:r>
      <w:r w:rsidRPr="007B2DBD">
        <w:rPr>
          <w:rFonts w:eastAsia="Cambria" w:cs="Times New Roman"/>
          <w:noProof/>
          <w:szCs w:val="22"/>
        </w:rPr>
        <w:t>10</w:t>
      </w:r>
      <w:r w:rsidRPr="007B2DBD">
        <w:rPr>
          <w:rFonts w:eastAsia="Cambria" w:cs="Times New Roman"/>
          <w:szCs w:val="22"/>
        </w:rPr>
        <w:fldChar w:fldCharType="end"/>
      </w:r>
      <w:r w:rsidRPr="007B2DBD">
        <w:rPr>
          <w:rFonts w:eastAsia="Cambria" w:cs="Times New Roman"/>
          <w:szCs w:val="22"/>
        </w:rPr>
        <w:t>.  In the analysis of change in ALSFRS-R score from baseline in Cycle 1 to the end of Cycle 6 or discontinuation (LOCF), there was a numerically greater decrease in the edaravone group than placebo (</w:t>
      </w:r>
      <w:r w:rsidRPr="007B2DBD">
        <w:rPr>
          <w:rFonts w:eastAsia="Cambria" w:cs="Times New Roman"/>
          <w:szCs w:val="22"/>
        </w:rPr>
        <w:fldChar w:fldCharType="begin"/>
      </w:r>
      <w:r w:rsidRPr="007B2DBD">
        <w:rPr>
          <w:rFonts w:eastAsia="Cambria" w:cs="Times New Roman"/>
          <w:szCs w:val="22"/>
        </w:rPr>
        <w:instrText xml:space="preserve"> REF _Ref115344700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40</w:t>
      </w:r>
      <w:r w:rsidRPr="007B2DBD">
        <w:rPr>
          <w:rFonts w:eastAsia="Cambria" w:cs="Times New Roman"/>
          <w:szCs w:val="22"/>
        </w:rPr>
        <w:fldChar w:fldCharType="end"/>
      </w:r>
      <w:r w:rsidRPr="007B2DBD">
        <w:rPr>
          <w:rFonts w:eastAsia="Cambria" w:cs="Times New Roman"/>
          <w:szCs w:val="22"/>
        </w:rPr>
        <w:t xml:space="preserve">).  Other analyses of ALSFRS-R scores failed to show any benefit of edaravone over placebo.  Similarly, analyses of secondary endpoints failed to show any benefit of edaravone over placebo.  Events of death </w:t>
      </w:r>
      <w:r w:rsidR="009735DF">
        <w:rPr>
          <w:rFonts w:eastAsia="Cambria" w:cs="Times New Roman"/>
          <w:szCs w:val="22"/>
        </w:rPr>
        <w:t xml:space="preserve">or </w:t>
      </w:r>
      <w:r w:rsidRPr="007B2DBD">
        <w:rPr>
          <w:rFonts w:eastAsia="Cambria" w:cs="Times New Roman"/>
          <w:szCs w:val="22"/>
        </w:rPr>
        <w:t>certain disease progression were numerically greater with edaravone than placebo (</w:t>
      </w:r>
      <w:r w:rsidRPr="007B2DBD">
        <w:rPr>
          <w:rFonts w:eastAsia="Cambria" w:cs="Times New Roman"/>
          <w:szCs w:val="22"/>
        </w:rPr>
        <w:fldChar w:fldCharType="begin"/>
      </w:r>
      <w:r w:rsidRPr="007B2DBD">
        <w:rPr>
          <w:rFonts w:eastAsia="Cambria" w:cs="Times New Roman"/>
          <w:szCs w:val="22"/>
        </w:rPr>
        <w:instrText xml:space="preserve"> REF _Ref115345401 \h </w:instrText>
      </w:r>
      <w:r w:rsidRPr="007B2DBD">
        <w:rPr>
          <w:rFonts w:eastAsia="Cambria" w:cs="Times New Roman"/>
          <w:szCs w:val="22"/>
        </w:rPr>
      </w:r>
      <w:r w:rsidRPr="007B2DBD">
        <w:rPr>
          <w:rFonts w:eastAsia="Cambria" w:cs="Times New Roman"/>
          <w:szCs w:val="22"/>
        </w:rPr>
        <w:fldChar w:fldCharType="separate"/>
      </w:r>
      <w:r w:rsidRPr="007B2DBD">
        <w:rPr>
          <w:rFonts w:eastAsia="Cambria" w:cs="Times New Roman"/>
          <w:szCs w:val="22"/>
        </w:rPr>
        <w:t xml:space="preserve">Table </w:t>
      </w:r>
      <w:r w:rsidRPr="007B2DBD">
        <w:rPr>
          <w:rFonts w:eastAsia="Cambria" w:cs="Times New Roman"/>
          <w:noProof/>
          <w:szCs w:val="22"/>
        </w:rPr>
        <w:t>41</w:t>
      </w:r>
      <w:r w:rsidRPr="007B2DBD">
        <w:rPr>
          <w:rFonts w:eastAsia="Cambria" w:cs="Times New Roman"/>
          <w:szCs w:val="22"/>
        </w:rPr>
        <w:fldChar w:fldCharType="end"/>
      </w:r>
      <w:r w:rsidRPr="007B2DBD">
        <w:rPr>
          <w:rFonts w:eastAsia="Cambria" w:cs="Times New Roman"/>
          <w:szCs w:val="22"/>
        </w:rPr>
        <w:t>).</w:t>
      </w:r>
    </w:p>
    <w:p w14:paraId="07E7F97F" w14:textId="2C70DF2E" w:rsidR="007B2DBD" w:rsidRPr="007B2DBD" w:rsidRDefault="007B2DBD" w:rsidP="008F3C39">
      <w:pPr>
        <w:pStyle w:val="FigureTitle"/>
        <w:rPr>
          <w:rFonts w:eastAsia="Times New Roman"/>
        </w:rPr>
      </w:pPr>
      <w:bookmarkStart w:id="103" w:name="_Ref115344051"/>
      <w:r w:rsidRPr="007B2DBD">
        <w:t xml:space="preserve">Figure </w:t>
      </w:r>
      <w:r w:rsidR="00C451A8">
        <w:fldChar w:fldCharType="begin"/>
      </w:r>
      <w:r w:rsidR="00C451A8">
        <w:instrText xml:space="preserve"> SEQ Figure \* ARABIC </w:instrText>
      </w:r>
      <w:r w:rsidR="00C451A8">
        <w:fldChar w:fldCharType="separate"/>
      </w:r>
      <w:r w:rsidRPr="007B2DBD">
        <w:rPr>
          <w:noProof/>
        </w:rPr>
        <w:t>1</w:t>
      </w:r>
      <w:r w:rsidR="00C451A8">
        <w:rPr>
          <w:noProof/>
        </w:rPr>
        <w:fldChar w:fldCharType="end"/>
      </w:r>
      <w:bookmarkEnd w:id="103"/>
      <w:r w:rsidR="00BC13AF">
        <w:rPr>
          <w:noProof/>
        </w:rPr>
        <w:t>1</w:t>
      </w:r>
      <w:r w:rsidRPr="007B2DBD">
        <w:t xml:space="preserve"> ALSFRS-R score (mean ± S.D.) (FAS), Study 18</w:t>
      </w:r>
      <w:r w:rsidRPr="007B2DBD">
        <w:tab/>
      </w:r>
    </w:p>
    <w:p w14:paraId="695B21C6" w14:textId="77777777" w:rsid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4E692F3A" wp14:editId="10341F49">
            <wp:extent cx="5724680" cy="3965249"/>
            <wp:effectExtent l="0" t="0" r="0" b="0"/>
            <wp:docPr id="61" name="図 61"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graph of a number of numbers&#10;&#10;Description automatically generated with medium confiden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0205" cy="3982929"/>
                    </a:xfrm>
                    <a:prstGeom prst="rect">
                      <a:avLst/>
                    </a:prstGeom>
                    <a:noFill/>
                    <a:ln>
                      <a:noFill/>
                    </a:ln>
                  </pic:spPr>
                </pic:pic>
              </a:graphicData>
            </a:graphic>
          </wp:inline>
        </w:drawing>
      </w:r>
    </w:p>
    <w:p w14:paraId="682BA250" w14:textId="77777777" w:rsidR="007B2DBD" w:rsidRPr="007B2DBD" w:rsidRDefault="007B2DBD" w:rsidP="008F3C39">
      <w:pPr>
        <w:pStyle w:val="TableTitle"/>
      </w:pPr>
      <w:bookmarkStart w:id="104" w:name="_Ref115344700"/>
      <w:r w:rsidRPr="007B2DBD">
        <w:rPr>
          <w:szCs w:val="18"/>
        </w:rPr>
        <w:t xml:space="preserve">Table </w:t>
      </w:r>
      <w:r w:rsidRPr="007B2DBD">
        <w:rPr>
          <w:szCs w:val="18"/>
        </w:rPr>
        <w:fldChar w:fldCharType="begin"/>
      </w:r>
      <w:r w:rsidRPr="007B2DBD">
        <w:rPr>
          <w:szCs w:val="18"/>
        </w:rPr>
        <w:instrText xml:space="preserve"> SEQ Table \* ARABIC </w:instrText>
      </w:r>
      <w:r w:rsidRPr="007B2DBD">
        <w:rPr>
          <w:szCs w:val="18"/>
        </w:rPr>
        <w:fldChar w:fldCharType="separate"/>
      </w:r>
      <w:r w:rsidRPr="007B2DBD">
        <w:rPr>
          <w:noProof/>
          <w:szCs w:val="18"/>
        </w:rPr>
        <w:t>40</w:t>
      </w:r>
      <w:r w:rsidRPr="007B2DBD">
        <w:rPr>
          <w:noProof/>
          <w:szCs w:val="18"/>
        </w:rPr>
        <w:fldChar w:fldCharType="end"/>
      </w:r>
      <w:bookmarkEnd w:id="104"/>
      <w:r w:rsidRPr="007B2DBD">
        <w:rPr>
          <w:szCs w:val="18"/>
        </w:rPr>
        <w:t xml:space="preserve"> </w:t>
      </w:r>
      <w:r w:rsidRPr="007B2DBD">
        <w:t>Analysis of changes in ALSFRS-R score from baseline in Cycle 1 to the end of Cycle 6 (LOCF) (FAS), Study 18</w:t>
      </w:r>
    </w:p>
    <w:p w14:paraId="6CFEBACA"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6C2CB7CF" wp14:editId="0A946774">
            <wp:extent cx="5731510" cy="1106170"/>
            <wp:effectExtent l="0" t="0" r="2540" b="0"/>
            <wp:docPr id="62" name="図 62" descr="A table with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table with numbers and a number of objects&#10;&#10;Description automatically generated with medium confidence"/>
                    <pic:cNvPicPr/>
                  </pic:nvPicPr>
                  <pic:blipFill>
                    <a:blip r:embed="rId75"/>
                    <a:stretch>
                      <a:fillRect/>
                    </a:stretch>
                  </pic:blipFill>
                  <pic:spPr>
                    <a:xfrm>
                      <a:off x="0" y="0"/>
                      <a:ext cx="5731510" cy="1106170"/>
                    </a:xfrm>
                    <a:prstGeom prst="rect">
                      <a:avLst/>
                    </a:prstGeom>
                  </pic:spPr>
                </pic:pic>
              </a:graphicData>
            </a:graphic>
          </wp:inline>
        </w:drawing>
      </w:r>
    </w:p>
    <w:p w14:paraId="0350CE86" w14:textId="77777777" w:rsidR="007B2DBD" w:rsidRPr="007B2DBD" w:rsidRDefault="007B2DBD" w:rsidP="008F3C39">
      <w:pPr>
        <w:pStyle w:val="TableTitle"/>
        <w:rPr>
          <w:szCs w:val="18"/>
        </w:rPr>
      </w:pPr>
      <w:bookmarkStart w:id="105" w:name="_Ref115345401"/>
      <w:r w:rsidRPr="007B2DBD">
        <w:rPr>
          <w:szCs w:val="18"/>
        </w:rPr>
        <w:t xml:space="preserve">Table </w:t>
      </w:r>
      <w:r w:rsidRPr="007B2DBD">
        <w:rPr>
          <w:szCs w:val="18"/>
        </w:rPr>
        <w:fldChar w:fldCharType="begin"/>
      </w:r>
      <w:r w:rsidRPr="007B2DBD">
        <w:rPr>
          <w:szCs w:val="18"/>
        </w:rPr>
        <w:instrText xml:space="preserve"> SEQ Table \* ARABIC </w:instrText>
      </w:r>
      <w:r w:rsidRPr="007B2DBD">
        <w:rPr>
          <w:szCs w:val="18"/>
        </w:rPr>
        <w:fldChar w:fldCharType="separate"/>
      </w:r>
      <w:r w:rsidRPr="007B2DBD">
        <w:rPr>
          <w:noProof/>
          <w:szCs w:val="18"/>
        </w:rPr>
        <w:t>41</w:t>
      </w:r>
      <w:r w:rsidRPr="007B2DBD">
        <w:rPr>
          <w:noProof/>
          <w:szCs w:val="18"/>
        </w:rPr>
        <w:fldChar w:fldCharType="end"/>
      </w:r>
      <w:bookmarkEnd w:id="105"/>
      <w:r w:rsidRPr="007B2DBD">
        <w:rPr>
          <w:szCs w:val="18"/>
        </w:rPr>
        <w:t xml:space="preserve"> </w:t>
      </w:r>
      <w:r w:rsidRPr="007B2DBD">
        <w:t>Death or certain disease progression; number of events (FAS), Study 18</w:t>
      </w:r>
    </w:p>
    <w:p w14:paraId="4E0F96F6"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noProof/>
          <w:szCs w:val="22"/>
        </w:rPr>
        <w:drawing>
          <wp:inline distT="0" distB="0" distL="0" distR="0" wp14:anchorId="7A518C4D" wp14:editId="25806AE6">
            <wp:extent cx="5731510" cy="1573530"/>
            <wp:effectExtent l="0" t="0" r="2540" b="7620"/>
            <wp:docPr id="64" name="図 64"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table with numbers and symbols&#10;&#10;Description automatically generated"/>
                    <pic:cNvPicPr/>
                  </pic:nvPicPr>
                  <pic:blipFill>
                    <a:blip r:embed="rId76"/>
                    <a:stretch>
                      <a:fillRect/>
                    </a:stretch>
                  </pic:blipFill>
                  <pic:spPr>
                    <a:xfrm>
                      <a:off x="0" y="0"/>
                      <a:ext cx="5731510" cy="1573530"/>
                    </a:xfrm>
                    <a:prstGeom prst="rect">
                      <a:avLst/>
                    </a:prstGeom>
                  </pic:spPr>
                </pic:pic>
              </a:graphicData>
            </a:graphic>
          </wp:inline>
        </w:drawing>
      </w:r>
    </w:p>
    <w:p w14:paraId="471F429F" w14:textId="77777777" w:rsidR="007B2DBD" w:rsidRPr="007B2DBD" w:rsidRDefault="007B2DBD" w:rsidP="006530BB">
      <w:pPr>
        <w:pStyle w:val="Heading6"/>
        <w:rPr>
          <w:rFonts w:eastAsia="Cambria"/>
        </w:rPr>
      </w:pPr>
      <w:r w:rsidRPr="007B2DBD">
        <w:rPr>
          <w:rFonts w:eastAsia="Cambria"/>
        </w:rPr>
        <w:lastRenderedPageBreak/>
        <w:t>Safety</w:t>
      </w:r>
    </w:p>
    <w:p w14:paraId="154BA3C8"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The clinical safety dataset included safety data from:</w:t>
      </w:r>
    </w:p>
    <w:p w14:paraId="11D6F737" w14:textId="2A030DCF" w:rsidR="007B2DBD" w:rsidRPr="007B2DBD" w:rsidRDefault="007B2DBD" w:rsidP="006530BB">
      <w:pPr>
        <w:pStyle w:val="ListBullet"/>
        <w:rPr>
          <w:lang w:eastAsia="ja-JP"/>
        </w:rPr>
      </w:pPr>
      <w:r w:rsidRPr="007B2DBD">
        <w:rPr>
          <w:lang w:eastAsia="ja-JP"/>
        </w:rPr>
        <w:t>5 Phase 2 or 3 studies in patients with ALS (</w:t>
      </w:r>
      <w:r w:rsidRPr="007B2DBD">
        <w:rPr>
          <w:lang w:eastAsia="ja-JP"/>
        </w:rPr>
        <w:fldChar w:fldCharType="begin"/>
      </w:r>
      <w:r w:rsidRPr="007B2DBD">
        <w:rPr>
          <w:lang w:eastAsia="ja-JP"/>
        </w:rPr>
        <w:instrText xml:space="preserve"> REF _Ref116390582 \h </w:instrText>
      </w:r>
      <w:r w:rsidRPr="007B2DBD">
        <w:rPr>
          <w:lang w:eastAsia="ja-JP"/>
        </w:rPr>
      </w:r>
      <w:r w:rsidR="006530BB">
        <w:rPr>
          <w:lang w:eastAsia="ja-JP"/>
        </w:rPr>
        <w:instrText xml:space="preserve"> \* MERGEFORMAT </w:instrText>
      </w:r>
      <w:r w:rsidRPr="007B2DBD">
        <w:rPr>
          <w:lang w:eastAsia="ja-JP"/>
        </w:rPr>
        <w:fldChar w:fldCharType="separate"/>
      </w:r>
      <w:r w:rsidRPr="007B2DBD">
        <w:rPr>
          <w:lang w:eastAsia="ja-JP"/>
        </w:rPr>
        <w:t xml:space="preserve">Table </w:t>
      </w:r>
      <w:r w:rsidRPr="007B2DBD">
        <w:rPr>
          <w:noProof/>
          <w:lang w:eastAsia="ja-JP"/>
        </w:rPr>
        <w:t>42</w:t>
      </w:r>
      <w:r w:rsidRPr="007B2DBD">
        <w:rPr>
          <w:lang w:eastAsia="ja-JP"/>
        </w:rPr>
        <w:fldChar w:fldCharType="end"/>
      </w:r>
      <w:r w:rsidRPr="007B2DBD">
        <w:rPr>
          <w:lang w:eastAsia="ja-JP"/>
        </w:rPr>
        <w:t>).</w:t>
      </w:r>
    </w:p>
    <w:p w14:paraId="7ED6BE5C" w14:textId="77777777" w:rsidR="007B2DBD" w:rsidRPr="007B2DBD" w:rsidRDefault="007B2DBD" w:rsidP="006530BB">
      <w:pPr>
        <w:pStyle w:val="ListBullet"/>
        <w:rPr>
          <w:lang w:eastAsia="ja-JP"/>
        </w:rPr>
      </w:pPr>
      <w:r w:rsidRPr="007B2DBD">
        <w:rPr>
          <w:lang w:eastAsia="ja-JP"/>
        </w:rPr>
        <w:t>5 Phase 1 PK studies in healthy volunteers.</w:t>
      </w:r>
    </w:p>
    <w:p w14:paraId="0F51D745" w14:textId="77777777" w:rsidR="007B2DBD" w:rsidRPr="007B2DBD" w:rsidRDefault="007B2DBD" w:rsidP="006530BB">
      <w:pPr>
        <w:pStyle w:val="ListBullet"/>
        <w:rPr>
          <w:lang w:eastAsia="ja-JP"/>
        </w:rPr>
      </w:pPr>
      <w:r w:rsidRPr="007B2DBD">
        <w:rPr>
          <w:lang w:eastAsia="ja-JP"/>
        </w:rPr>
        <w:t>4 post-marketing PK and PD studies, 2 evaluating effects of hepatic impairment, 1 evaluating effects of renal impairment, and 1 evaluating effects on QT.</w:t>
      </w:r>
    </w:p>
    <w:p w14:paraId="51BC31AE" w14:textId="77777777" w:rsidR="007B2DBD" w:rsidRPr="007B2DBD" w:rsidRDefault="007B2DBD" w:rsidP="006530BB">
      <w:pPr>
        <w:pStyle w:val="ListBullet"/>
        <w:rPr>
          <w:lang w:eastAsia="ja-JP"/>
        </w:rPr>
      </w:pPr>
      <w:r w:rsidRPr="007B2DBD">
        <w:rPr>
          <w:lang w:eastAsia="ja-JP"/>
        </w:rPr>
        <w:t>8 studies in patients with AIS, and 3 studies in patients with SAH.</w:t>
      </w:r>
    </w:p>
    <w:p w14:paraId="3BCAC238" w14:textId="7A755BAF" w:rsidR="007B2DBD" w:rsidRPr="007B2DBD" w:rsidRDefault="007B2DBD" w:rsidP="008F3C39">
      <w:pPr>
        <w:pStyle w:val="TableTitle"/>
        <w:rPr>
          <w:rFonts w:eastAsia="Times New Roman"/>
        </w:rPr>
      </w:pPr>
      <w:bookmarkStart w:id="106" w:name="_Ref116390582"/>
      <w:r w:rsidRPr="007B2DBD">
        <w:t xml:space="preserve">Table </w:t>
      </w:r>
      <w:r w:rsidR="00C451A8">
        <w:fldChar w:fldCharType="begin"/>
      </w:r>
      <w:r w:rsidR="00C451A8">
        <w:instrText xml:space="preserve"> SEQ Table \* ARABIC </w:instrText>
      </w:r>
      <w:r w:rsidR="00C451A8">
        <w:fldChar w:fldCharType="separate"/>
      </w:r>
      <w:r w:rsidRPr="007B2DBD">
        <w:rPr>
          <w:noProof/>
        </w:rPr>
        <w:t>42</w:t>
      </w:r>
      <w:r w:rsidR="00C451A8">
        <w:rPr>
          <w:noProof/>
        </w:rPr>
        <w:fldChar w:fldCharType="end"/>
      </w:r>
      <w:bookmarkEnd w:id="106"/>
      <w:r w:rsidRPr="007B2DBD">
        <w:t xml:space="preserve"> Clinical Studies in patients with ALS</w:t>
      </w:r>
    </w:p>
    <w:p w14:paraId="6C89A84C" w14:textId="77777777"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noProof/>
          <w:szCs w:val="22"/>
          <w:lang w:eastAsia="ja-JP"/>
        </w:rPr>
        <w:drawing>
          <wp:inline distT="0" distB="0" distL="0" distR="0" wp14:anchorId="4A91B606" wp14:editId="61E2F390">
            <wp:extent cx="6907943" cy="3827529"/>
            <wp:effectExtent l="0" t="2858" r="4763" b="4762"/>
            <wp:docPr id="69" name="図 69" descr="A table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table of information&#10;&#10;Description automatically generated with medium confid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16200000">
                      <a:off x="0" y="0"/>
                      <a:ext cx="6969928" cy="3861873"/>
                    </a:xfrm>
                    <a:prstGeom prst="rect">
                      <a:avLst/>
                    </a:prstGeom>
                    <a:noFill/>
                    <a:ln>
                      <a:noFill/>
                    </a:ln>
                  </pic:spPr>
                </pic:pic>
              </a:graphicData>
            </a:graphic>
          </wp:inline>
        </w:drawing>
      </w:r>
    </w:p>
    <w:p w14:paraId="3EB22C1B" w14:textId="5804DDAD"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szCs w:val="22"/>
          <w:lang w:eastAsia="ja-JP"/>
        </w:rPr>
        <w:lastRenderedPageBreak/>
        <w:t>Exposure to edaravone in patients with ALS was limited.  A total of 349 patients received edaravone in the ALS clinical trial program, including 306 subjects who received edaravone for at least 6 months (6 cycles), and 98 subjects who received edaravone for at least 12 months (12 cycles).  With the exception of 5 patients in the Phase 2 study who received edaravone 30 mg/day, patients treated with edaravone in the ALS studies received edaravone 60 mg/day on 14 consecutive days followed by 14 days of no treatment in the first cycle, and then on 10 of 14 days, followed by 14 days of no treatment, for each subsequent cycle.  Treatment in the AIS studies was for 14 days, mostly at a dose of 30 mg</w:t>
      </w:r>
      <w:r w:rsidR="00EC23D0">
        <w:rPr>
          <w:rFonts w:eastAsia="Cambria" w:cs="Times New Roman"/>
          <w:szCs w:val="22"/>
          <w:lang w:eastAsia="ja-JP"/>
        </w:rPr>
        <w:t xml:space="preserve"> </w:t>
      </w:r>
      <w:r w:rsidR="00D3557C">
        <w:rPr>
          <w:rFonts w:eastAsia="Cambria" w:cs="Times New Roman"/>
          <w:szCs w:val="22"/>
          <w:lang w:eastAsia="ja-JP"/>
        </w:rPr>
        <w:t>twice a day</w:t>
      </w:r>
      <w:r w:rsidRPr="007B2DBD">
        <w:rPr>
          <w:rFonts w:eastAsia="Cambria" w:cs="Times New Roman"/>
          <w:szCs w:val="22"/>
          <w:lang w:eastAsia="ja-JP"/>
        </w:rPr>
        <w:t xml:space="preserve"> </w:t>
      </w:r>
      <w:r w:rsidR="00D3557C">
        <w:rPr>
          <w:rFonts w:eastAsia="Cambria" w:cs="Times New Roman"/>
          <w:szCs w:val="22"/>
          <w:lang w:eastAsia="ja-JP"/>
        </w:rPr>
        <w:t>(</w:t>
      </w:r>
      <w:r w:rsidRPr="007B2DBD">
        <w:rPr>
          <w:rFonts w:eastAsia="Cambria" w:cs="Times New Roman"/>
          <w:szCs w:val="22"/>
          <w:lang w:eastAsia="ja-JP"/>
        </w:rPr>
        <w:t>BD</w:t>
      </w:r>
      <w:r w:rsidR="00D3557C">
        <w:rPr>
          <w:rFonts w:eastAsia="Cambria" w:cs="Times New Roman"/>
          <w:szCs w:val="22"/>
          <w:lang w:eastAsia="ja-JP"/>
        </w:rPr>
        <w:t>)</w:t>
      </w:r>
      <w:r w:rsidRPr="007B2DBD">
        <w:rPr>
          <w:rFonts w:eastAsia="Cambria" w:cs="Times New Roman"/>
          <w:szCs w:val="22"/>
          <w:lang w:eastAsia="ja-JP"/>
        </w:rPr>
        <w:t xml:space="preserve">.  Similarly, treatment in the SAH studies was for 14 days, mostly at a dose of 120 mg/day.  </w:t>
      </w:r>
    </w:p>
    <w:p w14:paraId="4E04F3BF" w14:textId="5FE0E5A3" w:rsidR="007B2DBD" w:rsidRPr="007B2DBD" w:rsidRDefault="007B2DBD" w:rsidP="007B2DBD">
      <w:pPr>
        <w:spacing w:before="120" w:line="240" w:lineRule="atLeast"/>
        <w:rPr>
          <w:rFonts w:eastAsia="Cambria" w:cs="Times New Roman"/>
          <w:szCs w:val="22"/>
        </w:rPr>
      </w:pPr>
      <w:r w:rsidRPr="007B2DBD">
        <w:rPr>
          <w:rFonts w:eastAsia="Cambria" w:cs="Times New Roman"/>
          <w:szCs w:val="22"/>
          <w:lang w:eastAsia="ja-JP"/>
        </w:rPr>
        <w:t>The overall incidences of AEs, drug-related AEs, and SAEs in the placebo-controlled ALS dataset (Safety Integrated Analysis Set 1) were similar between the edaravone and placebo groups (</w:t>
      </w:r>
      <w:r w:rsidR="00F40A19">
        <w:rPr>
          <w:rFonts w:eastAsia="Cambria" w:cs="Times New Roman"/>
          <w:szCs w:val="22"/>
          <w:lang w:eastAsia="ja-JP"/>
        </w:rPr>
        <w:t>Table 43</w:t>
      </w:r>
      <w:r w:rsidRPr="007B2DBD">
        <w:rPr>
          <w:rFonts w:eastAsia="Cambria" w:cs="Times New Roman"/>
          <w:szCs w:val="22"/>
          <w:lang w:eastAsia="ja-JP"/>
        </w:rPr>
        <w:t xml:space="preserve">). </w:t>
      </w:r>
      <w:r w:rsidR="003A224A">
        <w:rPr>
          <w:rFonts w:eastAsia="Cambria" w:cs="Times New Roman"/>
          <w:szCs w:val="22"/>
          <w:lang w:eastAsia="ja-JP"/>
        </w:rPr>
        <w:t>Treatment emergent adverse events</w:t>
      </w:r>
      <w:r w:rsidRPr="007B2DBD">
        <w:rPr>
          <w:rFonts w:eastAsia="Cambria" w:cs="Times New Roman"/>
          <w:szCs w:val="22"/>
          <w:lang w:eastAsia="ja-JP"/>
        </w:rPr>
        <w:t xml:space="preserve"> </w:t>
      </w:r>
      <w:r w:rsidR="00914184">
        <w:rPr>
          <w:rFonts w:eastAsia="Cambria" w:cs="Times New Roman"/>
          <w:szCs w:val="22"/>
          <w:lang w:eastAsia="ja-JP"/>
        </w:rPr>
        <w:t>(</w:t>
      </w:r>
      <w:r w:rsidRPr="007B2DBD">
        <w:rPr>
          <w:rFonts w:eastAsia="Cambria" w:cs="Times New Roman"/>
          <w:szCs w:val="22"/>
        </w:rPr>
        <w:t>TEAEs</w:t>
      </w:r>
      <w:r w:rsidR="00914184">
        <w:rPr>
          <w:rFonts w:eastAsia="Cambria" w:cs="Times New Roman"/>
          <w:szCs w:val="22"/>
        </w:rPr>
        <w:t>)</w:t>
      </w:r>
      <w:r w:rsidRPr="007B2DBD">
        <w:rPr>
          <w:rFonts w:eastAsia="Cambria" w:cs="Times New Roman"/>
          <w:szCs w:val="22"/>
        </w:rPr>
        <w:t xml:space="preserve"> by System Organ Class (SOC) and Preferred Term (PT) are summarised in</w:t>
      </w:r>
      <w:r w:rsidR="00F40A19">
        <w:rPr>
          <w:rFonts w:eastAsia="Cambria" w:cs="Times New Roman"/>
          <w:szCs w:val="22"/>
        </w:rPr>
        <w:t xml:space="preserve"> Table 44</w:t>
      </w:r>
      <w:r w:rsidRPr="007B2DBD">
        <w:rPr>
          <w:rFonts w:eastAsia="Cambria" w:cs="Times New Roman"/>
          <w:szCs w:val="22"/>
        </w:rPr>
        <w:t>.  The most frequently reported TEAEs with eda</w:t>
      </w:r>
      <w:r w:rsidR="008F3C39">
        <w:rPr>
          <w:rFonts w:eastAsia="Cambria" w:cs="Times New Roman"/>
          <w:szCs w:val="22"/>
        </w:rPr>
        <w:t>r</w:t>
      </w:r>
      <w:r w:rsidRPr="007B2DBD">
        <w:rPr>
          <w:rFonts w:eastAsia="Cambria" w:cs="Times New Roman"/>
          <w:szCs w:val="22"/>
        </w:rPr>
        <w:t>a</w:t>
      </w:r>
      <w:r w:rsidR="008F3C39">
        <w:rPr>
          <w:rFonts w:eastAsia="Cambria" w:cs="Times New Roman"/>
          <w:szCs w:val="22"/>
        </w:rPr>
        <w:t>v</w:t>
      </w:r>
      <w:r w:rsidRPr="007B2DBD">
        <w:rPr>
          <w:rFonts w:eastAsia="Cambria" w:cs="Times New Roman"/>
          <w:szCs w:val="22"/>
        </w:rPr>
        <w:t>one (≥ 3% and greater than placebo) were contusion (14.7% vs. 8.7%), gait disturbance (12.5% vs. 9.2%), headache (8.2% vs. 5.4%), eczema (6.5% vs. 2.2%), dermatitis contact (6.0% vs. 3.3%), respiratory disorder (4.3% vs. 1.1%), rash (3.8% vs. 2.2%), glucose urine present (3.8% vs. 1.6%), and upper respiratory tract inflammation (3.3% vs. 1.6%).  Analyses of TEAEs by severity did not identify specific safety concerns (</w:t>
      </w:r>
      <w:r w:rsidR="00F40A19">
        <w:rPr>
          <w:rFonts w:eastAsia="Cambria" w:cs="Times New Roman"/>
          <w:szCs w:val="22"/>
        </w:rPr>
        <w:t>Table 45</w:t>
      </w:r>
      <w:r w:rsidRPr="007B2DBD">
        <w:rPr>
          <w:rFonts w:eastAsia="Cambria" w:cs="Times New Roman"/>
          <w:szCs w:val="22"/>
        </w:rPr>
        <w:t xml:space="preserve">).  </w:t>
      </w:r>
    </w:p>
    <w:p w14:paraId="2F07B823" w14:textId="3831E16B"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There were 6 treatment-emergent deaths in the placebo-controlled ALS studies (cycles 1 - 6), 4 in the edaravone group and 2 in the placebo group.  In subsequent cycles (7 - 12), the incidence of death was similar across treatment groups.  The most common cause of death was respiratory failure, as expected for a population of subjects with ALS.</w:t>
      </w:r>
      <w:r w:rsidR="00345AC1">
        <w:rPr>
          <w:rFonts w:eastAsia="Cambria" w:cs="Times New Roman"/>
          <w:szCs w:val="22"/>
        </w:rPr>
        <w:t xml:space="preserve"> </w:t>
      </w:r>
      <w:r w:rsidR="00345AC1" w:rsidRPr="007B2DBD">
        <w:rPr>
          <w:rFonts w:eastAsia="Cambria" w:cs="Times New Roman"/>
          <w:szCs w:val="22"/>
          <w:lang w:eastAsia="ja-JP"/>
        </w:rPr>
        <w:t xml:space="preserve">Analyses of serious AEs (SAEs) in the ALS studies did not identify notable safety concerns.  </w:t>
      </w:r>
    </w:p>
    <w:p w14:paraId="562FD0B5" w14:textId="77777777"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szCs w:val="22"/>
        </w:rPr>
        <w:t xml:space="preserve">TEAEs leading to discontinuation of study drug were reported in 2.2% of subjects in the edaravone group and 5.4% of subjects in the placebo group.  </w:t>
      </w:r>
      <w:r w:rsidRPr="007B2DBD">
        <w:rPr>
          <w:rFonts w:eastAsia="Cambria" w:cs="Times New Roman"/>
          <w:szCs w:val="22"/>
          <w:lang w:eastAsia="ja-JP"/>
        </w:rPr>
        <w:t>One patient treated with edaravone discontinued due to an AE that was thought to be potentially drug-related (“toxic skin eruption” in Cycle 1, which resolved and was rated as non-serious).</w:t>
      </w:r>
    </w:p>
    <w:p w14:paraId="0366A03A" w14:textId="614611AF" w:rsidR="007B2DBD" w:rsidRPr="007B2DBD" w:rsidRDefault="007B2DBD" w:rsidP="008F3C39">
      <w:pPr>
        <w:pStyle w:val="TableTitle"/>
        <w:rPr>
          <w:rFonts w:eastAsia="Times New Roman"/>
          <w:lang w:eastAsia="ja-JP"/>
        </w:rPr>
      </w:pPr>
      <w:bookmarkStart w:id="107" w:name="_Ref116392397"/>
      <w:r w:rsidRPr="007B2DBD">
        <w:t xml:space="preserve">Table </w:t>
      </w:r>
      <w:bookmarkEnd w:id="107"/>
      <w:r w:rsidR="00F40A19">
        <w:t>43</w:t>
      </w:r>
      <w:r w:rsidRPr="007B2DBD">
        <w:t xml:space="preserve"> Overview of TEAEs [Placebo-Controlled Studies (Cycle 1 through 6) - Safety Integrated Analysis Set 1]</w:t>
      </w:r>
    </w:p>
    <w:p w14:paraId="131D76D6" w14:textId="77777777"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noProof/>
          <w:szCs w:val="22"/>
          <w:lang w:eastAsia="ja-JP"/>
        </w:rPr>
        <w:drawing>
          <wp:inline distT="0" distB="0" distL="0" distR="0" wp14:anchorId="47858090" wp14:editId="67A1E5E8">
            <wp:extent cx="5662637" cy="1743075"/>
            <wp:effectExtent l="0" t="0" r="0" b="0"/>
            <wp:docPr id="75" name="図 75"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table with numbers and text&#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79808" cy="1748361"/>
                    </a:xfrm>
                    <a:prstGeom prst="rect">
                      <a:avLst/>
                    </a:prstGeom>
                    <a:noFill/>
                    <a:ln>
                      <a:noFill/>
                    </a:ln>
                  </pic:spPr>
                </pic:pic>
              </a:graphicData>
            </a:graphic>
          </wp:inline>
        </w:drawing>
      </w:r>
    </w:p>
    <w:p w14:paraId="6EFB48CD" w14:textId="324A23A4" w:rsidR="007B2DBD" w:rsidRPr="007B2DBD" w:rsidRDefault="007B2DBD" w:rsidP="008F3C39">
      <w:pPr>
        <w:pStyle w:val="TableTitle"/>
        <w:rPr>
          <w:rFonts w:eastAsia="Times New Roman"/>
          <w:lang w:eastAsia="ja-JP"/>
        </w:rPr>
      </w:pPr>
      <w:bookmarkStart w:id="108" w:name="_Ref116392855"/>
      <w:r w:rsidRPr="007B2DBD">
        <w:lastRenderedPageBreak/>
        <w:t xml:space="preserve">Table </w:t>
      </w:r>
      <w:bookmarkEnd w:id="108"/>
      <w:r w:rsidR="00F40A19">
        <w:t>44</w:t>
      </w:r>
      <w:r w:rsidRPr="007B2DBD">
        <w:t xml:space="preserve"> Incidence of TEAEs Occurring in at Least 2% of Subjects in the Pooled Edaravone Group and Greater than Placebo Pooled [Placebo-Controlled Studies (Cycle 1 through 6) – Safety Integrated Analysis Set 1]</w:t>
      </w:r>
    </w:p>
    <w:p w14:paraId="3924DD61" w14:textId="77777777"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noProof/>
          <w:szCs w:val="22"/>
          <w:lang w:eastAsia="ja-JP"/>
        </w:rPr>
        <w:drawing>
          <wp:inline distT="0" distB="0" distL="0" distR="0" wp14:anchorId="48FDEE11" wp14:editId="50A2D485">
            <wp:extent cx="5867966" cy="4286250"/>
            <wp:effectExtent l="0" t="0" r="0" b="0"/>
            <wp:docPr id="77" name="図 77" descr="A table of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table of medical information&#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84007" cy="4297967"/>
                    </a:xfrm>
                    <a:prstGeom prst="rect">
                      <a:avLst/>
                    </a:prstGeom>
                    <a:noFill/>
                    <a:ln>
                      <a:noFill/>
                    </a:ln>
                  </pic:spPr>
                </pic:pic>
              </a:graphicData>
            </a:graphic>
          </wp:inline>
        </w:drawing>
      </w:r>
    </w:p>
    <w:p w14:paraId="6B2C67F2" w14:textId="7CB9211B" w:rsidR="007B2DBD" w:rsidRPr="007B2DBD" w:rsidRDefault="007B2DBD" w:rsidP="008F3C39">
      <w:pPr>
        <w:pStyle w:val="TableTitle"/>
        <w:rPr>
          <w:rFonts w:eastAsia="Times New Roman"/>
          <w:sz w:val="16"/>
          <w:szCs w:val="16"/>
          <w:lang w:eastAsia="ja-JP"/>
        </w:rPr>
      </w:pPr>
      <w:bookmarkStart w:id="109" w:name="_Ref116393014"/>
      <w:r w:rsidRPr="007B2DBD">
        <w:lastRenderedPageBreak/>
        <w:t xml:space="preserve">Table </w:t>
      </w:r>
      <w:bookmarkEnd w:id="109"/>
      <w:r w:rsidR="00F40A19">
        <w:t>45.</w:t>
      </w:r>
      <w:r w:rsidRPr="007B2DBD">
        <w:t xml:space="preserve"> Incidence of TEAEs Occurring in at Least 2% of Subjects in the Pooled Edaravone Group by Severity [Placebo-Controlled Studies (Cycle 1 through 6) - Safety Integrated Analysis Set 1]</w:t>
      </w:r>
    </w:p>
    <w:p w14:paraId="219CA2FB" w14:textId="77777777" w:rsidR="007B2DBD" w:rsidRPr="007B2DBD" w:rsidRDefault="007B2DBD" w:rsidP="007B2DBD">
      <w:pPr>
        <w:spacing w:before="120" w:line="240" w:lineRule="atLeast"/>
        <w:rPr>
          <w:rFonts w:eastAsia="Cambria" w:cs="Times New Roman"/>
          <w:sz w:val="16"/>
          <w:szCs w:val="16"/>
          <w:lang w:eastAsia="ja-JP"/>
        </w:rPr>
      </w:pPr>
      <w:r w:rsidRPr="007B2DBD">
        <w:rPr>
          <w:rFonts w:eastAsia="Cambria" w:cs="Times New Roman"/>
          <w:noProof/>
          <w:sz w:val="16"/>
          <w:szCs w:val="16"/>
          <w:lang w:eastAsia="ja-JP"/>
        </w:rPr>
        <w:drawing>
          <wp:inline distT="0" distB="0" distL="0" distR="0" wp14:anchorId="11BFE410" wp14:editId="623ED0C4">
            <wp:extent cx="5800038" cy="6246976"/>
            <wp:effectExtent l="0" t="0" r="0" b="190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05658" cy="6253029"/>
                    </a:xfrm>
                    <a:prstGeom prst="rect">
                      <a:avLst/>
                    </a:prstGeom>
                    <a:noFill/>
                    <a:ln>
                      <a:noFill/>
                    </a:ln>
                  </pic:spPr>
                </pic:pic>
              </a:graphicData>
            </a:graphic>
          </wp:inline>
        </w:drawing>
      </w:r>
      <w:r w:rsidRPr="007B2DBD">
        <w:rPr>
          <w:rFonts w:eastAsia="Cambria" w:cs="Times New Roman"/>
          <w:sz w:val="16"/>
          <w:szCs w:val="16"/>
          <w:lang w:eastAsia="ja-JP"/>
        </w:rPr>
        <w:t xml:space="preserve"> </w:t>
      </w:r>
    </w:p>
    <w:p w14:paraId="11253899" w14:textId="1AB0DDD8"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szCs w:val="22"/>
          <w:lang w:eastAsia="ja-JP"/>
        </w:rPr>
        <w:t>AEs by organ system (</w:t>
      </w:r>
      <w:r w:rsidR="00647027">
        <w:rPr>
          <w:rFonts w:eastAsia="Cambria" w:cs="Times New Roman"/>
          <w:szCs w:val="22"/>
          <w:lang w:eastAsia="ja-JP"/>
        </w:rPr>
        <w:t>h</w:t>
      </w:r>
      <w:r w:rsidRPr="007B2DBD">
        <w:rPr>
          <w:rFonts w:eastAsia="Cambria" w:cs="Times New Roman"/>
          <w:szCs w:val="22"/>
          <w:lang w:eastAsia="ja-JP"/>
        </w:rPr>
        <w:t xml:space="preserve">epatic, </w:t>
      </w:r>
      <w:r w:rsidR="00647027">
        <w:rPr>
          <w:rFonts w:eastAsia="Cambria" w:cs="Times New Roman"/>
          <w:szCs w:val="22"/>
          <w:lang w:eastAsia="ja-JP"/>
        </w:rPr>
        <w:t>r</w:t>
      </w:r>
      <w:r w:rsidRPr="007B2DBD">
        <w:rPr>
          <w:rFonts w:eastAsia="Cambria" w:cs="Times New Roman"/>
          <w:szCs w:val="22"/>
          <w:lang w:eastAsia="ja-JP"/>
        </w:rPr>
        <w:t xml:space="preserve">enal, </w:t>
      </w:r>
      <w:r w:rsidR="00647027">
        <w:rPr>
          <w:rFonts w:eastAsia="Cambria" w:cs="Times New Roman"/>
          <w:szCs w:val="22"/>
          <w:lang w:eastAsia="ja-JP"/>
        </w:rPr>
        <w:t>r</w:t>
      </w:r>
      <w:r w:rsidRPr="007B2DBD">
        <w:rPr>
          <w:rFonts w:eastAsia="Cambria" w:cs="Times New Roman"/>
          <w:szCs w:val="22"/>
          <w:lang w:eastAsia="ja-JP"/>
        </w:rPr>
        <w:t xml:space="preserve">espiratory, </w:t>
      </w:r>
      <w:r w:rsidR="00647027">
        <w:rPr>
          <w:rFonts w:eastAsia="Cambria" w:cs="Times New Roman"/>
          <w:szCs w:val="22"/>
          <w:lang w:eastAsia="ja-JP"/>
        </w:rPr>
        <w:t>s</w:t>
      </w:r>
      <w:r w:rsidRPr="007B2DBD">
        <w:rPr>
          <w:rFonts w:eastAsia="Cambria" w:cs="Times New Roman"/>
          <w:szCs w:val="22"/>
          <w:lang w:eastAsia="ja-JP"/>
        </w:rPr>
        <w:t xml:space="preserve">kin) in the ALS studies were reviewed.  There was no evidence of an increased incidence of hepatic or renal AEs in subjects exposed to edaravone.  Respiratory AEs were overall similar across the treatment groups.  Skin AEs were more frequent in the edaravone group compared to placebo (23.4% vs. 19.6%, Safety Integrated Analysis Set 1).  Most Skin TEAEs were mild, 2 were moderate in severity (both led to discontinuation), and none were severe or serious.  </w:t>
      </w:r>
    </w:p>
    <w:p w14:paraId="5BF90F03" w14:textId="4DA7CF7B"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szCs w:val="22"/>
          <w:lang w:eastAsia="ja-JP"/>
        </w:rPr>
        <w:t xml:space="preserve">No clinically important safety concerns were identified in the ALS studies with regard to treatment-emergent changes in liver function tests, renal function, and haematological parameters. No subjects met the criteria for Hy’s law.  </w:t>
      </w:r>
    </w:p>
    <w:p w14:paraId="7CC1C03A" w14:textId="5AA6D78B"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szCs w:val="22"/>
          <w:lang w:eastAsia="ja-JP"/>
        </w:rPr>
        <w:t xml:space="preserve">Urinalysis showed a higher incidence of elevated urinary glucose in edaravone recipients than placebo recipients in the placebo-controlled dataset (23.9% vs. 17.4%), and TEAEs for </w:t>
      </w:r>
      <w:r w:rsidR="00E46160">
        <w:rPr>
          <w:rFonts w:eastAsia="Cambria" w:cs="Times New Roman"/>
          <w:szCs w:val="22"/>
          <w:lang w:eastAsia="ja-JP"/>
        </w:rPr>
        <w:t>g</w:t>
      </w:r>
      <w:r w:rsidRPr="007B2DBD">
        <w:rPr>
          <w:rFonts w:eastAsia="Cambria" w:cs="Times New Roman"/>
          <w:i/>
          <w:iCs/>
          <w:szCs w:val="22"/>
          <w:lang w:eastAsia="ja-JP"/>
        </w:rPr>
        <w:t>lucose urine present</w:t>
      </w:r>
      <w:r w:rsidRPr="007B2DBD">
        <w:rPr>
          <w:rFonts w:eastAsia="Cambria" w:cs="Times New Roman"/>
          <w:szCs w:val="22"/>
          <w:lang w:eastAsia="ja-JP"/>
        </w:rPr>
        <w:t xml:space="preserve"> were reported more frequently in the edaravone group than placebo (</w:t>
      </w:r>
      <w:r w:rsidRPr="007B2DBD">
        <w:rPr>
          <w:rFonts w:eastAsia="Cambria" w:cs="Times New Roman"/>
          <w:szCs w:val="22"/>
        </w:rPr>
        <w:t xml:space="preserve">3.8% vs. </w:t>
      </w:r>
      <w:r w:rsidRPr="007B2DBD">
        <w:rPr>
          <w:rFonts w:eastAsia="Cambria" w:cs="Times New Roman"/>
          <w:szCs w:val="22"/>
        </w:rPr>
        <w:lastRenderedPageBreak/>
        <w:t>1.6%)</w:t>
      </w:r>
      <w:r w:rsidRPr="007B2DBD">
        <w:rPr>
          <w:rFonts w:eastAsia="Cambria" w:cs="Times New Roman"/>
          <w:szCs w:val="22"/>
          <w:lang w:eastAsia="ja-JP"/>
        </w:rPr>
        <w:t xml:space="preserve">. The clinical significance of these glycosuria findings is uncertain as </w:t>
      </w:r>
      <w:r w:rsidRPr="007B2DBD">
        <w:rPr>
          <w:rFonts w:eastAsia="Cambria" w:cs="Times New Roman"/>
          <w:iCs/>
          <w:szCs w:val="22"/>
          <w:lang w:eastAsia="ja-JP"/>
        </w:rPr>
        <w:t xml:space="preserve">blood glucose and glycated haemoglobin (HbA1c) were not monitored in the ALS studies.  The </w:t>
      </w:r>
      <w:r w:rsidR="00C04BB6">
        <w:rPr>
          <w:rFonts w:eastAsia="Cambria" w:cs="Times New Roman"/>
          <w:iCs/>
          <w:szCs w:val="22"/>
          <w:lang w:eastAsia="ja-JP"/>
        </w:rPr>
        <w:t>Sponsor</w:t>
      </w:r>
      <w:r w:rsidRPr="007B2DBD">
        <w:rPr>
          <w:rFonts w:eastAsia="Cambria" w:cs="Times New Roman"/>
          <w:iCs/>
          <w:szCs w:val="22"/>
          <w:lang w:eastAsia="ja-JP"/>
        </w:rPr>
        <w:t xml:space="preserve"> indicated that the lack of monitoring of blood glucose and HbA1c in the ALS studies was based on experience in AIS. </w:t>
      </w:r>
    </w:p>
    <w:p w14:paraId="2FF85E9E" w14:textId="1D60C44C" w:rsidR="007B2DBD" w:rsidRPr="007B2DBD" w:rsidRDefault="007B2DBD" w:rsidP="007B2DBD">
      <w:pPr>
        <w:spacing w:before="120" w:line="240" w:lineRule="atLeast"/>
        <w:rPr>
          <w:rFonts w:eastAsia="Cambria" w:cs="Times New Roman"/>
          <w:szCs w:val="22"/>
        </w:rPr>
      </w:pPr>
      <w:r w:rsidRPr="007B2DBD">
        <w:rPr>
          <w:rFonts w:eastAsia="Cambria" w:cs="Times New Roman"/>
          <w:szCs w:val="22"/>
          <w:lang w:eastAsia="ja-JP"/>
        </w:rPr>
        <w:t xml:space="preserve">ECGs were not routinely assessed in the ALS studies.  The </w:t>
      </w:r>
      <w:r w:rsidR="00C04BB6">
        <w:rPr>
          <w:rFonts w:eastAsia="Cambria" w:cs="Times New Roman"/>
          <w:szCs w:val="22"/>
          <w:lang w:eastAsia="ja-JP"/>
        </w:rPr>
        <w:t>Sponsor</w:t>
      </w:r>
      <w:r w:rsidRPr="007B2DBD">
        <w:rPr>
          <w:rFonts w:eastAsia="Cambria" w:cs="Times New Roman"/>
          <w:szCs w:val="22"/>
          <w:lang w:eastAsia="ja-JP"/>
        </w:rPr>
        <w:t xml:space="preserve"> reported that </w:t>
      </w:r>
      <w:r w:rsidRPr="007B2DBD">
        <w:rPr>
          <w:rFonts w:eastAsia="Cambria" w:cs="Times New Roman"/>
          <w:i/>
          <w:szCs w:val="22"/>
          <w:lang w:eastAsia="ja-JP"/>
        </w:rPr>
        <w:t xml:space="preserve">“In the 5 ALS clinical studies (1 Phase 2 study and 4 Phase 3 studies), ECG was not established as an examination parameter. The ECGs were not assessed during treatment or at the end of dosing and any quantitative analyses of results of ECGs are not available.”  </w:t>
      </w:r>
      <w:r w:rsidRPr="007B2DBD">
        <w:rPr>
          <w:rFonts w:eastAsia="Cambria" w:cs="Times New Roman"/>
          <w:szCs w:val="22"/>
          <w:lang w:eastAsia="ja-JP"/>
        </w:rPr>
        <w:t xml:space="preserve">An independent cardiological review of ECGs obtained in healthy volunteer studies found no evidence of any issues.  </w:t>
      </w:r>
      <w:r w:rsidRPr="007B2DBD">
        <w:rPr>
          <w:rFonts w:eastAsia="Cambria" w:cs="Times New Roman"/>
          <w:iCs/>
          <w:szCs w:val="22"/>
          <w:lang w:eastAsia="ja-JP"/>
        </w:rPr>
        <w:t>A post-marketing QT study (MCI-186-J25)</w:t>
      </w:r>
      <w:r w:rsidRPr="007B2DBD">
        <w:rPr>
          <w:rFonts w:eastAsia="Cambria" w:cs="Times New Roman"/>
          <w:szCs w:val="22"/>
          <w:lang w:eastAsia="ja-JP"/>
        </w:rPr>
        <w:t xml:space="preserve"> </w:t>
      </w:r>
      <w:r w:rsidRPr="007B2DBD">
        <w:rPr>
          <w:rFonts w:eastAsia="Cambria" w:cs="Times New Roman"/>
          <w:szCs w:val="22"/>
        </w:rPr>
        <w:t>showed no evidence of a significant QT effect from edaravone, even at a supratherapeutic dose of 300 mg.</w:t>
      </w:r>
    </w:p>
    <w:p w14:paraId="66529C74"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lang w:eastAsia="ja-JP"/>
        </w:rPr>
        <w:t xml:space="preserve">Hypersensitivity reactions, including anaphylaxis and shock, have been identified as clinically significant adverse drug reactions (ADR) associated with edaravone treatment, based on post-marketing experience in AIS patients in Japan.  One case of shock was reported in the ALS studies (Study 19).  </w:t>
      </w:r>
      <w:r w:rsidRPr="007B2DBD">
        <w:rPr>
          <w:rFonts w:eastAsia="Cambria" w:cs="Times New Roman"/>
          <w:szCs w:val="22"/>
        </w:rPr>
        <w:t xml:space="preserve">Post-marketing safety reviews have identified additional cases of anaphylactic reaction/shock.  </w:t>
      </w:r>
    </w:p>
    <w:p w14:paraId="0A48EBCE"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Analyses of safety by age and gender did not identify specific safety concerns.</w:t>
      </w:r>
    </w:p>
    <w:p w14:paraId="2A8AF343" w14:textId="39CF6F4F"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The non-clinical program identified a potential risk of treatment-related neurotoxicity. There was no clear safety signal for neurotoxicity in the ALS clinical studies; however, this does not exclude the possibility of neurotoxicity as the safety dataset in ALS was relatively small, the double-blind period of the confirmatory studies was only 24 weeks duration, and neurological sequelae arising from drug-related neurotoxicity may be difficult to distinguish in patients with a progressive neurodegenerative condition.  </w:t>
      </w:r>
    </w:p>
    <w:p w14:paraId="58C1F006" w14:textId="77777777" w:rsidR="006530BB" w:rsidRDefault="007B2DBD" w:rsidP="007B2DBD">
      <w:pPr>
        <w:spacing w:before="120" w:line="240" w:lineRule="atLeast"/>
        <w:rPr>
          <w:rFonts w:eastAsia="Cambria" w:cs="Times New Roman"/>
          <w:szCs w:val="22"/>
          <w:lang w:eastAsia="ja-JP"/>
        </w:rPr>
      </w:pPr>
      <w:r w:rsidRPr="007B2DBD">
        <w:rPr>
          <w:rFonts w:eastAsia="Cambria" w:cs="Times New Roman"/>
          <w:szCs w:val="22"/>
          <w:lang w:eastAsia="ja-JP"/>
        </w:rPr>
        <w:t xml:space="preserve">As of 4 November 2017, approximately 4,000 ALS patients and 1.76 million AIS patients have been exposed to edaravone since the first approval in April 2001. The submission presented limited post-marketing data in ALS which did not change the safety profile for ALS.  The </w:t>
      </w:r>
      <w:r w:rsidR="00C04BB6">
        <w:rPr>
          <w:rFonts w:eastAsia="Cambria" w:cs="Times New Roman"/>
          <w:szCs w:val="22"/>
          <w:lang w:eastAsia="ja-JP"/>
        </w:rPr>
        <w:t>Sponsor</w:t>
      </w:r>
      <w:r w:rsidRPr="007B2DBD">
        <w:rPr>
          <w:rFonts w:eastAsia="Cambria" w:cs="Times New Roman"/>
          <w:szCs w:val="22"/>
          <w:lang w:eastAsia="ja-JP"/>
        </w:rPr>
        <w:t xml:space="preserve"> also presented a review of post-marketing safety data for non-ALS indications as of 25 December 2015.  A total of 2,451 AEs (2,205 ADRs) had been reported spontaneously among AIS patients in Japan for commercially available edaravone. The most frequently reported ADRs among AIS patients (100 or more cases) were </w:t>
      </w:r>
      <w:r w:rsidR="009D3997">
        <w:rPr>
          <w:rFonts w:eastAsia="Cambria" w:cs="Times New Roman"/>
          <w:szCs w:val="22"/>
          <w:lang w:eastAsia="ja-JP"/>
        </w:rPr>
        <w:t>r</w:t>
      </w:r>
      <w:r w:rsidRPr="007B2DBD">
        <w:rPr>
          <w:rFonts w:eastAsia="Cambria" w:cs="Times New Roman"/>
          <w:iCs/>
          <w:szCs w:val="22"/>
          <w:lang w:eastAsia="ja-JP"/>
        </w:rPr>
        <w:t xml:space="preserve">enal and urinary disorders (518 cases), </w:t>
      </w:r>
      <w:r w:rsidR="009D3997">
        <w:rPr>
          <w:rFonts w:eastAsia="Cambria" w:cs="Times New Roman"/>
          <w:iCs/>
          <w:szCs w:val="22"/>
          <w:lang w:eastAsia="ja-JP"/>
        </w:rPr>
        <w:t>h</w:t>
      </w:r>
      <w:r w:rsidRPr="007B2DBD">
        <w:rPr>
          <w:rFonts w:eastAsia="Cambria" w:cs="Times New Roman"/>
          <w:iCs/>
          <w:szCs w:val="22"/>
          <w:lang w:eastAsia="ja-JP"/>
        </w:rPr>
        <w:t xml:space="preserve">epatobiliary disorders (474 cases), </w:t>
      </w:r>
      <w:r w:rsidR="009D3997">
        <w:rPr>
          <w:rFonts w:eastAsia="Cambria" w:cs="Times New Roman"/>
          <w:iCs/>
          <w:szCs w:val="22"/>
          <w:lang w:eastAsia="ja-JP"/>
        </w:rPr>
        <w:t>i</w:t>
      </w:r>
      <w:r w:rsidRPr="007B2DBD">
        <w:rPr>
          <w:rFonts w:eastAsia="Cambria" w:cs="Times New Roman"/>
          <w:iCs/>
          <w:szCs w:val="22"/>
          <w:lang w:eastAsia="ja-JP"/>
        </w:rPr>
        <w:t xml:space="preserve">nvestigations (313 cases), </w:t>
      </w:r>
      <w:r w:rsidR="009D3997">
        <w:rPr>
          <w:rFonts w:eastAsia="Cambria" w:cs="Times New Roman"/>
          <w:iCs/>
          <w:szCs w:val="22"/>
          <w:lang w:eastAsia="ja-JP"/>
        </w:rPr>
        <w:t>s</w:t>
      </w:r>
      <w:r w:rsidRPr="007B2DBD">
        <w:rPr>
          <w:rFonts w:eastAsia="Cambria" w:cs="Times New Roman"/>
          <w:iCs/>
          <w:szCs w:val="22"/>
          <w:lang w:eastAsia="ja-JP"/>
        </w:rPr>
        <w:t xml:space="preserve">kin and subcutaneous tissue disorders (130 cases), </w:t>
      </w:r>
      <w:r w:rsidR="003C13A6">
        <w:rPr>
          <w:rFonts w:eastAsia="Cambria" w:cs="Times New Roman"/>
          <w:iCs/>
          <w:szCs w:val="22"/>
          <w:lang w:eastAsia="ja-JP"/>
        </w:rPr>
        <w:t>b</w:t>
      </w:r>
      <w:r w:rsidRPr="007B2DBD">
        <w:rPr>
          <w:rFonts w:eastAsia="Cambria" w:cs="Times New Roman"/>
          <w:iCs/>
          <w:szCs w:val="22"/>
          <w:lang w:eastAsia="ja-JP"/>
        </w:rPr>
        <w:t xml:space="preserve">lood and lymphatic system disorders (125 cases), and </w:t>
      </w:r>
      <w:r w:rsidR="003C13A6">
        <w:rPr>
          <w:rFonts w:eastAsia="Cambria" w:cs="Times New Roman"/>
          <w:iCs/>
          <w:szCs w:val="22"/>
          <w:lang w:eastAsia="ja-JP"/>
        </w:rPr>
        <w:t>g</w:t>
      </w:r>
      <w:r w:rsidRPr="007B2DBD">
        <w:rPr>
          <w:rFonts w:eastAsia="Cambria" w:cs="Times New Roman"/>
          <w:iCs/>
          <w:szCs w:val="22"/>
          <w:lang w:eastAsia="ja-JP"/>
        </w:rPr>
        <w:t xml:space="preserve">eneral disorders and administration site conditions </w:t>
      </w:r>
      <w:r w:rsidRPr="007B2DBD">
        <w:rPr>
          <w:rFonts w:eastAsia="Cambria" w:cs="Times New Roman"/>
          <w:szCs w:val="22"/>
          <w:lang w:eastAsia="ja-JP"/>
        </w:rPr>
        <w:t>(120 cases).</w:t>
      </w:r>
    </w:p>
    <w:p w14:paraId="7020262F" w14:textId="77777777" w:rsidR="007B2DBD" w:rsidRPr="007B2DBD" w:rsidRDefault="007B2DBD" w:rsidP="00D06D73">
      <w:pPr>
        <w:pStyle w:val="Heading4"/>
      </w:pPr>
      <w:bookmarkStart w:id="110" w:name="_Toc12019957"/>
      <w:bookmarkStart w:id="111" w:name="_Toc174517610"/>
      <w:r w:rsidRPr="007B2DBD">
        <w:t>Discussion</w:t>
      </w:r>
      <w:bookmarkEnd w:id="110"/>
      <w:bookmarkEnd w:id="111"/>
    </w:p>
    <w:p w14:paraId="1C65DC0D" w14:textId="77777777" w:rsidR="007B2DBD" w:rsidRPr="007B2DBD" w:rsidRDefault="007B2DBD" w:rsidP="00D06D73">
      <w:pPr>
        <w:pStyle w:val="Heading5"/>
        <w:rPr>
          <w:rFonts w:eastAsia="Cambria"/>
        </w:rPr>
      </w:pPr>
      <w:r w:rsidRPr="007B2DBD">
        <w:rPr>
          <w:rFonts w:eastAsia="Cambria"/>
        </w:rPr>
        <w:t>Efficacy</w:t>
      </w:r>
    </w:p>
    <w:p w14:paraId="0AB7A5AF"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The submission presented four Phase 3 efficacy studies in patients with ALS:</w:t>
      </w:r>
    </w:p>
    <w:p w14:paraId="425BDE93" w14:textId="77777777" w:rsidR="007B2DBD" w:rsidRPr="007B2DBD" w:rsidRDefault="007B2DBD" w:rsidP="006530BB">
      <w:pPr>
        <w:pStyle w:val="ListBullet"/>
        <w:rPr>
          <w:lang w:eastAsia="ja-JP"/>
        </w:rPr>
      </w:pPr>
      <w:r w:rsidRPr="007B2DBD">
        <w:rPr>
          <w:lang w:eastAsia="ja-JP"/>
        </w:rPr>
        <w:t xml:space="preserve">Study 16, the initial confirmatory study in patients with Grade 1 or 2 ALS. </w:t>
      </w:r>
    </w:p>
    <w:p w14:paraId="5976897D" w14:textId="77777777" w:rsidR="007B2DBD" w:rsidRPr="007B2DBD" w:rsidRDefault="007B2DBD" w:rsidP="006530BB">
      <w:pPr>
        <w:pStyle w:val="ListBullet"/>
        <w:rPr>
          <w:lang w:eastAsia="ja-JP"/>
        </w:rPr>
      </w:pPr>
      <w:r w:rsidRPr="007B2DBD">
        <w:rPr>
          <w:lang w:eastAsia="ja-JP"/>
        </w:rPr>
        <w:t xml:space="preserve">Study 19, the second confirmatory study designed to assess efficacy in a restricted population based on </w:t>
      </w:r>
      <w:r w:rsidRPr="007B2DBD">
        <w:rPr>
          <w:i/>
          <w:lang w:eastAsia="ja-JP"/>
        </w:rPr>
        <w:t>post hoc</w:t>
      </w:r>
      <w:r w:rsidRPr="007B2DBD">
        <w:rPr>
          <w:lang w:eastAsia="ja-JP"/>
        </w:rPr>
        <w:t xml:space="preserve"> findings from Study 16.</w:t>
      </w:r>
    </w:p>
    <w:p w14:paraId="33856351" w14:textId="77777777" w:rsidR="007B2DBD" w:rsidRPr="007B2DBD" w:rsidRDefault="007B2DBD" w:rsidP="006530BB">
      <w:pPr>
        <w:pStyle w:val="ListBullet"/>
        <w:rPr>
          <w:lang w:eastAsia="ja-JP"/>
        </w:rPr>
      </w:pPr>
      <w:r w:rsidRPr="007B2DBD">
        <w:rPr>
          <w:lang w:eastAsia="ja-JP"/>
        </w:rPr>
        <w:t xml:space="preserve">Study 17, an extension study of Study 16. </w:t>
      </w:r>
    </w:p>
    <w:p w14:paraId="1F3FEB47" w14:textId="77777777" w:rsidR="007B2DBD" w:rsidRDefault="007B2DBD" w:rsidP="006530BB">
      <w:pPr>
        <w:pStyle w:val="ListBullet"/>
        <w:rPr>
          <w:lang w:eastAsia="ja-JP"/>
        </w:rPr>
      </w:pPr>
      <w:r w:rsidRPr="007B2DBD">
        <w:rPr>
          <w:lang w:eastAsia="ja-JP"/>
        </w:rPr>
        <w:t>Study 18, an exploratory study in patients with Grade 3 ALS.</w:t>
      </w:r>
    </w:p>
    <w:p w14:paraId="7231B5E4"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Study 19 was the only study to demonstrate a therapeutic benefit, showing a significant reduction in the decline in the primary efficacy variable, ALSFRS-R, over 6 cycles of treatment compared to placebo.  Studies 16, 17, and 18 were all negative studies which failed to demonstrate a significant benefit for the primary endpoints.  Consequently, Study 19 is the pivotal study for efficacy in this application.</w:t>
      </w:r>
    </w:p>
    <w:p w14:paraId="781BE762" w14:textId="77777777"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szCs w:val="22"/>
        </w:rPr>
        <w:lastRenderedPageBreak/>
        <w:t xml:space="preserve">Study 19 evaluated efficacy in a restricted population of patients with Grade 1 or 2 ALS based on the criteria used to define the </w:t>
      </w:r>
      <w:r w:rsidRPr="007B2DBD">
        <w:rPr>
          <w:rFonts w:eastAsia="Cambria" w:cs="Times New Roman"/>
          <w:i/>
          <w:iCs/>
          <w:szCs w:val="22"/>
          <w:lang w:eastAsia="ja-JP"/>
        </w:rPr>
        <w:t>definite or probable/EESP/2y</w:t>
      </w:r>
      <w:r w:rsidRPr="007B2DBD">
        <w:rPr>
          <w:rFonts w:eastAsia="Cambria" w:cs="Times New Roman"/>
          <w:szCs w:val="22"/>
          <w:lang w:eastAsia="ja-JP"/>
        </w:rPr>
        <w:t xml:space="preserve"> population in the </w:t>
      </w:r>
      <w:r w:rsidRPr="007B2DBD">
        <w:rPr>
          <w:rFonts w:eastAsia="Cambria" w:cs="Times New Roman"/>
          <w:i/>
          <w:iCs/>
          <w:szCs w:val="22"/>
          <w:lang w:eastAsia="ja-JP"/>
        </w:rPr>
        <w:t>post hoc</w:t>
      </w:r>
      <w:r w:rsidRPr="007B2DBD">
        <w:rPr>
          <w:rFonts w:eastAsia="Cambria" w:cs="Times New Roman"/>
          <w:szCs w:val="22"/>
          <w:lang w:eastAsia="ja-JP"/>
        </w:rPr>
        <w:t xml:space="preserve"> analysis of Study 16:</w:t>
      </w:r>
    </w:p>
    <w:p w14:paraId="618888AB" w14:textId="77777777" w:rsidR="007B2DBD" w:rsidRPr="007B2DBD" w:rsidRDefault="007B2DBD" w:rsidP="006530BB">
      <w:pPr>
        <w:pStyle w:val="ListBullet"/>
        <w:rPr>
          <w:lang w:eastAsia="ja-JP"/>
        </w:rPr>
      </w:pPr>
      <w:r w:rsidRPr="007B2DBD">
        <w:rPr>
          <w:lang w:eastAsia="ja-JP"/>
        </w:rPr>
        <w:t>“Definite” or “Probable” ALS diagnosis according to El Escorial revised Airlie House diagnostic criteria.</w:t>
      </w:r>
    </w:p>
    <w:p w14:paraId="4DF001E1" w14:textId="77777777" w:rsidR="007B2DBD" w:rsidRPr="007B2DBD" w:rsidRDefault="007B2DBD" w:rsidP="006530BB">
      <w:pPr>
        <w:pStyle w:val="ListBullet"/>
        <w:rPr>
          <w:lang w:eastAsia="ja-JP"/>
        </w:rPr>
      </w:pPr>
      <w:r w:rsidRPr="007B2DBD">
        <w:rPr>
          <w:lang w:eastAsia="ja-JP"/>
        </w:rPr>
        <w:t>less than 2 years since symptom onset.</w:t>
      </w:r>
    </w:p>
    <w:p w14:paraId="0B84F4F3" w14:textId="77777777" w:rsidR="007B2DBD" w:rsidRPr="007B2DBD" w:rsidRDefault="007B2DBD" w:rsidP="006530BB">
      <w:pPr>
        <w:pStyle w:val="ListBullet"/>
        <w:rPr>
          <w:lang w:eastAsia="ja-JP"/>
        </w:rPr>
      </w:pPr>
      <w:r w:rsidRPr="007B2DBD">
        <w:rPr>
          <w:lang w:eastAsia="ja-JP"/>
        </w:rPr>
        <w:t>each item of the ALSFRS-R score ≥ 2.</w:t>
      </w:r>
    </w:p>
    <w:p w14:paraId="06B5CA73" w14:textId="77777777" w:rsidR="007B2DBD" w:rsidRDefault="007B2DBD" w:rsidP="006530BB">
      <w:pPr>
        <w:pStyle w:val="ListBullet"/>
        <w:rPr>
          <w:lang w:eastAsia="ja-JP"/>
        </w:rPr>
      </w:pPr>
      <w:r w:rsidRPr="007B2DBD">
        <w:rPr>
          <w:szCs w:val="22"/>
          <w:lang w:eastAsia="ja-JP"/>
        </w:rPr>
        <w:t>normal respiratory function (%FVC ≥80%)</w:t>
      </w:r>
      <w:r w:rsidRPr="007B2DBD">
        <w:rPr>
          <w:lang w:eastAsia="ja-JP"/>
        </w:rPr>
        <w:t>.</w:t>
      </w:r>
    </w:p>
    <w:p w14:paraId="07244BCA"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Subjects also needed to have a decline in ALSFRS-R score of 1 to 4 points during the 12-week pre-observation period of the study </w:t>
      </w:r>
      <w:proofErr w:type="gramStart"/>
      <w:r w:rsidRPr="007B2DBD">
        <w:rPr>
          <w:rFonts w:eastAsia="Cambria" w:cs="Times New Roman"/>
          <w:szCs w:val="22"/>
        </w:rPr>
        <w:t>in order to</w:t>
      </w:r>
      <w:proofErr w:type="gramEnd"/>
      <w:r w:rsidRPr="007B2DBD">
        <w:rPr>
          <w:rFonts w:eastAsia="Cambria" w:cs="Times New Roman"/>
          <w:szCs w:val="22"/>
        </w:rPr>
        <w:t xml:space="preserve"> be eligible for the randomised-controlled part of the study.</w:t>
      </w:r>
    </w:p>
    <w:p w14:paraId="167C25BB" w14:textId="51D8152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Study 19 met its primary endpoint, </w:t>
      </w:r>
      <w:r w:rsidR="00B61627">
        <w:rPr>
          <w:rFonts w:eastAsia="Cambria" w:cs="Times New Roman"/>
          <w:szCs w:val="22"/>
        </w:rPr>
        <w:t xml:space="preserve">i.e. </w:t>
      </w:r>
      <w:r w:rsidRPr="007B2DBD">
        <w:rPr>
          <w:rFonts w:eastAsia="Cambria" w:cs="Times New Roman"/>
          <w:szCs w:val="22"/>
        </w:rPr>
        <w:t xml:space="preserve">change in ALSFRS-R from baseline in Cycle 1 to the end of Cycle 6 (or discontinuation).  The adjusted LSMean change in ALSFRS-R was -5.01 for the edaravone group and -7.50 for the placebo group, a difference of 2.49 (95% CI: 0.99, 3.98, p=0.0013).  </w:t>
      </w:r>
      <w:r w:rsidRPr="007B2DBD">
        <w:rPr>
          <w:rFonts w:eastAsia="Cambria" w:cs="Times New Roman"/>
          <w:szCs w:val="22"/>
          <w:lang w:eastAsia="ja-JP"/>
        </w:rPr>
        <w:t xml:space="preserve">Multiple sensitivity analyses were supportive of the primary analysis.  </w:t>
      </w:r>
      <w:r w:rsidRPr="007B2DBD">
        <w:rPr>
          <w:rFonts w:eastAsia="Cambria" w:cs="Times New Roman"/>
          <w:szCs w:val="22"/>
        </w:rPr>
        <w:t xml:space="preserve">The magnitude of the demonstrated benefit in ALSFRS-R is likely to be clinically meaningful.  </w:t>
      </w:r>
    </w:p>
    <w:p w14:paraId="33C023E4" w14:textId="45CF0AEE" w:rsidR="007B2DBD" w:rsidRPr="007B2DBD" w:rsidRDefault="007B2DBD" w:rsidP="007B2DBD">
      <w:pPr>
        <w:spacing w:before="120" w:line="240" w:lineRule="atLeast"/>
        <w:rPr>
          <w:rFonts w:eastAsia="Cambria" w:cs="Times New Roman"/>
          <w:noProof/>
          <w:szCs w:val="22"/>
          <w:lang w:eastAsia="ja-JP"/>
        </w:rPr>
      </w:pPr>
      <w:r w:rsidRPr="007B2DBD">
        <w:rPr>
          <w:rFonts w:eastAsia="Cambria" w:cs="Times New Roman"/>
          <w:szCs w:val="22"/>
        </w:rPr>
        <w:t xml:space="preserve">Secondary efficacy endpoints were inconsistent in supporting a treatment benefit.  Some, but not all, of the secondary endpoints reached nominal significance, but no adjustment was applied for multiplicity.  The overall number of events for </w:t>
      </w:r>
      <w:r w:rsidR="007A3726" w:rsidRPr="002F22E2">
        <w:rPr>
          <w:rFonts w:eastAsia="Cambria" w:cs="Times New Roman"/>
          <w:i/>
          <w:iCs/>
          <w:szCs w:val="22"/>
        </w:rPr>
        <w:t>t</w:t>
      </w:r>
      <w:r w:rsidRPr="007B2DBD">
        <w:rPr>
          <w:rFonts w:eastAsia="Cambria" w:cs="Times New Roman"/>
          <w:i/>
          <w:iCs/>
          <w:szCs w:val="22"/>
        </w:rPr>
        <w:t>ime to death or certain disease progression</w:t>
      </w:r>
      <w:r w:rsidRPr="007B2DBD">
        <w:rPr>
          <w:rFonts w:eastAsia="Cambria" w:cs="Times New Roman"/>
          <w:szCs w:val="22"/>
        </w:rPr>
        <w:t xml:space="preserve"> was low (6 events in the placebo group, 2 events in the edaravone group) and the difference between groups did not reach nominal significance.  There were no deaths during the double-blind treatment period, so the study was not able to demonstrate a survival benefit for edaravone compared to placebo.  </w:t>
      </w:r>
      <w:r w:rsidRPr="007B2DBD">
        <w:rPr>
          <w:rFonts w:eastAsia="Cambria" w:cs="Times New Roman"/>
          <w:i/>
          <w:iCs/>
          <w:szCs w:val="22"/>
        </w:rPr>
        <w:t>Change in ALSFRS-R score by domain</w:t>
      </w:r>
      <w:r w:rsidRPr="007B2DBD">
        <w:rPr>
          <w:rFonts w:eastAsia="Cambria" w:cs="Times New Roman"/>
          <w:szCs w:val="22"/>
        </w:rPr>
        <w:t xml:space="preserve"> showed inconsistent results, with nominally significant results for the bulbar and limb components, but not for the respiratory component.  </w:t>
      </w:r>
      <w:r w:rsidRPr="007B2DBD">
        <w:rPr>
          <w:rFonts w:eastAsia="Cambria" w:cs="Times New Roman"/>
          <w:szCs w:val="22"/>
          <w:lang w:eastAsia="ja-JP"/>
        </w:rPr>
        <w:t xml:space="preserve">For </w:t>
      </w:r>
      <w:r w:rsidRPr="007B2DBD">
        <w:rPr>
          <w:rFonts w:eastAsia="Cambria" w:cs="Times New Roman"/>
          <w:i/>
          <w:iCs/>
          <w:szCs w:val="22"/>
          <w:lang w:eastAsia="ja-JP"/>
        </w:rPr>
        <w:t>%FVC</w:t>
      </w:r>
      <w:r w:rsidRPr="007B2DBD">
        <w:rPr>
          <w:rFonts w:eastAsia="Cambria" w:cs="Times New Roman"/>
          <w:szCs w:val="22"/>
          <w:lang w:eastAsia="ja-JP"/>
        </w:rPr>
        <w:t xml:space="preserve">, there was a trend to greater decline in the placebo group, but the between-group difference did not achieve nominal significance.  The </w:t>
      </w:r>
      <w:r w:rsidRPr="007B2DBD">
        <w:rPr>
          <w:rFonts w:eastAsia="Cambria" w:cs="Times New Roman"/>
          <w:i/>
          <w:iCs/>
          <w:noProof/>
          <w:szCs w:val="22"/>
          <w:lang w:eastAsia="ja-JP"/>
        </w:rPr>
        <w:t>Modified Norris Scale Score</w:t>
      </w:r>
      <w:r w:rsidRPr="007B2DBD">
        <w:rPr>
          <w:rFonts w:eastAsia="Cambria" w:cs="Times New Roman"/>
          <w:noProof/>
          <w:szCs w:val="22"/>
          <w:lang w:eastAsia="ja-JP"/>
        </w:rPr>
        <w:t xml:space="preserve"> showed a nominal benefit for total score, but not for the bulbar or limb scores.  </w:t>
      </w:r>
      <w:r w:rsidRPr="007B2DBD">
        <w:rPr>
          <w:rFonts w:eastAsia="Cambria" w:cs="Times New Roman"/>
          <w:szCs w:val="22"/>
          <w:lang w:eastAsia="ja-JP"/>
        </w:rPr>
        <w:t xml:space="preserve">The </w:t>
      </w:r>
      <w:r w:rsidRPr="007B2DBD">
        <w:rPr>
          <w:rFonts w:eastAsia="Cambria" w:cs="Times New Roman"/>
          <w:i/>
          <w:iCs/>
          <w:szCs w:val="22"/>
          <w:lang w:eastAsia="ja-JP"/>
        </w:rPr>
        <w:t>ALSAQ40</w:t>
      </w:r>
      <w:r w:rsidRPr="007B2DBD">
        <w:rPr>
          <w:rFonts w:eastAsia="Cambria" w:cs="Times New Roman"/>
          <w:szCs w:val="22"/>
          <w:lang w:eastAsia="ja-JP"/>
        </w:rPr>
        <w:t xml:space="preserve"> showed a nominally significant improvement in quality of life.  No benefit was observed for grip strength or pinch-grip strength.</w:t>
      </w:r>
      <w:r w:rsidRPr="007B2DBD">
        <w:rPr>
          <w:rFonts w:eastAsia="Cambria" w:cs="Times New Roman"/>
          <w:noProof/>
          <w:szCs w:val="22"/>
          <w:lang w:eastAsia="ja-JP"/>
        </w:rPr>
        <w:t xml:space="preserve">  </w:t>
      </w:r>
    </w:p>
    <w:p w14:paraId="6D2DBB11" w14:textId="32E33549" w:rsidR="007B2DBD" w:rsidRPr="007B2DBD" w:rsidRDefault="007B2DBD" w:rsidP="007B2DBD">
      <w:pPr>
        <w:spacing w:before="120" w:line="240" w:lineRule="atLeast"/>
        <w:rPr>
          <w:rFonts w:eastAsia="Cambria" w:cs="Times New Roman"/>
          <w:noProof/>
          <w:szCs w:val="22"/>
          <w:lang w:eastAsia="ja-JP"/>
        </w:rPr>
      </w:pPr>
      <w:r w:rsidRPr="007B2DBD">
        <w:rPr>
          <w:rFonts w:eastAsia="Cambria" w:cs="Times New Roman"/>
          <w:szCs w:val="22"/>
        </w:rPr>
        <w:t xml:space="preserve">Interpretation of efficacy findings in the </w:t>
      </w:r>
      <w:r w:rsidR="00EB1E03" w:rsidRPr="002F22E2">
        <w:rPr>
          <w:rFonts w:eastAsia="Cambria" w:cs="Times New Roman"/>
          <w:i/>
          <w:iCs/>
          <w:szCs w:val="22"/>
        </w:rPr>
        <w:t>a</w:t>
      </w:r>
      <w:r w:rsidRPr="007B2DBD">
        <w:rPr>
          <w:rFonts w:eastAsia="Cambria" w:cs="Times New Roman"/>
          <w:i/>
          <w:iCs/>
          <w:szCs w:val="22"/>
        </w:rPr>
        <w:t>ctive treatment period</w:t>
      </w:r>
      <w:r w:rsidRPr="007B2DBD">
        <w:rPr>
          <w:rFonts w:eastAsia="Cambria" w:cs="Times New Roman"/>
          <w:szCs w:val="22"/>
        </w:rPr>
        <w:t xml:space="preserve"> of Study 19 is limited as all patients in this phase of the study received open-label edaravone.   </w:t>
      </w:r>
    </w:p>
    <w:p w14:paraId="0E6E61D5" w14:textId="7D397F23" w:rsidR="007B2DBD" w:rsidRPr="007B2DBD" w:rsidRDefault="007B2DBD" w:rsidP="007B2DBD">
      <w:pPr>
        <w:spacing w:before="120" w:line="240" w:lineRule="atLeast"/>
        <w:rPr>
          <w:rFonts w:eastAsia="Cambria" w:cs="Times New Roman"/>
          <w:color w:val="FF0000"/>
          <w:szCs w:val="22"/>
        </w:rPr>
      </w:pPr>
      <w:r w:rsidRPr="007B2DBD">
        <w:rPr>
          <w:rFonts w:eastAsia="Cambria" w:cs="Times New Roman"/>
          <w:szCs w:val="22"/>
        </w:rPr>
        <w:t>The initial confirmatory study, Study 16, was a randomised, placebo-controlled study designed to evaluate the efficacy of edaravone in patients with ALS Grade 1 or 2.  This study was negative for its primary endpoint, change in ALSFRS-R, and secondary endpoints, including progression milestones, functional assessments, and strength assessments.  Consequently, this study does not support the efficacy of edaravone in patients with Grade 1 or 2 ALS.</w:t>
      </w:r>
      <w:r w:rsidRPr="007B2DBD">
        <w:rPr>
          <w:rFonts w:eastAsia="Times New Roman" w:cs="Times New Roman"/>
          <w:szCs w:val="22"/>
        </w:rPr>
        <w:t xml:space="preserve">  </w:t>
      </w:r>
      <w:r w:rsidRPr="007B2DBD">
        <w:rPr>
          <w:rFonts w:eastAsia="Cambria" w:cs="Times New Roman"/>
          <w:szCs w:val="22"/>
        </w:rPr>
        <w:t xml:space="preserve">A </w:t>
      </w:r>
      <w:r w:rsidRPr="007B2DBD">
        <w:rPr>
          <w:rFonts w:eastAsia="Cambria" w:cs="Times New Roman"/>
          <w:i/>
          <w:szCs w:val="22"/>
        </w:rPr>
        <w:t>post hoc</w:t>
      </w:r>
      <w:r w:rsidRPr="007B2DBD">
        <w:rPr>
          <w:rFonts w:eastAsia="Cambria" w:cs="Times New Roman"/>
          <w:szCs w:val="22"/>
        </w:rPr>
        <w:t xml:space="preserve"> analysis after data unblinding applied multiple restrictive selection criteria to show nominally significant treatment effects in the </w:t>
      </w:r>
      <w:r w:rsidRPr="007B2DBD">
        <w:rPr>
          <w:rFonts w:eastAsia="Cambria" w:cs="Times New Roman"/>
          <w:i/>
          <w:iCs/>
          <w:szCs w:val="22"/>
          <w:lang w:eastAsia="ja-JP"/>
        </w:rPr>
        <w:t>EESP</w:t>
      </w:r>
      <w:r w:rsidRPr="007B2DBD">
        <w:rPr>
          <w:rFonts w:eastAsia="Cambria" w:cs="Times New Roman"/>
          <w:szCs w:val="22"/>
        </w:rPr>
        <w:t xml:space="preserve"> and </w:t>
      </w:r>
      <w:r w:rsidRPr="007B2DBD">
        <w:rPr>
          <w:rFonts w:eastAsia="Cambria" w:cs="Times New Roman"/>
          <w:i/>
          <w:iCs/>
          <w:szCs w:val="22"/>
          <w:lang w:eastAsia="ja-JP"/>
        </w:rPr>
        <w:t>definite or probable/EESP/2y</w:t>
      </w:r>
      <w:r w:rsidRPr="007B2DBD">
        <w:rPr>
          <w:rFonts w:eastAsia="Cambria" w:cs="Times New Roman"/>
          <w:szCs w:val="22"/>
        </w:rPr>
        <w:t xml:space="preserve"> sub-populations.  The </w:t>
      </w:r>
      <w:r w:rsidRPr="007B2DBD">
        <w:rPr>
          <w:rFonts w:eastAsia="Cambria" w:cs="Times New Roman"/>
          <w:i/>
          <w:iCs/>
          <w:szCs w:val="22"/>
          <w:lang w:eastAsia="ja-JP"/>
        </w:rPr>
        <w:t>definite or probable/EESP/2y</w:t>
      </w:r>
      <w:r w:rsidRPr="007B2DBD">
        <w:rPr>
          <w:rFonts w:eastAsia="Cambria" w:cs="Times New Roman"/>
          <w:szCs w:val="22"/>
        </w:rPr>
        <w:t xml:space="preserve"> sub-population excluded ∼65% of subjects in the FAS.  From this process, the </w:t>
      </w:r>
      <w:r w:rsidR="00C04BB6">
        <w:rPr>
          <w:rFonts w:eastAsia="Cambria" w:cs="Times New Roman"/>
          <w:szCs w:val="22"/>
        </w:rPr>
        <w:t>Sponsor</w:t>
      </w:r>
      <w:r w:rsidRPr="007B2DBD">
        <w:rPr>
          <w:rFonts w:eastAsia="Cambria" w:cs="Times New Roman"/>
          <w:szCs w:val="22"/>
        </w:rPr>
        <w:t xml:space="preserve"> generated the hypothesis that efficacy of edaravone may be demonstrable in a restricted population of patients.  The </w:t>
      </w:r>
      <w:r w:rsidRPr="007B2DBD">
        <w:rPr>
          <w:rFonts w:eastAsia="Cambria" w:cs="Times New Roman"/>
          <w:i/>
          <w:iCs/>
          <w:szCs w:val="22"/>
        </w:rPr>
        <w:t>post hoc</w:t>
      </w:r>
      <w:r w:rsidRPr="007B2DBD">
        <w:rPr>
          <w:rFonts w:eastAsia="Cambria" w:cs="Times New Roman"/>
          <w:szCs w:val="22"/>
        </w:rPr>
        <w:t xml:space="preserve"> findings from Study 16 informed the design of Study </w:t>
      </w:r>
      <w:r w:rsidR="006530BB" w:rsidRPr="007B2DBD">
        <w:rPr>
          <w:rFonts w:eastAsia="Cambria" w:cs="Times New Roman"/>
          <w:szCs w:val="22"/>
        </w:rPr>
        <w:t>19</w:t>
      </w:r>
      <w:r w:rsidR="006530BB">
        <w:rPr>
          <w:rFonts w:eastAsia="Cambria" w:cs="Times New Roman"/>
          <w:szCs w:val="22"/>
        </w:rPr>
        <w:t xml:space="preserve"> but</w:t>
      </w:r>
      <w:r w:rsidRPr="007B2DBD">
        <w:rPr>
          <w:rFonts w:eastAsia="Cambria" w:cs="Times New Roman"/>
          <w:szCs w:val="22"/>
        </w:rPr>
        <w:t xml:space="preserve"> should not be relied on as evidence of efficacy because the restricted population was identified after efficacy outcomes were known.  </w:t>
      </w:r>
    </w:p>
    <w:p w14:paraId="3BABD629" w14:textId="7EA23CA9" w:rsidR="007B2DBD" w:rsidRPr="007B2DBD" w:rsidRDefault="007B2DBD" w:rsidP="007B2DBD">
      <w:pPr>
        <w:spacing w:before="120" w:line="240" w:lineRule="atLeast"/>
        <w:rPr>
          <w:rFonts w:eastAsia="Cambria" w:cs="Times New Roman"/>
          <w:color w:val="FF0000"/>
          <w:szCs w:val="22"/>
        </w:rPr>
      </w:pPr>
      <w:r w:rsidRPr="007B2DBD">
        <w:rPr>
          <w:rFonts w:eastAsia="Cambria" w:cs="Times New Roman"/>
          <w:szCs w:val="22"/>
        </w:rPr>
        <w:t>Study 17, an extension of Study 16, used a randomised, placebo-controlled design to assess the benefit of continuing edaravone versus switching to placebo in subjects who had completed Study 16.  It also assessed efficacy in subjects treated with placebo in Study 16 and edaravone in Study 17.  No significant benefit was observed with edaravone compared to placebo for the primary endpoint, change in ALSFRS-R</w:t>
      </w:r>
      <w:r w:rsidR="00522268">
        <w:rPr>
          <w:rFonts w:eastAsia="Cambria" w:cs="Times New Roman"/>
          <w:szCs w:val="22"/>
        </w:rPr>
        <w:t xml:space="preserve"> score</w:t>
      </w:r>
      <w:r w:rsidRPr="007B2DBD">
        <w:rPr>
          <w:rFonts w:eastAsia="Cambria" w:cs="Times New Roman"/>
          <w:szCs w:val="22"/>
        </w:rPr>
        <w:t xml:space="preserve">. The majority of secondary endpoints were also negative, with the exception of the limb component of the </w:t>
      </w:r>
      <w:r w:rsidR="0047264F">
        <w:rPr>
          <w:rFonts w:eastAsia="Cambria" w:cs="Times New Roman"/>
          <w:szCs w:val="22"/>
        </w:rPr>
        <w:t>M</w:t>
      </w:r>
      <w:r w:rsidRPr="007B2DBD">
        <w:rPr>
          <w:rFonts w:eastAsia="Cambria" w:cs="Times New Roman"/>
          <w:szCs w:val="22"/>
        </w:rPr>
        <w:t xml:space="preserve">odified Norris Scale, which showed a nominally significant </w:t>
      </w:r>
      <w:r w:rsidR="008F3C39" w:rsidRPr="007B2DBD">
        <w:rPr>
          <w:rFonts w:eastAsia="Cambria" w:cs="Times New Roman"/>
          <w:szCs w:val="22"/>
        </w:rPr>
        <w:t>difference,</w:t>
      </w:r>
      <w:r w:rsidRPr="007B2DBD">
        <w:rPr>
          <w:rFonts w:eastAsia="Cambria" w:cs="Times New Roman"/>
          <w:szCs w:val="22"/>
        </w:rPr>
        <w:t xml:space="preserve"> but no adjustment was applied for multiplicity.  Analysis of the </w:t>
      </w:r>
      <w:r w:rsidRPr="007B2DBD">
        <w:rPr>
          <w:rFonts w:eastAsia="Cambria" w:cs="Times New Roman"/>
          <w:szCs w:val="22"/>
        </w:rPr>
        <w:lastRenderedPageBreak/>
        <w:t xml:space="preserve">primary efficacy variable in the </w:t>
      </w:r>
      <w:r w:rsidRPr="007B2DBD">
        <w:rPr>
          <w:rFonts w:eastAsia="Cambria" w:cs="Times New Roman"/>
          <w:i/>
          <w:iCs/>
          <w:szCs w:val="22"/>
        </w:rPr>
        <w:t xml:space="preserve">EESP </w:t>
      </w:r>
      <w:r w:rsidRPr="007B2DBD">
        <w:rPr>
          <w:rFonts w:eastAsia="Cambria" w:cs="Times New Roman"/>
          <w:szCs w:val="22"/>
        </w:rPr>
        <w:t>sub-population showed a numerically favourable trend that did not achieve nominal significance.</w:t>
      </w:r>
    </w:p>
    <w:p w14:paraId="4A43BC0F" w14:textId="77777777" w:rsidR="007B2DBD" w:rsidRPr="007B2DBD" w:rsidRDefault="007B2DBD" w:rsidP="007B2DBD">
      <w:pPr>
        <w:spacing w:before="120" w:line="240" w:lineRule="atLeast"/>
        <w:rPr>
          <w:rFonts w:eastAsia="Cambria" w:cs="Times New Roman"/>
          <w:bCs/>
          <w:szCs w:val="22"/>
        </w:rPr>
      </w:pPr>
      <w:r w:rsidRPr="007B2DBD">
        <w:rPr>
          <w:rFonts w:eastAsia="Cambria" w:cs="Times New Roman"/>
          <w:bCs/>
          <w:szCs w:val="22"/>
        </w:rPr>
        <w:t>Study 18 showed no evidence of efficacy of edaravone in patients with Grade 3 ALS.  In fact, the primary endpoint trended in favour of placebo.</w:t>
      </w:r>
    </w:p>
    <w:p w14:paraId="23926B22" w14:textId="38EA32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Given the negative findings from Studies 16, 17, and 18, the application is reliant on Study 19 to establish efficacy in the proposed indication.  </w:t>
      </w:r>
      <w:r w:rsidRPr="007B2DBD">
        <w:rPr>
          <w:rFonts w:eastAsia="Cambria" w:cs="Times New Roman"/>
          <w:bCs/>
          <w:szCs w:val="22"/>
        </w:rPr>
        <w:t xml:space="preserve">The primary outcome from Study 19 was a significant reduction in the decline in ALSFRS-R score (i.e. benefit in functional status) in a restricted sub-population of patients over 6 cycles of treatment.  </w:t>
      </w:r>
      <w:r w:rsidRPr="007B2DBD">
        <w:rPr>
          <w:rFonts w:eastAsia="Cambria" w:cs="Times New Roman"/>
          <w:szCs w:val="22"/>
          <w:lang w:eastAsia="ja-JP"/>
        </w:rPr>
        <w:t>T</w:t>
      </w:r>
      <w:r w:rsidRPr="007B2DBD">
        <w:rPr>
          <w:rFonts w:eastAsia="Cambria" w:cs="Times New Roman"/>
          <w:bCs/>
          <w:szCs w:val="22"/>
        </w:rPr>
        <w:t xml:space="preserve">he applicability of the results to a broader population of ALS patients is uncertain, particularly in the context of the negative findings from Study 16.  </w:t>
      </w:r>
      <w:r w:rsidRPr="007B2DBD">
        <w:rPr>
          <w:rFonts w:eastAsia="Cambria" w:cs="Times New Roman"/>
          <w:szCs w:val="22"/>
        </w:rPr>
        <w:t xml:space="preserve">The study did not demonstrate a survival benefit (no patients died during the double-blind period) and secondary efficacy endpoints did not consistently support a treatment benefit.  Some, but not all, of the secondary endpoints showed a nominally significant benefit, but no adjustment was applied for multiplicity.  A </w:t>
      </w:r>
      <w:r w:rsidRPr="007B2DBD">
        <w:rPr>
          <w:rFonts w:eastAsia="Cambria" w:cs="Times New Roman"/>
          <w:szCs w:val="22"/>
          <w:lang w:eastAsia="ja-JP"/>
        </w:rPr>
        <w:t>numerical imbalance in ALS disease severity between the groups at baseline, and a higher discontinuation rate in the placebo group, could have impacted the study outcomes</w:t>
      </w:r>
      <w:r w:rsidRPr="007B2DBD">
        <w:rPr>
          <w:rFonts w:eastAsia="Cambria" w:cs="Times New Roman"/>
          <w:szCs w:val="22"/>
        </w:rPr>
        <w:t>.</w:t>
      </w:r>
    </w:p>
    <w:p w14:paraId="4324CF78" w14:textId="7065C2FC" w:rsidR="007B2DBD" w:rsidRPr="007B2DBD" w:rsidRDefault="007B2DBD" w:rsidP="007B2DBD">
      <w:pPr>
        <w:spacing w:before="120" w:line="240" w:lineRule="atLeast"/>
        <w:rPr>
          <w:rFonts w:eastAsia="Cambria" w:cs="Times New Roman"/>
          <w:szCs w:val="22"/>
        </w:rPr>
      </w:pPr>
      <w:r w:rsidRPr="007B2DBD">
        <w:rPr>
          <w:rFonts w:eastAsia="Cambria" w:cs="Times New Roman"/>
          <w:szCs w:val="22"/>
          <w:lang w:eastAsia="ja-JP"/>
        </w:rPr>
        <w:t xml:space="preserve">The lack of a demonstrated benefit on survival is a notable deficiency of the application, as the TGA-adopted </w:t>
      </w:r>
      <w:r w:rsidRPr="007B2DBD">
        <w:rPr>
          <w:rFonts w:eastAsia="Cambria" w:cs="Times New Roman"/>
          <w:i/>
          <w:iCs/>
          <w:szCs w:val="22"/>
          <w:lang w:eastAsia="ja-JP"/>
        </w:rPr>
        <w:t>CHMP guideline on clinical investigation of medicinal products for the treatment of ALS</w:t>
      </w:r>
      <w:r w:rsidRPr="007B2DBD">
        <w:rPr>
          <w:rFonts w:eastAsia="Cambria" w:cs="Times New Roman"/>
          <w:szCs w:val="22"/>
          <w:lang w:eastAsia="ja-JP"/>
        </w:rPr>
        <w:t xml:space="preserve"> recommends that confirmatory studies for disease modifying treatments should address both functioning and survival.  A functional measure, such as ALSFRS-R, is acceptable as a primary endpoint</w:t>
      </w:r>
      <w:r w:rsidR="002F4244">
        <w:rPr>
          <w:rFonts w:eastAsia="Cambria" w:cs="Times New Roman"/>
          <w:szCs w:val="22"/>
          <w:lang w:eastAsia="ja-JP"/>
        </w:rPr>
        <w:t>,</w:t>
      </w:r>
      <w:r w:rsidRPr="007B2DBD">
        <w:rPr>
          <w:rFonts w:eastAsia="Cambria" w:cs="Times New Roman"/>
          <w:szCs w:val="22"/>
          <w:lang w:eastAsia="ja-JP"/>
        </w:rPr>
        <w:t xml:space="preserve"> but should be supported by a survival endpoint as a major endpoint in confirmatory studies.  Study 19 evaluated change in ALSFRS-R as the primary endpoint, and </w:t>
      </w:r>
      <w:r w:rsidRPr="007B2DBD">
        <w:rPr>
          <w:rFonts w:eastAsia="Cambria" w:cs="Times New Roman"/>
          <w:i/>
          <w:iCs/>
          <w:szCs w:val="22"/>
          <w:lang w:eastAsia="ja-JP"/>
        </w:rPr>
        <w:t>time to death or certain disease progression</w:t>
      </w:r>
      <w:r w:rsidRPr="007B2DBD">
        <w:rPr>
          <w:rFonts w:eastAsia="Cambria" w:cs="Times New Roman"/>
          <w:szCs w:val="22"/>
          <w:lang w:eastAsia="ja-JP"/>
        </w:rPr>
        <w:t xml:space="preserve"> as a secondary endpoint.  </w:t>
      </w:r>
      <w:r w:rsidRPr="007B2DBD">
        <w:rPr>
          <w:rFonts w:eastAsia="Cambria" w:cs="Times New Roman"/>
          <w:i/>
          <w:iCs/>
          <w:szCs w:val="22"/>
          <w:lang w:eastAsia="ja-JP"/>
        </w:rPr>
        <w:t>Time to death or certain disease progression</w:t>
      </w:r>
      <w:r w:rsidRPr="007B2DBD">
        <w:rPr>
          <w:rFonts w:eastAsia="Cambria" w:cs="Times New Roman"/>
          <w:szCs w:val="22"/>
          <w:lang w:eastAsia="ja-JP"/>
        </w:rPr>
        <w:t xml:space="preserve"> is not strictly a survival endpoint as it includes a range of markers of disease progression beyond those which may confound survival data.  Study 19 failed to demonstrate a survival benefit or a significant benefit in </w:t>
      </w:r>
      <w:r w:rsidRPr="007B2DBD">
        <w:rPr>
          <w:rFonts w:eastAsia="Cambria" w:cs="Times New Roman"/>
          <w:i/>
          <w:iCs/>
          <w:szCs w:val="22"/>
          <w:lang w:eastAsia="ja-JP"/>
        </w:rPr>
        <w:t>time to death or certain disease progression</w:t>
      </w:r>
      <w:r w:rsidRPr="007B2DBD">
        <w:rPr>
          <w:rFonts w:eastAsia="Cambria" w:cs="Times New Roman"/>
          <w:szCs w:val="22"/>
          <w:lang w:eastAsia="ja-JP"/>
        </w:rPr>
        <w:t xml:space="preserve">.  No deaths occurred in either group in the double-blind phase of the study and the number of certain disease progression events was low.  Similarly, Study 16 failed to demonstrate a survival benefit or a benefit in </w:t>
      </w:r>
      <w:r w:rsidRPr="007B2DBD">
        <w:rPr>
          <w:rFonts w:eastAsia="Cambria" w:cs="Times New Roman"/>
          <w:i/>
          <w:iCs/>
          <w:szCs w:val="22"/>
          <w:lang w:eastAsia="ja-JP"/>
        </w:rPr>
        <w:t xml:space="preserve">time to death or certain disease progression.  </w:t>
      </w:r>
      <w:r w:rsidRPr="007B2DBD">
        <w:rPr>
          <w:rFonts w:eastAsia="Cambria" w:cs="Times New Roman"/>
          <w:szCs w:val="22"/>
          <w:lang w:eastAsia="ja-JP"/>
        </w:rPr>
        <w:t xml:space="preserve">The CHMP guideline advises that duration of the confirmatory study would depend on the expected rate of progression, and “study duration of 12-18 months may be sufficient”.  The double-blind periods of the two confirmatory studies, Study 16 and 19, were 24 weeks duration.  It remains uncertain whether the failure to demonstrate a survival benefit was due to lack of efficacy or inadequate study duration.  </w:t>
      </w:r>
    </w:p>
    <w:p w14:paraId="7637F972" w14:textId="77777777" w:rsidR="007B2DBD" w:rsidRPr="007B2DBD" w:rsidRDefault="007B2DBD" w:rsidP="007B2DBD">
      <w:pPr>
        <w:spacing w:before="120" w:line="240" w:lineRule="atLeast"/>
        <w:rPr>
          <w:rFonts w:eastAsia="Cambria" w:cs="Times New Roman"/>
          <w:i/>
          <w:color w:val="0070B5"/>
          <w:szCs w:val="22"/>
        </w:rPr>
      </w:pPr>
      <w:r w:rsidRPr="007B2DBD">
        <w:rPr>
          <w:rFonts w:eastAsia="Cambria" w:cs="Times New Roman"/>
          <w:bCs/>
          <w:szCs w:val="22"/>
        </w:rPr>
        <w:t xml:space="preserve">The findings from Study 19 have not been replicated in another study.  </w:t>
      </w:r>
      <w:r w:rsidRPr="007B2DBD">
        <w:rPr>
          <w:rFonts w:eastAsia="Cambria" w:cs="Times New Roman"/>
          <w:szCs w:val="22"/>
          <w:lang w:eastAsia="ja-JP"/>
        </w:rPr>
        <w:t>In cases where the confirmatory evidence is provided by only one pivotal study, the findings from that study should be particularly compelling.</w:t>
      </w:r>
      <w:r w:rsidRPr="007B2DBD">
        <w:rPr>
          <w:rFonts w:eastAsia="Cambria" w:cs="Times New Roman"/>
          <w:szCs w:val="22"/>
          <w:vertAlign w:val="superscript"/>
          <w:lang w:eastAsia="ja-JP"/>
        </w:rPr>
        <w:footnoteReference w:id="6"/>
      </w:r>
      <w:r w:rsidRPr="007B2DBD">
        <w:rPr>
          <w:rFonts w:eastAsia="Cambria" w:cs="Times New Roman"/>
          <w:szCs w:val="22"/>
          <w:lang w:eastAsia="ja-JP"/>
        </w:rPr>
        <w:t xml:space="preserve">  In this application, there are concerns with regard to internal validity (a numerical imbalance in ALS disease severity between the groups at baseline, and a higher discontinuation rate in the placebo group, could have influenced the study outcomes), external validity (it remains uncertain whether the treatment benefit observed in the restricted population of Study 19 can be generalised to a broader population of patients, particularly in the context of the failure to demonstrate a benefit in a broader population of patients with Grade 1-2 ALS in Study 16), and internal consistency (no survival benefit was demonstrated, and secondary efficacy endpoints were not statistically robust and did not consistently support the primary outcome).</w:t>
      </w:r>
    </w:p>
    <w:p w14:paraId="5C6975DC" w14:textId="77777777" w:rsidR="007B2DBD" w:rsidRPr="007B2DBD" w:rsidRDefault="007B2DBD" w:rsidP="00D06D73">
      <w:pPr>
        <w:pStyle w:val="Heading5"/>
        <w:rPr>
          <w:rFonts w:eastAsia="Cambria"/>
        </w:rPr>
      </w:pPr>
      <w:r w:rsidRPr="007B2DBD">
        <w:rPr>
          <w:rFonts w:eastAsia="Cambria"/>
        </w:rPr>
        <w:t>Safety</w:t>
      </w:r>
    </w:p>
    <w:p w14:paraId="54DB650B" w14:textId="0B9ECBA9" w:rsidR="007B2DBD" w:rsidRPr="007B2DBD" w:rsidRDefault="007B2DBD" w:rsidP="007B2DBD">
      <w:pPr>
        <w:spacing w:before="120" w:line="240" w:lineRule="atLeast"/>
        <w:rPr>
          <w:rFonts w:eastAsia="Times New Roman" w:cs="Times New Roman"/>
          <w:szCs w:val="22"/>
          <w:lang w:eastAsia="ja-JP"/>
        </w:rPr>
      </w:pPr>
      <w:r w:rsidRPr="007B2DBD">
        <w:rPr>
          <w:rFonts w:eastAsia="Cambria" w:cs="Times New Roman"/>
          <w:szCs w:val="22"/>
        </w:rPr>
        <w:t xml:space="preserve">The safety dataset in ALS is relatively </w:t>
      </w:r>
      <w:r w:rsidRPr="007B2DBD">
        <w:rPr>
          <w:rFonts w:eastAsia="Cambria" w:cs="Times New Roman"/>
          <w:szCs w:val="22"/>
          <w:lang w:eastAsia="ja-JP"/>
        </w:rPr>
        <w:t>limited, particularly with regard to longer-term treatment proposed for patients with ALS.  A total of 349 patients received edaravone in the ALS clinical trial program, including 306 subjects who received edaravone for at least 6 treatment cycles, and 98 subjects who received edaravone for at least 12 treatment cycles.  184 patients received edaravone on placebo-controlled ALS studies.  The p</w:t>
      </w:r>
      <w:r w:rsidRPr="007B2DBD">
        <w:rPr>
          <w:rFonts w:eastAsia="Cambria" w:cs="Times New Roman"/>
          <w:szCs w:val="22"/>
        </w:rPr>
        <w:t xml:space="preserve">lacebo-controlled phases of the ALS studies </w:t>
      </w:r>
      <w:r w:rsidRPr="007B2DBD">
        <w:rPr>
          <w:rFonts w:eastAsia="Cambria" w:cs="Times New Roman"/>
          <w:szCs w:val="22"/>
        </w:rPr>
        <w:lastRenderedPageBreak/>
        <w:t xml:space="preserve">were of 24 weeks duration (6 cycles).  </w:t>
      </w:r>
      <w:r w:rsidRPr="007B2DBD">
        <w:rPr>
          <w:rFonts w:eastAsia="Cambria" w:cs="Times New Roman"/>
          <w:szCs w:val="22"/>
          <w:lang w:eastAsia="ja-JP"/>
        </w:rPr>
        <w:t xml:space="preserve">The ALS safety dataset is supported by </w:t>
      </w:r>
      <w:r w:rsidRPr="007B2DBD">
        <w:rPr>
          <w:rFonts w:eastAsia="Cambria" w:cs="Times New Roman"/>
          <w:szCs w:val="22"/>
        </w:rPr>
        <w:t>safety data from AIS and SAH studies, as well as post-marketing safety data relating to treatment of AIS in Japan,</w:t>
      </w:r>
      <w:r w:rsidRPr="007B2DBD">
        <w:rPr>
          <w:rFonts w:eastAsia="Cambria" w:cs="Times New Roman"/>
          <w:szCs w:val="22"/>
          <w:lang w:eastAsia="ja-JP"/>
        </w:rPr>
        <w:t xml:space="preserve"> but treatment in the non-ALS indications is limited to 14 days duration</w:t>
      </w:r>
      <w:r w:rsidR="001B6953">
        <w:rPr>
          <w:rFonts w:eastAsia="Cambria" w:cs="Times New Roman"/>
          <w:szCs w:val="22"/>
          <w:lang w:eastAsia="ja-JP"/>
        </w:rPr>
        <w:t>,</w:t>
      </w:r>
      <w:r w:rsidRPr="007B2DBD">
        <w:rPr>
          <w:rFonts w:eastAsia="Cambria" w:cs="Times New Roman"/>
          <w:szCs w:val="22"/>
          <w:lang w:eastAsia="ja-JP"/>
        </w:rPr>
        <w:t xml:space="preserve"> </w:t>
      </w:r>
      <w:r w:rsidR="00242CBC">
        <w:rPr>
          <w:rFonts w:eastAsia="Cambria" w:cs="Times New Roman"/>
          <w:szCs w:val="22"/>
          <w:lang w:eastAsia="ja-JP"/>
        </w:rPr>
        <w:t>therefore</w:t>
      </w:r>
      <w:r w:rsidRPr="007B2DBD">
        <w:rPr>
          <w:rFonts w:eastAsia="Cambria" w:cs="Times New Roman"/>
          <w:szCs w:val="22"/>
          <w:lang w:eastAsia="ja-JP"/>
        </w:rPr>
        <w:t xml:space="preserve"> is of limited relevance to longer-term safety.  </w:t>
      </w:r>
    </w:p>
    <w:p w14:paraId="7FC034F4" w14:textId="2CA99714"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szCs w:val="22"/>
          <w:lang w:eastAsia="ja-JP"/>
        </w:rPr>
        <w:t xml:space="preserve">Whilst there are limitations in the safety dataset, the ALS clinical program did not identify major safety signals of concern.  In the placebo-controlled ALS safety dataset, the overall incidences of AEs, drug-related AEs, and SAEs were similar between the edaravone and placebo groups.  </w:t>
      </w:r>
      <w:r w:rsidRPr="007B2DBD">
        <w:rPr>
          <w:rFonts w:eastAsia="Cambria" w:cs="Times New Roman"/>
          <w:szCs w:val="22"/>
        </w:rPr>
        <w:t xml:space="preserve">The most frequently reported AEs by PT (edaravone greater than placebo) were contusion, gait disturbance, headache, eczema, dermatitis contact, respiratory disorder, rash, glucose urine present, and upper respiratory tract inflammation.  </w:t>
      </w:r>
      <w:r w:rsidRPr="007B2DBD">
        <w:rPr>
          <w:rFonts w:eastAsia="Cambria" w:cs="Times New Roman"/>
          <w:szCs w:val="22"/>
          <w:lang w:eastAsia="ja-JP"/>
        </w:rPr>
        <w:t>The majority of AEs were of mild severity, and discontinuations due to AEs were less frequent in the edaravone group than placebo.  The clinical significance of glycosuria findings in the ALS studies remains uncertain as blood glucose and HbA1c were not monitored in the ALS studies.</w:t>
      </w:r>
    </w:p>
    <w:p w14:paraId="0BBC6C4E" w14:textId="7764C052" w:rsidR="007B2DBD" w:rsidRPr="007B2DBD" w:rsidRDefault="007B2DBD" w:rsidP="007B2DBD">
      <w:pPr>
        <w:spacing w:before="120" w:line="240" w:lineRule="atLeast"/>
        <w:rPr>
          <w:rFonts w:eastAsia="Cambria" w:cs="Times New Roman"/>
          <w:szCs w:val="22"/>
        </w:rPr>
      </w:pPr>
      <w:r w:rsidRPr="007B2DBD">
        <w:rPr>
          <w:rFonts w:eastAsia="Cambria" w:cs="Times New Roman"/>
          <w:szCs w:val="22"/>
          <w:lang w:eastAsia="ja-JP"/>
        </w:rPr>
        <w:t>Hypersensitivity reactions, including anaphylaxis and shock, have been identified as clinically significant ADRs associated with edaravone treatment, based on post-marketing experience in AIS patients in Japan.  One case of shock was reported in the ALS studies, and p</w:t>
      </w:r>
      <w:r w:rsidRPr="007B2DBD">
        <w:rPr>
          <w:rFonts w:eastAsia="Cambria" w:cs="Times New Roman"/>
          <w:szCs w:val="22"/>
        </w:rPr>
        <w:t xml:space="preserve">ost-marketing safety reviews have identified additional cases of anaphylactic reaction/shock.  Hypersensitivity reactions and anaphylaxis have been included in a precaution in section 4.4 of the draft Product </w:t>
      </w:r>
      <w:r w:rsidR="008F3C39" w:rsidRPr="007B2DBD">
        <w:rPr>
          <w:rFonts w:eastAsia="Cambria" w:cs="Times New Roman"/>
          <w:szCs w:val="22"/>
        </w:rPr>
        <w:t>Information and</w:t>
      </w:r>
      <w:r w:rsidRPr="007B2DBD">
        <w:rPr>
          <w:rFonts w:eastAsia="Cambria" w:cs="Times New Roman"/>
          <w:szCs w:val="22"/>
        </w:rPr>
        <w:t xml:space="preserve"> are listed in the Summary of Safety Concerns in the RMP.</w:t>
      </w:r>
    </w:p>
    <w:p w14:paraId="5693A2F5" w14:textId="77777777" w:rsidR="007B2DBD" w:rsidRPr="007B2DBD" w:rsidRDefault="007B2DBD" w:rsidP="007B2DBD">
      <w:pPr>
        <w:spacing w:before="120" w:line="240" w:lineRule="atLeast"/>
        <w:rPr>
          <w:rFonts w:eastAsia="Cambria" w:cs="Times New Roman"/>
          <w:i/>
          <w:color w:val="0070B5"/>
          <w:szCs w:val="22"/>
        </w:rPr>
      </w:pPr>
      <w:r w:rsidRPr="007B2DBD">
        <w:rPr>
          <w:rFonts w:eastAsia="Cambria" w:cs="Times New Roman"/>
          <w:szCs w:val="22"/>
          <w:lang w:eastAsia="ja-JP"/>
        </w:rPr>
        <w:t>The non-clinical evaluation raised concern regarding a potential risk of treatment-related neurotoxicity.  The ALS clinical studies did not identify a safety signal for treatment-related neurotoxicity, but there are limitations in the capacity of the ALS clinical study program to exclude treatment-related neurotoxicity.</w:t>
      </w:r>
    </w:p>
    <w:p w14:paraId="78DF7ACD" w14:textId="0E3653B0"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The ALS studies did not raise safety concerns with regard to hepatic toxicity or renal toxicity.   However, i</w:t>
      </w:r>
      <w:r w:rsidRPr="007B2DBD">
        <w:rPr>
          <w:rFonts w:eastAsia="Cambria" w:cs="Times New Roman"/>
          <w:szCs w:val="22"/>
          <w:lang w:eastAsia="ja-JP"/>
        </w:rPr>
        <w:t xml:space="preserve">n the section 31 response, the </w:t>
      </w:r>
      <w:r w:rsidR="00C04BB6">
        <w:rPr>
          <w:rFonts w:eastAsia="Cambria" w:cs="Times New Roman"/>
          <w:szCs w:val="22"/>
          <w:lang w:eastAsia="ja-JP"/>
        </w:rPr>
        <w:t>Sponsor</w:t>
      </w:r>
      <w:r w:rsidRPr="007B2DBD">
        <w:rPr>
          <w:rFonts w:eastAsia="Cambria" w:cs="Times New Roman"/>
          <w:szCs w:val="22"/>
          <w:lang w:eastAsia="ja-JP"/>
        </w:rPr>
        <w:t xml:space="preserve"> presented a safety report which identified three </w:t>
      </w:r>
      <w:r w:rsidRPr="007B2DBD">
        <w:rPr>
          <w:rFonts w:eastAsia="Cambria" w:cs="Times New Roman"/>
          <w:i/>
          <w:iCs/>
          <w:szCs w:val="22"/>
          <w:lang w:eastAsia="ja-JP"/>
        </w:rPr>
        <w:t>I</w:t>
      </w:r>
      <w:r w:rsidRPr="007B2DBD">
        <w:rPr>
          <w:rFonts w:eastAsia="Cambria" w:cs="Times New Roman"/>
          <w:i/>
          <w:szCs w:val="22"/>
          <w:lang w:eastAsia="ja-JP"/>
        </w:rPr>
        <w:t>mportant Potential Risks</w:t>
      </w:r>
      <w:r w:rsidRPr="007B2DBD">
        <w:rPr>
          <w:rFonts w:eastAsia="Cambria" w:cs="Times New Roman"/>
          <w:szCs w:val="22"/>
          <w:lang w:eastAsia="ja-JP"/>
        </w:rPr>
        <w:t xml:space="preserve"> based on review of post-marketing AIS experience in Japan: </w:t>
      </w:r>
    </w:p>
    <w:p w14:paraId="3076F698" w14:textId="77777777" w:rsidR="007B2DBD" w:rsidRPr="007B2DBD" w:rsidRDefault="007B2DBD" w:rsidP="006530BB">
      <w:pPr>
        <w:pStyle w:val="ListBullet"/>
        <w:rPr>
          <w:lang w:eastAsia="ja-JP"/>
        </w:rPr>
      </w:pPr>
      <w:r w:rsidRPr="007B2DBD">
        <w:rPr>
          <w:lang w:eastAsia="ja-JP"/>
        </w:rPr>
        <w:t>Worsening of hepatic function, Hepatitis.</w:t>
      </w:r>
    </w:p>
    <w:p w14:paraId="5EDF0341" w14:textId="77777777" w:rsidR="007B2DBD" w:rsidRPr="007B2DBD" w:rsidRDefault="007B2DBD" w:rsidP="006530BB">
      <w:pPr>
        <w:pStyle w:val="ListBullet"/>
        <w:rPr>
          <w:lang w:eastAsia="ja-JP"/>
        </w:rPr>
      </w:pPr>
      <w:r w:rsidRPr="007B2DBD">
        <w:rPr>
          <w:lang w:eastAsia="ja-JP"/>
        </w:rPr>
        <w:t>Worsening of renal impairment, Acute renal failure.</w:t>
      </w:r>
    </w:p>
    <w:p w14:paraId="2C8CACE1" w14:textId="77777777" w:rsidR="007B2DBD" w:rsidRDefault="007B2DBD" w:rsidP="006530BB">
      <w:pPr>
        <w:pStyle w:val="ListBullet"/>
        <w:rPr>
          <w:lang w:eastAsia="ja-JP"/>
        </w:rPr>
      </w:pPr>
      <w:r w:rsidRPr="007B2DBD">
        <w:rPr>
          <w:lang w:eastAsia="ja-JP"/>
        </w:rPr>
        <w:t>Anaphylactoid reaction.</w:t>
      </w:r>
    </w:p>
    <w:p w14:paraId="191E4A7E" w14:textId="3A1C70BB" w:rsidR="002B1097" w:rsidRDefault="007B2DBD" w:rsidP="002B1097">
      <w:pPr>
        <w:spacing w:before="120" w:line="240" w:lineRule="atLeast"/>
        <w:rPr>
          <w:rFonts w:eastAsia="Cambria" w:cs="Times New Roman"/>
          <w:szCs w:val="22"/>
          <w:lang w:eastAsia="ja-JP"/>
        </w:rPr>
      </w:pPr>
      <w:r w:rsidRPr="007B2DBD">
        <w:rPr>
          <w:rFonts w:eastAsia="Cambria" w:cs="Times New Roman"/>
          <w:szCs w:val="22"/>
        </w:rPr>
        <w:t xml:space="preserve">The first two </w:t>
      </w:r>
      <w:r w:rsidRPr="007B2DBD">
        <w:rPr>
          <w:rFonts w:eastAsia="Cambria" w:cs="Times New Roman"/>
          <w:i/>
          <w:iCs/>
          <w:szCs w:val="22"/>
          <w:lang w:eastAsia="ja-JP"/>
        </w:rPr>
        <w:t>I</w:t>
      </w:r>
      <w:r w:rsidRPr="007B2DBD">
        <w:rPr>
          <w:rFonts w:eastAsia="Cambria" w:cs="Times New Roman"/>
          <w:i/>
          <w:szCs w:val="22"/>
          <w:lang w:eastAsia="ja-JP"/>
        </w:rPr>
        <w:t>mportant Potential Risks</w:t>
      </w:r>
      <w:r w:rsidRPr="007B2DBD">
        <w:rPr>
          <w:rFonts w:eastAsia="Cambria" w:cs="Times New Roman"/>
          <w:szCs w:val="22"/>
          <w:lang w:eastAsia="ja-JP"/>
        </w:rPr>
        <w:t xml:space="preserve"> have not yet been included in the Safety of Summary Concerns and the </w:t>
      </w:r>
      <w:r w:rsidR="00C04BB6">
        <w:rPr>
          <w:rFonts w:eastAsia="Cambria" w:cs="Times New Roman"/>
          <w:szCs w:val="22"/>
          <w:lang w:eastAsia="ja-JP"/>
        </w:rPr>
        <w:t>Sponsor</w:t>
      </w:r>
      <w:r w:rsidRPr="007B2DBD">
        <w:rPr>
          <w:rFonts w:eastAsia="Cambria" w:cs="Times New Roman"/>
          <w:szCs w:val="22"/>
          <w:lang w:eastAsia="ja-JP"/>
        </w:rPr>
        <w:t xml:space="preserve"> </w:t>
      </w:r>
      <w:r w:rsidR="002B1097">
        <w:rPr>
          <w:rFonts w:eastAsia="Cambria" w:cs="Times New Roman"/>
          <w:szCs w:val="22"/>
          <w:lang w:eastAsia="ja-JP"/>
        </w:rPr>
        <w:t>addressed these two risks with the following response:</w:t>
      </w:r>
    </w:p>
    <w:p w14:paraId="204A0077" w14:textId="5200A015" w:rsidR="002B1097" w:rsidRPr="002B1097" w:rsidRDefault="002B1097" w:rsidP="002B1097">
      <w:pPr>
        <w:spacing w:before="120" w:line="240" w:lineRule="atLeast"/>
        <w:ind w:left="720" w:right="1510"/>
        <w:rPr>
          <w:rFonts w:eastAsia="Cambria" w:cs="Times New Roman"/>
          <w:i/>
          <w:iCs/>
          <w:szCs w:val="22"/>
          <w:lang w:eastAsia="ja-JP"/>
        </w:rPr>
      </w:pPr>
      <w:r w:rsidRPr="002B1097">
        <w:rPr>
          <w:rFonts w:eastAsia="Cambria" w:cs="Times New Roman"/>
          <w:i/>
          <w:iCs/>
          <w:szCs w:val="22"/>
          <w:lang w:eastAsia="ja-JP"/>
        </w:rPr>
        <w:t xml:space="preserve">“Worsening of hepatic function, Hepatitis” and “Worsening of renal impairment Acute renal failure” were considered important potential risks at the time of submission to FDA. However, they were re-evaluated internally in December 2017 and restricted to AIS. The reasons are as follows: </w:t>
      </w:r>
    </w:p>
    <w:p w14:paraId="577F0165" w14:textId="2095722E" w:rsidR="002B1097" w:rsidRPr="002B1097" w:rsidRDefault="002B1097" w:rsidP="002B1097">
      <w:pPr>
        <w:spacing w:before="120" w:line="240" w:lineRule="atLeast"/>
        <w:ind w:left="990" w:right="1510"/>
        <w:rPr>
          <w:rFonts w:eastAsia="Cambria" w:cs="Times New Roman"/>
          <w:i/>
          <w:iCs/>
          <w:szCs w:val="22"/>
          <w:lang w:eastAsia="ja-JP"/>
        </w:rPr>
      </w:pPr>
      <w:r w:rsidRPr="002B1097">
        <w:rPr>
          <w:rFonts w:eastAsia="Cambria" w:cs="Times New Roman"/>
          <w:i/>
          <w:iCs/>
          <w:szCs w:val="22"/>
          <w:lang w:eastAsia="ja-JP"/>
        </w:rPr>
        <w:t xml:space="preserve">• Evidence of and “Worsening of renal impairment Acute renal failure” in the current Important Potential Risk was found in only the post marketing data of AIS. </w:t>
      </w:r>
    </w:p>
    <w:p w14:paraId="5278D8F2" w14:textId="46EE1877" w:rsidR="002B1097" w:rsidRPr="002B1097" w:rsidRDefault="002B1097" w:rsidP="002B1097">
      <w:pPr>
        <w:spacing w:before="120" w:line="240" w:lineRule="atLeast"/>
        <w:ind w:left="990" w:right="1510"/>
        <w:rPr>
          <w:rFonts w:eastAsia="Cambria" w:cs="Times New Roman"/>
          <w:i/>
          <w:iCs/>
          <w:szCs w:val="22"/>
          <w:lang w:eastAsia="ja-JP"/>
        </w:rPr>
      </w:pPr>
      <w:r w:rsidRPr="002B1097">
        <w:rPr>
          <w:rFonts w:eastAsia="Cambria" w:cs="Times New Roman"/>
          <w:i/>
          <w:iCs/>
          <w:szCs w:val="22"/>
          <w:lang w:eastAsia="ja-JP"/>
        </w:rPr>
        <w:t xml:space="preserve">• There is no evidence in all data of ALS indication including post marketing data (Japan, Korea, US). </w:t>
      </w:r>
    </w:p>
    <w:p w14:paraId="2BD10C88" w14:textId="0127A5DE" w:rsidR="007B2DBD" w:rsidRPr="002B1097" w:rsidRDefault="002B1097" w:rsidP="002B1097">
      <w:pPr>
        <w:spacing w:before="120" w:line="240" w:lineRule="atLeast"/>
        <w:ind w:left="720" w:right="1510"/>
        <w:rPr>
          <w:rFonts w:eastAsia="Cambria" w:cs="Times New Roman"/>
          <w:i/>
          <w:iCs/>
          <w:szCs w:val="22"/>
          <w:lang w:eastAsia="ja-JP"/>
        </w:rPr>
      </w:pPr>
      <w:r w:rsidRPr="002B1097">
        <w:rPr>
          <w:rFonts w:eastAsia="Cambria" w:cs="Times New Roman"/>
          <w:i/>
          <w:iCs/>
          <w:szCs w:val="22"/>
          <w:lang w:eastAsia="ja-JP"/>
        </w:rPr>
        <w:t>These are therefore considered as AIS specific Important Potential Risk, based on ALS safety profile from clinical trial data and post marketing experience.</w:t>
      </w:r>
    </w:p>
    <w:p w14:paraId="0DDA7A40" w14:textId="1766D6A2" w:rsidR="007B2DBD" w:rsidRPr="002B1097" w:rsidRDefault="007B2DBD" w:rsidP="002B1097">
      <w:pPr>
        <w:spacing w:before="120" w:line="240" w:lineRule="atLeast"/>
        <w:ind w:left="720" w:right="1510"/>
        <w:rPr>
          <w:rFonts w:eastAsia="Cambria" w:cs="Times New Roman"/>
          <w:i/>
          <w:iCs/>
          <w:szCs w:val="22"/>
        </w:rPr>
      </w:pPr>
      <w:r w:rsidRPr="002B1097">
        <w:rPr>
          <w:rFonts w:eastAsia="Cambria" w:cs="Times New Roman"/>
          <w:i/>
          <w:iCs/>
          <w:szCs w:val="22"/>
        </w:rPr>
        <w:t>Whilst there are limitations in the submitted safety dataset, the presented safety data support an accep</w:t>
      </w:r>
      <w:r w:rsidR="002B1097" w:rsidRPr="002B1097">
        <w:rPr>
          <w:rFonts w:eastAsia="Cambria" w:cs="Times New Roman"/>
          <w:i/>
          <w:iCs/>
          <w:szCs w:val="22"/>
        </w:rPr>
        <w:t>0</w:t>
      </w:r>
      <w:r w:rsidRPr="002B1097">
        <w:rPr>
          <w:rFonts w:eastAsia="Cambria" w:cs="Times New Roman"/>
          <w:i/>
          <w:iCs/>
          <w:szCs w:val="22"/>
        </w:rPr>
        <w:t>table safety profile for edaravone in the treatment of patients with ALS</w:t>
      </w:r>
      <w:r w:rsidR="002B1097" w:rsidRPr="002B1097">
        <w:rPr>
          <w:rFonts w:eastAsia="Cambria" w:cs="Times New Roman"/>
          <w:i/>
          <w:iCs/>
          <w:szCs w:val="22"/>
        </w:rPr>
        <w:t>”</w:t>
      </w:r>
      <w:r w:rsidRPr="002B1097">
        <w:rPr>
          <w:rFonts w:eastAsia="Cambria" w:cs="Times New Roman"/>
          <w:i/>
          <w:iCs/>
          <w:szCs w:val="22"/>
        </w:rPr>
        <w:t xml:space="preserve">.  </w:t>
      </w:r>
      <w:r w:rsidRPr="002B1097">
        <w:rPr>
          <w:rFonts w:eastAsia="Cambria" w:cs="Times New Roman"/>
          <w:i/>
          <w:iCs/>
          <w:szCs w:val="22"/>
          <w:lang w:eastAsia="ja-JP"/>
        </w:rPr>
        <w:t xml:space="preserve">  </w:t>
      </w:r>
    </w:p>
    <w:p w14:paraId="1190AF9C" w14:textId="1087DFFF" w:rsidR="007B2DBD" w:rsidRPr="007B2DBD" w:rsidRDefault="007B2DBD" w:rsidP="00D06D73">
      <w:pPr>
        <w:pStyle w:val="Heading5"/>
        <w:rPr>
          <w:rFonts w:eastAsia="Cambria"/>
        </w:rPr>
      </w:pPr>
      <w:r w:rsidRPr="007B2DBD">
        <w:rPr>
          <w:rFonts w:eastAsia="Cambria"/>
        </w:rPr>
        <w:lastRenderedPageBreak/>
        <w:t xml:space="preserve">Proposed </w:t>
      </w:r>
      <w:r w:rsidR="006530BB">
        <w:rPr>
          <w:rFonts w:eastAsia="Cambria"/>
        </w:rPr>
        <w:t>d</w:t>
      </w:r>
      <w:r w:rsidRPr="007B2DBD">
        <w:rPr>
          <w:rFonts w:eastAsia="Cambria"/>
        </w:rPr>
        <w:t>ose</w:t>
      </w:r>
    </w:p>
    <w:p w14:paraId="76ADBCA6"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 xml:space="preserve">The proposed dosage of edaravone for ALS is 60 mg (two ampoules) diluted with approximately 100 mL of 0.9% sodium chloride, administered as an intravenous infusion over 60 minutes according to the following schedule: </w:t>
      </w:r>
    </w:p>
    <w:p w14:paraId="022B295D" w14:textId="77777777" w:rsidR="007B2DBD" w:rsidRPr="007B2DBD" w:rsidRDefault="007B2DBD" w:rsidP="006530BB">
      <w:pPr>
        <w:pStyle w:val="ListBullet"/>
        <w:rPr>
          <w:lang w:eastAsia="ja-JP"/>
        </w:rPr>
      </w:pPr>
      <w:r w:rsidRPr="007B2DBD">
        <w:rPr>
          <w:lang w:eastAsia="ja-JP"/>
        </w:rPr>
        <w:t xml:space="preserve">an initial treatment cycle with daily dosing for 14 days, followed by 14 days of no treatment. </w:t>
      </w:r>
    </w:p>
    <w:p w14:paraId="4CDE8E68" w14:textId="77777777" w:rsidR="007B2DBD" w:rsidRDefault="007B2DBD" w:rsidP="006530BB">
      <w:pPr>
        <w:pStyle w:val="ListBullet"/>
        <w:rPr>
          <w:lang w:eastAsia="ja-JP"/>
        </w:rPr>
      </w:pPr>
      <w:r w:rsidRPr="007B2DBD">
        <w:rPr>
          <w:lang w:eastAsia="ja-JP"/>
        </w:rPr>
        <w:t xml:space="preserve">subsequent treatment cycles with daily dosing for 10 of the first 14 days, followed by 14 days of no treatment. </w:t>
      </w:r>
    </w:p>
    <w:p w14:paraId="1109F96A"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lang w:eastAsia="ja-JP"/>
        </w:rPr>
        <w:t xml:space="preserve">The submission did not include a robust scientific justification for the regular interruptions to treatment in the proposed dosing regimen, which appear to have been included for pragmatic and logistical reasons.  </w:t>
      </w:r>
      <w:r w:rsidRPr="007B2DBD">
        <w:rPr>
          <w:rFonts w:eastAsia="Cambria" w:cs="Times New Roman"/>
          <w:szCs w:val="22"/>
        </w:rPr>
        <w:t>The clinical impact of the regular interruptions to treatment on efficacy remains uncertain.</w:t>
      </w:r>
    </w:p>
    <w:p w14:paraId="46B20284" w14:textId="6BE0A47F" w:rsidR="007B2DBD" w:rsidRPr="007B2DBD" w:rsidRDefault="007B2DBD" w:rsidP="007B2DBD">
      <w:pPr>
        <w:spacing w:before="120" w:line="240" w:lineRule="atLeast"/>
        <w:rPr>
          <w:rFonts w:ascii="Times New Roman" w:eastAsia="Cambria" w:hAnsi="Times New Roman" w:cs="Times New Roman"/>
          <w:color w:val="000000"/>
          <w:sz w:val="24"/>
          <w:szCs w:val="24"/>
        </w:rPr>
      </w:pPr>
      <w:r w:rsidRPr="007B2DBD">
        <w:rPr>
          <w:rFonts w:eastAsia="Cambria" w:cs="Times New Roman"/>
          <w:szCs w:val="22"/>
        </w:rPr>
        <w:t xml:space="preserve">In response to the evaluator’s concerns regarding dose selection in ALS and uncertainty regarding the impact of the treatment-free days on efficacy, the </w:t>
      </w:r>
      <w:r w:rsidR="00C04BB6">
        <w:rPr>
          <w:rFonts w:eastAsia="Cambria" w:cs="Times New Roman"/>
          <w:szCs w:val="22"/>
        </w:rPr>
        <w:t>Sponsor</w:t>
      </w:r>
      <w:r w:rsidRPr="007B2DBD">
        <w:rPr>
          <w:rFonts w:eastAsia="Cambria" w:cs="Times New Roman"/>
          <w:szCs w:val="22"/>
        </w:rPr>
        <w:t xml:space="preserve"> provided the following comments:</w:t>
      </w:r>
    </w:p>
    <w:p w14:paraId="361765D5" w14:textId="65F7D05C" w:rsidR="007B2DBD" w:rsidRPr="007B2DBD" w:rsidRDefault="007B2DBD" w:rsidP="007B2DBD">
      <w:pPr>
        <w:spacing w:before="120" w:line="240" w:lineRule="atLeast"/>
        <w:ind w:left="284"/>
        <w:rPr>
          <w:rFonts w:eastAsia="Cambria" w:cs="Times New Roman"/>
          <w:i/>
          <w:iCs/>
          <w:szCs w:val="22"/>
        </w:rPr>
      </w:pPr>
      <w:r w:rsidRPr="007B2DBD">
        <w:rPr>
          <w:rFonts w:eastAsia="Cambria" w:cs="Times New Roman"/>
          <w:i/>
          <w:iCs/>
          <w:szCs w:val="22"/>
        </w:rPr>
        <w:t xml:space="preserve">“The </w:t>
      </w:r>
      <w:r w:rsidR="00C04BB6">
        <w:rPr>
          <w:rFonts w:eastAsia="Cambria" w:cs="Times New Roman"/>
          <w:i/>
          <w:iCs/>
          <w:szCs w:val="22"/>
        </w:rPr>
        <w:t>Sponsor</w:t>
      </w:r>
      <w:r w:rsidRPr="007B2DBD">
        <w:rPr>
          <w:rFonts w:eastAsia="Cambria" w:cs="Times New Roman"/>
          <w:i/>
          <w:iCs/>
          <w:szCs w:val="22"/>
        </w:rPr>
        <w:t xml:space="preserve"> acknowledges that treatment regimen for ALS has not been examined in the edaravone program. </w:t>
      </w:r>
    </w:p>
    <w:p w14:paraId="3AAA7B17" w14:textId="77777777" w:rsidR="007B2DBD" w:rsidRPr="007B2DBD" w:rsidRDefault="007B2DBD" w:rsidP="007B2DBD">
      <w:pPr>
        <w:spacing w:before="120" w:line="240" w:lineRule="atLeast"/>
        <w:ind w:left="284"/>
        <w:rPr>
          <w:rFonts w:eastAsia="Cambria" w:cs="Times New Roman"/>
          <w:i/>
          <w:iCs/>
          <w:szCs w:val="22"/>
        </w:rPr>
      </w:pPr>
      <w:r w:rsidRPr="007B2DBD">
        <w:rPr>
          <w:rFonts w:eastAsia="Cambria" w:cs="Times New Roman"/>
          <w:i/>
          <w:iCs/>
          <w:szCs w:val="22"/>
        </w:rPr>
        <w:t xml:space="preserve">Immediately after edaravone was approved as a treatment of cerebral infarction in 2001, Dr. Yoshino investigated the efficacy of edaravone for ALS in an investigator-initiated clinical study. As a result, the drug was expected to be effective, and therefore, a clinical study was conducted under the initiative of the company using the same regimen for ALS. </w:t>
      </w:r>
    </w:p>
    <w:p w14:paraId="3940EB9C" w14:textId="77777777" w:rsidR="007B2DBD" w:rsidRPr="007B2DBD" w:rsidRDefault="007B2DBD" w:rsidP="007B2DBD">
      <w:pPr>
        <w:spacing w:before="120" w:line="240" w:lineRule="atLeast"/>
        <w:ind w:left="284"/>
        <w:rPr>
          <w:rFonts w:eastAsia="Cambria" w:cs="Times New Roman"/>
          <w:i/>
          <w:iCs/>
          <w:szCs w:val="22"/>
        </w:rPr>
      </w:pPr>
      <w:r w:rsidRPr="007B2DBD">
        <w:rPr>
          <w:rFonts w:eastAsia="Cambria" w:cs="Times New Roman"/>
          <w:i/>
          <w:iCs/>
          <w:szCs w:val="22"/>
        </w:rPr>
        <w:t xml:space="preserve">As a point of consideration at the time, the treatment regimen approved for cerebral infarction (60 mg/day for 14 days) was used because early confirmation of efficacy was needed to deliver it to ALS patients early. Also, since the number of patients was limited, confirmation of treatment regimen was not conducted. </w:t>
      </w:r>
    </w:p>
    <w:p w14:paraId="0A9B99BD" w14:textId="627A661A" w:rsidR="007B2DBD" w:rsidRPr="007B2DBD" w:rsidRDefault="007B2DBD" w:rsidP="007B2DBD">
      <w:pPr>
        <w:spacing w:before="120" w:line="240" w:lineRule="atLeast"/>
        <w:ind w:left="284"/>
        <w:rPr>
          <w:rFonts w:eastAsia="Cambria" w:cs="Times New Roman"/>
          <w:i/>
          <w:iCs/>
          <w:szCs w:val="22"/>
        </w:rPr>
      </w:pPr>
      <w:r w:rsidRPr="007B2DBD">
        <w:rPr>
          <w:rFonts w:eastAsia="Cambria" w:cs="Times New Roman"/>
          <w:i/>
          <w:iCs/>
          <w:szCs w:val="22"/>
        </w:rPr>
        <w:t>As indicated previously, the fact that 3NT</w:t>
      </w:r>
      <w:r w:rsidR="00EB7C33">
        <w:rPr>
          <w:rStyle w:val="FootnoteReference"/>
          <w:rFonts w:eastAsia="Cambria" w:cs="Times New Roman"/>
          <w:i/>
          <w:iCs/>
          <w:szCs w:val="22"/>
        </w:rPr>
        <w:footnoteReference w:id="7"/>
      </w:r>
      <w:r w:rsidRPr="007B2DBD">
        <w:rPr>
          <w:rFonts w:eastAsia="Cambria" w:cs="Times New Roman"/>
          <w:i/>
          <w:iCs/>
          <w:szCs w:val="22"/>
        </w:rPr>
        <w:t xml:space="preserve"> also decreased with this regimen helped. </w:t>
      </w:r>
    </w:p>
    <w:p w14:paraId="0E65A7E1" w14:textId="77777777" w:rsidR="007B2DBD" w:rsidRPr="007B2DBD" w:rsidRDefault="007B2DBD" w:rsidP="007B2DBD">
      <w:pPr>
        <w:spacing w:before="120" w:line="240" w:lineRule="atLeast"/>
        <w:ind w:left="284"/>
        <w:rPr>
          <w:rFonts w:eastAsia="Cambria" w:cs="Times New Roman"/>
          <w:bCs/>
          <w:szCs w:val="22"/>
          <w:lang w:eastAsia="ja-JP"/>
        </w:rPr>
      </w:pPr>
      <w:r w:rsidRPr="007B2DBD">
        <w:rPr>
          <w:rFonts w:eastAsia="Cambria" w:cs="Times New Roman"/>
          <w:i/>
          <w:iCs/>
          <w:szCs w:val="22"/>
        </w:rPr>
        <w:t xml:space="preserve">In order to solve this problem, a post-approval commitment study that FDA requested is currently ongoing in ALS patients using oral edaravone to compare daily edaravone with the 2 weeks ON/OFF (current regimen), and based on the results, the optimal regimen for ALS patients would be identified.” </w:t>
      </w:r>
    </w:p>
    <w:p w14:paraId="6CE60966" w14:textId="4416C602" w:rsidR="007B2DBD" w:rsidRPr="007B2DBD" w:rsidRDefault="007B2DBD" w:rsidP="00D06D73">
      <w:pPr>
        <w:pStyle w:val="Heading5"/>
        <w:rPr>
          <w:rFonts w:eastAsia="Cambria"/>
          <w:lang w:eastAsia="ja-JP"/>
        </w:rPr>
      </w:pPr>
      <w:r w:rsidRPr="007B2DBD">
        <w:rPr>
          <w:rFonts w:eastAsia="Cambria"/>
          <w:lang w:eastAsia="ja-JP"/>
        </w:rPr>
        <w:t xml:space="preserve">Uncertainties and </w:t>
      </w:r>
      <w:r w:rsidR="006530BB">
        <w:rPr>
          <w:rFonts w:eastAsia="Cambria"/>
          <w:lang w:eastAsia="ja-JP"/>
        </w:rPr>
        <w:t>l</w:t>
      </w:r>
      <w:r w:rsidRPr="007B2DBD">
        <w:rPr>
          <w:rFonts w:eastAsia="Cambria"/>
          <w:lang w:eastAsia="ja-JP"/>
        </w:rPr>
        <w:t>imitations of the data</w:t>
      </w:r>
    </w:p>
    <w:p w14:paraId="500383C4" w14:textId="77777777"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szCs w:val="22"/>
          <w:lang w:eastAsia="ja-JP"/>
        </w:rPr>
        <w:t xml:space="preserve">Concerns arising from the non-clinical evaluation include limited evidence of efficacy and </w:t>
      </w:r>
      <w:r w:rsidRPr="007B2DBD">
        <w:rPr>
          <w:rFonts w:eastAsia="Cambria" w:cs="Times New Roman"/>
          <w:kern w:val="2"/>
          <w:szCs w:val="22"/>
        </w:rPr>
        <w:t xml:space="preserve">a potential risk of drug-associated nerve damage.  </w:t>
      </w:r>
    </w:p>
    <w:p w14:paraId="31E2DDD5" w14:textId="77777777"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szCs w:val="22"/>
          <w:lang w:eastAsia="ja-JP"/>
        </w:rPr>
        <w:t>Dose-finding for patients with ALS was limited.  The dosage regimens evaluated in the Phase 2 study (Study 12) were derived from experience in AIS and included treatment-free periods of 14 days in the initial 28-day treatment cycle and 18 days in each subsequent 28-day treatment cycle.  The treatment-free periods appear to have been chosen based on pragmatic considerations relating to long-term daily IV administration rather than a specific pharmacologic rationale.  The impact of the treatment-free periods on efficacy remains uncertain.</w:t>
      </w:r>
    </w:p>
    <w:p w14:paraId="6764EFDF" w14:textId="77777777"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szCs w:val="22"/>
          <w:lang w:eastAsia="ja-JP"/>
        </w:rPr>
        <w:t xml:space="preserve">Only one of the four Phase 3 ALS studies met its primary endpoint (Study 19).  The initial confirmatory study (Study 16), its extension study (Study 17), and a Phase 3 study in patients with Grade 3 ALS (Study 18) all failed to demonstrate a benefit with edaravone compared to placebo.  </w:t>
      </w:r>
    </w:p>
    <w:p w14:paraId="26532065" w14:textId="7A4EAF7F"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szCs w:val="22"/>
        </w:rPr>
        <w:t xml:space="preserve">Study 19, the pivotal study in this submission, demonstrated a benefit with edaravone compared to placebo for the primary endpoint (a significant reduction in the decline in ALSFRS-R score </w:t>
      </w:r>
      <w:r w:rsidRPr="007B2DBD">
        <w:rPr>
          <w:rFonts w:eastAsia="Cambria" w:cs="Times New Roman"/>
          <w:szCs w:val="22"/>
        </w:rPr>
        <w:lastRenderedPageBreak/>
        <w:t>over 6 cycles of treatment)</w:t>
      </w:r>
      <w:r w:rsidR="008F3002">
        <w:rPr>
          <w:rFonts w:eastAsia="Cambria" w:cs="Times New Roman"/>
          <w:szCs w:val="22"/>
        </w:rPr>
        <w:t>,</w:t>
      </w:r>
      <w:r w:rsidRPr="007B2DBD">
        <w:rPr>
          <w:rFonts w:eastAsia="Cambria" w:cs="Times New Roman"/>
          <w:szCs w:val="22"/>
        </w:rPr>
        <w:t xml:space="preserve"> but the secondary efficacy endpoints did not consistently support a treatment benefit and no adjustment was applied for multiplicity.  </w:t>
      </w:r>
    </w:p>
    <w:p w14:paraId="5E0E891F" w14:textId="77777777"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szCs w:val="22"/>
          <w:lang w:eastAsia="ja-JP"/>
        </w:rPr>
        <w:t xml:space="preserve">Study 19 evaluated the efficacy of edaravone in a restricted population based on the </w:t>
      </w:r>
      <w:r w:rsidRPr="007B2DBD">
        <w:rPr>
          <w:rFonts w:eastAsia="Cambria" w:cs="Times New Roman"/>
          <w:i/>
          <w:iCs/>
          <w:szCs w:val="22"/>
          <w:lang w:eastAsia="ja-JP"/>
        </w:rPr>
        <w:t>definite or probable/EESP/2y</w:t>
      </w:r>
      <w:r w:rsidRPr="007B2DBD">
        <w:rPr>
          <w:rFonts w:eastAsia="Cambria" w:cs="Times New Roman"/>
          <w:szCs w:val="22"/>
        </w:rPr>
        <w:t xml:space="preserve"> criteria from the </w:t>
      </w:r>
      <w:r w:rsidRPr="007B2DBD">
        <w:rPr>
          <w:rFonts w:eastAsia="Cambria" w:cs="Times New Roman"/>
          <w:i/>
          <w:iCs/>
          <w:szCs w:val="22"/>
          <w:lang w:eastAsia="ja-JP"/>
        </w:rPr>
        <w:t>post-hoc</w:t>
      </w:r>
      <w:r w:rsidRPr="007B2DBD">
        <w:rPr>
          <w:rFonts w:eastAsia="Cambria" w:cs="Times New Roman"/>
          <w:szCs w:val="22"/>
          <w:lang w:eastAsia="ja-JP"/>
        </w:rPr>
        <w:t xml:space="preserve"> </w:t>
      </w:r>
      <w:r w:rsidRPr="007B2DBD">
        <w:rPr>
          <w:rFonts w:eastAsia="Cambria" w:cs="Times New Roman"/>
          <w:szCs w:val="22"/>
        </w:rPr>
        <w:t>analyses of Study 16.</w:t>
      </w:r>
      <w:r w:rsidRPr="007B2DBD">
        <w:rPr>
          <w:rFonts w:eastAsia="Cambria" w:cs="Times New Roman"/>
          <w:szCs w:val="22"/>
          <w:lang w:eastAsia="ja-JP"/>
        </w:rPr>
        <w:t xml:space="preserve">  It remains uncertain whether the efficacy findings in the restricted population evaluated in Study 19 can be extrapolated to a broader population of patients with ALS.  When efficacy was examined in a broader population of patients with Grade 1 to 2 ALS in the initial confirmatory study, Study 16, no benefit was demonstrated.  In addition, </w:t>
      </w:r>
      <w:r w:rsidRPr="007B2DBD">
        <w:rPr>
          <w:rFonts w:eastAsia="Cambria" w:cs="Times New Roman"/>
          <w:i/>
          <w:iCs/>
          <w:szCs w:val="22"/>
          <w:lang w:eastAsia="ja-JP"/>
        </w:rPr>
        <w:t>post hoc</w:t>
      </w:r>
      <w:r w:rsidRPr="007B2DBD">
        <w:rPr>
          <w:rFonts w:eastAsia="Cambria" w:cs="Times New Roman"/>
          <w:szCs w:val="22"/>
          <w:lang w:eastAsia="ja-JP"/>
        </w:rPr>
        <w:t xml:space="preserve"> analyses of Study 16 showed a trend towards poorer outcomes in non-</w:t>
      </w:r>
      <w:r w:rsidRPr="007B2DBD">
        <w:rPr>
          <w:rFonts w:eastAsia="Cambria" w:cs="Times New Roman"/>
          <w:i/>
          <w:iCs/>
          <w:szCs w:val="22"/>
          <w:lang w:eastAsia="ja-JP"/>
        </w:rPr>
        <w:t>EESP</w:t>
      </w:r>
      <w:r w:rsidRPr="007B2DBD">
        <w:rPr>
          <w:rFonts w:eastAsia="Cambria" w:cs="Times New Roman"/>
          <w:szCs w:val="22"/>
          <w:lang w:eastAsia="ja-JP"/>
        </w:rPr>
        <w:t xml:space="preserve"> patients treated with edaravone compared to placebo.  </w:t>
      </w:r>
    </w:p>
    <w:p w14:paraId="6EAF6092" w14:textId="77777777"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szCs w:val="22"/>
          <w:lang w:eastAsia="ja-JP"/>
        </w:rPr>
        <w:t>The findings from Study 19 have not been replicated in another study.  The findings from Study 16 raise concern regarding the generalisability of the efficacy findings from Study 19.</w:t>
      </w:r>
    </w:p>
    <w:p w14:paraId="5918B9F9" w14:textId="77777777" w:rsidR="007B2DBD" w:rsidRPr="007B2DBD" w:rsidRDefault="007B2DBD" w:rsidP="007B2DBD">
      <w:pPr>
        <w:spacing w:before="120" w:line="240" w:lineRule="atLeast"/>
        <w:rPr>
          <w:rFonts w:eastAsia="Cambria" w:cs="Times New Roman"/>
          <w:color w:val="FF0000"/>
          <w:szCs w:val="22"/>
          <w:lang w:eastAsia="ja-JP"/>
        </w:rPr>
      </w:pPr>
      <w:r w:rsidRPr="007B2DBD">
        <w:rPr>
          <w:rFonts w:eastAsia="Cambria" w:cs="Times New Roman"/>
          <w:szCs w:val="22"/>
          <w:lang w:eastAsia="ja-JP"/>
        </w:rPr>
        <w:t xml:space="preserve">No survival benefit has been demonstrated for edaravone.  The TGA-adopted </w:t>
      </w:r>
      <w:r w:rsidRPr="007B2DBD">
        <w:rPr>
          <w:rFonts w:eastAsia="Cambria" w:cs="Times New Roman"/>
          <w:i/>
          <w:iCs/>
          <w:szCs w:val="22"/>
          <w:lang w:eastAsia="ja-JP"/>
        </w:rPr>
        <w:t>CHMP</w:t>
      </w:r>
      <w:r w:rsidRPr="007B2DBD">
        <w:rPr>
          <w:rFonts w:eastAsia="Cambria" w:cs="Times New Roman"/>
          <w:szCs w:val="22"/>
          <w:lang w:eastAsia="ja-JP"/>
        </w:rPr>
        <w:t xml:space="preserve"> </w:t>
      </w:r>
      <w:r w:rsidRPr="007B2DBD">
        <w:rPr>
          <w:rFonts w:eastAsia="Cambria" w:cs="Times New Roman"/>
          <w:i/>
          <w:iCs/>
          <w:szCs w:val="22"/>
          <w:lang w:eastAsia="ja-JP"/>
        </w:rPr>
        <w:t>Guideline on clinical investigation of medicinal products for the treatment of ALS</w:t>
      </w:r>
      <w:r w:rsidRPr="007B2DBD">
        <w:rPr>
          <w:rFonts w:eastAsia="Cambria" w:cs="Times New Roman"/>
          <w:szCs w:val="22"/>
          <w:lang w:eastAsia="ja-JP"/>
        </w:rPr>
        <w:t xml:space="preserve"> advises that survival should be assessed as a key efficacy endpoint in confirmatory trials of disease-modifying therapies.  The two confirmatory studies were not designed with a statistically robust survival endpoint as a key endpoint, and neither of the studies was able to demonstrate a survival benefit.  The CHMP Guideline advises that “</w:t>
      </w:r>
      <w:r w:rsidRPr="007B2DBD">
        <w:rPr>
          <w:rFonts w:eastAsia="Cambria" w:cs="Times New Roman"/>
          <w:i/>
          <w:iCs/>
          <w:szCs w:val="22"/>
          <w:lang w:eastAsia="ja-JP"/>
        </w:rPr>
        <w:t>study duration of 12-18 months may be sufficient</w:t>
      </w:r>
      <w:r w:rsidRPr="007B2DBD">
        <w:rPr>
          <w:rFonts w:eastAsia="Cambria" w:cs="Times New Roman"/>
          <w:szCs w:val="22"/>
          <w:lang w:eastAsia="ja-JP"/>
        </w:rPr>
        <w:t xml:space="preserve">”.  The double-blind period in each of the confirmatory studies was only 24 weeks duration, so it is possible that the confirmatory studies were not of adequate duration to detect a survival benefit.  The failure to demonstrate a survival benefit remains a notable limitation of the clinical program for edaravone.  </w:t>
      </w:r>
    </w:p>
    <w:p w14:paraId="24A365E4" w14:textId="5BD9709A" w:rsidR="007B2DBD" w:rsidRPr="007B2DBD" w:rsidRDefault="007B2DBD" w:rsidP="007B2DBD">
      <w:pPr>
        <w:spacing w:before="120" w:line="240" w:lineRule="atLeast"/>
        <w:rPr>
          <w:rFonts w:eastAsia="Cambria" w:cs="Times New Roman"/>
          <w:color w:val="FF0000"/>
          <w:szCs w:val="22"/>
          <w:lang w:eastAsia="ja-JP"/>
        </w:rPr>
      </w:pPr>
      <w:r w:rsidRPr="007B2DBD">
        <w:rPr>
          <w:rFonts w:eastAsia="Cambria" w:cs="Times New Roman"/>
          <w:szCs w:val="22"/>
          <w:lang w:eastAsia="ja-JP"/>
        </w:rPr>
        <w:t xml:space="preserve">The clinical significance of glycosuria findings in ALS studies is uncertain as </w:t>
      </w:r>
      <w:r w:rsidRPr="007B2DBD">
        <w:rPr>
          <w:rFonts w:eastAsia="Cambria" w:cs="Times New Roman"/>
          <w:iCs/>
          <w:szCs w:val="22"/>
          <w:lang w:eastAsia="ja-JP"/>
        </w:rPr>
        <w:t xml:space="preserve">blood glucose and glycated haemoglobin (HbA1c) were not monitored in the ALS studies.  The </w:t>
      </w:r>
      <w:r w:rsidR="00C04BB6">
        <w:rPr>
          <w:rFonts w:eastAsia="Cambria" w:cs="Times New Roman"/>
          <w:iCs/>
          <w:szCs w:val="22"/>
          <w:lang w:eastAsia="ja-JP"/>
        </w:rPr>
        <w:t>Sponsor</w:t>
      </w:r>
      <w:r w:rsidRPr="007B2DBD">
        <w:rPr>
          <w:rFonts w:eastAsia="Cambria" w:cs="Times New Roman"/>
          <w:iCs/>
          <w:szCs w:val="22"/>
          <w:lang w:eastAsia="ja-JP"/>
        </w:rPr>
        <w:t xml:space="preserve"> indicated that the lack of monitoring of blood glucose and HbA1c in the ALS studies was based on experience in AIS.  The risk of an effect on glucose metabolism with longer-term use of edaravone in ALS has not been adequately addressed.</w:t>
      </w:r>
      <w:r w:rsidRPr="007B2DBD">
        <w:rPr>
          <w:rFonts w:eastAsia="Cambria" w:cs="Times New Roman"/>
          <w:color w:val="FF0000"/>
          <w:szCs w:val="22"/>
          <w:lang w:eastAsia="ja-JP"/>
        </w:rPr>
        <w:t xml:space="preserve"> </w:t>
      </w:r>
    </w:p>
    <w:p w14:paraId="2B88ACE7" w14:textId="63AB0430" w:rsidR="007B2DBD" w:rsidRPr="007B2DBD" w:rsidRDefault="007B2DBD" w:rsidP="00D06D73">
      <w:pPr>
        <w:pStyle w:val="Heading5"/>
        <w:rPr>
          <w:rFonts w:eastAsia="Cambria"/>
        </w:rPr>
      </w:pPr>
      <w:r w:rsidRPr="007B2DBD">
        <w:rPr>
          <w:rFonts w:eastAsia="Cambria"/>
        </w:rPr>
        <w:t xml:space="preserve">Proposed </w:t>
      </w:r>
      <w:r w:rsidR="006530BB">
        <w:rPr>
          <w:rFonts w:eastAsia="Cambria"/>
        </w:rPr>
        <w:t>i</w:t>
      </w:r>
      <w:r w:rsidRPr="007B2DBD">
        <w:rPr>
          <w:rFonts w:eastAsia="Cambria"/>
        </w:rPr>
        <w:t>ndication</w:t>
      </w:r>
    </w:p>
    <w:p w14:paraId="355DE1ED"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szCs w:val="22"/>
        </w:rPr>
        <w:t>The initial proposed indication was:</w:t>
      </w:r>
    </w:p>
    <w:p w14:paraId="6DB109ED" w14:textId="22CA4BA1" w:rsidR="007B2DBD" w:rsidRPr="007B2DBD" w:rsidRDefault="002B1097" w:rsidP="007B2DBD">
      <w:pPr>
        <w:spacing w:before="120" w:line="240" w:lineRule="atLeast"/>
        <w:ind w:left="284"/>
        <w:rPr>
          <w:rFonts w:eastAsia="Cambria" w:cs="Times New Roman"/>
          <w:i/>
          <w:iCs/>
          <w:szCs w:val="22"/>
        </w:rPr>
      </w:pPr>
      <w:r>
        <w:rPr>
          <w:rFonts w:eastAsia="Cambria" w:cs="Times New Roman"/>
          <w:i/>
          <w:iCs/>
          <w:szCs w:val="22"/>
        </w:rPr>
        <w:t>Radicava</w:t>
      </w:r>
      <w:r w:rsidR="007B2DBD" w:rsidRPr="007B2DBD">
        <w:rPr>
          <w:rFonts w:eastAsia="Cambria" w:cs="Times New Roman"/>
          <w:i/>
          <w:iCs/>
          <w:szCs w:val="22"/>
        </w:rPr>
        <w:t xml:space="preserve"> is indicated for the treatment of amyotrophic lateral sclerosis (ALS).</w:t>
      </w:r>
    </w:p>
    <w:p w14:paraId="3BD6B838" w14:textId="0161BE9C" w:rsidR="007B2DBD" w:rsidRPr="007B2DBD" w:rsidRDefault="007B2DBD" w:rsidP="007B2DBD">
      <w:pPr>
        <w:spacing w:before="120" w:line="240" w:lineRule="atLeast"/>
        <w:rPr>
          <w:rFonts w:ascii="Calibri" w:eastAsia="Cambria" w:hAnsi="Calibri" w:cs="Calibri"/>
          <w:color w:val="000000"/>
          <w:sz w:val="24"/>
          <w:szCs w:val="24"/>
        </w:rPr>
      </w:pPr>
      <w:r w:rsidRPr="007B2DBD">
        <w:rPr>
          <w:rFonts w:eastAsia="Cambria" w:cs="Times New Roman"/>
          <w:szCs w:val="22"/>
        </w:rPr>
        <w:t xml:space="preserve">In response to the round 1 clinical evaluation, the </w:t>
      </w:r>
      <w:r w:rsidR="00C04BB6">
        <w:rPr>
          <w:rFonts w:eastAsia="Cambria" w:cs="Times New Roman"/>
          <w:szCs w:val="22"/>
        </w:rPr>
        <w:t>Sponsor</w:t>
      </w:r>
      <w:r w:rsidRPr="007B2DBD">
        <w:rPr>
          <w:rFonts w:eastAsia="Cambria" w:cs="Times New Roman"/>
          <w:szCs w:val="22"/>
        </w:rPr>
        <w:t xml:space="preserve"> submitted a revised indication:</w:t>
      </w:r>
    </w:p>
    <w:p w14:paraId="3765FE35" w14:textId="13766196" w:rsidR="007B2DBD" w:rsidRPr="007B2DBD" w:rsidRDefault="002B1097" w:rsidP="007B2DBD">
      <w:pPr>
        <w:spacing w:before="120" w:line="240" w:lineRule="atLeast"/>
        <w:ind w:left="284"/>
        <w:rPr>
          <w:rFonts w:eastAsia="Cambria" w:cs="Times New Roman"/>
          <w:i/>
          <w:iCs/>
          <w:szCs w:val="22"/>
        </w:rPr>
      </w:pPr>
      <w:r>
        <w:rPr>
          <w:rFonts w:eastAsia="Cambria" w:cs="Times New Roman"/>
          <w:i/>
          <w:iCs/>
          <w:szCs w:val="22"/>
        </w:rPr>
        <w:t>Radicava</w:t>
      </w:r>
      <w:r w:rsidR="007B2DBD" w:rsidRPr="007B2DBD">
        <w:rPr>
          <w:rFonts w:eastAsia="Cambria" w:cs="Times New Roman"/>
          <w:i/>
          <w:iCs/>
          <w:szCs w:val="22"/>
        </w:rPr>
        <w:t xml:space="preserve"> (edaravone) is indicated to slow the loss of function in patients with amyotrophic lateral sclerosis (ALS), as measured by the ALS Functional Rating Scale - Revised (ALSFRS-R).  Treatment should be initiated in patients with mild and moderate disabilities.</w:t>
      </w:r>
    </w:p>
    <w:p w14:paraId="5ED60421" w14:textId="77777777" w:rsidR="007B2DBD" w:rsidRPr="007B2DBD" w:rsidRDefault="007B2DBD" w:rsidP="007B2DBD">
      <w:pPr>
        <w:autoSpaceDE w:val="0"/>
        <w:autoSpaceDN w:val="0"/>
        <w:adjustRightInd w:val="0"/>
        <w:spacing w:before="120" w:line="240" w:lineRule="atLeast"/>
        <w:rPr>
          <w:rFonts w:eastAsia="Cambria" w:cs="Times New Roman"/>
          <w:szCs w:val="22"/>
        </w:rPr>
      </w:pPr>
      <w:r w:rsidRPr="007B2DBD">
        <w:rPr>
          <w:rFonts w:eastAsia="Cambria" w:cs="Times New Roman"/>
          <w:szCs w:val="22"/>
        </w:rPr>
        <w:t xml:space="preserve">It is unclear how this revised indication addresses the concerns regarding the limited evidence of efficacy in a restricted population in Study 19, the lack of benefit in a broader population of patients with Grade 1 or 2 ALS in Study 16, and the lack of benefit in patients with Grade 3 ALS in Study 18.  </w:t>
      </w:r>
    </w:p>
    <w:p w14:paraId="53694DC3" w14:textId="539170D2" w:rsidR="007B2DBD" w:rsidRPr="007B2DBD" w:rsidRDefault="007B2DBD" w:rsidP="007B2DBD">
      <w:pPr>
        <w:spacing w:before="120" w:line="240" w:lineRule="atLeast"/>
        <w:rPr>
          <w:rFonts w:ascii="Calibri" w:eastAsia="Cambria" w:hAnsi="Calibri" w:cs="Calibri"/>
          <w:color w:val="000000"/>
          <w:sz w:val="24"/>
          <w:szCs w:val="24"/>
        </w:rPr>
      </w:pPr>
      <w:r w:rsidRPr="007B2DBD">
        <w:rPr>
          <w:rFonts w:eastAsia="Cambria" w:cs="Times New Roman"/>
          <w:szCs w:val="22"/>
        </w:rPr>
        <w:t xml:space="preserve">In response to the round 2 clinical evaluation, the </w:t>
      </w:r>
      <w:r w:rsidR="00C04BB6">
        <w:rPr>
          <w:rFonts w:eastAsia="Cambria" w:cs="Times New Roman"/>
          <w:szCs w:val="22"/>
        </w:rPr>
        <w:t>Sponsor</w:t>
      </w:r>
      <w:r w:rsidRPr="007B2DBD">
        <w:rPr>
          <w:rFonts w:eastAsia="Cambria" w:cs="Times New Roman"/>
          <w:szCs w:val="22"/>
        </w:rPr>
        <w:t xml:space="preserve"> submitted a revised indication reflecting the restrictive criteria used to define the population evaluated in Study 19:</w:t>
      </w:r>
    </w:p>
    <w:p w14:paraId="09D921A3" w14:textId="3FE55359" w:rsidR="007B2DBD" w:rsidRPr="007B2DBD" w:rsidRDefault="002B1097" w:rsidP="007B2DBD">
      <w:pPr>
        <w:autoSpaceDE w:val="0"/>
        <w:autoSpaceDN w:val="0"/>
        <w:adjustRightInd w:val="0"/>
        <w:spacing w:after="0" w:line="240" w:lineRule="auto"/>
        <w:ind w:left="284"/>
        <w:rPr>
          <w:rFonts w:ascii="Calibri" w:eastAsia="Cambria" w:hAnsi="Calibri" w:cs="Calibri"/>
          <w:color w:val="000000"/>
          <w:szCs w:val="22"/>
        </w:rPr>
      </w:pPr>
      <w:r>
        <w:rPr>
          <w:rFonts w:eastAsia="Cambria" w:cs="Calibri"/>
          <w:i/>
          <w:iCs/>
          <w:color w:val="000000"/>
          <w:szCs w:val="22"/>
        </w:rPr>
        <w:t>Radicava</w:t>
      </w:r>
      <w:r w:rsidR="007B2DBD" w:rsidRPr="007B2DBD">
        <w:rPr>
          <w:rFonts w:eastAsia="Cambria" w:cs="Calibri"/>
          <w:i/>
          <w:iCs/>
          <w:color w:val="000000"/>
          <w:szCs w:val="22"/>
        </w:rPr>
        <w:t xml:space="preserve"> is indicated in adults with a diagnosis of “definite” or “probable” amyotrophic lateral sclerosis (revised El Escorial criteria, ALSFRS-R scores ≥2 on all 12 items, FVC ≥80%, disease duration ≤2 years) and who have experienced a recent progression (ALSFRS score decline of 1-4 points) to delay functional decline. </w:t>
      </w:r>
    </w:p>
    <w:p w14:paraId="69EC1DFD" w14:textId="77777777" w:rsidR="007B2DBD" w:rsidRPr="007B2DBD" w:rsidRDefault="007B2DBD" w:rsidP="007B2DBD">
      <w:pPr>
        <w:autoSpaceDE w:val="0"/>
        <w:autoSpaceDN w:val="0"/>
        <w:adjustRightInd w:val="0"/>
        <w:spacing w:before="120" w:line="240" w:lineRule="atLeast"/>
        <w:ind w:left="284"/>
        <w:rPr>
          <w:rFonts w:eastAsia="Cambria" w:cs="Calibri"/>
          <w:i/>
          <w:iCs/>
          <w:color w:val="000000"/>
          <w:szCs w:val="22"/>
        </w:rPr>
      </w:pPr>
      <w:r w:rsidRPr="007B2DBD">
        <w:rPr>
          <w:rFonts w:eastAsia="Cambria" w:cs="Calibri"/>
          <w:i/>
          <w:iCs/>
          <w:color w:val="000000"/>
          <w:szCs w:val="22"/>
        </w:rPr>
        <w:t>Efficacy has not been demonstrated in patients outside of this defined population.</w:t>
      </w:r>
    </w:p>
    <w:p w14:paraId="22476075" w14:textId="30FE0B25" w:rsidR="007B2DBD" w:rsidRPr="007B2DBD" w:rsidRDefault="007B2DBD" w:rsidP="007B2DBD">
      <w:pPr>
        <w:autoSpaceDE w:val="0"/>
        <w:autoSpaceDN w:val="0"/>
        <w:adjustRightInd w:val="0"/>
        <w:spacing w:before="120" w:line="240" w:lineRule="atLeast"/>
        <w:rPr>
          <w:rFonts w:eastAsia="Cambria" w:cs="Calibri"/>
          <w:color w:val="000000"/>
          <w:szCs w:val="22"/>
        </w:rPr>
      </w:pPr>
      <w:r w:rsidRPr="007B2DBD">
        <w:rPr>
          <w:rFonts w:eastAsia="Cambria" w:cs="Calibri"/>
          <w:color w:val="000000"/>
          <w:szCs w:val="22"/>
        </w:rPr>
        <w:t xml:space="preserve">This indication aligns with the restricted population evaluated in Study 19, but </w:t>
      </w:r>
      <w:r w:rsidR="00EB7CBA">
        <w:rPr>
          <w:rFonts w:eastAsia="Cambria" w:cs="Calibri"/>
          <w:color w:val="000000"/>
          <w:szCs w:val="22"/>
        </w:rPr>
        <w:t>the delegate is</w:t>
      </w:r>
      <w:r w:rsidRPr="007B2DBD">
        <w:rPr>
          <w:rFonts w:eastAsia="Cambria" w:cs="Calibri"/>
          <w:color w:val="000000"/>
          <w:szCs w:val="22"/>
        </w:rPr>
        <w:t xml:space="preserve"> concerned that this approach does not adequately address the concern regarding the deficiencies and limitations of the efficacy data.  </w:t>
      </w:r>
    </w:p>
    <w:p w14:paraId="274C3169" w14:textId="77777777" w:rsidR="007B2DBD" w:rsidRPr="007B2DBD" w:rsidRDefault="007B2DBD" w:rsidP="00D06D73">
      <w:pPr>
        <w:pStyle w:val="Heading5"/>
        <w:rPr>
          <w:rFonts w:eastAsia="Cambria"/>
          <w:lang w:eastAsia="ja-JP"/>
        </w:rPr>
      </w:pPr>
      <w:r w:rsidRPr="007B2DBD">
        <w:rPr>
          <w:rFonts w:eastAsia="Cambria"/>
          <w:lang w:eastAsia="ja-JP"/>
        </w:rPr>
        <w:lastRenderedPageBreak/>
        <w:t>Proposed conditions of registration</w:t>
      </w:r>
    </w:p>
    <w:p w14:paraId="338FDF76" w14:textId="3F232D6B" w:rsidR="007B2DBD" w:rsidRPr="007B2DBD" w:rsidRDefault="007B2DBD" w:rsidP="00D06D73">
      <w:pPr>
        <w:spacing w:before="120" w:line="240" w:lineRule="atLeast"/>
        <w:rPr>
          <w:rFonts w:ascii="Arial" w:eastAsia="Times New Roman" w:hAnsi="Arial" w:cs="Times New Roman"/>
          <w:b/>
          <w:bCs/>
          <w:sz w:val="26"/>
          <w:szCs w:val="21"/>
        </w:rPr>
      </w:pPr>
      <w:r w:rsidRPr="007B2DBD">
        <w:rPr>
          <w:rFonts w:eastAsia="Cambria" w:cs="Times New Roman"/>
          <w:szCs w:val="22"/>
          <w:lang w:eastAsia="ja-JP"/>
        </w:rPr>
        <w:t xml:space="preserve">At this stage, </w:t>
      </w:r>
      <w:r w:rsidR="001E19FD">
        <w:rPr>
          <w:rFonts w:eastAsia="Cambria" w:cs="Times New Roman"/>
          <w:szCs w:val="22"/>
          <w:lang w:eastAsia="ja-JP"/>
        </w:rPr>
        <w:t xml:space="preserve">the delegate is </w:t>
      </w:r>
      <w:r w:rsidRPr="007B2DBD">
        <w:rPr>
          <w:rFonts w:eastAsia="Cambria" w:cs="Times New Roman"/>
          <w:szCs w:val="22"/>
          <w:lang w:eastAsia="ja-JP"/>
        </w:rPr>
        <w:t xml:space="preserve">not proposing to approve the registration of edaravone.  If a decision is made to approve the registration of edaravone, the </w:t>
      </w:r>
      <w:r w:rsidR="00D06D73" w:rsidRPr="00D06D73">
        <w:rPr>
          <w:rFonts w:eastAsia="Cambria" w:cs="Times New Roman"/>
          <w:szCs w:val="22"/>
          <w:lang w:eastAsia="ja-JP"/>
        </w:rPr>
        <w:t xml:space="preserve">RMP evaluator recommendations regarding conditions of registration </w:t>
      </w:r>
      <w:r w:rsidR="00D06D73">
        <w:rPr>
          <w:rFonts w:eastAsia="Cambria" w:cs="Times New Roman"/>
          <w:szCs w:val="22"/>
          <w:lang w:eastAsia="ja-JP"/>
        </w:rPr>
        <w:t xml:space="preserve">outlined below </w:t>
      </w:r>
      <w:r w:rsidRPr="007B2DBD">
        <w:rPr>
          <w:rFonts w:eastAsia="Cambria" w:cs="Times New Roman"/>
          <w:szCs w:val="22"/>
          <w:lang w:eastAsia="ja-JP"/>
        </w:rPr>
        <w:t>would apply</w:t>
      </w:r>
      <w:r w:rsidR="00D06D73">
        <w:rPr>
          <w:rFonts w:eastAsia="Cambria" w:cs="Times New Roman"/>
          <w:szCs w:val="22"/>
          <w:lang w:eastAsia="ja-JP"/>
        </w:rPr>
        <w:t>.</w:t>
      </w:r>
    </w:p>
    <w:p w14:paraId="317C7634" w14:textId="3A23461D" w:rsidR="007B2DBD" w:rsidRPr="007B2DBD" w:rsidRDefault="00D06D73" w:rsidP="00D06D73">
      <w:pPr>
        <w:pStyle w:val="Heading4"/>
      </w:pPr>
      <w:bookmarkStart w:id="112" w:name="_Toc174517611"/>
      <w:r w:rsidRPr="00D06D73">
        <w:t>Recommendation following the clinical evaluation</w:t>
      </w:r>
      <w:bookmarkEnd w:id="112"/>
    </w:p>
    <w:p w14:paraId="0ECF758C" w14:textId="5BD2E93F" w:rsidR="007B2DBD" w:rsidRPr="007B2DBD" w:rsidRDefault="007B2DBD" w:rsidP="007B2DBD">
      <w:pPr>
        <w:spacing w:before="120" w:line="240" w:lineRule="atLeast"/>
        <w:rPr>
          <w:rFonts w:eastAsia="Cambria" w:cs="Times New Roman"/>
          <w:bCs/>
          <w:szCs w:val="22"/>
        </w:rPr>
      </w:pPr>
      <w:r w:rsidRPr="007B2DBD">
        <w:rPr>
          <w:rFonts w:eastAsia="Cambria" w:cs="Times New Roman"/>
          <w:szCs w:val="22"/>
        </w:rPr>
        <w:t xml:space="preserve">ALS is a devastating condition and there is an unmet need for treatments which can alter the course of the disease.  My primary concern with this application relates to deficiencies and limitations of the efficacy data.  </w:t>
      </w:r>
      <w:r w:rsidR="001E19FD">
        <w:rPr>
          <w:rFonts w:eastAsia="Cambria" w:cs="Times New Roman"/>
          <w:szCs w:val="22"/>
        </w:rPr>
        <w:t>The delegate is</w:t>
      </w:r>
      <w:r w:rsidRPr="007B2DBD">
        <w:rPr>
          <w:rFonts w:eastAsia="Cambria" w:cs="Times New Roman"/>
          <w:szCs w:val="22"/>
        </w:rPr>
        <w:t xml:space="preserve"> concerned that the efficacy findings from the single positive study, Study 19, are not sufficiently robust to support the registration of edaravone.  </w:t>
      </w:r>
      <w:r w:rsidRPr="007B2DBD">
        <w:rPr>
          <w:rFonts w:eastAsia="Cambria" w:cs="Times New Roman"/>
          <w:bCs/>
          <w:szCs w:val="22"/>
        </w:rPr>
        <w:t xml:space="preserve">Study 19 met its primary endpoint, showing a significant reduction in the decline in ALSFRS-R score compared to placebo over 6 cycles of treatment.  Whilst this suggests a benefit in delaying functional decline, no survival benefit was demonstrated and the other secondary endpoints did not consistently show a benefit and were not statistically robust.  The failure to demonstrate a benefit in survival and the inconsistent findings for other secondary outcomes raise concern that the efficacy findings from one pivotal study are not sufficiently robust to support registration.  </w:t>
      </w:r>
    </w:p>
    <w:p w14:paraId="47DD285E" w14:textId="77777777" w:rsidR="007B2DBD" w:rsidRPr="007B2DBD" w:rsidRDefault="007B2DBD" w:rsidP="007B2DBD">
      <w:pPr>
        <w:spacing w:before="120" w:line="240" w:lineRule="atLeast"/>
        <w:rPr>
          <w:rFonts w:eastAsia="Cambria" w:cs="Times New Roman"/>
          <w:szCs w:val="22"/>
        </w:rPr>
      </w:pPr>
      <w:r w:rsidRPr="007B2DBD">
        <w:rPr>
          <w:rFonts w:eastAsia="Cambria" w:cs="Times New Roman"/>
          <w:bCs/>
          <w:szCs w:val="22"/>
        </w:rPr>
        <w:t xml:space="preserve">Study 19 assessed efficacy in a restricted population based on the </w:t>
      </w:r>
      <w:r w:rsidRPr="007B2DBD">
        <w:rPr>
          <w:rFonts w:eastAsia="Cambria" w:cs="Times New Roman"/>
          <w:i/>
          <w:iCs/>
          <w:szCs w:val="22"/>
          <w:lang w:eastAsia="ja-JP"/>
        </w:rPr>
        <w:t>definite or probable/EESP/2y</w:t>
      </w:r>
      <w:r w:rsidRPr="007B2DBD">
        <w:rPr>
          <w:rFonts w:eastAsia="Cambria" w:cs="Times New Roman"/>
          <w:bCs/>
          <w:szCs w:val="22"/>
        </w:rPr>
        <w:t xml:space="preserve"> criteria identified in </w:t>
      </w:r>
      <w:r w:rsidRPr="007B2DBD">
        <w:rPr>
          <w:rFonts w:eastAsia="Cambria" w:cs="Times New Roman"/>
          <w:bCs/>
          <w:i/>
          <w:iCs/>
          <w:szCs w:val="22"/>
        </w:rPr>
        <w:t>post hoc</w:t>
      </w:r>
      <w:r w:rsidRPr="007B2DBD">
        <w:rPr>
          <w:rFonts w:eastAsia="Cambria" w:cs="Times New Roman"/>
          <w:bCs/>
          <w:szCs w:val="22"/>
        </w:rPr>
        <w:t xml:space="preserve"> analyses of Study 16</w:t>
      </w:r>
      <w:r w:rsidRPr="007B2DBD">
        <w:rPr>
          <w:rFonts w:eastAsia="Cambria" w:cs="Times New Roman"/>
          <w:szCs w:val="22"/>
        </w:rPr>
        <w:t>: “definite” or “probable” ALS diagnosis (revised El Escorial criteria), each item of the ALSFRS-R score ≥ 2, %FVC ≥80%, and disease duration &lt; 2 years</w:t>
      </w:r>
      <w:r w:rsidRPr="007B2DBD">
        <w:rPr>
          <w:rFonts w:eastAsia="Cambria" w:cs="Times New Roman"/>
          <w:bCs/>
          <w:szCs w:val="22"/>
        </w:rPr>
        <w:t>.  When</w:t>
      </w:r>
      <w:r w:rsidRPr="007B2DBD">
        <w:rPr>
          <w:rFonts w:eastAsia="Cambria" w:cs="Calibri"/>
          <w:color w:val="000000"/>
          <w:szCs w:val="22"/>
        </w:rPr>
        <w:t xml:space="preserve"> efficacy was examined in a broader population</w:t>
      </w:r>
      <w:r w:rsidRPr="007B2DBD">
        <w:rPr>
          <w:rFonts w:eastAsia="Cambria" w:cs="Times New Roman"/>
          <w:bCs/>
          <w:szCs w:val="22"/>
        </w:rPr>
        <w:t xml:space="preserve"> </w:t>
      </w:r>
      <w:r w:rsidRPr="007B2DBD">
        <w:rPr>
          <w:rFonts w:eastAsia="Cambria" w:cs="Times New Roman"/>
          <w:szCs w:val="22"/>
          <w:lang w:eastAsia="ja-JP"/>
        </w:rPr>
        <w:t xml:space="preserve">of patients with Grade 1 to 2 ALS in Studies 16 and 17, no benefit in functioning or survival was demonstrated.  Similarly, no benefit in functioning or survival was demonstrated in patients with Grade 3 ALS in Study 18.   </w:t>
      </w:r>
    </w:p>
    <w:p w14:paraId="0A6273F2" w14:textId="6706A24D" w:rsidR="007B2DBD" w:rsidRPr="007B2DBD" w:rsidRDefault="007B2DBD" w:rsidP="007B2DBD">
      <w:pPr>
        <w:spacing w:before="120" w:line="240" w:lineRule="atLeast"/>
        <w:rPr>
          <w:rFonts w:eastAsia="Cambria" w:cs="Times New Roman"/>
          <w:szCs w:val="22"/>
          <w:lang w:eastAsia="ja-JP"/>
        </w:rPr>
      </w:pPr>
      <w:r w:rsidRPr="007B2DBD">
        <w:rPr>
          <w:rFonts w:eastAsia="Cambria" w:cs="Times New Roman"/>
          <w:szCs w:val="22"/>
          <w:lang w:eastAsia="ja-JP"/>
        </w:rPr>
        <w:t xml:space="preserve">In response to concerns regarding the limitations of the efficacy dataset, the </w:t>
      </w:r>
      <w:r w:rsidR="00C04BB6">
        <w:rPr>
          <w:rFonts w:eastAsia="Cambria" w:cs="Times New Roman"/>
          <w:szCs w:val="22"/>
          <w:lang w:eastAsia="ja-JP"/>
        </w:rPr>
        <w:t>Sponsor</w:t>
      </w:r>
      <w:r w:rsidRPr="007B2DBD">
        <w:rPr>
          <w:rFonts w:eastAsia="Cambria" w:cs="Times New Roman"/>
          <w:szCs w:val="22"/>
          <w:lang w:eastAsia="ja-JP"/>
        </w:rPr>
        <w:t xml:space="preserve"> has revised the proposed indication to align with the restricted </w:t>
      </w:r>
      <w:r w:rsidRPr="007B2DBD">
        <w:rPr>
          <w:rFonts w:eastAsia="Cambria" w:cs="Calibri"/>
          <w:color w:val="000000"/>
          <w:szCs w:val="22"/>
        </w:rPr>
        <w:t xml:space="preserve">population evaluated in Study 19.  However, </w:t>
      </w:r>
      <w:r w:rsidR="009976F0">
        <w:rPr>
          <w:rFonts w:eastAsia="Cambria" w:cs="Calibri"/>
          <w:color w:val="000000"/>
          <w:szCs w:val="22"/>
        </w:rPr>
        <w:t>the del</w:t>
      </w:r>
      <w:r w:rsidR="002C5B9C">
        <w:rPr>
          <w:rFonts w:eastAsia="Cambria" w:cs="Calibri"/>
          <w:color w:val="000000"/>
          <w:szCs w:val="22"/>
        </w:rPr>
        <w:t>egate is</w:t>
      </w:r>
      <w:r w:rsidRPr="007B2DBD">
        <w:rPr>
          <w:rFonts w:eastAsia="Cambria" w:cs="Calibri"/>
          <w:color w:val="000000"/>
          <w:szCs w:val="22"/>
        </w:rPr>
        <w:t xml:space="preserve"> concerned that this is an artificially defined sub-population without a clear scientific rationale to support efficacy in this sub-population and not in a broader population.  </w:t>
      </w:r>
      <w:r w:rsidR="00EB7B45">
        <w:rPr>
          <w:rFonts w:eastAsia="Cambria" w:cs="Calibri"/>
          <w:color w:val="000000"/>
          <w:szCs w:val="22"/>
        </w:rPr>
        <w:t>The delegate is</w:t>
      </w:r>
      <w:r w:rsidRPr="007B2DBD">
        <w:rPr>
          <w:rFonts w:eastAsia="Cambria" w:cs="Calibri"/>
          <w:color w:val="000000"/>
          <w:szCs w:val="22"/>
        </w:rPr>
        <w:t xml:space="preserve"> also concerned that this approach does not adequately address the deficiencies and limitations of the efficacy dataset.  </w:t>
      </w:r>
    </w:p>
    <w:p w14:paraId="2F1C2D91" w14:textId="00A27A17" w:rsidR="007B2DBD" w:rsidRPr="00A3791E" w:rsidRDefault="00697493" w:rsidP="007B2DBD">
      <w:pPr>
        <w:spacing w:before="120" w:line="240" w:lineRule="atLeast"/>
        <w:rPr>
          <w:rFonts w:eastAsia="Cambria" w:cs="Times New Roman"/>
          <w:szCs w:val="22"/>
        </w:rPr>
      </w:pPr>
      <w:r>
        <w:rPr>
          <w:rFonts w:eastAsia="Cambria" w:cs="Times New Roman"/>
          <w:bCs/>
          <w:szCs w:val="22"/>
        </w:rPr>
        <w:t>The delegate</w:t>
      </w:r>
      <w:r w:rsidR="007B2DBD" w:rsidRPr="007B2DBD">
        <w:rPr>
          <w:rFonts w:eastAsia="Cambria" w:cs="Times New Roman"/>
          <w:bCs/>
          <w:szCs w:val="22"/>
        </w:rPr>
        <w:t xml:space="preserve"> would like to consider expert advice from ACM before finalising </w:t>
      </w:r>
      <w:r>
        <w:rPr>
          <w:rFonts w:eastAsia="Cambria" w:cs="Times New Roman"/>
          <w:bCs/>
          <w:szCs w:val="22"/>
        </w:rPr>
        <w:t>a</w:t>
      </w:r>
      <w:r w:rsidR="007B2DBD" w:rsidRPr="007B2DBD">
        <w:rPr>
          <w:rFonts w:eastAsia="Cambria" w:cs="Times New Roman"/>
          <w:bCs/>
          <w:szCs w:val="22"/>
        </w:rPr>
        <w:t xml:space="preserve"> decision, but at this stage </w:t>
      </w:r>
      <w:r>
        <w:rPr>
          <w:rFonts w:eastAsia="Cambria" w:cs="Times New Roman"/>
          <w:bCs/>
          <w:szCs w:val="22"/>
        </w:rPr>
        <w:t>the delegate is</w:t>
      </w:r>
      <w:r w:rsidR="007B2DBD" w:rsidRPr="007B2DBD">
        <w:rPr>
          <w:rFonts w:eastAsia="Cambria" w:cs="Times New Roman"/>
          <w:bCs/>
          <w:szCs w:val="22"/>
        </w:rPr>
        <w:t xml:space="preserve"> of the view that the evidence of efficacy is not sufficient to support the registration of </w:t>
      </w:r>
      <w:r w:rsidR="00D06D73" w:rsidRPr="007B2DBD">
        <w:rPr>
          <w:rFonts w:eastAsia="Cambria" w:cs="Times New Roman"/>
          <w:bCs/>
          <w:szCs w:val="22"/>
        </w:rPr>
        <w:t>edaravone.</w:t>
      </w:r>
    </w:p>
    <w:p w14:paraId="5DBAEAAB" w14:textId="77777777" w:rsidR="00A3791E" w:rsidRPr="00A3791E" w:rsidRDefault="00A3791E" w:rsidP="00A3791E">
      <w:pPr>
        <w:keepNext/>
        <w:keepLines/>
        <w:spacing w:before="480" w:line="240" w:lineRule="atLeast"/>
        <w:outlineLvl w:val="2"/>
        <w:rPr>
          <w:rFonts w:ascii="Arial" w:eastAsia="Times New Roman" w:hAnsi="Arial" w:cs="Times New Roman"/>
          <w:b/>
          <w:bCs/>
          <w:color w:val="001871"/>
          <w:sz w:val="32"/>
          <w:szCs w:val="32"/>
          <w:lang w:eastAsia="en-AU"/>
        </w:rPr>
      </w:pPr>
      <w:bookmarkStart w:id="113" w:name="_Toc314842514"/>
      <w:bookmarkStart w:id="114" w:name="_Toc103679298"/>
      <w:r w:rsidRPr="00A3791E">
        <w:rPr>
          <w:rFonts w:ascii="Arial" w:eastAsia="Times New Roman" w:hAnsi="Arial" w:cs="Times New Roman"/>
          <w:b/>
          <w:bCs/>
          <w:color w:val="001871"/>
          <w:sz w:val="32"/>
          <w:szCs w:val="32"/>
          <w:lang w:eastAsia="en-AU"/>
        </w:rPr>
        <w:t>Risk management plan</w:t>
      </w:r>
      <w:bookmarkEnd w:id="113"/>
      <w:bookmarkEnd w:id="114"/>
    </w:p>
    <w:p w14:paraId="10D64665" w14:textId="7F58C138" w:rsidR="00D06D73" w:rsidRDefault="00D06D73" w:rsidP="00D06D73">
      <w:pPr>
        <w:rPr>
          <w:szCs w:val="22"/>
        </w:rPr>
      </w:pPr>
      <w:bookmarkStart w:id="115" w:name="_Toc247691531"/>
      <w:bookmarkStart w:id="116" w:name="_Toc314842515"/>
      <w:r w:rsidRPr="00D06D73">
        <w:rPr>
          <w:szCs w:val="22"/>
        </w:rPr>
        <w:t xml:space="preserve">The application included Core-RMP version 1.1 (date 11 May 2021; DLP 4 November 2017) and ASA version 1.0 (date 14 September 2021), plus ASA version 1.1 (date 26 May 2022) submitted at Round 2.  The summary of safety concerns and their associated risk monitoring and mitigation strategies are presented in Table </w:t>
      </w:r>
      <w:r w:rsidR="00F40A19">
        <w:rPr>
          <w:szCs w:val="22"/>
        </w:rPr>
        <w:t>46</w:t>
      </w:r>
      <w:r w:rsidRPr="00D06D73">
        <w:rPr>
          <w:szCs w:val="22"/>
        </w:rPr>
        <w:t xml:space="preserve">. The TGA may request an updated RMP at any stage of a product's </w:t>
      </w:r>
      <w:r w:rsidR="006A3F7E" w:rsidRPr="00D06D73">
        <w:rPr>
          <w:szCs w:val="22"/>
        </w:rPr>
        <w:t>life cycle</w:t>
      </w:r>
      <w:r w:rsidRPr="00D06D73">
        <w:rPr>
          <w:szCs w:val="22"/>
        </w:rPr>
        <w:t>, during both the pre-approval and post-approval phases.</w:t>
      </w:r>
    </w:p>
    <w:p w14:paraId="715BE1B6" w14:textId="49A15920" w:rsidR="00D06D73" w:rsidRDefault="00D06D73" w:rsidP="00D06D73">
      <w:pPr>
        <w:pStyle w:val="TableTitle"/>
      </w:pPr>
      <w:r w:rsidRPr="00D06D73">
        <w:lastRenderedPageBreak/>
        <w:t xml:space="preserve">Table </w:t>
      </w:r>
      <w:r w:rsidR="00F40A19">
        <w:t>46</w:t>
      </w:r>
      <w:r w:rsidRPr="00D06D73">
        <w:t>: Summary of safety concerns</w:t>
      </w:r>
    </w:p>
    <w:p w14:paraId="5A8F925E" w14:textId="50EEF63E" w:rsidR="00D06D73" w:rsidRPr="00D06D73" w:rsidRDefault="00D06D73" w:rsidP="00D06D73">
      <w:pPr>
        <w:rPr>
          <w:szCs w:val="22"/>
        </w:rPr>
      </w:pPr>
      <w:r>
        <w:rPr>
          <w:noProof/>
        </w:rPr>
        <w:drawing>
          <wp:inline distT="0" distB="0" distL="0" distR="0" wp14:anchorId="7A69770C" wp14:editId="3B08EEFC">
            <wp:extent cx="5731510" cy="2764155"/>
            <wp:effectExtent l="0" t="0" r="254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2764155"/>
                    </a:xfrm>
                    <a:prstGeom prst="rect">
                      <a:avLst/>
                    </a:prstGeom>
                  </pic:spPr>
                </pic:pic>
              </a:graphicData>
            </a:graphic>
          </wp:inline>
        </w:drawing>
      </w:r>
    </w:p>
    <w:p w14:paraId="3C37BC44" w14:textId="6F5A5D7D" w:rsidR="00D06D73" w:rsidRPr="00D06D73" w:rsidRDefault="00D06D73" w:rsidP="00D06D73">
      <w:pPr>
        <w:rPr>
          <w:b/>
          <w:bCs/>
          <w:szCs w:val="22"/>
        </w:rPr>
      </w:pPr>
      <w:r w:rsidRPr="00D06D73">
        <w:rPr>
          <w:b/>
          <w:bCs/>
          <w:szCs w:val="22"/>
        </w:rPr>
        <w:t>RMP evaluator recommendations regarding conditions of registration</w:t>
      </w:r>
      <w:r>
        <w:rPr>
          <w:b/>
          <w:bCs/>
          <w:szCs w:val="22"/>
        </w:rPr>
        <w:t>:</w:t>
      </w:r>
    </w:p>
    <w:p w14:paraId="413E44C9" w14:textId="3BA1D4F4" w:rsidR="00D06D73" w:rsidRPr="00D06D73" w:rsidRDefault="00D06D73" w:rsidP="006530BB">
      <w:pPr>
        <w:pStyle w:val="ListBullet"/>
      </w:pPr>
      <w:r w:rsidRPr="00D06D73">
        <w:t xml:space="preserve">The </w:t>
      </w:r>
      <w:r w:rsidR="002B1097">
        <w:t>Radicava</w:t>
      </w:r>
      <w:r w:rsidRPr="00D06D73">
        <w:t xml:space="preserve"> Core-RMP (version 1.1, dated 11 May 2021, data lock point 04 November 2017), with Australian Specific Annex (version 1.1, dated 26 May), included with submission PM-2021-04298-1-1, and any subsequent revisions, as agreed with the TGA will be implemented in Australia.</w:t>
      </w:r>
    </w:p>
    <w:p w14:paraId="0CE1A2D2" w14:textId="73368D12" w:rsidR="00D06D73" w:rsidRPr="00D06D73" w:rsidRDefault="00D06D73" w:rsidP="006530BB">
      <w:pPr>
        <w:pStyle w:val="ListBullet"/>
      </w:pPr>
      <w:r w:rsidRPr="00D06D73">
        <w:t xml:space="preserve">An obligatory component of risk management plans is routine pharmacovigilance. Routine pharmacovigilance includes the submission of periodic safety update reports (PSURs). </w:t>
      </w:r>
    </w:p>
    <w:p w14:paraId="473016EC" w14:textId="3714C6E3" w:rsidR="00D06D73" w:rsidRPr="00D06D73" w:rsidRDefault="00D06D73" w:rsidP="006530BB">
      <w:pPr>
        <w:pStyle w:val="ListBullet"/>
      </w:pPr>
      <w:r w:rsidRPr="00D06D73">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w:t>
      </w:r>
      <w:r w:rsidR="00C04BB6">
        <w:t>Sponsor</w:t>
      </w:r>
      <w:r w:rsidRPr="00D06D73">
        <w:t xml:space="preserve"> wishes, the six-monthly reports may be submitted separately as they become available.</w:t>
      </w:r>
    </w:p>
    <w:p w14:paraId="1AEC4443" w14:textId="77777777" w:rsidR="00D06D73" w:rsidRPr="00D06D73" w:rsidRDefault="00D06D73" w:rsidP="006530BB">
      <w:pPr>
        <w:pStyle w:val="ListBullet"/>
      </w:pPr>
      <w:r w:rsidRPr="00D06D73">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750380B9" w14:textId="77777777" w:rsidR="00D06D73" w:rsidRPr="00D06D73" w:rsidRDefault="00D06D73" w:rsidP="006530BB">
      <w:pPr>
        <w:pStyle w:val="ListBullet"/>
      </w:pPr>
      <w:r w:rsidRPr="00D06D73">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1CA4C86D" w14:textId="27630A88" w:rsidR="00D06D73" w:rsidRPr="00D06D73" w:rsidRDefault="00D06D73" w:rsidP="006530BB">
      <w:pPr>
        <w:pStyle w:val="ListBullet"/>
      </w:pPr>
      <w:r w:rsidRPr="00D06D73">
        <w:t>Edaravone (</w:t>
      </w:r>
      <w:r w:rsidR="002B1097">
        <w:t>Radicava</w:t>
      </w:r>
      <w:r w:rsidRPr="00D06D73">
        <w:t xml:space="preserve">) is to be included in the Black Triangle Scheme. The PI and CMI for </w:t>
      </w:r>
      <w:r w:rsidR="002B1097">
        <w:t>Radicava</w:t>
      </w:r>
      <w:r w:rsidRPr="00D06D73">
        <w:t xml:space="preserve"> must include the black triangle symbol and mandatory accompanying text for five years, which starts from the date that the </w:t>
      </w:r>
      <w:r w:rsidR="00C04BB6">
        <w:t>Sponsor</w:t>
      </w:r>
      <w:r w:rsidRPr="00D06D73">
        <w:t xml:space="preserve"> notifies the TGA of supply of the product.</w:t>
      </w:r>
    </w:p>
    <w:p w14:paraId="2CE0061F" w14:textId="77777777" w:rsidR="00A3791E" w:rsidRPr="00A3791E" w:rsidRDefault="00A3791E" w:rsidP="00A3791E">
      <w:pPr>
        <w:rPr>
          <w:szCs w:val="22"/>
        </w:rPr>
      </w:pPr>
      <w:bookmarkStart w:id="117" w:name="_Toc103679299"/>
      <w:r w:rsidRPr="00A3791E">
        <w:rPr>
          <w:szCs w:val="22"/>
        </w:rPr>
        <w:t xml:space="preserve">The TGA may request an updated RMP at any stage of a product's </w:t>
      </w:r>
      <w:proofErr w:type="gramStart"/>
      <w:r w:rsidRPr="00A3791E">
        <w:rPr>
          <w:szCs w:val="22"/>
        </w:rPr>
        <w:t>life-cycle</w:t>
      </w:r>
      <w:proofErr w:type="gramEnd"/>
      <w:r w:rsidRPr="00A3791E">
        <w:rPr>
          <w:szCs w:val="22"/>
        </w:rPr>
        <w:t xml:space="preserve">, during both the pre-approval and post-approval phases. Further information regarding the TGA’s risk management approach can be found in </w:t>
      </w:r>
      <w:hyperlink r:id="rId82" w:history="1">
        <w:r w:rsidRPr="00A3791E">
          <w:rPr>
            <w:color w:val="0000FF"/>
            <w:szCs w:val="22"/>
            <w:u w:val="single"/>
          </w:rPr>
          <w:t>risk management plans for medicines and biologicals</w:t>
        </w:r>
      </w:hyperlink>
      <w:r w:rsidRPr="00A3791E">
        <w:rPr>
          <w:szCs w:val="22"/>
        </w:rPr>
        <w:t xml:space="preserve"> and </w:t>
      </w:r>
      <w:hyperlink r:id="rId83" w:history="1">
        <w:r w:rsidRPr="00A3791E">
          <w:rPr>
            <w:color w:val="0000FF"/>
            <w:szCs w:val="22"/>
            <w:u w:val="single"/>
          </w:rPr>
          <w:t>the TGA's risk management approach</w:t>
        </w:r>
      </w:hyperlink>
      <w:r w:rsidRPr="00A3791E">
        <w:rPr>
          <w:szCs w:val="22"/>
        </w:rPr>
        <w:t xml:space="preserve">. Information on the </w:t>
      </w:r>
      <w:hyperlink r:id="rId84" w:history="1">
        <w:r w:rsidRPr="00A3791E">
          <w:rPr>
            <w:color w:val="0000FF"/>
            <w:szCs w:val="22"/>
            <w:u w:val="single"/>
          </w:rPr>
          <w:t>Australia-specific annex</w:t>
        </w:r>
      </w:hyperlink>
      <w:r w:rsidRPr="00A3791E">
        <w:rPr>
          <w:szCs w:val="22"/>
        </w:rPr>
        <w:t xml:space="preserve"> (</w:t>
      </w:r>
      <w:hyperlink r:id="rId85" w:history="1">
        <w:r w:rsidRPr="00A3791E">
          <w:rPr>
            <w:color w:val="0000FF"/>
            <w:szCs w:val="22"/>
            <w:u w:val="single"/>
          </w:rPr>
          <w:t>ASA</w:t>
        </w:r>
      </w:hyperlink>
      <w:r w:rsidRPr="00A3791E">
        <w:rPr>
          <w:szCs w:val="22"/>
        </w:rPr>
        <w:t>) can be found on the TGA website.</w:t>
      </w:r>
    </w:p>
    <w:p w14:paraId="5A4ED939" w14:textId="77777777" w:rsidR="00A3791E" w:rsidRPr="00A3791E" w:rsidRDefault="00A3791E" w:rsidP="002F30EE">
      <w:pPr>
        <w:pStyle w:val="Heading3"/>
        <w:rPr>
          <w:rFonts w:eastAsia="Cambria"/>
        </w:rPr>
      </w:pPr>
      <w:bookmarkStart w:id="118" w:name="_Toc98931936"/>
      <w:bookmarkStart w:id="119" w:name="_Toc247691532"/>
      <w:bookmarkStart w:id="120" w:name="_Toc314842516"/>
      <w:bookmarkStart w:id="121" w:name="_Toc174517612"/>
      <w:bookmarkEnd w:id="115"/>
      <w:bookmarkEnd w:id="116"/>
      <w:bookmarkEnd w:id="117"/>
      <w:r w:rsidRPr="00A3791E">
        <w:rPr>
          <w:rFonts w:eastAsia="Cambria"/>
        </w:rPr>
        <w:lastRenderedPageBreak/>
        <w:t>Advisory Committee considerations</w:t>
      </w:r>
      <w:bookmarkEnd w:id="118"/>
      <w:bookmarkEnd w:id="121"/>
    </w:p>
    <w:p w14:paraId="1DF04DA1" w14:textId="7D9EFA1E" w:rsidR="00A3791E" w:rsidRDefault="00A3791E" w:rsidP="00A3791E">
      <w:pPr>
        <w:rPr>
          <w:bCs/>
          <w:szCs w:val="22"/>
        </w:rPr>
      </w:pPr>
      <w:r w:rsidRPr="00A3791E">
        <w:rPr>
          <w:bCs/>
          <w:szCs w:val="22"/>
        </w:rPr>
        <w:t xml:space="preserve">The </w:t>
      </w:r>
      <w:hyperlink r:id="rId86" w:history="1">
        <w:r w:rsidRPr="00A3791E">
          <w:rPr>
            <w:color w:val="0000FF"/>
            <w:szCs w:val="22"/>
            <w:u w:val="single"/>
          </w:rPr>
          <w:t>Advisory Committee on Medicines (ACM)</w:t>
        </w:r>
      </w:hyperlink>
      <w:r w:rsidRPr="00A3791E">
        <w:rPr>
          <w:szCs w:val="22"/>
        </w:rPr>
        <w:t>,</w:t>
      </w:r>
      <w:r w:rsidRPr="00A3791E">
        <w:rPr>
          <w:bCs/>
          <w:szCs w:val="22"/>
        </w:rPr>
        <w:t xml:space="preserve"> having considered the evaluations and the </w:t>
      </w:r>
      <w:r w:rsidR="00C04BB6">
        <w:rPr>
          <w:bCs/>
          <w:szCs w:val="22"/>
        </w:rPr>
        <w:t>Delegate</w:t>
      </w:r>
      <w:r w:rsidRPr="00A3791E">
        <w:rPr>
          <w:bCs/>
          <w:szCs w:val="22"/>
        </w:rPr>
        <w:t xml:space="preserve">’s overview, as well as the </w:t>
      </w:r>
      <w:r w:rsidR="00C04BB6">
        <w:rPr>
          <w:bCs/>
          <w:szCs w:val="22"/>
        </w:rPr>
        <w:t>Sponsor</w:t>
      </w:r>
      <w:r w:rsidRPr="00A3791E">
        <w:rPr>
          <w:bCs/>
          <w:szCs w:val="22"/>
        </w:rPr>
        <w:t>’s response to these documents, advised the following.</w:t>
      </w:r>
    </w:p>
    <w:p w14:paraId="7436272E" w14:textId="4E0A42A2" w:rsidR="002F30EE" w:rsidRPr="002F30EE" w:rsidRDefault="002F30EE" w:rsidP="002F30EE">
      <w:pPr>
        <w:pStyle w:val="DelegatesQuestions"/>
      </w:pPr>
      <w:r w:rsidRPr="002F30EE">
        <w:t>What is ACM’s advice regarding the evidence of efficacy of edaravone in ALS?</w:t>
      </w:r>
    </w:p>
    <w:p w14:paraId="5C8A14B5" w14:textId="77777777" w:rsidR="002F30EE" w:rsidRPr="002F30EE" w:rsidRDefault="002F30EE" w:rsidP="002F30EE">
      <w:pPr>
        <w:rPr>
          <w:bCs/>
          <w:szCs w:val="22"/>
        </w:rPr>
      </w:pPr>
      <w:r w:rsidRPr="002F30EE">
        <w:rPr>
          <w:bCs/>
          <w:szCs w:val="22"/>
        </w:rPr>
        <w:t>The ACM was of the view that a modest functional benefit has been demonstrated for edaravone within the population included within Study 19.</w:t>
      </w:r>
    </w:p>
    <w:p w14:paraId="38494D7B" w14:textId="77777777" w:rsidR="002F30EE" w:rsidRPr="002F30EE" w:rsidRDefault="002F30EE" w:rsidP="002F30EE">
      <w:pPr>
        <w:rPr>
          <w:bCs/>
          <w:szCs w:val="22"/>
        </w:rPr>
      </w:pPr>
      <w:r w:rsidRPr="002F30EE">
        <w:rPr>
          <w:bCs/>
          <w:szCs w:val="22"/>
        </w:rPr>
        <w:t xml:space="preserve">The ACM noted that only one (study 19) of the four Phase 3 studies demonstrated a statistically significant reduction in decline within the ALSFRS-R score. The ACM also noted more broadly that published data demonstrated mixed results. Some reassurance was provided by data from an open label study that showed the maintenance of reduction in decline in the ALSRFS-R score remained evident at 48 weeks. The ACM noted that the modest treatment benefit observed in Study 19 was also seen in the open-label extension of Study 19 as well as the post-hoc analysis of Study 16. </w:t>
      </w:r>
    </w:p>
    <w:p w14:paraId="6F2E2679" w14:textId="77777777" w:rsidR="002F30EE" w:rsidRPr="002F30EE" w:rsidRDefault="002F30EE" w:rsidP="002F30EE">
      <w:pPr>
        <w:rPr>
          <w:bCs/>
          <w:szCs w:val="22"/>
        </w:rPr>
      </w:pPr>
      <w:r w:rsidRPr="002F30EE">
        <w:rPr>
          <w:bCs/>
          <w:szCs w:val="22"/>
        </w:rPr>
        <w:t xml:space="preserve">The ACM noted there was no effect on respiratory function, grip and pinch strength nor was an improvement in overall survival demonstrated. The ACM expressed some concern regarding the modest magnitude of the function only effect and queried the mechanism of action noting that there does not appear to be any impact on muscle strength. </w:t>
      </w:r>
    </w:p>
    <w:p w14:paraId="5886D209" w14:textId="77777777" w:rsidR="002F30EE" w:rsidRPr="002F30EE" w:rsidRDefault="002F30EE" w:rsidP="002F30EE">
      <w:pPr>
        <w:rPr>
          <w:bCs/>
          <w:szCs w:val="22"/>
        </w:rPr>
      </w:pPr>
      <w:r w:rsidRPr="002F30EE">
        <w:rPr>
          <w:bCs/>
          <w:szCs w:val="22"/>
        </w:rPr>
        <w:t xml:space="preserve">The ACM discussed whether a reduction in the decline in the ALSFRS-R score equates to realised patient benefit and was of the view that the patient outcome would potentially be that their ALS does not progress as fast as expected. </w:t>
      </w:r>
    </w:p>
    <w:p w14:paraId="47349AA1" w14:textId="77777777" w:rsidR="002F30EE" w:rsidRPr="002F30EE" w:rsidRDefault="002F30EE" w:rsidP="002F30EE">
      <w:pPr>
        <w:rPr>
          <w:bCs/>
          <w:szCs w:val="22"/>
        </w:rPr>
      </w:pPr>
      <w:r w:rsidRPr="002F30EE">
        <w:rPr>
          <w:bCs/>
          <w:szCs w:val="22"/>
        </w:rPr>
        <w:t>The ACM highlighted that efficacy was only demonstrated within the bounds of the inclusion criteria of Study 19 (ALS grade 1-2, disease duration of ≤ 2 years, who remained independent in ADLs and had ≥80% predicted FVC). The ACM highlighted the importance of restricting use to those with a disease duration of ≤ 2 years noting that efficacy was not demonstrated in the clinical study with an inclusion criteria of disease duration of ≤ 3 years. The ACM agreed that Australian neurologists would be able to identify relevant patients (disease duration ≤2 years) however did express some concern regarding prescribing outside the approved indication and advised that the PI clearly highlight the limitations of the clinical data.</w:t>
      </w:r>
    </w:p>
    <w:p w14:paraId="481CF9E4" w14:textId="77777777" w:rsidR="002F30EE" w:rsidRPr="002F30EE" w:rsidRDefault="002F30EE" w:rsidP="002F30EE">
      <w:pPr>
        <w:rPr>
          <w:bCs/>
          <w:szCs w:val="22"/>
        </w:rPr>
      </w:pPr>
      <w:r w:rsidRPr="002F30EE">
        <w:rPr>
          <w:bCs/>
          <w:szCs w:val="22"/>
        </w:rPr>
        <w:t>Noting the lack of efficacy beyond ALS grade 2 the ACM discussed whether it is appropriate to discontinue treatment once a patient progresses beyond grade 2. The ACM commented that there is currently uncertainty within this space and limited information to guide discontinuation.</w:t>
      </w:r>
    </w:p>
    <w:p w14:paraId="1AAB6CC8" w14:textId="02931A3F" w:rsidR="002F30EE" w:rsidRPr="002F30EE" w:rsidRDefault="002F30EE" w:rsidP="002F30EE">
      <w:pPr>
        <w:pStyle w:val="DelegatesQuestions"/>
      </w:pPr>
      <w:r w:rsidRPr="002F30EE">
        <w:t>What is ACM’s view regarding the lack of a demonstrated benefit on survival?</w:t>
      </w:r>
    </w:p>
    <w:p w14:paraId="3D78FD0A" w14:textId="3CAD4477" w:rsidR="002F30EE" w:rsidRPr="002F30EE" w:rsidRDefault="002F30EE" w:rsidP="002F30EE">
      <w:pPr>
        <w:rPr>
          <w:bCs/>
          <w:szCs w:val="22"/>
        </w:rPr>
      </w:pPr>
      <w:r w:rsidRPr="002F30EE">
        <w:rPr>
          <w:bCs/>
          <w:szCs w:val="22"/>
        </w:rPr>
        <w:t>The ACM was of the view that a demonstrated benefit on survival would have been preferred, however</w:t>
      </w:r>
      <w:r>
        <w:rPr>
          <w:bCs/>
          <w:szCs w:val="22"/>
        </w:rPr>
        <w:t>,</w:t>
      </w:r>
      <w:r w:rsidRPr="002F30EE">
        <w:rPr>
          <w:bCs/>
          <w:szCs w:val="22"/>
        </w:rPr>
        <w:t xml:space="preserve"> noted that the demonstrated preservation of function has value. </w:t>
      </w:r>
    </w:p>
    <w:p w14:paraId="65902DF1" w14:textId="4CC4D3BA" w:rsidR="002F30EE" w:rsidRPr="002F30EE" w:rsidRDefault="002F30EE" w:rsidP="002F30EE">
      <w:pPr>
        <w:rPr>
          <w:bCs/>
          <w:szCs w:val="22"/>
        </w:rPr>
      </w:pPr>
      <w:r w:rsidRPr="002F30EE">
        <w:rPr>
          <w:bCs/>
          <w:szCs w:val="22"/>
        </w:rPr>
        <w:t>The ACM noted that the demonstration of survival benefit is an important component of the CHMP guideline for drugs for ALS. However</w:t>
      </w:r>
      <w:r w:rsidR="0013536C">
        <w:rPr>
          <w:bCs/>
          <w:szCs w:val="22"/>
        </w:rPr>
        <w:t>,</w:t>
      </w:r>
      <w:r w:rsidRPr="002F30EE">
        <w:rPr>
          <w:bCs/>
          <w:szCs w:val="22"/>
        </w:rPr>
        <w:t xml:space="preserve"> the ACM acknowledged that this guideline was developed and adopted after the </w:t>
      </w:r>
      <w:r w:rsidR="00C04BB6">
        <w:rPr>
          <w:bCs/>
          <w:szCs w:val="22"/>
        </w:rPr>
        <w:t>Sponsor</w:t>
      </w:r>
      <w:r w:rsidRPr="002F30EE">
        <w:rPr>
          <w:bCs/>
          <w:szCs w:val="22"/>
        </w:rPr>
        <w:t>’s clinical studies on edaravone were conducted.</w:t>
      </w:r>
    </w:p>
    <w:p w14:paraId="673F5110" w14:textId="77777777" w:rsidR="002F30EE" w:rsidRPr="002F30EE" w:rsidRDefault="002F30EE" w:rsidP="002F30EE">
      <w:pPr>
        <w:rPr>
          <w:bCs/>
          <w:szCs w:val="22"/>
        </w:rPr>
      </w:pPr>
      <w:r w:rsidRPr="002F30EE">
        <w:rPr>
          <w:bCs/>
          <w:szCs w:val="22"/>
        </w:rPr>
        <w:t>The ACM agreed that the PI (and CMI) should clearly state that a benefit on survival has not been demonstrated, as this statement would assist patients and prescribers to make an informed decision.</w:t>
      </w:r>
    </w:p>
    <w:p w14:paraId="0315BCD7" w14:textId="0B925E6D" w:rsidR="002F30EE" w:rsidRPr="002F30EE" w:rsidRDefault="002F30EE" w:rsidP="002F30EE">
      <w:pPr>
        <w:pStyle w:val="DelegatesQuestions"/>
      </w:pPr>
      <w:r w:rsidRPr="002F30EE">
        <w:t>What is ACM’s opinion regarding the Sponsor’s initially proposed indication for the treatment of ALS?</w:t>
      </w:r>
    </w:p>
    <w:p w14:paraId="73FA3867" w14:textId="35FB6B0D" w:rsidR="002F30EE" w:rsidRPr="002F30EE" w:rsidRDefault="002F30EE" w:rsidP="002F30EE">
      <w:pPr>
        <w:rPr>
          <w:bCs/>
          <w:szCs w:val="22"/>
        </w:rPr>
      </w:pPr>
      <w:r w:rsidRPr="002F30EE">
        <w:rPr>
          <w:bCs/>
          <w:szCs w:val="22"/>
        </w:rPr>
        <w:lastRenderedPageBreak/>
        <w:t xml:space="preserve">The ACM noted the initially proposed indication </w:t>
      </w:r>
      <w:r w:rsidR="00FA66C3">
        <w:rPr>
          <w:bCs/>
          <w:szCs w:val="22"/>
        </w:rPr>
        <w:t>edaravone</w:t>
      </w:r>
      <w:r w:rsidR="00FA66C3" w:rsidRPr="002F30EE">
        <w:rPr>
          <w:bCs/>
          <w:szCs w:val="22"/>
        </w:rPr>
        <w:t xml:space="preserve"> </w:t>
      </w:r>
      <w:r w:rsidRPr="002F30EE">
        <w:rPr>
          <w:bCs/>
          <w:szCs w:val="22"/>
        </w:rPr>
        <w:t>is indicated for the treatment of amyotrophic lateral sclerosis (ALS).</w:t>
      </w:r>
    </w:p>
    <w:p w14:paraId="6152BF61" w14:textId="77777777" w:rsidR="002F30EE" w:rsidRPr="002F30EE" w:rsidRDefault="002F30EE" w:rsidP="002F30EE">
      <w:pPr>
        <w:rPr>
          <w:bCs/>
          <w:szCs w:val="22"/>
        </w:rPr>
      </w:pPr>
      <w:r w:rsidRPr="002F30EE">
        <w:rPr>
          <w:bCs/>
          <w:szCs w:val="22"/>
        </w:rPr>
        <w:t>The ACM was of the view that this wording is too broad and does not align with the clinical study data which suggest a modest benefit in early stages of disease only.</w:t>
      </w:r>
    </w:p>
    <w:p w14:paraId="3E84D5AA" w14:textId="5900D711" w:rsidR="002F30EE" w:rsidRPr="002F30EE" w:rsidRDefault="002F30EE" w:rsidP="002F30EE">
      <w:pPr>
        <w:pStyle w:val="DelegatesQuestions"/>
      </w:pPr>
      <w:r w:rsidRPr="002F30EE">
        <w:t>What is ACM’s opinion regarding the Sponsor’s revised indication with a restricted population based on the criteria used in Study 19?</w:t>
      </w:r>
    </w:p>
    <w:p w14:paraId="0905A40B" w14:textId="77777777" w:rsidR="002F30EE" w:rsidRPr="002F30EE" w:rsidRDefault="002F30EE" w:rsidP="002F30EE">
      <w:pPr>
        <w:rPr>
          <w:bCs/>
          <w:szCs w:val="22"/>
        </w:rPr>
      </w:pPr>
      <w:r w:rsidRPr="002F30EE">
        <w:rPr>
          <w:bCs/>
          <w:szCs w:val="22"/>
        </w:rPr>
        <w:t>The ACM noted the revised indication:</w:t>
      </w:r>
    </w:p>
    <w:p w14:paraId="3872DFD6" w14:textId="607DCBB4" w:rsidR="002F30EE" w:rsidRPr="002F30EE" w:rsidRDefault="002B1097" w:rsidP="002F30EE">
      <w:pPr>
        <w:ind w:left="426"/>
        <w:rPr>
          <w:bCs/>
          <w:i/>
          <w:iCs/>
          <w:szCs w:val="22"/>
        </w:rPr>
      </w:pPr>
      <w:r>
        <w:rPr>
          <w:bCs/>
          <w:i/>
          <w:iCs/>
          <w:szCs w:val="22"/>
        </w:rPr>
        <w:t>Radicava</w:t>
      </w:r>
      <w:r w:rsidR="002F30EE" w:rsidRPr="002F30EE">
        <w:rPr>
          <w:bCs/>
          <w:i/>
          <w:iCs/>
          <w:szCs w:val="22"/>
        </w:rPr>
        <w:t xml:space="preserve"> is indicated in adults with a diagnosis of “definite” or “probable” amyotrophic lateral sclerosis (revised El Escorial criteria, ALSFRS-R scores ≥2 on all 12 items, FVC ≥80%, disease duration ≤2 years) and who have experienced a recent progression (ALSFRS score decline of 1-4 points) to delay functional decline. </w:t>
      </w:r>
    </w:p>
    <w:p w14:paraId="2A01E42B" w14:textId="4C48639D" w:rsidR="002F30EE" w:rsidRPr="002F30EE" w:rsidRDefault="002F30EE" w:rsidP="002F30EE">
      <w:pPr>
        <w:ind w:left="426"/>
        <w:rPr>
          <w:bCs/>
          <w:i/>
          <w:iCs/>
          <w:szCs w:val="22"/>
        </w:rPr>
      </w:pPr>
      <w:r w:rsidRPr="002F30EE">
        <w:rPr>
          <w:bCs/>
          <w:i/>
          <w:iCs/>
          <w:szCs w:val="22"/>
        </w:rPr>
        <w:t>Efficacy has not been demonstrated in patients outside of this defined population.</w:t>
      </w:r>
    </w:p>
    <w:p w14:paraId="259B0DC7" w14:textId="77777777" w:rsidR="002F30EE" w:rsidRPr="002F30EE" w:rsidRDefault="002F30EE" w:rsidP="002F30EE">
      <w:pPr>
        <w:rPr>
          <w:bCs/>
          <w:szCs w:val="22"/>
        </w:rPr>
      </w:pPr>
      <w:r w:rsidRPr="002F30EE">
        <w:rPr>
          <w:bCs/>
          <w:szCs w:val="22"/>
        </w:rPr>
        <w:t>The ACM noted the inclusion of ‘definite or probable ALS’ and diagnostic tests and scores in the proposed indication. The ACM advised these diagnostic criteria are becoming obsolete, being replaced by the Gold Coast criteria.  Based on this the ACM recommended simpler language to describe the patient group, such as ‘diagnosis of ALS and independent in activities of daily living with normal respiratory function’ and disease duration ≤2 years.</w:t>
      </w:r>
    </w:p>
    <w:p w14:paraId="486C620F" w14:textId="09469B75" w:rsidR="002F30EE" w:rsidRPr="002F30EE" w:rsidRDefault="002F30EE" w:rsidP="002F30EE">
      <w:pPr>
        <w:rPr>
          <w:bCs/>
          <w:szCs w:val="22"/>
        </w:rPr>
      </w:pPr>
      <w:r w:rsidRPr="002F30EE">
        <w:rPr>
          <w:bCs/>
          <w:szCs w:val="22"/>
        </w:rPr>
        <w:t>The ACM noted the use of the Japan ALS severity classification in the clinical studies and reiterated that efficacy has only been demonstrated within ALS grades 1 and 2 and this should be clearly outlined within the PI. The ACM advised that this could be described in the indication as patients ‘who are independent in activities of daily living’.</w:t>
      </w:r>
    </w:p>
    <w:p w14:paraId="00FAC054" w14:textId="77777777" w:rsidR="002F30EE" w:rsidRPr="002F30EE" w:rsidRDefault="002F30EE" w:rsidP="002F30EE">
      <w:pPr>
        <w:rPr>
          <w:bCs/>
          <w:szCs w:val="22"/>
        </w:rPr>
      </w:pPr>
      <w:r w:rsidRPr="002F30EE">
        <w:rPr>
          <w:bCs/>
          <w:szCs w:val="22"/>
        </w:rPr>
        <w:t>The ACM highlighted the importance of stating within the PI that Efficacy has not been demonstrated in patients outside of this defined population and noted that this wording would assist patients and prescribers to make an informed decision on treatment.</w:t>
      </w:r>
    </w:p>
    <w:p w14:paraId="2EB1190E" w14:textId="77777777" w:rsidR="002F30EE" w:rsidRPr="002F30EE" w:rsidRDefault="002F30EE" w:rsidP="002F30EE">
      <w:pPr>
        <w:rPr>
          <w:bCs/>
          <w:szCs w:val="22"/>
        </w:rPr>
      </w:pPr>
      <w:r w:rsidRPr="002F30EE">
        <w:rPr>
          <w:bCs/>
          <w:szCs w:val="22"/>
        </w:rPr>
        <w:t>On balance the ACM noted the modest functional benefit of treatment for the defined patient group in addition to a continued need for effective ALS treatments and was of the view that the indication with amendments is appropriate. The ACM further acknowledged that these patients would be treated in tertiary centres by specialists with expertise in ALS.</w:t>
      </w:r>
    </w:p>
    <w:p w14:paraId="5C22D083" w14:textId="77777777" w:rsidR="002F30EE" w:rsidRPr="002F30EE" w:rsidRDefault="002F30EE" w:rsidP="002F30EE">
      <w:pPr>
        <w:pStyle w:val="Heading4"/>
      </w:pPr>
      <w:bookmarkStart w:id="122" w:name="_Toc174517613"/>
      <w:r w:rsidRPr="002F30EE">
        <w:t>ACM conclusion</w:t>
      </w:r>
      <w:bookmarkEnd w:id="122"/>
    </w:p>
    <w:p w14:paraId="3EA62787" w14:textId="77777777" w:rsidR="002F30EE" w:rsidRPr="002F30EE" w:rsidRDefault="002F30EE" w:rsidP="002F30EE">
      <w:pPr>
        <w:rPr>
          <w:bCs/>
          <w:szCs w:val="22"/>
        </w:rPr>
      </w:pPr>
      <w:r w:rsidRPr="002F30EE">
        <w:rPr>
          <w:bCs/>
          <w:szCs w:val="22"/>
        </w:rPr>
        <w:t>The ACM considered this product to have an overall positive benefit-risk profile for the indication:</w:t>
      </w:r>
    </w:p>
    <w:p w14:paraId="07473C24" w14:textId="7A0F6141" w:rsidR="002F30EE" w:rsidRPr="002F30EE" w:rsidRDefault="002B1097" w:rsidP="002F30EE">
      <w:pPr>
        <w:ind w:left="426"/>
        <w:rPr>
          <w:bCs/>
          <w:i/>
          <w:iCs/>
          <w:szCs w:val="22"/>
        </w:rPr>
      </w:pPr>
      <w:r>
        <w:rPr>
          <w:bCs/>
          <w:i/>
          <w:iCs/>
          <w:szCs w:val="22"/>
        </w:rPr>
        <w:t>Radicava</w:t>
      </w:r>
      <w:r w:rsidR="002F30EE" w:rsidRPr="002F30EE">
        <w:rPr>
          <w:bCs/>
          <w:i/>
          <w:iCs/>
          <w:szCs w:val="22"/>
        </w:rPr>
        <w:t xml:space="preserve"> is indicated in adults with a diagnosis of amyotrophic lateral sclerosis who are independent in activities of daily living with normal respiratory function and where treatment is initiated within two years of</w:t>
      </w:r>
      <w:r w:rsidR="003302BD">
        <w:rPr>
          <w:bCs/>
          <w:i/>
          <w:iCs/>
          <w:szCs w:val="22"/>
        </w:rPr>
        <w:t xml:space="preserve">  </w:t>
      </w:r>
      <w:r w:rsidR="002F30EE" w:rsidRPr="002F30EE">
        <w:rPr>
          <w:bCs/>
          <w:i/>
          <w:iCs/>
          <w:szCs w:val="22"/>
        </w:rPr>
        <w:t xml:space="preserve"> disease onset.</w:t>
      </w:r>
    </w:p>
    <w:p w14:paraId="57A940FE" w14:textId="52DAD93D" w:rsidR="002F30EE" w:rsidRDefault="002F30EE" w:rsidP="002F30EE">
      <w:pPr>
        <w:ind w:left="426"/>
        <w:rPr>
          <w:bCs/>
          <w:i/>
          <w:iCs/>
          <w:szCs w:val="22"/>
        </w:rPr>
      </w:pPr>
      <w:r w:rsidRPr="002F30EE">
        <w:rPr>
          <w:bCs/>
          <w:i/>
          <w:iCs/>
          <w:szCs w:val="22"/>
        </w:rPr>
        <w:t>Efficacy has not been demonstrated in patients outside of this defined population.</w:t>
      </w:r>
    </w:p>
    <w:p w14:paraId="6524EDC9" w14:textId="77777777" w:rsidR="00C04BB6" w:rsidRDefault="00C04BB6" w:rsidP="00C04BB6">
      <w:pPr>
        <w:pStyle w:val="Heading4"/>
      </w:pPr>
      <w:bookmarkStart w:id="123" w:name="_Toc174517614"/>
      <w:r w:rsidRPr="00C04BB6">
        <w:t>Risk/benefit assessment (post-Advisory Committee Meeting)</w:t>
      </w:r>
      <w:bookmarkEnd w:id="123"/>
    </w:p>
    <w:p w14:paraId="7A2655BC" w14:textId="4AF55A5E" w:rsidR="00C04BB6" w:rsidRPr="00C04BB6" w:rsidRDefault="00C04BB6" w:rsidP="00C04BB6">
      <w:r>
        <w:t xml:space="preserve">The Delegate, as well as the ACM, recognised </w:t>
      </w:r>
      <w:r w:rsidRPr="00C04BB6">
        <w:t>the limitations of the clinical dataset, particularly in relation to efficacy</w:t>
      </w:r>
      <w:r w:rsidR="00550E78">
        <w:t xml:space="preserve">. However, the Delegate </w:t>
      </w:r>
      <w:r w:rsidRPr="00C04BB6">
        <w:t>acknowledge</w:t>
      </w:r>
      <w:r>
        <w:t>d</w:t>
      </w:r>
      <w:r w:rsidRPr="00C04BB6">
        <w:t xml:space="preserve"> the advice of the clinical experts that the modest benefit on functional decline </w:t>
      </w:r>
      <w:r>
        <w:t>was</w:t>
      </w:r>
      <w:r w:rsidRPr="00C04BB6">
        <w:t xml:space="preserve"> clinically meaningful, particularly in the context of very limited treatment options available to patients with ALS. </w:t>
      </w:r>
      <w:r>
        <w:t xml:space="preserve">The ACM advised </w:t>
      </w:r>
      <w:r w:rsidRPr="00C04BB6">
        <w:t xml:space="preserve">that the indication should be restricted to the population in which efficacy has been demonstrated and preferred that this be expressed with simpler wording. </w:t>
      </w:r>
      <w:r>
        <w:t>In light of this expert advice, the Delegate is inclined</w:t>
      </w:r>
      <w:r w:rsidRPr="00C04BB6">
        <w:t xml:space="preserve"> to proceed with </w:t>
      </w:r>
      <w:r w:rsidR="00550E78">
        <w:t xml:space="preserve">approval and </w:t>
      </w:r>
      <w:r w:rsidRPr="00C04BB6">
        <w:t xml:space="preserve">the indication recommended by </w:t>
      </w:r>
      <w:r>
        <w:t xml:space="preserve">the </w:t>
      </w:r>
      <w:r w:rsidRPr="00C04BB6">
        <w:t>ACM.</w:t>
      </w:r>
    </w:p>
    <w:p w14:paraId="7F8706DD" w14:textId="77777777" w:rsidR="00A3791E" w:rsidRPr="00A3791E" w:rsidRDefault="00A3791E" w:rsidP="00A3791E">
      <w:pPr>
        <w:keepNext/>
        <w:keepLines/>
        <w:spacing w:before="480" w:line="240" w:lineRule="atLeast"/>
        <w:outlineLvl w:val="1"/>
        <w:rPr>
          <w:rFonts w:ascii="Arial" w:eastAsia="Times New Roman" w:hAnsi="Arial" w:cs="Times New Roman"/>
          <w:b/>
          <w:bCs/>
          <w:color w:val="001871"/>
          <w:sz w:val="38"/>
          <w:szCs w:val="38"/>
        </w:rPr>
      </w:pPr>
      <w:bookmarkStart w:id="124" w:name="_Toc103679300"/>
      <w:r w:rsidRPr="00A3791E">
        <w:rPr>
          <w:rFonts w:ascii="Arial" w:eastAsia="Times New Roman" w:hAnsi="Arial" w:cs="Times New Roman"/>
          <w:b/>
          <w:bCs/>
          <w:color w:val="001871"/>
          <w:sz w:val="38"/>
          <w:szCs w:val="38"/>
        </w:rPr>
        <w:lastRenderedPageBreak/>
        <w:t>Outcome</w:t>
      </w:r>
      <w:bookmarkEnd w:id="119"/>
      <w:bookmarkEnd w:id="120"/>
      <w:bookmarkEnd w:id="124"/>
    </w:p>
    <w:p w14:paraId="1DF3B4B4" w14:textId="7D396EC2" w:rsidR="00550E78" w:rsidRPr="00550E78" w:rsidRDefault="00A3791E" w:rsidP="00550E78">
      <w:pPr>
        <w:rPr>
          <w:color w:val="000000" w:themeColor="text1"/>
        </w:rPr>
      </w:pPr>
      <w:r w:rsidRPr="00550E78">
        <w:t>Based on a review of quality, safety, and efficacy</w:t>
      </w:r>
      <w:r w:rsidR="00550E78">
        <w:t xml:space="preserve"> data</w:t>
      </w:r>
      <w:r w:rsidRPr="00550E78">
        <w:t xml:space="preserve">, the TGA decided to register </w:t>
      </w:r>
      <w:r w:rsidR="002B1097">
        <w:t>Radicava</w:t>
      </w:r>
      <w:r w:rsidR="00550E78" w:rsidRPr="00550E78">
        <w:t xml:space="preserve">. </w:t>
      </w:r>
      <w:bookmarkStart w:id="125" w:name="_Toc103679303"/>
      <w:r w:rsidR="00550E78" w:rsidRPr="00550E78">
        <w:rPr>
          <w:color w:val="000000" w:themeColor="text1"/>
        </w:rPr>
        <w:t>The approved indication for this therapeutic good is:</w:t>
      </w:r>
    </w:p>
    <w:p w14:paraId="13DADA72" w14:textId="03D2FCAB" w:rsidR="00550E78" w:rsidRDefault="002B1097" w:rsidP="00550E78">
      <w:pPr>
        <w:ind w:left="851"/>
        <w:rPr>
          <w:i/>
          <w:color w:val="000000" w:themeColor="text1"/>
        </w:rPr>
      </w:pPr>
      <w:r>
        <w:rPr>
          <w:i/>
          <w:color w:val="000000" w:themeColor="text1"/>
        </w:rPr>
        <w:t>Radicava</w:t>
      </w:r>
      <w:r w:rsidR="00550E78" w:rsidRPr="00550E78">
        <w:rPr>
          <w:i/>
          <w:color w:val="000000" w:themeColor="text1"/>
        </w:rPr>
        <w:t xml:space="preserve"> is indicated in adults with a diagnosis of amyotrophic lateral sclerosis who are independent in activities of daily living with normal respiratory function and where treatment is initiated within two years of disease onset.</w:t>
      </w:r>
    </w:p>
    <w:p w14:paraId="1D218F5C" w14:textId="1879CDDA" w:rsidR="00550E78" w:rsidRDefault="00550E78" w:rsidP="00550E78">
      <w:pPr>
        <w:ind w:left="851"/>
        <w:rPr>
          <w:i/>
          <w:color w:val="000000" w:themeColor="text1"/>
        </w:rPr>
      </w:pPr>
      <w:r w:rsidRPr="00550E78">
        <w:rPr>
          <w:i/>
          <w:color w:val="000000" w:themeColor="text1"/>
        </w:rPr>
        <w:t>Efficacy has not been demonstrated in patients outside of this defined population.</w:t>
      </w:r>
    </w:p>
    <w:p w14:paraId="19D84D20" w14:textId="77777777" w:rsidR="006530BB" w:rsidRDefault="006530BB" w:rsidP="006530BB">
      <w:pPr>
        <w:pStyle w:val="Heading2"/>
      </w:pPr>
      <w:bookmarkStart w:id="126" w:name="_Toc149647553"/>
      <w:bookmarkStart w:id="127" w:name="_Toc174517615"/>
      <w:bookmarkEnd w:id="125"/>
      <w:r>
        <w:t>Attachment 1. Product Information</w:t>
      </w:r>
      <w:bookmarkEnd w:id="126"/>
      <w:bookmarkEnd w:id="127"/>
    </w:p>
    <w:p w14:paraId="1A2F389E" w14:textId="6818B622" w:rsidR="00A3791E" w:rsidRPr="00A3791E" w:rsidRDefault="00A3791E" w:rsidP="00A3791E">
      <w:pPr>
        <w:rPr>
          <w:szCs w:val="22"/>
        </w:rPr>
      </w:pPr>
      <w:r w:rsidRPr="00A3791E">
        <w:rPr>
          <w:szCs w:val="22"/>
        </w:rPr>
        <w:t xml:space="preserve">The </w:t>
      </w:r>
      <w:hyperlink r:id="rId87" w:history="1">
        <w:r w:rsidRPr="00A3791E">
          <w:rPr>
            <w:color w:val="0000FF"/>
            <w:szCs w:val="22"/>
            <w:u w:val="single"/>
          </w:rPr>
          <w:t>Product Information</w:t>
        </w:r>
      </w:hyperlink>
      <w:r w:rsidRPr="00A3791E">
        <w:rPr>
          <w:szCs w:val="22"/>
        </w:rPr>
        <w:t xml:space="preserve"> (</w:t>
      </w:r>
      <w:hyperlink r:id="rId88" w:history="1">
        <w:r w:rsidRPr="00A3791E">
          <w:rPr>
            <w:color w:val="0000FF"/>
            <w:szCs w:val="22"/>
            <w:u w:val="single"/>
          </w:rPr>
          <w:t>PI</w:t>
        </w:r>
      </w:hyperlink>
      <w:r w:rsidRPr="00A3791E">
        <w:rPr>
          <w:szCs w:val="22"/>
        </w:rPr>
        <w:t xml:space="preserve">) approved with the submission for </w:t>
      </w:r>
      <w:r w:rsidR="002B1097">
        <w:t>Radicava</w:t>
      </w:r>
      <w:r w:rsidRPr="00A3791E">
        <w:t xml:space="preserve"> </w:t>
      </w:r>
      <w:r w:rsidRPr="00A3791E">
        <w:rPr>
          <w:szCs w:val="22"/>
        </w:rPr>
        <w:t xml:space="preserve">which is described in this AusPAR can be </w:t>
      </w:r>
      <w:r w:rsidR="00550E78">
        <w:rPr>
          <w:szCs w:val="22"/>
        </w:rPr>
        <w:t xml:space="preserve">accessed on the </w:t>
      </w:r>
      <w:r w:rsidR="002B1097">
        <w:rPr>
          <w:szCs w:val="22"/>
        </w:rPr>
        <w:t>Radicava</w:t>
      </w:r>
      <w:r w:rsidR="00550E78">
        <w:rPr>
          <w:szCs w:val="22"/>
        </w:rPr>
        <w:t xml:space="preserve"> AusPAR home page on the TGA website</w:t>
      </w:r>
      <w:r w:rsidRPr="00A3791E">
        <w:rPr>
          <w:szCs w:val="22"/>
        </w:rPr>
        <w:t xml:space="preserve">. </w:t>
      </w:r>
      <w:r w:rsidRPr="00A3791E">
        <w:t xml:space="preserve">It may have been superseded. </w:t>
      </w:r>
      <w:r w:rsidRPr="00A3791E">
        <w:rPr>
          <w:szCs w:val="22"/>
        </w:rPr>
        <w:t xml:space="preserve">For the most recent PI and </w:t>
      </w:r>
      <w:hyperlink r:id="rId89" w:history="1">
        <w:r w:rsidRPr="00A3791E">
          <w:rPr>
            <w:color w:val="0000FF"/>
            <w:szCs w:val="22"/>
            <w:u w:val="single"/>
          </w:rPr>
          <w:t>Consumer Medicines Information</w:t>
        </w:r>
      </w:hyperlink>
      <w:r w:rsidRPr="00A3791E">
        <w:rPr>
          <w:szCs w:val="22"/>
        </w:rPr>
        <w:t xml:space="preserve"> (CMI), please refer to the TGA </w:t>
      </w:r>
      <w:hyperlink r:id="rId90" w:history="1">
        <w:r w:rsidRPr="00A3791E">
          <w:rPr>
            <w:color w:val="0000FF"/>
            <w:szCs w:val="22"/>
            <w:u w:val="single"/>
          </w:rPr>
          <w:t>PI/CMI search facility.</w:t>
        </w:r>
      </w:hyperlink>
    </w:p>
    <w:p w14:paraId="1F6B1602" w14:textId="77777777" w:rsidR="002B6E75" w:rsidRPr="003A7A2D" w:rsidRDefault="002B6E75" w:rsidP="00C22214">
      <w:pPr>
        <w:autoSpaceDE w:val="0"/>
        <w:autoSpaceDN w:val="0"/>
        <w:adjustRightInd w:val="0"/>
        <w:spacing w:after="0"/>
      </w:pPr>
    </w:p>
    <w:p w14:paraId="53357BF3" w14:textId="276457B5" w:rsidR="00C22214" w:rsidRPr="003A7A2D" w:rsidRDefault="00C22214" w:rsidP="00C22214">
      <w:pPr>
        <w:rPr>
          <w:lang w:eastAsia="ja-JP"/>
        </w:rPr>
        <w:sectPr w:rsidR="00C22214" w:rsidRPr="003A7A2D" w:rsidSect="007452E8">
          <w:headerReference w:type="default" r:id="rId91"/>
          <w:footerReference w:type="default" r:id="rId92"/>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3A7A2D" w14:paraId="3C0C07BF" w14:textId="77777777" w:rsidTr="007452E8">
        <w:trPr>
          <w:trHeight w:hRule="exact" w:val="565"/>
          <w:jc w:val="center"/>
        </w:trPr>
        <w:tc>
          <w:tcPr>
            <w:tcW w:w="9145" w:type="dxa"/>
          </w:tcPr>
          <w:bookmarkEnd w:id="5"/>
          <w:bookmarkEnd w:id="6"/>
          <w:p w14:paraId="7E090B86" w14:textId="77777777" w:rsidR="00F02AEC" w:rsidRPr="00117A4F" w:rsidRDefault="00F02AEC" w:rsidP="007452E8">
            <w:pPr>
              <w:pStyle w:val="TGASignoff"/>
              <w:rPr>
                <w:rFonts w:cs="Arial"/>
              </w:rPr>
            </w:pPr>
            <w:r w:rsidRPr="00117A4F">
              <w:rPr>
                <w:rFonts w:cs="Arial"/>
              </w:rPr>
              <w:lastRenderedPageBreak/>
              <w:t>Therapeutic Goods Administration</w:t>
            </w:r>
          </w:p>
        </w:tc>
      </w:tr>
      <w:tr w:rsidR="00F02AEC" w:rsidRPr="003A7A2D" w14:paraId="70F47EA1" w14:textId="77777777" w:rsidTr="007452E8">
        <w:trPr>
          <w:trHeight w:val="963"/>
          <w:jc w:val="center"/>
        </w:trPr>
        <w:tc>
          <w:tcPr>
            <w:tcW w:w="9145" w:type="dxa"/>
            <w:tcMar>
              <w:top w:w="28" w:type="dxa"/>
            </w:tcMar>
          </w:tcPr>
          <w:p w14:paraId="3491EBCD" w14:textId="77777777" w:rsidR="00F02AEC" w:rsidRPr="00117A4F" w:rsidRDefault="00F02AEC" w:rsidP="007452E8">
            <w:pPr>
              <w:pStyle w:val="Address"/>
              <w:jc w:val="center"/>
              <w:rPr>
                <w:rFonts w:cs="Arial"/>
              </w:rPr>
            </w:pPr>
            <w:r w:rsidRPr="00117A4F">
              <w:rPr>
                <w:rFonts w:cs="Arial"/>
              </w:rPr>
              <w:t>PO Box 100 Woden ACT 2606 Australia</w:t>
            </w:r>
          </w:p>
          <w:p w14:paraId="5D0FE0E7" w14:textId="53CB9479" w:rsidR="00F02AEC" w:rsidRPr="00117A4F" w:rsidRDefault="00F02AEC">
            <w:pPr>
              <w:pStyle w:val="Address"/>
              <w:jc w:val="center"/>
              <w:rPr>
                <w:rFonts w:cs="Arial"/>
                <w:sz w:val="22"/>
                <w:szCs w:val="22"/>
              </w:rPr>
            </w:pPr>
            <w:r w:rsidRPr="00117A4F">
              <w:rPr>
                <w:rFonts w:cs="Arial"/>
              </w:rPr>
              <w:t xml:space="preserve">Email: </w:t>
            </w:r>
            <w:hyperlink r:id="rId93" w:history="1">
              <w:r w:rsidRPr="00117A4F">
                <w:rPr>
                  <w:rStyle w:val="Hyperlink"/>
                  <w:rFonts w:ascii="Arial" w:hAnsi="Arial" w:cs="Arial"/>
                </w:rPr>
                <w:t>info@tga.gov.au</w:t>
              </w:r>
            </w:hyperlink>
            <w:r w:rsidRPr="00117A4F">
              <w:rPr>
                <w:rFonts w:cs="Arial"/>
              </w:rPr>
              <w:t xml:space="preserve">  Phone: 1800 020 653  Fax: 02 6203 1605</w:t>
            </w:r>
          </w:p>
          <w:p w14:paraId="4533D80F" w14:textId="1519D7A3" w:rsidR="00F02AEC" w:rsidRPr="006530BB" w:rsidRDefault="006530BB">
            <w:pPr>
              <w:pStyle w:val="Address"/>
              <w:jc w:val="center"/>
              <w:rPr>
                <w:rStyle w:val="Hyperlink"/>
                <w:rFonts w:ascii="Arial" w:hAnsi="Arial" w:cs="Arial"/>
                <w:color w:val="auto"/>
                <w:sz w:val="22"/>
              </w:rPr>
            </w:pPr>
            <w:hyperlink r:id="rId94" w:history="1">
              <w:r w:rsidR="00F02AEC" w:rsidRPr="006530BB">
                <w:rPr>
                  <w:rStyle w:val="Hyperlink"/>
                  <w:rFonts w:ascii="Arial" w:hAnsi="Arial" w:cs="Arial"/>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1EDBDD33" w:rsidR="00F02AEC" w:rsidRPr="00215D48" w:rsidRDefault="00F02AEC" w:rsidP="007452E8">
            <w:pPr>
              <w:pStyle w:val="Address"/>
              <w:jc w:val="center"/>
            </w:pPr>
          </w:p>
        </w:tc>
      </w:tr>
    </w:tbl>
    <w:p w14:paraId="788B80FD" w14:textId="77777777" w:rsidR="007452E8" w:rsidRDefault="007452E8"/>
    <w:sectPr w:rsidR="007452E8" w:rsidSect="007452E8">
      <w:headerReference w:type="first" r:id="rId95"/>
      <w:footerReference w:type="first" r:id="rId96"/>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D0E7A" w14:textId="77777777" w:rsidR="00FA7323" w:rsidRDefault="00FA7323" w:rsidP="00F02AEC">
      <w:pPr>
        <w:spacing w:after="0" w:line="240" w:lineRule="auto"/>
      </w:pPr>
      <w:r>
        <w:separator/>
      </w:r>
    </w:p>
  </w:endnote>
  <w:endnote w:type="continuationSeparator" w:id="0">
    <w:p w14:paraId="28B90B26" w14:textId="77777777" w:rsidR="00FA7323" w:rsidRDefault="00FA7323" w:rsidP="00F02AEC">
      <w:pPr>
        <w:spacing w:after="0" w:line="240" w:lineRule="auto"/>
      </w:pPr>
      <w:r>
        <w:continuationSeparator/>
      </w:r>
    </w:p>
  </w:endnote>
  <w:endnote w:type="continuationNotice" w:id="1">
    <w:p w14:paraId="7B5D1F96" w14:textId="77777777" w:rsidR="00FA7323" w:rsidRDefault="00FA73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7200FFCD" w:rsidR="007452E8" w:rsidRPr="004A3084" w:rsidRDefault="007452E8" w:rsidP="007452E8">
          <w:pPr>
            <w:pStyle w:val="Footer"/>
          </w:pPr>
          <w:r w:rsidRPr="00487162">
            <w:t>AusPA</w:t>
          </w:r>
          <w:r>
            <w:t xml:space="preserve">R - </w:t>
          </w:r>
          <w:r w:rsidR="002B1097">
            <w:t>Radicava</w:t>
          </w:r>
          <w:r>
            <w:t xml:space="preserve"> -</w:t>
          </w:r>
          <w:r w:rsidRPr="00460036">
            <w:t xml:space="preserve"> </w:t>
          </w:r>
          <w:r w:rsidR="00E06041">
            <w:t>e</w:t>
          </w:r>
          <w:r w:rsidR="00E06041" w:rsidRPr="00E06041">
            <w:t>daravone</w:t>
          </w:r>
          <w:r w:rsidRPr="00460036">
            <w:t xml:space="preserve"> </w:t>
          </w:r>
          <w:r w:rsidR="008C754C">
            <w:t>-</w:t>
          </w:r>
          <w:r>
            <w:t xml:space="preserve"> </w:t>
          </w:r>
          <w:r w:rsidR="00E06041" w:rsidRPr="00E06041">
            <w:t>Teva Pharma Australia Pty Ltd</w:t>
          </w:r>
          <w:r w:rsidR="00E06041">
            <w:t xml:space="preserve"> </w:t>
          </w:r>
          <w:r>
            <w:t xml:space="preserve">- </w:t>
          </w:r>
          <w:r w:rsidR="00E06041" w:rsidRPr="007624B3">
            <w:t>PM-2021-04298-1-1</w:t>
          </w:r>
          <w:r>
            <w:br/>
          </w:r>
          <w:r w:rsidRPr="00487162">
            <w:t>Date of Finalisation</w:t>
          </w:r>
          <w:r w:rsidR="00A70B72">
            <w:t>: 12 August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1A091" w14:textId="77777777" w:rsidR="00FA7323" w:rsidRDefault="00FA7323" w:rsidP="00F02AEC">
      <w:pPr>
        <w:spacing w:after="0" w:line="240" w:lineRule="auto"/>
      </w:pPr>
      <w:r>
        <w:separator/>
      </w:r>
    </w:p>
  </w:footnote>
  <w:footnote w:type="continuationSeparator" w:id="0">
    <w:p w14:paraId="33483493" w14:textId="77777777" w:rsidR="00FA7323" w:rsidRDefault="00FA7323" w:rsidP="00F02AEC">
      <w:pPr>
        <w:spacing w:after="0" w:line="240" w:lineRule="auto"/>
      </w:pPr>
      <w:r>
        <w:continuationSeparator/>
      </w:r>
    </w:p>
  </w:footnote>
  <w:footnote w:type="continuationNotice" w:id="1">
    <w:p w14:paraId="7F2ED05E" w14:textId="77777777" w:rsidR="00FA7323" w:rsidRDefault="00FA7323">
      <w:pPr>
        <w:spacing w:after="0" w:line="240" w:lineRule="auto"/>
      </w:pPr>
    </w:p>
  </w:footnote>
  <w:footnote w:id="2">
    <w:p w14:paraId="68402A9B" w14:textId="6D416F62" w:rsidR="007452E8" w:rsidRPr="00A93DC6" w:rsidRDefault="007452E8">
      <w:pPr>
        <w:pStyle w:val="FootnoteText"/>
        <w:rPr>
          <w:lang w:val="en-GB"/>
        </w:rPr>
      </w:pPr>
      <w:r>
        <w:rPr>
          <w:rStyle w:val="FootnoteReference"/>
        </w:rPr>
        <w:footnoteRef/>
      </w:r>
      <w:r>
        <w:t xml:space="preserve"> </w:t>
      </w:r>
      <w:r w:rsidR="00FB236E">
        <w:t xml:space="preserve">This is the original indication proposed by the </w:t>
      </w:r>
      <w:r w:rsidR="00C04BB6">
        <w:t>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3">
    <w:p w14:paraId="224CD836" w14:textId="3B636D05" w:rsidR="00500D68" w:rsidRDefault="00500D68">
      <w:pPr>
        <w:pStyle w:val="FootnoteText"/>
      </w:pPr>
      <w:r>
        <w:rPr>
          <w:rStyle w:val="FootnoteReference"/>
        </w:rPr>
        <w:footnoteRef/>
      </w:r>
      <w:r>
        <w:t xml:space="preserve"> </w:t>
      </w:r>
      <w:r w:rsidR="00AD0111" w:rsidRPr="00AD0111">
        <w:t xml:space="preserve"> </w:t>
      </w:r>
      <w:r w:rsidR="00AD0111">
        <w:t>In this report the ‘</w:t>
      </w:r>
      <w:r w:rsidR="00C04BB6">
        <w:t>Delegate</w:t>
      </w:r>
      <w:r w:rsidR="00AD0111">
        <w:t>’</w:t>
      </w:r>
      <w:r w:rsidR="00AD0111" w:rsidRPr="00C133A3">
        <w:t xml:space="preserve"> </w:t>
      </w:r>
      <w:r w:rsidR="00AD0111">
        <w:t xml:space="preserve">is the </w:t>
      </w:r>
      <w:r w:rsidR="00C04BB6">
        <w:t>Delegate</w:t>
      </w:r>
      <w:r w:rsidR="00AD0111" w:rsidRPr="00C133A3">
        <w:t xml:space="preserve"> of the Secretary of the Department of Health and Aged Care who </w:t>
      </w:r>
      <w:r w:rsidR="00AD0111">
        <w:t>decided the submission</w:t>
      </w:r>
      <w:r w:rsidR="00AD0111" w:rsidRPr="00C133A3">
        <w:t xml:space="preserve"> under section 25 of the Act.</w:t>
      </w:r>
    </w:p>
  </w:footnote>
  <w:footnote w:id="4">
    <w:p w14:paraId="2DA64FB6" w14:textId="66305980" w:rsidR="00E06041" w:rsidRPr="004B2EE9" w:rsidRDefault="00E06041" w:rsidP="00E06041">
      <w:pPr>
        <w:pStyle w:val="FootnoteText"/>
      </w:pPr>
      <w:r>
        <w:rPr>
          <w:rStyle w:val="FootnoteReference"/>
        </w:rPr>
        <w:footnoteRef/>
      </w:r>
      <w:r>
        <w:t xml:space="preserve"> </w:t>
      </w:r>
      <w:r w:rsidRPr="004B2EE9">
        <w:t>The QT interval is the time from the start of the QRS wave complex</w:t>
      </w:r>
      <w:r w:rsidR="003512D1">
        <w:t xml:space="preserve"> (in an ECG)</w:t>
      </w:r>
      <w:r w:rsidRPr="004B2EE9">
        <w:t xml:space="preserve"> to the end of the corresponding T wave. It approximates to the time taken for ventricular depolarisation and repolarisation, that is to say, the period of ventricular systole from ventricular isovolumetric contraction to isovolumetric relaxation.</w:t>
      </w:r>
    </w:p>
    <w:p w14:paraId="1FCFF97D" w14:textId="604CCA43" w:rsidR="00E06041" w:rsidRPr="004B2EE9" w:rsidRDefault="00E06041" w:rsidP="00E06041">
      <w:pPr>
        <w:pStyle w:val="FootnoteText"/>
      </w:pPr>
      <w:r w:rsidRPr="004B2EE9">
        <w:t>The corrected QT interval (QTc) estimates the QT interval at a standard heart rate. This allows comparison of QT values over time at different heart rates and improves detection of patients at increased risk of arrhythmias.</w:t>
      </w:r>
    </w:p>
  </w:footnote>
  <w:footnote w:id="5">
    <w:p w14:paraId="0D11E96D" w14:textId="77777777" w:rsidR="007B2DBD" w:rsidRDefault="007B2DBD" w:rsidP="007B2DBD">
      <w:pPr>
        <w:pStyle w:val="FootnoteText"/>
      </w:pPr>
      <w:r>
        <w:rPr>
          <w:rStyle w:val="FootnoteReference"/>
        </w:rPr>
        <w:footnoteRef/>
      </w:r>
      <w:r>
        <w:t xml:space="preserve"> This criterion was established because it was considered difficult to evaluate efficacy in patients with rapid progression or no change in disease status.</w:t>
      </w:r>
    </w:p>
  </w:footnote>
  <w:footnote w:id="6">
    <w:p w14:paraId="19964317" w14:textId="77777777" w:rsidR="007B2DBD" w:rsidRDefault="007B2DBD" w:rsidP="007B2DBD">
      <w:pPr>
        <w:pStyle w:val="FootnoteText"/>
      </w:pPr>
      <w:r>
        <w:rPr>
          <w:rStyle w:val="FootnoteReference"/>
        </w:rPr>
        <w:footnoteRef/>
      </w:r>
      <w:r>
        <w:t xml:space="preserve"> EU Guideline, Points to consider on application with one pivotal study.</w:t>
      </w:r>
    </w:p>
  </w:footnote>
  <w:footnote w:id="7">
    <w:p w14:paraId="0CABDD79" w14:textId="08ECB709" w:rsidR="00EB7C33" w:rsidRDefault="00EB7C33">
      <w:pPr>
        <w:pStyle w:val="FootnoteText"/>
      </w:pPr>
      <w:r>
        <w:rPr>
          <w:rStyle w:val="FootnoteReference"/>
        </w:rPr>
        <w:footnoteRef/>
      </w:r>
      <w:r>
        <w:t xml:space="preserve"> </w:t>
      </w:r>
      <w:r w:rsidR="00087904">
        <w:t>3-nitrotyrosine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6530BB"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51491499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9264"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425264445"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7216"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49478416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F3F99"/>
    <w:multiLevelType w:val="hybridMultilevel"/>
    <w:tmpl w:val="E7369D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B906D5"/>
    <w:multiLevelType w:val="hybridMultilevel"/>
    <w:tmpl w:val="897E14E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5D2752"/>
    <w:multiLevelType w:val="hybridMultilevel"/>
    <w:tmpl w:val="6BDEAC80"/>
    <w:lvl w:ilvl="0" w:tplc="12408EFE">
      <w:start w:val="14"/>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0D16242"/>
    <w:multiLevelType w:val="hybridMultilevel"/>
    <w:tmpl w:val="8CFAB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6" w15:restartNumberingAfterBreak="0">
    <w:nsid w:val="11FE017D"/>
    <w:multiLevelType w:val="hybridMultilevel"/>
    <w:tmpl w:val="9F260F5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10" w15:restartNumberingAfterBreak="0">
    <w:nsid w:val="192426C4"/>
    <w:multiLevelType w:val="hybridMultilevel"/>
    <w:tmpl w:val="F4363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4226C0"/>
    <w:multiLevelType w:val="hybridMultilevel"/>
    <w:tmpl w:val="A31AA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187BF4"/>
    <w:multiLevelType w:val="hybridMultilevel"/>
    <w:tmpl w:val="18FAA38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ED2734"/>
    <w:multiLevelType w:val="hybridMultilevel"/>
    <w:tmpl w:val="A7B40E28"/>
    <w:lvl w:ilvl="0" w:tplc="ADE01986">
      <w:start w:val="1"/>
      <w:numFmt w:val="decimal"/>
      <w:lvlText w:val="%1)"/>
      <w:lvlJc w:val="left"/>
      <w:pPr>
        <w:ind w:left="720" w:hanging="360"/>
      </w:pPr>
      <w:rPr>
        <w:rFonts w:eastAsia="Cambr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123BCA"/>
    <w:multiLevelType w:val="multilevel"/>
    <w:tmpl w:val="8A263E6A"/>
    <w:lvl w:ilvl="0">
      <w:start w:val="14"/>
      <w:numFmt w:val="decimal"/>
      <w:lvlText w:val="%1"/>
      <w:lvlJc w:val="left"/>
      <w:pPr>
        <w:ind w:left="405" w:hanging="405"/>
      </w:pPr>
      <w:rPr>
        <w:rFonts w:hint="default"/>
      </w:rPr>
    </w:lvl>
    <w:lvl w:ilvl="1">
      <w:start w:val="2"/>
      <w:numFmt w:val="decimal"/>
      <w:lvlText w:val="%1.%2"/>
      <w:lvlJc w:val="left"/>
      <w:pPr>
        <w:ind w:left="765" w:hanging="405"/>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3BE7294"/>
    <w:multiLevelType w:val="hybridMultilevel"/>
    <w:tmpl w:val="E48EC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7" w15:restartNumberingAfterBreak="0">
    <w:nsid w:val="30BA7F2C"/>
    <w:multiLevelType w:val="hybridMultilevel"/>
    <w:tmpl w:val="3D6482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BE2EDB"/>
    <w:multiLevelType w:val="hybridMultilevel"/>
    <w:tmpl w:val="E7369D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390B8E"/>
    <w:multiLevelType w:val="hybridMultilevel"/>
    <w:tmpl w:val="0C32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5A4517"/>
    <w:multiLevelType w:val="hybridMultilevel"/>
    <w:tmpl w:val="AB86D2D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1" w15:restartNumberingAfterBreak="0">
    <w:nsid w:val="3BA01C18"/>
    <w:multiLevelType w:val="hybridMultilevel"/>
    <w:tmpl w:val="EFB2034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1C60F2"/>
    <w:multiLevelType w:val="multilevel"/>
    <w:tmpl w:val="67966A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0D731D7"/>
    <w:multiLevelType w:val="hybridMultilevel"/>
    <w:tmpl w:val="D3920B08"/>
    <w:lvl w:ilvl="0" w:tplc="951267D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BA2B88"/>
    <w:multiLevelType w:val="hybridMultilevel"/>
    <w:tmpl w:val="66EE55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4F52021"/>
    <w:multiLevelType w:val="hybridMultilevel"/>
    <w:tmpl w:val="459CD78C"/>
    <w:lvl w:ilvl="0" w:tplc="7448853E">
      <w:start w:val="1"/>
      <w:numFmt w:val="decimal"/>
      <w:lvlText w:val="%1)"/>
      <w:lvlJc w:val="left"/>
      <w:pPr>
        <w:ind w:left="720" w:hanging="360"/>
      </w:pPr>
      <w:rPr>
        <w:rFonts w:eastAsia="Cambr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27" w15:restartNumberingAfterBreak="0">
    <w:nsid w:val="473E4EB9"/>
    <w:multiLevelType w:val="hybridMultilevel"/>
    <w:tmpl w:val="BEDED62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3C7743"/>
    <w:multiLevelType w:val="hybridMultilevel"/>
    <w:tmpl w:val="217E3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31"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3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3663729"/>
    <w:multiLevelType w:val="hybridMultilevel"/>
    <w:tmpl w:val="AC84EBE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4"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35" w15:restartNumberingAfterBreak="0">
    <w:nsid w:val="62E1248D"/>
    <w:multiLevelType w:val="hybridMultilevel"/>
    <w:tmpl w:val="0DB0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B25DCB"/>
    <w:multiLevelType w:val="hybridMultilevel"/>
    <w:tmpl w:val="18027E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ED190B"/>
    <w:multiLevelType w:val="hybridMultilevel"/>
    <w:tmpl w:val="0748AC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D052B2"/>
    <w:multiLevelType w:val="hybridMultilevel"/>
    <w:tmpl w:val="98BC0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D7166A"/>
    <w:multiLevelType w:val="hybridMultilevel"/>
    <w:tmpl w:val="6A1061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0D755A"/>
    <w:multiLevelType w:val="hybridMultilevel"/>
    <w:tmpl w:val="7BBEA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EA75F5"/>
    <w:multiLevelType w:val="hybridMultilevel"/>
    <w:tmpl w:val="89ACF398"/>
    <w:lvl w:ilvl="0" w:tplc="574A150A">
      <w:start w:val="29"/>
      <w:numFmt w:val="bullet"/>
      <w:lvlText w:val=""/>
      <w:lvlJc w:val="left"/>
      <w:pPr>
        <w:ind w:left="720" w:hanging="360"/>
      </w:pPr>
      <w:rPr>
        <w:rFonts w:ascii="Symbol" w:eastAsia="Cambr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6C56EE"/>
    <w:multiLevelType w:val="hybridMultilevel"/>
    <w:tmpl w:val="84F05CB2"/>
    <w:lvl w:ilvl="0" w:tplc="0C090001">
      <w:start w:val="1"/>
      <w:numFmt w:val="bullet"/>
      <w:lvlText w:val=""/>
      <w:lvlJc w:val="left"/>
      <w:pPr>
        <w:ind w:left="720" w:hanging="360"/>
      </w:pPr>
      <w:rPr>
        <w:rFonts w:ascii="Symbol" w:hAnsi="Symbol" w:hint="default"/>
      </w:rPr>
    </w:lvl>
    <w:lvl w:ilvl="1" w:tplc="B560C07A">
      <w:numFmt w:val="bullet"/>
      <w:lvlText w:val="•"/>
      <w:lvlJc w:val="left"/>
      <w:pPr>
        <w:ind w:left="1440" w:hanging="360"/>
      </w:pPr>
      <w:rPr>
        <w:rFonts w:ascii="Cambria" w:eastAsia="Cambria" w:hAnsi="Cambria"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A162F4"/>
    <w:multiLevelType w:val="hybridMultilevel"/>
    <w:tmpl w:val="0E903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8"/>
  </w:num>
  <w:num w:numId="2" w16cid:durableId="1856573705">
    <w:abstractNumId w:val="3"/>
  </w:num>
  <w:num w:numId="3" w16cid:durableId="357703499">
    <w:abstractNumId w:val="7"/>
  </w:num>
  <w:num w:numId="4" w16cid:durableId="1869176708">
    <w:abstractNumId w:val="32"/>
  </w:num>
  <w:num w:numId="5" w16cid:durableId="1652950129">
    <w:abstractNumId w:val="16"/>
  </w:num>
  <w:num w:numId="6" w16cid:durableId="1053193207">
    <w:abstractNumId w:val="30"/>
  </w:num>
  <w:num w:numId="7" w16cid:durableId="20113592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31"/>
  </w:num>
  <w:num w:numId="9" w16cid:durableId="173421270">
    <w:abstractNumId w:val="5"/>
  </w:num>
  <w:num w:numId="10" w16cid:durableId="2108043357">
    <w:abstractNumId w:val="9"/>
  </w:num>
  <w:num w:numId="11" w16cid:durableId="1725904230">
    <w:abstractNumId w:val="26"/>
  </w:num>
  <w:num w:numId="12" w16cid:durableId="141579354">
    <w:abstractNumId w:val="34"/>
  </w:num>
  <w:num w:numId="13" w16cid:durableId="283735081">
    <w:abstractNumId w:val="44"/>
  </w:num>
  <w:num w:numId="14" w16cid:durableId="148710685">
    <w:abstractNumId w:val="28"/>
  </w:num>
  <w:num w:numId="15" w16cid:durableId="1820076006">
    <w:abstractNumId w:val="15"/>
  </w:num>
  <w:num w:numId="16" w16cid:durableId="1584408308">
    <w:abstractNumId w:val="18"/>
  </w:num>
  <w:num w:numId="17" w16cid:durableId="122038664">
    <w:abstractNumId w:val="11"/>
  </w:num>
  <w:num w:numId="18" w16cid:durableId="166410253">
    <w:abstractNumId w:val="35"/>
  </w:num>
  <w:num w:numId="19" w16cid:durableId="226233858">
    <w:abstractNumId w:val="0"/>
  </w:num>
  <w:num w:numId="20" w16cid:durableId="595795515">
    <w:abstractNumId w:val="27"/>
  </w:num>
  <w:num w:numId="21" w16cid:durableId="2019846627">
    <w:abstractNumId w:val="40"/>
  </w:num>
  <w:num w:numId="22" w16cid:durableId="1825661250">
    <w:abstractNumId w:val="1"/>
  </w:num>
  <w:num w:numId="23" w16cid:durableId="1963993457">
    <w:abstractNumId w:val="38"/>
  </w:num>
  <w:num w:numId="24" w16cid:durableId="86270684">
    <w:abstractNumId w:val="6"/>
  </w:num>
  <w:num w:numId="25" w16cid:durableId="1558589451">
    <w:abstractNumId w:val="43"/>
  </w:num>
  <w:num w:numId="26" w16cid:durableId="1081634189">
    <w:abstractNumId w:val="13"/>
  </w:num>
  <w:num w:numId="27" w16cid:durableId="153689734">
    <w:abstractNumId w:val="4"/>
  </w:num>
  <w:num w:numId="28" w16cid:durableId="890070830">
    <w:abstractNumId w:val="29"/>
  </w:num>
  <w:num w:numId="29" w16cid:durableId="518465661">
    <w:abstractNumId w:val="24"/>
  </w:num>
  <w:num w:numId="30" w16cid:durableId="224999053">
    <w:abstractNumId w:val="37"/>
  </w:num>
  <w:num w:numId="31" w16cid:durableId="1851991727">
    <w:abstractNumId w:val="36"/>
  </w:num>
  <w:num w:numId="32" w16cid:durableId="1046485911">
    <w:abstractNumId w:val="23"/>
  </w:num>
  <w:num w:numId="33" w16cid:durableId="715467114">
    <w:abstractNumId w:val="33"/>
  </w:num>
  <w:num w:numId="34" w16cid:durableId="2021656128">
    <w:abstractNumId w:val="17"/>
  </w:num>
  <w:num w:numId="35" w16cid:durableId="1806119093">
    <w:abstractNumId w:val="25"/>
  </w:num>
  <w:num w:numId="36" w16cid:durableId="1175922646">
    <w:abstractNumId w:val="12"/>
  </w:num>
  <w:num w:numId="37" w16cid:durableId="2139953146">
    <w:abstractNumId w:val="22"/>
  </w:num>
  <w:num w:numId="38" w16cid:durableId="407120289">
    <w:abstractNumId w:val="19"/>
  </w:num>
  <w:num w:numId="39" w16cid:durableId="1078013480">
    <w:abstractNumId w:val="2"/>
  </w:num>
  <w:num w:numId="40" w16cid:durableId="2004315920">
    <w:abstractNumId w:val="14"/>
  </w:num>
  <w:num w:numId="41" w16cid:durableId="322048067">
    <w:abstractNumId w:val="42"/>
  </w:num>
  <w:num w:numId="42" w16cid:durableId="33846397">
    <w:abstractNumId w:val="21"/>
  </w:num>
  <w:num w:numId="43" w16cid:durableId="583879960">
    <w:abstractNumId w:val="20"/>
  </w:num>
  <w:num w:numId="44" w16cid:durableId="1268466583">
    <w:abstractNumId w:val="39"/>
  </w:num>
  <w:num w:numId="45" w16cid:durableId="448472707">
    <w:abstractNumId w:val="10"/>
  </w:num>
  <w:num w:numId="46" w16cid:durableId="944920792">
    <w:abstractNumId w:val="41"/>
  </w:num>
  <w:num w:numId="47" w16cid:durableId="13990943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0A65"/>
    <w:rsid w:val="000122CC"/>
    <w:rsid w:val="0001384A"/>
    <w:rsid w:val="00020FF2"/>
    <w:rsid w:val="00022CE2"/>
    <w:rsid w:val="0003015D"/>
    <w:rsid w:val="000310C2"/>
    <w:rsid w:val="00031C77"/>
    <w:rsid w:val="00032A0F"/>
    <w:rsid w:val="000344B3"/>
    <w:rsid w:val="0003784F"/>
    <w:rsid w:val="00040D8D"/>
    <w:rsid w:val="000414E7"/>
    <w:rsid w:val="00046423"/>
    <w:rsid w:val="00050256"/>
    <w:rsid w:val="000527FC"/>
    <w:rsid w:val="0006104E"/>
    <w:rsid w:val="00061BAB"/>
    <w:rsid w:val="00063CDE"/>
    <w:rsid w:val="000640BD"/>
    <w:rsid w:val="00065839"/>
    <w:rsid w:val="00065FDF"/>
    <w:rsid w:val="00067238"/>
    <w:rsid w:val="00077844"/>
    <w:rsid w:val="0008137B"/>
    <w:rsid w:val="00087904"/>
    <w:rsid w:val="00090510"/>
    <w:rsid w:val="000917AE"/>
    <w:rsid w:val="000921C7"/>
    <w:rsid w:val="00094B81"/>
    <w:rsid w:val="000975AA"/>
    <w:rsid w:val="00097614"/>
    <w:rsid w:val="000A0EA4"/>
    <w:rsid w:val="000A1B9C"/>
    <w:rsid w:val="000A4C5C"/>
    <w:rsid w:val="000B20F9"/>
    <w:rsid w:val="000B6B15"/>
    <w:rsid w:val="000C25A7"/>
    <w:rsid w:val="000C61A6"/>
    <w:rsid w:val="000D78EC"/>
    <w:rsid w:val="000D7934"/>
    <w:rsid w:val="000E209D"/>
    <w:rsid w:val="000E2597"/>
    <w:rsid w:val="000E6746"/>
    <w:rsid w:val="000F0FB8"/>
    <w:rsid w:val="000F4CB0"/>
    <w:rsid w:val="000F7B51"/>
    <w:rsid w:val="00101BEE"/>
    <w:rsid w:val="00101CE6"/>
    <w:rsid w:val="00101FB1"/>
    <w:rsid w:val="0010558A"/>
    <w:rsid w:val="00105686"/>
    <w:rsid w:val="001101FF"/>
    <w:rsid w:val="0011772C"/>
    <w:rsid w:val="00117A4F"/>
    <w:rsid w:val="0012473C"/>
    <w:rsid w:val="00127A74"/>
    <w:rsid w:val="00127AC8"/>
    <w:rsid w:val="0013132F"/>
    <w:rsid w:val="0013306D"/>
    <w:rsid w:val="0013528C"/>
    <w:rsid w:val="0013536C"/>
    <w:rsid w:val="00141427"/>
    <w:rsid w:val="001442A2"/>
    <w:rsid w:val="001468CA"/>
    <w:rsid w:val="001500A8"/>
    <w:rsid w:val="00150E3B"/>
    <w:rsid w:val="00155D85"/>
    <w:rsid w:val="00155DE2"/>
    <w:rsid w:val="00155EC3"/>
    <w:rsid w:val="00162CBB"/>
    <w:rsid w:val="00165D28"/>
    <w:rsid w:val="0017005C"/>
    <w:rsid w:val="00175CD8"/>
    <w:rsid w:val="00182BD8"/>
    <w:rsid w:val="00184189"/>
    <w:rsid w:val="001918CC"/>
    <w:rsid w:val="00196D8A"/>
    <w:rsid w:val="001A1B56"/>
    <w:rsid w:val="001A2789"/>
    <w:rsid w:val="001A614C"/>
    <w:rsid w:val="001A76F9"/>
    <w:rsid w:val="001B06FF"/>
    <w:rsid w:val="001B1703"/>
    <w:rsid w:val="001B242D"/>
    <w:rsid w:val="001B5F1C"/>
    <w:rsid w:val="001B6953"/>
    <w:rsid w:val="001C1C2E"/>
    <w:rsid w:val="001C2927"/>
    <w:rsid w:val="001C31A1"/>
    <w:rsid w:val="001C3FA2"/>
    <w:rsid w:val="001C55E0"/>
    <w:rsid w:val="001C5EE2"/>
    <w:rsid w:val="001D0077"/>
    <w:rsid w:val="001D6CA3"/>
    <w:rsid w:val="001E075E"/>
    <w:rsid w:val="001E0F93"/>
    <w:rsid w:val="001E19FD"/>
    <w:rsid w:val="001E407B"/>
    <w:rsid w:val="001E7FC6"/>
    <w:rsid w:val="001F2502"/>
    <w:rsid w:val="001F43DF"/>
    <w:rsid w:val="001F70A5"/>
    <w:rsid w:val="001F7DB4"/>
    <w:rsid w:val="0020235D"/>
    <w:rsid w:val="0020369B"/>
    <w:rsid w:val="0020533A"/>
    <w:rsid w:val="00206A91"/>
    <w:rsid w:val="00207B4D"/>
    <w:rsid w:val="002117B1"/>
    <w:rsid w:val="00217CCE"/>
    <w:rsid w:val="002203B1"/>
    <w:rsid w:val="00224E94"/>
    <w:rsid w:val="00226F39"/>
    <w:rsid w:val="00227049"/>
    <w:rsid w:val="002334AD"/>
    <w:rsid w:val="00241459"/>
    <w:rsid w:val="00241B60"/>
    <w:rsid w:val="00242CBC"/>
    <w:rsid w:val="00243D82"/>
    <w:rsid w:val="00250B0D"/>
    <w:rsid w:val="00252A72"/>
    <w:rsid w:val="00256AC3"/>
    <w:rsid w:val="0025785B"/>
    <w:rsid w:val="00257969"/>
    <w:rsid w:val="00262DCB"/>
    <w:rsid w:val="00271DE8"/>
    <w:rsid w:val="00276CE5"/>
    <w:rsid w:val="00280048"/>
    <w:rsid w:val="0028489E"/>
    <w:rsid w:val="002848DE"/>
    <w:rsid w:val="0028794E"/>
    <w:rsid w:val="00292A34"/>
    <w:rsid w:val="002936F1"/>
    <w:rsid w:val="00296E15"/>
    <w:rsid w:val="002A0E13"/>
    <w:rsid w:val="002A40B0"/>
    <w:rsid w:val="002A5841"/>
    <w:rsid w:val="002A7F3A"/>
    <w:rsid w:val="002B0C0E"/>
    <w:rsid w:val="002B1097"/>
    <w:rsid w:val="002B12C2"/>
    <w:rsid w:val="002B1EDF"/>
    <w:rsid w:val="002B2061"/>
    <w:rsid w:val="002B4138"/>
    <w:rsid w:val="002B6E75"/>
    <w:rsid w:val="002C1232"/>
    <w:rsid w:val="002C1E44"/>
    <w:rsid w:val="002C5B9C"/>
    <w:rsid w:val="002C5C92"/>
    <w:rsid w:val="002C5E29"/>
    <w:rsid w:val="002D0478"/>
    <w:rsid w:val="002D6DB4"/>
    <w:rsid w:val="002D7127"/>
    <w:rsid w:val="002E371E"/>
    <w:rsid w:val="002E4E18"/>
    <w:rsid w:val="002E60D1"/>
    <w:rsid w:val="002F22E2"/>
    <w:rsid w:val="002F30EE"/>
    <w:rsid w:val="002F3205"/>
    <w:rsid w:val="002F4244"/>
    <w:rsid w:val="002F599E"/>
    <w:rsid w:val="003008D8"/>
    <w:rsid w:val="00301D9A"/>
    <w:rsid w:val="00303959"/>
    <w:rsid w:val="00306E72"/>
    <w:rsid w:val="00307399"/>
    <w:rsid w:val="00312AC3"/>
    <w:rsid w:val="0031358C"/>
    <w:rsid w:val="00314430"/>
    <w:rsid w:val="00315260"/>
    <w:rsid w:val="003163BC"/>
    <w:rsid w:val="003176CA"/>
    <w:rsid w:val="00320E7E"/>
    <w:rsid w:val="0032128B"/>
    <w:rsid w:val="00322B2E"/>
    <w:rsid w:val="0032351A"/>
    <w:rsid w:val="00324B33"/>
    <w:rsid w:val="00326E38"/>
    <w:rsid w:val="00327488"/>
    <w:rsid w:val="003302BD"/>
    <w:rsid w:val="00332CEE"/>
    <w:rsid w:val="00336FE1"/>
    <w:rsid w:val="00342D56"/>
    <w:rsid w:val="003456E7"/>
    <w:rsid w:val="00345AC1"/>
    <w:rsid w:val="00346EC2"/>
    <w:rsid w:val="00347745"/>
    <w:rsid w:val="003477F9"/>
    <w:rsid w:val="003512D1"/>
    <w:rsid w:val="0035293B"/>
    <w:rsid w:val="003535FA"/>
    <w:rsid w:val="0035367D"/>
    <w:rsid w:val="0035444D"/>
    <w:rsid w:val="00354A86"/>
    <w:rsid w:val="00356D62"/>
    <w:rsid w:val="00360AD4"/>
    <w:rsid w:val="00360DE6"/>
    <w:rsid w:val="00363EE3"/>
    <w:rsid w:val="00367A83"/>
    <w:rsid w:val="00373304"/>
    <w:rsid w:val="003735F3"/>
    <w:rsid w:val="00373D91"/>
    <w:rsid w:val="00374729"/>
    <w:rsid w:val="00377D7A"/>
    <w:rsid w:val="00383610"/>
    <w:rsid w:val="00387298"/>
    <w:rsid w:val="00387984"/>
    <w:rsid w:val="00395140"/>
    <w:rsid w:val="003A224A"/>
    <w:rsid w:val="003A2422"/>
    <w:rsid w:val="003A7A2D"/>
    <w:rsid w:val="003B149C"/>
    <w:rsid w:val="003C0FDB"/>
    <w:rsid w:val="003C1192"/>
    <w:rsid w:val="003C13A6"/>
    <w:rsid w:val="003C31F4"/>
    <w:rsid w:val="003C55E2"/>
    <w:rsid w:val="003C63D5"/>
    <w:rsid w:val="003C7AA8"/>
    <w:rsid w:val="003D177E"/>
    <w:rsid w:val="003D2159"/>
    <w:rsid w:val="003D3FE3"/>
    <w:rsid w:val="003D4CEA"/>
    <w:rsid w:val="003D5A28"/>
    <w:rsid w:val="003D71A1"/>
    <w:rsid w:val="003E19EF"/>
    <w:rsid w:val="003F3FCE"/>
    <w:rsid w:val="003F6A7E"/>
    <w:rsid w:val="00403709"/>
    <w:rsid w:val="004104BA"/>
    <w:rsid w:val="00410D59"/>
    <w:rsid w:val="00412161"/>
    <w:rsid w:val="004153C2"/>
    <w:rsid w:val="0041688F"/>
    <w:rsid w:val="0042376F"/>
    <w:rsid w:val="004246B8"/>
    <w:rsid w:val="004248F1"/>
    <w:rsid w:val="00425575"/>
    <w:rsid w:val="00426337"/>
    <w:rsid w:val="00426ACC"/>
    <w:rsid w:val="00433318"/>
    <w:rsid w:val="004343DE"/>
    <w:rsid w:val="00434D48"/>
    <w:rsid w:val="00440EDA"/>
    <w:rsid w:val="00441F23"/>
    <w:rsid w:val="00442A56"/>
    <w:rsid w:val="004444B0"/>
    <w:rsid w:val="00445AF3"/>
    <w:rsid w:val="0045060B"/>
    <w:rsid w:val="00450C8D"/>
    <w:rsid w:val="00451D6B"/>
    <w:rsid w:val="00456E75"/>
    <w:rsid w:val="004626FF"/>
    <w:rsid w:val="00470A52"/>
    <w:rsid w:val="00471602"/>
    <w:rsid w:val="00471BD5"/>
    <w:rsid w:val="0047264F"/>
    <w:rsid w:val="00477C4E"/>
    <w:rsid w:val="00477F07"/>
    <w:rsid w:val="00481503"/>
    <w:rsid w:val="00481D12"/>
    <w:rsid w:val="004828EE"/>
    <w:rsid w:val="004854A6"/>
    <w:rsid w:val="00491A55"/>
    <w:rsid w:val="0049205B"/>
    <w:rsid w:val="00493EE6"/>
    <w:rsid w:val="00494C3E"/>
    <w:rsid w:val="00495A9A"/>
    <w:rsid w:val="00497DF1"/>
    <w:rsid w:val="004A197F"/>
    <w:rsid w:val="004A1A9F"/>
    <w:rsid w:val="004A208F"/>
    <w:rsid w:val="004A318E"/>
    <w:rsid w:val="004A57E8"/>
    <w:rsid w:val="004A62AF"/>
    <w:rsid w:val="004A71A5"/>
    <w:rsid w:val="004B2EE9"/>
    <w:rsid w:val="004B3081"/>
    <w:rsid w:val="004B3641"/>
    <w:rsid w:val="004B3D5B"/>
    <w:rsid w:val="004B4A09"/>
    <w:rsid w:val="004B6EEC"/>
    <w:rsid w:val="004C41CE"/>
    <w:rsid w:val="004C545B"/>
    <w:rsid w:val="004C631B"/>
    <w:rsid w:val="004C65AE"/>
    <w:rsid w:val="004C7A23"/>
    <w:rsid w:val="004D0C2D"/>
    <w:rsid w:val="004D2F00"/>
    <w:rsid w:val="004D31D8"/>
    <w:rsid w:val="004D4EB4"/>
    <w:rsid w:val="004D5388"/>
    <w:rsid w:val="004E5EBD"/>
    <w:rsid w:val="004E7F16"/>
    <w:rsid w:val="004F18EC"/>
    <w:rsid w:val="00500D68"/>
    <w:rsid w:val="0050435A"/>
    <w:rsid w:val="005049BB"/>
    <w:rsid w:val="0050783C"/>
    <w:rsid w:val="00513A1F"/>
    <w:rsid w:val="00522268"/>
    <w:rsid w:val="0052407D"/>
    <w:rsid w:val="005265AA"/>
    <w:rsid w:val="005335CE"/>
    <w:rsid w:val="0053377D"/>
    <w:rsid w:val="00535DFE"/>
    <w:rsid w:val="005373B5"/>
    <w:rsid w:val="00537AB7"/>
    <w:rsid w:val="00541104"/>
    <w:rsid w:val="00542D75"/>
    <w:rsid w:val="0054669B"/>
    <w:rsid w:val="00547149"/>
    <w:rsid w:val="00550E78"/>
    <w:rsid w:val="00552293"/>
    <w:rsid w:val="00554D4A"/>
    <w:rsid w:val="00555ED1"/>
    <w:rsid w:val="005610D1"/>
    <w:rsid w:val="005626ED"/>
    <w:rsid w:val="00562F42"/>
    <w:rsid w:val="00565739"/>
    <w:rsid w:val="0056766D"/>
    <w:rsid w:val="00572B8C"/>
    <w:rsid w:val="00573F8B"/>
    <w:rsid w:val="00575215"/>
    <w:rsid w:val="00576924"/>
    <w:rsid w:val="00582BC0"/>
    <w:rsid w:val="0058575E"/>
    <w:rsid w:val="0058783C"/>
    <w:rsid w:val="005911AE"/>
    <w:rsid w:val="005926E2"/>
    <w:rsid w:val="0059313A"/>
    <w:rsid w:val="005965CF"/>
    <w:rsid w:val="00597AD9"/>
    <w:rsid w:val="005A073D"/>
    <w:rsid w:val="005A26B4"/>
    <w:rsid w:val="005A54EA"/>
    <w:rsid w:val="005B0177"/>
    <w:rsid w:val="005B023F"/>
    <w:rsid w:val="005B02A2"/>
    <w:rsid w:val="005B1417"/>
    <w:rsid w:val="005B638A"/>
    <w:rsid w:val="005B69CF"/>
    <w:rsid w:val="005C3F07"/>
    <w:rsid w:val="005C4B46"/>
    <w:rsid w:val="005C5DC5"/>
    <w:rsid w:val="005C69FF"/>
    <w:rsid w:val="005D13A3"/>
    <w:rsid w:val="005D2089"/>
    <w:rsid w:val="005D4075"/>
    <w:rsid w:val="005D4189"/>
    <w:rsid w:val="005D7514"/>
    <w:rsid w:val="005E09E3"/>
    <w:rsid w:val="005E0FC6"/>
    <w:rsid w:val="005E1A7B"/>
    <w:rsid w:val="005E231F"/>
    <w:rsid w:val="005E53AC"/>
    <w:rsid w:val="00602D6E"/>
    <w:rsid w:val="00602EC9"/>
    <w:rsid w:val="00605C05"/>
    <w:rsid w:val="0060763A"/>
    <w:rsid w:val="00611351"/>
    <w:rsid w:val="00611A7D"/>
    <w:rsid w:val="0061217D"/>
    <w:rsid w:val="00613041"/>
    <w:rsid w:val="0061496B"/>
    <w:rsid w:val="006165BC"/>
    <w:rsid w:val="006230FC"/>
    <w:rsid w:val="00624A6E"/>
    <w:rsid w:val="006277A1"/>
    <w:rsid w:val="00631966"/>
    <w:rsid w:val="00633BD7"/>
    <w:rsid w:val="00634580"/>
    <w:rsid w:val="00634884"/>
    <w:rsid w:val="006349E3"/>
    <w:rsid w:val="006351D9"/>
    <w:rsid w:val="00637130"/>
    <w:rsid w:val="00637E1C"/>
    <w:rsid w:val="00637F0E"/>
    <w:rsid w:val="0064071A"/>
    <w:rsid w:val="006423F2"/>
    <w:rsid w:val="00647027"/>
    <w:rsid w:val="00650234"/>
    <w:rsid w:val="00651FD5"/>
    <w:rsid w:val="006530BB"/>
    <w:rsid w:val="0065467D"/>
    <w:rsid w:val="0066044B"/>
    <w:rsid w:val="0066172D"/>
    <w:rsid w:val="00662DCF"/>
    <w:rsid w:val="006630AA"/>
    <w:rsid w:val="00663544"/>
    <w:rsid w:val="00666539"/>
    <w:rsid w:val="00666911"/>
    <w:rsid w:val="00675F81"/>
    <w:rsid w:val="0068143E"/>
    <w:rsid w:val="0068507D"/>
    <w:rsid w:val="00690CE6"/>
    <w:rsid w:val="00691AF2"/>
    <w:rsid w:val="00692B80"/>
    <w:rsid w:val="00692CCD"/>
    <w:rsid w:val="00692D51"/>
    <w:rsid w:val="00694DD7"/>
    <w:rsid w:val="00695ACC"/>
    <w:rsid w:val="0069636B"/>
    <w:rsid w:val="00697493"/>
    <w:rsid w:val="006A1762"/>
    <w:rsid w:val="006A1F0B"/>
    <w:rsid w:val="006A277A"/>
    <w:rsid w:val="006A3F7E"/>
    <w:rsid w:val="006A4351"/>
    <w:rsid w:val="006A5973"/>
    <w:rsid w:val="006A5A11"/>
    <w:rsid w:val="006B62D5"/>
    <w:rsid w:val="006B7126"/>
    <w:rsid w:val="006C6716"/>
    <w:rsid w:val="006C6B86"/>
    <w:rsid w:val="006D1C38"/>
    <w:rsid w:val="006D3485"/>
    <w:rsid w:val="006D3723"/>
    <w:rsid w:val="006D384E"/>
    <w:rsid w:val="006D4006"/>
    <w:rsid w:val="006D4553"/>
    <w:rsid w:val="006D4A35"/>
    <w:rsid w:val="006D6B44"/>
    <w:rsid w:val="006E27FE"/>
    <w:rsid w:val="006E7C28"/>
    <w:rsid w:val="006F0DA5"/>
    <w:rsid w:val="006F7E24"/>
    <w:rsid w:val="00701110"/>
    <w:rsid w:val="00702E91"/>
    <w:rsid w:val="0070330F"/>
    <w:rsid w:val="00703624"/>
    <w:rsid w:val="007046ED"/>
    <w:rsid w:val="00704D36"/>
    <w:rsid w:val="00705D58"/>
    <w:rsid w:val="007072A1"/>
    <w:rsid w:val="00710BC5"/>
    <w:rsid w:val="007121CA"/>
    <w:rsid w:val="00716F2A"/>
    <w:rsid w:val="0072003B"/>
    <w:rsid w:val="00720E06"/>
    <w:rsid w:val="00721059"/>
    <w:rsid w:val="007211E6"/>
    <w:rsid w:val="00721EEB"/>
    <w:rsid w:val="007220C4"/>
    <w:rsid w:val="00731B8B"/>
    <w:rsid w:val="00732361"/>
    <w:rsid w:val="00733C5B"/>
    <w:rsid w:val="00733E3F"/>
    <w:rsid w:val="007357B9"/>
    <w:rsid w:val="0074151F"/>
    <w:rsid w:val="00741AB9"/>
    <w:rsid w:val="00742D03"/>
    <w:rsid w:val="00743B48"/>
    <w:rsid w:val="00744216"/>
    <w:rsid w:val="00745297"/>
    <w:rsid w:val="007452E8"/>
    <w:rsid w:val="00746990"/>
    <w:rsid w:val="00747093"/>
    <w:rsid w:val="00750D70"/>
    <w:rsid w:val="0075689F"/>
    <w:rsid w:val="007575D0"/>
    <w:rsid w:val="007615AD"/>
    <w:rsid w:val="007662E0"/>
    <w:rsid w:val="007732A1"/>
    <w:rsid w:val="00776E9C"/>
    <w:rsid w:val="00777849"/>
    <w:rsid w:val="00781496"/>
    <w:rsid w:val="007816D8"/>
    <w:rsid w:val="00784150"/>
    <w:rsid w:val="00786C7D"/>
    <w:rsid w:val="007913E1"/>
    <w:rsid w:val="00793272"/>
    <w:rsid w:val="00794B64"/>
    <w:rsid w:val="007967C3"/>
    <w:rsid w:val="007A0138"/>
    <w:rsid w:val="007A0A33"/>
    <w:rsid w:val="007A13FF"/>
    <w:rsid w:val="007A3726"/>
    <w:rsid w:val="007A3E09"/>
    <w:rsid w:val="007A54D1"/>
    <w:rsid w:val="007B04DE"/>
    <w:rsid w:val="007B0689"/>
    <w:rsid w:val="007B0AE6"/>
    <w:rsid w:val="007B2DBD"/>
    <w:rsid w:val="007B490E"/>
    <w:rsid w:val="007B568B"/>
    <w:rsid w:val="007B7A58"/>
    <w:rsid w:val="007C0F0B"/>
    <w:rsid w:val="007C57BC"/>
    <w:rsid w:val="007C58AD"/>
    <w:rsid w:val="007C6432"/>
    <w:rsid w:val="007C7B7C"/>
    <w:rsid w:val="007D04CA"/>
    <w:rsid w:val="007D08BD"/>
    <w:rsid w:val="007D0A2B"/>
    <w:rsid w:val="007D12A1"/>
    <w:rsid w:val="007D40E5"/>
    <w:rsid w:val="007D4138"/>
    <w:rsid w:val="007E046D"/>
    <w:rsid w:val="007E10A5"/>
    <w:rsid w:val="007E4178"/>
    <w:rsid w:val="007E54D2"/>
    <w:rsid w:val="007F0A77"/>
    <w:rsid w:val="007F1989"/>
    <w:rsid w:val="007F50D3"/>
    <w:rsid w:val="007F5189"/>
    <w:rsid w:val="007F6B1F"/>
    <w:rsid w:val="00803A17"/>
    <w:rsid w:val="00804897"/>
    <w:rsid w:val="008127E6"/>
    <w:rsid w:val="00815EF2"/>
    <w:rsid w:val="0082031D"/>
    <w:rsid w:val="0082051D"/>
    <w:rsid w:val="00820DAA"/>
    <w:rsid w:val="0082414B"/>
    <w:rsid w:val="00827782"/>
    <w:rsid w:val="00830172"/>
    <w:rsid w:val="008329DB"/>
    <w:rsid w:val="008361C5"/>
    <w:rsid w:val="0083628F"/>
    <w:rsid w:val="00837AB9"/>
    <w:rsid w:val="00842533"/>
    <w:rsid w:val="00842DC3"/>
    <w:rsid w:val="00850637"/>
    <w:rsid w:val="0085172F"/>
    <w:rsid w:val="00853FEE"/>
    <w:rsid w:val="00854D98"/>
    <w:rsid w:val="0085751E"/>
    <w:rsid w:val="00860B29"/>
    <w:rsid w:val="008622E8"/>
    <w:rsid w:val="00862FFF"/>
    <w:rsid w:val="008636B5"/>
    <w:rsid w:val="008645EE"/>
    <w:rsid w:val="00870144"/>
    <w:rsid w:val="00870426"/>
    <w:rsid w:val="00873D7A"/>
    <w:rsid w:val="00877CB3"/>
    <w:rsid w:val="008804CF"/>
    <w:rsid w:val="00882D58"/>
    <w:rsid w:val="00882F19"/>
    <w:rsid w:val="00883D35"/>
    <w:rsid w:val="00884569"/>
    <w:rsid w:val="008848D2"/>
    <w:rsid w:val="008850ED"/>
    <w:rsid w:val="00887A51"/>
    <w:rsid w:val="00890D9B"/>
    <w:rsid w:val="00891C6C"/>
    <w:rsid w:val="00893CCD"/>
    <w:rsid w:val="008964B3"/>
    <w:rsid w:val="008B1CB5"/>
    <w:rsid w:val="008B55C8"/>
    <w:rsid w:val="008C2D69"/>
    <w:rsid w:val="008C49C6"/>
    <w:rsid w:val="008C545C"/>
    <w:rsid w:val="008C754C"/>
    <w:rsid w:val="008D1BD0"/>
    <w:rsid w:val="008D56C9"/>
    <w:rsid w:val="008D6A54"/>
    <w:rsid w:val="008E24A1"/>
    <w:rsid w:val="008E2585"/>
    <w:rsid w:val="008E2D7A"/>
    <w:rsid w:val="008F3002"/>
    <w:rsid w:val="008F3215"/>
    <w:rsid w:val="008F3C39"/>
    <w:rsid w:val="008F3C69"/>
    <w:rsid w:val="008F4A62"/>
    <w:rsid w:val="008F7256"/>
    <w:rsid w:val="0090424C"/>
    <w:rsid w:val="0090605E"/>
    <w:rsid w:val="009108CE"/>
    <w:rsid w:val="00914184"/>
    <w:rsid w:val="00915A9F"/>
    <w:rsid w:val="00915C12"/>
    <w:rsid w:val="009255E1"/>
    <w:rsid w:val="00930D58"/>
    <w:rsid w:val="00932542"/>
    <w:rsid w:val="00935AAA"/>
    <w:rsid w:val="0095031E"/>
    <w:rsid w:val="00952485"/>
    <w:rsid w:val="00953F49"/>
    <w:rsid w:val="00954297"/>
    <w:rsid w:val="00960A56"/>
    <w:rsid w:val="009629FD"/>
    <w:rsid w:val="00966EF1"/>
    <w:rsid w:val="00967223"/>
    <w:rsid w:val="00967BEC"/>
    <w:rsid w:val="009731E9"/>
    <w:rsid w:val="009735DF"/>
    <w:rsid w:val="009751F7"/>
    <w:rsid w:val="0098350E"/>
    <w:rsid w:val="00983D42"/>
    <w:rsid w:val="00991C62"/>
    <w:rsid w:val="009935E0"/>
    <w:rsid w:val="00993AA5"/>
    <w:rsid w:val="0099404F"/>
    <w:rsid w:val="00996FA5"/>
    <w:rsid w:val="009976F0"/>
    <w:rsid w:val="009A2849"/>
    <w:rsid w:val="009B158C"/>
    <w:rsid w:val="009B32BF"/>
    <w:rsid w:val="009B5662"/>
    <w:rsid w:val="009B63DD"/>
    <w:rsid w:val="009C2211"/>
    <w:rsid w:val="009C40E8"/>
    <w:rsid w:val="009C45C5"/>
    <w:rsid w:val="009C618C"/>
    <w:rsid w:val="009D3997"/>
    <w:rsid w:val="009E0480"/>
    <w:rsid w:val="009E0651"/>
    <w:rsid w:val="009E5C6B"/>
    <w:rsid w:val="009E6858"/>
    <w:rsid w:val="009E6F8C"/>
    <w:rsid w:val="009F019E"/>
    <w:rsid w:val="009F405F"/>
    <w:rsid w:val="009F60BC"/>
    <w:rsid w:val="009F67E9"/>
    <w:rsid w:val="00A01C56"/>
    <w:rsid w:val="00A050AE"/>
    <w:rsid w:val="00A05421"/>
    <w:rsid w:val="00A12DFB"/>
    <w:rsid w:val="00A15E8A"/>
    <w:rsid w:val="00A170C9"/>
    <w:rsid w:val="00A230E7"/>
    <w:rsid w:val="00A2345F"/>
    <w:rsid w:val="00A32C50"/>
    <w:rsid w:val="00A358E7"/>
    <w:rsid w:val="00A3791E"/>
    <w:rsid w:val="00A37B60"/>
    <w:rsid w:val="00A4380B"/>
    <w:rsid w:val="00A479F7"/>
    <w:rsid w:val="00A51A2D"/>
    <w:rsid w:val="00A53309"/>
    <w:rsid w:val="00A5596B"/>
    <w:rsid w:val="00A559B0"/>
    <w:rsid w:val="00A57C29"/>
    <w:rsid w:val="00A63C07"/>
    <w:rsid w:val="00A63D9B"/>
    <w:rsid w:val="00A64466"/>
    <w:rsid w:val="00A6796B"/>
    <w:rsid w:val="00A704DC"/>
    <w:rsid w:val="00A70B72"/>
    <w:rsid w:val="00A74DED"/>
    <w:rsid w:val="00A76151"/>
    <w:rsid w:val="00A76797"/>
    <w:rsid w:val="00A84F12"/>
    <w:rsid w:val="00A85F5C"/>
    <w:rsid w:val="00A86225"/>
    <w:rsid w:val="00A93DC6"/>
    <w:rsid w:val="00A9411A"/>
    <w:rsid w:val="00AA4A4B"/>
    <w:rsid w:val="00AA6682"/>
    <w:rsid w:val="00AA701A"/>
    <w:rsid w:val="00AA75D9"/>
    <w:rsid w:val="00AB3981"/>
    <w:rsid w:val="00AB7C5C"/>
    <w:rsid w:val="00AB7CBF"/>
    <w:rsid w:val="00AD0111"/>
    <w:rsid w:val="00AD1F68"/>
    <w:rsid w:val="00AD20AB"/>
    <w:rsid w:val="00AD4C72"/>
    <w:rsid w:val="00AD50C1"/>
    <w:rsid w:val="00AD5451"/>
    <w:rsid w:val="00AE1947"/>
    <w:rsid w:val="00AF1C8B"/>
    <w:rsid w:val="00AF299B"/>
    <w:rsid w:val="00AF5A59"/>
    <w:rsid w:val="00AF7E43"/>
    <w:rsid w:val="00B02AE0"/>
    <w:rsid w:val="00B030DF"/>
    <w:rsid w:val="00B05326"/>
    <w:rsid w:val="00B12586"/>
    <w:rsid w:val="00B14545"/>
    <w:rsid w:val="00B14E60"/>
    <w:rsid w:val="00B15658"/>
    <w:rsid w:val="00B163C2"/>
    <w:rsid w:val="00B17BA2"/>
    <w:rsid w:val="00B2494C"/>
    <w:rsid w:val="00B26DC3"/>
    <w:rsid w:val="00B30B9D"/>
    <w:rsid w:val="00B336B8"/>
    <w:rsid w:val="00B36B06"/>
    <w:rsid w:val="00B37A54"/>
    <w:rsid w:val="00B37B46"/>
    <w:rsid w:val="00B43DA0"/>
    <w:rsid w:val="00B455F2"/>
    <w:rsid w:val="00B4574D"/>
    <w:rsid w:val="00B468E1"/>
    <w:rsid w:val="00B46BC0"/>
    <w:rsid w:val="00B46CFB"/>
    <w:rsid w:val="00B46DFB"/>
    <w:rsid w:val="00B5141B"/>
    <w:rsid w:val="00B541AF"/>
    <w:rsid w:val="00B55681"/>
    <w:rsid w:val="00B56745"/>
    <w:rsid w:val="00B57175"/>
    <w:rsid w:val="00B57AAD"/>
    <w:rsid w:val="00B61627"/>
    <w:rsid w:val="00B67C8D"/>
    <w:rsid w:val="00B708FC"/>
    <w:rsid w:val="00B72B16"/>
    <w:rsid w:val="00B80408"/>
    <w:rsid w:val="00B81397"/>
    <w:rsid w:val="00B81729"/>
    <w:rsid w:val="00B925DB"/>
    <w:rsid w:val="00B927D2"/>
    <w:rsid w:val="00B951F4"/>
    <w:rsid w:val="00B967FF"/>
    <w:rsid w:val="00B974B9"/>
    <w:rsid w:val="00BA22FD"/>
    <w:rsid w:val="00BA3F6D"/>
    <w:rsid w:val="00BA4BE6"/>
    <w:rsid w:val="00BA4FC0"/>
    <w:rsid w:val="00BA61E0"/>
    <w:rsid w:val="00BA7F7D"/>
    <w:rsid w:val="00BB1C14"/>
    <w:rsid w:val="00BB2077"/>
    <w:rsid w:val="00BB6847"/>
    <w:rsid w:val="00BB7038"/>
    <w:rsid w:val="00BB7563"/>
    <w:rsid w:val="00BB7F8F"/>
    <w:rsid w:val="00BC13AF"/>
    <w:rsid w:val="00BC1F52"/>
    <w:rsid w:val="00BC716A"/>
    <w:rsid w:val="00BC79F5"/>
    <w:rsid w:val="00BC7DE1"/>
    <w:rsid w:val="00BD07DF"/>
    <w:rsid w:val="00BD26F4"/>
    <w:rsid w:val="00BD2C12"/>
    <w:rsid w:val="00BD5DBD"/>
    <w:rsid w:val="00BD5DF6"/>
    <w:rsid w:val="00BE0041"/>
    <w:rsid w:val="00BE0861"/>
    <w:rsid w:val="00BE640F"/>
    <w:rsid w:val="00BF4638"/>
    <w:rsid w:val="00BF6FEA"/>
    <w:rsid w:val="00C00AA5"/>
    <w:rsid w:val="00C018DE"/>
    <w:rsid w:val="00C02E0B"/>
    <w:rsid w:val="00C04BB6"/>
    <w:rsid w:val="00C059D0"/>
    <w:rsid w:val="00C07551"/>
    <w:rsid w:val="00C1109F"/>
    <w:rsid w:val="00C11C38"/>
    <w:rsid w:val="00C12D65"/>
    <w:rsid w:val="00C133AB"/>
    <w:rsid w:val="00C1502E"/>
    <w:rsid w:val="00C20B56"/>
    <w:rsid w:val="00C20E9E"/>
    <w:rsid w:val="00C22214"/>
    <w:rsid w:val="00C246B1"/>
    <w:rsid w:val="00C26922"/>
    <w:rsid w:val="00C26D39"/>
    <w:rsid w:val="00C26F72"/>
    <w:rsid w:val="00C274DB"/>
    <w:rsid w:val="00C27A0B"/>
    <w:rsid w:val="00C309A7"/>
    <w:rsid w:val="00C335AB"/>
    <w:rsid w:val="00C407AB"/>
    <w:rsid w:val="00C451A8"/>
    <w:rsid w:val="00C52B7B"/>
    <w:rsid w:val="00C547CD"/>
    <w:rsid w:val="00C570FF"/>
    <w:rsid w:val="00C57CEA"/>
    <w:rsid w:val="00C60670"/>
    <w:rsid w:val="00C60FEC"/>
    <w:rsid w:val="00C63477"/>
    <w:rsid w:val="00C64B7B"/>
    <w:rsid w:val="00C6574E"/>
    <w:rsid w:val="00C707FD"/>
    <w:rsid w:val="00C72E65"/>
    <w:rsid w:val="00C76DEB"/>
    <w:rsid w:val="00C816C6"/>
    <w:rsid w:val="00C82B44"/>
    <w:rsid w:val="00C863A7"/>
    <w:rsid w:val="00C90965"/>
    <w:rsid w:val="00C912F4"/>
    <w:rsid w:val="00C9156F"/>
    <w:rsid w:val="00C9412C"/>
    <w:rsid w:val="00C95738"/>
    <w:rsid w:val="00C9581A"/>
    <w:rsid w:val="00C97D29"/>
    <w:rsid w:val="00CB0550"/>
    <w:rsid w:val="00CB568C"/>
    <w:rsid w:val="00CB6813"/>
    <w:rsid w:val="00CB7EAA"/>
    <w:rsid w:val="00CC27F3"/>
    <w:rsid w:val="00CC2B06"/>
    <w:rsid w:val="00CD3B1A"/>
    <w:rsid w:val="00CD5FC9"/>
    <w:rsid w:val="00CD7784"/>
    <w:rsid w:val="00CF4D6C"/>
    <w:rsid w:val="00CF6A55"/>
    <w:rsid w:val="00CF6DC6"/>
    <w:rsid w:val="00CF6DCF"/>
    <w:rsid w:val="00D01DDB"/>
    <w:rsid w:val="00D044AA"/>
    <w:rsid w:val="00D06D73"/>
    <w:rsid w:val="00D078BE"/>
    <w:rsid w:val="00D125E8"/>
    <w:rsid w:val="00D13F8A"/>
    <w:rsid w:val="00D15E2E"/>
    <w:rsid w:val="00D16F60"/>
    <w:rsid w:val="00D22981"/>
    <w:rsid w:val="00D23DEF"/>
    <w:rsid w:val="00D328CD"/>
    <w:rsid w:val="00D3349B"/>
    <w:rsid w:val="00D3466E"/>
    <w:rsid w:val="00D3557C"/>
    <w:rsid w:val="00D408F5"/>
    <w:rsid w:val="00D424A8"/>
    <w:rsid w:val="00D51C4C"/>
    <w:rsid w:val="00D528E7"/>
    <w:rsid w:val="00D55E03"/>
    <w:rsid w:val="00D6036F"/>
    <w:rsid w:val="00D62877"/>
    <w:rsid w:val="00D63760"/>
    <w:rsid w:val="00D65FEA"/>
    <w:rsid w:val="00D6703F"/>
    <w:rsid w:val="00D707B3"/>
    <w:rsid w:val="00D71353"/>
    <w:rsid w:val="00D734EB"/>
    <w:rsid w:val="00D74D14"/>
    <w:rsid w:val="00D8138D"/>
    <w:rsid w:val="00D82713"/>
    <w:rsid w:val="00D869BE"/>
    <w:rsid w:val="00D86F00"/>
    <w:rsid w:val="00D918D5"/>
    <w:rsid w:val="00D94C8E"/>
    <w:rsid w:val="00DA039E"/>
    <w:rsid w:val="00DA39F8"/>
    <w:rsid w:val="00DA51E2"/>
    <w:rsid w:val="00DB1372"/>
    <w:rsid w:val="00DB192C"/>
    <w:rsid w:val="00DB1CF3"/>
    <w:rsid w:val="00DB5425"/>
    <w:rsid w:val="00DB7086"/>
    <w:rsid w:val="00DB72A6"/>
    <w:rsid w:val="00DB7DB7"/>
    <w:rsid w:val="00DC6611"/>
    <w:rsid w:val="00DD7224"/>
    <w:rsid w:val="00DD7C7A"/>
    <w:rsid w:val="00DE1344"/>
    <w:rsid w:val="00DF2D85"/>
    <w:rsid w:val="00DF5BFE"/>
    <w:rsid w:val="00DF74D1"/>
    <w:rsid w:val="00E01E1E"/>
    <w:rsid w:val="00E0523F"/>
    <w:rsid w:val="00E06041"/>
    <w:rsid w:val="00E079B9"/>
    <w:rsid w:val="00E150E8"/>
    <w:rsid w:val="00E20081"/>
    <w:rsid w:val="00E23E50"/>
    <w:rsid w:val="00E26213"/>
    <w:rsid w:val="00E26839"/>
    <w:rsid w:val="00E274DF"/>
    <w:rsid w:val="00E34D66"/>
    <w:rsid w:val="00E362C4"/>
    <w:rsid w:val="00E448F9"/>
    <w:rsid w:val="00E46160"/>
    <w:rsid w:val="00E46855"/>
    <w:rsid w:val="00E46CC2"/>
    <w:rsid w:val="00E47E0C"/>
    <w:rsid w:val="00E51813"/>
    <w:rsid w:val="00E52C0B"/>
    <w:rsid w:val="00E53D3F"/>
    <w:rsid w:val="00E55106"/>
    <w:rsid w:val="00E5579B"/>
    <w:rsid w:val="00E55FBE"/>
    <w:rsid w:val="00E57FF4"/>
    <w:rsid w:val="00E653D4"/>
    <w:rsid w:val="00E66535"/>
    <w:rsid w:val="00E679D1"/>
    <w:rsid w:val="00E67C1C"/>
    <w:rsid w:val="00E70949"/>
    <w:rsid w:val="00E73B32"/>
    <w:rsid w:val="00E74C2B"/>
    <w:rsid w:val="00E7781E"/>
    <w:rsid w:val="00E90687"/>
    <w:rsid w:val="00E91F11"/>
    <w:rsid w:val="00E9706D"/>
    <w:rsid w:val="00EA2A6F"/>
    <w:rsid w:val="00EA3AF4"/>
    <w:rsid w:val="00EA4AEF"/>
    <w:rsid w:val="00EB1E03"/>
    <w:rsid w:val="00EB1E5D"/>
    <w:rsid w:val="00EB1EB3"/>
    <w:rsid w:val="00EB3B52"/>
    <w:rsid w:val="00EB7B03"/>
    <w:rsid w:val="00EB7B45"/>
    <w:rsid w:val="00EB7C33"/>
    <w:rsid w:val="00EB7CBA"/>
    <w:rsid w:val="00EC23D0"/>
    <w:rsid w:val="00EC5A2F"/>
    <w:rsid w:val="00EC678B"/>
    <w:rsid w:val="00ED3776"/>
    <w:rsid w:val="00ED6B08"/>
    <w:rsid w:val="00EE173F"/>
    <w:rsid w:val="00EEFEA3"/>
    <w:rsid w:val="00EF1B9F"/>
    <w:rsid w:val="00EF3F0B"/>
    <w:rsid w:val="00EF5583"/>
    <w:rsid w:val="00F0289D"/>
    <w:rsid w:val="00F02AEC"/>
    <w:rsid w:val="00F058F5"/>
    <w:rsid w:val="00F05E60"/>
    <w:rsid w:val="00F07572"/>
    <w:rsid w:val="00F13245"/>
    <w:rsid w:val="00F1391A"/>
    <w:rsid w:val="00F157FC"/>
    <w:rsid w:val="00F16E92"/>
    <w:rsid w:val="00F2194C"/>
    <w:rsid w:val="00F21B86"/>
    <w:rsid w:val="00F30AF3"/>
    <w:rsid w:val="00F31287"/>
    <w:rsid w:val="00F34FFE"/>
    <w:rsid w:val="00F40A19"/>
    <w:rsid w:val="00F43CD1"/>
    <w:rsid w:val="00F45AE0"/>
    <w:rsid w:val="00F551AE"/>
    <w:rsid w:val="00F60CF2"/>
    <w:rsid w:val="00F63E4B"/>
    <w:rsid w:val="00F657B4"/>
    <w:rsid w:val="00F7649F"/>
    <w:rsid w:val="00F8083B"/>
    <w:rsid w:val="00F80A0E"/>
    <w:rsid w:val="00F84DEE"/>
    <w:rsid w:val="00F865A7"/>
    <w:rsid w:val="00F90EDF"/>
    <w:rsid w:val="00F91BC1"/>
    <w:rsid w:val="00F92599"/>
    <w:rsid w:val="00F952F1"/>
    <w:rsid w:val="00FA0754"/>
    <w:rsid w:val="00FA1BC9"/>
    <w:rsid w:val="00FA2C11"/>
    <w:rsid w:val="00FA3BF9"/>
    <w:rsid w:val="00FA3C68"/>
    <w:rsid w:val="00FA4698"/>
    <w:rsid w:val="00FA49C3"/>
    <w:rsid w:val="00FA66C3"/>
    <w:rsid w:val="00FA7323"/>
    <w:rsid w:val="00FB1954"/>
    <w:rsid w:val="00FB236E"/>
    <w:rsid w:val="00FB3F7B"/>
    <w:rsid w:val="00FB4C2A"/>
    <w:rsid w:val="00FB75EB"/>
    <w:rsid w:val="00FC2107"/>
    <w:rsid w:val="00FC2BDE"/>
    <w:rsid w:val="00FC48FE"/>
    <w:rsid w:val="00FC6E4D"/>
    <w:rsid w:val="00FC6F56"/>
    <w:rsid w:val="00FD5515"/>
    <w:rsid w:val="00FE087C"/>
    <w:rsid w:val="00FE12ED"/>
    <w:rsid w:val="00FE3B42"/>
    <w:rsid w:val="00FE4A0E"/>
    <w:rsid w:val="00FE79A0"/>
    <w:rsid w:val="00FF0939"/>
    <w:rsid w:val="00FF373E"/>
    <w:rsid w:val="097388C7"/>
    <w:rsid w:val="0B385FA3"/>
    <w:rsid w:val="0B5E1D0A"/>
    <w:rsid w:val="0C6ACEE7"/>
    <w:rsid w:val="14674533"/>
    <w:rsid w:val="1B1A99A4"/>
    <w:rsid w:val="22C5E53D"/>
    <w:rsid w:val="2401CDFA"/>
    <w:rsid w:val="2630F22B"/>
    <w:rsid w:val="27A8A5DB"/>
    <w:rsid w:val="2847FEF0"/>
    <w:rsid w:val="2951474A"/>
    <w:rsid w:val="2994001B"/>
    <w:rsid w:val="29B9357F"/>
    <w:rsid w:val="2E21282D"/>
    <w:rsid w:val="2E2B645E"/>
    <w:rsid w:val="33550AC8"/>
    <w:rsid w:val="37CA8D36"/>
    <w:rsid w:val="3B396346"/>
    <w:rsid w:val="3F2CF855"/>
    <w:rsid w:val="44222A63"/>
    <w:rsid w:val="445E4122"/>
    <w:rsid w:val="45670B4F"/>
    <w:rsid w:val="467A98DC"/>
    <w:rsid w:val="4ACCDEF2"/>
    <w:rsid w:val="4BE846D3"/>
    <w:rsid w:val="4C388C03"/>
    <w:rsid w:val="4DF80B18"/>
    <w:rsid w:val="515F91E6"/>
    <w:rsid w:val="52361FC6"/>
    <w:rsid w:val="52C7DC40"/>
    <w:rsid w:val="5799297F"/>
    <w:rsid w:val="589A053F"/>
    <w:rsid w:val="58C5622D"/>
    <w:rsid w:val="5C9E39C9"/>
    <w:rsid w:val="601CE63B"/>
    <w:rsid w:val="64169162"/>
    <w:rsid w:val="64E0A846"/>
    <w:rsid w:val="6537F71A"/>
    <w:rsid w:val="66516845"/>
    <w:rsid w:val="680A3D0B"/>
    <w:rsid w:val="68ED98C8"/>
    <w:rsid w:val="6A2D856C"/>
    <w:rsid w:val="6F3B1153"/>
    <w:rsid w:val="72DFD95F"/>
    <w:rsid w:val="73015C6D"/>
    <w:rsid w:val="73E49DE9"/>
    <w:rsid w:val="746305B7"/>
    <w:rsid w:val="74CFE42E"/>
    <w:rsid w:val="78851362"/>
    <w:rsid w:val="790A828D"/>
    <w:rsid w:val="7960C88D"/>
    <w:rsid w:val="7A5D26A5"/>
    <w:rsid w:val="7A9F59FE"/>
    <w:rsid w:val="7AD4F59F"/>
    <w:rsid w:val="7FD1981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1C4C024"/>
  <w15:chartTrackingRefBased/>
  <w15:docId w15:val="{A623B2BC-862C-4B04-A0B2-37B76B3C8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Heading2"/>
    <w:next w:val="Normal"/>
    <w:link w:val="Heading1Char"/>
    <w:qFormat/>
    <w:rsid w:val="00E06041"/>
    <w:pPr>
      <w:spacing w:before="120" w:after="360"/>
      <w:outlineLvl w:val="0"/>
    </w:pPr>
    <w:rPr>
      <w:rFonts w:asciiTheme="majorHAnsi" w:hAnsiTheme="majorHAnsi" w:cstheme="majorHAnsi"/>
      <w:color w:val="auto"/>
      <w:sz w:val="64"/>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qFormat/>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qFormat/>
    <w:rsid w:val="00E06041"/>
    <w:pPr>
      <w:keepNext/>
      <w:spacing w:before="120" w:after="60" w:line="180" w:lineRule="atLeast"/>
      <w:outlineLvl w:val="6"/>
    </w:pPr>
    <w:rPr>
      <w:rFonts w:eastAsia="Times New Roman" w:cs="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qFormat/>
    <w:rsid w:val="00FC6F56"/>
    <w:pPr>
      <w:numPr>
        <w:numId w:val="2"/>
      </w:numPr>
    </w:pPr>
  </w:style>
  <w:style w:type="paragraph" w:customStyle="1" w:styleId="Numberbullet2">
    <w:name w:val="Number bullet 2"/>
    <w:basedOn w:val="ListBullet2"/>
    <w:qFormat/>
    <w:rsid w:val="00F02AEC"/>
    <w:pPr>
      <w:numPr>
        <w:numId w:val="2"/>
      </w:numPr>
      <w:ind w:left="850" w:hanging="425"/>
    </w:pPr>
  </w:style>
  <w:style w:type="paragraph" w:customStyle="1" w:styleId="Numberbullet3">
    <w:name w:val="Number bullet 3"/>
    <w:basedOn w:val="Normal"/>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E448F9"/>
    <w:pPr>
      <w:keepNext/>
    </w:pPr>
    <w:rPr>
      <w:b/>
    </w:rPr>
  </w:style>
  <w:style w:type="paragraph" w:styleId="Caption">
    <w:name w:val="caption"/>
    <w:basedOn w:val="Normal"/>
    <w:next w:val="Normal"/>
    <w:link w:val="CaptionChar"/>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Bulletpoint">
    <w:name w:val="Bullet point"/>
    <w:basedOn w:val="Normal"/>
    <w:rsid w:val="00E06041"/>
    <w:pPr>
      <w:numPr>
        <w:numId w:val="14"/>
      </w:numPr>
      <w:tabs>
        <w:tab w:val="clear" w:pos="369"/>
        <w:tab w:val="left" w:pos="397"/>
        <w:tab w:val="num" w:pos="511"/>
      </w:tabs>
      <w:spacing w:after="180" w:line="252" w:lineRule="auto"/>
      <w:ind w:left="0" w:firstLine="0"/>
    </w:pPr>
    <w:rPr>
      <w:rFonts w:eastAsia="Times New Roman" w:cs="Times New Roman"/>
      <w:snapToGrid w:val="0"/>
      <w:kern w:val="16"/>
      <w:szCs w:val="24"/>
    </w:rPr>
  </w:style>
  <w:style w:type="character" w:customStyle="1" w:styleId="Heading1Char">
    <w:name w:val="Heading 1 Char"/>
    <w:basedOn w:val="DefaultParagraphFont"/>
    <w:link w:val="Heading1"/>
    <w:rsid w:val="00E06041"/>
    <w:rPr>
      <w:rFonts w:asciiTheme="majorHAnsi" w:eastAsia="Times New Roman" w:hAnsiTheme="majorHAnsi" w:cstheme="majorHAnsi"/>
      <w:b/>
      <w:bCs/>
      <w:sz w:val="64"/>
      <w:szCs w:val="64"/>
    </w:rPr>
  </w:style>
  <w:style w:type="character" w:customStyle="1" w:styleId="Heading7Char">
    <w:name w:val="Heading 7 Char"/>
    <w:basedOn w:val="DefaultParagraphFont"/>
    <w:link w:val="Heading7"/>
    <w:uiPriority w:val="9"/>
    <w:rsid w:val="00E06041"/>
    <w:rPr>
      <w:rFonts w:ascii="Cambria" w:eastAsia="Times New Roman" w:hAnsi="Cambria" w:cs="Times New Roman"/>
      <w:bCs/>
      <w:szCs w:val="24"/>
    </w:rPr>
  </w:style>
  <w:style w:type="paragraph" w:customStyle="1" w:styleId="AxisLabel">
    <w:name w:val="Axis Label"/>
    <w:basedOn w:val="Normal"/>
    <w:qFormat/>
    <w:rsid w:val="00E06041"/>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E06041"/>
    <w:pPr>
      <w:spacing w:before="120" w:after="0" w:line="240" w:lineRule="auto"/>
    </w:pPr>
    <w:rPr>
      <w:rFonts w:ascii="Arial" w:eastAsia="Cambria" w:hAnsi="Arial" w:cs="Times New Roman"/>
      <w:sz w:val="16"/>
      <w:szCs w:val="22"/>
    </w:rPr>
  </w:style>
  <w:style w:type="paragraph" w:customStyle="1" w:styleId="Contents">
    <w:name w:val="Contents"/>
    <w:basedOn w:val="Normal"/>
    <w:rsid w:val="00E06041"/>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E06041"/>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E06041"/>
    <w:pPr>
      <w:spacing w:before="120" w:line="240" w:lineRule="atLeast"/>
    </w:pPr>
    <w:rPr>
      <w:rFonts w:eastAsia="Cambria" w:cs="Times New Roman"/>
      <w:sz w:val="14"/>
      <w:szCs w:val="22"/>
    </w:rPr>
  </w:style>
  <w:style w:type="table" w:styleId="LightShading-Accent2">
    <w:name w:val="Light Shading Accent 2"/>
    <w:basedOn w:val="TableNormal"/>
    <w:uiPriority w:val="60"/>
    <w:rsid w:val="00E06041"/>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E06041"/>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E06041"/>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E06041"/>
    <w:rPr>
      <w:color w:val="808080"/>
    </w:rPr>
  </w:style>
  <w:style w:type="paragraph" w:customStyle="1" w:styleId="Reference">
    <w:name w:val="Reference"/>
    <w:basedOn w:val="Normal"/>
    <w:rsid w:val="00E06041"/>
    <w:pPr>
      <w:spacing w:before="40" w:after="0" w:line="180" w:lineRule="atLeast"/>
      <w:ind w:hanging="170"/>
    </w:pPr>
    <w:rPr>
      <w:rFonts w:eastAsia="Cambria" w:cs="Times New Roman"/>
      <w:sz w:val="19"/>
      <w:szCs w:val="22"/>
    </w:rPr>
  </w:style>
  <w:style w:type="paragraph" w:customStyle="1" w:styleId="Tabletext0">
    <w:name w:val="Table text"/>
    <w:basedOn w:val="Normal"/>
    <w:rsid w:val="00E06041"/>
    <w:pPr>
      <w:spacing w:before="120" w:line="240" w:lineRule="atLeast"/>
    </w:pPr>
    <w:rPr>
      <w:rFonts w:eastAsia="Cambria" w:cs="Times New Roman"/>
      <w:sz w:val="19"/>
      <w:szCs w:val="22"/>
    </w:rPr>
  </w:style>
  <w:style w:type="table" w:customStyle="1" w:styleId="TableTGAblack">
    <w:name w:val="Table TGA black"/>
    <w:basedOn w:val="TableNormal"/>
    <w:uiPriority w:val="99"/>
    <w:rsid w:val="00E06041"/>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E06041"/>
    <w:pPr>
      <w:framePr w:wrap="around" w:hAnchor="text"/>
      <w:spacing w:before="480" w:after="0" w:line="276" w:lineRule="auto"/>
      <w:outlineLvl w:val="9"/>
    </w:pPr>
    <w:rPr>
      <w:rFonts w:cstheme="minorBidi"/>
      <w:color w:val="002035"/>
      <w:sz w:val="28"/>
      <w:lang w:val="en-US"/>
    </w:rPr>
  </w:style>
  <w:style w:type="paragraph" w:customStyle="1" w:styleId="Quotation">
    <w:name w:val="Quotation"/>
    <w:basedOn w:val="Normal"/>
    <w:next w:val="Normal"/>
    <w:uiPriority w:val="4"/>
    <w:qFormat/>
    <w:rsid w:val="00E06041"/>
    <w:pPr>
      <w:spacing w:before="120" w:after="180" w:line="240" w:lineRule="atLeast"/>
      <w:ind w:left="425"/>
    </w:pPr>
    <w:rPr>
      <w:sz w:val="20"/>
      <w:szCs w:val="22"/>
      <w:lang w:eastAsia="zh-TW"/>
    </w:rPr>
  </w:style>
  <w:style w:type="paragraph" w:customStyle="1" w:styleId="Comment">
    <w:name w:val="Comment"/>
    <w:basedOn w:val="Normal"/>
    <w:next w:val="Normal"/>
    <w:uiPriority w:val="1"/>
    <w:qFormat/>
    <w:rsid w:val="00E06041"/>
    <w:pPr>
      <w:spacing w:before="120" w:line="240" w:lineRule="atLeast"/>
      <w:ind w:left="992" w:hanging="992"/>
    </w:pPr>
    <w:rPr>
      <w:rFonts w:eastAsia="Cambria" w:cs="Times New Roman"/>
      <w:szCs w:val="22"/>
    </w:rPr>
  </w:style>
  <w:style w:type="paragraph" w:styleId="EndnoteText">
    <w:name w:val="endnote text"/>
    <w:basedOn w:val="Normal"/>
    <w:link w:val="EndnoteTextChar"/>
    <w:uiPriority w:val="99"/>
    <w:semiHidden/>
    <w:unhideWhenUsed/>
    <w:rsid w:val="00E06041"/>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E06041"/>
    <w:rPr>
      <w:rFonts w:ascii="Cambria" w:eastAsia="Cambria" w:hAnsi="Cambria" w:cs="Times New Roman"/>
    </w:rPr>
  </w:style>
  <w:style w:type="character" w:styleId="EndnoteReference">
    <w:name w:val="endnote reference"/>
    <w:basedOn w:val="DefaultParagraphFont"/>
    <w:uiPriority w:val="99"/>
    <w:semiHidden/>
    <w:unhideWhenUsed/>
    <w:rsid w:val="00E06041"/>
    <w:rPr>
      <w:vertAlign w:val="superscript"/>
    </w:rPr>
  </w:style>
  <w:style w:type="paragraph" w:customStyle="1" w:styleId="FigureCaption">
    <w:name w:val="Figure Caption"/>
    <w:basedOn w:val="Normal"/>
    <w:qFormat/>
    <w:rsid w:val="00E06041"/>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E06041"/>
    <w:pPr>
      <w:spacing w:after="240"/>
    </w:pPr>
    <w:rPr>
      <w:sz w:val="17"/>
    </w:rPr>
  </w:style>
  <w:style w:type="table" w:customStyle="1" w:styleId="TableTGA2">
    <w:name w:val="Table TGA 2"/>
    <w:basedOn w:val="TableNormal"/>
    <w:uiPriority w:val="99"/>
    <w:rsid w:val="00E06041"/>
    <w:pPr>
      <w:spacing w:before="60" w:after="0" w:line="240" w:lineRule="auto"/>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E06041"/>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E06041"/>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qFormat/>
    <w:rsid w:val="00E06041"/>
    <w:rPr>
      <w:rFonts w:ascii="Arial" w:hAnsi="Arial"/>
      <w:color w:val="002C47"/>
      <w:sz w:val="14"/>
    </w:rPr>
  </w:style>
  <w:style w:type="paragraph" w:customStyle="1" w:styleId="BodyCopy">
    <w:name w:val="Body Copy"/>
    <w:basedOn w:val="Normal"/>
    <w:qFormat/>
    <w:rsid w:val="00E06041"/>
    <w:pPr>
      <w:adjustRightInd w:val="0"/>
      <w:snapToGrid w:val="0"/>
      <w:spacing w:before="180" w:after="180" w:line="240" w:lineRule="atLeast"/>
    </w:pPr>
    <w:rPr>
      <w:rFonts w:eastAsia="MS Mincho" w:cs="Times New Roman"/>
      <w:lang w:eastAsia="ja-JP"/>
    </w:rPr>
  </w:style>
  <w:style w:type="paragraph" w:customStyle="1" w:styleId="Standard">
    <w:name w:val="Standard"/>
    <w:basedOn w:val="Normal"/>
    <w:link w:val="StandardChar"/>
    <w:qFormat/>
    <w:rsid w:val="00E06041"/>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E06041"/>
    <w:rPr>
      <w:rFonts w:ascii="Cambria" w:eastAsia="Times New Roman" w:hAnsi="Cambria" w:cs="Times New Roman"/>
      <w:snapToGrid w:val="0"/>
      <w:kern w:val="16"/>
      <w:sz w:val="23"/>
      <w:szCs w:val="24"/>
    </w:rPr>
  </w:style>
  <w:style w:type="paragraph" w:customStyle="1" w:styleId="PISubsection">
    <w:name w:val="PI Subsection"/>
    <w:basedOn w:val="Standard"/>
    <w:next w:val="Standard"/>
    <w:rsid w:val="00E06041"/>
    <w:pPr>
      <w:keepNext/>
      <w:spacing w:after="120"/>
    </w:pPr>
    <w:rPr>
      <w:b/>
      <w:i/>
      <w:kern w:val="2"/>
      <w:sz w:val="22"/>
    </w:rPr>
  </w:style>
  <w:style w:type="paragraph" w:customStyle="1" w:styleId="Default">
    <w:name w:val="Default"/>
    <w:rsid w:val="00E06041"/>
    <w:pPr>
      <w:autoSpaceDE w:val="0"/>
      <w:autoSpaceDN w:val="0"/>
      <w:adjustRightInd w:val="0"/>
      <w:spacing w:after="0" w:line="240" w:lineRule="auto"/>
    </w:pPr>
    <w:rPr>
      <w:rFonts w:ascii="Calibri" w:hAnsi="Calibri" w:cs="Calibri"/>
      <w:color w:val="000000"/>
      <w:sz w:val="24"/>
      <w:szCs w:val="24"/>
    </w:rPr>
  </w:style>
  <w:style w:type="character" w:customStyle="1" w:styleId="field-content">
    <w:name w:val="field-content"/>
    <w:basedOn w:val="DefaultParagraphFont"/>
    <w:rsid w:val="00E06041"/>
  </w:style>
  <w:style w:type="character" w:customStyle="1" w:styleId="element-invisible">
    <w:name w:val="element-invisible"/>
    <w:basedOn w:val="DefaultParagraphFont"/>
    <w:rsid w:val="00E06041"/>
  </w:style>
  <w:style w:type="paragraph" w:customStyle="1" w:styleId="views-field">
    <w:name w:val="views-field"/>
    <w:basedOn w:val="Normal"/>
    <w:rsid w:val="00E0604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E06041"/>
    <w:rPr>
      <w:b/>
      <w:bCs/>
    </w:rPr>
  </w:style>
  <w:style w:type="character" w:customStyle="1" w:styleId="CaptionChar">
    <w:name w:val="Caption Char"/>
    <w:link w:val="Caption"/>
    <w:locked/>
    <w:rsid w:val="00E06041"/>
    <w:rPr>
      <w:rFonts w:ascii="Cambria" w:hAnsi="Cambria"/>
      <w:i/>
      <w:iCs/>
      <w:color w:val="44546A" w:themeColor="text2"/>
      <w:sz w:val="18"/>
      <w:szCs w:val="18"/>
    </w:rPr>
  </w:style>
  <w:style w:type="numbering" w:customStyle="1" w:styleId="NoList1">
    <w:name w:val="No List1"/>
    <w:next w:val="NoList"/>
    <w:uiPriority w:val="99"/>
    <w:semiHidden/>
    <w:unhideWhenUsed/>
    <w:rsid w:val="007B2DBD"/>
  </w:style>
  <w:style w:type="numbering" w:customStyle="1" w:styleId="ListBullets1">
    <w:name w:val="ListBullets1"/>
    <w:uiPriority w:val="99"/>
    <w:locked/>
    <w:rsid w:val="007B2DBD"/>
  </w:style>
  <w:style w:type="numbering" w:customStyle="1" w:styleId="NumberBullet1">
    <w:name w:val="NumberBullet1"/>
    <w:uiPriority w:val="99"/>
    <w:locked/>
    <w:rsid w:val="007B2DBD"/>
  </w:style>
  <w:style w:type="table" w:customStyle="1" w:styleId="TableGrid1">
    <w:name w:val="Table Grid1"/>
    <w:basedOn w:val="TableNormal"/>
    <w:next w:val="TableGrid"/>
    <w:uiPriority w:val="59"/>
    <w:rsid w:val="007B2DB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4458">
      <w:bodyDiv w:val="1"/>
      <w:marLeft w:val="0"/>
      <w:marRight w:val="0"/>
      <w:marTop w:val="0"/>
      <w:marBottom w:val="0"/>
      <w:divBdr>
        <w:top w:val="none" w:sz="0" w:space="0" w:color="auto"/>
        <w:left w:val="none" w:sz="0" w:space="0" w:color="auto"/>
        <w:bottom w:val="none" w:sz="0" w:space="0" w:color="auto"/>
        <w:right w:val="none" w:sz="0" w:space="0" w:color="auto"/>
      </w:divBdr>
    </w:div>
    <w:div w:id="419568717">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tga.gov.au/how-we-regulate/supply-therapeutic-good-0/supply-prescription-medicine/application-process/prescription-medicines-registration-process"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hyperlink" Target="https://www.tga.gov.au/resources/resource/guidance/risk-management-plans-medicines-and-biologicals/australia-specific-annex-eu-rmp" TargetMode="External"/><Relationship Id="rId89" Type="http://schemas.openxmlformats.org/officeDocument/2006/relationships/hyperlink" Target="https://www.tga.gov.au/products/australian-register-therapeutic-goods-artg/consumer-medicines-information-cmi"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hyperlink" Target="https://www.tga.gov.au/products/australian-register-therapeutic-goods-artg/product-information-one" TargetMode="External"/><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hyperlink" Target="https://www.tga.gov.au/publication/risk-management-plans-medicines-and-biologicals" TargetMode="External"/><Relationship Id="rId90" Type="http://schemas.openxmlformats.org/officeDocument/2006/relationships/hyperlink" Target="https://www.tga.gov.au/picmi-search-facility" TargetMode="External"/><Relationship Id="rId95" Type="http://schemas.openxmlformats.org/officeDocument/2006/relationships/header" Target="header4.xml"/><Relationship Id="rId19" Type="http://schemas.openxmlformats.org/officeDocument/2006/relationships/hyperlink" Target="https://www.tga.gov.au/products/medicines/find-information-about-medicine/prescribing-medicines-pregnancy-database" TargetMode="External"/><Relationship Id="rId14" Type="http://schemas.openxmlformats.org/officeDocument/2006/relationships/footer" Target="footer2.xml"/><Relationship Id="rId22" Type="http://schemas.openxmlformats.org/officeDocument/2006/relationships/hyperlink" Target="https://www.tga.gov.au/resources/resource/guidance/orphan-drug-designation"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hyperlink" Target="https://www.tga.gov.au/resources/resource/guidance/risk-management-plans-medicines-and-biologicals/australia-specific-annex-eu-rmp" TargetMode="External"/><Relationship Id="rId93" Type="http://schemas.openxmlformats.org/officeDocument/2006/relationships/hyperlink" Target="mailto:info@tga.gov.au"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yperlink" Target="https://www.tga.gov.au/obstetric-drug-information-services"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hyperlink" Target="https://www.tga.gov.au/tgas-risk-management-approach" TargetMode="External"/><Relationship Id="rId88" Type="http://schemas.openxmlformats.org/officeDocument/2006/relationships/hyperlink" Target="https://www.tga.gov.au/products/australian-register-therapeutic-goods-artg/product-information-one" TargetMode="External"/><Relationship Id="rId91" Type="http://schemas.openxmlformats.org/officeDocument/2006/relationships/header" Target="header3.xm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ga.gov.au/"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hyperlink" Target="https://www.tga.gov.au/committee/advisory-committee-medicines-acm" TargetMode="External"/><Relationship Id="rId94" Type="http://schemas.openxmlformats.org/officeDocument/2006/relationships/hyperlink" Target="https://www.tga.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tga.gov.au/black-triangle-scheme" TargetMode="External"/><Relationship Id="rId39"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4BD66088D98584A883568A4D849F842" ma:contentTypeVersion="" ma:contentTypeDescription="Create a new document." ma:contentTypeScope="" ma:versionID="a8c9467524b6de43ba82ef0ef9f9c676">
  <xsd:schema xmlns:xsd="http://www.w3.org/2001/XMLSchema" xmlns:xs="http://www.w3.org/2001/XMLSchema" xmlns:p="http://schemas.microsoft.com/office/2006/metadata/properties" xmlns:ns2="b5da68bd-bef5-4253-a697-c4aadeae68bb" xmlns:ns3="1b65f757-15a3-4df4-aa49-07d4caa93201" targetNamespace="http://schemas.microsoft.com/office/2006/metadata/properties" ma:root="true" ma:fieldsID="e3ad051dff6728d42fe4e634348afd80" ns2:_="" ns3:_="">
    <xsd:import namespace="b5da68bd-bef5-4253-a697-c4aadeae68bb"/>
    <xsd:import namespace="1b65f757-15a3-4df4-aa49-07d4caa93201"/>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SearchPropertie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da68bd-bef5-4253-a697-c4aadeae68b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47f5443-14e4-4d70-8b98-f8aed8998f33"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65f757-15a3-4df4-aa49-07d4caa9320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CC1A7D65-77F8-42FE-A1B7-331A23D390FC}" ma:internalName="TaxCatchAll" ma:showField="CatchAllData" ma:web="{8d466d39-40f8-41be-b209-d7e5fd7dcc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b65f757-15a3-4df4-aa49-07d4caa93201" xsi:nil="true"/>
    <lcf76f155ced4ddcb4097134ff3c332f xmlns="b5da68bd-bef5-4253-a697-c4aadeae68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47C284-4AD2-49ED-8B2D-45E274AC3D4A}">
  <ds:schemaRefs>
    <ds:schemaRef ds:uri="http://schemas.microsoft.com/sharepoint/v3/contenttype/forms"/>
  </ds:schemaRefs>
</ds:datastoreItem>
</file>

<file path=customXml/itemProps2.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3.xml><?xml version="1.0" encoding="utf-8"?>
<ds:datastoreItem xmlns:ds="http://schemas.openxmlformats.org/officeDocument/2006/customXml" ds:itemID="{28730374-A175-4DD6-9510-97985ADE7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da68bd-bef5-4253-a697-c4aadeae68bb"/>
    <ds:schemaRef ds:uri="1b65f757-15a3-4df4-aa49-07d4caa93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9ED997-B9AD-4DB2-9208-BDA0338E8B8B}">
  <ds:schemaRefs>
    <ds:schemaRef ds:uri="http://schemas.microsoft.com/office/2006/metadata/properties"/>
    <ds:schemaRef ds:uri="http://schemas.microsoft.com/office/infopath/2007/PartnerControls"/>
    <ds:schemaRef ds:uri="1b65f757-15a3-4df4-aa49-07d4caa93201"/>
    <ds:schemaRef ds:uri="b5da68bd-bef5-4253-a697-c4aadeae68bb"/>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59</Pages>
  <Words>17042</Words>
  <Characters>97144</Characters>
  <Application>Microsoft Office Word</Application>
  <DocSecurity>0</DocSecurity>
  <Lines>809</Lines>
  <Paragraphs>227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Australian public assessment report for Radicava</vt:lpstr>
      <vt:lpstr>Australian public assessment report for</vt:lpstr>
    </vt:vector>
  </TitlesOfParts>
  <Company>Department of Health and Aged Care</Company>
  <LinksUpToDate>false</LinksUpToDate>
  <CharactersWithSpaces>113959</CharactersWithSpaces>
  <SharedDoc>false</SharedDoc>
  <HLinks>
    <vt:vector size="264" baseType="variant">
      <vt:variant>
        <vt:i4>3473445</vt:i4>
      </vt:variant>
      <vt:variant>
        <vt:i4>525</vt:i4>
      </vt:variant>
      <vt:variant>
        <vt:i4>0</vt:i4>
      </vt:variant>
      <vt:variant>
        <vt:i4>5</vt:i4>
      </vt:variant>
      <vt:variant>
        <vt:lpwstr>https://www.tga.gov.au/</vt:lpwstr>
      </vt:variant>
      <vt:variant>
        <vt:lpwstr/>
      </vt:variant>
      <vt:variant>
        <vt:i4>5242926</vt:i4>
      </vt:variant>
      <vt:variant>
        <vt:i4>522</vt:i4>
      </vt:variant>
      <vt:variant>
        <vt:i4>0</vt:i4>
      </vt:variant>
      <vt:variant>
        <vt:i4>5</vt:i4>
      </vt:variant>
      <vt:variant>
        <vt:lpwstr>mailto:info@tga.gov.au</vt:lpwstr>
      </vt:variant>
      <vt:variant>
        <vt:lpwstr/>
      </vt:variant>
      <vt:variant>
        <vt:i4>720961</vt:i4>
      </vt:variant>
      <vt:variant>
        <vt:i4>519</vt:i4>
      </vt:variant>
      <vt:variant>
        <vt:i4>0</vt:i4>
      </vt:variant>
      <vt:variant>
        <vt:i4>5</vt:i4>
      </vt:variant>
      <vt:variant>
        <vt:lpwstr>https://www.tga.gov.au/picmi-search-facility</vt:lpwstr>
      </vt:variant>
      <vt:variant>
        <vt:lpwstr/>
      </vt:variant>
      <vt:variant>
        <vt:i4>983049</vt:i4>
      </vt:variant>
      <vt:variant>
        <vt:i4>516</vt:i4>
      </vt:variant>
      <vt:variant>
        <vt:i4>0</vt:i4>
      </vt:variant>
      <vt:variant>
        <vt:i4>5</vt:i4>
      </vt:variant>
      <vt:variant>
        <vt:lpwstr>https://www.tga.gov.au/products/australian-register-therapeutic-goods-artg/consumer-medicines-information-cmi</vt:lpwstr>
      </vt:variant>
      <vt:variant>
        <vt:lpwstr/>
      </vt:variant>
      <vt:variant>
        <vt:i4>2752617</vt:i4>
      </vt:variant>
      <vt:variant>
        <vt:i4>513</vt:i4>
      </vt:variant>
      <vt:variant>
        <vt:i4>0</vt:i4>
      </vt:variant>
      <vt:variant>
        <vt:i4>5</vt:i4>
      </vt:variant>
      <vt:variant>
        <vt:lpwstr>https://www.tga.gov.au/products/australian-register-therapeutic-goods-artg/product-information-one</vt:lpwstr>
      </vt:variant>
      <vt:variant>
        <vt:lpwstr/>
      </vt:variant>
      <vt:variant>
        <vt:i4>2752617</vt:i4>
      </vt:variant>
      <vt:variant>
        <vt:i4>510</vt:i4>
      </vt:variant>
      <vt:variant>
        <vt:i4>0</vt:i4>
      </vt:variant>
      <vt:variant>
        <vt:i4>5</vt:i4>
      </vt:variant>
      <vt:variant>
        <vt:lpwstr>https://www.tga.gov.au/products/australian-register-therapeutic-goods-artg/product-information-one</vt:lpwstr>
      </vt:variant>
      <vt:variant>
        <vt:lpwstr/>
      </vt:variant>
      <vt:variant>
        <vt:i4>524365</vt:i4>
      </vt:variant>
      <vt:variant>
        <vt:i4>507</vt:i4>
      </vt:variant>
      <vt:variant>
        <vt:i4>0</vt:i4>
      </vt:variant>
      <vt:variant>
        <vt:i4>5</vt:i4>
      </vt:variant>
      <vt:variant>
        <vt:lpwstr>https://www.tga.gov.au/committee/advisory-committee-medicines-acm</vt:lpwstr>
      </vt:variant>
      <vt:variant>
        <vt:lpwstr/>
      </vt:variant>
      <vt:variant>
        <vt:i4>2424877</vt:i4>
      </vt:variant>
      <vt:variant>
        <vt:i4>504</vt:i4>
      </vt:variant>
      <vt:variant>
        <vt:i4>0</vt:i4>
      </vt:variant>
      <vt:variant>
        <vt:i4>5</vt:i4>
      </vt:variant>
      <vt:variant>
        <vt:lpwstr>https://www.tga.gov.au/resources/resource/guidance/risk-management-plans-medicines-and-biologicals/australia-specific-annex-eu-rmp</vt:lpwstr>
      </vt:variant>
      <vt:variant>
        <vt:lpwstr/>
      </vt:variant>
      <vt:variant>
        <vt:i4>2424877</vt:i4>
      </vt:variant>
      <vt:variant>
        <vt:i4>501</vt:i4>
      </vt:variant>
      <vt:variant>
        <vt:i4>0</vt:i4>
      </vt:variant>
      <vt:variant>
        <vt:i4>5</vt:i4>
      </vt:variant>
      <vt:variant>
        <vt:lpwstr>https://www.tga.gov.au/resources/resource/guidance/risk-management-plans-medicines-and-biologicals/australia-specific-annex-eu-rmp</vt:lpwstr>
      </vt:variant>
      <vt:variant>
        <vt:lpwstr/>
      </vt:variant>
      <vt:variant>
        <vt:i4>5111899</vt:i4>
      </vt:variant>
      <vt:variant>
        <vt:i4>498</vt:i4>
      </vt:variant>
      <vt:variant>
        <vt:i4>0</vt:i4>
      </vt:variant>
      <vt:variant>
        <vt:i4>5</vt:i4>
      </vt:variant>
      <vt:variant>
        <vt:lpwstr>https://www.tga.gov.au/tgas-risk-management-approach</vt:lpwstr>
      </vt:variant>
      <vt:variant>
        <vt:lpwstr/>
      </vt:variant>
      <vt:variant>
        <vt:i4>7929888</vt:i4>
      </vt:variant>
      <vt:variant>
        <vt:i4>495</vt:i4>
      </vt:variant>
      <vt:variant>
        <vt:i4>0</vt:i4>
      </vt:variant>
      <vt:variant>
        <vt:i4>5</vt:i4>
      </vt:variant>
      <vt:variant>
        <vt:lpwstr>https://www.tga.gov.au/publication/risk-management-plans-medicines-and-biologicals</vt:lpwstr>
      </vt:variant>
      <vt:variant>
        <vt:lpwstr/>
      </vt:variant>
      <vt:variant>
        <vt:i4>2293815</vt:i4>
      </vt:variant>
      <vt:variant>
        <vt:i4>171</vt:i4>
      </vt:variant>
      <vt:variant>
        <vt:i4>0</vt:i4>
      </vt:variant>
      <vt:variant>
        <vt:i4>5</vt:i4>
      </vt:variant>
      <vt:variant>
        <vt:lpwstr>https://www.tga.gov.au/resources/resource/guidance/orphan-drug-designation</vt:lpwstr>
      </vt:variant>
      <vt:variant>
        <vt:lpwstr/>
      </vt:variant>
      <vt:variant>
        <vt:i4>1835097</vt:i4>
      </vt:variant>
      <vt:variant>
        <vt:i4>168</vt:i4>
      </vt:variant>
      <vt:variant>
        <vt:i4>0</vt:i4>
      </vt:variant>
      <vt:variant>
        <vt:i4>5</vt:i4>
      </vt:variant>
      <vt:variant>
        <vt:lpwstr>https://www.tga.gov.au/how-we-regulate/supply-therapeutic-good-0/supply-prescription-medicine/application-process/prescription-medicines-registration-process</vt:lpwstr>
      </vt:variant>
      <vt:variant>
        <vt:lpwstr/>
      </vt:variant>
      <vt:variant>
        <vt:i4>3670063</vt:i4>
      </vt:variant>
      <vt:variant>
        <vt:i4>162</vt:i4>
      </vt:variant>
      <vt:variant>
        <vt:i4>0</vt:i4>
      </vt:variant>
      <vt:variant>
        <vt:i4>5</vt:i4>
      </vt:variant>
      <vt:variant>
        <vt:lpwstr>https://www.tga.gov.au/obstetric-drug-information-services</vt:lpwstr>
      </vt:variant>
      <vt:variant>
        <vt:lpwstr/>
      </vt:variant>
      <vt:variant>
        <vt:i4>2949173</vt:i4>
      </vt:variant>
      <vt:variant>
        <vt:i4>159</vt:i4>
      </vt:variant>
      <vt:variant>
        <vt:i4>0</vt:i4>
      </vt:variant>
      <vt:variant>
        <vt:i4>5</vt:i4>
      </vt:variant>
      <vt:variant>
        <vt:lpwstr>https://www.tga.gov.au/products/medicines/find-information-about-medicine/prescribing-medicines-pregnancy-database</vt:lpwstr>
      </vt:variant>
      <vt:variant>
        <vt:lpwstr/>
      </vt:variant>
      <vt:variant>
        <vt:i4>786511</vt:i4>
      </vt:variant>
      <vt:variant>
        <vt:i4>156</vt:i4>
      </vt:variant>
      <vt:variant>
        <vt:i4>0</vt:i4>
      </vt:variant>
      <vt:variant>
        <vt:i4>5</vt:i4>
      </vt:variant>
      <vt:variant>
        <vt:lpwstr>https://www.tga.gov.au/black-triangle-scheme</vt:lpwstr>
      </vt:variant>
      <vt:variant>
        <vt:lpwstr/>
      </vt:variant>
      <vt:variant>
        <vt:i4>1703998</vt:i4>
      </vt:variant>
      <vt:variant>
        <vt:i4>149</vt:i4>
      </vt:variant>
      <vt:variant>
        <vt:i4>0</vt:i4>
      </vt:variant>
      <vt:variant>
        <vt:i4>5</vt:i4>
      </vt:variant>
      <vt:variant>
        <vt:lpwstr/>
      </vt:variant>
      <vt:variant>
        <vt:lpwstr>_Toc169250394</vt:lpwstr>
      </vt:variant>
      <vt:variant>
        <vt:i4>1703998</vt:i4>
      </vt:variant>
      <vt:variant>
        <vt:i4>143</vt:i4>
      </vt:variant>
      <vt:variant>
        <vt:i4>0</vt:i4>
      </vt:variant>
      <vt:variant>
        <vt:i4>5</vt:i4>
      </vt:variant>
      <vt:variant>
        <vt:lpwstr/>
      </vt:variant>
      <vt:variant>
        <vt:lpwstr>_Toc169250393</vt:lpwstr>
      </vt:variant>
      <vt:variant>
        <vt:i4>1703998</vt:i4>
      </vt:variant>
      <vt:variant>
        <vt:i4>137</vt:i4>
      </vt:variant>
      <vt:variant>
        <vt:i4>0</vt:i4>
      </vt:variant>
      <vt:variant>
        <vt:i4>5</vt:i4>
      </vt:variant>
      <vt:variant>
        <vt:lpwstr/>
      </vt:variant>
      <vt:variant>
        <vt:lpwstr>_Toc169250392</vt:lpwstr>
      </vt:variant>
      <vt:variant>
        <vt:i4>1703998</vt:i4>
      </vt:variant>
      <vt:variant>
        <vt:i4>131</vt:i4>
      </vt:variant>
      <vt:variant>
        <vt:i4>0</vt:i4>
      </vt:variant>
      <vt:variant>
        <vt:i4>5</vt:i4>
      </vt:variant>
      <vt:variant>
        <vt:lpwstr/>
      </vt:variant>
      <vt:variant>
        <vt:lpwstr>_Toc169250391</vt:lpwstr>
      </vt:variant>
      <vt:variant>
        <vt:i4>1703998</vt:i4>
      </vt:variant>
      <vt:variant>
        <vt:i4>125</vt:i4>
      </vt:variant>
      <vt:variant>
        <vt:i4>0</vt:i4>
      </vt:variant>
      <vt:variant>
        <vt:i4>5</vt:i4>
      </vt:variant>
      <vt:variant>
        <vt:lpwstr/>
      </vt:variant>
      <vt:variant>
        <vt:lpwstr>_Toc169250390</vt:lpwstr>
      </vt:variant>
      <vt:variant>
        <vt:i4>1769534</vt:i4>
      </vt:variant>
      <vt:variant>
        <vt:i4>119</vt:i4>
      </vt:variant>
      <vt:variant>
        <vt:i4>0</vt:i4>
      </vt:variant>
      <vt:variant>
        <vt:i4>5</vt:i4>
      </vt:variant>
      <vt:variant>
        <vt:lpwstr/>
      </vt:variant>
      <vt:variant>
        <vt:lpwstr>_Toc169250389</vt:lpwstr>
      </vt:variant>
      <vt:variant>
        <vt:i4>1769534</vt:i4>
      </vt:variant>
      <vt:variant>
        <vt:i4>113</vt:i4>
      </vt:variant>
      <vt:variant>
        <vt:i4>0</vt:i4>
      </vt:variant>
      <vt:variant>
        <vt:i4>5</vt:i4>
      </vt:variant>
      <vt:variant>
        <vt:lpwstr/>
      </vt:variant>
      <vt:variant>
        <vt:lpwstr>_Toc169250388</vt:lpwstr>
      </vt:variant>
      <vt:variant>
        <vt:i4>1769534</vt:i4>
      </vt:variant>
      <vt:variant>
        <vt:i4>107</vt:i4>
      </vt:variant>
      <vt:variant>
        <vt:i4>0</vt:i4>
      </vt:variant>
      <vt:variant>
        <vt:i4>5</vt:i4>
      </vt:variant>
      <vt:variant>
        <vt:lpwstr/>
      </vt:variant>
      <vt:variant>
        <vt:lpwstr>_Toc169250387</vt:lpwstr>
      </vt:variant>
      <vt:variant>
        <vt:i4>1769534</vt:i4>
      </vt:variant>
      <vt:variant>
        <vt:i4>101</vt:i4>
      </vt:variant>
      <vt:variant>
        <vt:i4>0</vt:i4>
      </vt:variant>
      <vt:variant>
        <vt:i4>5</vt:i4>
      </vt:variant>
      <vt:variant>
        <vt:lpwstr/>
      </vt:variant>
      <vt:variant>
        <vt:lpwstr>_Toc169250386</vt:lpwstr>
      </vt:variant>
      <vt:variant>
        <vt:i4>1769534</vt:i4>
      </vt:variant>
      <vt:variant>
        <vt:i4>95</vt:i4>
      </vt:variant>
      <vt:variant>
        <vt:i4>0</vt:i4>
      </vt:variant>
      <vt:variant>
        <vt:i4>5</vt:i4>
      </vt:variant>
      <vt:variant>
        <vt:lpwstr/>
      </vt:variant>
      <vt:variant>
        <vt:lpwstr>_Toc169250385</vt:lpwstr>
      </vt:variant>
      <vt:variant>
        <vt:i4>1769534</vt:i4>
      </vt:variant>
      <vt:variant>
        <vt:i4>89</vt:i4>
      </vt:variant>
      <vt:variant>
        <vt:i4>0</vt:i4>
      </vt:variant>
      <vt:variant>
        <vt:i4>5</vt:i4>
      </vt:variant>
      <vt:variant>
        <vt:lpwstr/>
      </vt:variant>
      <vt:variant>
        <vt:lpwstr>_Toc169250384</vt:lpwstr>
      </vt:variant>
      <vt:variant>
        <vt:i4>1769534</vt:i4>
      </vt:variant>
      <vt:variant>
        <vt:i4>83</vt:i4>
      </vt:variant>
      <vt:variant>
        <vt:i4>0</vt:i4>
      </vt:variant>
      <vt:variant>
        <vt:i4>5</vt:i4>
      </vt:variant>
      <vt:variant>
        <vt:lpwstr/>
      </vt:variant>
      <vt:variant>
        <vt:lpwstr>_Toc169250383</vt:lpwstr>
      </vt:variant>
      <vt:variant>
        <vt:i4>1769534</vt:i4>
      </vt:variant>
      <vt:variant>
        <vt:i4>77</vt:i4>
      </vt:variant>
      <vt:variant>
        <vt:i4>0</vt:i4>
      </vt:variant>
      <vt:variant>
        <vt:i4>5</vt:i4>
      </vt:variant>
      <vt:variant>
        <vt:lpwstr/>
      </vt:variant>
      <vt:variant>
        <vt:lpwstr>_Toc169250382</vt:lpwstr>
      </vt:variant>
      <vt:variant>
        <vt:i4>1769534</vt:i4>
      </vt:variant>
      <vt:variant>
        <vt:i4>71</vt:i4>
      </vt:variant>
      <vt:variant>
        <vt:i4>0</vt:i4>
      </vt:variant>
      <vt:variant>
        <vt:i4>5</vt:i4>
      </vt:variant>
      <vt:variant>
        <vt:lpwstr/>
      </vt:variant>
      <vt:variant>
        <vt:lpwstr>_Toc169250381</vt:lpwstr>
      </vt:variant>
      <vt:variant>
        <vt:i4>1769534</vt:i4>
      </vt:variant>
      <vt:variant>
        <vt:i4>65</vt:i4>
      </vt:variant>
      <vt:variant>
        <vt:i4>0</vt:i4>
      </vt:variant>
      <vt:variant>
        <vt:i4>5</vt:i4>
      </vt:variant>
      <vt:variant>
        <vt:lpwstr/>
      </vt:variant>
      <vt:variant>
        <vt:lpwstr>_Toc169250380</vt:lpwstr>
      </vt:variant>
      <vt:variant>
        <vt:i4>1310782</vt:i4>
      </vt:variant>
      <vt:variant>
        <vt:i4>59</vt:i4>
      </vt:variant>
      <vt:variant>
        <vt:i4>0</vt:i4>
      </vt:variant>
      <vt:variant>
        <vt:i4>5</vt:i4>
      </vt:variant>
      <vt:variant>
        <vt:lpwstr/>
      </vt:variant>
      <vt:variant>
        <vt:lpwstr>_Toc169250379</vt:lpwstr>
      </vt:variant>
      <vt:variant>
        <vt:i4>1310782</vt:i4>
      </vt:variant>
      <vt:variant>
        <vt:i4>53</vt:i4>
      </vt:variant>
      <vt:variant>
        <vt:i4>0</vt:i4>
      </vt:variant>
      <vt:variant>
        <vt:i4>5</vt:i4>
      </vt:variant>
      <vt:variant>
        <vt:lpwstr/>
      </vt:variant>
      <vt:variant>
        <vt:lpwstr>_Toc169250378</vt:lpwstr>
      </vt:variant>
      <vt:variant>
        <vt:i4>1310782</vt:i4>
      </vt:variant>
      <vt:variant>
        <vt:i4>47</vt:i4>
      </vt:variant>
      <vt:variant>
        <vt:i4>0</vt:i4>
      </vt:variant>
      <vt:variant>
        <vt:i4>5</vt:i4>
      </vt:variant>
      <vt:variant>
        <vt:lpwstr/>
      </vt:variant>
      <vt:variant>
        <vt:lpwstr>_Toc169250377</vt:lpwstr>
      </vt:variant>
      <vt:variant>
        <vt:i4>1310782</vt:i4>
      </vt:variant>
      <vt:variant>
        <vt:i4>41</vt:i4>
      </vt:variant>
      <vt:variant>
        <vt:i4>0</vt:i4>
      </vt:variant>
      <vt:variant>
        <vt:i4>5</vt:i4>
      </vt:variant>
      <vt:variant>
        <vt:lpwstr/>
      </vt:variant>
      <vt:variant>
        <vt:lpwstr>_Toc169250376</vt:lpwstr>
      </vt:variant>
      <vt:variant>
        <vt:i4>1310782</vt:i4>
      </vt:variant>
      <vt:variant>
        <vt:i4>35</vt:i4>
      </vt:variant>
      <vt:variant>
        <vt:i4>0</vt:i4>
      </vt:variant>
      <vt:variant>
        <vt:i4>5</vt:i4>
      </vt:variant>
      <vt:variant>
        <vt:lpwstr/>
      </vt:variant>
      <vt:variant>
        <vt:lpwstr>_Toc169250375</vt:lpwstr>
      </vt:variant>
      <vt:variant>
        <vt:i4>1310782</vt:i4>
      </vt:variant>
      <vt:variant>
        <vt:i4>29</vt:i4>
      </vt:variant>
      <vt:variant>
        <vt:i4>0</vt:i4>
      </vt:variant>
      <vt:variant>
        <vt:i4>5</vt:i4>
      </vt:variant>
      <vt:variant>
        <vt:lpwstr/>
      </vt:variant>
      <vt:variant>
        <vt:lpwstr>_Toc169250374</vt:lpwstr>
      </vt:variant>
      <vt:variant>
        <vt:i4>1310782</vt:i4>
      </vt:variant>
      <vt:variant>
        <vt:i4>23</vt:i4>
      </vt:variant>
      <vt:variant>
        <vt:i4>0</vt:i4>
      </vt:variant>
      <vt:variant>
        <vt:i4>5</vt:i4>
      </vt:variant>
      <vt:variant>
        <vt:lpwstr/>
      </vt:variant>
      <vt:variant>
        <vt:lpwstr>_Toc169250373</vt:lpwstr>
      </vt:variant>
      <vt:variant>
        <vt:i4>1310782</vt:i4>
      </vt:variant>
      <vt:variant>
        <vt:i4>17</vt:i4>
      </vt:variant>
      <vt:variant>
        <vt:i4>0</vt:i4>
      </vt:variant>
      <vt:variant>
        <vt:i4>5</vt:i4>
      </vt:variant>
      <vt:variant>
        <vt:lpwstr/>
      </vt:variant>
      <vt:variant>
        <vt:lpwstr>_Toc169250372</vt:lpwstr>
      </vt:variant>
      <vt:variant>
        <vt:i4>1310782</vt:i4>
      </vt:variant>
      <vt:variant>
        <vt:i4>11</vt:i4>
      </vt:variant>
      <vt:variant>
        <vt:i4>0</vt:i4>
      </vt:variant>
      <vt:variant>
        <vt:i4>5</vt:i4>
      </vt:variant>
      <vt:variant>
        <vt:lpwstr/>
      </vt:variant>
      <vt:variant>
        <vt:lpwstr>_Toc169250371</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ariant>
        <vt:i4>1441808</vt:i4>
      </vt:variant>
      <vt:variant>
        <vt:i4>0</vt:i4>
      </vt:variant>
      <vt:variant>
        <vt:i4>0</vt:i4>
      </vt:variant>
      <vt:variant>
        <vt:i4>5</vt:i4>
      </vt:variant>
      <vt:variant>
        <vt:lpwstr>docubridge://open/Server=Production&amp;Id=F693abc73d1aa41a7a5a8aee1baa3fd82&amp;NodeId=N2167ef73f5ba4f7faa0767fe8b30d813&amp;Page=0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Radicava</dc:title>
  <dc:subject>Prescription medicines</dc:subject>
  <dc:creator>Therapeutic Goods Administration</dc:creator>
  <cp:keywords/>
  <dc:description/>
  <cp:lastModifiedBy>LACK, Janet</cp:lastModifiedBy>
  <cp:revision>3</cp:revision>
  <dcterms:created xsi:type="dcterms:W3CDTF">2024-08-13T22:21:00Z</dcterms:created>
  <dcterms:modified xsi:type="dcterms:W3CDTF">2024-08-13T22:46:00Z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0x01010064BD66088D98584A883568A4D849F842</vt:lpwstr>
  </property>
  <property fmtid="{D5CDD505-2E9C-101B-9397-08002B2CF9AE}" pid="3" name="MediaServiceImageTags">
    <vt:lpwstr/>
  </property>
</Properties>
</file>