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3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F02AEC" w:rsidRPr="00215D48" w14:paraId="08AE1D54" w14:textId="77777777" w:rsidTr="00346EC2">
        <w:trPr>
          <w:trHeight w:val="1558"/>
        </w:trPr>
        <w:tc>
          <w:tcPr>
            <w:tcW w:w="8720" w:type="dxa"/>
          </w:tcPr>
          <w:p w14:paraId="2538A211" w14:textId="254E288B" w:rsidR="00F02AEC" w:rsidRPr="00215D48" w:rsidRDefault="00346EC2" w:rsidP="007452E8">
            <w:pPr>
              <w:pStyle w:val="Title"/>
            </w:pPr>
            <w:r w:rsidRPr="00346EC2">
              <w:t xml:space="preserve">Australian Public Assessment Report for </w:t>
            </w:r>
            <w:bookmarkStart w:id="0" w:name="_Hlk173998772"/>
            <w:r w:rsidR="008C45B5" w:rsidRPr="005F12F0">
              <w:t>Yonsa Mpred</w:t>
            </w:r>
            <w:bookmarkEnd w:id="0"/>
          </w:p>
        </w:tc>
      </w:tr>
      <w:tr w:rsidR="00F02AEC" w:rsidRPr="00215D48" w14:paraId="318A40A3" w14:textId="77777777" w:rsidTr="00346EC2">
        <w:trPr>
          <w:trHeight w:val="995"/>
        </w:trPr>
        <w:tc>
          <w:tcPr>
            <w:tcW w:w="8720" w:type="dxa"/>
          </w:tcPr>
          <w:p w14:paraId="0A741D81" w14:textId="77777777" w:rsidR="00326F14" w:rsidRDefault="00346EC2" w:rsidP="005F12F0">
            <w:pPr>
              <w:pStyle w:val="Subtitle"/>
              <w:ind w:left="0"/>
            </w:pPr>
            <w:r w:rsidRPr="00346EC2">
              <w:t xml:space="preserve">Active ingredients: </w:t>
            </w:r>
            <w:bookmarkStart w:id="1" w:name="_Hlk173998891"/>
            <w:r w:rsidR="00222C15" w:rsidRPr="005F12F0">
              <w:t xml:space="preserve">Abiraterone </w:t>
            </w:r>
            <w:r w:rsidR="00DD5496" w:rsidRPr="005F12F0">
              <w:t xml:space="preserve">acetate </w:t>
            </w:r>
            <w:r w:rsidR="00222C15" w:rsidRPr="005F12F0">
              <w:t>and methylprednisolone</w:t>
            </w:r>
            <w:bookmarkEnd w:id="1"/>
          </w:p>
          <w:p w14:paraId="1AA7C701" w14:textId="3A45C6A5" w:rsidR="005F12F0" w:rsidRPr="00215D48" w:rsidRDefault="005F12F0" w:rsidP="005F12F0">
            <w:pPr>
              <w:pStyle w:val="Subtitle"/>
              <w:ind w:left="0"/>
            </w:pPr>
          </w:p>
        </w:tc>
      </w:tr>
      <w:tr w:rsidR="00346EC2" w:rsidRPr="00215D48" w14:paraId="362CCAE4" w14:textId="77777777" w:rsidTr="007452E8">
        <w:trPr>
          <w:trHeight w:val="1916"/>
        </w:trPr>
        <w:tc>
          <w:tcPr>
            <w:tcW w:w="8720" w:type="dxa"/>
          </w:tcPr>
          <w:p w14:paraId="709C45C0" w14:textId="78A7B643" w:rsidR="00346EC2" w:rsidRPr="00215D48" w:rsidRDefault="00326F14" w:rsidP="007452E8">
            <w:pPr>
              <w:pStyle w:val="Subtitle"/>
              <w:ind w:left="0"/>
            </w:pPr>
            <w:r>
              <w:t>Sponsor</w:t>
            </w:r>
            <w:r w:rsidR="00346EC2" w:rsidRPr="00346EC2">
              <w:t>:</w:t>
            </w:r>
            <w:r w:rsidR="00222C15">
              <w:t xml:space="preserve"> </w:t>
            </w:r>
            <w:bookmarkStart w:id="2" w:name="_Hlk173998901"/>
            <w:r w:rsidR="00222C15" w:rsidRPr="005F12F0">
              <w:t>Sun Pharma ANZ Pty Ltd</w:t>
            </w:r>
            <w:bookmarkEnd w:id="2"/>
          </w:p>
        </w:tc>
      </w:tr>
      <w:tr w:rsidR="00F02AEC" w:rsidRPr="00215D48" w14:paraId="37F2AA1F" w14:textId="77777777" w:rsidTr="007452E8">
        <w:tc>
          <w:tcPr>
            <w:tcW w:w="8720" w:type="dxa"/>
          </w:tcPr>
          <w:p w14:paraId="1FDE8DCD" w14:textId="25BA6D93" w:rsidR="00F02AEC" w:rsidRPr="005F12F0" w:rsidRDefault="00326F14" w:rsidP="007452E8">
            <w:pPr>
              <w:pStyle w:val="Date"/>
            </w:pPr>
            <w:r w:rsidRPr="005F12F0">
              <w:t>August</w:t>
            </w:r>
            <w:r w:rsidR="00222C15" w:rsidRPr="005F12F0">
              <w:t xml:space="preserve"> 202</w:t>
            </w:r>
            <w:r w:rsidRPr="005F12F0">
              <w:t>4</w:t>
            </w:r>
          </w:p>
        </w:tc>
      </w:tr>
    </w:tbl>
    <w:p w14:paraId="73752706" w14:textId="77777777" w:rsidR="00F02AEC" w:rsidRPr="00215D48" w:rsidRDefault="00F02AEC" w:rsidP="007452E8">
      <w:pPr>
        <w:pStyle w:val="ListBullet"/>
        <w:numPr>
          <w:ilvl w:val="0"/>
          <w:numId w:val="0"/>
        </w:numPr>
        <w:sectPr w:rsidR="00F02AEC" w:rsidRPr="00215D48" w:rsidSect="00CB0550">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pPr>
    </w:p>
    <w:p w14:paraId="2170A423" w14:textId="77777777" w:rsidR="00346EC2" w:rsidRPr="001F6CBA" w:rsidRDefault="00346EC2" w:rsidP="00346EC2">
      <w:pPr>
        <w:pStyle w:val="NonTOCHeading20"/>
      </w:pPr>
      <w:r w:rsidRPr="001F6CBA">
        <w:lastRenderedPageBreak/>
        <w:t>About the Therapeutic Goods Administration (TGA)</w:t>
      </w:r>
    </w:p>
    <w:p w14:paraId="79558AE9" w14:textId="77777777" w:rsidR="00346EC2" w:rsidRPr="00391B0C" w:rsidRDefault="00346EC2" w:rsidP="0056766D">
      <w:pPr>
        <w:pStyle w:val="ListBullet"/>
      </w:pPr>
      <w:r w:rsidRPr="00391B0C">
        <w:t xml:space="preserve">The Therapeutic Goods Administration (TGA) is part of the Australian Government </w:t>
      </w:r>
      <w:r w:rsidRPr="00C22214">
        <w:t>Department of Health and Aged Care</w:t>
      </w:r>
      <w:r>
        <w:t xml:space="preserve"> </w:t>
      </w:r>
      <w:r w:rsidRPr="00391B0C">
        <w:t>and is responsible for regulating therapeutic goods, including medicines, medical devices, and biologicals.</w:t>
      </w:r>
    </w:p>
    <w:p w14:paraId="61BEFDB6" w14:textId="77777777" w:rsidR="00346EC2" w:rsidRPr="00391B0C" w:rsidRDefault="00346EC2" w:rsidP="00346EC2">
      <w:pPr>
        <w:pStyle w:val="ListBullet"/>
      </w:pPr>
      <w:r w:rsidRPr="00391B0C">
        <w:t xml:space="preserve">The TGA administers the </w:t>
      </w:r>
      <w:r w:rsidRPr="00822FCB">
        <w:rPr>
          <w:i/>
          <w:iCs/>
        </w:rPr>
        <w:t>Therapeutic Goods Act 1989</w:t>
      </w:r>
      <w:r w:rsidRPr="00391B0C">
        <w:t xml:space="preserve"> (the Act), applying a risk management approach designed to ensure therapeutic goods supplied in Australia meet acceptable standards of quality, safety, and efficacy.</w:t>
      </w:r>
    </w:p>
    <w:p w14:paraId="77180CB3" w14:textId="77777777" w:rsidR="00346EC2" w:rsidRPr="003C6D1F" w:rsidRDefault="00346EC2" w:rsidP="00346EC2">
      <w:pPr>
        <w:pStyle w:val="ListBullet"/>
      </w:pPr>
      <w:r w:rsidRPr="003C6D1F">
        <w:t xml:space="preserve">The work of the TGA is based on applying scientific and clinical expertise to decision-making, to ensure that the benefits to </w:t>
      </w:r>
      <w:r>
        <w:t>the Australian public</w:t>
      </w:r>
      <w:r w:rsidRPr="003C6D1F">
        <w:t xml:space="preserve"> outweigh any risks associated with the use of </w:t>
      </w:r>
      <w:r>
        <w:t>therapeutic goods</w:t>
      </w:r>
      <w:r w:rsidRPr="003C6D1F">
        <w:t>.</w:t>
      </w:r>
    </w:p>
    <w:p w14:paraId="70AC2A35" w14:textId="77777777" w:rsidR="00346EC2" w:rsidRPr="003C6D1F" w:rsidRDefault="00346EC2" w:rsidP="00346EC2">
      <w:pPr>
        <w:pStyle w:val="ListBullet"/>
      </w:pPr>
      <w:r w:rsidRPr="003C6D1F">
        <w:t xml:space="preserve">The TGA relies on the public, healthcare professionals and industry to report problems with </w:t>
      </w:r>
      <w:r>
        <w:t>therapeutic goods</w:t>
      </w:r>
      <w:r w:rsidRPr="003C6D1F">
        <w:t>.</w:t>
      </w:r>
      <w:r>
        <w:t xml:space="preserve"> The</w:t>
      </w:r>
      <w:r w:rsidRPr="003C6D1F">
        <w:t xml:space="preserve"> TGA investigates reports received to determine any necessary regulatory action.</w:t>
      </w:r>
    </w:p>
    <w:p w14:paraId="17DC24C6" w14:textId="77777777" w:rsidR="00346EC2" w:rsidRDefault="00346EC2" w:rsidP="00346EC2">
      <w:pPr>
        <w:pStyle w:val="ListBullet"/>
      </w:pPr>
      <w:r w:rsidRPr="003C6D1F">
        <w:t xml:space="preserve">To report a problem with a </w:t>
      </w:r>
      <w:r>
        <w:t>therapeutic good</w:t>
      </w:r>
      <w:r w:rsidRPr="003C6D1F">
        <w:t xml:space="preserve">, please see the information on the </w:t>
      </w:r>
      <w:hyperlink r:id="rId12" w:history="1">
        <w:r w:rsidRPr="000F15B4">
          <w:rPr>
            <w:rStyle w:val="Hyperlink"/>
          </w:rPr>
          <w:t>TGA website</w:t>
        </w:r>
      </w:hyperlink>
      <w:r w:rsidRPr="003C6D1F">
        <w:t>.</w:t>
      </w:r>
    </w:p>
    <w:p w14:paraId="737B7A99" w14:textId="77777777" w:rsidR="00346EC2" w:rsidRDefault="00346EC2" w:rsidP="00346EC2">
      <w:pPr>
        <w:pStyle w:val="NonTOCHeading20"/>
      </w:pPr>
      <w:r>
        <w:t>About AusPARs</w:t>
      </w:r>
    </w:p>
    <w:p w14:paraId="631B2209" w14:textId="77777777" w:rsidR="00346EC2" w:rsidRPr="003C6D1F" w:rsidRDefault="00346EC2" w:rsidP="00346EC2">
      <w:pPr>
        <w:pStyle w:val="ListBullet"/>
      </w:pPr>
      <w:r>
        <w:t>The</w:t>
      </w:r>
      <w:r w:rsidRPr="003C6D1F">
        <w:t xml:space="preserve"> Australian Public Assessment Report (AusPAR) provides information about the evaluation of a prescription medicine and the considerations that led the TGA to approve or not approve a prescription medicine submission.</w:t>
      </w:r>
      <w:r>
        <w:t xml:space="preserve"> Further information can be found in </w:t>
      </w:r>
      <w:hyperlink r:id="rId13" w:history="1">
        <w:r w:rsidRPr="005A2EB8">
          <w:rPr>
            <w:rStyle w:val="Hyperlink"/>
          </w:rPr>
          <w:t>Australian Public Assessment Report (AusPAR) guidance</w:t>
        </w:r>
      </w:hyperlink>
      <w:r>
        <w:t>.</w:t>
      </w:r>
    </w:p>
    <w:p w14:paraId="22F5A730" w14:textId="77777777" w:rsidR="00346EC2" w:rsidRPr="003C6D1F" w:rsidRDefault="00346EC2" w:rsidP="00346EC2">
      <w:pPr>
        <w:pStyle w:val="ListBullet"/>
      </w:pPr>
      <w:r w:rsidRPr="003C6D1F">
        <w:t>AusPARs are prepared and published by the TGA.</w:t>
      </w:r>
    </w:p>
    <w:p w14:paraId="451B8FD7" w14:textId="77777777" w:rsidR="00346EC2" w:rsidRPr="003C6D1F" w:rsidRDefault="00346EC2" w:rsidP="00346EC2">
      <w:pPr>
        <w:pStyle w:val="ListBullet"/>
      </w:pPr>
      <w:r w:rsidRPr="003C6D1F">
        <w:t>AusPAR</w:t>
      </w:r>
      <w:r>
        <w:t xml:space="preserve">s are </w:t>
      </w:r>
      <w:r w:rsidRPr="003C6D1F">
        <w:t>static document</w:t>
      </w:r>
      <w:r>
        <w:t xml:space="preserve">s that </w:t>
      </w:r>
      <w:r w:rsidRPr="003C6D1F">
        <w:t>provide information that relates to a submission at a particular point in time.</w:t>
      </w:r>
      <w:r>
        <w:t xml:space="preserve"> The publication of an AusPAR is an important part of the transparency of the TGA’s decision-making process.</w:t>
      </w:r>
    </w:p>
    <w:p w14:paraId="4D69F5CF" w14:textId="77777777" w:rsidR="00346EC2" w:rsidRPr="003C6D1F" w:rsidRDefault="00346EC2" w:rsidP="00346EC2">
      <w:pPr>
        <w:pStyle w:val="ListBullet"/>
      </w:pPr>
      <w:r w:rsidRPr="003C6D1F">
        <w:t xml:space="preserve">A new AusPAR </w:t>
      </w:r>
      <w:r>
        <w:t xml:space="preserve">may be provided </w:t>
      </w:r>
      <w:r w:rsidRPr="003C6D1F">
        <w:t>to reflect changes to indications or major variations to a prescription medicine subject to evaluation by the TGA.</w:t>
      </w:r>
    </w:p>
    <w:p w14:paraId="7067011F" w14:textId="510D5C5C" w:rsidR="00F02AEC" w:rsidRPr="00E1198B" w:rsidRDefault="00F02AEC" w:rsidP="00FE087C">
      <w:pPr>
        <w:pStyle w:val="LegalSubheading"/>
        <w:spacing w:before="3600"/>
      </w:pPr>
      <w:r w:rsidRPr="00BA0DFC">
        <w:t>Copyright</w:t>
      </w:r>
    </w:p>
    <w:p w14:paraId="170A8A5D" w14:textId="1B443DB4" w:rsidR="00175CD8" w:rsidRPr="00346EC2" w:rsidRDefault="00F02AEC" w:rsidP="00346EC2">
      <w:pPr>
        <w:pStyle w:val="LegalCopy"/>
        <w:rPr>
          <w:rFonts w:cs="Arial"/>
        </w:rPr>
      </w:pPr>
      <w:r w:rsidRPr="00215D48">
        <w:rPr>
          <w:rFonts w:cs="Arial"/>
        </w:rPr>
        <w:t>© Commonwealth of Australia 20</w:t>
      </w:r>
      <w:r>
        <w:rPr>
          <w:rFonts w:cs="Arial"/>
        </w:rPr>
        <w:t>2</w:t>
      </w:r>
      <w:r w:rsidR="005F12F0">
        <w:rPr>
          <w:rFonts w:cs="Arial"/>
        </w:rPr>
        <w:t>4</w:t>
      </w:r>
      <w:r w:rsidRPr="00215D48">
        <w:rPr>
          <w:rFonts w:cs="Arial"/>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215D48">
        <w:rPr>
          <w:rFonts w:cs="Arial"/>
          <w:i/>
        </w:rPr>
        <w:t>Copyright Act 1968</w:t>
      </w:r>
      <w:r w:rsidRPr="00215D48">
        <w:rPr>
          <w:rFonts w:cs="Arial"/>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4" w:history="1">
        <w:r w:rsidRPr="00215D48">
          <w:rPr>
            <w:rStyle w:val="Hyperlink"/>
            <w:rFonts w:cs="Arial"/>
          </w:rPr>
          <w:t>tga.copyright@tga.gov.au</w:t>
        </w:r>
      </w:hyperlink>
      <w:r w:rsidRPr="00215D48">
        <w:rPr>
          <w:rFonts w:cs="Arial"/>
        </w:rPr>
        <w:t>&gt;.</w:t>
      </w:r>
    </w:p>
    <w:sdt>
      <w:sdtPr>
        <w:rPr>
          <w:rFonts w:ascii="Cambria" w:eastAsiaTheme="minorHAnsi" w:hAnsi="Cambria" w:cstheme="minorBidi"/>
          <w:b w:val="0"/>
          <w:color w:val="auto"/>
          <w:sz w:val="22"/>
          <w:szCs w:val="22"/>
        </w:rPr>
        <w:id w:val="21514769"/>
        <w:docPartObj>
          <w:docPartGallery w:val="Table of Contents"/>
          <w:docPartUnique/>
        </w:docPartObj>
      </w:sdtPr>
      <w:sdtEndPr>
        <w:rPr>
          <w:szCs w:val="20"/>
        </w:rPr>
      </w:sdtEndPr>
      <w:sdtContent>
        <w:p w14:paraId="0A6ADA2B" w14:textId="77777777" w:rsidR="00F02AEC" w:rsidRPr="00215D48" w:rsidRDefault="00F02AEC" w:rsidP="007452E8">
          <w:pPr>
            <w:pStyle w:val="NonTOCheading2"/>
          </w:pPr>
          <w:r w:rsidRPr="00215D48">
            <w:t>Contents</w:t>
          </w:r>
        </w:p>
        <w:p w14:paraId="5A22E994" w14:textId="5CED8EC9" w:rsidR="00BC5004" w:rsidRDefault="00F02AEC">
          <w:pPr>
            <w:pStyle w:val="TOC1"/>
            <w:rPr>
              <w:rFonts w:asciiTheme="minorHAnsi" w:eastAsiaTheme="minorEastAsia" w:hAnsiTheme="minorHAnsi" w:cstheme="minorBidi"/>
              <w:b w:val="0"/>
              <w:noProof/>
              <w:color w:val="auto"/>
              <w:kern w:val="2"/>
              <w:sz w:val="24"/>
              <w:szCs w:val="24"/>
              <w:lang w:eastAsia="en-AU"/>
              <w14:ligatures w14:val="standardContextual"/>
            </w:rPr>
          </w:pPr>
          <w:r w:rsidRPr="00215D48">
            <w:fldChar w:fldCharType="begin"/>
          </w:r>
          <w:r w:rsidRPr="00215D48">
            <w:instrText xml:space="preserve"> TOC \h \z \u \t "Heading 2,1,Heading 3,2,Heading 4,3" </w:instrText>
          </w:r>
          <w:r w:rsidRPr="00215D48">
            <w:fldChar w:fldCharType="separate"/>
          </w:r>
          <w:hyperlink w:anchor="_Toc174009259" w:history="1">
            <w:r w:rsidR="00BC5004" w:rsidRPr="005015F9">
              <w:rPr>
                <w:rStyle w:val="Hyperlink"/>
                <w:noProof/>
              </w:rPr>
              <w:t>List of abbreviations</w:t>
            </w:r>
            <w:r w:rsidR="00BC5004">
              <w:rPr>
                <w:noProof/>
                <w:webHidden/>
              </w:rPr>
              <w:tab/>
            </w:r>
            <w:r w:rsidR="00BC5004">
              <w:rPr>
                <w:noProof/>
                <w:webHidden/>
              </w:rPr>
              <w:fldChar w:fldCharType="begin"/>
            </w:r>
            <w:r w:rsidR="00BC5004">
              <w:rPr>
                <w:noProof/>
                <w:webHidden/>
              </w:rPr>
              <w:instrText xml:space="preserve"> PAGEREF _Toc174009259 \h </w:instrText>
            </w:r>
            <w:r w:rsidR="00BC5004">
              <w:rPr>
                <w:noProof/>
                <w:webHidden/>
              </w:rPr>
            </w:r>
            <w:r w:rsidR="00BC5004">
              <w:rPr>
                <w:noProof/>
                <w:webHidden/>
              </w:rPr>
              <w:fldChar w:fldCharType="separate"/>
            </w:r>
            <w:r w:rsidR="00BC5004">
              <w:rPr>
                <w:noProof/>
                <w:webHidden/>
              </w:rPr>
              <w:t>4</w:t>
            </w:r>
            <w:r w:rsidR="00BC5004">
              <w:rPr>
                <w:noProof/>
                <w:webHidden/>
              </w:rPr>
              <w:fldChar w:fldCharType="end"/>
            </w:r>
          </w:hyperlink>
        </w:p>
        <w:p w14:paraId="0867CA21" w14:textId="655348CD" w:rsidR="00BC5004" w:rsidRDefault="00BC5004">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74009260" w:history="1">
            <w:r w:rsidRPr="005015F9">
              <w:rPr>
                <w:rStyle w:val="Hyperlink"/>
                <w:noProof/>
              </w:rPr>
              <w:t>Product submission</w:t>
            </w:r>
            <w:r>
              <w:rPr>
                <w:noProof/>
                <w:webHidden/>
              </w:rPr>
              <w:tab/>
            </w:r>
            <w:r>
              <w:rPr>
                <w:noProof/>
                <w:webHidden/>
              </w:rPr>
              <w:fldChar w:fldCharType="begin"/>
            </w:r>
            <w:r>
              <w:rPr>
                <w:noProof/>
                <w:webHidden/>
              </w:rPr>
              <w:instrText xml:space="preserve"> PAGEREF _Toc174009260 \h </w:instrText>
            </w:r>
            <w:r>
              <w:rPr>
                <w:noProof/>
                <w:webHidden/>
              </w:rPr>
            </w:r>
            <w:r>
              <w:rPr>
                <w:noProof/>
                <w:webHidden/>
              </w:rPr>
              <w:fldChar w:fldCharType="separate"/>
            </w:r>
            <w:r>
              <w:rPr>
                <w:noProof/>
                <w:webHidden/>
              </w:rPr>
              <w:t>5</w:t>
            </w:r>
            <w:r>
              <w:rPr>
                <w:noProof/>
                <w:webHidden/>
              </w:rPr>
              <w:fldChar w:fldCharType="end"/>
            </w:r>
          </w:hyperlink>
        </w:p>
        <w:p w14:paraId="10C21507" w14:textId="15B5BA96" w:rsidR="00BC5004" w:rsidRDefault="00BC5004">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74009261" w:history="1">
            <w:r w:rsidRPr="005015F9">
              <w:rPr>
                <w:rStyle w:val="Hyperlink"/>
                <w:noProof/>
                <w:lang w:eastAsia="en-AU"/>
              </w:rPr>
              <w:t>Submission details</w:t>
            </w:r>
            <w:r>
              <w:rPr>
                <w:noProof/>
                <w:webHidden/>
              </w:rPr>
              <w:tab/>
            </w:r>
            <w:r>
              <w:rPr>
                <w:noProof/>
                <w:webHidden/>
              </w:rPr>
              <w:fldChar w:fldCharType="begin"/>
            </w:r>
            <w:r>
              <w:rPr>
                <w:noProof/>
                <w:webHidden/>
              </w:rPr>
              <w:instrText xml:space="preserve"> PAGEREF _Toc174009261 \h </w:instrText>
            </w:r>
            <w:r>
              <w:rPr>
                <w:noProof/>
                <w:webHidden/>
              </w:rPr>
            </w:r>
            <w:r>
              <w:rPr>
                <w:noProof/>
                <w:webHidden/>
              </w:rPr>
              <w:fldChar w:fldCharType="separate"/>
            </w:r>
            <w:r>
              <w:rPr>
                <w:noProof/>
                <w:webHidden/>
              </w:rPr>
              <w:t>5</w:t>
            </w:r>
            <w:r>
              <w:rPr>
                <w:noProof/>
                <w:webHidden/>
              </w:rPr>
              <w:fldChar w:fldCharType="end"/>
            </w:r>
          </w:hyperlink>
        </w:p>
        <w:p w14:paraId="00AD7A80" w14:textId="533FA202" w:rsidR="00BC5004" w:rsidRDefault="00BC5004">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74009262" w:history="1">
            <w:r w:rsidRPr="005015F9">
              <w:rPr>
                <w:rStyle w:val="Hyperlink"/>
                <w:noProof/>
              </w:rPr>
              <w:t>Product background</w:t>
            </w:r>
            <w:r>
              <w:rPr>
                <w:noProof/>
                <w:webHidden/>
              </w:rPr>
              <w:tab/>
            </w:r>
            <w:r>
              <w:rPr>
                <w:noProof/>
                <w:webHidden/>
              </w:rPr>
              <w:fldChar w:fldCharType="begin"/>
            </w:r>
            <w:r>
              <w:rPr>
                <w:noProof/>
                <w:webHidden/>
              </w:rPr>
              <w:instrText xml:space="preserve"> PAGEREF _Toc174009262 \h </w:instrText>
            </w:r>
            <w:r>
              <w:rPr>
                <w:noProof/>
                <w:webHidden/>
              </w:rPr>
            </w:r>
            <w:r>
              <w:rPr>
                <w:noProof/>
                <w:webHidden/>
              </w:rPr>
              <w:fldChar w:fldCharType="separate"/>
            </w:r>
            <w:r>
              <w:rPr>
                <w:noProof/>
                <w:webHidden/>
              </w:rPr>
              <w:t>7</w:t>
            </w:r>
            <w:r>
              <w:rPr>
                <w:noProof/>
                <w:webHidden/>
              </w:rPr>
              <w:fldChar w:fldCharType="end"/>
            </w:r>
          </w:hyperlink>
        </w:p>
        <w:p w14:paraId="1A412285" w14:textId="3828AFB8" w:rsidR="00BC5004" w:rsidRDefault="00BC5004">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74009263" w:history="1">
            <w:r w:rsidRPr="005015F9">
              <w:rPr>
                <w:rStyle w:val="Hyperlink"/>
                <w:noProof/>
              </w:rPr>
              <w:t>Current treatment options</w:t>
            </w:r>
            <w:r>
              <w:rPr>
                <w:noProof/>
                <w:webHidden/>
              </w:rPr>
              <w:tab/>
            </w:r>
            <w:r>
              <w:rPr>
                <w:noProof/>
                <w:webHidden/>
              </w:rPr>
              <w:fldChar w:fldCharType="begin"/>
            </w:r>
            <w:r>
              <w:rPr>
                <w:noProof/>
                <w:webHidden/>
              </w:rPr>
              <w:instrText xml:space="preserve"> PAGEREF _Toc174009263 \h </w:instrText>
            </w:r>
            <w:r>
              <w:rPr>
                <w:noProof/>
                <w:webHidden/>
              </w:rPr>
            </w:r>
            <w:r>
              <w:rPr>
                <w:noProof/>
                <w:webHidden/>
              </w:rPr>
              <w:fldChar w:fldCharType="separate"/>
            </w:r>
            <w:r>
              <w:rPr>
                <w:noProof/>
                <w:webHidden/>
              </w:rPr>
              <w:t>7</w:t>
            </w:r>
            <w:r>
              <w:rPr>
                <w:noProof/>
                <w:webHidden/>
              </w:rPr>
              <w:fldChar w:fldCharType="end"/>
            </w:r>
          </w:hyperlink>
        </w:p>
        <w:p w14:paraId="4FD60DA0" w14:textId="0B7B3F26" w:rsidR="00BC5004" w:rsidRDefault="00BC5004">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74009264" w:history="1">
            <w:r w:rsidRPr="005015F9">
              <w:rPr>
                <w:rStyle w:val="Hyperlink"/>
                <w:noProof/>
              </w:rPr>
              <w:t>Regulatory status</w:t>
            </w:r>
            <w:r>
              <w:rPr>
                <w:noProof/>
                <w:webHidden/>
              </w:rPr>
              <w:tab/>
            </w:r>
            <w:r>
              <w:rPr>
                <w:noProof/>
                <w:webHidden/>
              </w:rPr>
              <w:fldChar w:fldCharType="begin"/>
            </w:r>
            <w:r>
              <w:rPr>
                <w:noProof/>
                <w:webHidden/>
              </w:rPr>
              <w:instrText xml:space="preserve"> PAGEREF _Toc174009264 \h </w:instrText>
            </w:r>
            <w:r>
              <w:rPr>
                <w:noProof/>
                <w:webHidden/>
              </w:rPr>
            </w:r>
            <w:r>
              <w:rPr>
                <w:noProof/>
                <w:webHidden/>
              </w:rPr>
              <w:fldChar w:fldCharType="separate"/>
            </w:r>
            <w:r>
              <w:rPr>
                <w:noProof/>
                <w:webHidden/>
              </w:rPr>
              <w:t>8</w:t>
            </w:r>
            <w:r>
              <w:rPr>
                <w:noProof/>
                <w:webHidden/>
              </w:rPr>
              <w:fldChar w:fldCharType="end"/>
            </w:r>
          </w:hyperlink>
        </w:p>
        <w:p w14:paraId="61D59923" w14:textId="7E60A2BD" w:rsidR="00BC5004" w:rsidRDefault="00BC5004">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74009265" w:history="1">
            <w:r w:rsidRPr="005015F9">
              <w:rPr>
                <w:rStyle w:val="Hyperlink"/>
                <w:noProof/>
              </w:rPr>
              <w:t>Registration timeline</w:t>
            </w:r>
            <w:r>
              <w:rPr>
                <w:noProof/>
                <w:webHidden/>
              </w:rPr>
              <w:tab/>
            </w:r>
            <w:r>
              <w:rPr>
                <w:noProof/>
                <w:webHidden/>
              </w:rPr>
              <w:fldChar w:fldCharType="begin"/>
            </w:r>
            <w:r>
              <w:rPr>
                <w:noProof/>
                <w:webHidden/>
              </w:rPr>
              <w:instrText xml:space="preserve"> PAGEREF _Toc174009265 \h </w:instrText>
            </w:r>
            <w:r>
              <w:rPr>
                <w:noProof/>
                <w:webHidden/>
              </w:rPr>
            </w:r>
            <w:r>
              <w:rPr>
                <w:noProof/>
                <w:webHidden/>
              </w:rPr>
              <w:fldChar w:fldCharType="separate"/>
            </w:r>
            <w:r>
              <w:rPr>
                <w:noProof/>
                <w:webHidden/>
              </w:rPr>
              <w:t>8</w:t>
            </w:r>
            <w:r>
              <w:rPr>
                <w:noProof/>
                <w:webHidden/>
              </w:rPr>
              <w:fldChar w:fldCharType="end"/>
            </w:r>
          </w:hyperlink>
        </w:p>
        <w:p w14:paraId="5A60CC59" w14:textId="7F7004D8" w:rsidR="00BC5004" w:rsidRDefault="00BC5004">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74009266" w:history="1">
            <w:r w:rsidRPr="005015F9">
              <w:rPr>
                <w:rStyle w:val="Hyperlink"/>
                <w:noProof/>
              </w:rPr>
              <w:t>Submission overview and risk/benefit assessment</w:t>
            </w:r>
            <w:r>
              <w:rPr>
                <w:noProof/>
                <w:webHidden/>
              </w:rPr>
              <w:tab/>
            </w:r>
            <w:r>
              <w:rPr>
                <w:noProof/>
                <w:webHidden/>
              </w:rPr>
              <w:fldChar w:fldCharType="begin"/>
            </w:r>
            <w:r>
              <w:rPr>
                <w:noProof/>
                <w:webHidden/>
              </w:rPr>
              <w:instrText xml:space="preserve"> PAGEREF _Toc174009266 \h </w:instrText>
            </w:r>
            <w:r>
              <w:rPr>
                <w:noProof/>
                <w:webHidden/>
              </w:rPr>
            </w:r>
            <w:r>
              <w:rPr>
                <w:noProof/>
                <w:webHidden/>
              </w:rPr>
              <w:fldChar w:fldCharType="separate"/>
            </w:r>
            <w:r>
              <w:rPr>
                <w:noProof/>
                <w:webHidden/>
              </w:rPr>
              <w:t>9</w:t>
            </w:r>
            <w:r>
              <w:rPr>
                <w:noProof/>
                <w:webHidden/>
              </w:rPr>
              <w:fldChar w:fldCharType="end"/>
            </w:r>
          </w:hyperlink>
        </w:p>
        <w:p w14:paraId="4E8C5D1B" w14:textId="28E858BD" w:rsidR="00BC5004" w:rsidRDefault="00BC5004">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74009267" w:history="1">
            <w:r w:rsidRPr="005015F9">
              <w:rPr>
                <w:rStyle w:val="Hyperlink"/>
                <w:noProof/>
              </w:rPr>
              <w:t>Quality</w:t>
            </w:r>
            <w:r>
              <w:rPr>
                <w:noProof/>
                <w:webHidden/>
              </w:rPr>
              <w:tab/>
            </w:r>
            <w:r>
              <w:rPr>
                <w:noProof/>
                <w:webHidden/>
              </w:rPr>
              <w:fldChar w:fldCharType="begin"/>
            </w:r>
            <w:r>
              <w:rPr>
                <w:noProof/>
                <w:webHidden/>
              </w:rPr>
              <w:instrText xml:space="preserve"> PAGEREF _Toc174009267 \h </w:instrText>
            </w:r>
            <w:r>
              <w:rPr>
                <w:noProof/>
                <w:webHidden/>
              </w:rPr>
            </w:r>
            <w:r>
              <w:rPr>
                <w:noProof/>
                <w:webHidden/>
              </w:rPr>
              <w:fldChar w:fldCharType="separate"/>
            </w:r>
            <w:r>
              <w:rPr>
                <w:noProof/>
                <w:webHidden/>
              </w:rPr>
              <w:t>9</w:t>
            </w:r>
            <w:r>
              <w:rPr>
                <w:noProof/>
                <w:webHidden/>
              </w:rPr>
              <w:fldChar w:fldCharType="end"/>
            </w:r>
          </w:hyperlink>
        </w:p>
        <w:p w14:paraId="79DCA86D" w14:textId="6779BEF1" w:rsidR="00BC5004" w:rsidRDefault="00BC5004">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174009268" w:history="1">
            <w:r w:rsidRPr="005015F9">
              <w:rPr>
                <w:rStyle w:val="Hyperlink"/>
                <w:noProof/>
              </w:rPr>
              <w:t>Abiraterone acetate</w:t>
            </w:r>
            <w:r>
              <w:rPr>
                <w:noProof/>
                <w:webHidden/>
              </w:rPr>
              <w:tab/>
            </w:r>
            <w:r>
              <w:rPr>
                <w:noProof/>
                <w:webHidden/>
              </w:rPr>
              <w:fldChar w:fldCharType="begin"/>
            </w:r>
            <w:r>
              <w:rPr>
                <w:noProof/>
                <w:webHidden/>
              </w:rPr>
              <w:instrText xml:space="preserve"> PAGEREF _Toc174009268 \h </w:instrText>
            </w:r>
            <w:r>
              <w:rPr>
                <w:noProof/>
                <w:webHidden/>
              </w:rPr>
            </w:r>
            <w:r>
              <w:rPr>
                <w:noProof/>
                <w:webHidden/>
              </w:rPr>
              <w:fldChar w:fldCharType="separate"/>
            </w:r>
            <w:r>
              <w:rPr>
                <w:noProof/>
                <w:webHidden/>
              </w:rPr>
              <w:t>9</w:t>
            </w:r>
            <w:r>
              <w:rPr>
                <w:noProof/>
                <w:webHidden/>
              </w:rPr>
              <w:fldChar w:fldCharType="end"/>
            </w:r>
          </w:hyperlink>
        </w:p>
        <w:p w14:paraId="213652B6" w14:textId="2E633E33" w:rsidR="00BC5004" w:rsidRDefault="00BC5004">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174009269" w:history="1">
            <w:r w:rsidRPr="005015F9">
              <w:rPr>
                <w:rStyle w:val="Hyperlink"/>
                <w:noProof/>
              </w:rPr>
              <w:t>Methylprednisolone</w:t>
            </w:r>
            <w:r>
              <w:rPr>
                <w:noProof/>
                <w:webHidden/>
              </w:rPr>
              <w:tab/>
            </w:r>
            <w:r>
              <w:rPr>
                <w:noProof/>
                <w:webHidden/>
              </w:rPr>
              <w:fldChar w:fldCharType="begin"/>
            </w:r>
            <w:r>
              <w:rPr>
                <w:noProof/>
                <w:webHidden/>
              </w:rPr>
              <w:instrText xml:space="preserve"> PAGEREF _Toc174009269 \h </w:instrText>
            </w:r>
            <w:r>
              <w:rPr>
                <w:noProof/>
                <w:webHidden/>
              </w:rPr>
            </w:r>
            <w:r>
              <w:rPr>
                <w:noProof/>
                <w:webHidden/>
              </w:rPr>
              <w:fldChar w:fldCharType="separate"/>
            </w:r>
            <w:r>
              <w:rPr>
                <w:noProof/>
                <w:webHidden/>
              </w:rPr>
              <w:t>9</w:t>
            </w:r>
            <w:r>
              <w:rPr>
                <w:noProof/>
                <w:webHidden/>
              </w:rPr>
              <w:fldChar w:fldCharType="end"/>
            </w:r>
          </w:hyperlink>
        </w:p>
        <w:p w14:paraId="3C0FE65C" w14:textId="60D27C9D" w:rsidR="00BC5004" w:rsidRDefault="00BC5004">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74009270" w:history="1">
            <w:r w:rsidRPr="005015F9">
              <w:rPr>
                <w:rStyle w:val="Hyperlink"/>
                <w:noProof/>
              </w:rPr>
              <w:t>Nonclinical</w:t>
            </w:r>
            <w:r>
              <w:rPr>
                <w:noProof/>
                <w:webHidden/>
              </w:rPr>
              <w:tab/>
            </w:r>
            <w:r>
              <w:rPr>
                <w:noProof/>
                <w:webHidden/>
              </w:rPr>
              <w:fldChar w:fldCharType="begin"/>
            </w:r>
            <w:r>
              <w:rPr>
                <w:noProof/>
                <w:webHidden/>
              </w:rPr>
              <w:instrText xml:space="preserve"> PAGEREF _Toc174009270 \h </w:instrText>
            </w:r>
            <w:r>
              <w:rPr>
                <w:noProof/>
                <w:webHidden/>
              </w:rPr>
            </w:r>
            <w:r>
              <w:rPr>
                <w:noProof/>
                <w:webHidden/>
              </w:rPr>
              <w:fldChar w:fldCharType="separate"/>
            </w:r>
            <w:r>
              <w:rPr>
                <w:noProof/>
                <w:webHidden/>
              </w:rPr>
              <w:t>10</w:t>
            </w:r>
            <w:r>
              <w:rPr>
                <w:noProof/>
                <w:webHidden/>
              </w:rPr>
              <w:fldChar w:fldCharType="end"/>
            </w:r>
          </w:hyperlink>
        </w:p>
        <w:p w14:paraId="490533E2" w14:textId="5DFC0949" w:rsidR="00BC5004" w:rsidRDefault="00BC5004">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74009271" w:history="1">
            <w:r w:rsidRPr="005015F9">
              <w:rPr>
                <w:rStyle w:val="Hyperlink"/>
                <w:noProof/>
              </w:rPr>
              <w:t>Clinical</w:t>
            </w:r>
            <w:r>
              <w:rPr>
                <w:noProof/>
                <w:webHidden/>
              </w:rPr>
              <w:tab/>
            </w:r>
            <w:r>
              <w:rPr>
                <w:noProof/>
                <w:webHidden/>
              </w:rPr>
              <w:fldChar w:fldCharType="begin"/>
            </w:r>
            <w:r>
              <w:rPr>
                <w:noProof/>
                <w:webHidden/>
              </w:rPr>
              <w:instrText xml:space="preserve"> PAGEREF _Toc174009271 \h </w:instrText>
            </w:r>
            <w:r>
              <w:rPr>
                <w:noProof/>
                <w:webHidden/>
              </w:rPr>
            </w:r>
            <w:r>
              <w:rPr>
                <w:noProof/>
                <w:webHidden/>
              </w:rPr>
              <w:fldChar w:fldCharType="separate"/>
            </w:r>
            <w:r>
              <w:rPr>
                <w:noProof/>
                <w:webHidden/>
              </w:rPr>
              <w:t>10</w:t>
            </w:r>
            <w:r>
              <w:rPr>
                <w:noProof/>
                <w:webHidden/>
              </w:rPr>
              <w:fldChar w:fldCharType="end"/>
            </w:r>
          </w:hyperlink>
        </w:p>
        <w:p w14:paraId="67A4447C" w14:textId="29D6C5BA" w:rsidR="00BC5004" w:rsidRDefault="00BC5004">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174009272" w:history="1">
            <w:r w:rsidRPr="005015F9">
              <w:rPr>
                <w:rStyle w:val="Hyperlink"/>
                <w:noProof/>
              </w:rPr>
              <w:t>Summary of clinical studies</w:t>
            </w:r>
            <w:r>
              <w:rPr>
                <w:noProof/>
                <w:webHidden/>
              </w:rPr>
              <w:tab/>
            </w:r>
            <w:r>
              <w:rPr>
                <w:noProof/>
                <w:webHidden/>
              </w:rPr>
              <w:fldChar w:fldCharType="begin"/>
            </w:r>
            <w:r>
              <w:rPr>
                <w:noProof/>
                <w:webHidden/>
              </w:rPr>
              <w:instrText xml:space="preserve"> PAGEREF _Toc174009272 \h </w:instrText>
            </w:r>
            <w:r>
              <w:rPr>
                <w:noProof/>
                <w:webHidden/>
              </w:rPr>
            </w:r>
            <w:r>
              <w:rPr>
                <w:noProof/>
                <w:webHidden/>
              </w:rPr>
              <w:fldChar w:fldCharType="separate"/>
            </w:r>
            <w:r>
              <w:rPr>
                <w:noProof/>
                <w:webHidden/>
              </w:rPr>
              <w:t>10</w:t>
            </w:r>
            <w:r>
              <w:rPr>
                <w:noProof/>
                <w:webHidden/>
              </w:rPr>
              <w:fldChar w:fldCharType="end"/>
            </w:r>
          </w:hyperlink>
        </w:p>
        <w:p w14:paraId="23E42BA8" w14:textId="04870551" w:rsidR="00BC5004" w:rsidRDefault="00BC5004">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174009273" w:history="1">
            <w:r w:rsidRPr="005015F9">
              <w:rPr>
                <w:rStyle w:val="Hyperlink"/>
                <w:noProof/>
              </w:rPr>
              <w:t>Pharmacology</w:t>
            </w:r>
            <w:r>
              <w:rPr>
                <w:noProof/>
                <w:webHidden/>
              </w:rPr>
              <w:tab/>
            </w:r>
            <w:r>
              <w:rPr>
                <w:noProof/>
                <w:webHidden/>
              </w:rPr>
              <w:fldChar w:fldCharType="begin"/>
            </w:r>
            <w:r>
              <w:rPr>
                <w:noProof/>
                <w:webHidden/>
              </w:rPr>
              <w:instrText xml:space="preserve"> PAGEREF _Toc174009273 \h </w:instrText>
            </w:r>
            <w:r>
              <w:rPr>
                <w:noProof/>
                <w:webHidden/>
              </w:rPr>
            </w:r>
            <w:r>
              <w:rPr>
                <w:noProof/>
                <w:webHidden/>
              </w:rPr>
              <w:fldChar w:fldCharType="separate"/>
            </w:r>
            <w:r>
              <w:rPr>
                <w:noProof/>
                <w:webHidden/>
              </w:rPr>
              <w:t>10</w:t>
            </w:r>
            <w:r>
              <w:rPr>
                <w:noProof/>
                <w:webHidden/>
              </w:rPr>
              <w:fldChar w:fldCharType="end"/>
            </w:r>
          </w:hyperlink>
        </w:p>
        <w:p w14:paraId="036B8102" w14:textId="6E0F3A32" w:rsidR="00BC5004" w:rsidRDefault="00BC5004">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174009274" w:history="1">
            <w:r w:rsidRPr="005015F9">
              <w:rPr>
                <w:rStyle w:val="Hyperlink"/>
                <w:noProof/>
              </w:rPr>
              <w:t>Efficacy</w:t>
            </w:r>
            <w:r>
              <w:rPr>
                <w:noProof/>
                <w:webHidden/>
              </w:rPr>
              <w:tab/>
            </w:r>
            <w:r>
              <w:rPr>
                <w:noProof/>
                <w:webHidden/>
              </w:rPr>
              <w:fldChar w:fldCharType="begin"/>
            </w:r>
            <w:r>
              <w:rPr>
                <w:noProof/>
                <w:webHidden/>
              </w:rPr>
              <w:instrText xml:space="preserve"> PAGEREF _Toc174009274 \h </w:instrText>
            </w:r>
            <w:r>
              <w:rPr>
                <w:noProof/>
                <w:webHidden/>
              </w:rPr>
            </w:r>
            <w:r>
              <w:rPr>
                <w:noProof/>
                <w:webHidden/>
              </w:rPr>
              <w:fldChar w:fldCharType="separate"/>
            </w:r>
            <w:r>
              <w:rPr>
                <w:noProof/>
                <w:webHidden/>
              </w:rPr>
              <w:t>11</w:t>
            </w:r>
            <w:r>
              <w:rPr>
                <w:noProof/>
                <w:webHidden/>
              </w:rPr>
              <w:fldChar w:fldCharType="end"/>
            </w:r>
          </w:hyperlink>
        </w:p>
        <w:p w14:paraId="4E40ED50" w14:textId="1E389545" w:rsidR="00BC5004" w:rsidRDefault="00BC5004">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174009275" w:history="1">
            <w:r w:rsidRPr="005015F9">
              <w:rPr>
                <w:rStyle w:val="Hyperlink"/>
                <w:noProof/>
              </w:rPr>
              <w:t>Safety</w:t>
            </w:r>
            <w:r>
              <w:rPr>
                <w:noProof/>
                <w:webHidden/>
              </w:rPr>
              <w:tab/>
            </w:r>
            <w:r>
              <w:rPr>
                <w:noProof/>
                <w:webHidden/>
              </w:rPr>
              <w:fldChar w:fldCharType="begin"/>
            </w:r>
            <w:r>
              <w:rPr>
                <w:noProof/>
                <w:webHidden/>
              </w:rPr>
              <w:instrText xml:space="preserve"> PAGEREF _Toc174009275 \h </w:instrText>
            </w:r>
            <w:r>
              <w:rPr>
                <w:noProof/>
                <w:webHidden/>
              </w:rPr>
            </w:r>
            <w:r>
              <w:rPr>
                <w:noProof/>
                <w:webHidden/>
              </w:rPr>
              <w:fldChar w:fldCharType="separate"/>
            </w:r>
            <w:r>
              <w:rPr>
                <w:noProof/>
                <w:webHidden/>
              </w:rPr>
              <w:t>12</w:t>
            </w:r>
            <w:r>
              <w:rPr>
                <w:noProof/>
                <w:webHidden/>
              </w:rPr>
              <w:fldChar w:fldCharType="end"/>
            </w:r>
          </w:hyperlink>
        </w:p>
        <w:p w14:paraId="2BDCE9C2" w14:textId="013F52BF" w:rsidR="00BC5004" w:rsidRDefault="00BC5004">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74009276" w:history="1">
            <w:r w:rsidRPr="005015F9">
              <w:rPr>
                <w:rStyle w:val="Hyperlink"/>
                <w:noProof/>
                <w:lang w:eastAsia="en-AU"/>
              </w:rPr>
              <w:t>Risk management plan</w:t>
            </w:r>
            <w:r>
              <w:rPr>
                <w:noProof/>
                <w:webHidden/>
              </w:rPr>
              <w:tab/>
            </w:r>
            <w:r>
              <w:rPr>
                <w:noProof/>
                <w:webHidden/>
              </w:rPr>
              <w:fldChar w:fldCharType="begin"/>
            </w:r>
            <w:r>
              <w:rPr>
                <w:noProof/>
                <w:webHidden/>
              </w:rPr>
              <w:instrText xml:space="preserve"> PAGEREF _Toc174009276 \h </w:instrText>
            </w:r>
            <w:r>
              <w:rPr>
                <w:noProof/>
                <w:webHidden/>
              </w:rPr>
            </w:r>
            <w:r>
              <w:rPr>
                <w:noProof/>
                <w:webHidden/>
              </w:rPr>
              <w:fldChar w:fldCharType="separate"/>
            </w:r>
            <w:r>
              <w:rPr>
                <w:noProof/>
                <w:webHidden/>
              </w:rPr>
              <w:t>15</w:t>
            </w:r>
            <w:r>
              <w:rPr>
                <w:noProof/>
                <w:webHidden/>
              </w:rPr>
              <w:fldChar w:fldCharType="end"/>
            </w:r>
          </w:hyperlink>
        </w:p>
        <w:p w14:paraId="55008D32" w14:textId="03A6266C" w:rsidR="00BC5004" w:rsidRDefault="00BC5004">
          <w:pPr>
            <w:pStyle w:val="TOC2"/>
            <w:rPr>
              <w:rFonts w:asciiTheme="minorHAnsi" w:eastAsiaTheme="minorEastAsia" w:hAnsiTheme="minorHAnsi" w:cstheme="minorBidi"/>
              <w:b w:val="0"/>
              <w:noProof/>
              <w:color w:val="auto"/>
              <w:kern w:val="2"/>
              <w:sz w:val="24"/>
              <w:szCs w:val="24"/>
              <w:lang w:eastAsia="en-AU"/>
              <w14:ligatures w14:val="standardContextual"/>
            </w:rPr>
          </w:pPr>
          <w:hyperlink w:anchor="_Toc174009277" w:history="1">
            <w:r w:rsidRPr="005015F9">
              <w:rPr>
                <w:rStyle w:val="Hyperlink"/>
                <w:noProof/>
              </w:rPr>
              <w:t>Risk-benefit analysis</w:t>
            </w:r>
            <w:r>
              <w:rPr>
                <w:noProof/>
                <w:webHidden/>
              </w:rPr>
              <w:tab/>
            </w:r>
            <w:r>
              <w:rPr>
                <w:noProof/>
                <w:webHidden/>
              </w:rPr>
              <w:fldChar w:fldCharType="begin"/>
            </w:r>
            <w:r>
              <w:rPr>
                <w:noProof/>
                <w:webHidden/>
              </w:rPr>
              <w:instrText xml:space="preserve"> PAGEREF _Toc174009277 \h </w:instrText>
            </w:r>
            <w:r>
              <w:rPr>
                <w:noProof/>
                <w:webHidden/>
              </w:rPr>
            </w:r>
            <w:r>
              <w:rPr>
                <w:noProof/>
                <w:webHidden/>
              </w:rPr>
              <w:fldChar w:fldCharType="separate"/>
            </w:r>
            <w:r>
              <w:rPr>
                <w:noProof/>
                <w:webHidden/>
              </w:rPr>
              <w:t>15</w:t>
            </w:r>
            <w:r>
              <w:rPr>
                <w:noProof/>
                <w:webHidden/>
              </w:rPr>
              <w:fldChar w:fldCharType="end"/>
            </w:r>
          </w:hyperlink>
        </w:p>
        <w:p w14:paraId="11358937" w14:textId="63F6495C" w:rsidR="00BC5004" w:rsidRDefault="00BC5004">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174009278" w:history="1">
            <w:r w:rsidRPr="005015F9">
              <w:rPr>
                <w:rStyle w:val="Hyperlink"/>
                <w:noProof/>
              </w:rPr>
              <w:t>Delegate’s considerations</w:t>
            </w:r>
            <w:r>
              <w:rPr>
                <w:noProof/>
                <w:webHidden/>
              </w:rPr>
              <w:tab/>
            </w:r>
            <w:r>
              <w:rPr>
                <w:noProof/>
                <w:webHidden/>
              </w:rPr>
              <w:fldChar w:fldCharType="begin"/>
            </w:r>
            <w:r>
              <w:rPr>
                <w:noProof/>
                <w:webHidden/>
              </w:rPr>
              <w:instrText xml:space="preserve"> PAGEREF _Toc174009278 \h </w:instrText>
            </w:r>
            <w:r>
              <w:rPr>
                <w:noProof/>
                <w:webHidden/>
              </w:rPr>
            </w:r>
            <w:r>
              <w:rPr>
                <w:noProof/>
                <w:webHidden/>
              </w:rPr>
              <w:fldChar w:fldCharType="separate"/>
            </w:r>
            <w:r>
              <w:rPr>
                <w:noProof/>
                <w:webHidden/>
              </w:rPr>
              <w:t>15</w:t>
            </w:r>
            <w:r>
              <w:rPr>
                <w:noProof/>
                <w:webHidden/>
              </w:rPr>
              <w:fldChar w:fldCharType="end"/>
            </w:r>
          </w:hyperlink>
        </w:p>
        <w:p w14:paraId="4DDDB27C" w14:textId="6622B8FA" w:rsidR="00BC5004" w:rsidRDefault="00BC5004">
          <w:pPr>
            <w:pStyle w:val="TOC3"/>
            <w:rPr>
              <w:rFonts w:asciiTheme="minorHAnsi" w:eastAsiaTheme="minorEastAsia" w:hAnsiTheme="minorHAnsi" w:cstheme="minorBidi"/>
              <w:b w:val="0"/>
              <w:noProof/>
              <w:color w:val="auto"/>
              <w:kern w:val="2"/>
              <w:sz w:val="24"/>
              <w:szCs w:val="24"/>
              <w:lang w:eastAsia="en-AU"/>
              <w14:ligatures w14:val="standardContextual"/>
            </w:rPr>
          </w:pPr>
          <w:hyperlink w:anchor="_Toc174009279" w:history="1">
            <w:r w:rsidRPr="005015F9">
              <w:rPr>
                <w:rStyle w:val="Hyperlink"/>
                <w:noProof/>
              </w:rPr>
              <w:t>Proposed action</w:t>
            </w:r>
            <w:r>
              <w:rPr>
                <w:noProof/>
                <w:webHidden/>
              </w:rPr>
              <w:tab/>
            </w:r>
            <w:r>
              <w:rPr>
                <w:noProof/>
                <w:webHidden/>
              </w:rPr>
              <w:fldChar w:fldCharType="begin"/>
            </w:r>
            <w:r>
              <w:rPr>
                <w:noProof/>
                <w:webHidden/>
              </w:rPr>
              <w:instrText xml:space="preserve"> PAGEREF _Toc174009279 \h </w:instrText>
            </w:r>
            <w:r>
              <w:rPr>
                <w:noProof/>
                <w:webHidden/>
              </w:rPr>
            </w:r>
            <w:r>
              <w:rPr>
                <w:noProof/>
                <w:webHidden/>
              </w:rPr>
              <w:fldChar w:fldCharType="separate"/>
            </w:r>
            <w:r>
              <w:rPr>
                <w:noProof/>
                <w:webHidden/>
              </w:rPr>
              <w:t>16</w:t>
            </w:r>
            <w:r>
              <w:rPr>
                <w:noProof/>
                <w:webHidden/>
              </w:rPr>
              <w:fldChar w:fldCharType="end"/>
            </w:r>
          </w:hyperlink>
        </w:p>
        <w:p w14:paraId="4D151F08" w14:textId="3A7D1377" w:rsidR="00BC5004" w:rsidRDefault="00BC5004">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74009280" w:history="1">
            <w:r w:rsidRPr="005015F9">
              <w:rPr>
                <w:rStyle w:val="Hyperlink"/>
                <w:noProof/>
              </w:rPr>
              <w:t>Outcome</w:t>
            </w:r>
            <w:r>
              <w:rPr>
                <w:noProof/>
                <w:webHidden/>
              </w:rPr>
              <w:tab/>
            </w:r>
            <w:r>
              <w:rPr>
                <w:noProof/>
                <w:webHidden/>
              </w:rPr>
              <w:fldChar w:fldCharType="begin"/>
            </w:r>
            <w:r>
              <w:rPr>
                <w:noProof/>
                <w:webHidden/>
              </w:rPr>
              <w:instrText xml:space="preserve"> PAGEREF _Toc174009280 \h </w:instrText>
            </w:r>
            <w:r>
              <w:rPr>
                <w:noProof/>
                <w:webHidden/>
              </w:rPr>
            </w:r>
            <w:r>
              <w:rPr>
                <w:noProof/>
                <w:webHidden/>
              </w:rPr>
              <w:fldChar w:fldCharType="separate"/>
            </w:r>
            <w:r>
              <w:rPr>
                <w:noProof/>
                <w:webHidden/>
              </w:rPr>
              <w:t>16</w:t>
            </w:r>
            <w:r>
              <w:rPr>
                <w:noProof/>
                <w:webHidden/>
              </w:rPr>
              <w:fldChar w:fldCharType="end"/>
            </w:r>
          </w:hyperlink>
        </w:p>
        <w:p w14:paraId="3E544388" w14:textId="16072668" w:rsidR="00BC5004" w:rsidRDefault="00BC5004">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74009281" w:history="1">
            <w:r w:rsidRPr="005015F9">
              <w:rPr>
                <w:rStyle w:val="Hyperlink"/>
                <w:noProof/>
              </w:rPr>
              <w:t>Attachment 1. Product Information</w:t>
            </w:r>
            <w:r>
              <w:rPr>
                <w:noProof/>
                <w:webHidden/>
              </w:rPr>
              <w:tab/>
            </w:r>
            <w:r>
              <w:rPr>
                <w:noProof/>
                <w:webHidden/>
              </w:rPr>
              <w:fldChar w:fldCharType="begin"/>
            </w:r>
            <w:r>
              <w:rPr>
                <w:noProof/>
                <w:webHidden/>
              </w:rPr>
              <w:instrText xml:space="preserve"> PAGEREF _Toc174009281 \h </w:instrText>
            </w:r>
            <w:r>
              <w:rPr>
                <w:noProof/>
                <w:webHidden/>
              </w:rPr>
            </w:r>
            <w:r>
              <w:rPr>
                <w:noProof/>
                <w:webHidden/>
              </w:rPr>
              <w:fldChar w:fldCharType="separate"/>
            </w:r>
            <w:r>
              <w:rPr>
                <w:noProof/>
                <w:webHidden/>
              </w:rPr>
              <w:t>17</w:t>
            </w:r>
            <w:r>
              <w:rPr>
                <w:noProof/>
                <w:webHidden/>
              </w:rPr>
              <w:fldChar w:fldCharType="end"/>
            </w:r>
          </w:hyperlink>
        </w:p>
        <w:p w14:paraId="77659F2D" w14:textId="41AF9924" w:rsidR="00F02AEC" w:rsidRPr="00215D48" w:rsidRDefault="00F02AEC" w:rsidP="007452E8">
          <w:r w:rsidRPr="00215D48">
            <w:fldChar w:fldCharType="end"/>
          </w:r>
        </w:p>
      </w:sdtContent>
    </w:sdt>
    <w:p w14:paraId="10987AE2" w14:textId="77777777" w:rsidR="00F02AEC" w:rsidRPr="00215D48" w:rsidRDefault="00F02AEC" w:rsidP="007452E8">
      <w:r w:rsidRPr="00215D48">
        <w:br w:type="page"/>
      </w:r>
    </w:p>
    <w:p w14:paraId="1E73AB93" w14:textId="77777777" w:rsidR="00324B33" w:rsidRDefault="00324B33" w:rsidP="00324B33">
      <w:pPr>
        <w:pStyle w:val="Heading2"/>
      </w:pPr>
      <w:bookmarkStart w:id="3" w:name="_Toc98931917"/>
      <w:bookmarkStart w:id="4" w:name="_Toc103679287"/>
      <w:bookmarkStart w:id="5" w:name="_Toc323739589"/>
      <w:bookmarkStart w:id="6" w:name="_Toc356305216"/>
      <w:bookmarkStart w:id="7" w:name="_Toc174009259"/>
      <w:r>
        <w:lastRenderedPageBreak/>
        <w:t>List of abbreviations</w:t>
      </w:r>
      <w:bookmarkEnd w:id="3"/>
      <w:bookmarkEnd w:id="4"/>
      <w:bookmarkEnd w:id="7"/>
    </w:p>
    <w:tbl>
      <w:tblPr>
        <w:tblStyle w:val="TableTGAblue2023"/>
        <w:tblW w:w="5000" w:type="pct"/>
        <w:tblLook w:val="04A0" w:firstRow="1" w:lastRow="0" w:firstColumn="1" w:lastColumn="0" w:noHBand="0" w:noVBand="1"/>
      </w:tblPr>
      <w:tblGrid>
        <w:gridCol w:w="2174"/>
        <w:gridCol w:w="6886"/>
      </w:tblGrid>
      <w:tr w:rsidR="00324B33" w:rsidRPr="00D01DDB" w14:paraId="2117AEF6" w14:textId="77777777" w:rsidTr="00BD5DBD">
        <w:trPr>
          <w:cnfStyle w:val="100000000000" w:firstRow="1" w:lastRow="0" w:firstColumn="0" w:lastColumn="0" w:oddVBand="0" w:evenVBand="0" w:oddHBand="0"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200" w:type="pct"/>
          </w:tcPr>
          <w:p w14:paraId="1207B6A7" w14:textId="67F7D360" w:rsidR="00324B33" w:rsidRPr="00D01DDB" w:rsidRDefault="00324B33" w:rsidP="00324B33">
            <w:pPr>
              <w:rPr>
                <w:szCs w:val="22"/>
              </w:rPr>
            </w:pPr>
            <w:r w:rsidRPr="00D01DDB">
              <w:rPr>
                <w:szCs w:val="22"/>
              </w:rPr>
              <w:t>Abbreviation</w:t>
            </w:r>
          </w:p>
        </w:tc>
        <w:tc>
          <w:tcPr>
            <w:tcW w:w="3800" w:type="pct"/>
          </w:tcPr>
          <w:p w14:paraId="4CF6D0CD" w14:textId="2974FA0B" w:rsidR="00324B33" w:rsidRPr="00D01DDB" w:rsidRDefault="00324B33" w:rsidP="00324B33">
            <w:pPr>
              <w:cnfStyle w:val="100000000000" w:firstRow="1" w:lastRow="0" w:firstColumn="0" w:lastColumn="0" w:oddVBand="0" w:evenVBand="0" w:oddHBand="0" w:evenHBand="0" w:firstRowFirstColumn="0" w:firstRowLastColumn="0" w:lastRowFirstColumn="0" w:lastRowLastColumn="0"/>
              <w:rPr>
                <w:szCs w:val="22"/>
              </w:rPr>
            </w:pPr>
            <w:r w:rsidRPr="00D01DDB">
              <w:rPr>
                <w:szCs w:val="22"/>
              </w:rPr>
              <w:t>Meaning</w:t>
            </w:r>
          </w:p>
        </w:tc>
      </w:tr>
      <w:tr w:rsidR="00324B33" w:rsidRPr="00D01DDB" w14:paraId="16C5C8C5"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46DE09A4" w14:textId="07A94E9E" w:rsidR="00324B33" w:rsidRPr="00D01DDB" w:rsidRDefault="00324B33" w:rsidP="00324B33">
            <w:pPr>
              <w:rPr>
                <w:szCs w:val="22"/>
              </w:rPr>
            </w:pPr>
            <w:r w:rsidRPr="00D01DDB">
              <w:rPr>
                <w:szCs w:val="22"/>
              </w:rPr>
              <w:t>ACM</w:t>
            </w:r>
          </w:p>
        </w:tc>
        <w:tc>
          <w:tcPr>
            <w:tcW w:w="3800" w:type="pct"/>
          </w:tcPr>
          <w:p w14:paraId="4F24A873" w14:textId="0539B5FB" w:rsidR="00324B33" w:rsidRPr="00D01DDB" w:rsidRDefault="00324B33" w:rsidP="00324B33">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Advisory Committee on Medicines</w:t>
            </w:r>
          </w:p>
        </w:tc>
      </w:tr>
      <w:tr w:rsidR="00DD5496" w:rsidRPr="00D01DDB" w14:paraId="389E0DE9"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5D7FC907" w14:textId="444D3AC0" w:rsidR="00DD5496" w:rsidRPr="00D01DDB" w:rsidRDefault="00DD5496" w:rsidP="00324B33">
            <w:pPr>
              <w:rPr>
                <w:szCs w:val="22"/>
              </w:rPr>
            </w:pPr>
            <w:r>
              <w:rPr>
                <w:szCs w:val="22"/>
              </w:rPr>
              <w:t>ADT</w:t>
            </w:r>
          </w:p>
        </w:tc>
        <w:tc>
          <w:tcPr>
            <w:tcW w:w="3800" w:type="pct"/>
          </w:tcPr>
          <w:p w14:paraId="0A4FF607" w14:textId="0B14A171" w:rsidR="00DD5496" w:rsidRPr="00D01DDB" w:rsidRDefault="00DD5496"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Androgen Depletion Therapy</w:t>
            </w:r>
          </w:p>
        </w:tc>
      </w:tr>
      <w:tr w:rsidR="00324B33" w:rsidRPr="00D01DDB" w14:paraId="69654661"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143A7AEA" w14:textId="6D49EBE6" w:rsidR="00324B33" w:rsidRPr="00D01DDB" w:rsidRDefault="00324B33" w:rsidP="00324B33">
            <w:pPr>
              <w:rPr>
                <w:szCs w:val="22"/>
              </w:rPr>
            </w:pPr>
            <w:r w:rsidRPr="00D01DDB">
              <w:rPr>
                <w:szCs w:val="22"/>
              </w:rPr>
              <w:t>ARTG</w:t>
            </w:r>
          </w:p>
        </w:tc>
        <w:tc>
          <w:tcPr>
            <w:tcW w:w="3800" w:type="pct"/>
          </w:tcPr>
          <w:p w14:paraId="228A203A" w14:textId="47EBCFA3" w:rsidR="00324B33" w:rsidRPr="00D01DDB" w:rsidRDefault="00324B33" w:rsidP="00324B33">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Australian Register of Therapeutic Goods</w:t>
            </w:r>
          </w:p>
        </w:tc>
      </w:tr>
      <w:tr w:rsidR="00EA4BE3" w:rsidRPr="00D01DDB" w14:paraId="370741BD"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1A2F2382" w14:textId="1C9787CD" w:rsidR="00EA4BE3" w:rsidRPr="00D01DDB" w:rsidRDefault="00EA4BE3" w:rsidP="00324B33">
            <w:pPr>
              <w:rPr>
                <w:szCs w:val="22"/>
              </w:rPr>
            </w:pPr>
            <w:r>
              <w:rPr>
                <w:szCs w:val="22"/>
              </w:rPr>
              <w:t>AUC</w:t>
            </w:r>
          </w:p>
        </w:tc>
        <w:tc>
          <w:tcPr>
            <w:tcW w:w="3800" w:type="pct"/>
          </w:tcPr>
          <w:p w14:paraId="1D71EFBF" w14:textId="6CA1F2C9" w:rsidR="00EA4BE3" w:rsidRPr="00D01DDB" w:rsidRDefault="00EA4BE3"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Area under the plasma concentration time graph</w:t>
            </w:r>
          </w:p>
        </w:tc>
      </w:tr>
      <w:tr w:rsidR="00EA4BE3" w:rsidRPr="00D01DDB" w14:paraId="1F685B9F"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11DBA744" w14:textId="658F7DED" w:rsidR="00EA4BE3" w:rsidRPr="00D01DDB" w:rsidRDefault="00EA4BE3" w:rsidP="00324B33">
            <w:pPr>
              <w:rPr>
                <w:szCs w:val="22"/>
              </w:rPr>
            </w:pPr>
            <w:r>
              <w:rPr>
                <w:szCs w:val="22"/>
              </w:rPr>
              <w:t>C</w:t>
            </w:r>
            <w:r w:rsidRPr="00EA4BE3">
              <w:rPr>
                <w:szCs w:val="22"/>
                <w:vertAlign w:val="subscript"/>
              </w:rPr>
              <w:t>max</w:t>
            </w:r>
          </w:p>
        </w:tc>
        <w:tc>
          <w:tcPr>
            <w:tcW w:w="3800" w:type="pct"/>
          </w:tcPr>
          <w:p w14:paraId="32AC849D" w14:textId="4CED4B93" w:rsidR="00EA4BE3" w:rsidRPr="00D01DDB" w:rsidRDefault="00EA4BE3" w:rsidP="00EA4BE3">
            <w:pPr>
              <w:tabs>
                <w:tab w:val="left" w:pos="1680"/>
              </w:tabs>
              <w:cnfStyle w:val="000000000000" w:firstRow="0" w:lastRow="0" w:firstColumn="0" w:lastColumn="0" w:oddVBand="0" w:evenVBand="0" w:oddHBand="0" w:evenHBand="0" w:firstRowFirstColumn="0" w:firstRowLastColumn="0" w:lastRowFirstColumn="0" w:lastRowLastColumn="0"/>
              <w:rPr>
                <w:szCs w:val="22"/>
              </w:rPr>
            </w:pPr>
            <w:r>
              <w:rPr>
                <w:szCs w:val="22"/>
              </w:rPr>
              <w:t>Maximum plasma concentration</w:t>
            </w:r>
          </w:p>
        </w:tc>
      </w:tr>
      <w:tr w:rsidR="00395140" w:rsidRPr="00D01DDB" w14:paraId="7694A4EE"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2AC18809" w14:textId="14711A93" w:rsidR="00395140" w:rsidRPr="00D01DDB" w:rsidRDefault="00395140" w:rsidP="00324B33">
            <w:pPr>
              <w:rPr>
                <w:szCs w:val="22"/>
              </w:rPr>
            </w:pPr>
            <w:r w:rsidRPr="00D01DDB">
              <w:rPr>
                <w:szCs w:val="22"/>
              </w:rPr>
              <w:t>CMI</w:t>
            </w:r>
          </w:p>
        </w:tc>
        <w:tc>
          <w:tcPr>
            <w:tcW w:w="3800" w:type="pct"/>
          </w:tcPr>
          <w:p w14:paraId="5D8C9DF5" w14:textId="60C23379" w:rsidR="00395140" w:rsidRPr="00D01DDB" w:rsidRDefault="00395140" w:rsidP="00324B33">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Consumer Medicines Information</w:t>
            </w:r>
          </w:p>
        </w:tc>
      </w:tr>
      <w:tr w:rsidR="00DD5496" w:rsidRPr="00D01DDB" w14:paraId="352AB00D"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137CA0A5" w14:textId="6B16F663" w:rsidR="00DD5496" w:rsidRPr="00DD5496" w:rsidRDefault="00DD5496" w:rsidP="00324B33">
            <w:pPr>
              <w:rPr>
                <w:szCs w:val="22"/>
              </w:rPr>
            </w:pPr>
            <w:r w:rsidRPr="00DD5496">
              <w:rPr>
                <w:szCs w:val="22"/>
              </w:rPr>
              <w:t>mCRPC</w:t>
            </w:r>
          </w:p>
        </w:tc>
        <w:tc>
          <w:tcPr>
            <w:tcW w:w="3800" w:type="pct"/>
          </w:tcPr>
          <w:p w14:paraId="2F2B8F71" w14:textId="0D22CF35" w:rsidR="00DD5496" w:rsidRDefault="00DD5496"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Metastatic c</w:t>
            </w:r>
            <w:r w:rsidRPr="00DD5496">
              <w:rPr>
                <w:szCs w:val="22"/>
              </w:rPr>
              <w:t xml:space="preserve">astration </w:t>
            </w:r>
            <w:r>
              <w:rPr>
                <w:szCs w:val="22"/>
              </w:rPr>
              <w:t>r</w:t>
            </w:r>
            <w:r w:rsidRPr="00DD5496">
              <w:rPr>
                <w:szCs w:val="22"/>
              </w:rPr>
              <w:t>esistan</w:t>
            </w:r>
            <w:r>
              <w:rPr>
                <w:szCs w:val="22"/>
              </w:rPr>
              <w:t>t</w:t>
            </w:r>
            <w:r w:rsidRPr="00DD5496">
              <w:rPr>
                <w:szCs w:val="22"/>
              </w:rPr>
              <w:t xml:space="preserve"> prostate cancer</w:t>
            </w:r>
          </w:p>
        </w:tc>
      </w:tr>
      <w:tr w:rsidR="00DD5496" w:rsidRPr="00D01DDB" w14:paraId="4275E938"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5D9C5E7E" w14:textId="28BF7168" w:rsidR="00DD5496" w:rsidRPr="00D01DDB" w:rsidRDefault="00DD5496" w:rsidP="00324B33">
            <w:pPr>
              <w:rPr>
                <w:szCs w:val="22"/>
              </w:rPr>
            </w:pPr>
            <w:r w:rsidRPr="00DD5496">
              <w:rPr>
                <w:szCs w:val="22"/>
              </w:rPr>
              <w:t>mCSPC</w:t>
            </w:r>
          </w:p>
        </w:tc>
        <w:tc>
          <w:tcPr>
            <w:tcW w:w="3800" w:type="pct"/>
          </w:tcPr>
          <w:p w14:paraId="52E1FB63" w14:textId="5861957C" w:rsidR="00DD5496" w:rsidRPr="00D01DDB" w:rsidRDefault="00DD5496"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Metastatic c</w:t>
            </w:r>
            <w:r w:rsidRPr="00DD5496">
              <w:rPr>
                <w:szCs w:val="22"/>
              </w:rPr>
              <w:t>astration sensitive prostate cancer</w:t>
            </w:r>
          </w:p>
        </w:tc>
      </w:tr>
      <w:tr w:rsidR="00395140" w:rsidRPr="00D01DDB" w14:paraId="2756B6F2"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12AA960E" w14:textId="72403C37" w:rsidR="00395140" w:rsidRPr="00D01DDB" w:rsidRDefault="00395140" w:rsidP="00324B33">
            <w:pPr>
              <w:rPr>
                <w:szCs w:val="22"/>
              </w:rPr>
            </w:pPr>
            <w:r w:rsidRPr="00D01DDB">
              <w:rPr>
                <w:szCs w:val="22"/>
              </w:rPr>
              <w:t>PI</w:t>
            </w:r>
          </w:p>
        </w:tc>
        <w:tc>
          <w:tcPr>
            <w:tcW w:w="3800" w:type="pct"/>
          </w:tcPr>
          <w:p w14:paraId="354B5DB5" w14:textId="3DAE38C1" w:rsidR="00395140" w:rsidRPr="00D01DDB" w:rsidRDefault="00395140" w:rsidP="00324B33">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Product Information</w:t>
            </w:r>
          </w:p>
        </w:tc>
      </w:tr>
      <w:tr w:rsidR="00324B33" w:rsidRPr="00D01DDB" w14:paraId="07F3695A"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49390BCA" w14:textId="201D691B" w:rsidR="00324B33" w:rsidRPr="00D01DDB" w:rsidRDefault="00324B33" w:rsidP="00324B33">
            <w:pPr>
              <w:rPr>
                <w:szCs w:val="22"/>
              </w:rPr>
            </w:pPr>
            <w:r w:rsidRPr="00D01DDB">
              <w:rPr>
                <w:szCs w:val="22"/>
              </w:rPr>
              <w:t>RMP</w:t>
            </w:r>
          </w:p>
        </w:tc>
        <w:tc>
          <w:tcPr>
            <w:tcW w:w="3800" w:type="pct"/>
          </w:tcPr>
          <w:p w14:paraId="2C862F75" w14:textId="2355E842" w:rsidR="00324B33" w:rsidRPr="00D01DDB" w:rsidRDefault="00324B33" w:rsidP="00324B33">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Risk management plan</w:t>
            </w:r>
          </w:p>
        </w:tc>
      </w:tr>
      <w:tr w:rsidR="00324B33" w:rsidRPr="00D01DDB" w14:paraId="254AC9B9"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574FC2A0" w14:textId="41297C79" w:rsidR="00324B33" w:rsidRPr="00D01DDB" w:rsidRDefault="00324B33" w:rsidP="00324B33">
            <w:pPr>
              <w:rPr>
                <w:szCs w:val="22"/>
              </w:rPr>
            </w:pPr>
            <w:r w:rsidRPr="00D01DDB">
              <w:rPr>
                <w:szCs w:val="22"/>
              </w:rPr>
              <w:t>TGA</w:t>
            </w:r>
          </w:p>
        </w:tc>
        <w:tc>
          <w:tcPr>
            <w:tcW w:w="3800" w:type="pct"/>
          </w:tcPr>
          <w:p w14:paraId="29EA6BA3" w14:textId="6F99059F" w:rsidR="00324B33" w:rsidRPr="00D01DDB" w:rsidRDefault="00324B33" w:rsidP="00324B33">
            <w:pPr>
              <w:cnfStyle w:val="000000000000" w:firstRow="0" w:lastRow="0" w:firstColumn="0" w:lastColumn="0" w:oddVBand="0" w:evenVBand="0" w:oddHBand="0" w:evenHBand="0" w:firstRowFirstColumn="0" w:firstRowLastColumn="0" w:lastRowFirstColumn="0" w:lastRowLastColumn="0"/>
              <w:rPr>
                <w:szCs w:val="22"/>
              </w:rPr>
            </w:pPr>
            <w:r w:rsidRPr="00D01DDB">
              <w:rPr>
                <w:szCs w:val="22"/>
              </w:rPr>
              <w:t>Therapeutic Goods Administration</w:t>
            </w:r>
          </w:p>
        </w:tc>
      </w:tr>
      <w:tr w:rsidR="00EA4BE3" w:rsidRPr="00D01DDB" w14:paraId="6D175693"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53A0D470" w14:textId="6FEC0AE1" w:rsidR="00EA4BE3" w:rsidRPr="00D01DDB" w:rsidRDefault="00EA4BE3" w:rsidP="00324B33">
            <w:pPr>
              <w:rPr>
                <w:szCs w:val="22"/>
              </w:rPr>
            </w:pPr>
            <w:r>
              <w:rPr>
                <w:szCs w:val="22"/>
              </w:rPr>
              <w:t>T</w:t>
            </w:r>
            <w:r w:rsidRPr="00EA4BE3">
              <w:rPr>
                <w:szCs w:val="22"/>
                <w:vertAlign w:val="subscript"/>
              </w:rPr>
              <w:t>max</w:t>
            </w:r>
          </w:p>
        </w:tc>
        <w:tc>
          <w:tcPr>
            <w:tcW w:w="3800" w:type="pct"/>
          </w:tcPr>
          <w:p w14:paraId="5C02A8EC" w14:textId="745C2D24" w:rsidR="00EA4BE3" w:rsidRPr="00D01DDB" w:rsidRDefault="00EA4BE3"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Time to maximum plasma concentration</w:t>
            </w:r>
          </w:p>
        </w:tc>
      </w:tr>
      <w:tr w:rsidR="00D91682" w:rsidRPr="00D01DDB" w14:paraId="62E7AC3D" w14:textId="77777777" w:rsidTr="00BD5DBD">
        <w:trPr>
          <w:trHeight w:val="386"/>
        </w:trPr>
        <w:tc>
          <w:tcPr>
            <w:cnfStyle w:val="001000000000" w:firstRow="0" w:lastRow="0" w:firstColumn="1" w:lastColumn="0" w:oddVBand="0" w:evenVBand="0" w:oddHBand="0" w:evenHBand="0" w:firstRowFirstColumn="0" w:firstRowLastColumn="0" w:lastRowFirstColumn="0" w:lastRowLastColumn="0"/>
            <w:tcW w:w="1200" w:type="pct"/>
          </w:tcPr>
          <w:p w14:paraId="713AEC18" w14:textId="5F33CD08" w:rsidR="00D91682" w:rsidRPr="00D01DDB" w:rsidRDefault="00D91682" w:rsidP="00324B33">
            <w:pPr>
              <w:rPr>
                <w:szCs w:val="22"/>
              </w:rPr>
            </w:pPr>
            <w:r>
              <w:rPr>
                <w:szCs w:val="22"/>
              </w:rPr>
              <w:t>US</w:t>
            </w:r>
            <w:r w:rsidR="00EA4BE3">
              <w:rPr>
                <w:szCs w:val="22"/>
              </w:rPr>
              <w:t xml:space="preserve"> FDA</w:t>
            </w:r>
          </w:p>
        </w:tc>
        <w:tc>
          <w:tcPr>
            <w:tcW w:w="3800" w:type="pct"/>
          </w:tcPr>
          <w:p w14:paraId="7C80591D" w14:textId="0C3A1B6A" w:rsidR="00D91682" w:rsidRPr="00D01DDB" w:rsidRDefault="00D91682"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United States (of America)</w:t>
            </w:r>
            <w:r w:rsidR="00EA4BE3">
              <w:rPr>
                <w:szCs w:val="22"/>
              </w:rPr>
              <w:t xml:space="preserve"> Food and Drug Administration</w:t>
            </w:r>
          </w:p>
        </w:tc>
      </w:tr>
    </w:tbl>
    <w:p w14:paraId="02FB1F38" w14:textId="77777777" w:rsidR="00324B33" w:rsidRPr="00FD119B" w:rsidRDefault="00324B33" w:rsidP="00324B33">
      <w:pPr>
        <w:spacing w:after="200" w:line="0" w:lineRule="auto"/>
        <w:rPr>
          <w:b/>
          <w:i/>
          <w:sz w:val="24"/>
          <w:szCs w:val="24"/>
        </w:rPr>
      </w:pPr>
      <w:r w:rsidRPr="00FD119B">
        <w:rPr>
          <w:b/>
          <w:i/>
          <w:sz w:val="24"/>
          <w:szCs w:val="24"/>
        </w:rPr>
        <w:br w:type="page"/>
      </w:r>
    </w:p>
    <w:p w14:paraId="44C2A39C" w14:textId="77777777" w:rsidR="00324B33" w:rsidRDefault="00324B33" w:rsidP="00324B33">
      <w:pPr>
        <w:pStyle w:val="Heading2"/>
      </w:pPr>
      <w:bookmarkStart w:id="8" w:name="_Toc103679288"/>
      <w:bookmarkStart w:id="9" w:name="_Toc174009260"/>
      <w:r>
        <w:lastRenderedPageBreak/>
        <w:t>Product submission</w:t>
      </w:r>
      <w:bookmarkEnd w:id="8"/>
      <w:bookmarkEnd w:id="9"/>
    </w:p>
    <w:p w14:paraId="21D559DF" w14:textId="77777777" w:rsidR="00324B33" w:rsidRDefault="00324B33" w:rsidP="00324B33">
      <w:pPr>
        <w:pStyle w:val="Heading3"/>
        <w:rPr>
          <w:lang w:eastAsia="en-AU"/>
        </w:rPr>
      </w:pPr>
      <w:bookmarkStart w:id="10" w:name="_Toc247691502"/>
      <w:bookmarkStart w:id="11" w:name="_Toc314842483"/>
      <w:bookmarkStart w:id="12" w:name="_Toc103679289"/>
      <w:bookmarkStart w:id="13" w:name="_Toc174009261"/>
      <w:r>
        <w:rPr>
          <w:lang w:eastAsia="en-AU"/>
        </w:rPr>
        <w:t>Submission details</w:t>
      </w:r>
      <w:bookmarkEnd w:id="10"/>
      <w:bookmarkEnd w:id="11"/>
      <w:bookmarkEnd w:id="12"/>
      <w:bookmarkEnd w:id="13"/>
    </w:p>
    <w:tbl>
      <w:tblPr>
        <w:tblW w:w="5000" w:type="pct"/>
        <w:tblLook w:val="01E0" w:firstRow="1" w:lastRow="1" w:firstColumn="1" w:lastColumn="1" w:noHBand="0" w:noVBand="0"/>
      </w:tblPr>
      <w:tblGrid>
        <w:gridCol w:w="2861"/>
        <w:gridCol w:w="6209"/>
      </w:tblGrid>
      <w:tr w:rsidR="00324B33" w:rsidRPr="00BD5DBD" w14:paraId="77D11C95" w14:textId="77777777" w:rsidTr="00F865A7">
        <w:tc>
          <w:tcPr>
            <w:tcW w:w="1577" w:type="pct"/>
          </w:tcPr>
          <w:p w14:paraId="10E57D62" w14:textId="77777777" w:rsidR="00324B33" w:rsidRPr="00BD5DBD" w:rsidRDefault="00324B33" w:rsidP="007452E8">
            <w:pPr>
              <w:rPr>
                <w:i/>
                <w:szCs w:val="22"/>
              </w:rPr>
            </w:pPr>
            <w:bookmarkStart w:id="14" w:name="_Hlk173999036"/>
            <w:r w:rsidRPr="00BD5DBD">
              <w:rPr>
                <w:i/>
                <w:szCs w:val="22"/>
              </w:rPr>
              <w:t>Type of submission:</w:t>
            </w:r>
          </w:p>
        </w:tc>
        <w:tc>
          <w:tcPr>
            <w:tcW w:w="3423" w:type="pct"/>
          </w:tcPr>
          <w:p w14:paraId="4F07C303" w14:textId="15E1FAC0" w:rsidR="00324B33" w:rsidRPr="00BD5DBD" w:rsidRDefault="00222C15" w:rsidP="007452E8">
            <w:pPr>
              <w:rPr>
                <w:szCs w:val="22"/>
              </w:rPr>
            </w:pPr>
            <w:r>
              <w:rPr>
                <w:szCs w:val="22"/>
              </w:rPr>
              <w:t>New combination of active ingredients (new composite pack)</w:t>
            </w:r>
          </w:p>
        </w:tc>
      </w:tr>
      <w:bookmarkEnd w:id="14"/>
      <w:tr w:rsidR="00324B33" w:rsidRPr="00BD5DBD" w14:paraId="13482B61" w14:textId="77777777" w:rsidTr="00F865A7">
        <w:tc>
          <w:tcPr>
            <w:tcW w:w="1577" w:type="pct"/>
          </w:tcPr>
          <w:p w14:paraId="2C427FCF" w14:textId="44B764CF" w:rsidR="00324B33" w:rsidRPr="00BD5DBD" w:rsidRDefault="00324B33" w:rsidP="007452E8">
            <w:pPr>
              <w:rPr>
                <w:i/>
                <w:szCs w:val="22"/>
              </w:rPr>
            </w:pPr>
            <w:r w:rsidRPr="00BD5DBD">
              <w:rPr>
                <w:i/>
                <w:szCs w:val="22"/>
              </w:rPr>
              <w:t>Product name:</w:t>
            </w:r>
          </w:p>
        </w:tc>
        <w:tc>
          <w:tcPr>
            <w:tcW w:w="3423" w:type="pct"/>
          </w:tcPr>
          <w:p w14:paraId="0E2DEF76" w14:textId="48B3D995" w:rsidR="00324B33" w:rsidRPr="00BD5DBD" w:rsidRDefault="008C45B5" w:rsidP="007452E8">
            <w:pPr>
              <w:rPr>
                <w:szCs w:val="22"/>
              </w:rPr>
            </w:pPr>
            <w:r>
              <w:rPr>
                <w:szCs w:val="22"/>
              </w:rPr>
              <w:t>Yonsa Mpred</w:t>
            </w:r>
          </w:p>
        </w:tc>
      </w:tr>
      <w:tr w:rsidR="00324B33" w:rsidRPr="00BD5DBD" w14:paraId="01255B5B" w14:textId="77777777" w:rsidTr="00F865A7">
        <w:tc>
          <w:tcPr>
            <w:tcW w:w="1577" w:type="pct"/>
          </w:tcPr>
          <w:p w14:paraId="52B4F3D7" w14:textId="0FC7FB58" w:rsidR="00324B33" w:rsidRPr="00BD5DBD" w:rsidRDefault="00324B33" w:rsidP="007452E8">
            <w:pPr>
              <w:rPr>
                <w:i/>
                <w:szCs w:val="22"/>
              </w:rPr>
            </w:pPr>
            <w:r w:rsidRPr="00BD5DBD">
              <w:rPr>
                <w:i/>
                <w:szCs w:val="22"/>
              </w:rPr>
              <w:t>Active ingredient</w:t>
            </w:r>
            <w:r w:rsidR="00222C15">
              <w:rPr>
                <w:i/>
                <w:szCs w:val="22"/>
              </w:rPr>
              <w:t>s</w:t>
            </w:r>
            <w:r w:rsidRPr="00BD5DBD">
              <w:rPr>
                <w:i/>
                <w:szCs w:val="22"/>
              </w:rPr>
              <w:t>:</w:t>
            </w:r>
          </w:p>
        </w:tc>
        <w:tc>
          <w:tcPr>
            <w:tcW w:w="3423" w:type="pct"/>
          </w:tcPr>
          <w:p w14:paraId="02FB6383" w14:textId="0956CC0F" w:rsidR="00324B33" w:rsidRPr="00BD5DBD" w:rsidRDefault="00222C15" w:rsidP="007452E8">
            <w:pPr>
              <w:rPr>
                <w:szCs w:val="22"/>
              </w:rPr>
            </w:pPr>
            <w:r w:rsidRPr="00222C15">
              <w:rPr>
                <w:szCs w:val="22"/>
              </w:rPr>
              <w:t xml:space="preserve">Abiraterone </w:t>
            </w:r>
            <w:r>
              <w:rPr>
                <w:szCs w:val="22"/>
              </w:rPr>
              <w:t xml:space="preserve">acetate </w:t>
            </w:r>
            <w:r w:rsidRPr="00222C15">
              <w:rPr>
                <w:szCs w:val="22"/>
              </w:rPr>
              <w:t>and methylprednisolone</w:t>
            </w:r>
          </w:p>
        </w:tc>
      </w:tr>
      <w:tr w:rsidR="00324B33" w:rsidRPr="00BD5DBD" w14:paraId="219A281B" w14:textId="77777777" w:rsidTr="00F865A7">
        <w:tc>
          <w:tcPr>
            <w:tcW w:w="1577" w:type="pct"/>
          </w:tcPr>
          <w:p w14:paraId="112E5F78" w14:textId="77777777" w:rsidR="00324B33" w:rsidRPr="00BD5DBD" w:rsidRDefault="00324B33" w:rsidP="007452E8">
            <w:pPr>
              <w:rPr>
                <w:i/>
                <w:szCs w:val="22"/>
              </w:rPr>
            </w:pPr>
            <w:r w:rsidRPr="00BD5DBD">
              <w:rPr>
                <w:i/>
                <w:szCs w:val="22"/>
              </w:rPr>
              <w:t>Decision:</w:t>
            </w:r>
          </w:p>
        </w:tc>
        <w:tc>
          <w:tcPr>
            <w:tcW w:w="3423" w:type="pct"/>
          </w:tcPr>
          <w:p w14:paraId="3B114BEA" w14:textId="06022388" w:rsidR="00324B33" w:rsidRPr="00BD5DBD" w:rsidRDefault="00324B33" w:rsidP="007452E8">
            <w:pPr>
              <w:rPr>
                <w:szCs w:val="22"/>
              </w:rPr>
            </w:pPr>
            <w:r w:rsidRPr="00BD5DBD">
              <w:rPr>
                <w:szCs w:val="22"/>
              </w:rPr>
              <w:t xml:space="preserve">Approved </w:t>
            </w:r>
          </w:p>
        </w:tc>
      </w:tr>
      <w:tr w:rsidR="00AE1947" w:rsidRPr="00BD5DBD" w14:paraId="32B72632" w14:textId="77777777" w:rsidTr="00F865A7">
        <w:tc>
          <w:tcPr>
            <w:tcW w:w="1577" w:type="pct"/>
          </w:tcPr>
          <w:p w14:paraId="25DD3AED" w14:textId="77777777" w:rsidR="00AE1947" w:rsidRPr="00BD5DBD" w:rsidRDefault="00AE1947" w:rsidP="00602658">
            <w:pPr>
              <w:rPr>
                <w:i/>
                <w:szCs w:val="22"/>
              </w:rPr>
            </w:pPr>
            <w:r w:rsidRPr="00BD5DBD">
              <w:rPr>
                <w:i/>
                <w:szCs w:val="22"/>
              </w:rPr>
              <w:t>Date of decision:</w:t>
            </w:r>
          </w:p>
          <w:p w14:paraId="332A5CD5" w14:textId="79C56BB0" w:rsidR="00AE1947" w:rsidRPr="00BD5DBD" w:rsidRDefault="00AE1947" w:rsidP="00602658">
            <w:pPr>
              <w:pStyle w:val="Instructions"/>
            </w:pPr>
          </w:p>
        </w:tc>
        <w:tc>
          <w:tcPr>
            <w:tcW w:w="3423" w:type="pct"/>
          </w:tcPr>
          <w:p w14:paraId="7B381CD6" w14:textId="25FA6908" w:rsidR="00AE1947" w:rsidRPr="00BD5DBD" w:rsidRDefault="00222C15" w:rsidP="00602658">
            <w:pPr>
              <w:rPr>
                <w:szCs w:val="22"/>
              </w:rPr>
            </w:pPr>
            <w:r>
              <w:rPr>
                <w:szCs w:val="22"/>
              </w:rPr>
              <w:t>24 March 2022</w:t>
            </w:r>
          </w:p>
        </w:tc>
      </w:tr>
      <w:tr w:rsidR="00324B33" w:rsidRPr="00BD5DBD" w14:paraId="60A25F5A" w14:textId="77777777" w:rsidTr="00F865A7">
        <w:tc>
          <w:tcPr>
            <w:tcW w:w="1577" w:type="pct"/>
          </w:tcPr>
          <w:p w14:paraId="5C5E4CBA" w14:textId="77777777" w:rsidR="00324B33" w:rsidRPr="00BD5DBD" w:rsidRDefault="00324B33" w:rsidP="007452E8">
            <w:pPr>
              <w:rPr>
                <w:i/>
                <w:szCs w:val="22"/>
              </w:rPr>
            </w:pPr>
            <w:r w:rsidRPr="00BD5DBD">
              <w:rPr>
                <w:i/>
                <w:szCs w:val="22"/>
              </w:rPr>
              <w:t>Date of entry onto ARTG:</w:t>
            </w:r>
          </w:p>
        </w:tc>
        <w:tc>
          <w:tcPr>
            <w:tcW w:w="3423" w:type="pct"/>
          </w:tcPr>
          <w:p w14:paraId="28B270E9" w14:textId="0EFD06A2" w:rsidR="00324B33" w:rsidRPr="00BD5DBD" w:rsidRDefault="00222C15" w:rsidP="007452E8">
            <w:pPr>
              <w:rPr>
                <w:szCs w:val="22"/>
              </w:rPr>
            </w:pPr>
            <w:r>
              <w:rPr>
                <w:szCs w:val="22"/>
              </w:rPr>
              <w:t>29 March 2022</w:t>
            </w:r>
            <w:r w:rsidR="00324B33" w:rsidRPr="00BD5DBD">
              <w:rPr>
                <w:szCs w:val="22"/>
              </w:rPr>
              <w:t xml:space="preserve"> </w:t>
            </w:r>
          </w:p>
        </w:tc>
      </w:tr>
      <w:tr w:rsidR="00324B33" w:rsidRPr="00BD5DBD" w14:paraId="547E08D7" w14:textId="77777777" w:rsidTr="00F865A7">
        <w:tc>
          <w:tcPr>
            <w:tcW w:w="1577" w:type="pct"/>
          </w:tcPr>
          <w:p w14:paraId="5030EF30" w14:textId="2D0F841A" w:rsidR="00324B33" w:rsidRPr="00BD5DBD" w:rsidRDefault="00324B33" w:rsidP="007452E8">
            <w:pPr>
              <w:rPr>
                <w:i/>
                <w:szCs w:val="22"/>
              </w:rPr>
            </w:pPr>
            <w:r w:rsidRPr="00BD5DBD">
              <w:rPr>
                <w:i/>
                <w:szCs w:val="22"/>
              </w:rPr>
              <w:t>ARTG number:</w:t>
            </w:r>
          </w:p>
        </w:tc>
        <w:tc>
          <w:tcPr>
            <w:tcW w:w="3423" w:type="pct"/>
          </w:tcPr>
          <w:p w14:paraId="0054E912" w14:textId="5B244651" w:rsidR="00324B33" w:rsidRPr="00BD5DBD" w:rsidRDefault="00222C15" w:rsidP="007452E8">
            <w:pPr>
              <w:rPr>
                <w:szCs w:val="22"/>
              </w:rPr>
            </w:pPr>
            <w:r>
              <w:rPr>
                <w:szCs w:val="22"/>
              </w:rPr>
              <w:t>346890</w:t>
            </w:r>
          </w:p>
        </w:tc>
      </w:tr>
      <w:tr w:rsidR="00324B33" w:rsidRPr="00BD5DBD" w14:paraId="7618393F" w14:textId="77777777" w:rsidTr="00F865A7">
        <w:tc>
          <w:tcPr>
            <w:tcW w:w="1577" w:type="pct"/>
          </w:tcPr>
          <w:p w14:paraId="6C24CEB6" w14:textId="77777777" w:rsidR="00E47E0C" w:rsidRPr="00BD5DBD" w:rsidRDefault="00324B33" w:rsidP="007452E8">
            <w:pPr>
              <w:rPr>
                <w:rStyle w:val="Hyperlink"/>
                <w:i/>
                <w:szCs w:val="22"/>
              </w:rPr>
            </w:pPr>
            <w:r w:rsidRPr="00BD5DBD">
              <w:rPr>
                <w:rFonts w:ascii="Wingdings 3" w:hAnsi="Wingdings 3"/>
                <w:szCs w:val="22"/>
                <w:lang w:eastAsia="en-AU"/>
              </w:rPr>
              <w:t></w:t>
            </w:r>
            <w:hyperlink r:id="rId15" w:history="1">
              <w:r w:rsidRPr="00BD5DBD">
                <w:rPr>
                  <w:rStyle w:val="Hyperlink"/>
                  <w:i/>
                  <w:szCs w:val="22"/>
                </w:rPr>
                <w:t>Black Triangle Scheme</w:t>
              </w:r>
            </w:hyperlink>
          </w:p>
          <w:p w14:paraId="02260DE2" w14:textId="1FC334AE" w:rsidR="00324B33" w:rsidRPr="00BD5DBD" w:rsidRDefault="00E47E0C" w:rsidP="007452E8">
            <w:pPr>
              <w:rPr>
                <w:i/>
                <w:szCs w:val="22"/>
              </w:rPr>
            </w:pPr>
            <w:r w:rsidRPr="00BD5DBD">
              <w:rPr>
                <w:i/>
                <w:szCs w:val="22"/>
              </w:rPr>
              <w:t xml:space="preserve">for </w:t>
            </w:r>
            <w:r w:rsidR="007B04DE" w:rsidRPr="00BD5DBD">
              <w:rPr>
                <w:i/>
                <w:szCs w:val="22"/>
              </w:rPr>
              <w:t>the current</w:t>
            </w:r>
            <w:r w:rsidRPr="00BD5DBD">
              <w:rPr>
                <w:i/>
                <w:szCs w:val="22"/>
              </w:rPr>
              <w:t xml:space="preserve"> submission</w:t>
            </w:r>
            <w:r w:rsidR="00324B33" w:rsidRPr="00BD5DBD">
              <w:rPr>
                <w:i/>
                <w:szCs w:val="22"/>
              </w:rPr>
              <w:t>:</w:t>
            </w:r>
          </w:p>
        </w:tc>
        <w:tc>
          <w:tcPr>
            <w:tcW w:w="3423" w:type="pct"/>
          </w:tcPr>
          <w:p w14:paraId="6550D34E" w14:textId="77777777" w:rsidR="00504AAC" w:rsidRDefault="00324B33" w:rsidP="007452E8">
            <w:pPr>
              <w:rPr>
                <w:szCs w:val="22"/>
              </w:rPr>
            </w:pPr>
            <w:r w:rsidRPr="00BD5DBD">
              <w:rPr>
                <w:szCs w:val="22"/>
              </w:rPr>
              <w:t>No</w:t>
            </w:r>
          </w:p>
          <w:p w14:paraId="6FF3C6A2" w14:textId="63C05A30" w:rsidR="00324B33" w:rsidRPr="00BD5DBD" w:rsidRDefault="00324B33" w:rsidP="007452E8">
            <w:pPr>
              <w:rPr>
                <w:szCs w:val="22"/>
              </w:rPr>
            </w:pPr>
          </w:p>
        </w:tc>
      </w:tr>
      <w:tr w:rsidR="00324B33" w:rsidRPr="00BD5DBD" w14:paraId="179E09FE" w14:textId="77777777" w:rsidTr="00F865A7">
        <w:tc>
          <w:tcPr>
            <w:tcW w:w="1577" w:type="pct"/>
          </w:tcPr>
          <w:p w14:paraId="1A592498" w14:textId="323F4E51" w:rsidR="00324B33" w:rsidRPr="00BD5DBD" w:rsidRDefault="00326F14" w:rsidP="007452E8">
            <w:pPr>
              <w:rPr>
                <w:i/>
                <w:szCs w:val="22"/>
              </w:rPr>
            </w:pPr>
            <w:r>
              <w:rPr>
                <w:i/>
                <w:szCs w:val="22"/>
              </w:rPr>
              <w:t>Sponsor</w:t>
            </w:r>
            <w:r w:rsidR="00324B33" w:rsidRPr="00BD5DBD">
              <w:rPr>
                <w:i/>
                <w:szCs w:val="22"/>
              </w:rPr>
              <w:t>’s name and address:</w:t>
            </w:r>
          </w:p>
        </w:tc>
        <w:tc>
          <w:tcPr>
            <w:tcW w:w="3423" w:type="pct"/>
          </w:tcPr>
          <w:p w14:paraId="68DD94B0" w14:textId="57C17B01" w:rsidR="00324B33" w:rsidRPr="00BD5DBD" w:rsidRDefault="00222C15" w:rsidP="007452E8">
            <w:pPr>
              <w:rPr>
                <w:szCs w:val="22"/>
              </w:rPr>
            </w:pPr>
            <w:r w:rsidRPr="00222C15">
              <w:rPr>
                <w:szCs w:val="22"/>
              </w:rPr>
              <w:t>Sun Pharma ANZ Pty Ltd</w:t>
            </w:r>
          </w:p>
        </w:tc>
      </w:tr>
      <w:tr w:rsidR="00324B33" w:rsidRPr="00BD5DBD" w14:paraId="5322B989" w14:textId="77777777" w:rsidTr="00F865A7">
        <w:tc>
          <w:tcPr>
            <w:tcW w:w="1577" w:type="pct"/>
          </w:tcPr>
          <w:p w14:paraId="24F217E3" w14:textId="351CEAD3" w:rsidR="00324B33" w:rsidRPr="00BD5DBD" w:rsidRDefault="00324B33" w:rsidP="007452E8">
            <w:pPr>
              <w:rPr>
                <w:i/>
                <w:szCs w:val="22"/>
              </w:rPr>
            </w:pPr>
            <w:r w:rsidRPr="00BD5DBD">
              <w:rPr>
                <w:i/>
                <w:szCs w:val="22"/>
              </w:rPr>
              <w:t>Dose form</w:t>
            </w:r>
            <w:r w:rsidR="00222C15">
              <w:rPr>
                <w:i/>
                <w:szCs w:val="22"/>
              </w:rPr>
              <w:t>s</w:t>
            </w:r>
            <w:r w:rsidRPr="00BD5DBD">
              <w:rPr>
                <w:i/>
                <w:szCs w:val="22"/>
              </w:rPr>
              <w:t>:</w:t>
            </w:r>
          </w:p>
        </w:tc>
        <w:tc>
          <w:tcPr>
            <w:tcW w:w="3423" w:type="pct"/>
          </w:tcPr>
          <w:p w14:paraId="768B254C" w14:textId="16C3CFB0" w:rsidR="00324B33" w:rsidRPr="00BD5DBD" w:rsidRDefault="00222C15" w:rsidP="007452E8">
            <w:pPr>
              <w:rPr>
                <w:szCs w:val="22"/>
              </w:rPr>
            </w:pPr>
            <w:r>
              <w:rPr>
                <w:szCs w:val="22"/>
              </w:rPr>
              <w:t>Abiraterone acetate tablets and methylprednisolone tablets</w:t>
            </w:r>
          </w:p>
        </w:tc>
      </w:tr>
      <w:tr w:rsidR="00324B33" w:rsidRPr="00BD5DBD" w14:paraId="115243E6" w14:textId="77777777" w:rsidTr="00F865A7">
        <w:tc>
          <w:tcPr>
            <w:tcW w:w="1577" w:type="pct"/>
          </w:tcPr>
          <w:p w14:paraId="7634B062" w14:textId="73A8459D" w:rsidR="00324B33" w:rsidRPr="00BD5DBD" w:rsidRDefault="00324B33" w:rsidP="007452E8">
            <w:pPr>
              <w:rPr>
                <w:i/>
                <w:szCs w:val="22"/>
              </w:rPr>
            </w:pPr>
            <w:r w:rsidRPr="00BD5DBD">
              <w:rPr>
                <w:i/>
                <w:szCs w:val="22"/>
              </w:rPr>
              <w:t>Strength</w:t>
            </w:r>
            <w:r w:rsidR="00222C15">
              <w:rPr>
                <w:i/>
                <w:szCs w:val="22"/>
              </w:rPr>
              <w:t>s</w:t>
            </w:r>
            <w:r w:rsidRPr="00BD5DBD">
              <w:rPr>
                <w:i/>
                <w:szCs w:val="22"/>
              </w:rPr>
              <w:t>:</w:t>
            </w:r>
          </w:p>
        </w:tc>
        <w:tc>
          <w:tcPr>
            <w:tcW w:w="3423" w:type="pct"/>
          </w:tcPr>
          <w:p w14:paraId="5E5F83DB" w14:textId="5F8361C4" w:rsidR="00324B33" w:rsidRPr="00BD5DBD" w:rsidRDefault="00222C15" w:rsidP="007452E8">
            <w:pPr>
              <w:rPr>
                <w:szCs w:val="22"/>
              </w:rPr>
            </w:pPr>
            <w:r>
              <w:rPr>
                <w:szCs w:val="22"/>
              </w:rPr>
              <w:t>Abiraterone acetate 125 mg</w:t>
            </w:r>
            <w:r>
              <w:rPr>
                <w:szCs w:val="22"/>
              </w:rPr>
              <w:br/>
              <w:t>Methylprednisolone 4 mg</w:t>
            </w:r>
          </w:p>
        </w:tc>
      </w:tr>
      <w:tr w:rsidR="00222C15" w:rsidRPr="00BD5DBD" w14:paraId="34B07BA6" w14:textId="77777777" w:rsidTr="00F865A7">
        <w:tc>
          <w:tcPr>
            <w:tcW w:w="1577" w:type="pct"/>
          </w:tcPr>
          <w:p w14:paraId="1C039224" w14:textId="44549C8B" w:rsidR="00222C15" w:rsidRPr="00BD5DBD" w:rsidRDefault="00222C15" w:rsidP="00222C15">
            <w:pPr>
              <w:rPr>
                <w:i/>
                <w:szCs w:val="22"/>
              </w:rPr>
            </w:pPr>
            <w:r w:rsidRPr="00BD5DBD">
              <w:rPr>
                <w:i/>
                <w:szCs w:val="22"/>
              </w:rPr>
              <w:t>Container</w:t>
            </w:r>
            <w:r>
              <w:rPr>
                <w:i/>
                <w:szCs w:val="22"/>
              </w:rPr>
              <w:t>s</w:t>
            </w:r>
            <w:r w:rsidRPr="00BD5DBD">
              <w:rPr>
                <w:i/>
                <w:szCs w:val="22"/>
              </w:rPr>
              <w:t>:</w:t>
            </w:r>
          </w:p>
        </w:tc>
        <w:tc>
          <w:tcPr>
            <w:tcW w:w="3423" w:type="pct"/>
          </w:tcPr>
          <w:p w14:paraId="500A42C6" w14:textId="026129AE" w:rsidR="00222C15" w:rsidRPr="00BD5DBD" w:rsidRDefault="00222C15" w:rsidP="00222C15">
            <w:pPr>
              <w:rPr>
                <w:szCs w:val="22"/>
              </w:rPr>
            </w:pPr>
            <w:r>
              <w:rPr>
                <w:szCs w:val="22"/>
              </w:rPr>
              <w:t>Abiraterone acetate tablets in bottles</w:t>
            </w:r>
            <w:r>
              <w:rPr>
                <w:szCs w:val="22"/>
              </w:rPr>
              <w:br/>
              <w:t>Methylprednisolone tablets in bottles</w:t>
            </w:r>
          </w:p>
        </w:tc>
      </w:tr>
      <w:tr w:rsidR="00222C15" w:rsidRPr="00BD5DBD" w14:paraId="176B6773" w14:textId="77777777" w:rsidTr="00F865A7">
        <w:tc>
          <w:tcPr>
            <w:tcW w:w="1577" w:type="pct"/>
          </w:tcPr>
          <w:p w14:paraId="71846159" w14:textId="07683177" w:rsidR="00222C15" w:rsidRPr="00BD5DBD" w:rsidRDefault="00222C15" w:rsidP="00222C15">
            <w:pPr>
              <w:rPr>
                <w:i/>
                <w:szCs w:val="22"/>
              </w:rPr>
            </w:pPr>
            <w:r w:rsidRPr="00BD5DBD">
              <w:rPr>
                <w:i/>
                <w:szCs w:val="22"/>
              </w:rPr>
              <w:t>Pack size:</w:t>
            </w:r>
          </w:p>
        </w:tc>
        <w:tc>
          <w:tcPr>
            <w:tcW w:w="3423" w:type="pct"/>
          </w:tcPr>
          <w:p w14:paraId="7E978F8F" w14:textId="53D15DFF" w:rsidR="00222C15" w:rsidRPr="00BD5DBD" w:rsidRDefault="00222C15" w:rsidP="00222C15">
            <w:pPr>
              <w:rPr>
                <w:szCs w:val="22"/>
              </w:rPr>
            </w:pPr>
            <w:r>
              <w:rPr>
                <w:szCs w:val="22"/>
              </w:rPr>
              <w:t>120 a</w:t>
            </w:r>
            <w:r w:rsidRPr="00222C15">
              <w:rPr>
                <w:szCs w:val="22"/>
              </w:rPr>
              <w:t xml:space="preserve">biraterone </w:t>
            </w:r>
            <w:r>
              <w:rPr>
                <w:szCs w:val="22"/>
              </w:rPr>
              <w:t xml:space="preserve">acetate </w:t>
            </w:r>
            <w:r w:rsidRPr="00222C15">
              <w:rPr>
                <w:szCs w:val="22"/>
              </w:rPr>
              <w:t xml:space="preserve">tablets in </w:t>
            </w:r>
            <w:r>
              <w:rPr>
                <w:szCs w:val="22"/>
              </w:rPr>
              <w:t>each bottle</w:t>
            </w:r>
            <w:r>
              <w:rPr>
                <w:szCs w:val="22"/>
              </w:rPr>
              <w:br/>
              <w:t>60 methylprednisolone tablets in each bottle</w:t>
            </w:r>
          </w:p>
        </w:tc>
      </w:tr>
      <w:tr w:rsidR="00222C15" w:rsidRPr="00BD5DBD" w14:paraId="19A2544A" w14:textId="77777777" w:rsidTr="00F865A7">
        <w:tc>
          <w:tcPr>
            <w:tcW w:w="1577" w:type="pct"/>
          </w:tcPr>
          <w:p w14:paraId="0E6C5C0E" w14:textId="7DB3FC66" w:rsidR="00222C15" w:rsidRPr="00BD5DBD" w:rsidRDefault="00222C15" w:rsidP="00222C15">
            <w:pPr>
              <w:rPr>
                <w:i/>
                <w:szCs w:val="22"/>
              </w:rPr>
            </w:pPr>
            <w:r w:rsidRPr="00BD5DBD">
              <w:rPr>
                <w:i/>
                <w:szCs w:val="22"/>
              </w:rPr>
              <w:t>Approved therapeutic use for the current submission:</w:t>
            </w:r>
          </w:p>
        </w:tc>
        <w:tc>
          <w:tcPr>
            <w:tcW w:w="3423" w:type="pct"/>
          </w:tcPr>
          <w:p w14:paraId="68A67018" w14:textId="73AFCEA6" w:rsidR="00222C15" w:rsidRPr="00222C15" w:rsidRDefault="008C45B5" w:rsidP="00222C15">
            <w:pPr>
              <w:rPr>
                <w:i/>
                <w:iCs/>
                <w:szCs w:val="22"/>
              </w:rPr>
            </w:pPr>
            <w:r>
              <w:rPr>
                <w:i/>
                <w:iCs/>
                <w:szCs w:val="22"/>
              </w:rPr>
              <w:t>Yonsa Mpred</w:t>
            </w:r>
            <w:r w:rsidR="00222C15" w:rsidRPr="00222C15">
              <w:rPr>
                <w:i/>
                <w:iCs/>
                <w:szCs w:val="22"/>
              </w:rPr>
              <w:t xml:space="preserve"> is indicated for the treatment of patients with:</w:t>
            </w:r>
          </w:p>
          <w:p w14:paraId="7F79362F" w14:textId="046B2519" w:rsidR="00222C15" w:rsidRPr="00222C15" w:rsidRDefault="00222C15" w:rsidP="00222C15">
            <w:pPr>
              <w:pStyle w:val="ListBullet"/>
              <w:rPr>
                <w:i/>
                <w:iCs/>
              </w:rPr>
            </w:pPr>
            <w:r w:rsidRPr="00222C15">
              <w:rPr>
                <w:i/>
                <w:iCs/>
              </w:rPr>
              <w:t>newly diagnosed high-risk metastatic hormone sensitive prostate cancer (mHSPC) in combination with androgen deprivation therapy (ADT), or</w:t>
            </w:r>
          </w:p>
          <w:p w14:paraId="2CB8716C" w14:textId="57C32FBE" w:rsidR="00222C15" w:rsidRPr="00222C15" w:rsidRDefault="00222C15" w:rsidP="00222C15">
            <w:pPr>
              <w:pStyle w:val="ListBullet"/>
              <w:rPr>
                <w:i/>
                <w:iCs/>
              </w:rPr>
            </w:pPr>
            <w:r w:rsidRPr="00222C15">
              <w:rPr>
                <w:i/>
                <w:iCs/>
              </w:rPr>
              <w:t>patients with metastatic advanced prostate cancer (castration resistant prostate cancer, mCRPC) who are asymptomatic or mildly symptomatic after failure of androgen deprivation therapy (ADT) or</w:t>
            </w:r>
          </w:p>
          <w:p w14:paraId="6E143E2E" w14:textId="0AB1EE25" w:rsidR="00222C15" w:rsidRPr="00BD5DBD" w:rsidRDefault="00222C15" w:rsidP="00222C15">
            <w:pPr>
              <w:pStyle w:val="ListBullet"/>
            </w:pPr>
            <w:r w:rsidRPr="00222C15">
              <w:rPr>
                <w:i/>
                <w:iCs/>
              </w:rPr>
              <w:t>patients with mCRPC who have received prior chemotherapy containing a taxane.</w:t>
            </w:r>
          </w:p>
        </w:tc>
      </w:tr>
      <w:tr w:rsidR="00222C15" w:rsidRPr="00BD5DBD" w14:paraId="5AFDEED3" w14:textId="77777777" w:rsidTr="00F865A7">
        <w:tc>
          <w:tcPr>
            <w:tcW w:w="1577" w:type="pct"/>
          </w:tcPr>
          <w:p w14:paraId="03884BD1" w14:textId="49ADF0C9" w:rsidR="00222C15" w:rsidRPr="00BD5DBD" w:rsidRDefault="00222C15" w:rsidP="00222C15">
            <w:pPr>
              <w:rPr>
                <w:i/>
                <w:szCs w:val="22"/>
              </w:rPr>
            </w:pPr>
            <w:r w:rsidRPr="00BD5DBD">
              <w:rPr>
                <w:i/>
                <w:szCs w:val="22"/>
              </w:rPr>
              <w:t>Route</w:t>
            </w:r>
            <w:r>
              <w:rPr>
                <w:i/>
                <w:szCs w:val="22"/>
              </w:rPr>
              <w:t>s</w:t>
            </w:r>
            <w:r w:rsidRPr="00BD5DBD">
              <w:rPr>
                <w:i/>
                <w:szCs w:val="22"/>
              </w:rPr>
              <w:t xml:space="preserve"> of administration:</w:t>
            </w:r>
          </w:p>
        </w:tc>
        <w:tc>
          <w:tcPr>
            <w:tcW w:w="3423" w:type="pct"/>
          </w:tcPr>
          <w:p w14:paraId="1ED1357E" w14:textId="2D4ADDE7" w:rsidR="00222C15" w:rsidRPr="00BD5DBD" w:rsidRDefault="00222C15" w:rsidP="00222C15">
            <w:pPr>
              <w:rPr>
                <w:szCs w:val="22"/>
              </w:rPr>
            </w:pPr>
            <w:r>
              <w:rPr>
                <w:szCs w:val="22"/>
              </w:rPr>
              <w:t>Oral</w:t>
            </w:r>
          </w:p>
        </w:tc>
      </w:tr>
      <w:tr w:rsidR="00222C15" w:rsidRPr="00BD5DBD" w14:paraId="70D7E9FA" w14:textId="77777777" w:rsidTr="00F865A7">
        <w:tc>
          <w:tcPr>
            <w:tcW w:w="1577" w:type="pct"/>
          </w:tcPr>
          <w:p w14:paraId="5ABFFC80" w14:textId="77777777" w:rsidR="00222C15" w:rsidRPr="00BD5DBD" w:rsidRDefault="00222C15" w:rsidP="00222C15">
            <w:pPr>
              <w:rPr>
                <w:i/>
                <w:szCs w:val="22"/>
              </w:rPr>
            </w:pPr>
            <w:r w:rsidRPr="00BD5DBD">
              <w:rPr>
                <w:i/>
                <w:szCs w:val="22"/>
              </w:rPr>
              <w:t>Dosage:</w:t>
            </w:r>
          </w:p>
        </w:tc>
        <w:tc>
          <w:tcPr>
            <w:tcW w:w="3423" w:type="pct"/>
          </w:tcPr>
          <w:p w14:paraId="2EF3A92F" w14:textId="0BBDA296" w:rsidR="00222C15" w:rsidRPr="00222C15" w:rsidRDefault="00222C15" w:rsidP="00222C15">
            <w:pPr>
              <w:rPr>
                <w:szCs w:val="22"/>
              </w:rPr>
            </w:pPr>
            <w:r w:rsidRPr="00222C15">
              <w:rPr>
                <w:szCs w:val="22"/>
              </w:rPr>
              <w:t>The recommended dose of Y</w:t>
            </w:r>
            <w:r w:rsidR="00932F5D">
              <w:rPr>
                <w:szCs w:val="22"/>
              </w:rPr>
              <w:t>onsa</w:t>
            </w:r>
            <w:r w:rsidRPr="00222C15">
              <w:rPr>
                <w:szCs w:val="22"/>
              </w:rPr>
              <w:t xml:space="preserve"> abiraterone acetate tablets is 500 mg (four 125 mg tablets) administered</w:t>
            </w:r>
            <w:r>
              <w:rPr>
                <w:szCs w:val="22"/>
              </w:rPr>
              <w:t xml:space="preserve"> </w:t>
            </w:r>
            <w:r w:rsidRPr="00222C15">
              <w:rPr>
                <w:szCs w:val="22"/>
              </w:rPr>
              <w:t>orally once daily in combination with methylprednisolone.</w:t>
            </w:r>
          </w:p>
          <w:p w14:paraId="3DCD307A" w14:textId="77777777" w:rsidR="00504AAC" w:rsidRDefault="00222C15" w:rsidP="00222C15">
            <w:pPr>
              <w:rPr>
                <w:szCs w:val="22"/>
              </w:rPr>
            </w:pPr>
            <w:r w:rsidRPr="00222C15">
              <w:rPr>
                <w:szCs w:val="22"/>
              </w:rPr>
              <w:t>The recommended dose of methylprednisolone for metastatic hormone sensitive prostate cancer is 4 mg</w:t>
            </w:r>
            <w:r>
              <w:rPr>
                <w:szCs w:val="22"/>
              </w:rPr>
              <w:t xml:space="preserve"> </w:t>
            </w:r>
            <w:r w:rsidRPr="00222C15">
              <w:rPr>
                <w:szCs w:val="22"/>
              </w:rPr>
              <w:t>administered once daily.</w:t>
            </w:r>
          </w:p>
          <w:p w14:paraId="647DBD25" w14:textId="77777777" w:rsidR="00504AAC" w:rsidRDefault="00222C15" w:rsidP="00222C15">
            <w:pPr>
              <w:rPr>
                <w:szCs w:val="22"/>
              </w:rPr>
            </w:pPr>
            <w:r w:rsidRPr="00222C15">
              <w:rPr>
                <w:szCs w:val="22"/>
              </w:rPr>
              <w:lastRenderedPageBreak/>
              <w:t>The recommended dose of methylprednisolone for metastatic castration resistant</w:t>
            </w:r>
            <w:r>
              <w:rPr>
                <w:szCs w:val="22"/>
              </w:rPr>
              <w:t xml:space="preserve"> </w:t>
            </w:r>
            <w:r w:rsidRPr="00222C15">
              <w:rPr>
                <w:szCs w:val="22"/>
              </w:rPr>
              <w:t>prostate cancer is 4 mg administered twice daily.</w:t>
            </w:r>
          </w:p>
          <w:p w14:paraId="1D230C00" w14:textId="03C9819B" w:rsidR="00932F5D" w:rsidRPr="00932F5D" w:rsidRDefault="00932F5D" w:rsidP="00932F5D">
            <w:pPr>
              <w:rPr>
                <w:b/>
                <w:bCs/>
                <w:szCs w:val="22"/>
              </w:rPr>
            </w:pPr>
            <w:r w:rsidRPr="00932F5D">
              <w:rPr>
                <w:b/>
                <w:bCs/>
                <w:szCs w:val="22"/>
              </w:rPr>
              <w:t>Important administration instructions</w:t>
            </w:r>
          </w:p>
          <w:p w14:paraId="0BC716E3" w14:textId="0CF647AA" w:rsidR="00932F5D" w:rsidRPr="00BD5DBD" w:rsidRDefault="00932F5D" w:rsidP="00932F5D">
            <w:pPr>
              <w:rPr>
                <w:szCs w:val="22"/>
              </w:rPr>
            </w:pPr>
            <w:r w:rsidRPr="00932F5D">
              <w:rPr>
                <w:szCs w:val="22"/>
              </w:rPr>
              <w:t>To avoid medication errors and overdose, be aware that Y</w:t>
            </w:r>
            <w:r>
              <w:rPr>
                <w:szCs w:val="22"/>
              </w:rPr>
              <w:t xml:space="preserve">onsa </w:t>
            </w:r>
            <w:r w:rsidRPr="00932F5D">
              <w:rPr>
                <w:szCs w:val="22"/>
              </w:rPr>
              <w:t>tablets may have different dosing and food</w:t>
            </w:r>
            <w:r>
              <w:rPr>
                <w:szCs w:val="22"/>
              </w:rPr>
              <w:t xml:space="preserve"> </w:t>
            </w:r>
            <w:r w:rsidRPr="00932F5D">
              <w:rPr>
                <w:szCs w:val="22"/>
              </w:rPr>
              <w:t>effects than other abiraterone acetate products.</w:t>
            </w:r>
          </w:p>
          <w:p w14:paraId="3D0B2D5C" w14:textId="77777777" w:rsidR="00222C15" w:rsidRPr="00BD5DBD" w:rsidRDefault="00222C15" w:rsidP="00222C15">
            <w:pPr>
              <w:rPr>
                <w:szCs w:val="22"/>
              </w:rPr>
            </w:pPr>
            <w:r w:rsidRPr="00BD5DBD">
              <w:rPr>
                <w:szCs w:val="22"/>
              </w:rPr>
              <w:t>For further information regarding dosage, refer to the Product Information.</w:t>
            </w:r>
          </w:p>
        </w:tc>
      </w:tr>
      <w:tr w:rsidR="00222C15" w:rsidRPr="00BD5DBD" w14:paraId="24DC408E" w14:textId="77777777" w:rsidTr="00F865A7">
        <w:tc>
          <w:tcPr>
            <w:tcW w:w="1577" w:type="pct"/>
          </w:tcPr>
          <w:p w14:paraId="26380792" w14:textId="77777777" w:rsidR="00222C15" w:rsidRPr="00BD5DBD" w:rsidRDefault="00222C15" w:rsidP="00222C15">
            <w:pPr>
              <w:rPr>
                <w:i/>
                <w:szCs w:val="22"/>
              </w:rPr>
            </w:pPr>
            <w:r w:rsidRPr="00BD5DBD">
              <w:rPr>
                <w:i/>
                <w:szCs w:val="22"/>
              </w:rPr>
              <w:lastRenderedPageBreak/>
              <w:t>Pregnancy category:</w:t>
            </w:r>
          </w:p>
        </w:tc>
        <w:tc>
          <w:tcPr>
            <w:tcW w:w="3423" w:type="pct"/>
          </w:tcPr>
          <w:p w14:paraId="4E87274F" w14:textId="1ED5F33B" w:rsidR="00222C15" w:rsidRDefault="00932F5D" w:rsidP="00222C15">
            <w:pPr>
              <w:rPr>
                <w:szCs w:val="22"/>
              </w:rPr>
            </w:pPr>
            <w:r>
              <w:rPr>
                <w:szCs w:val="22"/>
              </w:rPr>
              <w:t>D</w:t>
            </w:r>
          </w:p>
          <w:p w14:paraId="10E0D117" w14:textId="2C482E92" w:rsidR="00932F5D" w:rsidRPr="00932F5D" w:rsidRDefault="00932F5D" w:rsidP="00932F5D">
            <w:r w:rsidRPr="00932F5D">
              <w:t>Drugs which have caused, are suspected to have caused or may be expected to cause, an increased incidence of human fetal malformations or irreversible damage. These drugs may also have adverse pharmacological effects. Accompanying texts should be consulted for further details.</w:t>
            </w:r>
          </w:p>
          <w:p w14:paraId="5E2AA3D6" w14:textId="29FB5389" w:rsidR="00222C15" w:rsidRPr="00932F5D" w:rsidRDefault="00222C15" w:rsidP="00222C15">
            <w:r w:rsidRPr="00BD5DBD">
              <w:t>The use of any medicine during pregnancy requires careful consideration of both risks and benefits by the treating health professional. This must not be used as the sole basis of decision making in the use of medicines during pregnancy. The TGA does not provide advice on the use of medicines in pregnancy for specific cases. More information is available from obstetric drug information services in your State or Territory.</w:t>
            </w:r>
          </w:p>
        </w:tc>
      </w:tr>
    </w:tbl>
    <w:p w14:paraId="12D3510C" w14:textId="77777777" w:rsidR="009000BB" w:rsidRDefault="009000BB" w:rsidP="00324B33">
      <w:pPr>
        <w:pStyle w:val="Heading3"/>
      </w:pPr>
      <w:bookmarkStart w:id="15" w:name="_Toc247691503"/>
      <w:bookmarkStart w:id="16" w:name="_Toc314842484"/>
      <w:bookmarkStart w:id="17" w:name="_Toc103679290"/>
    </w:p>
    <w:p w14:paraId="50F6F46C" w14:textId="77777777" w:rsidR="009000BB" w:rsidRDefault="009000BB">
      <w:pPr>
        <w:rPr>
          <w:rFonts w:ascii="Arial" w:eastAsia="Times New Roman" w:hAnsi="Arial" w:cs="Times New Roman"/>
          <w:b/>
          <w:bCs/>
          <w:color w:val="001871"/>
          <w:sz w:val="32"/>
          <w:szCs w:val="32"/>
        </w:rPr>
      </w:pPr>
      <w:r>
        <w:br w:type="page"/>
      </w:r>
    </w:p>
    <w:p w14:paraId="51F2479F" w14:textId="4FD8F334" w:rsidR="00324B33" w:rsidRDefault="00324B33" w:rsidP="00324B33">
      <w:pPr>
        <w:pStyle w:val="Heading3"/>
      </w:pPr>
      <w:bookmarkStart w:id="18" w:name="_Toc174009262"/>
      <w:r>
        <w:lastRenderedPageBreak/>
        <w:t>Product background</w:t>
      </w:r>
      <w:bookmarkEnd w:id="15"/>
      <w:bookmarkEnd w:id="16"/>
      <w:bookmarkEnd w:id="17"/>
      <w:bookmarkEnd w:id="18"/>
    </w:p>
    <w:p w14:paraId="5B81D9B9" w14:textId="09EC55EC" w:rsidR="00932F5D" w:rsidRDefault="00324B33" w:rsidP="00324B33">
      <w:pPr>
        <w:rPr>
          <w:szCs w:val="22"/>
        </w:rPr>
      </w:pPr>
      <w:r w:rsidRPr="00BD5DBD">
        <w:rPr>
          <w:szCs w:val="22"/>
        </w:rPr>
        <w:t xml:space="preserve">This AusPAR describes the submission by </w:t>
      </w:r>
      <w:r w:rsidR="00932F5D">
        <w:rPr>
          <w:szCs w:val="22"/>
        </w:rPr>
        <w:t>Sun Pharma ANZ Pty Ltd</w:t>
      </w:r>
      <w:r w:rsidRPr="00BD5DBD">
        <w:rPr>
          <w:szCs w:val="22"/>
        </w:rPr>
        <w:t xml:space="preserve"> (the </w:t>
      </w:r>
      <w:r w:rsidR="00326F14">
        <w:rPr>
          <w:szCs w:val="22"/>
        </w:rPr>
        <w:t>Sponsor</w:t>
      </w:r>
      <w:r w:rsidRPr="00BD5DBD">
        <w:rPr>
          <w:szCs w:val="22"/>
        </w:rPr>
        <w:t xml:space="preserve">) to register </w:t>
      </w:r>
      <w:r w:rsidR="008C45B5">
        <w:rPr>
          <w:szCs w:val="22"/>
        </w:rPr>
        <w:t>Yonsa Mpred</w:t>
      </w:r>
      <w:r w:rsidR="00932F5D">
        <w:rPr>
          <w:szCs w:val="22"/>
        </w:rPr>
        <w:t xml:space="preserve">, </w:t>
      </w:r>
      <w:r w:rsidR="00DD5496">
        <w:rPr>
          <w:szCs w:val="22"/>
        </w:rPr>
        <w:t xml:space="preserve">a new composite pack containing an </w:t>
      </w:r>
      <w:r w:rsidR="00932F5D">
        <w:rPr>
          <w:szCs w:val="22"/>
        </w:rPr>
        <w:t>abiraterone acetate 125 mg tablet</w:t>
      </w:r>
      <w:r w:rsidR="00DD5496">
        <w:rPr>
          <w:szCs w:val="22"/>
        </w:rPr>
        <w:t xml:space="preserve"> bottle</w:t>
      </w:r>
      <w:r w:rsidR="00932F5D">
        <w:rPr>
          <w:szCs w:val="22"/>
        </w:rPr>
        <w:t xml:space="preserve"> and </w:t>
      </w:r>
      <w:r w:rsidR="00DD5496">
        <w:rPr>
          <w:szCs w:val="22"/>
        </w:rPr>
        <w:t xml:space="preserve">a </w:t>
      </w:r>
      <w:r w:rsidR="00932F5D">
        <w:rPr>
          <w:szCs w:val="22"/>
        </w:rPr>
        <w:t>methylprednisolone 4 mg tablet</w:t>
      </w:r>
      <w:r w:rsidRPr="00BD5DBD">
        <w:rPr>
          <w:szCs w:val="22"/>
        </w:rPr>
        <w:t xml:space="preserve"> </w:t>
      </w:r>
      <w:r w:rsidR="00932F5D">
        <w:rPr>
          <w:szCs w:val="22"/>
        </w:rPr>
        <w:t>bottle</w:t>
      </w:r>
      <w:r w:rsidR="00DD5496">
        <w:rPr>
          <w:szCs w:val="22"/>
        </w:rPr>
        <w:t>, for</w:t>
      </w:r>
      <w:r w:rsidR="00932F5D">
        <w:rPr>
          <w:szCs w:val="22"/>
        </w:rPr>
        <w:t xml:space="preserve"> the following indication:</w:t>
      </w:r>
    </w:p>
    <w:p w14:paraId="6E36E196" w14:textId="0E183475" w:rsidR="00504AAC" w:rsidRDefault="008C45B5" w:rsidP="00932F5D">
      <w:pPr>
        <w:ind w:left="360"/>
        <w:rPr>
          <w:i/>
          <w:iCs/>
        </w:rPr>
      </w:pPr>
      <w:r>
        <w:rPr>
          <w:i/>
          <w:iCs/>
        </w:rPr>
        <w:t>Yonsa Mpred</w:t>
      </w:r>
      <w:r w:rsidR="00932F5D" w:rsidRPr="00932F5D">
        <w:rPr>
          <w:i/>
          <w:iCs/>
        </w:rPr>
        <w:t xml:space="preserve"> is indicated for the treatment of patients with:</w:t>
      </w:r>
    </w:p>
    <w:p w14:paraId="26E49ECA" w14:textId="77777777" w:rsidR="00504AAC" w:rsidRDefault="00932F5D" w:rsidP="00932F5D">
      <w:pPr>
        <w:pStyle w:val="ListBullet"/>
        <w:ind w:left="720"/>
        <w:rPr>
          <w:i/>
          <w:iCs/>
        </w:rPr>
      </w:pPr>
      <w:r w:rsidRPr="00932F5D">
        <w:rPr>
          <w:i/>
          <w:iCs/>
        </w:rPr>
        <w:t>newly diagnosed high-risk metastatic hormone sensitive prostate cancer (mHSPC) in combination with androgen deprivation therapy (ADT), or</w:t>
      </w:r>
    </w:p>
    <w:p w14:paraId="13185D8C" w14:textId="77777777" w:rsidR="00504AAC" w:rsidRDefault="00932F5D" w:rsidP="00932F5D">
      <w:pPr>
        <w:pStyle w:val="ListBullet"/>
        <w:ind w:left="720"/>
        <w:rPr>
          <w:i/>
          <w:iCs/>
        </w:rPr>
      </w:pPr>
      <w:r w:rsidRPr="00932F5D">
        <w:rPr>
          <w:i/>
          <w:iCs/>
        </w:rPr>
        <w:t>patients with metastatic advanced prostate cancer (castration resistant prostate cancer, mCRPC) who are asymptomatic or mildly symptomatic after failure of androgen deprivation therapy (ADT) or</w:t>
      </w:r>
    </w:p>
    <w:p w14:paraId="5658345E" w14:textId="77777777" w:rsidR="00504AAC" w:rsidRDefault="00932F5D" w:rsidP="00932F5D">
      <w:pPr>
        <w:pStyle w:val="ListBullet"/>
        <w:ind w:left="720"/>
        <w:rPr>
          <w:i/>
          <w:iCs/>
        </w:rPr>
      </w:pPr>
      <w:r w:rsidRPr="00932F5D">
        <w:rPr>
          <w:i/>
          <w:iCs/>
        </w:rPr>
        <w:t>patients with mCRPC who have received prior chemotherapy containing a taxane</w:t>
      </w:r>
    </w:p>
    <w:p w14:paraId="4D05A774" w14:textId="28C9874C" w:rsidR="00932F5D" w:rsidRPr="00932F5D" w:rsidRDefault="00932F5D" w:rsidP="00932F5D">
      <w:r w:rsidRPr="00932F5D">
        <w:t>Prostate cancer is a common malignancy, causing a high burden of morbidity and mortality. Metastatic disease is not curable but there are a range of therapies which aim to prolong life, as well as reduce the morbidity from metastatic foci that cause pain or osteolytic fractures.</w:t>
      </w:r>
    </w:p>
    <w:p w14:paraId="29B87B79" w14:textId="77777777" w:rsidR="00504AAC" w:rsidRDefault="00932F5D" w:rsidP="009000BB">
      <w:pPr>
        <w:pStyle w:val="Heading3"/>
      </w:pPr>
      <w:bookmarkStart w:id="19" w:name="_Toc174009263"/>
      <w:r w:rsidRPr="00932F5D">
        <w:t>Current treatment options</w:t>
      </w:r>
      <w:bookmarkEnd w:id="19"/>
    </w:p>
    <w:p w14:paraId="1A355397" w14:textId="05A370F2" w:rsidR="00504AAC" w:rsidRDefault="00932F5D" w:rsidP="00932F5D">
      <w:r w:rsidRPr="00932F5D">
        <w:t>Prostate cancer is usually androgen dependent at diagnosis</w:t>
      </w:r>
      <w:r w:rsidR="00A976CF">
        <w:t>.</w:t>
      </w:r>
      <w:r w:rsidR="00504AAC">
        <w:t xml:space="preserve"> </w:t>
      </w:r>
      <w:r w:rsidR="00A976CF">
        <w:t xml:space="preserve">The </w:t>
      </w:r>
      <w:r w:rsidRPr="00932F5D">
        <w:t xml:space="preserve">standard initial therapy is </w:t>
      </w:r>
      <w:r w:rsidR="003A4D1A">
        <w:t>a</w:t>
      </w:r>
      <w:r w:rsidRPr="00932F5D">
        <w:t xml:space="preserve">ndrogen </w:t>
      </w:r>
      <w:r w:rsidR="003A4D1A">
        <w:t>d</w:t>
      </w:r>
      <w:r w:rsidRPr="00932F5D">
        <w:t xml:space="preserve">epletion </w:t>
      </w:r>
      <w:r w:rsidR="003A4D1A">
        <w:t>t</w:t>
      </w:r>
      <w:r w:rsidRPr="00932F5D">
        <w:t xml:space="preserve">herapy (ADT) using </w:t>
      </w:r>
      <w:r w:rsidR="00DD5496">
        <w:t>gonadotropin-release hormone</w:t>
      </w:r>
      <w:r w:rsidRPr="00932F5D">
        <w:t xml:space="preserve"> antagonists which dramatically lower androgen synthesis.</w:t>
      </w:r>
    </w:p>
    <w:p w14:paraId="17FBD5FB" w14:textId="579A5C1D" w:rsidR="00504AAC" w:rsidRDefault="00932F5D" w:rsidP="00932F5D">
      <w:r w:rsidRPr="00932F5D">
        <w:t xml:space="preserve">Cancer that responds to </w:t>
      </w:r>
      <w:r w:rsidR="003A4D1A">
        <w:t>a</w:t>
      </w:r>
      <w:r w:rsidR="003A4D1A" w:rsidRPr="003A4D1A">
        <w:t xml:space="preserve">ndrogen </w:t>
      </w:r>
      <w:r w:rsidR="003A4D1A">
        <w:t>d</w:t>
      </w:r>
      <w:r w:rsidR="003A4D1A" w:rsidRPr="003A4D1A">
        <w:t xml:space="preserve">epletion </w:t>
      </w:r>
      <w:r w:rsidR="003A4D1A">
        <w:t>t</w:t>
      </w:r>
      <w:r w:rsidR="003A4D1A" w:rsidRPr="003A4D1A">
        <w:t>herapy</w:t>
      </w:r>
      <w:r w:rsidRPr="00932F5D">
        <w:t xml:space="preserve"> is referred to as ‘</w:t>
      </w:r>
      <w:r w:rsidR="00DD5496">
        <w:t>metastatic c</w:t>
      </w:r>
      <w:r w:rsidRPr="00932F5D">
        <w:t>astration sensitive</w:t>
      </w:r>
      <w:r w:rsidR="00DD5496">
        <w:t xml:space="preserve"> </w:t>
      </w:r>
      <w:r w:rsidRPr="00932F5D">
        <w:t xml:space="preserve">prostate cancer’ (mCSPC), but it inevitably ceases to respond and becomes </w:t>
      </w:r>
      <w:r w:rsidR="00DD5496">
        <w:t>m</w:t>
      </w:r>
      <w:r w:rsidR="00DD5496" w:rsidRPr="00DD5496">
        <w:t>etastatic castration resistant prostate cancer</w:t>
      </w:r>
      <w:r w:rsidRPr="00932F5D">
        <w:t xml:space="preserve"> (mCRPC). At this stage</w:t>
      </w:r>
      <w:r w:rsidR="00A976CF">
        <w:t>,</w:t>
      </w:r>
      <w:r w:rsidRPr="00932F5D">
        <w:t xml:space="preserve"> chemotherapy with taxanes can be commenced but many mCRPC tumours remain androgen driven albeit at very low androgen levels.</w:t>
      </w:r>
    </w:p>
    <w:p w14:paraId="20F4EA4F" w14:textId="0B1CBC44" w:rsidR="00504AAC" w:rsidRDefault="00932F5D" w:rsidP="00932F5D">
      <w:r w:rsidRPr="00932F5D">
        <w:t>Several</w:t>
      </w:r>
      <w:r w:rsidR="00DD5496">
        <w:t xml:space="preserve"> n</w:t>
      </w:r>
      <w:r w:rsidRPr="00932F5D">
        <w:t xml:space="preserve">ew </w:t>
      </w:r>
      <w:r w:rsidR="00DD5496">
        <w:t>h</w:t>
      </w:r>
      <w:r w:rsidRPr="00932F5D">
        <w:t xml:space="preserve">ormonal </w:t>
      </w:r>
      <w:r w:rsidR="00DD5496">
        <w:t>a</w:t>
      </w:r>
      <w:r w:rsidRPr="00932F5D">
        <w:t>gents have been developed w</w:t>
      </w:r>
      <w:r w:rsidR="00A976CF">
        <w:t>hich</w:t>
      </w:r>
      <w:r w:rsidRPr="00932F5D">
        <w:t xml:space="preserve"> directly antagonise androgens at the tumour level or, in the case of </w:t>
      </w:r>
      <w:r w:rsidR="00DD5496">
        <w:t>a</w:t>
      </w:r>
      <w:r w:rsidRPr="00932F5D">
        <w:t xml:space="preserve">biraterone, prevent androgen synthesis at the tumour level. The use of </w:t>
      </w:r>
      <w:r w:rsidR="00DD5496" w:rsidRPr="00DD5496">
        <w:t>new hormonal agents</w:t>
      </w:r>
      <w:r w:rsidRPr="00932F5D">
        <w:t xml:space="preserve"> is still evolving, and they can be used before taxanes, in combination with </w:t>
      </w:r>
      <w:r w:rsidR="003A4D1A">
        <w:t>a</w:t>
      </w:r>
      <w:r w:rsidR="003A4D1A" w:rsidRPr="003A4D1A">
        <w:t xml:space="preserve">ndrogen </w:t>
      </w:r>
      <w:r w:rsidR="003A4D1A">
        <w:t>d</w:t>
      </w:r>
      <w:r w:rsidR="003A4D1A" w:rsidRPr="003A4D1A">
        <w:t xml:space="preserve">epletion </w:t>
      </w:r>
      <w:r w:rsidR="003A4D1A">
        <w:t>t</w:t>
      </w:r>
      <w:r w:rsidR="003A4D1A" w:rsidRPr="003A4D1A">
        <w:t>herapy</w:t>
      </w:r>
      <w:r w:rsidRPr="00932F5D">
        <w:t>, or in combination with taxanes. Overall, there is a general trend to more aggressive therapy in early high-risk metastatic disease provided the patient is fit enough to tolerate this therapy.</w:t>
      </w:r>
    </w:p>
    <w:p w14:paraId="61A68811" w14:textId="2C941A86" w:rsidR="00504AAC" w:rsidRDefault="00932F5D" w:rsidP="00932F5D">
      <w:r w:rsidRPr="00932F5D">
        <w:t xml:space="preserve">The main adverse effects of </w:t>
      </w:r>
      <w:r w:rsidR="00DD5496">
        <w:t>a</w:t>
      </w:r>
      <w:r w:rsidRPr="00932F5D">
        <w:t xml:space="preserve">biraterone relate to mineralocorticoid excess, which can produce hypertension, hypokalaemia, and fluid retention. To combat this, prednisone or prednisolone is co-administered </w:t>
      </w:r>
      <w:r w:rsidR="00DD5496">
        <w:t>twice a day</w:t>
      </w:r>
      <w:r w:rsidRPr="00932F5D">
        <w:t xml:space="preserve">, and this can cause hyperglycaemia as well as steroid discontinuation syndromes when treatment is interrupted. </w:t>
      </w:r>
      <w:r w:rsidR="008C45B5">
        <w:t>Yonsa Mpred</w:t>
      </w:r>
      <w:r w:rsidRPr="00932F5D">
        <w:t xml:space="preserve"> replaces prednisone or prednisolone with methylprednisolone at a dose equivalence of 4</w:t>
      </w:r>
      <w:r w:rsidR="00DD5496">
        <w:t xml:space="preserve"> </w:t>
      </w:r>
      <w:r w:rsidRPr="00932F5D">
        <w:t>mg (</w:t>
      </w:r>
      <w:r w:rsidR="00DD5496">
        <w:t>methylprednisolone</w:t>
      </w:r>
      <w:r w:rsidRPr="00932F5D">
        <w:t>) to 5</w:t>
      </w:r>
      <w:r w:rsidR="00DD5496">
        <w:t> </w:t>
      </w:r>
      <w:r w:rsidRPr="00932F5D">
        <w:t>mg (</w:t>
      </w:r>
      <w:r w:rsidR="00DD5496">
        <w:t>prednisone</w:t>
      </w:r>
      <w:r w:rsidRPr="00932F5D">
        <w:t>).</w:t>
      </w:r>
    </w:p>
    <w:p w14:paraId="4FAA38D9" w14:textId="77777777" w:rsidR="00504AAC" w:rsidRDefault="00932F5D" w:rsidP="00932F5D">
      <w:r w:rsidRPr="00932F5D">
        <w:t xml:space="preserve">Hepatotoxicity can occur with </w:t>
      </w:r>
      <w:r w:rsidR="00DD5496">
        <w:t>a</w:t>
      </w:r>
      <w:r w:rsidRPr="00932F5D">
        <w:t>biraterone, which is hepatically metabolised, leading to increases in bilirubin and hepatic enzymes. Hepatic failure is rarely observed but treatment interruption is recommended in patients with markedly elevated liver enzymes.</w:t>
      </w:r>
    </w:p>
    <w:p w14:paraId="7586002E" w14:textId="47D961A5" w:rsidR="00932F5D" w:rsidRDefault="008C45B5" w:rsidP="00932F5D">
      <w:r>
        <w:t>Yonsa Mpred</w:t>
      </w:r>
      <w:r w:rsidR="00932F5D" w:rsidRPr="00932F5D">
        <w:t xml:space="preserve"> </w:t>
      </w:r>
      <w:r w:rsidR="002B7F4F">
        <w:t>contains</w:t>
      </w:r>
      <w:r w:rsidR="00932F5D" w:rsidRPr="00932F5D">
        <w:t xml:space="preserve"> a micronized formulation of </w:t>
      </w:r>
      <w:r w:rsidR="00DD5496">
        <w:t>a</w:t>
      </w:r>
      <w:r w:rsidR="00932F5D" w:rsidRPr="00932F5D">
        <w:t>biraterone</w:t>
      </w:r>
      <w:r w:rsidR="002B7F4F">
        <w:t xml:space="preserve"> acetate</w:t>
      </w:r>
      <w:r w:rsidR="00932F5D" w:rsidRPr="00932F5D">
        <w:t xml:space="preserve">. </w:t>
      </w:r>
      <w:r w:rsidR="002B7F4F">
        <w:t>The micronized formulation</w:t>
      </w:r>
      <w:r w:rsidR="00932F5D" w:rsidRPr="00932F5D">
        <w:t xml:space="preserve"> is intended to provide a lower-dose option to currently registered products with a comparable safety and efficacy profile. The recommended dose of Y</w:t>
      </w:r>
      <w:r w:rsidR="00DD5496">
        <w:t>onza</w:t>
      </w:r>
      <w:r w:rsidR="00932F5D" w:rsidRPr="00932F5D">
        <w:t xml:space="preserve"> </w:t>
      </w:r>
      <w:r w:rsidR="00DD5496">
        <w:t>Mpred</w:t>
      </w:r>
      <w:r w:rsidR="00932F5D" w:rsidRPr="00932F5D">
        <w:t xml:space="preserve"> is 500</w:t>
      </w:r>
      <w:r w:rsidR="00DD5496">
        <w:t xml:space="preserve"> </w:t>
      </w:r>
      <w:r w:rsidR="00932F5D" w:rsidRPr="00932F5D">
        <w:t xml:space="preserve">mg </w:t>
      </w:r>
      <w:r w:rsidR="002B7F4F">
        <w:t xml:space="preserve">abiraterone acetate </w:t>
      </w:r>
      <w:r w:rsidR="00DD5496">
        <w:t>once a day</w:t>
      </w:r>
      <w:r w:rsidR="00932F5D" w:rsidRPr="00932F5D">
        <w:t xml:space="preserve">, while the usual dose of currently registered </w:t>
      </w:r>
      <w:r w:rsidR="00DD5496">
        <w:t>a</w:t>
      </w:r>
      <w:r w:rsidR="00932F5D" w:rsidRPr="00932F5D">
        <w:t xml:space="preserve">biraterone </w:t>
      </w:r>
      <w:r w:rsidR="002B7F4F">
        <w:t xml:space="preserve">acetate </w:t>
      </w:r>
      <w:r w:rsidR="00932F5D" w:rsidRPr="00932F5D">
        <w:t xml:space="preserve">formulations is 1000mg </w:t>
      </w:r>
      <w:r w:rsidR="00DD5496">
        <w:t>once a day</w:t>
      </w:r>
      <w:r w:rsidR="00932F5D" w:rsidRPr="00932F5D">
        <w:t xml:space="preserve">. </w:t>
      </w:r>
      <w:r w:rsidR="00DD5496">
        <w:t>As</w:t>
      </w:r>
      <w:r w:rsidR="00932F5D" w:rsidRPr="00932F5D">
        <w:t xml:space="preserve"> the glucocorticoid dose is administered </w:t>
      </w:r>
      <w:r w:rsidR="00DD5496">
        <w:t>twice a day</w:t>
      </w:r>
      <w:r w:rsidR="00932F5D" w:rsidRPr="00932F5D">
        <w:t xml:space="preserve">, </w:t>
      </w:r>
      <w:r>
        <w:lastRenderedPageBreak/>
        <w:t>Yonsa Mpred</w:t>
      </w:r>
      <w:r w:rsidR="00932F5D" w:rsidRPr="00932F5D">
        <w:t xml:space="preserve"> is presented in a composite pack of micronized</w:t>
      </w:r>
      <w:r w:rsidR="00DD5496">
        <w:t xml:space="preserve"> a</w:t>
      </w:r>
      <w:r w:rsidR="00932F5D" w:rsidRPr="00932F5D">
        <w:t>biraterone tablets and methylprednisolone tablets.</w:t>
      </w:r>
    </w:p>
    <w:p w14:paraId="373A6EA8" w14:textId="50B99842" w:rsidR="00504AAC" w:rsidRDefault="002B7F4F" w:rsidP="00932F5D">
      <w:r>
        <w:t xml:space="preserve">At this time of this submission, there were two abiraterone </w:t>
      </w:r>
      <w:r w:rsidR="00FE3A3D">
        <w:t xml:space="preserve">acetate </w:t>
      </w:r>
      <w:r>
        <w:t>products registered in Australia: Zytiga 250 mg and 500 mg tablets</w:t>
      </w:r>
      <w:r w:rsidR="003A4D1A">
        <w:t>,</w:t>
      </w:r>
      <w:r w:rsidR="003A4D1A">
        <w:rPr>
          <w:rStyle w:val="FootnoteReference"/>
        </w:rPr>
        <w:footnoteReference w:id="1"/>
      </w:r>
      <w:r>
        <w:t xml:space="preserve"> and Janssen Abiraterone 500 mg tablets.</w:t>
      </w:r>
      <w:r w:rsidR="00504AAC">
        <w:t xml:space="preserve"> </w:t>
      </w:r>
      <w:r>
        <w:t xml:space="preserve">Both products were </w:t>
      </w:r>
      <w:r w:rsidR="00326F14">
        <w:t>Sponsor</w:t>
      </w:r>
      <w:r>
        <w:t>ed by Janssen-Cilag Pty Ltd.</w:t>
      </w:r>
      <w:r w:rsidR="00504AAC">
        <w:t xml:space="preserve"> </w:t>
      </w:r>
      <w:r w:rsidR="00FE3A3D">
        <w:t>There were no oral methylprednisolone products registered in Australia, only injectable presentations.</w:t>
      </w:r>
    </w:p>
    <w:p w14:paraId="0D615854" w14:textId="5053BB04" w:rsidR="00324B33" w:rsidRPr="003F31A2" w:rsidRDefault="00324B33" w:rsidP="00324B33">
      <w:pPr>
        <w:pStyle w:val="Heading3"/>
      </w:pPr>
      <w:bookmarkStart w:id="20" w:name="_Toc314842485"/>
      <w:bookmarkStart w:id="21" w:name="_Toc247691504"/>
      <w:bookmarkStart w:id="22" w:name="_Toc103679291"/>
      <w:bookmarkStart w:id="23" w:name="_Toc174009264"/>
      <w:r>
        <w:t>Regulatory status</w:t>
      </w:r>
      <w:bookmarkEnd w:id="20"/>
      <w:bookmarkEnd w:id="21"/>
      <w:bookmarkEnd w:id="22"/>
      <w:bookmarkEnd w:id="23"/>
    </w:p>
    <w:p w14:paraId="2894ADA7" w14:textId="114D5641" w:rsidR="00FE3A3D" w:rsidRPr="00BD5DBD" w:rsidRDefault="008C45B5" w:rsidP="00324B33">
      <w:pPr>
        <w:rPr>
          <w:szCs w:val="22"/>
        </w:rPr>
      </w:pPr>
      <w:r>
        <w:rPr>
          <w:szCs w:val="22"/>
        </w:rPr>
        <w:t>Yonsa Mpred</w:t>
      </w:r>
      <w:r w:rsidR="00324B33" w:rsidRPr="00BD5DBD">
        <w:rPr>
          <w:szCs w:val="22"/>
        </w:rPr>
        <w:t xml:space="preserve"> is considered</w:t>
      </w:r>
      <w:r w:rsidR="003A6A91">
        <w:rPr>
          <w:szCs w:val="22"/>
        </w:rPr>
        <w:t xml:space="preserve"> a new fixed combination</w:t>
      </w:r>
      <w:r w:rsidR="00FE3A3D">
        <w:rPr>
          <w:szCs w:val="22"/>
        </w:rPr>
        <w:t xml:space="preserve"> product for </w:t>
      </w:r>
      <w:r w:rsidR="00324B33" w:rsidRPr="00BD5DBD">
        <w:rPr>
          <w:szCs w:val="22"/>
        </w:rPr>
        <w:t>Australian regulatory purposes.</w:t>
      </w:r>
      <w:r w:rsidR="00504AAC">
        <w:rPr>
          <w:szCs w:val="22"/>
        </w:rPr>
        <w:t xml:space="preserve"> </w:t>
      </w:r>
      <w:r>
        <w:rPr>
          <w:szCs w:val="22"/>
        </w:rPr>
        <w:t>Yonsa Mpred</w:t>
      </w:r>
      <w:r w:rsidR="003A4D1A">
        <w:rPr>
          <w:szCs w:val="22"/>
        </w:rPr>
        <w:t xml:space="preserve"> contains a</w:t>
      </w:r>
      <w:r w:rsidR="001C5A1D">
        <w:rPr>
          <w:szCs w:val="22"/>
        </w:rPr>
        <w:t xml:space="preserve"> bottle of 125 mg a</w:t>
      </w:r>
      <w:r w:rsidR="00FE3A3D">
        <w:rPr>
          <w:szCs w:val="22"/>
        </w:rPr>
        <w:t>biraterone acetate tablets</w:t>
      </w:r>
      <w:r w:rsidR="001C5A1D">
        <w:rPr>
          <w:szCs w:val="22"/>
        </w:rPr>
        <w:t xml:space="preserve"> an</w:t>
      </w:r>
      <w:r w:rsidR="00FE3A3D">
        <w:rPr>
          <w:szCs w:val="22"/>
        </w:rPr>
        <w:t>d</w:t>
      </w:r>
      <w:r w:rsidR="001C5A1D">
        <w:rPr>
          <w:szCs w:val="22"/>
        </w:rPr>
        <w:t xml:space="preserve"> a bottle of 4 mg</w:t>
      </w:r>
      <w:r w:rsidR="00FE3A3D">
        <w:rPr>
          <w:szCs w:val="22"/>
        </w:rPr>
        <w:t xml:space="preserve"> methylprednisolone tablets</w:t>
      </w:r>
      <w:r w:rsidR="003A4D1A">
        <w:rPr>
          <w:szCs w:val="22"/>
        </w:rPr>
        <w:t xml:space="preserve"> that</w:t>
      </w:r>
      <w:r w:rsidR="001C5A1D">
        <w:rPr>
          <w:szCs w:val="22"/>
        </w:rPr>
        <w:t xml:space="preserve"> are packaged </w:t>
      </w:r>
      <w:r w:rsidR="00FE3A3D">
        <w:rPr>
          <w:szCs w:val="22"/>
        </w:rPr>
        <w:t xml:space="preserve">together </w:t>
      </w:r>
      <w:r w:rsidR="001C5A1D">
        <w:rPr>
          <w:szCs w:val="22"/>
        </w:rPr>
        <w:t>for registration as</w:t>
      </w:r>
      <w:r w:rsidR="00FE3A3D">
        <w:rPr>
          <w:szCs w:val="22"/>
        </w:rPr>
        <w:t xml:space="preserve"> </w:t>
      </w:r>
      <w:r w:rsidR="005303F4">
        <w:rPr>
          <w:szCs w:val="22"/>
        </w:rPr>
        <w:t>a</w:t>
      </w:r>
      <w:r w:rsidR="00FE3A3D">
        <w:rPr>
          <w:szCs w:val="22"/>
        </w:rPr>
        <w:t xml:space="preserve"> composite pack</w:t>
      </w:r>
      <w:r w:rsidR="001C5A1D">
        <w:rPr>
          <w:szCs w:val="22"/>
        </w:rPr>
        <w:t>.</w:t>
      </w:r>
      <w:r w:rsidR="00504AAC">
        <w:rPr>
          <w:szCs w:val="22"/>
        </w:rPr>
        <w:t xml:space="preserve"> </w:t>
      </w:r>
      <w:r w:rsidR="001C5A1D">
        <w:rPr>
          <w:szCs w:val="22"/>
        </w:rPr>
        <w:t>The bottles</w:t>
      </w:r>
      <w:r w:rsidR="00FE3A3D">
        <w:rPr>
          <w:szCs w:val="22"/>
        </w:rPr>
        <w:t xml:space="preserve"> are not available for</w:t>
      </w:r>
      <w:r w:rsidR="005303F4">
        <w:rPr>
          <w:szCs w:val="22"/>
        </w:rPr>
        <w:t xml:space="preserve"> individual</w:t>
      </w:r>
      <w:r w:rsidR="00FE3A3D">
        <w:rPr>
          <w:szCs w:val="22"/>
        </w:rPr>
        <w:t xml:space="preserve"> supply.</w:t>
      </w:r>
      <w:r w:rsidR="00504AAC">
        <w:rPr>
          <w:szCs w:val="22"/>
        </w:rPr>
        <w:t xml:space="preserve"> </w:t>
      </w:r>
      <w:r w:rsidR="00B70D79">
        <w:rPr>
          <w:szCs w:val="22"/>
        </w:rPr>
        <w:t>In other foreign regulatory regions, the</w:t>
      </w:r>
      <w:r w:rsidR="005303F4">
        <w:rPr>
          <w:szCs w:val="22"/>
        </w:rPr>
        <w:t xml:space="preserve"> tablets</w:t>
      </w:r>
      <w:r w:rsidR="00B70D79">
        <w:rPr>
          <w:szCs w:val="22"/>
        </w:rPr>
        <w:t xml:space="preserve"> are registered as </w:t>
      </w:r>
      <w:r w:rsidR="003A4D1A">
        <w:rPr>
          <w:szCs w:val="22"/>
        </w:rPr>
        <w:t>individual</w:t>
      </w:r>
      <w:r w:rsidR="00B70D79">
        <w:rPr>
          <w:szCs w:val="22"/>
        </w:rPr>
        <w:t xml:space="preserve"> products.</w:t>
      </w:r>
    </w:p>
    <w:p w14:paraId="2BC171F9" w14:textId="1E4D18BE" w:rsidR="00FE3A3D" w:rsidRDefault="00324B33" w:rsidP="00324B33">
      <w:pPr>
        <w:rPr>
          <w:szCs w:val="22"/>
        </w:rPr>
      </w:pPr>
      <w:r w:rsidRPr="00BD5DBD">
        <w:rPr>
          <w:szCs w:val="22"/>
        </w:rPr>
        <w:t>At the time the TGA considered this submission, a similar submission</w:t>
      </w:r>
      <w:r w:rsidR="00B70D79">
        <w:rPr>
          <w:szCs w:val="22"/>
        </w:rPr>
        <w:t xml:space="preserve"> </w:t>
      </w:r>
      <w:r w:rsidR="00B70D79" w:rsidRPr="00B70D79">
        <w:rPr>
          <w:szCs w:val="22"/>
        </w:rPr>
        <w:t>for abiraterone acetate tablets</w:t>
      </w:r>
      <w:r w:rsidR="005303F4">
        <w:rPr>
          <w:szCs w:val="22"/>
        </w:rPr>
        <w:t xml:space="preserve"> (without methylprednisolone)</w:t>
      </w:r>
      <w:r w:rsidRPr="00BD5DBD">
        <w:rPr>
          <w:szCs w:val="22"/>
        </w:rPr>
        <w:t xml:space="preserve"> had been approved </w:t>
      </w:r>
      <w:r w:rsidR="00B70D79">
        <w:rPr>
          <w:szCs w:val="22"/>
        </w:rPr>
        <w:t>by the US FDA on 22 May 2018. The approved indication was:</w:t>
      </w:r>
    </w:p>
    <w:p w14:paraId="29BA6B22" w14:textId="77777777" w:rsidR="00504AAC" w:rsidRDefault="00B70D79" w:rsidP="00B70D79">
      <w:pPr>
        <w:ind w:left="720"/>
        <w:rPr>
          <w:i/>
          <w:iCs/>
          <w:szCs w:val="22"/>
        </w:rPr>
      </w:pPr>
      <w:r w:rsidRPr="00B70D79">
        <w:rPr>
          <w:i/>
          <w:iCs/>
          <w:szCs w:val="22"/>
        </w:rPr>
        <w:t>Y</w:t>
      </w:r>
      <w:r w:rsidR="005303F4">
        <w:rPr>
          <w:i/>
          <w:iCs/>
          <w:szCs w:val="22"/>
        </w:rPr>
        <w:t>onsa</w:t>
      </w:r>
      <w:r w:rsidRPr="00B70D79">
        <w:rPr>
          <w:i/>
          <w:iCs/>
          <w:szCs w:val="22"/>
        </w:rPr>
        <w:t xml:space="preserve"> is a CYP17 inhibitor indicated in combination with methylprednisolone for the treatment of patients with metastatic castration-resistant prostate cancer (CRPC).</w:t>
      </w:r>
    </w:p>
    <w:p w14:paraId="399A7169" w14:textId="55DCA3C2" w:rsidR="00B70D79" w:rsidRDefault="00B70D79" w:rsidP="00324B33">
      <w:pPr>
        <w:rPr>
          <w:szCs w:val="22"/>
        </w:rPr>
      </w:pPr>
      <w:r>
        <w:rPr>
          <w:szCs w:val="22"/>
        </w:rPr>
        <w:t xml:space="preserve">The </w:t>
      </w:r>
      <w:r w:rsidR="00326F14">
        <w:rPr>
          <w:szCs w:val="22"/>
        </w:rPr>
        <w:t>Delegate</w:t>
      </w:r>
      <w:r>
        <w:rPr>
          <w:szCs w:val="22"/>
        </w:rPr>
        <w:t xml:space="preserve"> noted that the FDA indication was limited to mCRPC, which would preclude initially diagnosed patients included in the Australian indications for Abiraterone.</w:t>
      </w:r>
    </w:p>
    <w:p w14:paraId="79256550" w14:textId="6DA4D55E" w:rsidR="00B70D79" w:rsidRDefault="00B70D79" w:rsidP="00324B33">
      <w:pPr>
        <w:rPr>
          <w:szCs w:val="22"/>
        </w:rPr>
      </w:pPr>
      <w:r>
        <w:rPr>
          <w:szCs w:val="22"/>
        </w:rPr>
        <w:t>The abiraterone acetate tablets were still under consideratio</w:t>
      </w:r>
      <w:r w:rsidR="005303F4">
        <w:rPr>
          <w:szCs w:val="22"/>
        </w:rPr>
        <w:t xml:space="preserve">n by </w:t>
      </w:r>
      <w:r w:rsidR="005303F4" w:rsidRPr="005303F4">
        <w:rPr>
          <w:szCs w:val="22"/>
        </w:rPr>
        <w:t>Israel and New Zealand</w:t>
      </w:r>
      <w:r w:rsidR="005303F4">
        <w:rPr>
          <w:szCs w:val="22"/>
        </w:rPr>
        <w:t>.</w:t>
      </w:r>
    </w:p>
    <w:p w14:paraId="5E0F493A" w14:textId="5064B553" w:rsidR="00B70D79" w:rsidRDefault="00B70D79" w:rsidP="001C5A1D">
      <w:r>
        <w:t>At the time the TGA considered this submission, the methylprednisolone table</w:t>
      </w:r>
      <w:r w:rsidRPr="001C5A1D">
        <w:t>ts were approved in Finland, Sweden, Norway, Denmark, Poland, Czech Republic and Hungary.</w:t>
      </w:r>
    </w:p>
    <w:p w14:paraId="6D92589C" w14:textId="77777777" w:rsidR="00324B33" w:rsidRDefault="00324B33" w:rsidP="00324B33">
      <w:pPr>
        <w:pStyle w:val="Heading2"/>
      </w:pPr>
      <w:bookmarkStart w:id="24" w:name="_Toc504480011"/>
      <w:bookmarkStart w:id="25" w:name="_Toc103679293"/>
      <w:bookmarkStart w:id="26" w:name="_Toc174009265"/>
      <w:r>
        <w:t>Registration timeline</w:t>
      </w:r>
      <w:bookmarkEnd w:id="24"/>
      <w:bookmarkEnd w:id="25"/>
      <w:bookmarkEnd w:id="26"/>
    </w:p>
    <w:p w14:paraId="225E3D87" w14:textId="1F3070CE" w:rsidR="00324B33" w:rsidRPr="00BD5DBD" w:rsidRDefault="00324B33" w:rsidP="00324B33">
      <w:pPr>
        <w:rPr>
          <w:szCs w:val="22"/>
        </w:rPr>
      </w:pPr>
      <w:r w:rsidRPr="00BD5DBD">
        <w:rPr>
          <w:szCs w:val="22"/>
        </w:rPr>
        <w:t>The following table captures the key steps and dates for this submission.</w:t>
      </w:r>
    </w:p>
    <w:p w14:paraId="6BB76942" w14:textId="1DCFE258" w:rsidR="00477C4E" w:rsidRPr="00BD5DBD" w:rsidRDefault="00477C4E" w:rsidP="00324B33">
      <w:pPr>
        <w:rPr>
          <w:szCs w:val="22"/>
        </w:rPr>
      </w:pPr>
      <w:r w:rsidRPr="00BD5DBD">
        <w:rPr>
          <w:szCs w:val="22"/>
        </w:rPr>
        <w:t xml:space="preserve">This submission was evaluated under the </w:t>
      </w:r>
      <w:hyperlink r:id="rId16" w:history="1">
        <w:r w:rsidRPr="00BD5DBD">
          <w:rPr>
            <w:rStyle w:val="Hyperlink"/>
            <w:szCs w:val="22"/>
          </w:rPr>
          <w:t>standard prescription medicines registration process</w:t>
        </w:r>
      </w:hyperlink>
      <w:r w:rsidRPr="00BD5DBD">
        <w:rPr>
          <w:szCs w:val="22"/>
        </w:rPr>
        <w:t>.</w:t>
      </w:r>
    </w:p>
    <w:p w14:paraId="44628C5F" w14:textId="101A6982" w:rsidR="00324B33" w:rsidRDefault="00324B33" w:rsidP="0013528C">
      <w:pPr>
        <w:pStyle w:val="TableTitle"/>
      </w:pPr>
      <w:r>
        <w:t>Table</w:t>
      </w:r>
      <w:r w:rsidR="00AD14F0">
        <w:t xml:space="preserve"> 1</w:t>
      </w:r>
      <w:r>
        <w:t>:</w:t>
      </w:r>
      <w:r w:rsidRPr="006A58A8">
        <w:t xml:space="preserve"> Timeline for Submission PM-</w:t>
      </w:r>
      <w:r w:rsidR="00DD5496">
        <w:t>2020-04869-1-4</w:t>
      </w:r>
    </w:p>
    <w:tbl>
      <w:tblPr>
        <w:tblStyle w:val="TableTGAblue2023"/>
        <w:tblW w:w="8642" w:type="dxa"/>
        <w:tblLook w:val="04A0" w:firstRow="1" w:lastRow="0" w:firstColumn="1" w:lastColumn="0" w:noHBand="0" w:noVBand="1"/>
      </w:tblPr>
      <w:tblGrid>
        <w:gridCol w:w="6232"/>
        <w:gridCol w:w="2410"/>
      </w:tblGrid>
      <w:tr w:rsidR="00324B33" w:rsidRPr="00D01DDB" w14:paraId="6C59BE9C" w14:textId="77777777" w:rsidTr="006B1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16D80E78" w14:textId="3EC0CCAF" w:rsidR="00324B33" w:rsidRPr="00D01DDB" w:rsidRDefault="00324B33" w:rsidP="00324B33">
            <w:pPr>
              <w:rPr>
                <w:szCs w:val="22"/>
              </w:rPr>
            </w:pPr>
            <w:r w:rsidRPr="00D01DDB">
              <w:rPr>
                <w:szCs w:val="22"/>
              </w:rPr>
              <w:t>Description</w:t>
            </w:r>
          </w:p>
        </w:tc>
        <w:tc>
          <w:tcPr>
            <w:tcW w:w="2410" w:type="dxa"/>
          </w:tcPr>
          <w:p w14:paraId="79AFDC4B" w14:textId="05792035" w:rsidR="00324B33" w:rsidRPr="00D01DDB" w:rsidRDefault="00324B33" w:rsidP="00324B33">
            <w:pPr>
              <w:cnfStyle w:val="100000000000" w:firstRow="1" w:lastRow="0" w:firstColumn="0" w:lastColumn="0" w:oddVBand="0" w:evenVBand="0" w:oddHBand="0" w:evenHBand="0" w:firstRowFirstColumn="0" w:firstRowLastColumn="0" w:lastRowFirstColumn="0" w:lastRowLastColumn="0"/>
              <w:rPr>
                <w:szCs w:val="22"/>
              </w:rPr>
            </w:pPr>
            <w:r w:rsidRPr="00D01DDB">
              <w:rPr>
                <w:szCs w:val="22"/>
              </w:rPr>
              <w:t>Date</w:t>
            </w:r>
          </w:p>
        </w:tc>
      </w:tr>
      <w:tr w:rsidR="00324B33" w:rsidRPr="00D01DDB" w14:paraId="23610C53" w14:textId="77777777" w:rsidTr="006B1AFF">
        <w:tc>
          <w:tcPr>
            <w:cnfStyle w:val="001000000000" w:firstRow="0" w:lastRow="0" w:firstColumn="1" w:lastColumn="0" w:oddVBand="0" w:evenVBand="0" w:oddHBand="0" w:evenHBand="0" w:firstRowFirstColumn="0" w:firstRowLastColumn="0" w:lastRowFirstColumn="0" w:lastRowLastColumn="0"/>
            <w:tcW w:w="6232" w:type="dxa"/>
          </w:tcPr>
          <w:p w14:paraId="759D2A12" w14:textId="0D705F83" w:rsidR="00324B33" w:rsidRPr="00D01DDB" w:rsidRDefault="00324B33" w:rsidP="00324B33">
            <w:pPr>
              <w:rPr>
                <w:szCs w:val="22"/>
              </w:rPr>
            </w:pPr>
            <w:r w:rsidRPr="00D01DDB">
              <w:rPr>
                <w:szCs w:val="22"/>
              </w:rPr>
              <w:t>Submission dossier accepted and first round evaluation commenced</w:t>
            </w:r>
          </w:p>
        </w:tc>
        <w:tc>
          <w:tcPr>
            <w:tcW w:w="2410" w:type="dxa"/>
          </w:tcPr>
          <w:p w14:paraId="2963D9D8" w14:textId="146F9E8D" w:rsidR="00324B33" w:rsidRPr="00D01DDB" w:rsidRDefault="005303F4"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2 November 2020</w:t>
            </w:r>
          </w:p>
        </w:tc>
      </w:tr>
      <w:tr w:rsidR="00324B33" w:rsidRPr="00D01DDB" w14:paraId="53437815" w14:textId="77777777" w:rsidTr="006B1AFF">
        <w:tc>
          <w:tcPr>
            <w:cnfStyle w:val="001000000000" w:firstRow="0" w:lastRow="0" w:firstColumn="1" w:lastColumn="0" w:oddVBand="0" w:evenVBand="0" w:oddHBand="0" w:evenHBand="0" w:firstRowFirstColumn="0" w:firstRowLastColumn="0" w:lastRowFirstColumn="0" w:lastRowLastColumn="0"/>
            <w:tcW w:w="6232" w:type="dxa"/>
          </w:tcPr>
          <w:p w14:paraId="4C037D4E" w14:textId="2B0CE255" w:rsidR="00324B33" w:rsidRPr="00D01DDB" w:rsidRDefault="00324B33" w:rsidP="00324B33">
            <w:pPr>
              <w:rPr>
                <w:szCs w:val="22"/>
              </w:rPr>
            </w:pPr>
            <w:r w:rsidRPr="00D01DDB">
              <w:rPr>
                <w:szCs w:val="22"/>
              </w:rPr>
              <w:t>First round evaluation completed</w:t>
            </w:r>
          </w:p>
        </w:tc>
        <w:tc>
          <w:tcPr>
            <w:tcW w:w="2410" w:type="dxa"/>
          </w:tcPr>
          <w:p w14:paraId="3CEAFAAB" w14:textId="04AB5F64" w:rsidR="00324B33" w:rsidRPr="00D01DDB" w:rsidRDefault="005303F4"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31 March 2021</w:t>
            </w:r>
          </w:p>
        </w:tc>
      </w:tr>
      <w:tr w:rsidR="00324B33" w:rsidRPr="00D01DDB" w14:paraId="60DA57CC" w14:textId="77777777" w:rsidTr="006B1AFF">
        <w:tc>
          <w:tcPr>
            <w:cnfStyle w:val="001000000000" w:firstRow="0" w:lastRow="0" w:firstColumn="1" w:lastColumn="0" w:oddVBand="0" w:evenVBand="0" w:oddHBand="0" w:evenHBand="0" w:firstRowFirstColumn="0" w:firstRowLastColumn="0" w:lastRowFirstColumn="0" w:lastRowLastColumn="0"/>
            <w:tcW w:w="6232" w:type="dxa"/>
          </w:tcPr>
          <w:p w14:paraId="02EA1147" w14:textId="47E0F6CE" w:rsidR="00324B33" w:rsidRPr="00D01DDB" w:rsidRDefault="00326F14" w:rsidP="00324B33">
            <w:pPr>
              <w:rPr>
                <w:szCs w:val="22"/>
              </w:rPr>
            </w:pPr>
            <w:r>
              <w:rPr>
                <w:szCs w:val="22"/>
              </w:rPr>
              <w:t>Sponsor</w:t>
            </w:r>
            <w:r w:rsidR="00324B33" w:rsidRPr="00D01DDB">
              <w:rPr>
                <w:szCs w:val="22"/>
              </w:rPr>
              <w:t xml:space="preserve"> provides responses on questions raised in first round evaluation</w:t>
            </w:r>
          </w:p>
        </w:tc>
        <w:tc>
          <w:tcPr>
            <w:tcW w:w="2410" w:type="dxa"/>
          </w:tcPr>
          <w:p w14:paraId="68A577C1" w14:textId="2EB18E86" w:rsidR="00324B33" w:rsidRPr="00D01DDB" w:rsidRDefault="005303F4"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2 June 2021</w:t>
            </w:r>
          </w:p>
        </w:tc>
      </w:tr>
      <w:tr w:rsidR="00324B33" w:rsidRPr="00D01DDB" w14:paraId="767E33A4" w14:textId="77777777" w:rsidTr="006B1AFF">
        <w:tc>
          <w:tcPr>
            <w:cnfStyle w:val="001000000000" w:firstRow="0" w:lastRow="0" w:firstColumn="1" w:lastColumn="0" w:oddVBand="0" w:evenVBand="0" w:oddHBand="0" w:evenHBand="0" w:firstRowFirstColumn="0" w:firstRowLastColumn="0" w:lastRowFirstColumn="0" w:lastRowLastColumn="0"/>
            <w:tcW w:w="6232" w:type="dxa"/>
          </w:tcPr>
          <w:p w14:paraId="4AFC5B50" w14:textId="2BCC6A3E" w:rsidR="00324B33" w:rsidRPr="00D01DDB" w:rsidRDefault="00324B33" w:rsidP="00324B33">
            <w:pPr>
              <w:rPr>
                <w:szCs w:val="22"/>
              </w:rPr>
            </w:pPr>
            <w:r w:rsidRPr="00D01DDB">
              <w:rPr>
                <w:szCs w:val="22"/>
              </w:rPr>
              <w:t>Second round evaluation completed</w:t>
            </w:r>
          </w:p>
        </w:tc>
        <w:tc>
          <w:tcPr>
            <w:tcW w:w="2410" w:type="dxa"/>
          </w:tcPr>
          <w:p w14:paraId="4E47DF62" w14:textId="1CDD6B1E" w:rsidR="00324B33" w:rsidRPr="00D01DDB" w:rsidRDefault="005303F4"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5 November 2021</w:t>
            </w:r>
          </w:p>
        </w:tc>
      </w:tr>
      <w:tr w:rsidR="00324B33" w:rsidRPr="00D01DDB" w14:paraId="302FCB45" w14:textId="77777777" w:rsidTr="006B1AFF">
        <w:tc>
          <w:tcPr>
            <w:cnfStyle w:val="001000000000" w:firstRow="0" w:lastRow="0" w:firstColumn="1" w:lastColumn="0" w:oddVBand="0" w:evenVBand="0" w:oddHBand="0" w:evenHBand="0" w:firstRowFirstColumn="0" w:firstRowLastColumn="0" w:lastRowFirstColumn="0" w:lastRowLastColumn="0"/>
            <w:tcW w:w="6232" w:type="dxa"/>
          </w:tcPr>
          <w:p w14:paraId="716E9DC1" w14:textId="2483A109" w:rsidR="00324B33" w:rsidRPr="00D01DDB" w:rsidRDefault="00326F14" w:rsidP="00324B33">
            <w:pPr>
              <w:rPr>
                <w:szCs w:val="22"/>
              </w:rPr>
            </w:pPr>
            <w:r>
              <w:rPr>
                <w:szCs w:val="22"/>
              </w:rPr>
              <w:t>Delegate</w:t>
            </w:r>
            <w:r w:rsidR="00324B33" w:rsidRPr="00D01DDB">
              <w:rPr>
                <w:szCs w:val="22"/>
              </w:rPr>
              <w:t xml:space="preserve">’s Overall benefit-risk assessment </w:t>
            </w:r>
          </w:p>
        </w:tc>
        <w:tc>
          <w:tcPr>
            <w:tcW w:w="2410" w:type="dxa"/>
          </w:tcPr>
          <w:p w14:paraId="3BA6EF79" w14:textId="616AB567" w:rsidR="00324B33" w:rsidRPr="00D01DDB" w:rsidRDefault="005303F4"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1 March 2022</w:t>
            </w:r>
          </w:p>
        </w:tc>
      </w:tr>
      <w:tr w:rsidR="00324B33" w:rsidRPr="00D01DDB" w14:paraId="6E5D32FE" w14:textId="77777777" w:rsidTr="006B1AFF">
        <w:tc>
          <w:tcPr>
            <w:cnfStyle w:val="001000000000" w:firstRow="0" w:lastRow="0" w:firstColumn="1" w:lastColumn="0" w:oddVBand="0" w:evenVBand="0" w:oddHBand="0" w:evenHBand="0" w:firstRowFirstColumn="0" w:firstRowLastColumn="0" w:lastRowFirstColumn="0" w:lastRowLastColumn="0"/>
            <w:tcW w:w="6232" w:type="dxa"/>
          </w:tcPr>
          <w:p w14:paraId="4E95C44C" w14:textId="7A91C710" w:rsidR="00324B33" w:rsidRPr="00D01DDB" w:rsidRDefault="00324B33" w:rsidP="00324B33">
            <w:pPr>
              <w:rPr>
                <w:szCs w:val="22"/>
              </w:rPr>
            </w:pPr>
            <w:r w:rsidRPr="00D01DDB">
              <w:rPr>
                <w:szCs w:val="22"/>
              </w:rPr>
              <w:t>Registration decision (Outcome)</w:t>
            </w:r>
          </w:p>
        </w:tc>
        <w:tc>
          <w:tcPr>
            <w:tcW w:w="2410" w:type="dxa"/>
          </w:tcPr>
          <w:p w14:paraId="62987ABD" w14:textId="265D6C2A" w:rsidR="00324B33" w:rsidRPr="00D01DDB" w:rsidRDefault="005303F4"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24 March 2022</w:t>
            </w:r>
          </w:p>
        </w:tc>
      </w:tr>
      <w:tr w:rsidR="00324B33" w:rsidRPr="00D01DDB" w14:paraId="6DDCDDA4" w14:textId="77777777" w:rsidTr="006B1AFF">
        <w:tc>
          <w:tcPr>
            <w:cnfStyle w:val="001000000000" w:firstRow="0" w:lastRow="0" w:firstColumn="1" w:lastColumn="0" w:oddVBand="0" w:evenVBand="0" w:oddHBand="0" w:evenHBand="0" w:firstRowFirstColumn="0" w:firstRowLastColumn="0" w:lastRowFirstColumn="0" w:lastRowLastColumn="0"/>
            <w:tcW w:w="6232" w:type="dxa"/>
          </w:tcPr>
          <w:p w14:paraId="192FD19D" w14:textId="7D5F96C5" w:rsidR="00324B33" w:rsidRPr="00D01DDB" w:rsidRDefault="0013132F" w:rsidP="00324B33">
            <w:pPr>
              <w:rPr>
                <w:szCs w:val="22"/>
              </w:rPr>
            </w:pPr>
            <w:r>
              <w:lastRenderedPageBreak/>
              <w:t>Administrative activities and registration on the ARTG completed</w:t>
            </w:r>
          </w:p>
        </w:tc>
        <w:tc>
          <w:tcPr>
            <w:tcW w:w="2410" w:type="dxa"/>
          </w:tcPr>
          <w:p w14:paraId="5A8923FD" w14:textId="2EEC9532" w:rsidR="00324B33" w:rsidRPr="00D01DDB" w:rsidRDefault="005303F4"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29 March 2022</w:t>
            </w:r>
          </w:p>
        </w:tc>
      </w:tr>
      <w:tr w:rsidR="00324B33" w:rsidRPr="00D01DDB" w14:paraId="56D922E2" w14:textId="77777777" w:rsidTr="006B1AFF">
        <w:tc>
          <w:tcPr>
            <w:cnfStyle w:val="001000000000" w:firstRow="0" w:lastRow="0" w:firstColumn="1" w:lastColumn="0" w:oddVBand="0" w:evenVBand="0" w:oddHBand="0" w:evenHBand="0" w:firstRowFirstColumn="0" w:firstRowLastColumn="0" w:lastRowFirstColumn="0" w:lastRowLastColumn="0"/>
            <w:tcW w:w="6232" w:type="dxa"/>
          </w:tcPr>
          <w:p w14:paraId="787FD8DD" w14:textId="0E0CF97F" w:rsidR="00324B33" w:rsidRPr="00D01DDB" w:rsidRDefault="00324B33" w:rsidP="00324B33">
            <w:pPr>
              <w:rPr>
                <w:szCs w:val="22"/>
              </w:rPr>
            </w:pPr>
            <w:r w:rsidRPr="00D01DDB">
              <w:rPr>
                <w:szCs w:val="22"/>
              </w:rPr>
              <w:t>Number of working days from submission dossier acceptance to registration decision*</w:t>
            </w:r>
          </w:p>
        </w:tc>
        <w:tc>
          <w:tcPr>
            <w:tcW w:w="2410" w:type="dxa"/>
          </w:tcPr>
          <w:p w14:paraId="5BAF9FA1" w14:textId="505BD3B0" w:rsidR="00324B33" w:rsidRPr="00D01DDB" w:rsidRDefault="00A261AE" w:rsidP="00324B33">
            <w:pPr>
              <w:cnfStyle w:val="000000000000" w:firstRow="0" w:lastRow="0" w:firstColumn="0" w:lastColumn="0" w:oddVBand="0" w:evenVBand="0" w:oddHBand="0" w:evenHBand="0" w:firstRowFirstColumn="0" w:firstRowLastColumn="0" w:lastRowFirstColumn="0" w:lastRowLastColumn="0"/>
              <w:rPr>
                <w:szCs w:val="22"/>
              </w:rPr>
            </w:pPr>
            <w:r>
              <w:rPr>
                <w:szCs w:val="22"/>
              </w:rPr>
              <w:t>206</w:t>
            </w:r>
          </w:p>
        </w:tc>
      </w:tr>
    </w:tbl>
    <w:p w14:paraId="7B02554C" w14:textId="77777777" w:rsidR="00433318" w:rsidRDefault="00433318" w:rsidP="00433318">
      <w:pPr>
        <w:pStyle w:val="TableDescription"/>
      </w:pPr>
      <w:r>
        <w:t>*</w:t>
      </w:r>
      <w:r w:rsidRPr="00BF3774">
        <w:t xml:space="preserve">Statutory </w:t>
      </w:r>
      <w:r>
        <w:t>timeframe for standard submissions is 255 working days</w:t>
      </w:r>
    </w:p>
    <w:p w14:paraId="220925F1" w14:textId="77777777" w:rsidR="00C22214" w:rsidRPr="00792A32" w:rsidRDefault="00C22214" w:rsidP="00C22214">
      <w:pPr>
        <w:pStyle w:val="Heading2"/>
      </w:pPr>
      <w:bookmarkStart w:id="27" w:name="_Toc196046504"/>
      <w:bookmarkStart w:id="28" w:name="_Toc247691527"/>
      <w:bookmarkStart w:id="29" w:name="_Toc314842510"/>
      <w:bookmarkStart w:id="30" w:name="_Toc103679294"/>
      <w:bookmarkStart w:id="31" w:name="_Toc174009266"/>
      <w:r w:rsidRPr="00006FAB">
        <w:t xml:space="preserve">Submission overview </w:t>
      </w:r>
      <w:r w:rsidRPr="00792A32">
        <w:t xml:space="preserve">and </w:t>
      </w:r>
      <w:r>
        <w:t>r</w:t>
      </w:r>
      <w:r w:rsidRPr="00792A32">
        <w:t>isk/</w:t>
      </w:r>
      <w:r>
        <w:t>b</w:t>
      </w:r>
      <w:r w:rsidRPr="00792A32">
        <w:t xml:space="preserve">enefit </w:t>
      </w:r>
      <w:r>
        <w:t>a</w:t>
      </w:r>
      <w:r w:rsidRPr="00792A32">
        <w:t>ssessment</w:t>
      </w:r>
      <w:bookmarkEnd w:id="27"/>
      <w:bookmarkEnd w:id="28"/>
      <w:bookmarkEnd w:id="29"/>
      <w:bookmarkEnd w:id="30"/>
      <w:bookmarkEnd w:id="31"/>
    </w:p>
    <w:p w14:paraId="540151FC" w14:textId="77777777" w:rsidR="00C22214" w:rsidRPr="00BD5DBD" w:rsidRDefault="00C22214" w:rsidP="00BD5DBD">
      <w:pPr>
        <w:rPr>
          <w:szCs w:val="22"/>
        </w:rPr>
      </w:pPr>
      <w:bookmarkStart w:id="32" w:name="_Toc247691528"/>
      <w:bookmarkStart w:id="33" w:name="_Toc314842511"/>
      <w:r w:rsidRPr="00BD5DBD">
        <w:rPr>
          <w:szCs w:val="22"/>
        </w:rPr>
        <w:t>A summary of the TGA’s assessment for this submission is provided below.</w:t>
      </w:r>
    </w:p>
    <w:p w14:paraId="37F5A1C0" w14:textId="77777777" w:rsidR="00C22214" w:rsidRDefault="00C22214" w:rsidP="00C22214">
      <w:pPr>
        <w:pStyle w:val="Heading3"/>
      </w:pPr>
      <w:bookmarkStart w:id="34" w:name="_Toc103679295"/>
      <w:bookmarkStart w:id="35" w:name="_Toc174009267"/>
      <w:r>
        <w:t>Quality</w:t>
      </w:r>
      <w:bookmarkEnd w:id="32"/>
      <w:bookmarkEnd w:id="33"/>
      <w:bookmarkEnd w:id="34"/>
      <w:bookmarkEnd w:id="35"/>
    </w:p>
    <w:p w14:paraId="4FEB6420" w14:textId="623E1154" w:rsidR="00504AAC" w:rsidRDefault="008C45B5" w:rsidP="00A261AE">
      <w:r>
        <w:t>Yonsa Mpred</w:t>
      </w:r>
      <w:r w:rsidR="00A261AE">
        <w:t xml:space="preserve"> is a composite pack containing abiraterone acetate tablets and methylprednisolone tablets.</w:t>
      </w:r>
    </w:p>
    <w:p w14:paraId="562EF47C" w14:textId="6FACB6BD" w:rsidR="00235BE6" w:rsidRDefault="00235BE6" w:rsidP="004F03AA">
      <w:pPr>
        <w:pStyle w:val="Heading4"/>
      </w:pPr>
      <w:bookmarkStart w:id="36" w:name="_Toc174009268"/>
      <w:r>
        <w:t>Abiraterone acetate</w:t>
      </w:r>
      <w:bookmarkEnd w:id="36"/>
    </w:p>
    <w:p w14:paraId="5777FF0C" w14:textId="66F980C6" w:rsidR="00A261AE" w:rsidRDefault="004F03AA" w:rsidP="00A261AE">
      <w:r>
        <w:t>The active ingredient, a</w:t>
      </w:r>
      <w:r w:rsidR="00A261AE">
        <w:t>biraterone acetate</w:t>
      </w:r>
      <w:r>
        <w:t xml:space="preserve"> is a </w:t>
      </w:r>
      <w:r w:rsidRPr="004F03AA">
        <w:t>white to off-white, non-hygroscopic, crystalline powder, which is practically insoluble in water. It</w:t>
      </w:r>
      <w:r w:rsidR="00A261AE">
        <w:t xml:space="preserve"> has the following structure (</w:t>
      </w:r>
      <w:r w:rsidR="00A261AE">
        <w:fldChar w:fldCharType="begin"/>
      </w:r>
      <w:r w:rsidR="00A261AE">
        <w:instrText xml:space="preserve"> REF _Ref136861338 \h </w:instrText>
      </w:r>
      <w:r w:rsidR="00A261AE">
        <w:fldChar w:fldCharType="separate"/>
      </w:r>
      <w:r w:rsidR="00A261AE">
        <w:t xml:space="preserve">Figure </w:t>
      </w:r>
      <w:r w:rsidR="00A261AE">
        <w:rPr>
          <w:noProof/>
        </w:rPr>
        <w:t>1</w:t>
      </w:r>
      <w:r w:rsidR="00A261AE">
        <w:fldChar w:fldCharType="end"/>
      </w:r>
      <w:r w:rsidR="00A261AE">
        <w:t>).</w:t>
      </w:r>
    </w:p>
    <w:p w14:paraId="0C1EE60D" w14:textId="1CA6A7C9" w:rsidR="00A261AE" w:rsidRDefault="00A261AE" w:rsidP="004F03AA">
      <w:pPr>
        <w:pStyle w:val="FigureTitle"/>
      </w:pPr>
      <w:bookmarkStart w:id="37" w:name="_Ref136861338"/>
      <w:r>
        <w:t xml:space="preserve">Figure </w:t>
      </w:r>
      <w:r>
        <w:fldChar w:fldCharType="begin"/>
      </w:r>
      <w:r>
        <w:instrText xml:space="preserve"> SEQ Figure \* ARABIC </w:instrText>
      </w:r>
      <w:r>
        <w:fldChar w:fldCharType="separate"/>
      </w:r>
      <w:r w:rsidR="00906D3E">
        <w:rPr>
          <w:noProof/>
        </w:rPr>
        <w:t>1</w:t>
      </w:r>
      <w:r>
        <w:rPr>
          <w:noProof/>
        </w:rPr>
        <w:fldChar w:fldCharType="end"/>
      </w:r>
      <w:bookmarkEnd w:id="37"/>
      <w:r>
        <w:t>: Chemical structure of abiraterone acetate</w:t>
      </w:r>
    </w:p>
    <w:p w14:paraId="407F95C6" w14:textId="3EC7FBE5" w:rsidR="00906D3E" w:rsidRPr="00906D3E" w:rsidRDefault="00906D3E" w:rsidP="00906D3E">
      <w:r>
        <w:rPr>
          <w:noProof/>
        </w:rPr>
        <w:drawing>
          <wp:inline distT="0" distB="0" distL="0" distR="0" wp14:anchorId="19175C48" wp14:editId="61A5DD25">
            <wp:extent cx="2047640" cy="1396988"/>
            <wp:effectExtent l="0" t="0" r="0" b="0"/>
            <wp:docPr id="1" name="Picture 1" descr="This figure shows the chemical structure of abiraterone ace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figure shows the chemical structure of abiraterone acetate."/>
                    <pic:cNvPicPr/>
                  </pic:nvPicPr>
                  <pic:blipFill>
                    <a:blip r:embed="rId17"/>
                    <a:stretch>
                      <a:fillRect/>
                    </a:stretch>
                  </pic:blipFill>
                  <pic:spPr>
                    <a:xfrm>
                      <a:off x="0" y="0"/>
                      <a:ext cx="2073395" cy="1414559"/>
                    </a:xfrm>
                    <a:prstGeom prst="rect">
                      <a:avLst/>
                    </a:prstGeom>
                  </pic:spPr>
                </pic:pic>
              </a:graphicData>
            </a:graphic>
          </wp:inline>
        </w:drawing>
      </w:r>
    </w:p>
    <w:p w14:paraId="034AE211" w14:textId="70DA2299" w:rsidR="00235BE6" w:rsidRDefault="00A261AE" w:rsidP="00504AAC">
      <w:r>
        <w:t xml:space="preserve">The </w:t>
      </w:r>
      <w:r w:rsidR="00235BE6">
        <w:t xml:space="preserve">proposed </w:t>
      </w:r>
      <w:r>
        <w:t xml:space="preserve">abiraterone acetate tablets </w:t>
      </w:r>
      <w:r w:rsidR="00235BE6">
        <w:t>are w</w:t>
      </w:r>
      <w:r w:rsidR="00235BE6" w:rsidRPr="00235BE6">
        <w:t>hite to off-white modified oval shaped</w:t>
      </w:r>
      <w:r w:rsidR="000570AC">
        <w:t xml:space="preserve"> and</w:t>
      </w:r>
      <w:r w:rsidR="00235BE6" w:rsidRPr="00235BE6">
        <w:t xml:space="preserve"> debossed with</w:t>
      </w:r>
      <w:r w:rsidR="00235BE6">
        <w:t xml:space="preserve"> </w:t>
      </w:r>
      <w:r w:rsidR="00235BE6" w:rsidRPr="00235BE6">
        <w:t>‘125 FP’.</w:t>
      </w:r>
      <w:r w:rsidR="00504AAC">
        <w:t xml:space="preserve"> </w:t>
      </w:r>
      <w:r w:rsidR="00235BE6">
        <w:t>The</w:t>
      </w:r>
      <w:r w:rsidR="004F03AA">
        <w:t xml:space="preserve"> tablets</w:t>
      </w:r>
      <w:r w:rsidR="00235BE6">
        <w:t xml:space="preserve"> </w:t>
      </w:r>
      <w:r w:rsidR="00235BE6" w:rsidRPr="00235BE6">
        <w:t>contain a micronized form of the active ingredient, resulting in a supra-bioavailable formulation of abiraterone compared</w:t>
      </w:r>
      <w:r w:rsidR="00906D3E">
        <w:t xml:space="preserve"> to</w:t>
      </w:r>
      <w:r w:rsidR="00235BE6" w:rsidRPr="00235BE6">
        <w:t xml:space="preserve"> the currently registered Australian abiraterone tablet</w:t>
      </w:r>
      <w:r w:rsidR="003A6A91">
        <w:t>s</w:t>
      </w:r>
      <w:r w:rsidR="00235BE6" w:rsidRPr="00235BE6">
        <w:t>.</w:t>
      </w:r>
    </w:p>
    <w:p w14:paraId="5707C05C" w14:textId="43556215" w:rsidR="00235BE6" w:rsidRDefault="00235BE6" w:rsidP="00504AAC">
      <w:r>
        <w:t>The tablets are packaged in HDPE bottles containing 120 tablets and are stable for 48 months when stored below 25°C.</w:t>
      </w:r>
    </w:p>
    <w:p w14:paraId="0C4BC482" w14:textId="77777777" w:rsidR="00504AAC" w:rsidRDefault="00235BE6" w:rsidP="00504AAC">
      <w:r>
        <w:t xml:space="preserve">The quality </w:t>
      </w:r>
      <w:r w:rsidR="00906D3E">
        <w:t xml:space="preserve">evaluation considered the chemistry, manufacture and quality of </w:t>
      </w:r>
      <w:r w:rsidR="004F03AA">
        <w:t>abiraterone acetate</w:t>
      </w:r>
      <w:r w:rsidR="00906D3E">
        <w:t xml:space="preserve"> t</w:t>
      </w:r>
      <w:r>
        <w:t xml:space="preserve">ablets </w:t>
      </w:r>
      <w:r w:rsidR="004F03AA">
        <w:t>acceptable</w:t>
      </w:r>
      <w:r>
        <w:t>.</w:t>
      </w:r>
    </w:p>
    <w:p w14:paraId="4DA14D0A" w14:textId="6A6A5500" w:rsidR="00235BE6" w:rsidRDefault="00235BE6" w:rsidP="004F03AA">
      <w:pPr>
        <w:pStyle w:val="Heading4"/>
      </w:pPr>
      <w:bookmarkStart w:id="38" w:name="_Toc174009269"/>
      <w:r>
        <w:t>Methylprednisolone</w:t>
      </w:r>
      <w:bookmarkEnd w:id="38"/>
    </w:p>
    <w:p w14:paraId="74567FD0" w14:textId="551D2049" w:rsidR="00235BE6" w:rsidRDefault="00235BE6" w:rsidP="00A261AE">
      <w:r>
        <w:t>Methylprednisolone</w:t>
      </w:r>
      <w:r w:rsidR="004F03AA">
        <w:t xml:space="preserve"> is a</w:t>
      </w:r>
      <w:r>
        <w:t xml:space="preserve"> </w:t>
      </w:r>
      <w:r w:rsidR="004F03AA" w:rsidRPr="004F03AA">
        <w:t>white to practically white, odourless, crystalline powder</w:t>
      </w:r>
      <w:r w:rsidR="004F03AA">
        <w:t>, which is practically insoluble in water.</w:t>
      </w:r>
      <w:r w:rsidR="00504AAC">
        <w:t xml:space="preserve"> </w:t>
      </w:r>
      <w:r w:rsidR="004F03AA">
        <w:t xml:space="preserve">It </w:t>
      </w:r>
      <w:r>
        <w:t>has the following structure (</w:t>
      </w:r>
      <w:r w:rsidR="00906D3E">
        <w:fldChar w:fldCharType="begin"/>
      </w:r>
      <w:r w:rsidR="00906D3E">
        <w:instrText xml:space="preserve"> REF _Ref136862205 \h </w:instrText>
      </w:r>
      <w:r w:rsidR="00906D3E">
        <w:fldChar w:fldCharType="separate"/>
      </w:r>
      <w:r w:rsidR="00906D3E">
        <w:t xml:space="preserve">Figure </w:t>
      </w:r>
      <w:r w:rsidR="00906D3E">
        <w:rPr>
          <w:noProof/>
        </w:rPr>
        <w:t>2</w:t>
      </w:r>
      <w:r w:rsidR="00906D3E">
        <w:fldChar w:fldCharType="end"/>
      </w:r>
      <w:r w:rsidR="00906D3E">
        <w:t>).</w:t>
      </w:r>
    </w:p>
    <w:p w14:paraId="552E4779" w14:textId="68D782E0" w:rsidR="00906D3E" w:rsidRDefault="00906D3E" w:rsidP="004F03AA">
      <w:pPr>
        <w:pStyle w:val="FigureTitle"/>
      </w:pPr>
      <w:bookmarkStart w:id="39" w:name="_Ref136862205"/>
      <w:r>
        <w:lastRenderedPageBreak/>
        <w:t xml:space="preserve">Figure </w:t>
      </w:r>
      <w:r>
        <w:fldChar w:fldCharType="begin"/>
      </w:r>
      <w:r>
        <w:instrText xml:space="preserve"> SEQ Figure \* ARABIC </w:instrText>
      </w:r>
      <w:r>
        <w:fldChar w:fldCharType="separate"/>
      </w:r>
      <w:r>
        <w:rPr>
          <w:noProof/>
        </w:rPr>
        <w:t>2</w:t>
      </w:r>
      <w:r>
        <w:rPr>
          <w:noProof/>
        </w:rPr>
        <w:fldChar w:fldCharType="end"/>
      </w:r>
      <w:bookmarkEnd w:id="39"/>
      <w:r>
        <w:t>: Chemical structure of methylprednisolone</w:t>
      </w:r>
    </w:p>
    <w:p w14:paraId="2EC4CD27" w14:textId="15A68656" w:rsidR="00906D3E" w:rsidRPr="00906D3E" w:rsidRDefault="00906D3E" w:rsidP="00906D3E">
      <w:r>
        <w:rPr>
          <w:noProof/>
        </w:rPr>
        <w:drawing>
          <wp:inline distT="0" distB="0" distL="0" distR="0" wp14:anchorId="307C41CC" wp14:editId="62A9FC75">
            <wp:extent cx="1632592" cy="1501775"/>
            <wp:effectExtent l="0" t="0" r="5715" b="3175"/>
            <wp:docPr id="2" name="Picture 2" descr="This figure shows the chemical structure of methylpredniso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figure shows the chemical structure of methylprednisolone."/>
                    <pic:cNvPicPr/>
                  </pic:nvPicPr>
                  <pic:blipFill>
                    <a:blip r:embed="rId18"/>
                    <a:stretch>
                      <a:fillRect/>
                    </a:stretch>
                  </pic:blipFill>
                  <pic:spPr>
                    <a:xfrm>
                      <a:off x="0" y="0"/>
                      <a:ext cx="1638388" cy="1507107"/>
                    </a:xfrm>
                    <a:prstGeom prst="rect">
                      <a:avLst/>
                    </a:prstGeom>
                  </pic:spPr>
                </pic:pic>
              </a:graphicData>
            </a:graphic>
          </wp:inline>
        </w:drawing>
      </w:r>
    </w:p>
    <w:p w14:paraId="7174B2ED" w14:textId="13EAC4E8" w:rsidR="00906D3E" w:rsidRDefault="00906D3E" w:rsidP="00906D3E">
      <w:r>
        <w:t>Methylprednisolone tablets are w</w:t>
      </w:r>
      <w:r w:rsidRPr="00906D3E">
        <w:t>hite to almost white, round, flat, bevelled edge</w:t>
      </w:r>
      <w:r w:rsidR="000570AC">
        <w:t xml:space="preserve"> and</w:t>
      </w:r>
      <w:r w:rsidRPr="00906D3E">
        <w:t xml:space="preserve"> scored</w:t>
      </w:r>
      <w:r w:rsidR="000570AC">
        <w:t>.</w:t>
      </w:r>
      <w:r w:rsidR="00504AAC">
        <w:t xml:space="preserve"> </w:t>
      </w:r>
      <w:r>
        <w:t>The tablets are packaged in HDPE bottles containing 60 tablets and are stable for 36 months when stored below 25</w:t>
      </w:r>
      <w:r w:rsidRPr="00906D3E">
        <w:t>°C</w:t>
      </w:r>
      <w:r>
        <w:t>.</w:t>
      </w:r>
    </w:p>
    <w:p w14:paraId="0A884E83" w14:textId="373017D5" w:rsidR="00906D3E" w:rsidRPr="00906D3E" w:rsidRDefault="00906D3E" w:rsidP="00906D3E">
      <w:r w:rsidRPr="00906D3E">
        <w:t>The quality evaluation considered the chemistry, manufacture and quality of the tablets a</w:t>
      </w:r>
      <w:r w:rsidR="004F03AA">
        <w:t>cceptable</w:t>
      </w:r>
      <w:r w:rsidRPr="00906D3E">
        <w:t>.</w:t>
      </w:r>
    </w:p>
    <w:p w14:paraId="2BE90AAE" w14:textId="77777777" w:rsidR="00C22214" w:rsidRDefault="00C22214" w:rsidP="00C22214">
      <w:pPr>
        <w:pStyle w:val="Heading3"/>
      </w:pPr>
      <w:bookmarkStart w:id="40" w:name="_Toc314842512"/>
      <w:bookmarkStart w:id="41" w:name="_Toc103679296"/>
      <w:bookmarkStart w:id="42" w:name="_Toc174009270"/>
      <w:r>
        <w:t>Nonclinical</w:t>
      </w:r>
      <w:bookmarkEnd w:id="40"/>
      <w:bookmarkEnd w:id="41"/>
      <w:bookmarkEnd w:id="42"/>
    </w:p>
    <w:p w14:paraId="15C51A23" w14:textId="0153F15D" w:rsidR="008804CF" w:rsidRPr="00BD5DBD" w:rsidRDefault="008804CF" w:rsidP="008804CF">
      <w:pPr>
        <w:rPr>
          <w:b/>
          <w:bCs/>
          <w:szCs w:val="22"/>
        </w:rPr>
      </w:pPr>
      <w:bookmarkStart w:id="43" w:name="_Toc247691530"/>
      <w:bookmarkStart w:id="44" w:name="_Toc314842513"/>
      <w:bookmarkStart w:id="45" w:name="_Toc103679297"/>
      <w:r w:rsidRPr="00BD5DBD">
        <w:rPr>
          <w:szCs w:val="22"/>
        </w:rPr>
        <w:t>No new nonclinical data or further nonclinical evaluation were required for this submission.</w:t>
      </w:r>
      <w:r w:rsidR="008C754C" w:rsidRPr="00BD5DBD">
        <w:rPr>
          <w:szCs w:val="22"/>
        </w:rPr>
        <w:t xml:space="preserve"> </w:t>
      </w:r>
      <w:r w:rsidRPr="00BD5DBD">
        <w:rPr>
          <w:szCs w:val="22"/>
        </w:rPr>
        <w:t>The TGA considers that previously submitted and evaluated data satisfactorily address nonclinical aspects of safety/efficacy relating to this submission</w:t>
      </w:r>
      <w:r w:rsidR="00F865A7" w:rsidRPr="00BD5DBD">
        <w:rPr>
          <w:szCs w:val="22"/>
        </w:rPr>
        <w:t>.</w:t>
      </w:r>
    </w:p>
    <w:p w14:paraId="35B580A5" w14:textId="69B9BE44" w:rsidR="00C22214" w:rsidRDefault="00C22214" w:rsidP="008804CF">
      <w:pPr>
        <w:pStyle w:val="Heading3"/>
      </w:pPr>
      <w:bookmarkStart w:id="46" w:name="_Toc174009271"/>
      <w:r>
        <w:t>Clinical</w:t>
      </w:r>
      <w:bookmarkEnd w:id="43"/>
      <w:bookmarkEnd w:id="44"/>
      <w:bookmarkEnd w:id="45"/>
      <w:bookmarkEnd w:id="46"/>
    </w:p>
    <w:p w14:paraId="32B0DEDA" w14:textId="77777777" w:rsidR="00C22214" w:rsidRPr="00433318" w:rsidRDefault="00C22214" w:rsidP="00433318">
      <w:pPr>
        <w:pStyle w:val="Heading4"/>
      </w:pPr>
      <w:bookmarkStart w:id="47" w:name="_Toc98931928"/>
      <w:bookmarkStart w:id="48" w:name="_Toc174009272"/>
      <w:r>
        <w:t>Summary of clinical studies</w:t>
      </w:r>
      <w:bookmarkEnd w:id="47"/>
      <w:bookmarkEnd w:id="48"/>
    </w:p>
    <w:p w14:paraId="6834FD45" w14:textId="40C93A40" w:rsidR="00504AAC" w:rsidRDefault="00C22214" w:rsidP="00C22214">
      <w:pPr>
        <w:rPr>
          <w:szCs w:val="22"/>
        </w:rPr>
      </w:pPr>
      <w:r w:rsidRPr="00BD5DBD">
        <w:rPr>
          <w:szCs w:val="22"/>
        </w:rPr>
        <w:t>The clinical</w:t>
      </w:r>
      <w:r w:rsidR="000570AC">
        <w:rPr>
          <w:szCs w:val="22"/>
        </w:rPr>
        <w:t xml:space="preserve"> dossier for this submission</w:t>
      </w:r>
      <w:r w:rsidRPr="00BD5DBD">
        <w:rPr>
          <w:szCs w:val="22"/>
        </w:rPr>
        <w:t xml:space="preserve"> </w:t>
      </w:r>
      <w:r w:rsidR="00C857A2">
        <w:rPr>
          <w:szCs w:val="22"/>
        </w:rPr>
        <w:t xml:space="preserve">mainly </w:t>
      </w:r>
      <w:r w:rsidRPr="00BD5DBD">
        <w:rPr>
          <w:szCs w:val="22"/>
        </w:rPr>
        <w:t>consisted of</w:t>
      </w:r>
      <w:r w:rsidR="007357B9" w:rsidRPr="00BD5DBD">
        <w:rPr>
          <w:szCs w:val="22"/>
        </w:rPr>
        <w:t>:</w:t>
      </w:r>
    </w:p>
    <w:p w14:paraId="6B56CB17" w14:textId="522ECB2A" w:rsidR="00C22214" w:rsidRDefault="00C857A2" w:rsidP="00C22214">
      <w:pPr>
        <w:pStyle w:val="ListBullet"/>
        <w:rPr>
          <w:szCs w:val="22"/>
        </w:rPr>
      </w:pPr>
      <w:r w:rsidRPr="00C857A2">
        <w:rPr>
          <w:szCs w:val="22"/>
        </w:rPr>
        <w:t>Study CHL-AA-201</w:t>
      </w:r>
      <w:r>
        <w:rPr>
          <w:szCs w:val="22"/>
        </w:rPr>
        <w:t>: A pivotal efficacy and safety study to e</w:t>
      </w:r>
      <w:r w:rsidRPr="00C857A2">
        <w:rPr>
          <w:szCs w:val="22"/>
        </w:rPr>
        <w:t xml:space="preserve">valuate serum testosterone levels after treatment with </w:t>
      </w:r>
      <w:r>
        <w:rPr>
          <w:szCs w:val="22"/>
        </w:rPr>
        <w:t xml:space="preserve">the proposed abiraterone acetate tablets </w:t>
      </w:r>
      <w:r w:rsidR="00A03E4C">
        <w:rPr>
          <w:szCs w:val="22"/>
        </w:rPr>
        <w:t xml:space="preserve">500 mg </w:t>
      </w:r>
      <w:r>
        <w:rPr>
          <w:szCs w:val="22"/>
        </w:rPr>
        <w:t>(4 x 12</w:t>
      </w:r>
      <w:r w:rsidR="00A03E4C">
        <w:rPr>
          <w:szCs w:val="22"/>
        </w:rPr>
        <w:t>5</w:t>
      </w:r>
      <w:r>
        <w:rPr>
          <w:szCs w:val="22"/>
        </w:rPr>
        <w:t xml:space="preserve"> mg) with methylprednisolone (4 mg twice a day) </w:t>
      </w:r>
      <w:r w:rsidRPr="00C857A2">
        <w:rPr>
          <w:szCs w:val="22"/>
        </w:rPr>
        <w:t>compared to Zytig</w:t>
      </w:r>
      <w:r>
        <w:rPr>
          <w:szCs w:val="22"/>
        </w:rPr>
        <w:t xml:space="preserve">a </w:t>
      </w:r>
      <w:r w:rsidR="00A03E4C">
        <w:rPr>
          <w:szCs w:val="22"/>
        </w:rPr>
        <w:t xml:space="preserve">1000 mg (4 x 250 mg) </w:t>
      </w:r>
      <w:r>
        <w:rPr>
          <w:szCs w:val="22"/>
        </w:rPr>
        <w:t>with prednisolone</w:t>
      </w:r>
      <w:r w:rsidR="00A03E4C">
        <w:rPr>
          <w:szCs w:val="22"/>
        </w:rPr>
        <w:t xml:space="preserve"> (5 mg twice a day)</w:t>
      </w:r>
      <w:r w:rsidRPr="00C857A2">
        <w:rPr>
          <w:szCs w:val="22"/>
        </w:rPr>
        <w:t xml:space="preserve"> at Day 9 and 10.</w:t>
      </w:r>
    </w:p>
    <w:p w14:paraId="6BFF1AD9" w14:textId="3DBF39C7" w:rsidR="00C857A2" w:rsidRPr="00BD5DBD" w:rsidRDefault="00C857A2" w:rsidP="00C22214">
      <w:pPr>
        <w:pStyle w:val="ListBullet"/>
        <w:rPr>
          <w:szCs w:val="22"/>
        </w:rPr>
      </w:pPr>
      <w:r>
        <w:rPr>
          <w:szCs w:val="22"/>
        </w:rPr>
        <w:t>Study CHL-AA-202: An efficacy and safety study to e</w:t>
      </w:r>
      <w:r w:rsidRPr="00C857A2">
        <w:rPr>
          <w:szCs w:val="22"/>
        </w:rPr>
        <w:t>valuate the safety of Y</w:t>
      </w:r>
      <w:r>
        <w:rPr>
          <w:szCs w:val="22"/>
        </w:rPr>
        <w:t>onsa</w:t>
      </w:r>
      <w:r w:rsidRPr="00C857A2">
        <w:rPr>
          <w:szCs w:val="22"/>
        </w:rPr>
        <w:t xml:space="preserve"> 500 mg (4</w:t>
      </w:r>
      <w:r w:rsidR="00A03E4C">
        <w:rPr>
          <w:szCs w:val="22"/>
        </w:rPr>
        <w:t> </w:t>
      </w:r>
      <w:r w:rsidRPr="00C857A2">
        <w:rPr>
          <w:szCs w:val="22"/>
        </w:rPr>
        <w:t>×</w:t>
      </w:r>
      <w:r w:rsidR="00A03E4C">
        <w:rPr>
          <w:szCs w:val="22"/>
        </w:rPr>
        <w:t> </w:t>
      </w:r>
      <w:r w:rsidRPr="00C857A2">
        <w:rPr>
          <w:szCs w:val="22"/>
        </w:rPr>
        <w:t xml:space="preserve">125 mg) with methylprednisolone (4 mg </w:t>
      </w:r>
      <w:r w:rsidR="00A03E4C">
        <w:rPr>
          <w:szCs w:val="22"/>
        </w:rPr>
        <w:t>twice a day</w:t>
      </w:r>
      <w:r w:rsidRPr="00C857A2">
        <w:rPr>
          <w:szCs w:val="22"/>
        </w:rPr>
        <w:t xml:space="preserve">) over approximately </w:t>
      </w:r>
      <w:r w:rsidR="00A03E4C">
        <w:rPr>
          <w:szCs w:val="22"/>
        </w:rPr>
        <w:t>one</w:t>
      </w:r>
      <w:r w:rsidRPr="00C857A2">
        <w:rPr>
          <w:szCs w:val="22"/>
        </w:rPr>
        <w:t xml:space="preserve"> year following an initial 84</w:t>
      </w:r>
      <w:r w:rsidR="00A03E4C">
        <w:rPr>
          <w:szCs w:val="22"/>
        </w:rPr>
        <w:t xml:space="preserve"> </w:t>
      </w:r>
      <w:r w:rsidRPr="00C857A2">
        <w:rPr>
          <w:szCs w:val="22"/>
        </w:rPr>
        <w:t>day</w:t>
      </w:r>
      <w:r w:rsidR="00A03E4C" w:rsidRPr="00A03E4C">
        <w:t xml:space="preserve"> </w:t>
      </w:r>
      <w:r w:rsidR="00A03E4C" w:rsidRPr="00A03E4C">
        <w:rPr>
          <w:szCs w:val="22"/>
        </w:rPr>
        <w:t>treatment with abiraterone acetate in a previous study.</w:t>
      </w:r>
    </w:p>
    <w:p w14:paraId="1BD414C5" w14:textId="77777777" w:rsidR="00504AAC" w:rsidRDefault="00932F5D" w:rsidP="00DD5496">
      <w:pPr>
        <w:pStyle w:val="Heading4"/>
      </w:pPr>
      <w:bookmarkStart w:id="49" w:name="_Toc174009273"/>
      <w:r w:rsidRPr="00DD5496">
        <w:t>Pharmacology</w:t>
      </w:r>
      <w:bookmarkEnd w:id="49"/>
    </w:p>
    <w:p w14:paraId="7A1EAD8C" w14:textId="0159B89D" w:rsidR="00932F5D" w:rsidRPr="00DD5496" w:rsidRDefault="00932F5D" w:rsidP="00DD5496">
      <w:r w:rsidRPr="00DD5496">
        <w:t xml:space="preserve">The </w:t>
      </w:r>
      <w:r w:rsidR="00326F14">
        <w:t>Sponsor</w:t>
      </w:r>
      <w:r w:rsidRPr="00DD5496">
        <w:t xml:space="preserve"> submitted several studies which evaluated bioavailability of </w:t>
      </w:r>
      <w:r w:rsidR="008C45B5">
        <w:t>Yonsa Mpred</w:t>
      </w:r>
      <w:r w:rsidRPr="00DD5496">
        <w:t xml:space="preserve"> with the current Australian product, Zytiga. There were minor diff</w:t>
      </w:r>
      <w:r w:rsidR="00DD5496">
        <w:t>e</w:t>
      </w:r>
      <w:r w:rsidRPr="00DD5496">
        <w:t>rences observed in the peak levels of abiraterone when the two produces were compared in fasted patients</w:t>
      </w:r>
      <w:r w:rsidR="00DD5496">
        <w:t xml:space="preserve">. </w:t>
      </w:r>
      <w:r w:rsidRPr="00DD5496">
        <w:t xml:space="preserve">However, overall bioequivalence between </w:t>
      </w:r>
      <w:r w:rsidR="008C45B5">
        <w:t>Yonsa Mpred</w:t>
      </w:r>
      <w:r w:rsidRPr="00DD5496">
        <w:t xml:space="preserve"> 500</w:t>
      </w:r>
      <w:r w:rsidR="00DD5496">
        <w:t xml:space="preserve"> </w:t>
      </w:r>
      <w:r w:rsidRPr="00DD5496">
        <w:t>mg and Zytiga 1000</w:t>
      </w:r>
      <w:r w:rsidR="00DD5496">
        <w:t xml:space="preserve"> </w:t>
      </w:r>
      <w:r w:rsidRPr="00DD5496">
        <w:t xml:space="preserve">mg </w:t>
      </w:r>
      <w:r w:rsidR="00DD5496">
        <w:t>once a day</w:t>
      </w:r>
      <w:r w:rsidRPr="00DD5496">
        <w:t xml:space="preserve"> was demonstrated.</w:t>
      </w:r>
    </w:p>
    <w:p w14:paraId="16034218" w14:textId="77777777" w:rsidR="00504AAC" w:rsidRDefault="00932F5D" w:rsidP="00DD5496">
      <w:r w:rsidRPr="00DD5496">
        <w:t>P</w:t>
      </w:r>
      <w:r w:rsidR="00DD5496">
        <w:t>harmacokinetic</w:t>
      </w:r>
      <w:r w:rsidRPr="00DD5496">
        <w:t xml:space="preserve"> analysis was conducted in the pivotal efficacy </w:t>
      </w:r>
      <w:r w:rsidR="00DD5496">
        <w:t>study, Study</w:t>
      </w:r>
      <w:r w:rsidRPr="00DD5496">
        <w:t xml:space="preserve"> CHL-AA-201. This did not find significant difference in the </w:t>
      </w:r>
      <w:r w:rsidR="00DD5496">
        <w:t>pharmacokinetic</w:t>
      </w:r>
      <w:r w:rsidRPr="00DD5496">
        <w:t xml:space="preserve"> parameters between Yonza</w:t>
      </w:r>
      <w:r w:rsidR="00DD5496">
        <w:t xml:space="preserve"> </w:t>
      </w:r>
      <w:r w:rsidR="00DD5496" w:rsidRPr="00DD5496">
        <w:t>Mpred</w:t>
      </w:r>
      <w:r w:rsidRPr="00DD5496">
        <w:t xml:space="preserve"> and Zytiga treated patients.</w:t>
      </w:r>
    </w:p>
    <w:p w14:paraId="4A8AD296" w14:textId="45369A8F" w:rsidR="00504AAC" w:rsidRDefault="00932F5D" w:rsidP="00DD5496">
      <w:r w:rsidRPr="00DD5496">
        <w:t xml:space="preserve">Drug exposure of a single dose of </w:t>
      </w:r>
      <w:r w:rsidR="008C45B5">
        <w:t>Yonsa Mpred</w:t>
      </w:r>
      <w:r w:rsidRPr="00DD5496">
        <w:t xml:space="preserve"> 500</w:t>
      </w:r>
      <w:r w:rsidR="00DD5496">
        <w:t xml:space="preserve"> </w:t>
      </w:r>
      <w:r w:rsidRPr="00DD5496">
        <w:t xml:space="preserve">mg was increased under high-fat meal conditions by approximately 4.5-fold for </w:t>
      </w:r>
      <w:r w:rsidR="00DD5496">
        <w:t>area under the plasma concentration time curve</w:t>
      </w:r>
      <w:r w:rsidRPr="00DD5496">
        <w:t xml:space="preserve"> and </w:t>
      </w:r>
      <w:r w:rsidRPr="00DD5496">
        <w:lastRenderedPageBreak/>
        <w:t>6.5-fold for</w:t>
      </w:r>
      <w:r w:rsidR="00DD5496">
        <w:t xml:space="preserve"> the maximum plasma concentration (</w:t>
      </w:r>
      <w:r w:rsidRPr="00DD5496">
        <w:t>C</w:t>
      </w:r>
      <w:r w:rsidRPr="00DD5496">
        <w:rPr>
          <w:vertAlign w:val="subscript"/>
        </w:rPr>
        <w:t>max</w:t>
      </w:r>
      <w:r w:rsidR="00DD5496">
        <w:t xml:space="preserve">) </w:t>
      </w:r>
      <w:r w:rsidRPr="00DD5496">
        <w:t>w</w:t>
      </w:r>
      <w:r w:rsidR="00DD5496">
        <w:t>i</w:t>
      </w:r>
      <w:r w:rsidRPr="00DD5496">
        <w:t xml:space="preserve">th </w:t>
      </w:r>
      <w:r w:rsidR="00EA4BE3">
        <w:t>time to maximum concentration (</w:t>
      </w:r>
      <w:r w:rsidRPr="00DD5496">
        <w:t>T</w:t>
      </w:r>
      <w:r w:rsidRPr="00DD5496">
        <w:rPr>
          <w:vertAlign w:val="subscript"/>
        </w:rPr>
        <w:t>max</w:t>
      </w:r>
      <w:r w:rsidR="00EA4BE3">
        <w:t xml:space="preserve">) </w:t>
      </w:r>
      <w:r w:rsidRPr="00DD5496">
        <w:t>being unchanged at 2 hours. This is lower than the reported food effect for Zytiga, which was not examined in this submission, which is a 10</w:t>
      </w:r>
      <w:r w:rsidR="00DD5496">
        <w:t>-</w:t>
      </w:r>
      <w:r w:rsidRPr="00DD5496">
        <w:t xml:space="preserve"> and 17</w:t>
      </w:r>
      <w:r w:rsidR="00DD5496">
        <w:t>-</w:t>
      </w:r>
      <w:r w:rsidRPr="00DD5496">
        <w:t xml:space="preserve">fold increase in </w:t>
      </w:r>
      <w:r w:rsidR="00EA4BE3">
        <w:t>area under the plasma</w:t>
      </w:r>
      <w:r w:rsidR="000570AC">
        <w:t xml:space="preserve"> versus </w:t>
      </w:r>
      <w:r w:rsidR="00EA4BE3">
        <w:t>time curve (</w:t>
      </w:r>
      <w:r w:rsidRPr="00DD5496">
        <w:t>AUC</w:t>
      </w:r>
      <w:r w:rsidR="00EA4BE3">
        <w:t>)</w:t>
      </w:r>
      <w:r w:rsidRPr="00DD5496">
        <w:t xml:space="preserve"> and C</w:t>
      </w:r>
      <w:r w:rsidRPr="00DD5496">
        <w:rPr>
          <w:vertAlign w:val="subscript"/>
        </w:rPr>
        <w:t>max</w:t>
      </w:r>
      <w:r w:rsidRPr="00DD5496">
        <w:t xml:space="preserve"> respectively.</w:t>
      </w:r>
    </w:p>
    <w:p w14:paraId="1A6A3327" w14:textId="160B4CB7" w:rsidR="00932F5D" w:rsidRPr="00DD5496" w:rsidRDefault="00932F5D" w:rsidP="00DD5496">
      <w:r w:rsidRPr="00DD5496">
        <w:t>No new studies were conducted in patients with hepatic or renal impairment. Abiraterone is metabolised in the liver by sulphonation, oxidation and hydroxylation with metabolites being excreted almost entirely through the gut. Systemic exposure to Zytiga is increased in hepatic impairment and the half-life is prolonged. The current Zytiga P</w:t>
      </w:r>
      <w:r w:rsidR="00DD5496">
        <w:t>roduct Information</w:t>
      </w:r>
      <w:r w:rsidRPr="00DD5496">
        <w:t xml:space="preserve"> recommends no dosage adjustment for mild hepatic impairment, and there is no data on patient with more severe impairment. Treatment should be interrupted if patients develop biochemical evidence of hepatic impairment on treatment.</w:t>
      </w:r>
    </w:p>
    <w:p w14:paraId="624DC216" w14:textId="1A2CF265" w:rsidR="00932F5D" w:rsidRPr="00DD5496" w:rsidRDefault="00932F5D" w:rsidP="00DD5496">
      <w:r w:rsidRPr="00DD5496">
        <w:t xml:space="preserve">No new studies were conducted in drug-drug interactions involving </w:t>
      </w:r>
      <w:r w:rsidR="008C45B5">
        <w:t>Yonsa Mpred</w:t>
      </w:r>
      <w:r w:rsidRPr="00DD5496">
        <w:t>.</w:t>
      </w:r>
    </w:p>
    <w:p w14:paraId="6561EC37" w14:textId="77777777" w:rsidR="00504AAC" w:rsidRDefault="00932F5D" w:rsidP="00DD5496">
      <w:pPr>
        <w:pStyle w:val="Heading4"/>
      </w:pPr>
      <w:bookmarkStart w:id="50" w:name="_Toc174009274"/>
      <w:r w:rsidRPr="00932F5D">
        <w:t>Efficacy</w:t>
      </w:r>
      <w:bookmarkEnd w:id="50"/>
    </w:p>
    <w:p w14:paraId="10156628" w14:textId="615AD29C" w:rsidR="00504AAC" w:rsidRDefault="00932F5D" w:rsidP="00DD5496">
      <w:r w:rsidRPr="00DD5496">
        <w:t xml:space="preserve">One pivotal efficacy study was submitted, </w:t>
      </w:r>
      <w:r w:rsidR="00DD5496">
        <w:t xml:space="preserve">Study </w:t>
      </w:r>
      <w:r w:rsidRPr="00DD5496">
        <w:t>CHL-AA-201</w:t>
      </w:r>
      <w:r w:rsidR="00DD5496">
        <w:t xml:space="preserve">. </w:t>
      </w:r>
      <w:r w:rsidRPr="00DD5496">
        <w:t xml:space="preserve">This was a randomised, open label study conducted over approximately </w:t>
      </w:r>
      <w:r w:rsidR="00A03E4C">
        <w:t>four</w:t>
      </w:r>
      <w:r w:rsidRPr="00DD5496">
        <w:t xml:space="preserve"> months. It compared </w:t>
      </w:r>
      <w:r w:rsidR="008C45B5">
        <w:t>Yonsa Mpred</w:t>
      </w:r>
      <w:r w:rsidRPr="00DD5496">
        <w:t xml:space="preserve"> 500</w:t>
      </w:r>
      <w:r w:rsidR="00DD5496">
        <w:t xml:space="preserve"> </w:t>
      </w:r>
      <w:r w:rsidRPr="00DD5496">
        <w:t>mg</w:t>
      </w:r>
      <w:r w:rsidR="00A03E4C">
        <w:t xml:space="preserve"> abiraterone acetate and methylprednisolone 4 mg against</w:t>
      </w:r>
      <w:r w:rsidRPr="00DD5496">
        <w:t xml:space="preserve"> Zytiga 1000</w:t>
      </w:r>
      <w:r w:rsidR="00DD5496">
        <w:t xml:space="preserve"> </w:t>
      </w:r>
      <w:r w:rsidRPr="00DD5496">
        <w:t>mg</w:t>
      </w:r>
      <w:r w:rsidR="00DD5496">
        <w:t xml:space="preserve"> with </w:t>
      </w:r>
      <w:r w:rsidRPr="00DD5496">
        <w:t>prednis</w:t>
      </w:r>
      <w:r w:rsidR="00A03E4C">
        <w:t>ol</w:t>
      </w:r>
      <w:r w:rsidRPr="00DD5496">
        <w:t>one 5</w:t>
      </w:r>
      <w:r w:rsidR="00A03E4C">
        <w:t> </w:t>
      </w:r>
      <w:r w:rsidRPr="00DD5496">
        <w:t>mg.</w:t>
      </w:r>
    </w:p>
    <w:p w14:paraId="40DD01B0" w14:textId="77777777" w:rsidR="00504AAC" w:rsidRDefault="00932F5D" w:rsidP="00DD5496">
      <w:r w:rsidRPr="00DD5496">
        <w:t xml:space="preserve">Included patients had metastatic prostate cancer </w:t>
      </w:r>
      <w:r w:rsidRPr="00A03E4C">
        <w:t xml:space="preserve">and were receiving </w:t>
      </w:r>
      <w:r w:rsidR="00DD5496" w:rsidRPr="00A03E4C">
        <w:t>androgen depletion therapy</w:t>
      </w:r>
      <w:r w:rsidRPr="00A03E4C">
        <w:t xml:space="preserve"> with a serum testosterone level </w:t>
      </w:r>
      <w:r w:rsidR="005A4A24">
        <w:t>less than</w:t>
      </w:r>
      <w:r w:rsidR="00DD5496" w:rsidRPr="00A03E4C">
        <w:t xml:space="preserve"> </w:t>
      </w:r>
      <w:r w:rsidRPr="00A03E4C">
        <w:t>50</w:t>
      </w:r>
      <w:r w:rsidR="00DD5496" w:rsidRPr="00A03E4C">
        <w:t xml:space="preserve"> </w:t>
      </w:r>
      <w:r w:rsidRPr="00A03E4C">
        <w:t>ng/dL on</w:t>
      </w:r>
      <w:r w:rsidRPr="00DD5496">
        <w:t xml:space="preserve"> enrolment.</w:t>
      </w:r>
    </w:p>
    <w:p w14:paraId="567AEAA2" w14:textId="1FFCD0A5" w:rsidR="00932F5D" w:rsidRPr="00DD5496" w:rsidRDefault="00932F5D" w:rsidP="00DD5496">
      <w:r w:rsidRPr="00DD5496">
        <w:t xml:space="preserve">The main efficacy outcome was the testosterone level in patients on </w:t>
      </w:r>
      <w:r w:rsidR="008633CD">
        <w:t>D</w:t>
      </w:r>
      <w:r w:rsidRPr="00DD5496">
        <w:t xml:space="preserve">ays 9 and 10. Serum testosterone and </w:t>
      </w:r>
      <w:r w:rsidR="00B9610A">
        <w:t>prostate specific antigen</w:t>
      </w:r>
      <w:r w:rsidRPr="00DD5496">
        <w:t xml:space="preserve"> were measured as secondary endpoints at </w:t>
      </w:r>
      <w:r w:rsidR="008633CD">
        <w:t>W</w:t>
      </w:r>
      <w:r w:rsidRPr="00DD5496">
        <w:t>eeks 4,</w:t>
      </w:r>
      <w:r w:rsidR="008633CD">
        <w:t xml:space="preserve"> </w:t>
      </w:r>
      <w:r w:rsidRPr="00DD5496">
        <w:t>8 and 12 of therapy.</w:t>
      </w:r>
    </w:p>
    <w:p w14:paraId="6B301A76" w14:textId="73DEDCF8" w:rsidR="00932F5D" w:rsidRDefault="00932F5D" w:rsidP="006B1AFF">
      <w:pPr>
        <w:pStyle w:val="FigureTitle"/>
        <w:rPr>
          <w:rFonts w:cs="Cambria"/>
          <w:color w:val="000000"/>
        </w:rPr>
      </w:pPr>
      <w:r>
        <w:t xml:space="preserve">Figure 1: </w:t>
      </w:r>
      <w:r w:rsidR="003A6A91" w:rsidRPr="003A6A91">
        <w:t>Study CHL-AA-201</w:t>
      </w:r>
      <w:r w:rsidR="003A6A91">
        <w:t xml:space="preserve"> p</w:t>
      </w:r>
      <w:r>
        <w:t>atient disposition</w:t>
      </w:r>
    </w:p>
    <w:p w14:paraId="21F218A8" w14:textId="77777777" w:rsidR="00504AAC" w:rsidRDefault="00E76A1C" w:rsidP="00932F5D">
      <w:pPr>
        <w:rPr>
          <w:noProof/>
        </w:rPr>
      </w:pPr>
      <w:r>
        <w:rPr>
          <w:noProof/>
        </w:rPr>
        <w:drawing>
          <wp:inline distT="0" distB="0" distL="0" distR="0" wp14:anchorId="1B2377E2" wp14:editId="4D87E31C">
            <wp:extent cx="5759450" cy="2861310"/>
            <wp:effectExtent l="0" t="0" r="0" b="0"/>
            <wp:docPr id="9" name="Picture 9" descr="This figure shows Study HL-AA-201 patient disposition. 53 subjects were randomised and treated.  24 patients were treated with the proposed abiraterone acetate tablets and the 29 patients were treated with Zyti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is figure shows Study HL-AA-201 patient disposition. 53 subjects were randomised and treated.  24 patients were treated with the proposed abiraterone acetate tablets and the 29 patients were treated with Zytiga."/>
                    <pic:cNvPicPr/>
                  </pic:nvPicPr>
                  <pic:blipFill>
                    <a:blip r:embed="rId19"/>
                    <a:stretch>
                      <a:fillRect/>
                    </a:stretch>
                  </pic:blipFill>
                  <pic:spPr>
                    <a:xfrm>
                      <a:off x="0" y="0"/>
                      <a:ext cx="5759450" cy="2861310"/>
                    </a:xfrm>
                    <a:prstGeom prst="rect">
                      <a:avLst/>
                    </a:prstGeom>
                  </pic:spPr>
                </pic:pic>
              </a:graphicData>
            </a:graphic>
          </wp:inline>
        </w:drawing>
      </w:r>
    </w:p>
    <w:p w14:paraId="3E978E5E" w14:textId="03FEFE9A" w:rsidR="00E76A1C" w:rsidRDefault="00E76A1C" w:rsidP="00CA4853">
      <w:pPr>
        <w:pStyle w:val="FigureDescription"/>
      </w:pPr>
      <w:r>
        <w:t xml:space="preserve">Abbreviations: SAA = </w:t>
      </w:r>
      <w:r w:rsidR="008C45B5">
        <w:t>Yonsa Mpred</w:t>
      </w:r>
      <w:r w:rsidR="00CA4853">
        <w:t>, ITT = intent to treat, PP = Per Protocol, PK = pharmacokinetic, AE = adverse event.</w:t>
      </w:r>
    </w:p>
    <w:p w14:paraId="2BFDAB6A" w14:textId="2C31079E" w:rsidR="00932F5D" w:rsidRDefault="00932F5D" w:rsidP="00932F5D">
      <w:pPr>
        <w:rPr>
          <w:szCs w:val="22"/>
        </w:rPr>
      </w:pPr>
      <w:r>
        <w:rPr>
          <w:szCs w:val="22"/>
        </w:rPr>
        <w:t xml:space="preserve">The study found mean testosterone levels on </w:t>
      </w:r>
      <w:r w:rsidR="008633CD">
        <w:rPr>
          <w:szCs w:val="22"/>
        </w:rPr>
        <w:t>D</w:t>
      </w:r>
      <w:r>
        <w:rPr>
          <w:szCs w:val="22"/>
        </w:rPr>
        <w:t xml:space="preserve">ays 9 and 10 of treatment were bioequivalent between </w:t>
      </w:r>
      <w:r w:rsidR="008C45B5">
        <w:rPr>
          <w:szCs w:val="22"/>
        </w:rPr>
        <w:t>Yonsa Mpred</w:t>
      </w:r>
      <w:r>
        <w:rPr>
          <w:szCs w:val="22"/>
        </w:rPr>
        <w:t xml:space="preserve"> and Zytiga at 1.05</w:t>
      </w:r>
      <w:r w:rsidR="008633CD">
        <w:rPr>
          <w:szCs w:val="22"/>
        </w:rPr>
        <w:t xml:space="preserve"> </w:t>
      </w:r>
      <w:r>
        <w:rPr>
          <w:szCs w:val="22"/>
        </w:rPr>
        <w:t>ng/</w:t>
      </w:r>
      <w:r w:rsidRPr="005A4A24">
        <w:rPr>
          <w:szCs w:val="22"/>
        </w:rPr>
        <w:t>dL</w:t>
      </w:r>
      <w:r>
        <w:rPr>
          <w:szCs w:val="22"/>
        </w:rPr>
        <w:t xml:space="preserve"> and 1.02</w:t>
      </w:r>
      <w:r w:rsidR="008633CD">
        <w:rPr>
          <w:szCs w:val="22"/>
        </w:rPr>
        <w:t xml:space="preserve"> </w:t>
      </w:r>
      <w:r>
        <w:rPr>
          <w:szCs w:val="22"/>
        </w:rPr>
        <w:t>ng/dL respectively.</w:t>
      </w:r>
    </w:p>
    <w:p w14:paraId="232878EB" w14:textId="18E0C16B" w:rsidR="00932F5D" w:rsidRDefault="00932F5D" w:rsidP="006B1AFF">
      <w:pPr>
        <w:pStyle w:val="TableTitle"/>
      </w:pPr>
      <w:r>
        <w:lastRenderedPageBreak/>
        <w:t xml:space="preserve">Table </w:t>
      </w:r>
      <w:r w:rsidR="00AD14F0">
        <w:t>2</w:t>
      </w:r>
      <w:r>
        <w:t xml:space="preserve">: </w:t>
      </w:r>
      <w:r w:rsidR="003A6A91" w:rsidRPr="003A6A91">
        <w:t>Study CHL-AA-201</w:t>
      </w:r>
      <w:r w:rsidR="003A6A91">
        <w:t xml:space="preserve"> p</w:t>
      </w:r>
      <w:r w:rsidR="00B9610A" w:rsidRPr="00B9610A">
        <w:t>rostate specific antigen</w:t>
      </w:r>
      <w:r>
        <w:t xml:space="preserve"> measurements on treatment with </w:t>
      </w:r>
      <w:r w:rsidR="008C45B5">
        <w:t>Yonsa Mpred</w:t>
      </w:r>
      <w:r>
        <w:t xml:space="preserve"> or Zytiga</w:t>
      </w:r>
    </w:p>
    <w:p w14:paraId="340A28FE" w14:textId="32258126" w:rsidR="00932F5D" w:rsidRDefault="00CA4853" w:rsidP="00932F5D">
      <w:r>
        <w:rPr>
          <w:noProof/>
        </w:rPr>
        <w:drawing>
          <wp:inline distT="0" distB="0" distL="0" distR="0" wp14:anchorId="63D86C03" wp14:editId="7C5ABBDC">
            <wp:extent cx="5759450" cy="2624455"/>
            <wp:effectExtent l="0" t="0" r="0" b="4445"/>
            <wp:docPr id="10" name="Picture 10" descr="This table shows Study CHL-AA-201 prostate specific antigen measurements on treatment with Yonsa Mpred or Zyti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is table shows Study CHL-AA-201 prostate specific antigen measurements on treatment with Yonsa Mpred or Zytiga."/>
                    <pic:cNvPicPr/>
                  </pic:nvPicPr>
                  <pic:blipFill>
                    <a:blip r:embed="rId20"/>
                    <a:stretch>
                      <a:fillRect/>
                    </a:stretch>
                  </pic:blipFill>
                  <pic:spPr>
                    <a:xfrm>
                      <a:off x="0" y="0"/>
                      <a:ext cx="5759450" cy="2624455"/>
                    </a:xfrm>
                    <a:prstGeom prst="rect">
                      <a:avLst/>
                    </a:prstGeom>
                  </pic:spPr>
                </pic:pic>
              </a:graphicData>
            </a:graphic>
          </wp:inline>
        </w:drawing>
      </w:r>
    </w:p>
    <w:p w14:paraId="408E4747" w14:textId="7AC5EA73" w:rsidR="00932F5D" w:rsidRDefault="00932F5D" w:rsidP="00932F5D">
      <w:r>
        <w:rPr>
          <w:szCs w:val="22"/>
        </w:rPr>
        <w:t xml:space="preserve">There were no significant differences in </w:t>
      </w:r>
      <w:r w:rsidR="00B9610A" w:rsidRPr="00B9610A">
        <w:rPr>
          <w:szCs w:val="22"/>
        </w:rPr>
        <w:t>prostate specific antigen</w:t>
      </w:r>
      <w:r>
        <w:rPr>
          <w:szCs w:val="22"/>
        </w:rPr>
        <w:t xml:space="preserve"> at days 28, 56 or 84 of therapy.</w:t>
      </w:r>
    </w:p>
    <w:p w14:paraId="636AF3D3" w14:textId="77777777" w:rsidR="00504AAC" w:rsidRDefault="00932F5D" w:rsidP="00DD5496">
      <w:pPr>
        <w:pStyle w:val="Heading4"/>
      </w:pPr>
      <w:bookmarkStart w:id="51" w:name="_Toc174009275"/>
      <w:r w:rsidRPr="00DD5496">
        <w:t>Safety</w:t>
      </w:r>
      <w:bookmarkEnd w:id="51"/>
    </w:p>
    <w:p w14:paraId="1F6562AB" w14:textId="5FA8A265" w:rsidR="00932F5D" w:rsidRDefault="00932F5D" w:rsidP="00932F5D">
      <w:pPr>
        <w:rPr>
          <w:rFonts w:cs="Cambria"/>
          <w:color w:val="000000"/>
          <w:szCs w:val="22"/>
        </w:rPr>
      </w:pPr>
      <w:r w:rsidRPr="00932F5D">
        <w:rPr>
          <w:rFonts w:cs="Cambria"/>
          <w:color w:val="000000"/>
          <w:szCs w:val="22"/>
        </w:rPr>
        <w:t>No safety specific studies were included.</w:t>
      </w:r>
    </w:p>
    <w:p w14:paraId="16359452" w14:textId="3AC53158" w:rsidR="00932F5D" w:rsidRDefault="00932F5D" w:rsidP="00932F5D">
      <w:pPr>
        <w:rPr>
          <w:b/>
          <w:bCs/>
          <w:szCs w:val="22"/>
        </w:rPr>
      </w:pPr>
      <w:r>
        <w:rPr>
          <w:b/>
          <w:bCs/>
          <w:szCs w:val="22"/>
        </w:rPr>
        <w:t xml:space="preserve">Table </w:t>
      </w:r>
      <w:r w:rsidR="00AD14F0">
        <w:rPr>
          <w:b/>
          <w:bCs/>
          <w:szCs w:val="22"/>
        </w:rPr>
        <w:t>3</w:t>
      </w:r>
      <w:r>
        <w:rPr>
          <w:b/>
          <w:bCs/>
          <w:szCs w:val="22"/>
        </w:rPr>
        <w:t>: Summary of patient exposure in submitted studies</w:t>
      </w:r>
    </w:p>
    <w:tbl>
      <w:tblPr>
        <w:tblStyle w:val="TableTGAblue2023"/>
        <w:tblW w:w="0" w:type="auto"/>
        <w:tblLayout w:type="fixed"/>
        <w:tblLook w:val="04A0" w:firstRow="1" w:lastRow="0" w:firstColumn="1" w:lastColumn="0" w:noHBand="0" w:noVBand="1"/>
      </w:tblPr>
      <w:tblGrid>
        <w:gridCol w:w="1271"/>
        <w:gridCol w:w="1843"/>
        <w:gridCol w:w="1276"/>
        <w:gridCol w:w="1559"/>
        <w:gridCol w:w="3111"/>
      </w:tblGrid>
      <w:tr w:rsidR="00D92ED7" w14:paraId="651A9B5D" w14:textId="77777777" w:rsidTr="006B1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44BDBC6" w14:textId="7DD0EB0B" w:rsidR="00D92ED7" w:rsidRPr="00D92ED7" w:rsidRDefault="00D92ED7" w:rsidP="006B1AFF">
            <w:r>
              <w:t>Study number</w:t>
            </w:r>
          </w:p>
        </w:tc>
        <w:tc>
          <w:tcPr>
            <w:tcW w:w="1843" w:type="dxa"/>
          </w:tcPr>
          <w:p w14:paraId="5D3B1BCF" w14:textId="76C65023" w:rsidR="00D92ED7" w:rsidRPr="00D92ED7" w:rsidRDefault="00D92ED7" w:rsidP="006B1AFF">
            <w:pPr>
              <w:cnfStyle w:val="100000000000" w:firstRow="1" w:lastRow="0" w:firstColumn="0" w:lastColumn="0" w:oddVBand="0" w:evenVBand="0" w:oddHBand="0" w:evenHBand="0" w:firstRowFirstColumn="0" w:firstRowLastColumn="0" w:lastRowFirstColumn="0" w:lastRowLastColumn="0"/>
            </w:pPr>
            <w:r>
              <w:t>Design</w:t>
            </w:r>
          </w:p>
        </w:tc>
        <w:tc>
          <w:tcPr>
            <w:tcW w:w="1276" w:type="dxa"/>
          </w:tcPr>
          <w:p w14:paraId="3FA6CF15" w14:textId="61346D00" w:rsidR="00D92ED7" w:rsidRPr="00D92ED7" w:rsidRDefault="00D92ED7" w:rsidP="006B1AFF">
            <w:pPr>
              <w:cnfStyle w:val="100000000000" w:firstRow="1" w:lastRow="0" w:firstColumn="0" w:lastColumn="0" w:oddVBand="0" w:evenVBand="0" w:oddHBand="0" w:evenHBand="0" w:firstRowFirstColumn="0" w:firstRowLastColumn="0" w:lastRowFirstColumn="0" w:lastRowLastColumn="0"/>
            </w:pPr>
            <w:r>
              <w:t>Study population</w:t>
            </w:r>
          </w:p>
        </w:tc>
        <w:tc>
          <w:tcPr>
            <w:tcW w:w="1559" w:type="dxa"/>
          </w:tcPr>
          <w:p w14:paraId="7D632E45" w14:textId="4E58CDB1" w:rsidR="00D92ED7" w:rsidRPr="00D92ED7" w:rsidRDefault="00D92ED7" w:rsidP="006B1AFF">
            <w:pPr>
              <w:cnfStyle w:val="100000000000" w:firstRow="1" w:lastRow="0" w:firstColumn="0" w:lastColumn="0" w:oddVBand="0" w:evenVBand="0" w:oddHBand="0" w:evenHBand="0" w:firstRowFirstColumn="0" w:firstRowLastColumn="0" w:lastRowFirstColumn="0" w:lastRowLastColumn="0"/>
            </w:pPr>
            <w:r>
              <w:t>Number of subjects enrolled/</w:t>
            </w:r>
            <w:r w:rsidR="00717C1A">
              <w:t xml:space="preserve"> </w:t>
            </w:r>
            <w:r>
              <w:t>evaluated</w:t>
            </w:r>
          </w:p>
        </w:tc>
        <w:tc>
          <w:tcPr>
            <w:tcW w:w="3111" w:type="dxa"/>
          </w:tcPr>
          <w:p w14:paraId="60F2FE82" w14:textId="33828786" w:rsidR="00D92ED7" w:rsidRPr="00D92ED7" w:rsidRDefault="00D92ED7" w:rsidP="006B1AFF">
            <w:pPr>
              <w:cnfStyle w:val="100000000000" w:firstRow="1" w:lastRow="0" w:firstColumn="0" w:lastColumn="0" w:oddVBand="0" w:evenVBand="0" w:oddHBand="0" w:evenHBand="0" w:firstRowFirstColumn="0" w:firstRowLastColumn="0" w:lastRowFirstColumn="0" w:lastRowLastColumn="0"/>
            </w:pPr>
            <w:r>
              <w:t>Study medication</w:t>
            </w:r>
          </w:p>
        </w:tc>
      </w:tr>
      <w:tr w:rsidR="00D92ED7" w14:paraId="3191FDAD" w14:textId="77777777" w:rsidTr="006B1AFF">
        <w:tc>
          <w:tcPr>
            <w:cnfStyle w:val="001000000000" w:firstRow="0" w:lastRow="0" w:firstColumn="1" w:lastColumn="0" w:oddVBand="0" w:evenVBand="0" w:oddHBand="0" w:evenHBand="0" w:firstRowFirstColumn="0" w:firstRowLastColumn="0" w:lastRowFirstColumn="0" w:lastRowLastColumn="0"/>
            <w:tcW w:w="1271" w:type="dxa"/>
          </w:tcPr>
          <w:p w14:paraId="48C72C55" w14:textId="30564E4B" w:rsidR="00D92ED7" w:rsidRPr="00717C1A" w:rsidRDefault="00717C1A" w:rsidP="006B1AFF">
            <w:r>
              <w:t xml:space="preserve">CHL-AA-101 </w:t>
            </w:r>
          </w:p>
        </w:tc>
        <w:tc>
          <w:tcPr>
            <w:tcW w:w="1843" w:type="dxa"/>
          </w:tcPr>
          <w:p w14:paraId="1BFC81C9" w14:textId="2AAE9025" w:rsidR="00D92ED7" w:rsidRDefault="00717C1A" w:rsidP="006B1AFF">
            <w:pPr>
              <w:cnfStyle w:val="000000000000" w:firstRow="0" w:lastRow="0" w:firstColumn="0" w:lastColumn="0" w:oddVBand="0" w:evenVBand="0" w:oddHBand="0" w:evenHBand="0" w:firstRowFirstColumn="0" w:firstRowLastColumn="0" w:lastRowFirstColumn="0" w:lastRowLastColumn="0"/>
            </w:pPr>
            <w:r>
              <w:t xml:space="preserve">Open-label, randomized, single-dose, 4-way crossover study under fasted conditions </w:t>
            </w:r>
          </w:p>
        </w:tc>
        <w:tc>
          <w:tcPr>
            <w:tcW w:w="1276" w:type="dxa"/>
          </w:tcPr>
          <w:p w14:paraId="410BCBBE" w14:textId="1BD4A0F8" w:rsidR="00D92ED7" w:rsidRDefault="00717C1A" w:rsidP="006B1AFF">
            <w:pPr>
              <w:cnfStyle w:val="000000000000" w:firstRow="0" w:lastRow="0" w:firstColumn="0" w:lastColumn="0" w:oddVBand="0" w:evenVBand="0" w:oddHBand="0" w:evenHBand="0" w:firstRowFirstColumn="0" w:firstRowLastColumn="0" w:lastRowFirstColumn="0" w:lastRowLastColumn="0"/>
            </w:pPr>
            <w:r>
              <w:t>Healthy male subjects</w:t>
            </w:r>
          </w:p>
        </w:tc>
        <w:tc>
          <w:tcPr>
            <w:tcW w:w="1559" w:type="dxa"/>
          </w:tcPr>
          <w:p w14:paraId="7C941C0D" w14:textId="190D723D" w:rsidR="00D92ED7" w:rsidRDefault="00717C1A" w:rsidP="006B1AFF">
            <w:pPr>
              <w:cnfStyle w:val="000000000000" w:firstRow="0" w:lastRow="0" w:firstColumn="0" w:lastColumn="0" w:oddVBand="0" w:evenVBand="0" w:oddHBand="0" w:evenHBand="0" w:firstRowFirstColumn="0" w:firstRowLastColumn="0" w:lastRowFirstColumn="0" w:lastRowLastColumn="0"/>
            </w:pPr>
            <w:r>
              <w:t>20/20</w:t>
            </w:r>
          </w:p>
        </w:tc>
        <w:tc>
          <w:tcPr>
            <w:tcW w:w="3111" w:type="dxa"/>
          </w:tcPr>
          <w:p w14:paraId="15CE330A" w14:textId="334F42EC" w:rsidR="00717C1A" w:rsidRDefault="00717C1A" w:rsidP="006B1AFF">
            <w:pPr>
              <w:cnfStyle w:val="000000000000" w:firstRow="0" w:lastRow="0" w:firstColumn="0" w:lastColumn="0" w:oddVBand="0" w:evenVBand="0" w:oddHBand="0" w:evenHBand="0" w:firstRowFirstColumn="0" w:firstRowLastColumn="0" w:lastRowFirstColumn="0" w:lastRowLastColumn="0"/>
            </w:pPr>
            <w:r>
              <w:t>Yonsa</w:t>
            </w:r>
          </w:p>
          <w:p w14:paraId="3B871D02" w14:textId="77777777" w:rsidR="00504AAC" w:rsidRDefault="00717C1A" w:rsidP="006B1AFF">
            <w:pPr>
              <w:cnfStyle w:val="000000000000" w:firstRow="0" w:lastRow="0" w:firstColumn="0" w:lastColumn="0" w:oddVBand="0" w:evenVBand="0" w:oddHBand="0" w:evenHBand="0" w:firstRowFirstColumn="0" w:firstRowLastColumn="0" w:lastRowFirstColumn="0" w:lastRowLastColumn="0"/>
            </w:pPr>
            <w:r>
              <w:t>100 mg (1 x 100 mg)</w:t>
            </w:r>
          </w:p>
          <w:p w14:paraId="00EFB7AA" w14:textId="77777777" w:rsidR="00504AAC" w:rsidRDefault="00717C1A" w:rsidP="006B1AFF">
            <w:pPr>
              <w:cnfStyle w:val="000000000000" w:firstRow="0" w:lastRow="0" w:firstColumn="0" w:lastColumn="0" w:oddVBand="0" w:evenVBand="0" w:oddHBand="0" w:evenHBand="0" w:firstRowFirstColumn="0" w:firstRowLastColumn="0" w:lastRowFirstColumn="0" w:lastRowLastColumn="0"/>
            </w:pPr>
            <w:r>
              <w:t>200 mg (2 x 100 mg)</w:t>
            </w:r>
          </w:p>
          <w:p w14:paraId="63020B50" w14:textId="77777777" w:rsidR="00504AAC" w:rsidRDefault="00717C1A" w:rsidP="006B1AFF">
            <w:pPr>
              <w:cnfStyle w:val="000000000000" w:firstRow="0" w:lastRow="0" w:firstColumn="0" w:lastColumn="0" w:oddVBand="0" w:evenVBand="0" w:oddHBand="0" w:evenHBand="0" w:firstRowFirstColumn="0" w:firstRowLastColumn="0" w:lastRowFirstColumn="0" w:lastRowLastColumn="0"/>
            </w:pPr>
            <w:r>
              <w:t>400 mg (4 x 100 mg)</w:t>
            </w:r>
          </w:p>
          <w:p w14:paraId="17CB1405" w14:textId="77777777" w:rsidR="00504AAC" w:rsidRDefault="00717C1A" w:rsidP="006B1AFF">
            <w:pPr>
              <w:cnfStyle w:val="000000000000" w:firstRow="0" w:lastRow="0" w:firstColumn="0" w:lastColumn="0" w:oddVBand="0" w:evenVBand="0" w:oddHBand="0" w:evenHBand="0" w:firstRowFirstColumn="0" w:firstRowLastColumn="0" w:lastRowFirstColumn="0" w:lastRowLastColumn="0"/>
            </w:pPr>
            <w:r>
              <w:t>Zytiga</w:t>
            </w:r>
          </w:p>
          <w:p w14:paraId="59050B5E" w14:textId="6078DD35" w:rsidR="00D92ED7" w:rsidRDefault="00717C1A" w:rsidP="006B1AFF">
            <w:pPr>
              <w:cnfStyle w:val="000000000000" w:firstRow="0" w:lastRow="0" w:firstColumn="0" w:lastColumn="0" w:oddVBand="0" w:evenVBand="0" w:oddHBand="0" w:evenHBand="0" w:firstRowFirstColumn="0" w:firstRowLastColumn="0" w:lastRowFirstColumn="0" w:lastRowLastColumn="0"/>
            </w:pPr>
            <w:r>
              <w:t xml:space="preserve">1000 mg (4 x 250 mg) </w:t>
            </w:r>
          </w:p>
        </w:tc>
      </w:tr>
      <w:tr w:rsidR="00D92ED7" w14:paraId="16950D61" w14:textId="77777777" w:rsidTr="006B1AFF">
        <w:tc>
          <w:tcPr>
            <w:cnfStyle w:val="001000000000" w:firstRow="0" w:lastRow="0" w:firstColumn="1" w:lastColumn="0" w:oddVBand="0" w:evenVBand="0" w:oddHBand="0" w:evenHBand="0" w:firstRowFirstColumn="0" w:firstRowLastColumn="0" w:lastRowFirstColumn="0" w:lastRowLastColumn="0"/>
            <w:tcW w:w="1271" w:type="dxa"/>
          </w:tcPr>
          <w:p w14:paraId="48BD983C" w14:textId="7ED5C051" w:rsidR="00D92ED7" w:rsidRDefault="00717C1A" w:rsidP="006B1AFF">
            <w:r>
              <w:t>CHL-AA-102</w:t>
            </w:r>
          </w:p>
        </w:tc>
        <w:tc>
          <w:tcPr>
            <w:tcW w:w="1843" w:type="dxa"/>
          </w:tcPr>
          <w:p w14:paraId="2C860D17" w14:textId="693FDF5B" w:rsidR="00D92ED7" w:rsidRDefault="00717C1A" w:rsidP="006B1AFF">
            <w:pPr>
              <w:cnfStyle w:val="000000000000" w:firstRow="0" w:lastRow="0" w:firstColumn="0" w:lastColumn="0" w:oddVBand="0" w:evenVBand="0" w:oddHBand="0" w:evenHBand="0" w:firstRowFirstColumn="0" w:firstRowLastColumn="0" w:lastRowFirstColumn="0" w:lastRowLastColumn="0"/>
            </w:pPr>
            <w:r>
              <w:t xml:space="preserve">Open-label, randomized, single-dose, 4-way crossover study under fasted conditions </w:t>
            </w:r>
          </w:p>
        </w:tc>
        <w:tc>
          <w:tcPr>
            <w:tcW w:w="1276" w:type="dxa"/>
          </w:tcPr>
          <w:p w14:paraId="2DB0F649" w14:textId="17C5D6F8" w:rsidR="00D92ED7" w:rsidRDefault="00717C1A" w:rsidP="006B1AFF">
            <w:pPr>
              <w:cnfStyle w:val="000000000000" w:firstRow="0" w:lastRow="0" w:firstColumn="0" w:lastColumn="0" w:oddVBand="0" w:evenVBand="0" w:oddHBand="0" w:evenHBand="0" w:firstRowFirstColumn="0" w:firstRowLastColumn="0" w:lastRowFirstColumn="0" w:lastRowLastColumn="0"/>
            </w:pPr>
            <w:r>
              <w:t>Healthy male subjects</w:t>
            </w:r>
          </w:p>
        </w:tc>
        <w:tc>
          <w:tcPr>
            <w:tcW w:w="1559" w:type="dxa"/>
          </w:tcPr>
          <w:p w14:paraId="78E51A92" w14:textId="33E45472" w:rsidR="00D92ED7" w:rsidRDefault="00717C1A" w:rsidP="006B1AFF">
            <w:pPr>
              <w:cnfStyle w:val="000000000000" w:firstRow="0" w:lastRow="0" w:firstColumn="0" w:lastColumn="0" w:oddVBand="0" w:evenVBand="0" w:oddHBand="0" w:evenHBand="0" w:firstRowFirstColumn="0" w:firstRowLastColumn="0" w:lastRowFirstColumn="0" w:lastRowLastColumn="0"/>
            </w:pPr>
            <w:r>
              <w:t>36/36</w:t>
            </w:r>
          </w:p>
        </w:tc>
        <w:tc>
          <w:tcPr>
            <w:tcW w:w="3111" w:type="dxa"/>
          </w:tcPr>
          <w:p w14:paraId="16FDF729" w14:textId="2CBD591F" w:rsidR="00717C1A" w:rsidRDefault="00717C1A" w:rsidP="006B1AFF">
            <w:pPr>
              <w:cnfStyle w:val="000000000000" w:firstRow="0" w:lastRow="0" w:firstColumn="0" w:lastColumn="0" w:oddVBand="0" w:evenVBand="0" w:oddHBand="0" w:evenHBand="0" w:firstRowFirstColumn="0" w:firstRowLastColumn="0" w:lastRowFirstColumn="0" w:lastRowLastColumn="0"/>
            </w:pPr>
            <w:r>
              <w:t>Yonsa</w:t>
            </w:r>
          </w:p>
          <w:p w14:paraId="0A948700" w14:textId="77777777" w:rsidR="00504AAC" w:rsidRDefault="00717C1A" w:rsidP="006B1AFF">
            <w:pPr>
              <w:cnfStyle w:val="000000000000" w:firstRow="0" w:lastRow="0" w:firstColumn="0" w:lastColumn="0" w:oddVBand="0" w:evenVBand="0" w:oddHBand="0" w:evenHBand="0" w:firstRowFirstColumn="0" w:firstRowLastColumn="0" w:lastRowFirstColumn="0" w:lastRowLastColumn="0"/>
            </w:pPr>
            <w:r>
              <w:t>125 mg (1 x 125 mg)</w:t>
            </w:r>
          </w:p>
          <w:p w14:paraId="02A52854" w14:textId="77777777" w:rsidR="00504AAC" w:rsidRDefault="00717C1A" w:rsidP="006B1AFF">
            <w:pPr>
              <w:cnfStyle w:val="000000000000" w:firstRow="0" w:lastRow="0" w:firstColumn="0" w:lastColumn="0" w:oddVBand="0" w:evenVBand="0" w:oddHBand="0" w:evenHBand="0" w:firstRowFirstColumn="0" w:firstRowLastColumn="0" w:lastRowFirstColumn="0" w:lastRowLastColumn="0"/>
            </w:pPr>
            <w:r>
              <w:t>500 mg (4 x 125 mg)</w:t>
            </w:r>
          </w:p>
          <w:p w14:paraId="105578F7" w14:textId="77777777" w:rsidR="00504AAC" w:rsidRDefault="00717C1A" w:rsidP="006B1AFF">
            <w:pPr>
              <w:cnfStyle w:val="000000000000" w:firstRow="0" w:lastRow="0" w:firstColumn="0" w:lastColumn="0" w:oddVBand="0" w:evenVBand="0" w:oddHBand="0" w:evenHBand="0" w:firstRowFirstColumn="0" w:firstRowLastColumn="0" w:lastRowFirstColumn="0" w:lastRowLastColumn="0"/>
            </w:pPr>
            <w:r>
              <w:t>625 mg (5 x 125 mg)</w:t>
            </w:r>
          </w:p>
          <w:p w14:paraId="53E18054" w14:textId="77777777" w:rsidR="00504AAC" w:rsidRDefault="00717C1A" w:rsidP="006B1AFF">
            <w:pPr>
              <w:cnfStyle w:val="000000000000" w:firstRow="0" w:lastRow="0" w:firstColumn="0" w:lastColumn="0" w:oddVBand="0" w:evenVBand="0" w:oddHBand="0" w:evenHBand="0" w:firstRowFirstColumn="0" w:firstRowLastColumn="0" w:lastRowFirstColumn="0" w:lastRowLastColumn="0"/>
            </w:pPr>
            <w:r>
              <w:t>Zytiga</w:t>
            </w:r>
          </w:p>
          <w:p w14:paraId="08393AE5" w14:textId="3A0E5BB8" w:rsidR="00D92ED7" w:rsidRDefault="00717C1A" w:rsidP="006B1AFF">
            <w:pPr>
              <w:cnfStyle w:val="000000000000" w:firstRow="0" w:lastRow="0" w:firstColumn="0" w:lastColumn="0" w:oddVBand="0" w:evenVBand="0" w:oddHBand="0" w:evenHBand="0" w:firstRowFirstColumn="0" w:firstRowLastColumn="0" w:lastRowFirstColumn="0" w:lastRowLastColumn="0"/>
            </w:pPr>
            <w:r>
              <w:t xml:space="preserve">1000 mg (4 x 125 mg) </w:t>
            </w:r>
          </w:p>
        </w:tc>
      </w:tr>
      <w:tr w:rsidR="00D92ED7" w14:paraId="6129D5E2" w14:textId="77777777" w:rsidTr="006B1AFF">
        <w:tc>
          <w:tcPr>
            <w:cnfStyle w:val="001000000000" w:firstRow="0" w:lastRow="0" w:firstColumn="1" w:lastColumn="0" w:oddVBand="0" w:evenVBand="0" w:oddHBand="0" w:evenHBand="0" w:firstRowFirstColumn="0" w:firstRowLastColumn="0" w:lastRowFirstColumn="0" w:lastRowLastColumn="0"/>
            <w:tcW w:w="1271" w:type="dxa"/>
          </w:tcPr>
          <w:p w14:paraId="6F2EFFD4" w14:textId="2EE61FF5" w:rsidR="00D92ED7" w:rsidRDefault="00717C1A" w:rsidP="006B1AFF">
            <w:r>
              <w:lastRenderedPageBreak/>
              <w:t>CHL-AA-103</w:t>
            </w:r>
          </w:p>
        </w:tc>
        <w:tc>
          <w:tcPr>
            <w:tcW w:w="1843" w:type="dxa"/>
          </w:tcPr>
          <w:p w14:paraId="79194DB1" w14:textId="526890AE" w:rsidR="00D92ED7" w:rsidRDefault="00717C1A" w:rsidP="006B1AFF">
            <w:pPr>
              <w:cnfStyle w:val="000000000000" w:firstRow="0" w:lastRow="0" w:firstColumn="0" w:lastColumn="0" w:oddVBand="0" w:evenVBand="0" w:oddHBand="0" w:evenHBand="0" w:firstRowFirstColumn="0" w:firstRowLastColumn="0" w:lastRowFirstColumn="0" w:lastRowLastColumn="0"/>
            </w:pPr>
            <w:r>
              <w:t xml:space="preserve">Open-label, randomized, single-dose, crossover, study under fed and fasted conditions </w:t>
            </w:r>
          </w:p>
        </w:tc>
        <w:tc>
          <w:tcPr>
            <w:tcW w:w="1276" w:type="dxa"/>
          </w:tcPr>
          <w:p w14:paraId="5AC66BDF" w14:textId="0B40D04D" w:rsidR="00D92ED7" w:rsidRDefault="00717C1A" w:rsidP="006B1AFF">
            <w:pPr>
              <w:cnfStyle w:val="000000000000" w:firstRow="0" w:lastRow="0" w:firstColumn="0" w:lastColumn="0" w:oddVBand="0" w:evenVBand="0" w:oddHBand="0" w:evenHBand="0" w:firstRowFirstColumn="0" w:firstRowLastColumn="0" w:lastRowFirstColumn="0" w:lastRowLastColumn="0"/>
            </w:pPr>
            <w:r>
              <w:t>Healthy male subjects</w:t>
            </w:r>
          </w:p>
        </w:tc>
        <w:tc>
          <w:tcPr>
            <w:tcW w:w="1559" w:type="dxa"/>
          </w:tcPr>
          <w:p w14:paraId="09252B7F" w14:textId="59885B6D" w:rsidR="00D92ED7" w:rsidRDefault="00717C1A" w:rsidP="006B1AFF">
            <w:pPr>
              <w:cnfStyle w:val="000000000000" w:firstRow="0" w:lastRow="0" w:firstColumn="0" w:lastColumn="0" w:oddVBand="0" w:evenVBand="0" w:oddHBand="0" w:evenHBand="0" w:firstRowFirstColumn="0" w:firstRowLastColumn="0" w:lastRowFirstColumn="0" w:lastRowLastColumn="0"/>
            </w:pPr>
            <w:r>
              <w:t>25/25</w:t>
            </w:r>
          </w:p>
        </w:tc>
        <w:tc>
          <w:tcPr>
            <w:tcW w:w="3111" w:type="dxa"/>
          </w:tcPr>
          <w:p w14:paraId="3E1E80D2" w14:textId="514CED59" w:rsidR="00717C1A" w:rsidRDefault="00717C1A" w:rsidP="006B1AFF">
            <w:pPr>
              <w:cnfStyle w:val="000000000000" w:firstRow="0" w:lastRow="0" w:firstColumn="0" w:lastColumn="0" w:oddVBand="0" w:evenVBand="0" w:oddHBand="0" w:evenHBand="0" w:firstRowFirstColumn="0" w:firstRowLastColumn="0" w:lastRowFirstColumn="0" w:lastRowLastColumn="0"/>
            </w:pPr>
            <w:r>
              <w:t>Yonsa</w:t>
            </w:r>
          </w:p>
          <w:p w14:paraId="720266AC" w14:textId="57545E79" w:rsidR="00D92ED7" w:rsidRDefault="00717C1A" w:rsidP="006B1AFF">
            <w:pPr>
              <w:cnfStyle w:val="000000000000" w:firstRow="0" w:lastRow="0" w:firstColumn="0" w:lastColumn="0" w:oddVBand="0" w:evenVBand="0" w:oddHBand="0" w:evenHBand="0" w:firstRowFirstColumn="0" w:firstRowLastColumn="0" w:lastRowFirstColumn="0" w:lastRowLastColumn="0"/>
            </w:pPr>
            <w:r>
              <w:t xml:space="preserve">500 mg (4 x 125 mg) </w:t>
            </w:r>
          </w:p>
        </w:tc>
      </w:tr>
      <w:tr w:rsidR="00D92ED7" w14:paraId="5EDA12CF" w14:textId="77777777" w:rsidTr="006B1AFF">
        <w:tc>
          <w:tcPr>
            <w:cnfStyle w:val="001000000000" w:firstRow="0" w:lastRow="0" w:firstColumn="1" w:lastColumn="0" w:oddVBand="0" w:evenVBand="0" w:oddHBand="0" w:evenHBand="0" w:firstRowFirstColumn="0" w:firstRowLastColumn="0" w:lastRowFirstColumn="0" w:lastRowLastColumn="0"/>
            <w:tcW w:w="1271" w:type="dxa"/>
          </w:tcPr>
          <w:p w14:paraId="1CFF339E" w14:textId="18846DF9" w:rsidR="00D92ED7" w:rsidRDefault="00717C1A" w:rsidP="006B1AFF">
            <w:r>
              <w:t>CHL-AA-104</w:t>
            </w:r>
          </w:p>
        </w:tc>
        <w:tc>
          <w:tcPr>
            <w:tcW w:w="1843" w:type="dxa"/>
          </w:tcPr>
          <w:p w14:paraId="056BF930" w14:textId="3F96B620" w:rsidR="00D92ED7" w:rsidRDefault="00717C1A" w:rsidP="006B1AFF">
            <w:pPr>
              <w:cnfStyle w:val="000000000000" w:firstRow="0" w:lastRow="0" w:firstColumn="0" w:lastColumn="0" w:oddVBand="0" w:evenVBand="0" w:oddHBand="0" w:evenHBand="0" w:firstRowFirstColumn="0" w:firstRowLastColumn="0" w:lastRowFirstColumn="0" w:lastRowLastColumn="0"/>
            </w:pPr>
            <w:r>
              <w:t>Open-label, randomized, single-dose, crossover, study on background of steady-state steroid treatment under fasted conditions</w:t>
            </w:r>
          </w:p>
        </w:tc>
        <w:tc>
          <w:tcPr>
            <w:tcW w:w="1276" w:type="dxa"/>
          </w:tcPr>
          <w:p w14:paraId="1A43502D" w14:textId="55E7CC1F" w:rsidR="00D92ED7" w:rsidRDefault="00717C1A" w:rsidP="006B1AFF">
            <w:pPr>
              <w:cnfStyle w:val="000000000000" w:firstRow="0" w:lastRow="0" w:firstColumn="0" w:lastColumn="0" w:oddVBand="0" w:evenVBand="0" w:oddHBand="0" w:evenHBand="0" w:firstRowFirstColumn="0" w:firstRowLastColumn="0" w:lastRowFirstColumn="0" w:lastRowLastColumn="0"/>
            </w:pPr>
            <w:r>
              <w:t>Healthy male subjects</w:t>
            </w:r>
          </w:p>
        </w:tc>
        <w:tc>
          <w:tcPr>
            <w:tcW w:w="1559" w:type="dxa"/>
          </w:tcPr>
          <w:p w14:paraId="2367887E" w14:textId="0C98884F" w:rsidR="00D92ED7" w:rsidRDefault="00717C1A" w:rsidP="006B1AFF">
            <w:pPr>
              <w:cnfStyle w:val="000000000000" w:firstRow="0" w:lastRow="0" w:firstColumn="0" w:lastColumn="0" w:oddVBand="0" w:evenVBand="0" w:oddHBand="0" w:evenHBand="0" w:firstRowFirstColumn="0" w:firstRowLastColumn="0" w:lastRowFirstColumn="0" w:lastRowLastColumn="0"/>
            </w:pPr>
            <w:r>
              <w:t>37/37</w:t>
            </w:r>
          </w:p>
        </w:tc>
        <w:tc>
          <w:tcPr>
            <w:tcW w:w="3111" w:type="dxa"/>
          </w:tcPr>
          <w:p w14:paraId="1647D5EA" w14:textId="494BBDB9" w:rsidR="00504AAC" w:rsidRDefault="008C45B5" w:rsidP="006B1AFF">
            <w:pPr>
              <w:cnfStyle w:val="000000000000" w:firstRow="0" w:lastRow="0" w:firstColumn="0" w:lastColumn="0" w:oddVBand="0" w:evenVBand="0" w:oddHBand="0" w:evenHBand="0" w:firstRowFirstColumn="0" w:firstRowLastColumn="0" w:lastRowFirstColumn="0" w:lastRowLastColumn="0"/>
            </w:pPr>
            <w:r>
              <w:t>Yonsa Mpred</w:t>
            </w:r>
            <w:r w:rsidR="00717C1A">
              <w:br/>
              <w:t>Abiraterone acetate 500</w:t>
            </w:r>
            <w:r w:rsidR="005A4A24">
              <w:t> </w:t>
            </w:r>
            <w:r w:rsidR="00717C1A">
              <w:t xml:space="preserve">mg (4 x 125 mg) </w:t>
            </w:r>
            <w:r w:rsidR="005A4A24">
              <w:t xml:space="preserve">with </w:t>
            </w:r>
            <w:r w:rsidR="00717C1A">
              <w:t xml:space="preserve">methylprednisolone (4 mg </w:t>
            </w:r>
            <w:r w:rsidR="005A4A24">
              <w:t>twice a day</w:t>
            </w:r>
            <w:r w:rsidR="00717C1A">
              <w:t>)</w:t>
            </w:r>
          </w:p>
          <w:p w14:paraId="55EC21D0" w14:textId="24A62E38" w:rsidR="00D92ED7" w:rsidRDefault="00717C1A" w:rsidP="006B1AFF">
            <w:pPr>
              <w:cnfStyle w:val="000000000000" w:firstRow="0" w:lastRow="0" w:firstColumn="0" w:lastColumn="0" w:oddVBand="0" w:evenVBand="0" w:oddHBand="0" w:evenHBand="0" w:firstRowFirstColumn="0" w:firstRowLastColumn="0" w:lastRowFirstColumn="0" w:lastRowLastColumn="0"/>
            </w:pPr>
            <w:r>
              <w:t>Zytiga 1000 mg (4 x 250</w:t>
            </w:r>
            <w:r w:rsidR="005A4A24">
              <w:t> </w:t>
            </w:r>
            <w:r>
              <w:t xml:space="preserve">mg) plus prednisone (5 mg </w:t>
            </w:r>
            <w:r w:rsidR="005A4A24">
              <w:t>twice a day</w:t>
            </w:r>
            <w:r>
              <w:t xml:space="preserve">) </w:t>
            </w:r>
          </w:p>
        </w:tc>
      </w:tr>
      <w:tr w:rsidR="00D92ED7" w14:paraId="2F545622" w14:textId="77777777" w:rsidTr="006B1AFF">
        <w:tc>
          <w:tcPr>
            <w:cnfStyle w:val="001000000000" w:firstRow="0" w:lastRow="0" w:firstColumn="1" w:lastColumn="0" w:oddVBand="0" w:evenVBand="0" w:oddHBand="0" w:evenHBand="0" w:firstRowFirstColumn="0" w:firstRowLastColumn="0" w:lastRowFirstColumn="0" w:lastRowLastColumn="0"/>
            <w:tcW w:w="1271" w:type="dxa"/>
          </w:tcPr>
          <w:p w14:paraId="6F107EC4" w14:textId="2C8D0B85" w:rsidR="00D92ED7" w:rsidRDefault="00717C1A" w:rsidP="006B1AFF">
            <w:r>
              <w:t>CHL-AA-201</w:t>
            </w:r>
          </w:p>
        </w:tc>
        <w:tc>
          <w:tcPr>
            <w:tcW w:w="1843" w:type="dxa"/>
          </w:tcPr>
          <w:p w14:paraId="66DC10CC" w14:textId="4948F5B3" w:rsidR="00D92ED7" w:rsidRDefault="00717C1A" w:rsidP="006B1AFF">
            <w:pPr>
              <w:cnfStyle w:val="000000000000" w:firstRow="0" w:lastRow="0" w:firstColumn="0" w:lastColumn="0" w:oddVBand="0" w:evenVBand="0" w:oddHBand="0" w:evenHBand="0" w:firstRowFirstColumn="0" w:firstRowLastColumn="0" w:lastRowFirstColumn="0" w:lastRowLastColumn="0"/>
            </w:pPr>
            <w:r>
              <w:t>Open-label, randomised active-controlled, multiple-dose, multi</w:t>
            </w:r>
            <w:r w:rsidR="005A4A24">
              <w:t>-</w:t>
            </w:r>
            <w:r>
              <w:t xml:space="preserve">center, </w:t>
            </w:r>
            <w:r w:rsidR="005A4A24">
              <w:t>pharmacokinetic,</w:t>
            </w:r>
            <w:r>
              <w:t xml:space="preserve"> </w:t>
            </w:r>
            <w:r w:rsidR="005A4A24">
              <w:t>efficacy</w:t>
            </w:r>
            <w:r>
              <w:t xml:space="preserve"> and safety study</w:t>
            </w:r>
          </w:p>
        </w:tc>
        <w:tc>
          <w:tcPr>
            <w:tcW w:w="1276" w:type="dxa"/>
          </w:tcPr>
          <w:p w14:paraId="237D5C05" w14:textId="18F398B8" w:rsidR="00D92ED7" w:rsidRDefault="004D4F66" w:rsidP="006B1AFF">
            <w:pPr>
              <w:cnfStyle w:val="000000000000" w:firstRow="0" w:lastRow="0" w:firstColumn="0" w:lastColumn="0" w:oddVBand="0" w:evenVBand="0" w:oddHBand="0" w:evenHBand="0" w:firstRowFirstColumn="0" w:firstRowLastColumn="0" w:lastRowFirstColumn="0" w:lastRowLastColumn="0"/>
            </w:pPr>
            <w:r>
              <w:t xml:space="preserve">Patients with </w:t>
            </w:r>
            <w:r w:rsidR="00717C1A">
              <w:t>mCRPC</w:t>
            </w:r>
          </w:p>
        </w:tc>
        <w:tc>
          <w:tcPr>
            <w:tcW w:w="1559" w:type="dxa"/>
          </w:tcPr>
          <w:p w14:paraId="1B3FF39A" w14:textId="1AA12BAC" w:rsidR="00D92ED7" w:rsidRDefault="00717C1A" w:rsidP="006B1AFF">
            <w:pPr>
              <w:cnfStyle w:val="000000000000" w:firstRow="0" w:lastRow="0" w:firstColumn="0" w:lastColumn="0" w:oddVBand="0" w:evenVBand="0" w:oddHBand="0" w:evenHBand="0" w:firstRowFirstColumn="0" w:firstRowLastColumn="0" w:lastRowFirstColumn="0" w:lastRowLastColumn="0"/>
            </w:pPr>
            <w:r>
              <w:t>53/53</w:t>
            </w:r>
          </w:p>
        </w:tc>
        <w:tc>
          <w:tcPr>
            <w:tcW w:w="3111" w:type="dxa"/>
          </w:tcPr>
          <w:p w14:paraId="068BDCF4" w14:textId="78790BB6" w:rsidR="00504AAC" w:rsidRDefault="008C45B5" w:rsidP="006B1AFF">
            <w:pPr>
              <w:cnfStyle w:val="000000000000" w:firstRow="0" w:lastRow="0" w:firstColumn="0" w:lastColumn="0" w:oddVBand="0" w:evenVBand="0" w:oddHBand="0" w:evenHBand="0" w:firstRowFirstColumn="0" w:firstRowLastColumn="0" w:lastRowFirstColumn="0" w:lastRowLastColumn="0"/>
            </w:pPr>
            <w:r>
              <w:t>Yonsa Mpred</w:t>
            </w:r>
            <w:r w:rsidR="00717C1A">
              <w:br/>
              <w:t>Abiraterone acetate 500</w:t>
            </w:r>
            <w:r w:rsidR="005A4A24">
              <w:t> </w:t>
            </w:r>
            <w:r w:rsidR="00717C1A">
              <w:t xml:space="preserve">mg (4 x 125 mg) plus methylprednisolone (4 mg </w:t>
            </w:r>
            <w:r w:rsidR="005A4A24">
              <w:t>twice a day</w:t>
            </w:r>
            <w:r w:rsidR="00717C1A">
              <w:t>)</w:t>
            </w:r>
          </w:p>
          <w:p w14:paraId="7F710EDE" w14:textId="5CE634FE" w:rsidR="00D92ED7" w:rsidRDefault="00717C1A" w:rsidP="006B1AFF">
            <w:pPr>
              <w:cnfStyle w:val="000000000000" w:firstRow="0" w:lastRow="0" w:firstColumn="0" w:lastColumn="0" w:oddVBand="0" w:evenVBand="0" w:oddHBand="0" w:evenHBand="0" w:firstRowFirstColumn="0" w:firstRowLastColumn="0" w:lastRowFirstColumn="0" w:lastRowLastColumn="0"/>
            </w:pPr>
            <w:r>
              <w:t xml:space="preserve">Zytiga 1000 mg (4 x </w:t>
            </w:r>
            <w:r w:rsidR="004D4F66">
              <w:t>250</w:t>
            </w:r>
            <w:r>
              <w:t xml:space="preserve"> mg) plus prednisone (5 mg </w:t>
            </w:r>
            <w:r w:rsidR="005A4A24">
              <w:t>twice a day</w:t>
            </w:r>
            <w:r>
              <w:t>)</w:t>
            </w:r>
          </w:p>
        </w:tc>
      </w:tr>
    </w:tbl>
    <w:p w14:paraId="577B4944" w14:textId="77777777" w:rsidR="005A4A24" w:rsidRDefault="005A4A24" w:rsidP="00932F5D">
      <w:pPr>
        <w:rPr>
          <w:szCs w:val="22"/>
        </w:rPr>
      </w:pPr>
    </w:p>
    <w:p w14:paraId="4855813C" w14:textId="22C4158B" w:rsidR="00932F5D" w:rsidRDefault="00932F5D" w:rsidP="00932F5D">
      <w:pPr>
        <w:rPr>
          <w:szCs w:val="22"/>
        </w:rPr>
      </w:pPr>
      <w:r>
        <w:rPr>
          <w:szCs w:val="22"/>
        </w:rPr>
        <w:t>The mean exposure time to Yonza</w:t>
      </w:r>
      <w:r w:rsidR="008633CD">
        <w:rPr>
          <w:szCs w:val="22"/>
        </w:rPr>
        <w:t xml:space="preserve"> </w:t>
      </w:r>
      <w:r w:rsidR="00DD5496">
        <w:rPr>
          <w:szCs w:val="22"/>
        </w:rPr>
        <w:t>Mpred</w:t>
      </w:r>
      <w:r>
        <w:rPr>
          <w:szCs w:val="22"/>
        </w:rPr>
        <w:t xml:space="preserve"> was 81.7 days. The main safety data comes from the pivotal trial.</w:t>
      </w:r>
    </w:p>
    <w:p w14:paraId="57F7E719" w14:textId="18C09526" w:rsidR="00A701A6" w:rsidRDefault="00A701A6" w:rsidP="006B1AFF">
      <w:pPr>
        <w:pStyle w:val="TableTitle"/>
      </w:pPr>
      <w:r>
        <w:lastRenderedPageBreak/>
        <w:t xml:space="preserve">Table 4: </w:t>
      </w:r>
      <w:r w:rsidR="003A6A91" w:rsidRPr="003A6A91">
        <w:t>Study CHL-AA-201</w:t>
      </w:r>
      <w:r w:rsidR="003A6A91">
        <w:t xml:space="preserve"> c</w:t>
      </w:r>
      <w:r>
        <w:t xml:space="preserve">omparative rates of </w:t>
      </w:r>
      <w:r w:rsidR="004D4F66">
        <w:t>adverse events</w:t>
      </w:r>
      <w:r>
        <w:t xml:space="preserve"> observed in </w:t>
      </w:r>
      <w:r w:rsidR="005A4A24">
        <w:t>more than</w:t>
      </w:r>
      <w:r w:rsidR="004D4F66">
        <w:t xml:space="preserve"> </w:t>
      </w:r>
      <w:r>
        <w:t xml:space="preserve">5% of recipients of </w:t>
      </w:r>
      <w:r w:rsidR="008C45B5">
        <w:t>Yonsa Mpred</w:t>
      </w:r>
      <w:r>
        <w:t xml:space="preserve"> or Zytiga</w:t>
      </w:r>
    </w:p>
    <w:p w14:paraId="3B93B43E" w14:textId="5DE4B591" w:rsidR="00CA4853" w:rsidRDefault="00CA4853" w:rsidP="00932F5D">
      <w:pPr>
        <w:rPr>
          <w:szCs w:val="22"/>
        </w:rPr>
      </w:pPr>
      <w:r>
        <w:rPr>
          <w:noProof/>
        </w:rPr>
        <w:drawing>
          <wp:inline distT="0" distB="0" distL="0" distR="0" wp14:anchorId="2A1652E5" wp14:editId="62FA3C95">
            <wp:extent cx="5448300" cy="8258175"/>
            <wp:effectExtent l="0" t="0" r="0" b="9525"/>
            <wp:docPr id="11" name="Picture 11" descr="This table shows Study CHL-AA-201 comparative rates of adverse events observed in more than 5% of recipients of Yonsa Mpred or Zyti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is table shows Study CHL-AA-201 comparative rates of adverse events observed in more than 5% of recipients of Yonsa Mpred or Zytiga."/>
                    <pic:cNvPicPr/>
                  </pic:nvPicPr>
                  <pic:blipFill>
                    <a:blip r:embed="rId21"/>
                    <a:stretch>
                      <a:fillRect/>
                    </a:stretch>
                  </pic:blipFill>
                  <pic:spPr>
                    <a:xfrm>
                      <a:off x="0" y="0"/>
                      <a:ext cx="5448300" cy="8258175"/>
                    </a:xfrm>
                    <a:prstGeom prst="rect">
                      <a:avLst/>
                    </a:prstGeom>
                  </pic:spPr>
                </pic:pic>
              </a:graphicData>
            </a:graphic>
          </wp:inline>
        </w:drawing>
      </w:r>
    </w:p>
    <w:p w14:paraId="53DDB0FE" w14:textId="7367B06C" w:rsidR="00504AAC" w:rsidRDefault="00A701A6" w:rsidP="00DD5496">
      <w:r w:rsidRPr="00DD5496">
        <w:lastRenderedPageBreak/>
        <w:t xml:space="preserve">Rates of any adverse event were similar between </w:t>
      </w:r>
      <w:r w:rsidR="008C45B5">
        <w:t>Yonsa Mpred</w:t>
      </w:r>
      <w:r w:rsidRPr="00DD5496">
        <w:t xml:space="preserve"> and Zytiga. There was no consistent trend favouring one therapy over the other in terms of specific adverse events.</w:t>
      </w:r>
    </w:p>
    <w:p w14:paraId="3DAFDEEE" w14:textId="3FFA20D1" w:rsidR="00A701A6" w:rsidRPr="00DD5496" w:rsidRDefault="00A701A6" w:rsidP="00DD5496">
      <w:r w:rsidRPr="00DD5496">
        <w:t xml:space="preserve">There were </w:t>
      </w:r>
      <w:r w:rsidR="008633CD">
        <w:t>five</w:t>
      </w:r>
      <w:r w:rsidRPr="00DD5496">
        <w:t xml:space="preserve"> serious adverse events on treatment, </w:t>
      </w:r>
      <w:r w:rsidR="008633CD">
        <w:t>three</w:t>
      </w:r>
      <w:r w:rsidRPr="00DD5496">
        <w:t xml:space="preserve"> in the </w:t>
      </w:r>
      <w:r w:rsidR="008C45B5">
        <w:t>Yonsa Mpred</w:t>
      </w:r>
      <w:r w:rsidR="008633CD">
        <w:t xml:space="preserve"> group</w:t>
      </w:r>
      <w:r w:rsidRPr="00DD5496">
        <w:t xml:space="preserve"> and </w:t>
      </w:r>
      <w:r w:rsidR="008633CD">
        <w:t>two</w:t>
      </w:r>
      <w:r w:rsidRPr="00DD5496">
        <w:t xml:space="preserve"> in the Zytiga group. Apart from one adverse event (vertigo) </w:t>
      </w:r>
      <w:r w:rsidR="008633CD">
        <w:t>in the</w:t>
      </w:r>
      <w:r w:rsidRPr="00DD5496">
        <w:t xml:space="preserve"> Yonza</w:t>
      </w:r>
      <w:r w:rsidR="008633CD">
        <w:t xml:space="preserve"> Mpred group</w:t>
      </w:r>
      <w:r w:rsidRPr="00DD5496">
        <w:t>, all were considered unrelated to treatment.</w:t>
      </w:r>
    </w:p>
    <w:p w14:paraId="62EBD26F" w14:textId="77777777" w:rsidR="00504AAC" w:rsidRDefault="00A701A6" w:rsidP="006B1AFF">
      <w:pPr>
        <w:pStyle w:val="TableTitle"/>
      </w:pPr>
      <w:r>
        <w:t>Table 5:</w:t>
      </w:r>
      <w:r w:rsidR="003A6A91">
        <w:t xml:space="preserve"> </w:t>
      </w:r>
      <w:r w:rsidR="003A6A91" w:rsidRPr="003A6A91">
        <w:t>Study CHL-AA-201</w:t>
      </w:r>
      <w:r w:rsidR="003A6A91">
        <w:t xml:space="preserve"> s</w:t>
      </w:r>
      <w:r>
        <w:t xml:space="preserve">erious </w:t>
      </w:r>
      <w:r w:rsidR="00EA4BE3">
        <w:t>a</w:t>
      </w:r>
      <w:r>
        <w:t>dverse events</w:t>
      </w:r>
    </w:p>
    <w:p w14:paraId="4A123788" w14:textId="77777777" w:rsidR="00504AAC" w:rsidRDefault="00CA4853" w:rsidP="00932F5D">
      <w:pPr>
        <w:rPr>
          <w:noProof/>
        </w:rPr>
      </w:pPr>
      <w:r>
        <w:rPr>
          <w:noProof/>
        </w:rPr>
        <w:drawing>
          <wp:inline distT="0" distB="0" distL="0" distR="0" wp14:anchorId="5ADD952B" wp14:editId="5ABA90F4">
            <wp:extent cx="5759450" cy="3358515"/>
            <wp:effectExtent l="0" t="0" r="0" b="0"/>
            <wp:docPr id="15" name="Picture 15" descr="This table shows Study CHL-AA-201 serious adverse 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his table shows Study CHL-AA-201 serious adverse events."/>
                    <pic:cNvPicPr/>
                  </pic:nvPicPr>
                  <pic:blipFill>
                    <a:blip r:embed="rId22"/>
                    <a:stretch>
                      <a:fillRect/>
                    </a:stretch>
                  </pic:blipFill>
                  <pic:spPr>
                    <a:xfrm>
                      <a:off x="0" y="0"/>
                      <a:ext cx="5759450" cy="3358515"/>
                    </a:xfrm>
                    <a:prstGeom prst="rect">
                      <a:avLst/>
                    </a:prstGeom>
                  </pic:spPr>
                </pic:pic>
              </a:graphicData>
            </a:graphic>
          </wp:inline>
        </w:drawing>
      </w:r>
    </w:p>
    <w:p w14:paraId="081AE8D7" w14:textId="4BC38516" w:rsidR="00504AAC" w:rsidRDefault="00A701A6" w:rsidP="00DD5496">
      <w:r w:rsidRPr="00DD5496">
        <w:t xml:space="preserve">In the pivotal study, </w:t>
      </w:r>
      <w:r w:rsidR="008633CD">
        <w:t>two</w:t>
      </w:r>
      <w:r w:rsidRPr="00DD5496">
        <w:t xml:space="preserve"> patients on </w:t>
      </w:r>
      <w:r w:rsidR="008C45B5">
        <w:t>Yonsa Mpred</w:t>
      </w:r>
      <w:r w:rsidRPr="00DD5496">
        <w:t xml:space="preserve"> and </w:t>
      </w:r>
      <w:r w:rsidR="008633CD">
        <w:t>four</w:t>
      </w:r>
      <w:r w:rsidRPr="00DD5496">
        <w:t xml:space="preserve"> on Zytiga developed elevated </w:t>
      </w:r>
      <w:r w:rsidR="00D91682">
        <w:t xml:space="preserve">alkaline phosphatase </w:t>
      </w:r>
      <w:r w:rsidRPr="00DD5496">
        <w:t xml:space="preserve">from a normal </w:t>
      </w:r>
      <w:r w:rsidR="005A4A24">
        <w:t>B</w:t>
      </w:r>
      <w:r w:rsidRPr="00DD5496">
        <w:t>aseline. These were considered possibly related to study drug. No hepatic failure was reported.</w:t>
      </w:r>
    </w:p>
    <w:p w14:paraId="3AB655D9" w14:textId="63FDB4EA" w:rsidR="00A701A6" w:rsidRPr="00DD5496" w:rsidRDefault="00D91682" w:rsidP="00DD5496">
      <w:r>
        <w:t>N</w:t>
      </w:r>
      <w:r w:rsidR="00A701A6" w:rsidRPr="00DD5496">
        <w:t xml:space="preserve">o new safety concerns were raised regarding the new formulation of abiraterone. They have noted that the rates of </w:t>
      </w:r>
      <w:r>
        <w:t>adverse events</w:t>
      </w:r>
      <w:r w:rsidR="00A701A6" w:rsidRPr="00DD5496">
        <w:t xml:space="preserve"> related to mineralocorticoid excess were similar and low in both </w:t>
      </w:r>
      <w:r w:rsidR="008C45B5">
        <w:t>Yonsa Mpred</w:t>
      </w:r>
      <w:r w:rsidR="00A701A6" w:rsidRPr="00DD5496">
        <w:t xml:space="preserve"> and Zytiga, although there was a lower overall rate of </w:t>
      </w:r>
      <w:r>
        <w:t>adverse events</w:t>
      </w:r>
      <w:r w:rsidR="00A701A6" w:rsidRPr="00DD5496">
        <w:t xml:space="preserve"> seen in the Yonza arm (72.2%) compared to Zytiga (82.8%).</w:t>
      </w:r>
    </w:p>
    <w:p w14:paraId="2858B006" w14:textId="77777777" w:rsidR="00C22214" w:rsidRDefault="00C22214" w:rsidP="00C22214">
      <w:pPr>
        <w:pStyle w:val="Heading3"/>
        <w:rPr>
          <w:lang w:eastAsia="en-AU"/>
        </w:rPr>
      </w:pPr>
      <w:bookmarkStart w:id="52" w:name="_Toc314842514"/>
      <w:bookmarkStart w:id="53" w:name="_Toc103679298"/>
      <w:bookmarkStart w:id="54" w:name="_Toc174009276"/>
      <w:r>
        <w:rPr>
          <w:lang w:eastAsia="en-AU"/>
        </w:rPr>
        <w:t>Risk management plan</w:t>
      </w:r>
      <w:bookmarkEnd w:id="52"/>
      <w:bookmarkEnd w:id="53"/>
      <w:bookmarkEnd w:id="54"/>
    </w:p>
    <w:p w14:paraId="2D08CB50" w14:textId="27FF0F34" w:rsidR="00FA1BC9" w:rsidRPr="00BD5DBD" w:rsidRDefault="00FA1BC9" w:rsidP="00FA1BC9">
      <w:pPr>
        <w:rPr>
          <w:szCs w:val="22"/>
        </w:rPr>
      </w:pPr>
      <w:bookmarkStart w:id="55" w:name="_Toc247691531"/>
      <w:bookmarkStart w:id="56" w:name="_Toc314842515"/>
      <w:bookmarkStart w:id="57" w:name="_Toc103679299"/>
      <w:r w:rsidRPr="00BD5DBD">
        <w:rPr>
          <w:szCs w:val="22"/>
        </w:rPr>
        <w:t xml:space="preserve">The TGA decided a RMP was not required </w:t>
      </w:r>
      <w:r w:rsidR="003A6A91" w:rsidRPr="003A6A91">
        <w:rPr>
          <w:szCs w:val="22"/>
        </w:rPr>
        <w:t>as the combination of abiraterone acetate and corticosteroids is currently approved for the proposed indications and no additional risks are expected from a fixed dose combination</w:t>
      </w:r>
      <w:r w:rsidRPr="00BD5DBD">
        <w:rPr>
          <w:szCs w:val="22"/>
        </w:rPr>
        <w:t xml:space="preserve"> (see </w:t>
      </w:r>
      <w:hyperlink r:id="rId23" w:history="1">
        <w:r w:rsidRPr="00BD5DBD">
          <w:rPr>
            <w:rStyle w:val="Hyperlink"/>
            <w:szCs w:val="22"/>
          </w:rPr>
          <w:t>TGA’s guidance</w:t>
        </w:r>
      </w:hyperlink>
      <w:r w:rsidRPr="00BD5DBD">
        <w:rPr>
          <w:szCs w:val="22"/>
        </w:rPr>
        <w:t xml:space="preserve"> on ‘when an RMP is required’)</w:t>
      </w:r>
      <w:r w:rsidR="003A6A91">
        <w:rPr>
          <w:szCs w:val="22"/>
        </w:rPr>
        <w:t>.</w:t>
      </w:r>
    </w:p>
    <w:p w14:paraId="74A4F87F" w14:textId="77777777" w:rsidR="00C22214" w:rsidRDefault="00C22214" w:rsidP="00C22214">
      <w:pPr>
        <w:pStyle w:val="Heading3"/>
      </w:pPr>
      <w:bookmarkStart w:id="58" w:name="_Toc174009277"/>
      <w:r>
        <w:t>Risk-benefit analysis</w:t>
      </w:r>
      <w:bookmarkEnd w:id="55"/>
      <w:bookmarkEnd w:id="56"/>
      <w:bookmarkEnd w:id="57"/>
      <w:bookmarkEnd w:id="58"/>
    </w:p>
    <w:p w14:paraId="77DE2655" w14:textId="7FD7584F" w:rsidR="00C22214" w:rsidRDefault="00326F14" w:rsidP="00C22214">
      <w:pPr>
        <w:pStyle w:val="Heading4"/>
      </w:pPr>
      <w:bookmarkStart w:id="59" w:name="_Toc98931932"/>
      <w:bookmarkStart w:id="60" w:name="_Toc174009278"/>
      <w:r>
        <w:t>Delegate</w:t>
      </w:r>
      <w:r w:rsidR="00C22214">
        <w:t>’s considerations</w:t>
      </w:r>
      <w:bookmarkEnd w:id="59"/>
      <w:bookmarkEnd w:id="60"/>
    </w:p>
    <w:p w14:paraId="76F575DA" w14:textId="371F4D35" w:rsidR="00504AAC" w:rsidRDefault="008C45B5" w:rsidP="00D91682">
      <w:r>
        <w:t>Yonsa Mpred</w:t>
      </w:r>
      <w:r w:rsidR="00A701A6" w:rsidRPr="00D91682">
        <w:t xml:space="preserve"> offers a new micronized formulation of </w:t>
      </w:r>
      <w:r w:rsidR="000570AC">
        <w:t>a</w:t>
      </w:r>
      <w:r w:rsidR="00A701A6" w:rsidRPr="00D91682">
        <w:t>biraterone which allows for a lower total dose to be taken (500</w:t>
      </w:r>
      <w:r w:rsidR="00D91682">
        <w:t xml:space="preserve"> </w:t>
      </w:r>
      <w:r w:rsidR="00A701A6" w:rsidRPr="00D91682">
        <w:t xml:space="preserve">mg </w:t>
      </w:r>
      <w:r w:rsidR="00D91682">
        <w:t>once a day</w:t>
      </w:r>
      <w:r w:rsidR="00A701A6" w:rsidRPr="00D91682">
        <w:t>) than when using the existing formulations (1000</w:t>
      </w:r>
      <w:r w:rsidR="00D91682">
        <w:t xml:space="preserve"> </w:t>
      </w:r>
      <w:r w:rsidR="00A701A6" w:rsidRPr="00D91682">
        <w:t xml:space="preserve">mg </w:t>
      </w:r>
      <w:r w:rsidR="00D91682">
        <w:t>once a day</w:t>
      </w:r>
      <w:r w:rsidR="00A701A6" w:rsidRPr="00D91682">
        <w:t xml:space="preserve">). A clinical benefit for this has not, however, been demonstrated since the existing and micronized formulations are bioequivalent. While, therefore, reformulating abiraterone clearly </w:t>
      </w:r>
      <w:r w:rsidR="00A701A6" w:rsidRPr="00D91682">
        <w:lastRenderedPageBreak/>
        <w:t>offers superior absorption of active drug it produces the same systemic abiraterone exposure as the standard formulation.</w:t>
      </w:r>
    </w:p>
    <w:p w14:paraId="285AB765" w14:textId="2EC345F4" w:rsidR="00504AAC" w:rsidRDefault="00A701A6" w:rsidP="00D91682">
      <w:r w:rsidRPr="00D91682">
        <w:t>The use of methylprednisolone rather than prednisolone or prednisone is consistent with the US formulation of this product. Since methylprednisolone is not currently registered as an oral product in Australia it is somewhat irregular to include it as a</w:t>
      </w:r>
      <w:r w:rsidR="00D91682">
        <w:t xml:space="preserve"> new chemical entity</w:t>
      </w:r>
      <w:r w:rsidRPr="00D91682">
        <w:t xml:space="preserve"> in an Australian dossier that focuses almost exclusively on abiraterone. The </w:t>
      </w:r>
      <w:r w:rsidR="00326F14">
        <w:t>Delegate</w:t>
      </w:r>
      <w:r w:rsidRPr="00D91682">
        <w:t xml:space="preserve"> notes that the </w:t>
      </w:r>
      <w:r w:rsidR="00326F14">
        <w:t>Sponsor</w:t>
      </w:r>
      <w:r w:rsidRPr="00D91682">
        <w:t xml:space="preserve"> has provided no evidence of a therapeutic advantage for methylprednisolone over Australian registered oral glucocorticoids. However, the </w:t>
      </w:r>
      <w:r w:rsidR="00326F14">
        <w:t>Delegate</w:t>
      </w:r>
      <w:r w:rsidRPr="00D91682">
        <w:t xml:space="preserve"> agrees that the equivalence of 5</w:t>
      </w:r>
      <w:r w:rsidR="00D91682">
        <w:t xml:space="preserve"> </w:t>
      </w:r>
      <w:r w:rsidRPr="00D91682">
        <w:t>mg prednisone to 4</w:t>
      </w:r>
      <w:r w:rsidR="00D91682">
        <w:t xml:space="preserve"> </w:t>
      </w:r>
      <w:r w:rsidRPr="00D91682">
        <w:t>mg methylprednisolone is well recognised and reported. This element of the product has no oncological activity that would require equivalent efficacy to be demonstrated.</w:t>
      </w:r>
    </w:p>
    <w:p w14:paraId="48AA4063" w14:textId="5E211EE8" w:rsidR="00504AAC" w:rsidRDefault="00A701A6" w:rsidP="00D91682">
      <w:r w:rsidRPr="00D91682">
        <w:t xml:space="preserve">There is essentially no difference in the safety profile of </w:t>
      </w:r>
      <w:r w:rsidR="008C45B5">
        <w:t>Yonsa Mpred</w:t>
      </w:r>
      <w:r w:rsidRPr="00D91682">
        <w:t xml:space="preserve"> and Zytiga within the limited amount of data available. This is based on a small study population exposed for a short period of time, and the safety analysis submitted is not powered to allow quantitative distinctions in rates of </w:t>
      </w:r>
      <w:r w:rsidR="00D91682">
        <w:t>adverse events</w:t>
      </w:r>
      <w:r w:rsidRPr="00D91682">
        <w:t xml:space="preserve"> between the two products.</w:t>
      </w:r>
    </w:p>
    <w:p w14:paraId="0DD5F262" w14:textId="29C8A85C" w:rsidR="00504AAC" w:rsidRDefault="00A701A6" w:rsidP="00D91682">
      <w:r w:rsidRPr="00D91682">
        <w:t>The sole efficacy study demonstrates a lack of inequivalence with Zytiga rather than equivalent efficacy, given that it is small (n</w:t>
      </w:r>
      <w:r w:rsidR="00D91682">
        <w:t xml:space="preserve"> </w:t>
      </w:r>
      <w:r w:rsidRPr="00D91682">
        <w:t>=</w:t>
      </w:r>
      <w:r w:rsidR="00D91682">
        <w:t xml:space="preserve"> </w:t>
      </w:r>
      <w:r w:rsidRPr="00D91682">
        <w:t xml:space="preserve">53) and run for too short a period to be definitive in the setting of prostate cancer. Furthermore, the endpoints of </w:t>
      </w:r>
      <w:r w:rsidR="00B9610A" w:rsidRPr="00B9610A">
        <w:t>prostate specific antigen</w:t>
      </w:r>
      <w:r w:rsidRPr="00D91682">
        <w:t xml:space="preserve"> and testosterone reduction are surrogates for clinical response and not anti-tumour endpoints. </w:t>
      </w:r>
      <w:r w:rsidR="006B1AFF" w:rsidRPr="00D91682">
        <w:t>Therefore,</w:t>
      </w:r>
      <w:r w:rsidRPr="00D91682">
        <w:t xml:space="preserve"> evidence for the efficacy of </w:t>
      </w:r>
      <w:r w:rsidR="008C45B5">
        <w:t>Yonsa Mpred</w:t>
      </w:r>
      <w:r w:rsidRPr="00D91682">
        <w:t xml:space="preserve"> rests on its demonstrated bioequivalence with Zytiga, not the submitted study. The </w:t>
      </w:r>
      <w:r w:rsidR="00326F14">
        <w:t>Delegate</w:t>
      </w:r>
      <w:r w:rsidRPr="00D91682">
        <w:t xml:space="preserve"> considers </w:t>
      </w:r>
      <w:r w:rsidR="00D91682">
        <w:t>S</w:t>
      </w:r>
      <w:r w:rsidRPr="00D91682">
        <w:t>tudy CHL-AA-201 to provide supportive evidence of efficacy only.</w:t>
      </w:r>
    </w:p>
    <w:p w14:paraId="5250C33C" w14:textId="28DE49F2" w:rsidR="00A701A6" w:rsidRPr="00D91682" w:rsidRDefault="00A701A6" w:rsidP="00D91682">
      <w:r w:rsidRPr="00D91682">
        <w:t xml:space="preserve">The </w:t>
      </w:r>
      <w:r w:rsidRPr="000570AC">
        <w:rPr>
          <w:i/>
          <w:iCs/>
        </w:rPr>
        <w:t>Dose and Method of Administration</w:t>
      </w:r>
      <w:r w:rsidRPr="00D91682">
        <w:t xml:space="preserve"> section of the proposed </w:t>
      </w:r>
      <w:r w:rsidR="008C45B5">
        <w:t>Yonsa Mpred</w:t>
      </w:r>
      <w:r w:rsidRPr="00D91682">
        <w:t xml:space="preserve"> </w:t>
      </w:r>
      <w:r w:rsidR="00D91682">
        <w:t>Product Information</w:t>
      </w:r>
      <w:r w:rsidRPr="00D91682">
        <w:t xml:space="preserve"> states that this product can be taken with or without food. This is compared to Zytiga, which must not be taken with food due to the observed food effects on pharmacokinetics. The </w:t>
      </w:r>
      <w:r w:rsidR="00326F14">
        <w:t>Delegate</w:t>
      </w:r>
      <w:r w:rsidRPr="00D91682">
        <w:t xml:space="preserve"> notes that the proposed </w:t>
      </w:r>
      <w:r w:rsidR="008C45B5">
        <w:t>Yonsa Mpred</w:t>
      </w:r>
      <w:r w:rsidRPr="00D91682">
        <w:t xml:space="preserve"> label is consistent with the US FDA labelling for both </w:t>
      </w:r>
      <w:r w:rsidR="008C45B5">
        <w:t>Yonsa Mpred</w:t>
      </w:r>
      <w:r w:rsidRPr="00D91682">
        <w:t xml:space="preserve"> and Zytiga. There is, however, a less marked effect of food on </w:t>
      </w:r>
      <w:r w:rsidR="008C45B5">
        <w:t>Yonsa Mpred</w:t>
      </w:r>
      <w:r w:rsidRPr="00D91682">
        <w:t xml:space="preserve"> pharmacokinetics and this has not been examined head-to-head with Zytiga in data submitted in this application. The safety of </w:t>
      </w:r>
      <w:r w:rsidR="008C45B5">
        <w:t>Yonsa Mpred</w:t>
      </w:r>
      <w:r w:rsidRPr="00D91682">
        <w:t xml:space="preserve"> also not been examined specifically in a high-fat-fed population in data submitted in this application.</w:t>
      </w:r>
    </w:p>
    <w:p w14:paraId="3916F296" w14:textId="77777777" w:rsidR="00C22214" w:rsidRDefault="00C22214" w:rsidP="00C22214">
      <w:pPr>
        <w:pStyle w:val="Heading4"/>
      </w:pPr>
      <w:bookmarkStart w:id="61" w:name="_Toc98931933"/>
      <w:bookmarkStart w:id="62" w:name="_Toc174009279"/>
      <w:r w:rsidRPr="00D23139">
        <w:t>Proposed action</w:t>
      </w:r>
      <w:bookmarkEnd w:id="61"/>
      <w:bookmarkEnd w:id="62"/>
    </w:p>
    <w:p w14:paraId="6E517A62" w14:textId="6B7D08AB" w:rsidR="00A701A6" w:rsidRPr="00A701A6" w:rsidRDefault="00A701A6" w:rsidP="00A701A6">
      <w:pPr>
        <w:rPr>
          <w:rFonts w:cs="Cambria"/>
          <w:color w:val="000000"/>
          <w:szCs w:val="22"/>
        </w:rPr>
      </w:pPr>
      <w:bookmarkStart w:id="63" w:name="_Toc98931934"/>
      <w:r w:rsidRPr="00A701A6">
        <w:rPr>
          <w:rFonts w:cs="Cambria"/>
          <w:color w:val="000000"/>
          <w:szCs w:val="22"/>
        </w:rPr>
        <w:t xml:space="preserve">The </w:t>
      </w:r>
      <w:r w:rsidR="00326F14">
        <w:rPr>
          <w:rFonts w:cs="Cambria"/>
          <w:color w:val="000000"/>
          <w:szCs w:val="22"/>
        </w:rPr>
        <w:t>Delegate</w:t>
      </w:r>
      <w:r w:rsidRPr="00A701A6">
        <w:rPr>
          <w:rFonts w:cs="Cambria"/>
          <w:color w:val="000000"/>
          <w:szCs w:val="22"/>
        </w:rPr>
        <w:t xml:space="preserve"> concludes that </w:t>
      </w:r>
      <w:r w:rsidR="008C45B5">
        <w:rPr>
          <w:rFonts w:cs="Cambria"/>
          <w:color w:val="000000"/>
          <w:szCs w:val="22"/>
        </w:rPr>
        <w:t>Yonsa Mpred</w:t>
      </w:r>
      <w:r w:rsidRPr="00A701A6">
        <w:rPr>
          <w:rFonts w:cs="Cambria"/>
          <w:color w:val="000000"/>
          <w:szCs w:val="22"/>
        </w:rPr>
        <w:t xml:space="preserve"> is a bioequivalent formulation to existing abiraterone formulations. As such it provides the same level of efficacy and safety as existing formulations, albeit at a lower dose level.</w:t>
      </w:r>
    </w:p>
    <w:p w14:paraId="307F236C" w14:textId="77777777" w:rsidR="00C22214" w:rsidRPr="002E238E" w:rsidRDefault="00C22214" w:rsidP="00C22214">
      <w:pPr>
        <w:pStyle w:val="Heading2"/>
      </w:pPr>
      <w:bookmarkStart w:id="64" w:name="_Toc247691532"/>
      <w:bookmarkStart w:id="65" w:name="_Toc314842516"/>
      <w:bookmarkStart w:id="66" w:name="_Toc103679300"/>
      <w:bookmarkStart w:id="67" w:name="_Toc174009280"/>
      <w:bookmarkEnd w:id="63"/>
      <w:r>
        <w:t>Outcome</w:t>
      </w:r>
      <w:bookmarkEnd w:id="64"/>
      <w:bookmarkEnd w:id="65"/>
      <w:bookmarkEnd w:id="66"/>
      <w:bookmarkEnd w:id="67"/>
    </w:p>
    <w:p w14:paraId="18850651" w14:textId="4F64DDCF" w:rsidR="00D91682" w:rsidRPr="00D91682" w:rsidRDefault="00C22214" w:rsidP="00D91682">
      <w:r w:rsidRPr="00D91682">
        <w:t xml:space="preserve">Based on a review of quality, safety, and efficacy, the TGA approved the registration of </w:t>
      </w:r>
      <w:r w:rsidR="008C45B5">
        <w:t>Yonsa Mpred</w:t>
      </w:r>
      <w:r w:rsidR="00D91682" w:rsidRPr="00D91682">
        <w:t>, a</w:t>
      </w:r>
      <w:r w:rsidRPr="00D91682">
        <w:t xml:space="preserve"> </w:t>
      </w:r>
      <w:r w:rsidR="00D91682" w:rsidRPr="00D91682">
        <w:t>composite pack of abiraterone acetate 125 mg tablet bottle and methylprednisolone 4</w:t>
      </w:r>
      <w:r w:rsidR="00D91682">
        <w:t> </w:t>
      </w:r>
      <w:r w:rsidR="00D91682" w:rsidRPr="00D91682">
        <w:t xml:space="preserve">mg tablet bottle, </w:t>
      </w:r>
      <w:r w:rsidRPr="00D91682">
        <w:t>indicated for</w:t>
      </w:r>
      <w:r w:rsidR="00D91682" w:rsidRPr="00D91682">
        <w:t>:</w:t>
      </w:r>
    </w:p>
    <w:p w14:paraId="7D80269E" w14:textId="3091F55A" w:rsidR="00D91682" w:rsidRPr="00D91682" w:rsidRDefault="008C45B5" w:rsidP="003A6A91">
      <w:pPr>
        <w:keepNext/>
        <w:ind w:firstLine="357"/>
        <w:rPr>
          <w:i/>
          <w:iCs/>
        </w:rPr>
      </w:pPr>
      <w:r>
        <w:rPr>
          <w:i/>
          <w:iCs/>
        </w:rPr>
        <w:t>Yonsa Mpred</w:t>
      </w:r>
      <w:r w:rsidR="00D91682" w:rsidRPr="00D91682">
        <w:rPr>
          <w:i/>
          <w:iCs/>
        </w:rPr>
        <w:t xml:space="preserve"> is indicated for the treatment of patients with:</w:t>
      </w:r>
    </w:p>
    <w:p w14:paraId="38566C2B" w14:textId="6169E841" w:rsidR="00D91682" w:rsidRPr="00D91682" w:rsidRDefault="00D91682" w:rsidP="00D91682">
      <w:pPr>
        <w:pStyle w:val="ListBullet"/>
        <w:ind w:left="720"/>
        <w:rPr>
          <w:i/>
          <w:iCs/>
        </w:rPr>
      </w:pPr>
      <w:r w:rsidRPr="00D91682">
        <w:rPr>
          <w:i/>
          <w:iCs/>
        </w:rPr>
        <w:t>newly diagnosed high-risk metastatic hormone sensitive prostate cancer (mHSPC) in combination with androgen deprivation therapy (ADT), or</w:t>
      </w:r>
    </w:p>
    <w:p w14:paraId="66806F55" w14:textId="163C9C7D" w:rsidR="00D91682" w:rsidRPr="00D91682" w:rsidRDefault="00D91682" w:rsidP="00D91682">
      <w:pPr>
        <w:pStyle w:val="ListBullet"/>
        <w:ind w:left="720"/>
        <w:rPr>
          <w:i/>
          <w:iCs/>
        </w:rPr>
      </w:pPr>
      <w:r w:rsidRPr="00D91682">
        <w:rPr>
          <w:i/>
          <w:iCs/>
        </w:rPr>
        <w:lastRenderedPageBreak/>
        <w:t>patients with metastatic advanced prostate cancer (castration resistant prostate cancer, mCRPC) who are asymptomatic or mildly symptomatic after failure of androgen deprivation therapy (ADT) or</w:t>
      </w:r>
    </w:p>
    <w:p w14:paraId="39895312" w14:textId="3BCC8450" w:rsidR="00D91682" w:rsidRPr="00D91682" w:rsidRDefault="00D91682" w:rsidP="00D91682">
      <w:pPr>
        <w:pStyle w:val="ListBullet"/>
        <w:ind w:left="720"/>
        <w:rPr>
          <w:i/>
          <w:iCs/>
        </w:rPr>
      </w:pPr>
      <w:r w:rsidRPr="00D91682">
        <w:rPr>
          <w:i/>
          <w:iCs/>
        </w:rPr>
        <w:t>patients with mCRPC who have received prior chemotherapy containing a taxane.</w:t>
      </w:r>
    </w:p>
    <w:p w14:paraId="34FB51B5" w14:textId="77777777" w:rsidR="009000BB" w:rsidRDefault="009000BB" w:rsidP="009000BB">
      <w:pPr>
        <w:pStyle w:val="ListBullet"/>
        <w:numPr>
          <w:ilvl w:val="0"/>
          <w:numId w:val="0"/>
        </w:numPr>
        <w:ind w:left="360" w:hanging="360"/>
      </w:pPr>
      <w:bookmarkStart w:id="68" w:name="_Toc103679292"/>
      <w:bookmarkStart w:id="69" w:name="_Toc103679303"/>
    </w:p>
    <w:p w14:paraId="4A75C2FA" w14:textId="77777777" w:rsidR="006B1AFF" w:rsidRDefault="006B1AFF" w:rsidP="006B1AFF">
      <w:pPr>
        <w:pStyle w:val="Heading2"/>
      </w:pPr>
      <w:bookmarkStart w:id="70" w:name="_Toc149647553"/>
      <w:bookmarkStart w:id="71" w:name="_Toc174009281"/>
      <w:bookmarkEnd w:id="68"/>
      <w:r>
        <w:t>Attachment 1. Product Information</w:t>
      </w:r>
      <w:bookmarkEnd w:id="70"/>
      <w:bookmarkEnd w:id="71"/>
    </w:p>
    <w:p w14:paraId="2B0C5078" w14:textId="77777777" w:rsidR="009000BB" w:rsidRPr="00BD5DBD" w:rsidRDefault="009000BB" w:rsidP="009000BB">
      <w:pPr>
        <w:pStyle w:val="ListBullet"/>
        <w:numPr>
          <w:ilvl w:val="0"/>
          <w:numId w:val="0"/>
        </w:numPr>
        <w:rPr>
          <w:szCs w:val="22"/>
        </w:rPr>
      </w:pPr>
      <w:bookmarkStart w:id="72" w:name="_Hlk172015475"/>
      <w:r w:rsidRPr="00BD5DBD">
        <w:rPr>
          <w:szCs w:val="22"/>
        </w:rPr>
        <w:t xml:space="preserve">The </w:t>
      </w:r>
      <w:hyperlink r:id="rId24" w:history="1">
        <w:r w:rsidRPr="00BD5DBD">
          <w:rPr>
            <w:rStyle w:val="Hyperlink"/>
            <w:szCs w:val="22"/>
          </w:rPr>
          <w:t>Product Information</w:t>
        </w:r>
      </w:hyperlink>
      <w:r w:rsidRPr="00BD5DBD">
        <w:rPr>
          <w:szCs w:val="22"/>
        </w:rPr>
        <w:t xml:space="preserve"> (</w:t>
      </w:r>
      <w:hyperlink r:id="rId25" w:history="1">
        <w:r w:rsidRPr="00BD5DBD">
          <w:rPr>
            <w:rStyle w:val="Hyperlink"/>
            <w:szCs w:val="22"/>
          </w:rPr>
          <w:t>PI</w:t>
        </w:r>
      </w:hyperlink>
      <w:r w:rsidRPr="00BD5DBD">
        <w:rPr>
          <w:szCs w:val="22"/>
        </w:rPr>
        <w:t xml:space="preserve">) approved with </w:t>
      </w:r>
      <w:r>
        <w:rPr>
          <w:szCs w:val="22"/>
        </w:rPr>
        <w:t>this</w:t>
      </w:r>
      <w:r w:rsidRPr="00BD5DBD">
        <w:rPr>
          <w:szCs w:val="22"/>
        </w:rPr>
        <w:t xml:space="preserve"> submission</w:t>
      </w:r>
      <w:r w:rsidRPr="0017005C">
        <w:rPr>
          <w:szCs w:val="22"/>
        </w:rPr>
        <w:t xml:space="preserve"> </w:t>
      </w:r>
      <w:r w:rsidRPr="00BD5DBD">
        <w:rPr>
          <w:szCs w:val="22"/>
        </w:rPr>
        <w:t xml:space="preserve">for </w:t>
      </w:r>
      <w:r>
        <w:t xml:space="preserve">Yonsa Mpred </w:t>
      </w:r>
      <w:r w:rsidRPr="00BD5DBD">
        <w:rPr>
          <w:szCs w:val="22"/>
        </w:rPr>
        <w:t xml:space="preserve">which is </w:t>
      </w:r>
      <w:r>
        <w:rPr>
          <w:szCs w:val="22"/>
        </w:rPr>
        <w:t>referred to</w:t>
      </w:r>
      <w:r w:rsidRPr="00BD5DBD">
        <w:rPr>
          <w:szCs w:val="22"/>
        </w:rPr>
        <w:t xml:space="preserve"> in this AusPAR </w:t>
      </w:r>
      <w:r>
        <w:rPr>
          <w:szCs w:val="22"/>
        </w:rPr>
        <w:t xml:space="preserve">(and </w:t>
      </w:r>
      <w:r w:rsidRPr="00BD5DBD">
        <w:rPr>
          <w:szCs w:val="22"/>
        </w:rPr>
        <w:t xml:space="preserve">can be </w:t>
      </w:r>
      <w:r>
        <w:rPr>
          <w:szCs w:val="22"/>
        </w:rPr>
        <w:t xml:space="preserve">accessed on this AusPAR’s webpage) </w:t>
      </w:r>
      <w:r>
        <w:t xml:space="preserve">may have been superseded. </w:t>
      </w:r>
      <w:r w:rsidRPr="00BD5DBD">
        <w:rPr>
          <w:szCs w:val="22"/>
        </w:rPr>
        <w:t xml:space="preserve">For the most recent PI and </w:t>
      </w:r>
      <w:hyperlink r:id="rId26" w:history="1">
        <w:r w:rsidRPr="00BD5DBD">
          <w:rPr>
            <w:rStyle w:val="Hyperlink"/>
            <w:szCs w:val="22"/>
          </w:rPr>
          <w:t>Consumer Medicines Information</w:t>
        </w:r>
      </w:hyperlink>
      <w:r w:rsidRPr="00BD5DBD">
        <w:rPr>
          <w:szCs w:val="22"/>
        </w:rPr>
        <w:t xml:space="preserve"> (CMI), please refer to the TGA </w:t>
      </w:r>
      <w:hyperlink r:id="rId27" w:history="1">
        <w:r w:rsidRPr="00BD5DBD">
          <w:rPr>
            <w:rStyle w:val="Hyperlink"/>
            <w:szCs w:val="22"/>
          </w:rPr>
          <w:t>PI/CMI search facility.</w:t>
        </w:r>
      </w:hyperlink>
    </w:p>
    <w:bookmarkEnd w:id="72"/>
    <w:p w14:paraId="5024A8D3" w14:textId="67F4FB2B" w:rsidR="00ED388B" w:rsidRDefault="00ED388B" w:rsidP="00ED388B">
      <w:pPr>
        <w:rPr>
          <w:sz w:val="24"/>
        </w:rPr>
      </w:pPr>
    </w:p>
    <w:bookmarkEnd w:id="69"/>
    <w:p w14:paraId="40740B65" w14:textId="120BC0ED" w:rsidR="00C22214" w:rsidRPr="005A4A24" w:rsidRDefault="00C22214" w:rsidP="005A4A24">
      <w:pPr>
        <w:rPr>
          <w:szCs w:val="22"/>
        </w:rPr>
      </w:pPr>
      <w:r w:rsidRPr="00C80137">
        <w:rPr>
          <w:b/>
        </w:rPr>
        <w:br w:type="page"/>
      </w:r>
    </w:p>
    <w:p w14:paraId="53357BF3" w14:textId="276457B5" w:rsidR="00C22214" w:rsidRDefault="00C22214" w:rsidP="00C22214">
      <w:pPr>
        <w:rPr>
          <w:lang w:eastAsia="ja-JP"/>
        </w:rPr>
        <w:sectPr w:rsidR="00C22214" w:rsidSect="007452E8">
          <w:headerReference w:type="default" r:id="rId28"/>
          <w:footerReference w:type="default" r:id="rId29"/>
          <w:pgSz w:w="11906" w:h="16838" w:code="9"/>
          <w:pgMar w:top="1134" w:right="1418" w:bottom="1361" w:left="1418" w:header="573" w:footer="567" w:gutter="0"/>
          <w:cols w:space="708"/>
          <w:docGrid w:linePitch="360"/>
        </w:sectPr>
      </w:pPr>
    </w:p>
    <w:tbl>
      <w:tblPr>
        <w:tblW w:w="9145" w:type="dxa"/>
        <w:jc w:val="center"/>
        <w:tblLayout w:type="fixed"/>
        <w:tblCellMar>
          <w:left w:w="0" w:type="dxa"/>
          <w:right w:w="0" w:type="dxa"/>
        </w:tblCellMar>
        <w:tblLook w:val="04A0" w:firstRow="1" w:lastRow="0" w:firstColumn="1" w:lastColumn="0" w:noHBand="0" w:noVBand="1"/>
      </w:tblPr>
      <w:tblGrid>
        <w:gridCol w:w="9145"/>
      </w:tblGrid>
      <w:tr w:rsidR="00F02AEC" w:rsidRPr="00F50198" w14:paraId="3C0C07BF" w14:textId="77777777" w:rsidTr="007452E8">
        <w:trPr>
          <w:trHeight w:hRule="exact" w:val="565"/>
          <w:jc w:val="center"/>
        </w:trPr>
        <w:tc>
          <w:tcPr>
            <w:tcW w:w="9145" w:type="dxa"/>
          </w:tcPr>
          <w:bookmarkEnd w:id="5"/>
          <w:bookmarkEnd w:id="6"/>
          <w:p w14:paraId="7E090B86" w14:textId="77777777" w:rsidR="00F02AEC" w:rsidRPr="00F50198" w:rsidRDefault="00F02AEC" w:rsidP="007452E8">
            <w:pPr>
              <w:pStyle w:val="TGASignoff"/>
              <w:rPr>
                <w:rFonts w:ascii="Aptos" w:hAnsi="Aptos"/>
              </w:rPr>
            </w:pPr>
            <w:r w:rsidRPr="00F50198">
              <w:rPr>
                <w:rFonts w:ascii="Aptos" w:hAnsi="Aptos"/>
              </w:rPr>
              <w:lastRenderedPageBreak/>
              <w:t>Therapeutic Goods Administration</w:t>
            </w:r>
          </w:p>
        </w:tc>
      </w:tr>
      <w:tr w:rsidR="00F02AEC" w:rsidRPr="00F50198" w14:paraId="70F47EA1" w14:textId="77777777" w:rsidTr="007452E8">
        <w:trPr>
          <w:trHeight w:val="963"/>
          <w:jc w:val="center"/>
        </w:trPr>
        <w:tc>
          <w:tcPr>
            <w:tcW w:w="9145" w:type="dxa"/>
            <w:tcMar>
              <w:top w:w="28" w:type="dxa"/>
            </w:tcMar>
          </w:tcPr>
          <w:p w14:paraId="3491EBCD" w14:textId="77777777" w:rsidR="00F02AEC" w:rsidRPr="00F50198" w:rsidRDefault="00F02AEC" w:rsidP="007452E8">
            <w:pPr>
              <w:pStyle w:val="Address"/>
              <w:jc w:val="center"/>
              <w:rPr>
                <w:rFonts w:ascii="Aptos" w:hAnsi="Aptos"/>
              </w:rPr>
            </w:pPr>
            <w:r w:rsidRPr="00F50198">
              <w:rPr>
                <w:rFonts w:ascii="Aptos" w:hAnsi="Aptos"/>
              </w:rPr>
              <w:t>PO Box 100 Woden ACT 2606 Australia</w:t>
            </w:r>
          </w:p>
          <w:p w14:paraId="5D0FE0E7" w14:textId="66C601B6" w:rsidR="00F02AEC" w:rsidRPr="00F50198" w:rsidRDefault="00F02AEC">
            <w:pPr>
              <w:pStyle w:val="Address"/>
              <w:jc w:val="center"/>
              <w:rPr>
                <w:rFonts w:ascii="Aptos" w:hAnsi="Aptos"/>
                <w:sz w:val="22"/>
                <w:szCs w:val="22"/>
              </w:rPr>
            </w:pPr>
            <w:r w:rsidRPr="00F50198">
              <w:rPr>
                <w:rFonts w:ascii="Aptos" w:hAnsi="Aptos"/>
              </w:rPr>
              <w:t xml:space="preserve">Email: </w:t>
            </w:r>
            <w:hyperlink r:id="rId30" w:history="1">
              <w:r w:rsidRPr="00F50198">
                <w:rPr>
                  <w:rStyle w:val="Hyperlink"/>
                  <w:rFonts w:ascii="Aptos" w:hAnsi="Aptos"/>
                </w:rPr>
                <w:t>info@tga.gov.au</w:t>
              </w:r>
            </w:hyperlink>
            <w:r w:rsidR="00504AAC" w:rsidRPr="00F50198">
              <w:rPr>
                <w:rFonts w:ascii="Aptos" w:hAnsi="Aptos"/>
              </w:rPr>
              <w:t xml:space="preserve"> </w:t>
            </w:r>
            <w:r w:rsidRPr="00F50198">
              <w:rPr>
                <w:rFonts w:ascii="Aptos" w:hAnsi="Aptos"/>
              </w:rPr>
              <w:t>Phone: 1800 020 653</w:t>
            </w:r>
            <w:r w:rsidR="00504AAC" w:rsidRPr="00F50198">
              <w:rPr>
                <w:rFonts w:ascii="Aptos" w:hAnsi="Aptos"/>
              </w:rPr>
              <w:t xml:space="preserve"> </w:t>
            </w:r>
            <w:r w:rsidRPr="00F50198">
              <w:rPr>
                <w:rFonts w:ascii="Aptos" w:hAnsi="Aptos"/>
              </w:rPr>
              <w:t>Fax: 02 6203 1605</w:t>
            </w:r>
          </w:p>
          <w:p w14:paraId="4533D80F" w14:textId="77777777" w:rsidR="00F02AEC" w:rsidRPr="00F50198" w:rsidRDefault="00BC5004">
            <w:pPr>
              <w:pStyle w:val="Address"/>
              <w:jc w:val="center"/>
              <w:rPr>
                <w:rStyle w:val="Hyperlink"/>
                <w:rFonts w:ascii="Aptos" w:hAnsi="Aptos"/>
                <w:b/>
                <w:color w:val="auto"/>
                <w:sz w:val="22"/>
              </w:rPr>
            </w:pPr>
            <w:hyperlink r:id="rId31" w:history="1">
              <w:r w:rsidR="00F02AEC" w:rsidRPr="00F50198">
                <w:rPr>
                  <w:rStyle w:val="Hyperlink"/>
                  <w:rFonts w:ascii="Aptos" w:hAnsi="Aptos"/>
                  <w:b/>
                </w:rPr>
                <w:t>https://www.tga.gov.au</w:t>
              </w:r>
            </w:hyperlink>
          </w:p>
        </w:tc>
      </w:tr>
      <w:tr w:rsidR="00F02AEC" w:rsidRPr="00F50198" w14:paraId="2AD74347" w14:textId="77777777" w:rsidTr="007452E8">
        <w:trPr>
          <w:trHeight w:val="251"/>
          <w:jc w:val="center"/>
        </w:trPr>
        <w:tc>
          <w:tcPr>
            <w:tcW w:w="9145" w:type="dxa"/>
            <w:tcMar>
              <w:top w:w="28" w:type="dxa"/>
            </w:tcMar>
          </w:tcPr>
          <w:p w14:paraId="6EAAD5C1" w14:textId="54907B32" w:rsidR="00F02AEC" w:rsidRPr="00F50198" w:rsidRDefault="00F02AEC" w:rsidP="007452E8">
            <w:pPr>
              <w:pStyle w:val="Address"/>
              <w:jc w:val="center"/>
              <w:rPr>
                <w:rFonts w:ascii="Aptos" w:hAnsi="Aptos"/>
              </w:rPr>
            </w:pPr>
          </w:p>
        </w:tc>
      </w:tr>
    </w:tbl>
    <w:p w14:paraId="788B80FD" w14:textId="77777777" w:rsidR="007452E8" w:rsidRDefault="007452E8"/>
    <w:sectPr w:rsidR="007452E8" w:rsidSect="007452E8">
      <w:headerReference w:type="first" r:id="rId32"/>
      <w:footerReference w:type="first" r:id="rId33"/>
      <w:pgSz w:w="11906" w:h="16838" w:code="9"/>
      <w:pgMar w:top="13571" w:right="1701" w:bottom="567" w:left="1701" w:header="1134"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2DEE7" w14:textId="77777777" w:rsidR="00FE7931" w:rsidRDefault="00FE7931" w:rsidP="00F02AEC">
      <w:pPr>
        <w:spacing w:after="0" w:line="240" w:lineRule="auto"/>
      </w:pPr>
      <w:r>
        <w:separator/>
      </w:r>
    </w:p>
  </w:endnote>
  <w:endnote w:type="continuationSeparator" w:id="0">
    <w:p w14:paraId="461FD3B0" w14:textId="77777777" w:rsidR="00FE7931" w:rsidRDefault="00FE7931" w:rsidP="00F02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7452E8" w:rsidRPr="00257138" w14:paraId="162D69C2" w14:textId="77777777" w:rsidTr="007452E8">
      <w:trPr>
        <w:trHeight w:val="423"/>
      </w:trPr>
      <w:tc>
        <w:tcPr>
          <w:tcW w:w="4360" w:type="dxa"/>
          <w:tcBorders>
            <w:top w:val="single" w:sz="4" w:space="0" w:color="auto"/>
          </w:tcBorders>
        </w:tcPr>
        <w:p w14:paraId="32E1B782" w14:textId="77777777" w:rsidR="007452E8" w:rsidRDefault="007452E8" w:rsidP="007452E8">
          <w:pPr>
            <w:pStyle w:val="Footer"/>
          </w:pPr>
        </w:p>
        <w:p w14:paraId="1849C07C" w14:textId="77777777" w:rsidR="007452E8" w:rsidRPr="00257138" w:rsidRDefault="007452E8" w:rsidP="007452E8">
          <w:pPr>
            <w:pStyle w:val="Footer"/>
          </w:pPr>
          <w:r w:rsidRPr="00257138">
            <w:t>Document title</w:t>
          </w:r>
        </w:p>
      </w:tc>
      <w:tc>
        <w:tcPr>
          <w:tcW w:w="4360" w:type="dxa"/>
          <w:tcBorders>
            <w:top w:val="single" w:sz="4" w:space="0" w:color="auto"/>
          </w:tcBorders>
        </w:tcPr>
        <w:sdt>
          <w:sdtPr>
            <w:id w:val="1087729233"/>
            <w:docPartObj>
              <w:docPartGallery w:val="Page Numbers (Top of Page)"/>
              <w:docPartUnique/>
            </w:docPartObj>
          </w:sdtPr>
          <w:sdtEndPr/>
          <w:sdtContent>
            <w:p w14:paraId="606A08BF" w14:textId="77777777" w:rsidR="007452E8" w:rsidRDefault="007452E8" w:rsidP="007452E8">
              <w:pPr>
                <w:pStyle w:val="Footer"/>
                <w:jc w:val="right"/>
              </w:pPr>
            </w:p>
            <w:p w14:paraId="5EDE6DF6" w14:textId="77777777" w:rsidR="007452E8" w:rsidRPr="00257138" w:rsidRDefault="007452E8" w:rsidP="007452E8">
              <w:pPr>
                <w:pStyle w:val="Footer"/>
                <w:jc w:val="right"/>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r>
                <w:fldChar w:fldCharType="begin"/>
              </w:r>
              <w:r>
                <w:instrText xml:space="preserve"> NUMPAGES  </w:instrText>
              </w:r>
              <w:r>
                <w:fldChar w:fldCharType="separate"/>
              </w:r>
              <w:r>
                <w:rPr>
                  <w:noProof/>
                </w:rPr>
                <w:t>2</w:t>
              </w:r>
              <w:r>
                <w:rPr>
                  <w:noProof/>
                </w:rPr>
                <w:fldChar w:fldCharType="end"/>
              </w:r>
            </w:p>
          </w:sdtContent>
        </w:sdt>
      </w:tc>
    </w:tr>
    <w:tr w:rsidR="007452E8" w:rsidRPr="00257138" w14:paraId="280F09C8" w14:textId="77777777" w:rsidTr="007452E8">
      <w:trPr>
        <w:trHeight w:val="263"/>
      </w:trPr>
      <w:tc>
        <w:tcPr>
          <w:tcW w:w="4360" w:type="dxa"/>
        </w:tcPr>
        <w:p w14:paraId="673F06D3" w14:textId="77777777" w:rsidR="007452E8" w:rsidRPr="00257138" w:rsidRDefault="007452E8" w:rsidP="007452E8">
          <w:pPr>
            <w:pStyle w:val="Footer"/>
          </w:pPr>
          <w:r w:rsidRPr="00257138">
            <w:t xml:space="preserve">V1.0 </w:t>
          </w:r>
          <w:r>
            <w:t>Month</w:t>
          </w:r>
          <w:r w:rsidRPr="00257138">
            <w:t xml:space="preserve"> 201</w:t>
          </w:r>
          <w:r>
            <w:t>2</w:t>
          </w:r>
        </w:p>
      </w:tc>
      <w:tc>
        <w:tcPr>
          <w:tcW w:w="4360" w:type="dxa"/>
        </w:tcPr>
        <w:p w14:paraId="77F5B433" w14:textId="77777777" w:rsidR="007452E8" w:rsidRPr="00257138" w:rsidRDefault="007452E8" w:rsidP="007452E8">
          <w:pPr>
            <w:pStyle w:val="Footer"/>
            <w:jc w:val="right"/>
          </w:pPr>
        </w:p>
      </w:tc>
    </w:tr>
  </w:tbl>
  <w:p w14:paraId="63F6FDDE" w14:textId="77777777" w:rsidR="007452E8" w:rsidRPr="00826007" w:rsidRDefault="007452E8" w:rsidP="007452E8">
    <w:pPr>
      <w:pStyle w:val="Footer"/>
      <w:tabs>
        <w:tab w:val="left" w:pos="7620"/>
        <w:tab w:val="right" w:pos="850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C42B2" w14:textId="77777777" w:rsidR="00504AAC" w:rsidRDefault="00504AAC" w:rsidP="007452E8">
    <w:pPr>
      <w:pStyle w:val="Footer"/>
      <w:ind w:left="-1701"/>
    </w:pPr>
  </w:p>
  <w:p w14:paraId="09DAA29C" w14:textId="25658782" w:rsidR="007452E8" w:rsidRDefault="007452E8" w:rsidP="007452E8">
    <w:pPr>
      <w:pStyle w:val="Footer"/>
      <w:ind w:left="-170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338"/>
      <w:gridCol w:w="1734"/>
    </w:tblGrid>
    <w:tr w:rsidR="007452E8" w:rsidRPr="004A3084" w14:paraId="6266BC33" w14:textId="77777777" w:rsidTr="007452E8">
      <w:trPr>
        <w:trHeight w:val="423"/>
      </w:trPr>
      <w:tc>
        <w:tcPr>
          <w:tcW w:w="7338" w:type="dxa"/>
          <w:tcBorders>
            <w:top w:val="single" w:sz="4" w:space="0" w:color="auto"/>
          </w:tcBorders>
        </w:tcPr>
        <w:p w14:paraId="57EEA28C" w14:textId="22F9AB93" w:rsidR="00A701A6" w:rsidRDefault="007452E8" w:rsidP="007452E8">
          <w:pPr>
            <w:pStyle w:val="Footer"/>
          </w:pPr>
          <w:r w:rsidRPr="00487162">
            <w:t>AusPA</w:t>
          </w:r>
          <w:r>
            <w:t xml:space="preserve">R </w:t>
          </w:r>
          <w:r w:rsidR="00A701A6">
            <w:t>–</w:t>
          </w:r>
          <w:r>
            <w:t xml:space="preserve"> </w:t>
          </w:r>
          <w:r w:rsidR="008C45B5">
            <w:t>Yonsa Mpred</w:t>
          </w:r>
          <w:r w:rsidR="00A701A6">
            <w:t xml:space="preserve"> –</w:t>
          </w:r>
          <w:r w:rsidRPr="00460036">
            <w:t xml:space="preserve"> </w:t>
          </w:r>
          <w:r w:rsidR="00A701A6">
            <w:t>abiraterone acetate and methylprednisolone –</w:t>
          </w:r>
          <w:r>
            <w:t xml:space="preserve"> S</w:t>
          </w:r>
          <w:r w:rsidR="00A701A6">
            <w:t>un Pharma ANZ Pty Ltd</w:t>
          </w:r>
          <w:r>
            <w:t xml:space="preserve"> - PM-202</w:t>
          </w:r>
          <w:r w:rsidR="00A701A6">
            <w:t>0-04869-1-4</w:t>
          </w:r>
        </w:p>
        <w:p w14:paraId="3C421323" w14:textId="6FEE6F36" w:rsidR="007452E8" w:rsidRPr="004A3084" w:rsidRDefault="009000BB" w:rsidP="007452E8">
          <w:pPr>
            <w:pStyle w:val="Footer"/>
          </w:pPr>
          <w:r>
            <w:t>Finalisation: 1 August 2024</w:t>
          </w:r>
        </w:p>
      </w:tc>
      <w:tc>
        <w:tcPr>
          <w:tcW w:w="1734" w:type="dxa"/>
          <w:tcBorders>
            <w:top w:val="single" w:sz="4" w:space="0" w:color="auto"/>
          </w:tcBorders>
        </w:tcPr>
        <w:sdt>
          <w:sdtPr>
            <w:id w:val="11571659"/>
            <w:docPartObj>
              <w:docPartGallery w:val="Page Numbers (Top of Page)"/>
              <w:docPartUnique/>
            </w:docPartObj>
          </w:sdtPr>
          <w:sdtEndPr/>
          <w:sdtContent>
            <w:p w14:paraId="4DE4ED0C" w14:textId="29F65FFD" w:rsidR="007452E8" w:rsidRPr="004A3084" w:rsidRDefault="007452E8" w:rsidP="007452E8">
              <w:pPr>
                <w:pStyle w:val="Footer"/>
                <w:jc w:val="right"/>
              </w:pPr>
              <w:r w:rsidRPr="004A3084">
                <w:t xml:space="preserve">Page </w:t>
              </w:r>
              <w:r>
                <w:fldChar w:fldCharType="begin"/>
              </w:r>
              <w:r>
                <w:instrText xml:space="preserve"> PAGE </w:instrText>
              </w:r>
              <w:r>
                <w:fldChar w:fldCharType="separate"/>
              </w:r>
              <w:r w:rsidR="006D6B44">
                <w:rPr>
                  <w:noProof/>
                </w:rPr>
                <w:t>13</w:t>
              </w:r>
              <w:r>
                <w:rPr>
                  <w:noProof/>
                </w:rPr>
                <w:fldChar w:fldCharType="end"/>
              </w:r>
              <w:r w:rsidRPr="004A3084">
                <w:t xml:space="preserve"> of </w:t>
              </w:r>
              <w:r>
                <w:fldChar w:fldCharType="begin"/>
              </w:r>
              <w:r>
                <w:instrText xml:space="preserve"> NUMPAGES  </w:instrText>
              </w:r>
              <w:r>
                <w:fldChar w:fldCharType="separate"/>
              </w:r>
              <w:r w:rsidR="006D6B44">
                <w:rPr>
                  <w:noProof/>
                </w:rPr>
                <w:t>17</w:t>
              </w:r>
              <w:r>
                <w:rPr>
                  <w:noProof/>
                </w:rPr>
                <w:fldChar w:fldCharType="end"/>
              </w:r>
            </w:p>
          </w:sdtContent>
        </w:sdt>
      </w:tc>
    </w:tr>
  </w:tbl>
  <w:p w14:paraId="1A4EDE60" w14:textId="77777777" w:rsidR="007452E8" w:rsidRPr="00826007" w:rsidRDefault="007452E8" w:rsidP="007452E8">
    <w:pPr>
      <w:pStyle w:val="Footer"/>
      <w:tabs>
        <w:tab w:val="left" w:pos="7620"/>
        <w:tab w:val="right" w:pos="8504"/>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3F70A" w14:textId="77777777" w:rsidR="007452E8" w:rsidRPr="008E3C43" w:rsidRDefault="007452E8" w:rsidP="00745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CD289" w14:textId="77777777" w:rsidR="00FE7931" w:rsidRDefault="00FE7931" w:rsidP="00F02AEC">
      <w:pPr>
        <w:spacing w:after="0" w:line="240" w:lineRule="auto"/>
      </w:pPr>
      <w:r>
        <w:separator/>
      </w:r>
    </w:p>
  </w:footnote>
  <w:footnote w:type="continuationSeparator" w:id="0">
    <w:p w14:paraId="15DD3444" w14:textId="77777777" w:rsidR="00FE7931" w:rsidRDefault="00FE7931" w:rsidP="00F02AEC">
      <w:pPr>
        <w:spacing w:after="0" w:line="240" w:lineRule="auto"/>
      </w:pPr>
      <w:r>
        <w:continuationSeparator/>
      </w:r>
    </w:p>
  </w:footnote>
  <w:footnote w:id="1">
    <w:p w14:paraId="66B1C0E1" w14:textId="6815241A" w:rsidR="003A4D1A" w:rsidRDefault="003A4D1A">
      <w:pPr>
        <w:pStyle w:val="FootnoteText"/>
      </w:pPr>
      <w:r>
        <w:rPr>
          <w:rStyle w:val="FootnoteReference"/>
        </w:rPr>
        <w:footnoteRef/>
      </w:r>
      <w:r>
        <w:t xml:space="preserve"> An AusPAR for Zytiga original submission is available at </w:t>
      </w:r>
      <w:hyperlink r:id="rId1" w:history="1">
        <w:r w:rsidRPr="00CD31DD">
          <w:rPr>
            <w:rStyle w:val="Hyperlink"/>
          </w:rPr>
          <w:t>https://www.tga.gov.au/resources/auspar/auspar-abiraterone-acetate</w:t>
        </w:r>
      </w:hyperlink>
      <w:r>
        <w:t xml:space="preserve">. An AusPAR for Zytiga extension of indications is available at </w:t>
      </w:r>
      <w:hyperlink r:id="rId2" w:history="1">
        <w:r w:rsidR="00695030" w:rsidRPr="00C65DB8">
          <w:rPr>
            <w:rStyle w:val="Hyperlink"/>
          </w:rPr>
          <w:t>https://www.tga.gov.au/resources/auspar/auspar-abiraterone-acetate-0</w:t>
        </w:r>
      </w:hyperlink>
      <w:r w:rsidR="0069503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E3517" w14:textId="77777777" w:rsidR="007452E8" w:rsidRPr="00CB0550" w:rsidRDefault="007452E8" w:rsidP="00CB0550">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2DE55" w14:textId="77777777" w:rsidR="007452E8" w:rsidRDefault="007452E8" w:rsidP="007452E8">
    <w:pPr>
      <w:rPr>
        <w:noProof/>
      </w:rPr>
    </w:pPr>
    <w:r>
      <w:rPr>
        <w:noProof/>
        <w:lang w:val="en-GB" w:eastAsia="en-GB"/>
      </w:rPr>
      <w:drawing>
        <wp:anchor distT="0" distB="0" distL="114300" distR="114300" simplePos="0" relativeHeight="251661312" behindDoc="0" locked="0" layoutInCell="1" allowOverlap="1" wp14:anchorId="19C10218" wp14:editId="1C7A23CB">
          <wp:simplePos x="0" y="0"/>
          <wp:positionH relativeFrom="column">
            <wp:posOffset>-400050</wp:posOffset>
          </wp:positionH>
          <wp:positionV relativeFrom="paragraph">
            <wp:posOffset>-116205</wp:posOffset>
          </wp:positionV>
          <wp:extent cx="2676525" cy="621665"/>
          <wp:effectExtent l="0" t="0" r="9525" b="6985"/>
          <wp:wrapTopAndBottom/>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76525" cy="6216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B29B2">
      <w:rPr>
        <w:noProof/>
        <w:lang w:val="en-GB" w:eastAsia="en-GB"/>
      </w:rPr>
      <w:drawing>
        <wp:anchor distT="0" distB="0" distL="114300" distR="114300" simplePos="0" relativeHeight="251660288" behindDoc="0" locked="0" layoutInCell="0" allowOverlap="1" wp14:anchorId="14BBEAC1" wp14:editId="0829B6F3">
          <wp:simplePos x="0" y="0"/>
          <wp:positionH relativeFrom="page">
            <wp:align>left</wp:align>
          </wp:positionH>
          <wp:positionV relativeFrom="page">
            <wp:posOffset>3239495</wp:posOffset>
          </wp:positionV>
          <wp:extent cx="7663815" cy="4323091"/>
          <wp:effectExtent l="0" t="0" r="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663815" cy="43230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632D" w14:textId="77777777" w:rsidR="007452E8" w:rsidRDefault="007452E8" w:rsidP="007452E8">
    <w:pPr>
      <w:pStyle w:val="Header"/>
    </w:pPr>
    <w:r w:rsidRPr="000F5176">
      <w:t>Therapeutic Goods Administration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B477B" w14:textId="77777777" w:rsidR="007452E8" w:rsidRPr="00FE501F" w:rsidRDefault="007452E8" w:rsidP="007452E8">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53F11"/>
    <w:multiLevelType w:val="multilevel"/>
    <w:tmpl w:val="E58A81F0"/>
    <w:styleLink w:val="NumberBullet"/>
    <w:lvl w:ilvl="0">
      <w:start w:val="1"/>
      <w:numFmt w:val="decimal"/>
      <w:pStyle w:val="Numberbullet0"/>
      <w:lvlText w:val="%1."/>
      <w:lvlJc w:val="left"/>
      <w:pPr>
        <w:ind w:left="360" w:hanging="360"/>
      </w:pPr>
      <w:rPr>
        <w:rFonts w:ascii="Arial" w:hAnsi="Arial"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 w15:restartNumberingAfterBreak="0">
    <w:nsid w:val="168F13E9"/>
    <w:multiLevelType w:val="multilevel"/>
    <w:tmpl w:val="520883D8"/>
    <w:styleLink w:val="ListBullets"/>
    <w:lvl w:ilvl="0">
      <w:start w:val="4"/>
      <w:numFmt w:val="bullet"/>
      <w:pStyle w:val="ListBullet"/>
      <w:lvlText w:val="•"/>
      <w:lvlJc w:val="left"/>
      <w:pPr>
        <w:ind w:left="360" w:hanging="360"/>
      </w:pPr>
      <w:rPr>
        <w:rFonts w:ascii="Cambria" w:eastAsia="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 w15:restartNumberingAfterBreak="0">
    <w:nsid w:val="23FB1C56"/>
    <w:multiLevelType w:val="multilevel"/>
    <w:tmpl w:val="339EBC96"/>
    <w:lvl w:ilvl="0">
      <w:start w:val="1"/>
      <w:numFmt w:val="bullet"/>
      <w:pStyle w:val="ListBullet-dotick"/>
      <w:lvlText w:val=""/>
      <w:lvlJc w:val="left"/>
      <w:pPr>
        <w:ind w:left="360" w:hanging="360"/>
      </w:pPr>
      <w:rPr>
        <w:rFonts w:ascii="Wingdings" w:hAnsi="Wingdings" w:hint="default"/>
        <w:b/>
        <w:i w:val="0"/>
        <w:color w:val="00B050"/>
        <w:sz w:val="24"/>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4" w15:restartNumberingAfterBreak="0">
    <w:nsid w:val="4F7912C9"/>
    <w:multiLevelType w:val="multilevel"/>
    <w:tmpl w:val="D6F4F1DE"/>
    <w:lvl w:ilvl="0">
      <w:start w:val="1"/>
      <w:numFmt w:val="bullet"/>
      <w:pStyle w:val="ListBullet-donotcross"/>
      <w:lvlText w:val=""/>
      <w:lvlJc w:val="left"/>
      <w:pPr>
        <w:ind w:left="785" w:hanging="360"/>
      </w:pPr>
      <w:rPr>
        <w:rFonts w:ascii="Wingdings" w:hAnsi="Wingdings" w:hint="default"/>
        <w:b/>
        <w:i w:val="0"/>
        <w:color w:val="800000"/>
        <w:sz w:val="26"/>
        <w:szCs w:val="22"/>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5"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85575856">
    <w:abstractNumId w:val="2"/>
  </w:num>
  <w:num w:numId="2" w16cid:durableId="1738168067">
    <w:abstractNumId w:val="0"/>
  </w:num>
  <w:num w:numId="3" w16cid:durableId="1551960424">
    <w:abstractNumId w:val="1"/>
  </w:num>
  <w:num w:numId="4" w16cid:durableId="874737234">
    <w:abstractNumId w:val="5"/>
  </w:num>
  <w:num w:numId="5" w16cid:durableId="343753266">
    <w:abstractNumId w:val="3"/>
  </w:num>
  <w:num w:numId="6" w16cid:durableId="2000187736">
    <w:abstractNumId w:val="4"/>
  </w:num>
  <w:num w:numId="7" w16cid:durableId="525871810">
    <w:abstractNumId w:val="0"/>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C2"/>
    <w:rsid w:val="000570AC"/>
    <w:rsid w:val="00061493"/>
    <w:rsid w:val="00065975"/>
    <w:rsid w:val="00077844"/>
    <w:rsid w:val="00094B81"/>
    <w:rsid w:val="000975AA"/>
    <w:rsid w:val="000D72BE"/>
    <w:rsid w:val="000D7934"/>
    <w:rsid w:val="00101FB1"/>
    <w:rsid w:val="0012473C"/>
    <w:rsid w:val="0013132F"/>
    <w:rsid w:val="0013528C"/>
    <w:rsid w:val="00165D28"/>
    <w:rsid w:val="00175CD8"/>
    <w:rsid w:val="001C1C2E"/>
    <w:rsid w:val="001C5A1D"/>
    <w:rsid w:val="0020369B"/>
    <w:rsid w:val="00207FEE"/>
    <w:rsid w:val="00220B13"/>
    <w:rsid w:val="00222C15"/>
    <w:rsid w:val="00226F39"/>
    <w:rsid w:val="00235BE6"/>
    <w:rsid w:val="00241B60"/>
    <w:rsid w:val="002B7F4F"/>
    <w:rsid w:val="002C5E29"/>
    <w:rsid w:val="002D7127"/>
    <w:rsid w:val="002F6966"/>
    <w:rsid w:val="003008D8"/>
    <w:rsid w:val="00303959"/>
    <w:rsid w:val="00312AC3"/>
    <w:rsid w:val="00314430"/>
    <w:rsid w:val="00324B33"/>
    <w:rsid w:val="00326F14"/>
    <w:rsid w:val="00346EC2"/>
    <w:rsid w:val="0035444D"/>
    <w:rsid w:val="00395140"/>
    <w:rsid w:val="003A4D1A"/>
    <w:rsid w:val="003A6A91"/>
    <w:rsid w:val="003B149C"/>
    <w:rsid w:val="003D71A1"/>
    <w:rsid w:val="0041688F"/>
    <w:rsid w:val="0042376F"/>
    <w:rsid w:val="004246B8"/>
    <w:rsid w:val="0043054B"/>
    <w:rsid w:val="00433318"/>
    <w:rsid w:val="00477C4E"/>
    <w:rsid w:val="00491A55"/>
    <w:rsid w:val="004B3081"/>
    <w:rsid w:val="004D4F66"/>
    <w:rsid w:val="004F03AA"/>
    <w:rsid w:val="00504AAC"/>
    <w:rsid w:val="005303F4"/>
    <w:rsid w:val="00535DFE"/>
    <w:rsid w:val="00557796"/>
    <w:rsid w:val="00562F42"/>
    <w:rsid w:val="0056766D"/>
    <w:rsid w:val="0058575E"/>
    <w:rsid w:val="0058783C"/>
    <w:rsid w:val="005911AE"/>
    <w:rsid w:val="0059313A"/>
    <w:rsid w:val="005A4A24"/>
    <w:rsid w:val="005B023F"/>
    <w:rsid w:val="005D2089"/>
    <w:rsid w:val="005D7514"/>
    <w:rsid w:val="005E1A7B"/>
    <w:rsid w:val="005F12F0"/>
    <w:rsid w:val="006277A1"/>
    <w:rsid w:val="006351D9"/>
    <w:rsid w:val="00637130"/>
    <w:rsid w:val="00637F0E"/>
    <w:rsid w:val="006423F2"/>
    <w:rsid w:val="00692CCD"/>
    <w:rsid w:val="00695030"/>
    <w:rsid w:val="006A1F0B"/>
    <w:rsid w:val="006A277A"/>
    <w:rsid w:val="006B1AFF"/>
    <w:rsid w:val="006C01A5"/>
    <w:rsid w:val="006D6B44"/>
    <w:rsid w:val="007072A1"/>
    <w:rsid w:val="00710BC5"/>
    <w:rsid w:val="00717C1A"/>
    <w:rsid w:val="0072003B"/>
    <w:rsid w:val="00725572"/>
    <w:rsid w:val="007357B9"/>
    <w:rsid w:val="007452E8"/>
    <w:rsid w:val="00746990"/>
    <w:rsid w:val="00750D70"/>
    <w:rsid w:val="00793272"/>
    <w:rsid w:val="007B04DE"/>
    <w:rsid w:val="007C57BC"/>
    <w:rsid w:val="007D4138"/>
    <w:rsid w:val="007F0A77"/>
    <w:rsid w:val="007F50D3"/>
    <w:rsid w:val="008329DB"/>
    <w:rsid w:val="008361C5"/>
    <w:rsid w:val="0083628F"/>
    <w:rsid w:val="00837AB9"/>
    <w:rsid w:val="00850637"/>
    <w:rsid w:val="00854D98"/>
    <w:rsid w:val="00860B29"/>
    <w:rsid w:val="008633CD"/>
    <w:rsid w:val="008804CF"/>
    <w:rsid w:val="008964B3"/>
    <w:rsid w:val="008C45B5"/>
    <w:rsid w:val="008C49C6"/>
    <w:rsid w:val="008C754C"/>
    <w:rsid w:val="008D6A54"/>
    <w:rsid w:val="009000BB"/>
    <w:rsid w:val="0090605E"/>
    <w:rsid w:val="00906D3E"/>
    <w:rsid w:val="009108CE"/>
    <w:rsid w:val="00915A9F"/>
    <w:rsid w:val="00930D58"/>
    <w:rsid w:val="00932F5D"/>
    <w:rsid w:val="00966EF1"/>
    <w:rsid w:val="0098350E"/>
    <w:rsid w:val="00996FA5"/>
    <w:rsid w:val="009E6F8C"/>
    <w:rsid w:val="00A01C56"/>
    <w:rsid w:val="00A03E4C"/>
    <w:rsid w:val="00A261AE"/>
    <w:rsid w:val="00A358E7"/>
    <w:rsid w:val="00A51A2D"/>
    <w:rsid w:val="00A63D9B"/>
    <w:rsid w:val="00A64508"/>
    <w:rsid w:val="00A701A6"/>
    <w:rsid w:val="00A9131A"/>
    <w:rsid w:val="00A93DC6"/>
    <w:rsid w:val="00A976CF"/>
    <w:rsid w:val="00AB7CBF"/>
    <w:rsid w:val="00AD14F0"/>
    <w:rsid w:val="00AE1947"/>
    <w:rsid w:val="00B46BC0"/>
    <w:rsid w:val="00B55681"/>
    <w:rsid w:val="00B70D79"/>
    <w:rsid w:val="00B9610A"/>
    <w:rsid w:val="00B967FF"/>
    <w:rsid w:val="00BA7F7D"/>
    <w:rsid w:val="00BB1C14"/>
    <w:rsid w:val="00BB2204"/>
    <w:rsid w:val="00BC5004"/>
    <w:rsid w:val="00BD07DF"/>
    <w:rsid w:val="00BD5DBD"/>
    <w:rsid w:val="00BF4638"/>
    <w:rsid w:val="00C07551"/>
    <w:rsid w:val="00C13F90"/>
    <w:rsid w:val="00C22214"/>
    <w:rsid w:val="00C407AB"/>
    <w:rsid w:val="00C570FF"/>
    <w:rsid w:val="00C6574E"/>
    <w:rsid w:val="00C816C6"/>
    <w:rsid w:val="00C857A2"/>
    <w:rsid w:val="00CA4853"/>
    <w:rsid w:val="00CB0550"/>
    <w:rsid w:val="00D01DDB"/>
    <w:rsid w:val="00D078BE"/>
    <w:rsid w:val="00D13F8A"/>
    <w:rsid w:val="00D62877"/>
    <w:rsid w:val="00D63760"/>
    <w:rsid w:val="00D91682"/>
    <w:rsid w:val="00D918D5"/>
    <w:rsid w:val="00D92ED7"/>
    <w:rsid w:val="00D94C8E"/>
    <w:rsid w:val="00DB192C"/>
    <w:rsid w:val="00DB1CF3"/>
    <w:rsid w:val="00DD5496"/>
    <w:rsid w:val="00DF5BFE"/>
    <w:rsid w:val="00E47E0C"/>
    <w:rsid w:val="00E51813"/>
    <w:rsid w:val="00E53D3F"/>
    <w:rsid w:val="00E5579B"/>
    <w:rsid w:val="00E7380F"/>
    <w:rsid w:val="00E76A1C"/>
    <w:rsid w:val="00EA4BE3"/>
    <w:rsid w:val="00ED388B"/>
    <w:rsid w:val="00F02AEC"/>
    <w:rsid w:val="00F157FC"/>
    <w:rsid w:val="00F30AF3"/>
    <w:rsid w:val="00F50198"/>
    <w:rsid w:val="00F657B4"/>
    <w:rsid w:val="00F865A7"/>
    <w:rsid w:val="00F870C4"/>
    <w:rsid w:val="00FA0754"/>
    <w:rsid w:val="00FA1BC9"/>
    <w:rsid w:val="00FA49C3"/>
    <w:rsid w:val="00FB236E"/>
    <w:rsid w:val="00FC6F56"/>
    <w:rsid w:val="00FE087C"/>
    <w:rsid w:val="00FE3A3D"/>
    <w:rsid w:val="00FE79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4C024"/>
  <w15:chartTrackingRefBased/>
  <w15:docId w15:val="{3B7A0CE6-F5BB-4D40-8ED5-1531A62F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49C"/>
    <w:rPr>
      <w:rFonts w:ascii="Cambria" w:hAnsi="Cambria"/>
      <w:sz w:val="22"/>
    </w:rPr>
  </w:style>
  <w:style w:type="paragraph" w:styleId="Heading2">
    <w:name w:val="heading 2"/>
    <w:basedOn w:val="Normal"/>
    <w:next w:val="Normal"/>
    <w:link w:val="Heading2Char"/>
    <w:qFormat/>
    <w:rsid w:val="00F02AEC"/>
    <w:pPr>
      <w:keepNext/>
      <w:keepLines/>
      <w:spacing w:before="480" w:line="240" w:lineRule="atLeast"/>
      <w:outlineLvl w:val="1"/>
    </w:pPr>
    <w:rPr>
      <w:rFonts w:ascii="Arial" w:eastAsia="Times New Roman" w:hAnsi="Arial" w:cs="Times New Roman"/>
      <w:b/>
      <w:bCs/>
      <w:color w:val="001871"/>
      <w:sz w:val="38"/>
      <w:szCs w:val="38"/>
    </w:rPr>
  </w:style>
  <w:style w:type="paragraph" w:styleId="Heading3">
    <w:name w:val="heading 3"/>
    <w:basedOn w:val="Normal"/>
    <w:next w:val="Normal"/>
    <w:link w:val="Heading3Char"/>
    <w:qFormat/>
    <w:rsid w:val="00F02AEC"/>
    <w:pPr>
      <w:keepNext/>
      <w:keepLines/>
      <w:spacing w:before="480" w:line="240" w:lineRule="atLeast"/>
      <w:outlineLvl w:val="2"/>
    </w:pPr>
    <w:rPr>
      <w:rFonts w:ascii="Arial" w:eastAsia="Times New Roman" w:hAnsi="Arial" w:cs="Times New Roman"/>
      <w:b/>
      <w:bCs/>
      <w:color w:val="001871"/>
      <w:sz w:val="32"/>
      <w:szCs w:val="32"/>
    </w:rPr>
  </w:style>
  <w:style w:type="paragraph" w:styleId="Heading4">
    <w:name w:val="heading 4"/>
    <w:basedOn w:val="Normal"/>
    <w:next w:val="Normal"/>
    <w:link w:val="Heading4Char"/>
    <w:qFormat/>
    <w:rsid w:val="00F02AEC"/>
    <w:pPr>
      <w:keepNext/>
      <w:keepLines/>
      <w:spacing w:before="360" w:line="240" w:lineRule="atLeast"/>
      <w:outlineLvl w:val="3"/>
    </w:pPr>
    <w:rPr>
      <w:rFonts w:ascii="Arial" w:eastAsia="Cambria" w:hAnsi="Arial" w:cs="Times New Roman"/>
      <w:b/>
      <w:bCs/>
      <w:color w:val="001871"/>
      <w:sz w:val="28"/>
      <w:szCs w:val="26"/>
    </w:rPr>
  </w:style>
  <w:style w:type="paragraph" w:styleId="Heading5">
    <w:name w:val="heading 5"/>
    <w:basedOn w:val="Normal"/>
    <w:next w:val="Normal"/>
    <w:link w:val="Heading5Char"/>
    <w:uiPriority w:val="9"/>
    <w:rsid w:val="00F02AEC"/>
    <w:pPr>
      <w:keepNext/>
      <w:keepLines/>
      <w:spacing w:before="240" w:line="240" w:lineRule="atLeast"/>
      <w:outlineLvl w:val="4"/>
    </w:pPr>
    <w:rPr>
      <w:rFonts w:ascii="Arial" w:eastAsia="Times New Roman" w:hAnsi="Arial" w:cs="Times New Roman"/>
      <w:b/>
      <w:bCs/>
      <w:i/>
      <w:color w:val="001871"/>
      <w:sz w:val="26"/>
      <w:szCs w:val="26"/>
    </w:rPr>
  </w:style>
  <w:style w:type="paragraph" w:styleId="Heading6">
    <w:name w:val="heading 6"/>
    <w:basedOn w:val="Normal"/>
    <w:next w:val="Normal"/>
    <w:link w:val="Heading6Char"/>
    <w:uiPriority w:val="9"/>
    <w:rsid w:val="00F02AEC"/>
    <w:pPr>
      <w:keepNext/>
      <w:keepLines/>
      <w:spacing w:before="240" w:line="240" w:lineRule="atLeast"/>
      <w:outlineLvl w:val="5"/>
    </w:pPr>
    <w:rPr>
      <w:rFonts w:ascii="Arial" w:eastAsia="Times New Roman" w:hAnsi="Arial" w:cs="Times New Roman"/>
      <w:b/>
      <w:bCs/>
      <w:i/>
      <w:color w:val="001871"/>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TGAblue2023">
    <w:name w:val="Table TGA blue 2023"/>
    <w:basedOn w:val="TableNormal"/>
    <w:uiPriority w:val="99"/>
    <w:qFormat/>
    <w:rsid w:val="008329DB"/>
    <w:pPr>
      <w:spacing w:before="80" w:after="40" w:line="264" w:lineRule="auto"/>
      <w:ind w:left="113"/>
    </w:pPr>
    <w:rPr>
      <w:rFonts w:ascii="Arial" w:eastAsia="Cambria" w:hAnsi="Arial" w:cs="Times New Roman"/>
      <w:color w:val="000000"/>
      <w:sz w:val="18"/>
      <w:szCs w:val="21"/>
      <w:lang w:eastAsia="en-AU"/>
    </w:rPr>
    <w:tblPr>
      <w:tblBorders>
        <w:top w:val="single" w:sz="4" w:space="0" w:color="263287"/>
        <w:left w:val="single" w:sz="4" w:space="0" w:color="263287"/>
        <w:bottom w:val="single" w:sz="4" w:space="0" w:color="263287"/>
        <w:right w:val="single" w:sz="4" w:space="0" w:color="263287"/>
        <w:insideH w:val="single" w:sz="4" w:space="0" w:color="263287"/>
        <w:insideV w:val="single" w:sz="4" w:space="0" w:color="263287"/>
      </w:tblBorders>
    </w:tblPr>
    <w:trPr>
      <w:cantSplit/>
    </w:trPr>
    <w:tcPr>
      <w:shd w:val="clear" w:color="auto" w:fill="FFFFFF" w:themeFill="background1"/>
    </w:tcPr>
    <w:tblStylePr w:type="firstRow">
      <w:pPr>
        <w:keepNext/>
        <w:wordWrap/>
      </w:pPr>
      <w:rPr>
        <w:rFonts w:ascii="Arial" w:hAnsi="Arial"/>
        <w:b/>
        <w:color w:val="263287"/>
        <w:sz w:val="22"/>
      </w:rPr>
      <w:tblPr/>
      <w:trPr>
        <w:tblHeader/>
      </w:trPr>
      <w:tcPr>
        <w:shd w:val="clear" w:color="auto" w:fill="DEEAF6" w:themeFill="accent5" w:themeFillTint="33"/>
      </w:tcPr>
    </w:tblStylePr>
    <w:tblStylePr w:type="firstCol">
      <w:pPr>
        <w:keepNext w:val="0"/>
        <w:wordWrap/>
      </w:pPr>
    </w:tblStylePr>
  </w:style>
  <w:style w:type="character" w:customStyle="1" w:styleId="Heading2Char">
    <w:name w:val="Heading 2 Char"/>
    <w:basedOn w:val="DefaultParagraphFont"/>
    <w:link w:val="Heading2"/>
    <w:rsid w:val="00F02AEC"/>
    <w:rPr>
      <w:rFonts w:ascii="Arial" w:eastAsia="Times New Roman" w:hAnsi="Arial" w:cs="Times New Roman"/>
      <w:b/>
      <w:bCs/>
      <w:color w:val="001871"/>
      <w:sz w:val="38"/>
      <w:szCs w:val="38"/>
    </w:rPr>
  </w:style>
  <w:style w:type="character" w:customStyle="1" w:styleId="Heading3Char">
    <w:name w:val="Heading 3 Char"/>
    <w:basedOn w:val="DefaultParagraphFont"/>
    <w:link w:val="Heading3"/>
    <w:rsid w:val="00F02AEC"/>
    <w:rPr>
      <w:rFonts w:ascii="Arial" w:eastAsia="Times New Roman" w:hAnsi="Arial" w:cs="Times New Roman"/>
      <w:b/>
      <w:bCs/>
      <w:color w:val="001871"/>
      <w:sz w:val="32"/>
      <w:szCs w:val="32"/>
    </w:rPr>
  </w:style>
  <w:style w:type="character" w:customStyle="1" w:styleId="Heading4Char">
    <w:name w:val="Heading 4 Char"/>
    <w:basedOn w:val="DefaultParagraphFont"/>
    <w:link w:val="Heading4"/>
    <w:rsid w:val="00F02AEC"/>
    <w:rPr>
      <w:rFonts w:ascii="Arial" w:eastAsia="Cambria" w:hAnsi="Arial" w:cs="Times New Roman"/>
      <w:b/>
      <w:bCs/>
      <w:color w:val="001871"/>
      <w:sz w:val="28"/>
      <w:szCs w:val="26"/>
    </w:rPr>
  </w:style>
  <w:style w:type="character" w:customStyle="1" w:styleId="Heading5Char">
    <w:name w:val="Heading 5 Char"/>
    <w:basedOn w:val="DefaultParagraphFont"/>
    <w:link w:val="Heading5"/>
    <w:uiPriority w:val="9"/>
    <w:rsid w:val="00F02AEC"/>
    <w:rPr>
      <w:rFonts w:ascii="Arial" w:eastAsia="Times New Roman" w:hAnsi="Arial" w:cs="Times New Roman"/>
      <w:b/>
      <w:bCs/>
      <w:i/>
      <w:color w:val="001871"/>
      <w:sz w:val="26"/>
      <w:szCs w:val="26"/>
    </w:rPr>
  </w:style>
  <w:style w:type="character" w:customStyle="1" w:styleId="Heading6Char">
    <w:name w:val="Heading 6 Char"/>
    <w:basedOn w:val="DefaultParagraphFont"/>
    <w:link w:val="Heading6"/>
    <w:uiPriority w:val="9"/>
    <w:rsid w:val="00F02AEC"/>
    <w:rPr>
      <w:rFonts w:ascii="Arial" w:eastAsia="Times New Roman" w:hAnsi="Arial" w:cs="Times New Roman"/>
      <w:b/>
      <w:bCs/>
      <w:i/>
      <w:color w:val="001871"/>
      <w:sz w:val="24"/>
      <w:szCs w:val="21"/>
    </w:rPr>
  </w:style>
  <w:style w:type="paragraph" w:styleId="Date">
    <w:name w:val="Date"/>
    <w:basedOn w:val="Normal"/>
    <w:next w:val="Normal"/>
    <w:link w:val="DateChar"/>
    <w:uiPriority w:val="99"/>
    <w:rsid w:val="00F02AEC"/>
    <w:pPr>
      <w:spacing w:before="120" w:after="0" w:line="240" w:lineRule="atLeast"/>
    </w:pPr>
    <w:rPr>
      <w:rFonts w:ascii="Arial" w:eastAsia="Cambria" w:hAnsi="Arial" w:cs="Times New Roman"/>
      <w:color w:val="333F4A"/>
      <w:sz w:val="28"/>
    </w:rPr>
  </w:style>
  <w:style w:type="character" w:customStyle="1" w:styleId="DateChar">
    <w:name w:val="Date Char"/>
    <w:basedOn w:val="DefaultParagraphFont"/>
    <w:link w:val="Date"/>
    <w:uiPriority w:val="99"/>
    <w:rsid w:val="00F02AEC"/>
    <w:rPr>
      <w:rFonts w:ascii="Arial" w:eastAsia="Cambria" w:hAnsi="Arial" w:cs="Times New Roman"/>
      <w:color w:val="333F4A"/>
      <w:sz w:val="28"/>
      <w:szCs w:val="20"/>
    </w:rPr>
  </w:style>
  <w:style w:type="paragraph" w:styleId="Footer">
    <w:name w:val="footer"/>
    <w:basedOn w:val="Normal"/>
    <w:link w:val="FooterChar"/>
    <w:uiPriority w:val="99"/>
    <w:rsid w:val="0056766D"/>
    <w:pPr>
      <w:tabs>
        <w:tab w:val="center" w:pos="4513"/>
        <w:tab w:val="right" w:pos="9026"/>
      </w:tabs>
      <w:spacing w:after="0" w:line="240" w:lineRule="auto"/>
    </w:pPr>
    <w:rPr>
      <w:rFonts w:eastAsia="Cambria" w:cs="Times New Roman"/>
      <w:color w:val="333F4A"/>
      <w:sz w:val="17"/>
    </w:rPr>
  </w:style>
  <w:style w:type="character" w:customStyle="1" w:styleId="FooterChar">
    <w:name w:val="Footer Char"/>
    <w:basedOn w:val="DefaultParagraphFont"/>
    <w:link w:val="Footer"/>
    <w:uiPriority w:val="99"/>
    <w:rsid w:val="0056766D"/>
    <w:rPr>
      <w:rFonts w:ascii="Cambria" w:eastAsia="Cambria" w:hAnsi="Cambria" w:cs="Times New Roman"/>
      <w:color w:val="333F4A"/>
      <w:sz w:val="17"/>
    </w:rPr>
  </w:style>
  <w:style w:type="paragraph" w:styleId="Header">
    <w:name w:val="header"/>
    <w:basedOn w:val="Normal"/>
    <w:link w:val="HeaderChar"/>
    <w:uiPriority w:val="99"/>
    <w:rsid w:val="00F02AEC"/>
    <w:pPr>
      <w:pBdr>
        <w:bottom w:val="single" w:sz="4" w:space="3" w:color="auto"/>
      </w:pBdr>
      <w:tabs>
        <w:tab w:val="center" w:pos="4513"/>
        <w:tab w:val="right" w:pos="9026"/>
      </w:tabs>
      <w:spacing w:after="0" w:line="240" w:lineRule="auto"/>
      <w:jc w:val="right"/>
    </w:pPr>
    <w:rPr>
      <w:rFonts w:ascii="Arial" w:eastAsia="Cambria" w:hAnsi="Arial" w:cs="Times New Roman"/>
      <w:color w:val="333F4A"/>
      <w:sz w:val="17"/>
    </w:rPr>
  </w:style>
  <w:style w:type="character" w:customStyle="1" w:styleId="HeaderChar">
    <w:name w:val="Header Char"/>
    <w:basedOn w:val="DefaultParagraphFont"/>
    <w:link w:val="Header"/>
    <w:uiPriority w:val="99"/>
    <w:rsid w:val="00F02AEC"/>
    <w:rPr>
      <w:rFonts w:ascii="Arial" w:eastAsia="Cambria" w:hAnsi="Arial" w:cs="Times New Roman"/>
      <w:color w:val="333F4A"/>
      <w:sz w:val="17"/>
      <w:szCs w:val="20"/>
    </w:rPr>
  </w:style>
  <w:style w:type="character" w:styleId="Hyperlink">
    <w:name w:val="Hyperlink"/>
    <w:basedOn w:val="DefaultParagraphFont"/>
    <w:uiPriority w:val="99"/>
    <w:unhideWhenUsed/>
    <w:rsid w:val="0056766D"/>
    <w:rPr>
      <w:rFonts w:ascii="Cambria" w:hAnsi="Cambria"/>
      <w:color w:val="0000FF"/>
      <w:u w:val="single"/>
    </w:rPr>
  </w:style>
  <w:style w:type="paragraph" w:customStyle="1" w:styleId="LegalCopy">
    <w:name w:val="Legal Copy"/>
    <w:basedOn w:val="Footer"/>
    <w:rsid w:val="0056766D"/>
  </w:style>
  <w:style w:type="paragraph" w:customStyle="1" w:styleId="LegalSubheading">
    <w:name w:val="Legal Subheading"/>
    <w:basedOn w:val="Footer"/>
    <w:rsid w:val="0056766D"/>
    <w:pPr>
      <w:outlineLvl w:val="1"/>
    </w:pPr>
    <w:rPr>
      <w:b/>
    </w:rPr>
  </w:style>
  <w:style w:type="paragraph" w:styleId="ListBullet">
    <w:name w:val="List Bullet"/>
    <w:basedOn w:val="Normal"/>
    <w:uiPriority w:val="2"/>
    <w:qFormat/>
    <w:rsid w:val="00FC6F56"/>
    <w:pPr>
      <w:numPr>
        <w:numId w:val="1"/>
      </w:numPr>
      <w:spacing w:before="120" w:after="180" w:line="240" w:lineRule="atLeast"/>
    </w:pPr>
    <w:rPr>
      <w:rFonts w:eastAsia="Cambria" w:cs="Times New Roman"/>
      <w:color w:val="000000" w:themeColor="text1"/>
    </w:rPr>
  </w:style>
  <w:style w:type="paragraph" w:styleId="ListBullet2">
    <w:name w:val="List Bullet 2"/>
    <w:basedOn w:val="Normal"/>
    <w:uiPriority w:val="2"/>
    <w:qFormat/>
    <w:rsid w:val="00FC6F56"/>
    <w:pPr>
      <w:numPr>
        <w:ilvl w:val="1"/>
        <w:numId w:val="1"/>
      </w:numPr>
      <w:spacing w:before="120" w:after="180" w:line="240" w:lineRule="atLeast"/>
      <w:ind w:left="850" w:hanging="425"/>
    </w:pPr>
    <w:rPr>
      <w:rFonts w:eastAsia="Cambria" w:cs="Times New Roman"/>
      <w:color w:val="000000" w:themeColor="text1"/>
    </w:rPr>
  </w:style>
  <w:style w:type="paragraph" w:styleId="ListBullet3">
    <w:name w:val="List Bullet 3"/>
    <w:basedOn w:val="Normal"/>
    <w:uiPriority w:val="2"/>
    <w:qFormat/>
    <w:rsid w:val="00FC6F56"/>
    <w:pPr>
      <w:numPr>
        <w:numId w:val="3"/>
      </w:numPr>
      <w:spacing w:before="120" w:after="180" w:line="240" w:lineRule="atLeast"/>
      <w:ind w:left="1276" w:hanging="425"/>
    </w:pPr>
    <w:rPr>
      <w:rFonts w:eastAsia="Cambria" w:cs="Times New Roman"/>
    </w:rPr>
  </w:style>
  <w:style w:type="numbering" w:customStyle="1" w:styleId="ListBullets">
    <w:name w:val="ListBullets"/>
    <w:uiPriority w:val="99"/>
    <w:locked/>
    <w:rsid w:val="00F02AEC"/>
    <w:pPr>
      <w:numPr>
        <w:numId w:val="1"/>
      </w:numPr>
    </w:pPr>
  </w:style>
  <w:style w:type="paragraph" w:customStyle="1" w:styleId="Numberbullet0">
    <w:name w:val="Number bullet"/>
    <w:basedOn w:val="ListBullet"/>
    <w:uiPriority w:val="2"/>
    <w:qFormat/>
    <w:rsid w:val="00FC6F56"/>
    <w:pPr>
      <w:numPr>
        <w:numId w:val="2"/>
      </w:numPr>
    </w:pPr>
  </w:style>
  <w:style w:type="paragraph" w:customStyle="1" w:styleId="Numberbullet2">
    <w:name w:val="Number bullet 2"/>
    <w:basedOn w:val="ListBullet2"/>
    <w:uiPriority w:val="2"/>
    <w:qFormat/>
    <w:rsid w:val="00F02AEC"/>
    <w:pPr>
      <w:numPr>
        <w:numId w:val="2"/>
      </w:numPr>
      <w:ind w:left="850" w:hanging="425"/>
    </w:pPr>
  </w:style>
  <w:style w:type="paragraph" w:customStyle="1" w:styleId="Numberbullet3">
    <w:name w:val="Number bullet 3"/>
    <w:basedOn w:val="Normal"/>
    <w:uiPriority w:val="2"/>
    <w:qFormat/>
    <w:rsid w:val="00F02AEC"/>
    <w:pPr>
      <w:numPr>
        <w:numId w:val="4"/>
      </w:numPr>
      <w:spacing w:before="120" w:after="180" w:line="240" w:lineRule="atLeast"/>
      <w:ind w:left="1361" w:hanging="397"/>
    </w:pPr>
    <w:rPr>
      <w:rFonts w:ascii="Arial" w:eastAsia="Cambria" w:hAnsi="Arial" w:cs="Times New Roman"/>
      <w:color w:val="333F48"/>
    </w:rPr>
  </w:style>
  <w:style w:type="numbering" w:customStyle="1" w:styleId="NumberBullet">
    <w:name w:val="NumberBullet"/>
    <w:uiPriority w:val="99"/>
    <w:locked/>
    <w:rsid w:val="00F02AEC"/>
    <w:pPr>
      <w:numPr>
        <w:numId w:val="2"/>
      </w:numPr>
    </w:pPr>
  </w:style>
  <w:style w:type="paragraph" w:styleId="Subtitle">
    <w:name w:val="Subtitle"/>
    <w:basedOn w:val="Normal"/>
    <w:link w:val="SubtitleChar"/>
    <w:uiPriority w:val="11"/>
    <w:rsid w:val="00F02AEC"/>
    <w:pPr>
      <w:numPr>
        <w:ilvl w:val="1"/>
      </w:numPr>
      <w:spacing w:after="0" w:line="240" w:lineRule="atLeast"/>
      <w:ind w:left="170"/>
    </w:pPr>
    <w:rPr>
      <w:rFonts w:ascii="Arial" w:eastAsia="Times New Roman" w:hAnsi="Arial" w:cs="Times New Roman"/>
      <w:bCs/>
      <w:iCs/>
      <w:color w:val="006BA6"/>
      <w:sz w:val="40"/>
      <w:szCs w:val="24"/>
    </w:rPr>
  </w:style>
  <w:style w:type="character" w:customStyle="1" w:styleId="SubtitleChar">
    <w:name w:val="Subtitle Char"/>
    <w:basedOn w:val="DefaultParagraphFont"/>
    <w:link w:val="Subtitle"/>
    <w:uiPriority w:val="11"/>
    <w:rsid w:val="00F02AEC"/>
    <w:rPr>
      <w:rFonts w:ascii="Arial" w:eastAsia="Times New Roman" w:hAnsi="Arial" w:cs="Times New Roman"/>
      <w:bCs/>
      <w:iCs/>
      <w:color w:val="006BA6"/>
      <w:sz w:val="40"/>
      <w:szCs w:val="24"/>
    </w:rPr>
  </w:style>
  <w:style w:type="table" w:styleId="TableGrid">
    <w:name w:val="Table Grid"/>
    <w:basedOn w:val="TableNormal"/>
    <w:uiPriority w:val="59"/>
    <w:rsid w:val="00F02AEC"/>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ASignoff">
    <w:name w:val="TGA Signoff"/>
    <w:basedOn w:val="Normal"/>
    <w:rsid w:val="00F02AEC"/>
    <w:pPr>
      <w:spacing w:before="120" w:after="360" w:line="240" w:lineRule="atLeast"/>
      <w:jc w:val="center"/>
    </w:pPr>
    <w:rPr>
      <w:rFonts w:ascii="Arial" w:eastAsia="Cambria" w:hAnsi="Arial" w:cs="Times New Roman"/>
      <w:b/>
      <w:color w:val="333F48"/>
      <w:sz w:val="28"/>
    </w:rPr>
  </w:style>
  <w:style w:type="paragraph" w:styleId="Title">
    <w:name w:val="Title"/>
    <w:link w:val="TitleChar"/>
    <w:uiPriority w:val="10"/>
    <w:rsid w:val="00F02AEC"/>
    <w:pPr>
      <w:spacing w:line="240" w:lineRule="auto"/>
      <w:contextualSpacing/>
      <w:outlineLvl w:val="0"/>
    </w:pPr>
    <w:rPr>
      <w:rFonts w:ascii="Arial" w:eastAsia="Times New Roman" w:hAnsi="Arial" w:cs="Times New Roman"/>
      <w:color w:val="001871"/>
      <w:spacing w:val="5"/>
      <w:kern w:val="28"/>
      <w:sz w:val="52"/>
      <w:szCs w:val="52"/>
    </w:rPr>
  </w:style>
  <w:style w:type="character" w:customStyle="1" w:styleId="TitleChar">
    <w:name w:val="Title Char"/>
    <w:basedOn w:val="DefaultParagraphFont"/>
    <w:link w:val="Title"/>
    <w:uiPriority w:val="10"/>
    <w:rsid w:val="00F02AEC"/>
    <w:rPr>
      <w:rFonts w:ascii="Arial" w:eastAsia="Times New Roman" w:hAnsi="Arial" w:cs="Times New Roman"/>
      <w:color w:val="001871"/>
      <w:spacing w:val="5"/>
      <w:kern w:val="28"/>
      <w:sz w:val="52"/>
      <w:szCs w:val="52"/>
    </w:rPr>
  </w:style>
  <w:style w:type="paragraph" w:styleId="TOC1">
    <w:name w:val="toc 1"/>
    <w:basedOn w:val="Normal"/>
    <w:next w:val="Normal"/>
    <w:uiPriority w:val="39"/>
    <w:unhideWhenUsed/>
    <w:rsid w:val="00F02AEC"/>
    <w:pPr>
      <w:keepNext/>
      <w:keepLines/>
      <w:tabs>
        <w:tab w:val="right" w:leader="underscore" w:pos="8505"/>
      </w:tabs>
      <w:spacing w:before="120" w:after="200" w:line="240" w:lineRule="atLeast"/>
    </w:pPr>
    <w:rPr>
      <w:rFonts w:ascii="Arial" w:eastAsia="Cambria" w:hAnsi="Arial" w:cs="Times New Roman"/>
      <w:b/>
      <w:color w:val="333F48"/>
      <w:sz w:val="32"/>
    </w:rPr>
  </w:style>
  <w:style w:type="paragraph" w:styleId="TOC2">
    <w:name w:val="toc 2"/>
    <w:basedOn w:val="Normal"/>
    <w:next w:val="Normal"/>
    <w:uiPriority w:val="39"/>
    <w:unhideWhenUsed/>
    <w:rsid w:val="00F02AEC"/>
    <w:pPr>
      <w:keepNext/>
      <w:keepLines/>
      <w:tabs>
        <w:tab w:val="right" w:leader="underscore" w:pos="8505"/>
      </w:tabs>
      <w:spacing w:before="120" w:after="100" w:line="240" w:lineRule="atLeast"/>
      <w:ind w:left="425"/>
    </w:pPr>
    <w:rPr>
      <w:rFonts w:ascii="Arial" w:eastAsia="Cambria" w:hAnsi="Arial" w:cs="Times New Roman"/>
      <w:b/>
      <w:color w:val="333F48"/>
      <w:sz w:val="25"/>
    </w:rPr>
  </w:style>
  <w:style w:type="paragraph" w:styleId="TOC3">
    <w:name w:val="toc 3"/>
    <w:basedOn w:val="Normal"/>
    <w:next w:val="Normal"/>
    <w:uiPriority w:val="39"/>
    <w:unhideWhenUsed/>
    <w:rsid w:val="00F02AEC"/>
    <w:pPr>
      <w:keepNext/>
      <w:keepLines/>
      <w:tabs>
        <w:tab w:val="right" w:leader="hyphen" w:pos="8505"/>
      </w:tabs>
      <w:spacing w:before="120" w:after="100" w:line="240" w:lineRule="atLeast"/>
      <w:ind w:left="851"/>
    </w:pPr>
    <w:rPr>
      <w:rFonts w:ascii="Arial" w:eastAsia="Cambria" w:hAnsi="Arial" w:cs="Times New Roman"/>
      <w:b/>
      <w:color w:val="333F48"/>
    </w:rPr>
  </w:style>
  <w:style w:type="paragraph" w:styleId="FootnoteText">
    <w:name w:val="footnote text"/>
    <w:basedOn w:val="Normal"/>
    <w:link w:val="FootnoteTextChar"/>
    <w:qFormat/>
    <w:rsid w:val="00FE087C"/>
    <w:pPr>
      <w:keepLines/>
      <w:spacing w:after="0" w:line="240" w:lineRule="atLeast"/>
    </w:pPr>
    <w:rPr>
      <w:rFonts w:eastAsia="Cambria" w:cs="Times New Roman"/>
      <w:color w:val="333F48"/>
      <w:sz w:val="17"/>
    </w:rPr>
  </w:style>
  <w:style w:type="character" w:customStyle="1" w:styleId="FootnoteTextChar">
    <w:name w:val="Footnote Text Char"/>
    <w:basedOn w:val="DefaultParagraphFont"/>
    <w:link w:val="FootnoteText"/>
    <w:rsid w:val="00FE087C"/>
    <w:rPr>
      <w:rFonts w:ascii="Cambria" w:eastAsia="Cambria" w:hAnsi="Cambria" w:cs="Times New Roman"/>
      <w:color w:val="333F48"/>
      <w:sz w:val="17"/>
    </w:rPr>
  </w:style>
  <w:style w:type="character" w:styleId="FootnoteReference">
    <w:name w:val="footnote reference"/>
    <w:basedOn w:val="DefaultParagraphFont"/>
    <w:uiPriority w:val="99"/>
    <w:semiHidden/>
    <w:unhideWhenUsed/>
    <w:rsid w:val="00F02AEC"/>
    <w:rPr>
      <w:vertAlign w:val="superscript"/>
    </w:rPr>
  </w:style>
  <w:style w:type="paragraph" w:customStyle="1" w:styleId="NonTOCheading2">
    <w:name w:val="Non TOC heading 2"/>
    <w:basedOn w:val="Normal"/>
    <w:next w:val="Normal"/>
    <w:rsid w:val="00F02AEC"/>
    <w:pPr>
      <w:keepNext/>
      <w:keepLines/>
      <w:pageBreakBefore/>
      <w:spacing w:after="180" w:line="240" w:lineRule="atLeast"/>
      <w:outlineLvl w:val="1"/>
    </w:pPr>
    <w:rPr>
      <w:rFonts w:ascii="Arial" w:eastAsia="Cambria" w:hAnsi="Arial" w:cs="Times New Roman"/>
      <w:b/>
      <w:color w:val="001871"/>
      <w:sz w:val="38"/>
    </w:rPr>
  </w:style>
  <w:style w:type="paragraph" w:customStyle="1" w:styleId="Headernoline">
    <w:name w:val="Header no line"/>
    <w:basedOn w:val="Header"/>
    <w:rsid w:val="00F02AEC"/>
    <w:pPr>
      <w:pBdr>
        <w:bottom w:val="none" w:sz="0" w:space="0" w:color="auto"/>
      </w:pBdr>
      <w:spacing w:line="240" w:lineRule="atLeast"/>
    </w:pPr>
  </w:style>
  <w:style w:type="paragraph" w:customStyle="1" w:styleId="Address">
    <w:name w:val="Address"/>
    <w:basedOn w:val="Normal"/>
    <w:rsid w:val="00F02AEC"/>
    <w:pPr>
      <w:spacing w:after="0" w:line="240" w:lineRule="auto"/>
    </w:pPr>
    <w:rPr>
      <w:rFonts w:ascii="Arial" w:eastAsia="Cambria" w:hAnsi="Arial" w:cs="Times New Roman"/>
      <w:color w:val="333F48"/>
      <w:sz w:val="21"/>
    </w:rPr>
  </w:style>
  <w:style w:type="paragraph" w:customStyle="1" w:styleId="ListBullet-dotick">
    <w:name w:val="List Bullet - do (tick)"/>
    <w:basedOn w:val="ListBullet"/>
    <w:autoRedefine/>
    <w:uiPriority w:val="1"/>
    <w:qFormat/>
    <w:rsid w:val="00F02AEC"/>
    <w:pPr>
      <w:numPr>
        <w:numId w:val="5"/>
      </w:numPr>
      <w:tabs>
        <w:tab w:val="left" w:pos="425"/>
      </w:tabs>
    </w:pPr>
  </w:style>
  <w:style w:type="paragraph" w:customStyle="1" w:styleId="ListBullet-donotcross">
    <w:name w:val="List Bullet - do not (cross)"/>
    <w:basedOn w:val="ListBullet"/>
    <w:autoRedefine/>
    <w:uiPriority w:val="1"/>
    <w:qFormat/>
    <w:rsid w:val="00F02AEC"/>
    <w:pPr>
      <w:numPr>
        <w:numId w:val="6"/>
      </w:numPr>
      <w:ind w:left="357" w:hanging="357"/>
    </w:pPr>
    <w:rPr>
      <w:rFonts w:eastAsiaTheme="minorHAnsi" w:cstheme="minorBidi"/>
      <w:szCs w:val="22"/>
    </w:rPr>
  </w:style>
  <w:style w:type="table" w:customStyle="1" w:styleId="TGABlack2023">
    <w:name w:val="TGA Black 2023"/>
    <w:basedOn w:val="TableTGAblue2023"/>
    <w:uiPriority w:val="99"/>
    <w:rsid w:val="00FA49C3"/>
    <w:pPr>
      <w:spacing w:line="240" w:lineRule="auto"/>
    </w:pPr>
    <w:tblPr>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Pr>
    <w:tcPr>
      <w:shd w:val="clear" w:color="auto" w:fill="FFFFFF" w:themeFill="background1"/>
    </w:tcPr>
    <w:tblStylePr w:type="firstRow">
      <w:pPr>
        <w:keepNext/>
        <w:wordWrap/>
      </w:pPr>
      <w:rPr>
        <w:rFonts w:ascii="Arial" w:hAnsi="Arial"/>
        <w:b/>
        <w:color w:val="FFFFFF" w:themeColor="background1"/>
        <w:sz w:val="22"/>
      </w:rPr>
      <w:tblPr/>
      <w:trPr>
        <w:tblHeader/>
      </w:trPr>
      <w:tcPr>
        <w:shd w:val="clear" w:color="auto" w:fill="171717" w:themeFill="background2" w:themeFillShade="1A"/>
      </w:tcPr>
    </w:tblStylePr>
    <w:tblStylePr w:type="firstCol">
      <w:pPr>
        <w:keepNext w:val="0"/>
        <w:wordWrap/>
      </w:pPr>
    </w:tblStylePr>
  </w:style>
  <w:style w:type="paragraph" w:customStyle="1" w:styleId="NonTOCHeading20">
    <w:name w:val="Non TOC Heading 2"/>
    <w:basedOn w:val="Normal"/>
    <w:rsid w:val="00346EC2"/>
    <w:pPr>
      <w:spacing w:before="240" w:line="240" w:lineRule="atLeast"/>
      <w:outlineLvl w:val="1"/>
    </w:pPr>
    <w:rPr>
      <w:rFonts w:ascii="Arial" w:eastAsia="Cambria" w:hAnsi="Arial" w:cs="Times New Roman"/>
      <w:b/>
      <w:sz w:val="32"/>
      <w:szCs w:val="22"/>
    </w:rPr>
  </w:style>
  <w:style w:type="table" w:customStyle="1" w:styleId="TableTGAblue">
    <w:name w:val="Table TGA blue"/>
    <w:basedOn w:val="TableNormal"/>
    <w:uiPriority w:val="99"/>
    <w:qFormat/>
    <w:rsid w:val="00324B33"/>
    <w:pPr>
      <w:spacing w:after="0" w:line="240" w:lineRule="auto"/>
      <w:ind w:left="170" w:right="170"/>
    </w:pPr>
    <w:rPr>
      <w:rFonts w:ascii="Cambria" w:hAnsi="Cambria" w:cs="Times New Roman"/>
      <w:color w:val="000000" w:themeColor="text1"/>
      <w:sz w:val="22"/>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paragraph" w:customStyle="1" w:styleId="Instructions">
    <w:name w:val="Instructions"/>
    <w:basedOn w:val="Normal"/>
    <w:next w:val="Normal"/>
    <w:uiPriority w:val="1"/>
    <w:qFormat/>
    <w:rsid w:val="00324B33"/>
    <w:pPr>
      <w:spacing w:before="120" w:line="240" w:lineRule="atLeast"/>
    </w:pPr>
    <w:rPr>
      <w:rFonts w:eastAsia="Cambria" w:cs="Times New Roman"/>
      <w:i/>
      <w:color w:val="007099"/>
      <w:szCs w:val="22"/>
    </w:rPr>
  </w:style>
  <w:style w:type="paragraph" w:customStyle="1" w:styleId="TableTitle">
    <w:name w:val="Table Title"/>
    <w:basedOn w:val="Normal"/>
    <w:rsid w:val="00324B33"/>
    <w:pPr>
      <w:keepNext/>
      <w:spacing w:before="120" w:line="240" w:lineRule="atLeast"/>
    </w:pPr>
    <w:rPr>
      <w:rFonts w:eastAsia="Cambria" w:cs="Times New Roman"/>
      <w:b/>
      <w:szCs w:val="22"/>
    </w:rPr>
  </w:style>
  <w:style w:type="paragraph" w:customStyle="1" w:styleId="TableDescription">
    <w:name w:val="Table Description"/>
    <w:basedOn w:val="Normal"/>
    <w:qFormat/>
    <w:rsid w:val="00854D98"/>
    <w:pPr>
      <w:spacing w:before="120" w:line="240" w:lineRule="auto"/>
    </w:pPr>
    <w:rPr>
      <w:rFonts w:eastAsia="Cambria" w:cs="Times New Roman"/>
      <w:sz w:val="18"/>
      <w:szCs w:val="19"/>
    </w:rPr>
  </w:style>
  <w:style w:type="character" w:styleId="CommentReference">
    <w:name w:val="annotation reference"/>
    <w:basedOn w:val="DefaultParagraphFont"/>
    <w:uiPriority w:val="99"/>
    <w:semiHidden/>
    <w:unhideWhenUsed/>
    <w:rsid w:val="00E47E0C"/>
    <w:rPr>
      <w:sz w:val="16"/>
      <w:szCs w:val="16"/>
    </w:rPr>
  </w:style>
  <w:style w:type="paragraph" w:styleId="CommentText">
    <w:name w:val="annotation text"/>
    <w:basedOn w:val="Normal"/>
    <w:link w:val="CommentTextChar"/>
    <w:uiPriority w:val="99"/>
    <w:unhideWhenUsed/>
    <w:rsid w:val="00E47E0C"/>
    <w:pPr>
      <w:spacing w:line="240" w:lineRule="auto"/>
    </w:pPr>
  </w:style>
  <w:style w:type="character" w:customStyle="1" w:styleId="CommentTextChar">
    <w:name w:val="Comment Text Char"/>
    <w:basedOn w:val="DefaultParagraphFont"/>
    <w:link w:val="CommentText"/>
    <w:uiPriority w:val="99"/>
    <w:rsid w:val="00E47E0C"/>
    <w:rPr>
      <w:rFonts w:ascii="Cambria" w:hAnsi="Cambria"/>
    </w:rPr>
  </w:style>
  <w:style w:type="paragraph" w:styleId="CommentSubject">
    <w:name w:val="annotation subject"/>
    <w:basedOn w:val="CommentText"/>
    <w:next w:val="CommentText"/>
    <w:link w:val="CommentSubjectChar"/>
    <w:uiPriority w:val="99"/>
    <w:semiHidden/>
    <w:unhideWhenUsed/>
    <w:rsid w:val="00E47E0C"/>
    <w:rPr>
      <w:b/>
      <w:bCs/>
    </w:rPr>
  </w:style>
  <w:style w:type="character" w:customStyle="1" w:styleId="CommentSubjectChar">
    <w:name w:val="Comment Subject Char"/>
    <w:basedOn w:val="CommentTextChar"/>
    <w:link w:val="CommentSubject"/>
    <w:uiPriority w:val="99"/>
    <w:semiHidden/>
    <w:rsid w:val="00E47E0C"/>
    <w:rPr>
      <w:rFonts w:ascii="Cambria" w:hAnsi="Cambria"/>
      <w:b/>
      <w:bCs/>
    </w:rPr>
  </w:style>
  <w:style w:type="paragraph" w:styleId="BalloonText">
    <w:name w:val="Balloon Text"/>
    <w:basedOn w:val="Normal"/>
    <w:link w:val="BalloonTextChar"/>
    <w:uiPriority w:val="99"/>
    <w:semiHidden/>
    <w:unhideWhenUsed/>
    <w:rsid w:val="00D637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760"/>
    <w:rPr>
      <w:rFonts w:ascii="Segoe UI" w:hAnsi="Segoe UI" w:cs="Segoe UI"/>
      <w:sz w:val="18"/>
      <w:szCs w:val="18"/>
    </w:rPr>
  </w:style>
  <w:style w:type="character" w:styleId="FollowedHyperlink">
    <w:name w:val="FollowedHyperlink"/>
    <w:basedOn w:val="DefaultParagraphFont"/>
    <w:uiPriority w:val="99"/>
    <w:semiHidden/>
    <w:unhideWhenUsed/>
    <w:rsid w:val="001C1C2E"/>
    <w:rPr>
      <w:color w:val="954F72" w:themeColor="followedHyperlink"/>
      <w:u w:val="single"/>
    </w:rPr>
  </w:style>
  <w:style w:type="paragraph" w:styleId="Revision">
    <w:name w:val="Revision"/>
    <w:hidden/>
    <w:uiPriority w:val="99"/>
    <w:semiHidden/>
    <w:rsid w:val="008964B3"/>
    <w:pPr>
      <w:spacing w:after="0" w:line="240" w:lineRule="auto"/>
    </w:pPr>
    <w:rPr>
      <w:rFonts w:ascii="Cambria" w:hAnsi="Cambria"/>
    </w:rPr>
  </w:style>
  <w:style w:type="character" w:styleId="UnresolvedMention">
    <w:name w:val="Unresolved Mention"/>
    <w:basedOn w:val="DefaultParagraphFont"/>
    <w:uiPriority w:val="99"/>
    <w:semiHidden/>
    <w:unhideWhenUsed/>
    <w:rsid w:val="00966EF1"/>
    <w:rPr>
      <w:color w:val="605E5C"/>
      <w:shd w:val="clear" w:color="auto" w:fill="E1DFDD"/>
    </w:rPr>
  </w:style>
  <w:style w:type="paragraph" w:customStyle="1" w:styleId="TableText">
    <w:name w:val="Table Text"/>
    <w:basedOn w:val="FootnoteText"/>
    <w:qFormat/>
    <w:rsid w:val="0098350E"/>
    <w:rPr>
      <w:color w:val="000000" w:themeColor="text1"/>
      <w:sz w:val="20"/>
      <w:lang w:val="en-GB"/>
    </w:rPr>
  </w:style>
  <w:style w:type="paragraph" w:customStyle="1" w:styleId="FigureTitle">
    <w:name w:val="Figure Title"/>
    <w:basedOn w:val="Normal"/>
    <w:qFormat/>
    <w:rsid w:val="006B1AFF"/>
    <w:pPr>
      <w:keepNext/>
    </w:pPr>
    <w:rPr>
      <w:b/>
    </w:rPr>
  </w:style>
  <w:style w:type="paragraph" w:styleId="Caption">
    <w:name w:val="caption"/>
    <w:basedOn w:val="Normal"/>
    <w:next w:val="Normal"/>
    <w:uiPriority w:val="35"/>
    <w:unhideWhenUsed/>
    <w:qFormat/>
    <w:rsid w:val="0098350E"/>
    <w:pPr>
      <w:spacing w:after="200" w:line="240" w:lineRule="auto"/>
    </w:pPr>
    <w:rPr>
      <w:i/>
      <w:iCs/>
      <w:color w:val="44546A" w:themeColor="text2"/>
      <w:sz w:val="18"/>
      <w:szCs w:val="18"/>
    </w:rPr>
  </w:style>
  <w:style w:type="paragraph" w:customStyle="1" w:styleId="FigureDescription">
    <w:name w:val="Figure Description"/>
    <w:basedOn w:val="FigureTitle"/>
    <w:qFormat/>
    <w:rsid w:val="0098350E"/>
    <w:rPr>
      <w:b w:val="0"/>
      <w:sz w:val="19"/>
    </w:rPr>
  </w:style>
  <w:style w:type="paragraph" w:customStyle="1" w:styleId="Default">
    <w:name w:val="Default"/>
    <w:rsid w:val="00932F5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ED388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115028">
      <w:bodyDiv w:val="1"/>
      <w:marLeft w:val="0"/>
      <w:marRight w:val="0"/>
      <w:marTop w:val="0"/>
      <w:marBottom w:val="0"/>
      <w:divBdr>
        <w:top w:val="none" w:sz="0" w:space="0" w:color="auto"/>
        <w:left w:val="none" w:sz="0" w:space="0" w:color="auto"/>
        <w:bottom w:val="none" w:sz="0" w:space="0" w:color="auto"/>
        <w:right w:val="none" w:sz="0" w:space="0" w:color="auto"/>
      </w:divBdr>
    </w:div>
    <w:div w:id="695735718">
      <w:bodyDiv w:val="1"/>
      <w:marLeft w:val="0"/>
      <w:marRight w:val="0"/>
      <w:marTop w:val="0"/>
      <w:marBottom w:val="0"/>
      <w:divBdr>
        <w:top w:val="none" w:sz="0" w:space="0" w:color="auto"/>
        <w:left w:val="none" w:sz="0" w:space="0" w:color="auto"/>
        <w:bottom w:val="none" w:sz="0" w:space="0" w:color="auto"/>
        <w:right w:val="none" w:sz="0" w:space="0" w:color="auto"/>
      </w:divBdr>
    </w:div>
    <w:div w:id="1105493028">
      <w:bodyDiv w:val="1"/>
      <w:marLeft w:val="0"/>
      <w:marRight w:val="0"/>
      <w:marTop w:val="0"/>
      <w:marBottom w:val="0"/>
      <w:divBdr>
        <w:top w:val="none" w:sz="0" w:space="0" w:color="auto"/>
        <w:left w:val="none" w:sz="0" w:space="0" w:color="auto"/>
        <w:bottom w:val="none" w:sz="0" w:space="0" w:color="auto"/>
        <w:right w:val="none" w:sz="0" w:space="0" w:color="auto"/>
      </w:divBdr>
    </w:div>
    <w:div w:id="129370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ga.gov.au/australian-public-assessment-report-auspar-guidance" TargetMode="External"/><Relationship Id="rId18" Type="http://schemas.openxmlformats.org/officeDocument/2006/relationships/image" Target="media/image4.png"/><Relationship Id="rId26" Type="http://schemas.openxmlformats.org/officeDocument/2006/relationships/hyperlink" Target="https://www.tga.gov.au/products/australian-register-therapeutic-goods-artg/consumer-medicines-information-cmi" TargetMode="Externa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ga.gov.au" TargetMode="External"/><Relationship Id="rId17" Type="http://schemas.openxmlformats.org/officeDocument/2006/relationships/image" Target="media/image3.png"/><Relationship Id="rId25" Type="http://schemas.openxmlformats.org/officeDocument/2006/relationships/hyperlink" Target="https://www.tga.gov.au/products/australian-register-therapeutic-goods-artg/product-information-one"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tga.gov.au/how-we-regulate/supply-therapeutic-good-0/supply-prescription-medicine/application-process/prescription-medicines-registration-process" TargetMode="External"/><Relationship Id="rId20" Type="http://schemas.openxmlformats.org/officeDocument/2006/relationships/image" Target="media/image6.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tga.gov.au/products/australian-register-therapeutic-goods-artg/product-information-one"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tga.gov.au/black-triangle-scheme" TargetMode="External"/><Relationship Id="rId23" Type="http://schemas.openxmlformats.org/officeDocument/2006/relationships/hyperlink" Target="https://www.tga.gov.au/resources/resource/guidance/risk-management-plans-medicines-and-biologicals/when-rmp-required" TargetMode="External"/><Relationship Id="rId28" Type="http://schemas.openxmlformats.org/officeDocument/2006/relationships/header" Target="header3.xml"/><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hyperlink" Target="https://www.tga.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tga.copyright@tga.gov.au" TargetMode="External"/><Relationship Id="rId22" Type="http://schemas.openxmlformats.org/officeDocument/2006/relationships/image" Target="media/image8.png"/><Relationship Id="rId27" Type="http://schemas.openxmlformats.org/officeDocument/2006/relationships/hyperlink" Target="https://www.ebs.tga.gov.au/" TargetMode="External"/><Relationship Id="rId30" Type="http://schemas.openxmlformats.org/officeDocument/2006/relationships/hyperlink" Target="mailto:info@tga.gov.au"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tga.gov.au/resources/auspar/auspar-abiraterone-acetate-0" TargetMode="External"/><Relationship Id="rId1" Type="http://schemas.openxmlformats.org/officeDocument/2006/relationships/hyperlink" Target="https://www.tga.gov.au/resources/auspar/auspar-abiraterone-acetat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TGA\External%20pub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1AE68-6449-47E6-9F10-0220946B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publication.dotx</Template>
  <TotalTime>6</TotalTime>
  <Pages>18</Pages>
  <Words>4178</Words>
  <Characters>23821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Australian public assessment report for</vt:lpstr>
    </vt:vector>
  </TitlesOfParts>
  <Company>Department of Health and Aged Care</Company>
  <LinksUpToDate>false</LinksUpToDate>
  <CharactersWithSpaces>27944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Yonsa Mpred</dc:title>
  <dc:subject>Prescription medicines</dc:subject>
  <dc:creator>Therapeutic Goods Administration</dc:creator>
  <cp:keywords/>
  <dc:description/>
  <cp:lastModifiedBy>THEODORATOS, Angelo</cp:lastModifiedBy>
  <cp:revision>4</cp:revision>
  <dcterms:created xsi:type="dcterms:W3CDTF">2024-08-07T22:47:00Z</dcterms:created>
  <dcterms:modified xsi:type="dcterms:W3CDTF">2024-08-08T01:34:00Z</dcterms:modified>
</cp:coreProperties>
</file>