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099A8EC0" w14:textId="77777777" w:rsidTr="00CE6085">
        <w:tc>
          <w:tcPr>
            <w:tcW w:w="8720" w:type="dxa"/>
          </w:tcPr>
          <w:p w14:paraId="59115945" w14:textId="5EF67F94" w:rsidR="00F02AEC" w:rsidRPr="00215D48" w:rsidRDefault="0079656C" w:rsidP="00DC5D6F">
            <w:pPr>
              <w:pStyle w:val="Title"/>
            </w:pPr>
            <w:r w:rsidRPr="00DC5D6F">
              <w:t>Medicine</w:t>
            </w:r>
            <w:r>
              <w:t xml:space="preserve"> shortages </w:t>
            </w:r>
            <w:r w:rsidR="00A42C48">
              <w:t>d</w:t>
            </w:r>
            <w:r w:rsidR="003943A7">
              <w:t>ata</w:t>
            </w:r>
            <w:r w:rsidR="00153BDA">
              <w:t>-</w:t>
            </w:r>
            <w:r w:rsidR="00A42C48">
              <w:t>s</w:t>
            </w:r>
            <w:r w:rsidR="003943A7">
              <w:t>haring</w:t>
            </w:r>
            <w:r w:rsidR="00AB5937">
              <w:t xml:space="preserve"> </w:t>
            </w:r>
            <w:r w:rsidR="00A42C48">
              <w:t>f</w:t>
            </w:r>
            <w:r>
              <w:t>ramework</w:t>
            </w:r>
          </w:p>
        </w:tc>
      </w:tr>
      <w:tr w:rsidR="00F02AEC" w:rsidRPr="00215D48" w14:paraId="3990C721" w14:textId="77777777" w:rsidTr="00CE6085">
        <w:trPr>
          <w:trHeight w:val="1916"/>
        </w:trPr>
        <w:tc>
          <w:tcPr>
            <w:tcW w:w="8720" w:type="dxa"/>
          </w:tcPr>
          <w:p w14:paraId="096317B2" w14:textId="08BFF0E0" w:rsidR="00FB31A8" w:rsidRPr="00215D48" w:rsidRDefault="0090767E" w:rsidP="00DC5D6F">
            <w:pPr>
              <w:pStyle w:val="Subtitle"/>
            </w:pPr>
            <w:r>
              <w:t xml:space="preserve">Dynamic Model of </w:t>
            </w:r>
            <w:r w:rsidRPr="00DC5D6F">
              <w:t>Medicine</w:t>
            </w:r>
            <w:r>
              <w:t xml:space="preserve"> Availability</w:t>
            </w:r>
            <w:r w:rsidR="00084B7B">
              <w:t xml:space="preserve"> (</w:t>
            </w:r>
            <w:r w:rsidR="00030E46" w:rsidRPr="00231533">
              <w:t>DMMA</w:t>
            </w:r>
            <w:r w:rsidR="00030E46">
              <w:t xml:space="preserve"> </w:t>
            </w:r>
            <w:r w:rsidR="00084B7B">
              <w:t>version 2.0)</w:t>
            </w:r>
            <w:r>
              <w:t xml:space="preserve"> </w:t>
            </w:r>
          </w:p>
        </w:tc>
      </w:tr>
      <w:tr w:rsidR="00F02AEC" w:rsidRPr="00215D48" w14:paraId="227F3EA6" w14:textId="77777777" w:rsidTr="00CE6085">
        <w:tc>
          <w:tcPr>
            <w:tcW w:w="8720" w:type="dxa"/>
          </w:tcPr>
          <w:p w14:paraId="02341110" w14:textId="1A65EC11" w:rsidR="00F02AEC" w:rsidRPr="00215D48" w:rsidRDefault="00F02AEC" w:rsidP="00CE6085">
            <w:pPr>
              <w:pStyle w:val="Date"/>
            </w:pPr>
            <w:r w:rsidRPr="00215D48">
              <w:t xml:space="preserve">Version </w:t>
            </w:r>
            <w:r w:rsidR="003D5FDE">
              <w:t>1.</w:t>
            </w:r>
            <w:r w:rsidR="00944392">
              <w:t>0</w:t>
            </w:r>
            <w:r w:rsidRPr="00215D48">
              <w:t xml:space="preserve">, </w:t>
            </w:r>
            <w:r w:rsidR="001B73FC">
              <w:t>July</w:t>
            </w:r>
            <w:r w:rsidR="00065B95" w:rsidRPr="0087399B">
              <w:t xml:space="preserve"> </w:t>
            </w:r>
            <w:r w:rsidR="003943A7" w:rsidRPr="0087399B">
              <w:t>202</w:t>
            </w:r>
            <w:r w:rsidR="006F544E">
              <w:t>4</w:t>
            </w:r>
          </w:p>
        </w:tc>
      </w:tr>
    </w:tbl>
    <w:p w14:paraId="069323C1" w14:textId="77777777" w:rsidR="00F02AEC" w:rsidRPr="00215D48" w:rsidRDefault="00F02AEC" w:rsidP="008956C8">
      <w:pPr>
        <w:sectPr w:rsidR="00F02AEC" w:rsidRPr="00215D48" w:rsidSect="00CB055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55CF4521" w14:textId="77777777" w:rsidR="00F02AEC" w:rsidRPr="00E1198B" w:rsidRDefault="00F02AEC" w:rsidP="00CE6085">
      <w:pPr>
        <w:pStyle w:val="LegalSubheading"/>
      </w:pPr>
      <w:r w:rsidRPr="00BA0DFC">
        <w:lastRenderedPageBreak/>
        <w:t>Copyright</w:t>
      </w:r>
    </w:p>
    <w:p w14:paraId="0B9BEEAA" w14:textId="7CFF4698" w:rsidR="00930D58" w:rsidRDefault="00F02AEC" w:rsidP="00FA49C3">
      <w:pPr>
        <w:pStyle w:val="LegalCopy"/>
        <w:rPr>
          <w:rFonts w:cs="Arial"/>
        </w:rPr>
      </w:pPr>
      <w:r w:rsidRPr="00215D48">
        <w:rPr>
          <w:rFonts w:cs="Arial"/>
        </w:rPr>
        <w:t>© Commonwealth of Australia 20</w:t>
      </w:r>
      <w:r>
        <w:rPr>
          <w:rFonts w:cs="Arial"/>
        </w:rPr>
        <w:t>2</w:t>
      </w:r>
      <w:r w:rsidR="005A6DAE">
        <w:rPr>
          <w:rFonts w:cs="Arial"/>
        </w:rPr>
        <w:t>4</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w:t>
      </w:r>
      <w:proofErr w:type="gramStart"/>
      <w:r w:rsidRPr="00215D48">
        <w:rPr>
          <w:rFonts w:cs="Arial"/>
        </w:rPr>
        <w:t>reserved</w:t>
      </w:r>
      <w:proofErr w:type="gramEnd"/>
      <w:r w:rsidRPr="00215D48">
        <w:rPr>
          <w:rFonts w:cs="Arial"/>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215D48">
          <w:rPr>
            <w:rStyle w:val="Hyperlink"/>
            <w:rFonts w:cs="Arial"/>
          </w:rPr>
          <w:t>tga.copyright@tga.gov.au</w:t>
        </w:r>
      </w:hyperlink>
      <w:r w:rsidRPr="00215D48">
        <w:rPr>
          <w:rFonts w:cs="Arial"/>
        </w:rPr>
        <w:t>&gt;.</w:t>
      </w:r>
    </w:p>
    <w:p w14:paraId="781FA3E8" w14:textId="77777777" w:rsidR="00175CD8" w:rsidRPr="00FA49C3" w:rsidRDefault="00175CD8" w:rsidP="00175CD8"/>
    <w:sdt>
      <w:sdtPr>
        <w:rPr>
          <w:rFonts w:ascii="Cambria" w:eastAsiaTheme="minorHAnsi" w:hAnsi="Cambria" w:cstheme="minorBidi"/>
          <w:b w:val="0"/>
          <w:color w:val="auto"/>
          <w:sz w:val="22"/>
          <w:szCs w:val="22"/>
        </w:rPr>
        <w:id w:val="21514769"/>
        <w:docPartObj>
          <w:docPartGallery w:val="Table of Contents"/>
          <w:docPartUnique/>
        </w:docPartObj>
      </w:sdtPr>
      <w:sdtEndPr>
        <w:rPr>
          <w:rFonts w:ascii="Arial" w:hAnsi="Arial"/>
          <w:sz w:val="20"/>
          <w:szCs w:val="20"/>
        </w:rPr>
      </w:sdtEndPr>
      <w:sdtContent>
        <w:p w14:paraId="70DFE54D" w14:textId="77777777" w:rsidR="00F02AEC" w:rsidRPr="00215D48" w:rsidRDefault="00F02AEC" w:rsidP="00CE6085">
          <w:pPr>
            <w:pStyle w:val="NonTOCheading2"/>
          </w:pPr>
          <w:r w:rsidRPr="00215D48">
            <w:t>Contents</w:t>
          </w:r>
        </w:p>
        <w:p w14:paraId="0BCEABBF" w14:textId="174B7232" w:rsidR="008956C8" w:rsidRDefault="00F02AEC">
          <w:pPr>
            <w:pStyle w:val="TOC1"/>
            <w:rPr>
              <w:rFonts w:asciiTheme="minorHAnsi" w:eastAsiaTheme="minorEastAsia" w:hAnsiTheme="minorHAnsi" w:cstheme="minorBidi"/>
              <w:b w:val="0"/>
              <w:noProof/>
              <w:color w:val="auto"/>
              <w:kern w:val="2"/>
              <w:sz w:val="22"/>
              <w:szCs w:val="22"/>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75574112" w:history="1">
            <w:r w:rsidR="008956C8" w:rsidRPr="00005371">
              <w:rPr>
                <w:rStyle w:val="Hyperlink"/>
                <w:noProof/>
              </w:rPr>
              <w:t>Background</w:t>
            </w:r>
            <w:r w:rsidR="008956C8">
              <w:rPr>
                <w:noProof/>
                <w:webHidden/>
              </w:rPr>
              <w:tab/>
            </w:r>
            <w:r w:rsidR="008956C8">
              <w:rPr>
                <w:noProof/>
                <w:webHidden/>
              </w:rPr>
              <w:fldChar w:fldCharType="begin"/>
            </w:r>
            <w:r w:rsidR="008956C8">
              <w:rPr>
                <w:noProof/>
                <w:webHidden/>
              </w:rPr>
              <w:instrText xml:space="preserve"> PAGEREF _Toc175574112 \h </w:instrText>
            </w:r>
            <w:r w:rsidR="008956C8">
              <w:rPr>
                <w:noProof/>
                <w:webHidden/>
              </w:rPr>
            </w:r>
            <w:r w:rsidR="008956C8">
              <w:rPr>
                <w:noProof/>
                <w:webHidden/>
              </w:rPr>
              <w:fldChar w:fldCharType="separate"/>
            </w:r>
            <w:r w:rsidR="008956C8">
              <w:rPr>
                <w:noProof/>
                <w:webHidden/>
              </w:rPr>
              <w:t>5</w:t>
            </w:r>
            <w:r w:rsidR="008956C8">
              <w:rPr>
                <w:noProof/>
                <w:webHidden/>
              </w:rPr>
              <w:fldChar w:fldCharType="end"/>
            </w:r>
          </w:hyperlink>
        </w:p>
        <w:p w14:paraId="129F6F8B" w14:textId="4702CD39" w:rsidR="008956C8" w:rsidRDefault="008956C8">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5574113" w:history="1">
            <w:r w:rsidRPr="00005371">
              <w:rPr>
                <w:rStyle w:val="Hyperlink"/>
                <w:noProof/>
              </w:rPr>
              <w:t>About data-sharing</w:t>
            </w:r>
            <w:r>
              <w:rPr>
                <w:noProof/>
                <w:webHidden/>
              </w:rPr>
              <w:tab/>
            </w:r>
            <w:r>
              <w:rPr>
                <w:noProof/>
                <w:webHidden/>
              </w:rPr>
              <w:fldChar w:fldCharType="begin"/>
            </w:r>
            <w:r>
              <w:rPr>
                <w:noProof/>
                <w:webHidden/>
              </w:rPr>
              <w:instrText xml:space="preserve"> PAGEREF _Toc175574113 \h </w:instrText>
            </w:r>
            <w:r>
              <w:rPr>
                <w:noProof/>
                <w:webHidden/>
              </w:rPr>
            </w:r>
            <w:r>
              <w:rPr>
                <w:noProof/>
                <w:webHidden/>
              </w:rPr>
              <w:fldChar w:fldCharType="separate"/>
            </w:r>
            <w:r>
              <w:rPr>
                <w:noProof/>
                <w:webHidden/>
              </w:rPr>
              <w:t>5</w:t>
            </w:r>
            <w:r>
              <w:rPr>
                <w:noProof/>
                <w:webHidden/>
              </w:rPr>
              <w:fldChar w:fldCharType="end"/>
            </w:r>
          </w:hyperlink>
        </w:p>
        <w:p w14:paraId="0986E0F8" w14:textId="2F09675F"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14" w:history="1">
            <w:r w:rsidRPr="00005371">
              <w:rPr>
                <w:rStyle w:val="Hyperlink"/>
                <w:noProof/>
              </w:rPr>
              <w:t>Our data-sharing principles</w:t>
            </w:r>
            <w:r>
              <w:rPr>
                <w:noProof/>
                <w:webHidden/>
              </w:rPr>
              <w:tab/>
            </w:r>
            <w:r>
              <w:rPr>
                <w:noProof/>
                <w:webHidden/>
              </w:rPr>
              <w:fldChar w:fldCharType="begin"/>
            </w:r>
            <w:r>
              <w:rPr>
                <w:noProof/>
                <w:webHidden/>
              </w:rPr>
              <w:instrText xml:space="preserve"> PAGEREF _Toc175574114 \h </w:instrText>
            </w:r>
            <w:r>
              <w:rPr>
                <w:noProof/>
                <w:webHidden/>
              </w:rPr>
            </w:r>
            <w:r>
              <w:rPr>
                <w:noProof/>
                <w:webHidden/>
              </w:rPr>
              <w:fldChar w:fldCharType="separate"/>
            </w:r>
            <w:r>
              <w:rPr>
                <w:noProof/>
                <w:webHidden/>
              </w:rPr>
              <w:t>6</w:t>
            </w:r>
            <w:r>
              <w:rPr>
                <w:noProof/>
                <w:webHidden/>
              </w:rPr>
              <w:fldChar w:fldCharType="end"/>
            </w:r>
          </w:hyperlink>
        </w:p>
        <w:p w14:paraId="167149C9" w14:textId="47DAD34A"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15" w:history="1">
            <w:r w:rsidRPr="00005371">
              <w:rPr>
                <w:rStyle w:val="Hyperlink"/>
                <w:noProof/>
              </w:rPr>
              <w:t>Our data-sharing processes</w:t>
            </w:r>
            <w:r>
              <w:rPr>
                <w:noProof/>
                <w:webHidden/>
              </w:rPr>
              <w:tab/>
            </w:r>
            <w:r>
              <w:rPr>
                <w:noProof/>
                <w:webHidden/>
              </w:rPr>
              <w:fldChar w:fldCharType="begin"/>
            </w:r>
            <w:r>
              <w:rPr>
                <w:noProof/>
                <w:webHidden/>
              </w:rPr>
              <w:instrText xml:space="preserve"> PAGEREF _Toc175574115 \h </w:instrText>
            </w:r>
            <w:r>
              <w:rPr>
                <w:noProof/>
                <w:webHidden/>
              </w:rPr>
            </w:r>
            <w:r>
              <w:rPr>
                <w:noProof/>
                <w:webHidden/>
              </w:rPr>
              <w:fldChar w:fldCharType="separate"/>
            </w:r>
            <w:r>
              <w:rPr>
                <w:noProof/>
                <w:webHidden/>
              </w:rPr>
              <w:t>7</w:t>
            </w:r>
            <w:r>
              <w:rPr>
                <w:noProof/>
                <w:webHidden/>
              </w:rPr>
              <w:fldChar w:fldCharType="end"/>
            </w:r>
          </w:hyperlink>
        </w:p>
        <w:p w14:paraId="132866A2" w14:textId="0F709CE9" w:rsidR="008956C8" w:rsidRDefault="008956C8">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75574116" w:history="1">
            <w:r w:rsidRPr="00005371">
              <w:rPr>
                <w:rStyle w:val="Hyperlink"/>
                <w:noProof/>
              </w:rPr>
              <w:t>Step by step process</w:t>
            </w:r>
            <w:r>
              <w:rPr>
                <w:noProof/>
                <w:webHidden/>
              </w:rPr>
              <w:tab/>
            </w:r>
            <w:r>
              <w:rPr>
                <w:noProof/>
                <w:webHidden/>
              </w:rPr>
              <w:fldChar w:fldCharType="begin"/>
            </w:r>
            <w:r>
              <w:rPr>
                <w:noProof/>
                <w:webHidden/>
              </w:rPr>
              <w:instrText xml:space="preserve"> PAGEREF _Toc175574116 \h </w:instrText>
            </w:r>
            <w:r>
              <w:rPr>
                <w:noProof/>
                <w:webHidden/>
              </w:rPr>
            </w:r>
            <w:r>
              <w:rPr>
                <w:noProof/>
                <w:webHidden/>
              </w:rPr>
              <w:fldChar w:fldCharType="separate"/>
            </w:r>
            <w:r>
              <w:rPr>
                <w:noProof/>
                <w:webHidden/>
              </w:rPr>
              <w:t>7</w:t>
            </w:r>
            <w:r>
              <w:rPr>
                <w:noProof/>
                <w:webHidden/>
              </w:rPr>
              <w:fldChar w:fldCharType="end"/>
            </w:r>
          </w:hyperlink>
        </w:p>
        <w:p w14:paraId="0FF61AB0" w14:textId="04161327"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17" w:history="1">
            <w:r w:rsidRPr="00005371">
              <w:rPr>
                <w:rStyle w:val="Hyperlink"/>
                <w:noProof/>
              </w:rPr>
              <w:t>Details about the data to be shared by providers</w:t>
            </w:r>
            <w:r>
              <w:rPr>
                <w:noProof/>
                <w:webHidden/>
              </w:rPr>
              <w:tab/>
            </w:r>
            <w:r>
              <w:rPr>
                <w:noProof/>
                <w:webHidden/>
              </w:rPr>
              <w:fldChar w:fldCharType="begin"/>
            </w:r>
            <w:r>
              <w:rPr>
                <w:noProof/>
                <w:webHidden/>
              </w:rPr>
              <w:instrText xml:space="preserve"> PAGEREF _Toc175574117 \h </w:instrText>
            </w:r>
            <w:r>
              <w:rPr>
                <w:noProof/>
                <w:webHidden/>
              </w:rPr>
            </w:r>
            <w:r>
              <w:rPr>
                <w:noProof/>
                <w:webHidden/>
              </w:rPr>
              <w:fldChar w:fldCharType="separate"/>
            </w:r>
            <w:r>
              <w:rPr>
                <w:noProof/>
                <w:webHidden/>
              </w:rPr>
              <w:t>9</w:t>
            </w:r>
            <w:r>
              <w:rPr>
                <w:noProof/>
                <w:webHidden/>
              </w:rPr>
              <w:fldChar w:fldCharType="end"/>
            </w:r>
          </w:hyperlink>
        </w:p>
        <w:p w14:paraId="6F6A9080" w14:textId="3373F083"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18" w:history="1">
            <w:r w:rsidRPr="00005371">
              <w:rPr>
                <w:rStyle w:val="Hyperlink"/>
                <w:noProof/>
              </w:rPr>
              <w:t>Period of endorsement</w:t>
            </w:r>
            <w:r>
              <w:rPr>
                <w:noProof/>
                <w:webHidden/>
              </w:rPr>
              <w:tab/>
            </w:r>
            <w:r>
              <w:rPr>
                <w:noProof/>
                <w:webHidden/>
              </w:rPr>
              <w:fldChar w:fldCharType="begin"/>
            </w:r>
            <w:r>
              <w:rPr>
                <w:noProof/>
                <w:webHidden/>
              </w:rPr>
              <w:instrText xml:space="preserve"> PAGEREF _Toc175574118 \h </w:instrText>
            </w:r>
            <w:r>
              <w:rPr>
                <w:noProof/>
                <w:webHidden/>
              </w:rPr>
            </w:r>
            <w:r>
              <w:rPr>
                <w:noProof/>
                <w:webHidden/>
              </w:rPr>
              <w:fldChar w:fldCharType="separate"/>
            </w:r>
            <w:r>
              <w:rPr>
                <w:noProof/>
                <w:webHidden/>
              </w:rPr>
              <w:t>10</w:t>
            </w:r>
            <w:r>
              <w:rPr>
                <w:noProof/>
                <w:webHidden/>
              </w:rPr>
              <w:fldChar w:fldCharType="end"/>
            </w:r>
          </w:hyperlink>
        </w:p>
        <w:p w14:paraId="6636720A" w14:textId="7CED7A92"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19" w:history="1">
            <w:r w:rsidRPr="00005371">
              <w:rPr>
                <w:rStyle w:val="Hyperlink"/>
                <w:noProof/>
              </w:rPr>
              <w:t>Data-sharing participants</w:t>
            </w:r>
            <w:r>
              <w:rPr>
                <w:noProof/>
                <w:webHidden/>
              </w:rPr>
              <w:tab/>
            </w:r>
            <w:r>
              <w:rPr>
                <w:noProof/>
                <w:webHidden/>
              </w:rPr>
              <w:fldChar w:fldCharType="begin"/>
            </w:r>
            <w:r>
              <w:rPr>
                <w:noProof/>
                <w:webHidden/>
              </w:rPr>
              <w:instrText xml:space="preserve"> PAGEREF _Toc175574119 \h </w:instrText>
            </w:r>
            <w:r>
              <w:rPr>
                <w:noProof/>
                <w:webHidden/>
              </w:rPr>
            </w:r>
            <w:r>
              <w:rPr>
                <w:noProof/>
                <w:webHidden/>
              </w:rPr>
              <w:fldChar w:fldCharType="separate"/>
            </w:r>
            <w:r>
              <w:rPr>
                <w:noProof/>
                <w:webHidden/>
              </w:rPr>
              <w:t>10</w:t>
            </w:r>
            <w:r>
              <w:rPr>
                <w:noProof/>
                <w:webHidden/>
              </w:rPr>
              <w:fldChar w:fldCharType="end"/>
            </w:r>
          </w:hyperlink>
        </w:p>
        <w:p w14:paraId="51C1C711" w14:textId="022F3D87" w:rsidR="008956C8" w:rsidRDefault="008956C8">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5574120" w:history="1">
            <w:r w:rsidRPr="00005371">
              <w:rPr>
                <w:rStyle w:val="Hyperlink"/>
                <w:noProof/>
              </w:rPr>
              <w:t>Roles and responsibilities</w:t>
            </w:r>
            <w:r>
              <w:rPr>
                <w:noProof/>
                <w:webHidden/>
              </w:rPr>
              <w:tab/>
            </w:r>
            <w:r>
              <w:rPr>
                <w:noProof/>
                <w:webHidden/>
              </w:rPr>
              <w:fldChar w:fldCharType="begin"/>
            </w:r>
            <w:r>
              <w:rPr>
                <w:noProof/>
                <w:webHidden/>
              </w:rPr>
              <w:instrText xml:space="preserve"> PAGEREF _Toc175574120 \h </w:instrText>
            </w:r>
            <w:r>
              <w:rPr>
                <w:noProof/>
                <w:webHidden/>
              </w:rPr>
            </w:r>
            <w:r>
              <w:rPr>
                <w:noProof/>
                <w:webHidden/>
              </w:rPr>
              <w:fldChar w:fldCharType="separate"/>
            </w:r>
            <w:r>
              <w:rPr>
                <w:noProof/>
                <w:webHidden/>
              </w:rPr>
              <w:t>13</w:t>
            </w:r>
            <w:r>
              <w:rPr>
                <w:noProof/>
                <w:webHidden/>
              </w:rPr>
              <w:fldChar w:fldCharType="end"/>
            </w:r>
          </w:hyperlink>
        </w:p>
        <w:p w14:paraId="11FEC46D" w14:textId="5E48B2BC"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21" w:history="1">
            <w:r w:rsidRPr="00005371">
              <w:rPr>
                <w:rStyle w:val="Hyperlink"/>
                <w:noProof/>
              </w:rPr>
              <w:t>Providers of information</w:t>
            </w:r>
            <w:r>
              <w:rPr>
                <w:noProof/>
                <w:webHidden/>
              </w:rPr>
              <w:tab/>
            </w:r>
            <w:r>
              <w:rPr>
                <w:noProof/>
                <w:webHidden/>
              </w:rPr>
              <w:fldChar w:fldCharType="begin"/>
            </w:r>
            <w:r>
              <w:rPr>
                <w:noProof/>
                <w:webHidden/>
              </w:rPr>
              <w:instrText xml:space="preserve"> PAGEREF _Toc175574121 \h </w:instrText>
            </w:r>
            <w:r>
              <w:rPr>
                <w:noProof/>
                <w:webHidden/>
              </w:rPr>
            </w:r>
            <w:r>
              <w:rPr>
                <w:noProof/>
                <w:webHidden/>
              </w:rPr>
              <w:fldChar w:fldCharType="separate"/>
            </w:r>
            <w:r>
              <w:rPr>
                <w:noProof/>
                <w:webHidden/>
              </w:rPr>
              <w:t>13</w:t>
            </w:r>
            <w:r>
              <w:rPr>
                <w:noProof/>
                <w:webHidden/>
              </w:rPr>
              <w:fldChar w:fldCharType="end"/>
            </w:r>
          </w:hyperlink>
        </w:p>
        <w:p w14:paraId="75C236A0" w14:textId="765F15BB" w:rsidR="008956C8" w:rsidRDefault="008956C8">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75574122" w:history="1">
            <w:r w:rsidRPr="00005371">
              <w:rPr>
                <w:rStyle w:val="Hyperlink"/>
                <w:noProof/>
              </w:rPr>
              <w:t>Consent to use information</w:t>
            </w:r>
            <w:r>
              <w:rPr>
                <w:noProof/>
                <w:webHidden/>
              </w:rPr>
              <w:tab/>
            </w:r>
            <w:r>
              <w:rPr>
                <w:noProof/>
                <w:webHidden/>
              </w:rPr>
              <w:fldChar w:fldCharType="begin"/>
            </w:r>
            <w:r>
              <w:rPr>
                <w:noProof/>
                <w:webHidden/>
              </w:rPr>
              <w:instrText xml:space="preserve"> PAGEREF _Toc175574122 \h </w:instrText>
            </w:r>
            <w:r>
              <w:rPr>
                <w:noProof/>
                <w:webHidden/>
              </w:rPr>
            </w:r>
            <w:r>
              <w:rPr>
                <w:noProof/>
                <w:webHidden/>
              </w:rPr>
              <w:fldChar w:fldCharType="separate"/>
            </w:r>
            <w:r>
              <w:rPr>
                <w:noProof/>
                <w:webHidden/>
              </w:rPr>
              <w:t>13</w:t>
            </w:r>
            <w:r>
              <w:rPr>
                <w:noProof/>
                <w:webHidden/>
              </w:rPr>
              <w:fldChar w:fldCharType="end"/>
            </w:r>
          </w:hyperlink>
        </w:p>
        <w:p w14:paraId="36B69EB2" w14:textId="5482B92C"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23" w:history="1">
            <w:r w:rsidRPr="00005371">
              <w:rPr>
                <w:rStyle w:val="Hyperlink"/>
                <w:noProof/>
              </w:rPr>
              <w:t>Receivers of information</w:t>
            </w:r>
            <w:r>
              <w:rPr>
                <w:noProof/>
                <w:webHidden/>
              </w:rPr>
              <w:tab/>
            </w:r>
            <w:r>
              <w:rPr>
                <w:noProof/>
                <w:webHidden/>
              </w:rPr>
              <w:fldChar w:fldCharType="begin"/>
            </w:r>
            <w:r>
              <w:rPr>
                <w:noProof/>
                <w:webHidden/>
              </w:rPr>
              <w:instrText xml:space="preserve"> PAGEREF _Toc175574123 \h </w:instrText>
            </w:r>
            <w:r>
              <w:rPr>
                <w:noProof/>
                <w:webHidden/>
              </w:rPr>
            </w:r>
            <w:r>
              <w:rPr>
                <w:noProof/>
                <w:webHidden/>
              </w:rPr>
              <w:fldChar w:fldCharType="separate"/>
            </w:r>
            <w:r>
              <w:rPr>
                <w:noProof/>
                <w:webHidden/>
              </w:rPr>
              <w:t>14</w:t>
            </w:r>
            <w:r>
              <w:rPr>
                <w:noProof/>
                <w:webHidden/>
              </w:rPr>
              <w:fldChar w:fldCharType="end"/>
            </w:r>
          </w:hyperlink>
        </w:p>
        <w:p w14:paraId="16F2F533" w14:textId="384E10A5"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24" w:history="1">
            <w:r w:rsidRPr="00005371">
              <w:rPr>
                <w:rStyle w:val="Hyperlink"/>
                <w:noProof/>
              </w:rPr>
              <w:t>State and territory entities</w:t>
            </w:r>
            <w:r>
              <w:rPr>
                <w:noProof/>
                <w:webHidden/>
              </w:rPr>
              <w:tab/>
            </w:r>
            <w:r>
              <w:rPr>
                <w:noProof/>
                <w:webHidden/>
              </w:rPr>
              <w:fldChar w:fldCharType="begin"/>
            </w:r>
            <w:r>
              <w:rPr>
                <w:noProof/>
                <w:webHidden/>
              </w:rPr>
              <w:instrText xml:space="preserve"> PAGEREF _Toc175574124 \h </w:instrText>
            </w:r>
            <w:r>
              <w:rPr>
                <w:noProof/>
                <w:webHidden/>
              </w:rPr>
            </w:r>
            <w:r>
              <w:rPr>
                <w:noProof/>
                <w:webHidden/>
              </w:rPr>
              <w:fldChar w:fldCharType="separate"/>
            </w:r>
            <w:r>
              <w:rPr>
                <w:noProof/>
                <w:webHidden/>
              </w:rPr>
              <w:t>14</w:t>
            </w:r>
            <w:r>
              <w:rPr>
                <w:noProof/>
                <w:webHidden/>
              </w:rPr>
              <w:fldChar w:fldCharType="end"/>
            </w:r>
          </w:hyperlink>
        </w:p>
        <w:p w14:paraId="01B5538A" w14:textId="4CB5A554" w:rsidR="008956C8" w:rsidRDefault="008956C8">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75574125" w:history="1">
            <w:r w:rsidRPr="00005371">
              <w:rPr>
                <w:rStyle w:val="Hyperlink"/>
                <w:noProof/>
              </w:rPr>
              <w:t>Provide information</w:t>
            </w:r>
            <w:r>
              <w:rPr>
                <w:noProof/>
                <w:webHidden/>
              </w:rPr>
              <w:tab/>
            </w:r>
            <w:r>
              <w:rPr>
                <w:noProof/>
                <w:webHidden/>
              </w:rPr>
              <w:fldChar w:fldCharType="begin"/>
            </w:r>
            <w:r>
              <w:rPr>
                <w:noProof/>
                <w:webHidden/>
              </w:rPr>
              <w:instrText xml:space="preserve"> PAGEREF _Toc175574125 \h </w:instrText>
            </w:r>
            <w:r>
              <w:rPr>
                <w:noProof/>
                <w:webHidden/>
              </w:rPr>
            </w:r>
            <w:r>
              <w:rPr>
                <w:noProof/>
                <w:webHidden/>
              </w:rPr>
              <w:fldChar w:fldCharType="separate"/>
            </w:r>
            <w:r>
              <w:rPr>
                <w:noProof/>
                <w:webHidden/>
              </w:rPr>
              <w:t>14</w:t>
            </w:r>
            <w:r>
              <w:rPr>
                <w:noProof/>
                <w:webHidden/>
              </w:rPr>
              <w:fldChar w:fldCharType="end"/>
            </w:r>
          </w:hyperlink>
        </w:p>
        <w:p w14:paraId="2452767A" w14:textId="7A9B8989" w:rsidR="008956C8" w:rsidRDefault="008956C8">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75574126" w:history="1">
            <w:r w:rsidRPr="00005371">
              <w:rPr>
                <w:rStyle w:val="Hyperlink"/>
                <w:noProof/>
              </w:rPr>
              <w:t>Endorse the use of information</w:t>
            </w:r>
            <w:r>
              <w:rPr>
                <w:noProof/>
                <w:webHidden/>
              </w:rPr>
              <w:tab/>
            </w:r>
            <w:r>
              <w:rPr>
                <w:noProof/>
                <w:webHidden/>
              </w:rPr>
              <w:fldChar w:fldCharType="begin"/>
            </w:r>
            <w:r>
              <w:rPr>
                <w:noProof/>
                <w:webHidden/>
              </w:rPr>
              <w:instrText xml:space="preserve"> PAGEREF _Toc175574126 \h </w:instrText>
            </w:r>
            <w:r>
              <w:rPr>
                <w:noProof/>
                <w:webHidden/>
              </w:rPr>
            </w:r>
            <w:r>
              <w:rPr>
                <w:noProof/>
                <w:webHidden/>
              </w:rPr>
              <w:fldChar w:fldCharType="separate"/>
            </w:r>
            <w:r>
              <w:rPr>
                <w:noProof/>
                <w:webHidden/>
              </w:rPr>
              <w:t>14</w:t>
            </w:r>
            <w:r>
              <w:rPr>
                <w:noProof/>
                <w:webHidden/>
              </w:rPr>
              <w:fldChar w:fldCharType="end"/>
            </w:r>
          </w:hyperlink>
        </w:p>
        <w:p w14:paraId="0A97F9A6" w14:textId="36A36D0B"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27" w:history="1">
            <w:r w:rsidRPr="00005371">
              <w:rPr>
                <w:rStyle w:val="Hyperlink"/>
                <w:noProof/>
              </w:rPr>
              <w:t>Sponsors</w:t>
            </w:r>
            <w:r>
              <w:rPr>
                <w:noProof/>
                <w:webHidden/>
              </w:rPr>
              <w:tab/>
            </w:r>
            <w:r>
              <w:rPr>
                <w:noProof/>
                <w:webHidden/>
              </w:rPr>
              <w:fldChar w:fldCharType="begin"/>
            </w:r>
            <w:r>
              <w:rPr>
                <w:noProof/>
                <w:webHidden/>
              </w:rPr>
              <w:instrText xml:space="preserve"> PAGEREF _Toc175574127 \h </w:instrText>
            </w:r>
            <w:r>
              <w:rPr>
                <w:noProof/>
                <w:webHidden/>
              </w:rPr>
            </w:r>
            <w:r>
              <w:rPr>
                <w:noProof/>
                <w:webHidden/>
              </w:rPr>
              <w:fldChar w:fldCharType="separate"/>
            </w:r>
            <w:r>
              <w:rPr>
                <w:noProof/>
                <w:webHidden/>
              </w:rPr>
              <w:t>14</w:t>
            </w:r>
            <w:r>
              <w:rPr>
                <w:noProof/>
                <w:webHidden/>
              </w:rPr>
              <w:fldChar w:fldCharType="end"/>
            </w:r>
          </w:hyperlink>
        </w:p>
        <w:p w14:paraId="0350F8D3" w14:textId="31D8B97C" w:rsidR="008956C8" w:rsidRDefault="008956C8">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75574128" w:history="1">
            <w:r w:rsidRPr="00005371">
              <w:rPr>
                <w:rStyle w:val="Hyperlink"/>
                <w:noProof/>
              </w:rPr>
              <w:t>Provide information</w:t>
            </w:r>
            <w:r>
              <w:rPr>
                <w:noProof/>
                <w:webHidden/>
              </w:rPr>
              <w:tab/>
            </w:r>
            <w:r>
              <w:rPr>
                <w:noProof/>
                <w:webHidden/>
              </w:rPr>
              <w:fldChar w:fldCharType="begin"/>
            </w:r>
            <w:r>
              <w:rPr>
                <w:noProof/>
                <w:webHidden/>
              </w:rPr>
              <w:instrText xml:space="preserve"> PAGEREF _Toc175574128 \h </w:instrText>
            </w:r>
            <w:r>
              <w:rPr>
                <w:noProof/>
                <w:webHidden/>
              </w:rPr>
            </w:r>
            <w:r>
              <w:rPr>
                <w:noProof/>
                <w:webHidden/>
              </w:rPr>
              <w:fldChar w:fldCharType="separate"/>
            </w:r>
            <w:r>
              <w:rPr>
                <w:noProof/>
                <w:webHidden/>
              </w:rPr>
              <w:t>14</w:t>
            </w:r>
            <w:r>
              <w:rPr>
                <w:noProof/>
                <w:webHidden/>
              </w:rPr>
              <w:fldChar w:fldCharType="end"/>
            </w:r>
          </w:hyperlink>
        </w:p>
        <w:p w14:paraId="54666DE0" w14:textId="630116EA" w:rsidR="008956C8" w:rsidRDefault="008956C8">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75574129" w:history="1">
            <w:r w:rsidRPr="00005371">
              <w:rPr>
                <w:rStyle w:val="Hyperlink"/>
                <w:noProof/>
              </w:rPr>
              <w:t>Endorse the use of information</w:t>
            </w:r>
            <w:r>
              <w:rPr>
                <w:noProof/>
                <w:webHidden/>
              </w:rPr>
              <w:tab/>
            </w:r>
            <w:r>
              <w:rPr>
                <w:noProof/>
                <w:webHidden/>
              </w:rPr>
              <w:fldChar w:fldCharType="begin"/>
            </w:r>
            <w:r>
              <w:rPr>
                <w:noProof/>
                <w:webHidden/>
              </w:rPr>
              <w:instrText xml:space="preserve"> PAGEREF _Toc175574129 \h </w:instrText>
            </w:r>
            <w:r>
              <w:rPr>
                <w:noProof/>
                <w:webHidden/>
              </w:rPr>
            </w:r>
            <w:r>
              <w:rPr>
                <w:noProof/>
                <w:webHidden/>
              </w:rPr>
              <w:fldChar w:fldCharType="separate"/>
            </w:r>
            <w:r>
              <w:rPr>
                <w:noProof/>
                <w:webHidden/>
              </w:rPr>
              <w:t>14</w:t>
            </w:r>
            <w:r>
              <w:rPr>
                <w:noProof/>
                <w:webHidden/>
              </w:rPr>
              <w:fldChar w:fldCharType="end"/>
            </w:r>
          </w:hyperlink>
        </w:p>
        <w:p w14:paraId="7891FF31" w14:textId="49A59C49"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30" w:history="1">
            <w:r w:rsidRPr="00005371">
              <w:rPr>
                <w:rStyle w:val="Hyperlink"/>
                <w:noProof/>
              </w:rPr>
              <w:t>Wholesalers</w:t>
            </w:r>
            <w:r>
              <w:rPr>
                <w:noProof/>
                <w:webHidden/>
              </w:rPr>
              <w:tab/>
            </w:r>
            <w:r>
              <w:rPr>
                <w:noProof/>
                <w:webHidden/>
              </w:rPr>
              <w:fldChar w:fldCharType="begin"/>
            </w:r>
            <w:r>
              <w:rPr>
                <w:noProof/>
                <w:webHidden/>
              </w:rPr>
              <w:instrText xml:space="preserve"> PAGEREF _Toc175574130 \h </w:instrText>
            </w:r>
            <w:r>
              <w:rPr>
                <w:noProof/>
                <w:webHidden/>
              </w:rPr>
            </w:r>
            <w:r>
              <w:rPr>
                <w:noProof/>
                <w:webHidden/>
              </w:rPr>
              <w:fldChar w:fldCharType="separate"/>
            </w:r>
            <w:r>
              <w:rPr>
                <w:noProof/>
                <w:webHidden/>
              </w:rPr>
              <w:t>14</w:t>
            </w:r>
            <w:r>
              <w:rPr>
                <w:noProof/>
                <w:webHidden/>
              </w:rPr>
              <w:fldChar w:fldCharType="end"/>
            </w:r>
          </w:hyperlink>
        </w:p>
        <w:p w14:paraId="13F80353" w14:textId="2B365225" w:rsidR="008956C8" w:rsidRDefault="008956C8">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75574131" w:history="1">
            <w:r w:rsidRPr="00005371">
              <w:rPr>
                <w:rStyle w:val="Hyperlink"/>
                <w:noProof/>
              </w:rPr>
              <w:t>Provide information</w:t>
            </w:r>
            <w:r>
              <w:rPr>
                <w:noProof/>
                <w:webHidden/>
              </w:rPr>
              <w:tab/>
            </w:r>
            <w:r>
              <w:rPr>
                <w:noProof/>
                <w:webHidden/>
              </w:rPr>
              <w:fldChar w:fldCharType="begin"/>
            </w:r>
            <w:r>
              <w:rPr>
                <w:noProof/>
                <w:webHidden/>
              </w:rPr>
              <w:instrText xml:space="preserve"> PAGEREF _Toc175574131 \h </w:instrText>
            </w:r>
            <w:r>
              <w:rPr>
                <w:noProof/>
                <w:webHidden/>
              </w:rPr>
            </w:r>
            <w:r>
              <w:rPr>
                <w:noProof/>
                <w:webHidden/>
              </w:rPr>
              <w:fldChar w:fldCharType="separate"/>
            </w:r>
            <w:r>
              <w:rPr>
                <w:noProof/>
                <w:webHidden/>
              </w:rPr>
              <w:t>14</w:t>
            </w:r>
            <w:r>
              <w:rPr>
                <w:noProof/>
                <w:webHidden/>
              </w:rPr>
              <w:fldChar w:fldCharType="end"/>
            </w:r>
          </w:hyperlink>
        </w:p>
        <w:p w14:paraId="2CA438D5" w14:textId="3C79F065" w:rsidR="008956C8" w:rsidRDefault="008956C8">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75574132" w:history="1">
            <w:r w:rsidRPr="00005371">
              <w:rPr>
                <w:rStyle w:val="Hyperlink"/>
                <w:noProof/>
              </w:rPr>
              <w:t>Endorse the use of information</w:t>
            </w:r>
            <w:r>
              <w:rPr>
                <w:noProof/>
                <w:webHidden/>
              </w:rPr>
              <w:tab/>
            </w:r>
            <w:r>
              <w:rPr>
                <w:noProof/>
                <w:webHidden/>
              </w:rPr>
              <w:fldChar w:fldCharType="begin"/>
            </w:r>
            <w:r>
              <w:rPr>
                <w:noProof/>
                <w:webHidden/>
              </w:rPr>
              <w:instrText xml:space="preserve"> PAGEREF _Toc175574132 \h </w:instrText>
            </w:r>
            <w:r>
              <w:rPr>
                <w:noProof/>
                <w:webHidden/>
              </w:rPr>
            </w:r>
            <w:r>
              <w:rPr>
                <w:noProof/>
                <w:webHidden/>
              </w:rPr>
              <w:fldChar w:fldCharType="separate"/>
            </w:r>
            <w:r>
              <w:rPr>
                <w:noProof/>
                <w:webHidden/>
              </w:rPr>
              <w:t>15</w:t>
            </w:r>
            <w:r>
              <w:rPr>
                <w:noProof/>
                <w:webHidden/>
              </w:rPr>
              <w:fldChar w:fldCharType="end"/>
            </w:r>
          </w:hyperlink>
        </w:p>
        <w:p w14:paraId="33250744" w14:textId="1D5FB29D"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33" w:history="1">
            <w:r w:rsidRPr="00005371">
              <w:rPr>
                <w:rStyle w:val="Hyperlink"/>
                <w:noProof/>
              </w:rPr>
              <w:t>Private hospital sector</w:t>
            </w:r>
            <w:r>
              <w:rPr>
                <w:noProof/>
                <w:webHidden/>
              </w:rPr>
              <w:tab/>
            </w:r>
            <w:r>
              <w:rPr>
                <w:noProof/>
                <w:webHidden/>
              </w:rPr>
              <w:fldChar w:fldCharType="begin"/>
            </w:r>
            <w:r>
              <w:rPr>
                <w:noProof/>
                <w:webHidden/>
              </w:rPr>
              <w:instrText xml:space="preserve"> PAGEREF _Toc175574133 \h </w:instrText>
            </w:r>
            <w:r>
              <w:rPr>
                <w:noProof/>
                <w:webHidden/>
              </w:rPr>
            </w:r>
            <w:r>
              <w:rPr>
                <w:noProof/>
                <w:webHidden/>
              </w:rPr>
              <w:fldChar w:fldCharType="separate"/>
            </w:r>
            <w:r>
              <w:rPr>
                <w:noProof/>
                <w:webHidden/>
              </w:rPr>
              <w:t>15</w:t>
            </w:r>
            <w:r>
              <w:rPr>
                <w:noProof/>
                <w:webHidden/>
              </w:rPr>
              <w:fldChar w:fldCharType="end"/>
            </w:r>
          </w:hyperlink>
        </w:p>
        <w:p w14:paraId="2E9484E9" w14:textId="6B697476" w:rsidR="008956C8" w:rsidRDefault="008956C8">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75574134" w:history="1">
            <w:r w:rsidRPr="00005371">
              <w:rPr>
                <w:rStyle w:val="Hyperlink"/>
                <w:noProof/>
              </w:rPr>
              <w:t>Provide information</w:t>
            </w:r>
            <w:r>
              <w:rPr>
                <w:noProof/>
                <w:webHidden/>
              </w:rPr>
              <w:tab/>
            </w:r>
            <w:r>
              <w:rPr>
                <w:noProof/>
                <w:webHidden/>
              </w:rPr>
              <w:fldChar w:fldCharType="begin"/>
            </w:r>
            <w:r>
              <w:rPr>
                <w:noProof/>
                <w:webHidden/>
              </w:rPr>
              <w:instrText xml:space="preserve"> PAGEREF _Toc175574134 \h </w:instrText>
            </w:r>
            <w:r>
              <w:rPr>
                <w:noProof/>
                <w:webHidden/>
              </w:rPr>
            </w:r>
            <w:r>
              <w:rPr>
                <w:noProof/>
                <w:webHidden/>
              </w:rPr>
              <w:fldChar w:fldCharType="separate"/>
            </w:r>
            <w:r>
              <w:rPr>
                <w:noProof/>
                <w:webHidden/>
              </w:rPr>
              <w:t>15</w:t>
            </w:r>
            <w:r>
              <w:rPr>
                <w:noProof/>
                <w:webHidden/>
              </w:rPr>
              <w:fldChar w:fldCharType="end"/>
            </w:r>
          </w:hyperlink>
        </w:p>
        <w:p w14:paraId="12BBA3E2" w14:textId="35B5EF47" w:rsidR="008956C8" w:rsidRDefault="008956C8">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75574135" w:history="1">
            <w:r w:rsidRPr="00005371">
              <w:rPr>
                <w:rStyle w:val="Hyperlink"/>
                <w:noProof/>
              </w:rPr>
              <w:t>Endorse the use of information</w:t>
            </w:r>
            <w:r>
              <w:rPr>
                <w:noProof/>
                <w:webHidden/>
              </w:rPr>
              <w:tab/>
            </w:r>
            <w:r>
              <w:rPr>
                <w:noProof/>
                <w:webHidden/>
              </w:rPr>
              <w:fldChar w:fldCharType="begin"/>
            </w:r>
            <w:r>
              <w:rPr>
                <w:noProof/>
                <w:webHidden/>
              </w:rPr>
              <w:instrText xml:space="preserve"> PAGEREF _Toc175574135 \h </w:instrText>
            </w:r>
            <w:r>
              <w:rPr>
                <w:noProof/>
                <w:webHidden/>
              </w:rPr>
            </w:r>
            <w:r>
              <w:rPr>
                <w:noProof/>
                <w:webHidden/>
              </w:rPr>
              <w:fldChar w:fldCharType="separate"/>
            </w:r>
            <w:r>
              <w:rPr>
                <w:noProof/>
                <w:webHidden/>
              </w:rPr>
              <w:t>15</w:t>
            </w:r>
            <w:r>
              <w:rPr>
                <w:noProof/>
                <w:webHidden/>
              </w:rPr>
              <w:fldChar w:fldCharType="end"/>
            </w:r>
          </w:hyperlink>
        </w:p>
        <w:p w14:paraId="438AC249" w14:textId="716ADEC9"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36" w:history="1">
            <w:r w:rsidRPr="00005371">
              <w:rPr>
                <w:rStyle w:val="Hyperlink"/>
                <w:noProof/>
              </w:rPr>
              <w:t>Therapeutic Goods Administration</w:t>
            </w:r>
            <w:r>
              <w:rPr>
                <w:noProof/>
                <w:webHidden/>
              </w:rPr>
              <w:tab/>
            </w:r>
            <w:r>
              <w:rPr>
                <w:noProof/>
                <w:webHidden/>
              </w:rPr>
              <w:fldChar w:fldCharType="begin"/>
            </w:r>
            <w:r>
              <w:rPr>
                <w:noProof/>
                <w:webHidden/>
              </w:rPr>
              <w:instrText xml:space="preserve"> PAGEREF _Toc175574136 \h </w:instrText>
            </w:r>
            <w:r>
              <w:rPr>
                <w:noProof/>
                <w:webHidden/>
              </w:rPr>
            </w:r>
            <w:r>
              <w:rPr>
                <w:noProof/>
                <w:webHidden/>
              </w:rPr>
              <w:fldChar w:fldCharType="separate"/>
            </w:r>
            <w:r>
              <w:rPr>
                <w:noProof/>
                <w:webHidden/>
              </w:rPr>
              <w:t>15</w:t>
            </w:r>
            <w:r>
              <w:rPr>
                <w:noProof/>
                <w:webHidden/>
              </w:rPr>
              <w:fldChar w:fldCharType="end"/>
            </w:r>
          </w:hyperlink>
        </w:p>
        <w:p w14:paraId="3D4C324D" w14:textId="707029EA" w:rsidR="008956C8" w:rsidRDefault="008956C8">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75574137" w:history="1">
            <w:r w:rsidRPr="00005371">
              <w:rPr>
                <w:rStyle w:val="Hyperlink"/>
                <w:noProof/>
              </w:rPr>
              <w:t>How the information is treated by the TGA</w:t>
            </w:r>
            <w:r>
              <w:rPr>
                <w:noProof/>
                <w:webHidden/>
              </w:rPr>
              <w:tab/>
            </w:r>
            <w:r>
              <w:rPr>
                <w:noProof/>
                <w:webHidden/>
              </w:rPr>
              <w:fldChar w:fldCharType="begin"/>
            </w:r>
            <w:r>
              <w:rPr>
                <w:noProof/>
                <w:webHidden/>
              </w:rPr>
              <w:instrText xml:space="preserve"> PAGEREF _Toc175574137 \h </w:instrText>
            </w:r>
            <w:r>
              <w:rPr>
                <w:noProof/>
                <w:webHidden/>
              </w:rPr>
            </w:r>
            <w:r>
              <w:rPr>
                <w:noProof/>
                <w:webHidden/>
              </w:rPr>
              <w:fldChar w:fldCharType="separate"/>
            </w:r>
            <w:r>
              <w:rPr>
                <w:noProof/>
                <w:webHidden/>
              </w:rPr>
              <w:t>15</w:t>
            </w:r>
            <w:r>
              <w:rPr>
                <w:noProof/>
                <w:webHidden/>
              </w:rPr>
              <w:fldChar w:fldCharType="end"/>
            </w:r>
          </w:hyperlink>
        </w:p>
        <w:p w14:paraId="2F328E43" w14:textId="1E957AA2"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38" w:history="1">
            <w:r w:rsidRPr="00005371">
              <w:rPr>
                <w:rStyle w:val="Hyperlink"/>
                <w:noProof/>
              </w:rPr>
              <w:t>Release of information by the TGA</w:t>
            </w:r>
            <w:r>
              <w:rPr>
                <w:noProof/>
                <w:webHidden/>
              </w:rPr>
              <w:tab/>
            </w:r>
            <w:r>
              <w:rPr>
                <w:noProof/>
                <w:webHidden/>
              </w:rPr>
              <w:fldChar w:fldCharType="begin"/>
            </w:r>
            <w:r>
              <w:rPr>
                <w:noProof/>
                <w:webHidden/>
              </w:rPr>
              <w:instrText xml:space="preserve"> PAGEREF _Toc175574138 \h </w:instrText>
            </w:r>
            <w:r>
              <w:rPr>
                <w:noProof/>
                <w:webHidden/>
              </w:rPr>
            </w:r>
            <w:r>
              <w:rPr>
                <w:noProof/>
                <w:webHidden/>
              </w:rPr>
              <w:fldChar w:fldCharType="separate"/>
            </w:r>
            <w:r>
              <w:rPr>
                <w:noProof/>
                <w:webHidden/>
              </w:rPr>
              <w:t>15</w:t>
            </w:r>
            <w:r>
              <w:rPr>
                <w:noProof/>
                <w:webHidden/>
              </w:rPr>
              <w:fldChar w:fldCharType="end"/>
            </w:r>
          </w:hyperlink>
        </w:p>
        <w:p w14:paraId="41887575" w14:textId="3B0D1F50" w:rsidR="008956C8" w:rsidRDefault="008956C8">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75574139" w:history="1">
            <w:r w:rsidRPr="00005371">
              <w:rPr>
                <w:rStyle w:val="Hyperlink"/>
                <w:noProof/>
              </w:rPr>
              <w:t>Information to be released under the legislative instrument</w:t>
            </w:r>
            <w:r>
              <w:rPr>
                <w:noProof/>
                <w:webHidden/>
              </w:rPr>
              <w:tab/>
            </w:r>
            <w:r>
              <w:rPr>
                <w:noProof/>
                <w:webHidden/>
              </w:rPr>
              <w:fldChar w:fldCharType="begin"/>
            </w:r>
            <w:r>
              <w:rPr>
                <w:noProof/>
                <w:webHidden/>
              </w:rPr>
              <w:instrText xml:space="preserve"> PAGEREF _Toc175574139 \h </w:instrText>
            </w:r>
            <w:r>
              <w:rPr>
                <w:noProof/>
                <w:webHidden/>
              </w:rPr>
            </w:r>
            <w:r>
              <w:rPr>
                <w:noProof/>
                <w:webHidden/>
              </w:rPr>
              <w:fldChar w:fldCharType="separate"/>
            </w:r>
            <w:r>
              <w:rPr>
                <w:noProof/>
                <w:webHidden/>
              </w:rPr>
              <w:t>16</w:t>
            </w:r>
            <w:r>
              <w:rPr>
                <w:noProof/>
                <w:webHidden/>
              </w:rPr>
              <w:fldChar w:fldCharType="end"/>
            </w:r>
          </w:hyperlink>
        </w:p>
        <w:p w14:paraId="2B0EF088" w14:textId="003A538A" w:rsidR="008956C8" w:rsidRDefault="008956C8">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75574140" w:history="1">
            <w:r w:rsidRPr="00005371">
              <w:rPr>
                <w:rStyle w:val="Hyperlink"/>
                <w:noProof/>
              </w:rPr>
              <w:t>Release of related information under an existing framework</w:t>
            </w:r>
            <w:r>
              <w:rPr>
                <w:noProof/>
                <w:webHidden/>
              </w:rPr>
              <w:tab/>
            </w:r>
            <w:r>
              <w:rPr>
                <w:noProof/>
                <w:webHidden/>
              </w:rPr>
              <w:fldChar w:fldCharType="begin"/>
            </w:r>
            <w:r>
              <w:rPr>
                <w:noProof/>
                <w:webHidden/>
              </w:rPr>
              <w:instrText xml:space="preserve"> PAGEREF _Toc175574140 \h </w:instrText>
            </w:r>
            <w:r>
              <w:rPr>
                <w:noProof/>
                <w:webHidden/>
              </w:rPr>
            </w:r>
            <w:r>
              <w:rPr>
                <w:noProof/>
                <w:webHidden/>
              </w:rPr>
              <w:fldChar w:fldCharType="separate"/>
            </w:r>
            <w:r>
              <w:rPr>
                <w:noProof/>
                <w:webHidden/>
              </w:rPr>
              <w:t>18</w:t>
            </w:r>
            <w:r>
              <w:rPr>
                <w:noProof/>
                <w:webHidden/>
              </w:rPr>
              <w:fldChar w:fldCharType="end"/>
            </w:r>
          </w:hyperlink>
        </w:p>
        <w:p w14:paraId="772E61E0" w14:textId="1CA64073" w:rsidR="008956C8" w:rsidRDefault="008956C8">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75574141" w:history="1">
            <w:r w:rsidRPr="00005371">
              <w:rPr>
                <w:rStyle w:val="Hyperlink"/>
                <w:noProof/>
              </w:rPr>
              <w:t>Confidentiality</w:t>
            </w:r>
            <w:r>
              <w:rPr>
                <w:noProof/>
                <w:webHidden/>
              </w:rPr>
              <w:tab/>
            </w:r>
            <w:r>
              <w:rPr>
                <w:noProof/>
                <w:webHidden/>
              </w:rPr>
              <w:fldChar w:fldCharType="begin"/>
            </w:r>
            <w:r>
              <w:rPr>
                <w:noProof/>
                <w:webHidden/>
              </w:rPr>
              <w:instrText xml:space="preserve"> PAGEREF _Toc175574141 \h </w:instrText>
            </w:r>
            <w:r>
              <w:rPr>
                <w:noProof/>
                <w:webHidden/>
              </w:rPr>
            </w:r>
            <w:r>
              <w:rPr>
                <w:noProof/>
                <w:webHidden/>
              </w:rPr>
              <w:fldChar w:fldCharType="separate"/>
            </w:r>
            <w:r>
              <w:rPr>
                <w:noProof/>
                <w:webHidden/>
              </w:rPr>
              <w:t>18</w:t>
            </w:r>
            <w:r>
              <w:rPr>
                <w:noProof/>
                <w:webHidden/>
              </w:rPr>
              <w:fldChar w:fldCharType="end"/>
            </w:r>
          </w:hyperlink>
        </w:p>
        <w:p w14:paraId="496DD1B9" w14:textId="4B2AE761"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42" w:history="1">
            <w:r w:rsidRPr="00005371">
              <w:rPr>
                <w:rStyle w:val="Hyperlink"/>
                <w:noProof/>
              </w:rPr>
              <w:t>Fictitious case study – our process applied</w:t>
            </w:r>
            <w:r>
              <w:rPr>
                <w:noProof/>
                <w:webHidden/>
              </w:rPr>
              <w:tab/>
            </w:r>
            <w:r>
              <w:rPr>
                <w:noProof/>
                <w:webHidden/>
              </w:rPr>
              <w:fldChar w:fldCharType="begin"/>
            </w:r>
            <w:r>
              <w:rPr>
                <w:noProof/>
                <w:webHidden/>
              </w:rPr>
              <w:instrText xml:space="preserve"> PAGEREF _Toc175574142 \h </w:instrText>
            </w:r>
            <w:r>
              <w:rPr>
                <w:noProof/>
                <w:webHidden/>
              </w:rPr>
            </w:r>
            <w:r>
              <w:rPr>
                <w:noProof/>
                <w:webHidden/>
              </w:rPr>
              <w:fldChar w:fldCharType="separate"/>
            </w:r>
            <w:r>
              <w:rPr>
                <w:noProof/>
                <w:webHidden/>
              </w:rPr>
              <w:t>18</w:t>
            </w:r>
            <w:r>
              <w:rPr>
                <w:noProof/>
                <w:webHidden/>
              </w:rPr>
              <w:fldChar w:fldCharType="end"/>
            </w:r>
          </w:hyperlink>
        </w:p>
        <w:p w14:paraId="15139015" w14:textId="4258D2E2" w:rsidR="008956C8" w:rsidRDefault="008956C8">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5574143" w:history="1">
            <w:r w:rsidRPr="00005371">
              <w:rPr>
                <w:rStyle w:val="Hyperlink"/>
                <w:noProof/>
              </w:rPr>
              <w:t>Attachment A</w:t>
            </w:r>
            <w:r>
              <w:rPr>
                <w:noProof/>
                <w:webHidden/>
              </w:rPr>
              <w:tab/>
            </w:r>
            <w:r>
              <w:rPr>
                <w:noProof/>
                <w:webHidden/>
              </w:rPr>
              <w:fldChar w:fldCharType="begin"/>
            </w:r>
            <w:r>
              <w:rPr>
                <w:noProof/>
                <w:webHidden/>
              </w:rPr>
              <w:instrText xml:space="preserve"> PAGEREF _Toc175574143 \h </w:instrText>
            </w:r>
            <w:r>
              <w:rPr>
                <w:noProof/>
                <w:webHidden/>
              </w:rPr>
            </w:r>
            <w:r>
              <w:rPr>
                <w:noProof/>
                <w:webHidden/>
              </w:rPr>
              <w:fldChar w:fldCharType="separate"/>
            </w:r>
            <w:r>
              <w:rPr>
                <w:noProof/>
                <w:webHidden/>
              </w:rPr>
              <w:t>20</w:t>
            </w:r>
            <w:r>
              <w:rPr>
                <w:noProof/>
                <w:webHidden/>
              </w:rPr>
              <w:fldChar w:fldCharType="end"/>
            </w:r>
          </w:hyperlink>
        </w:p>
        <w:p w14:paraId="2A8B425B" w14:textId="29D15889"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44" w:history="1">
            <w:r w:rsidRPr="00005371">
              <w:rPr>
                <w:rStyle w:val="Hyperlink"/>
                <w:noProof/>
              </w:rPr>
              <w:t>Example de-identified aggregated visual</w:t>
            </w:r>
            <w:r>
              <w:rPr>
                <w:noProof/>
                <w:webHidden/>
              </w:rPr>
              <w:tab/>
            </w:r>
            <w:r>
              <w:rPr>
                <w:noProof/>
                <w:webHidden/>
              </w:rPr>
              <w:fldChar w:fldCharType="begin"/>
            </w:r>
            <w:r>
              <w:rPr>
                <w:noProof/>
                <w:webHidden/>
              </w:rPr>
              <w:instrText xml:space="preserve"> PAGEREF _Toc175574144 \h </w:instrText>
            </w:r>
            <w:r>
              <w:rPr>
                <w:noProof/>
                <w:webHidden/>
              </w:rPr>
            </w:r>
            <w:r>
              <w:rPr>
                <w:noProof/>
                <w:webHidden/>
              </w:rPr>
              <w:fldChar w:fldCharType="separate"/>
            </w:r>
            <w:r>
              <w:rPr>
                <w:noProof/>
                <w:webHidden/>
              </w:rPr>
              <w:t>20</w:t>
            </w:r>
            <w:r>
              <w:rPr>
                <w:noProof/>
                <w:webHidden/>
              </w:rPr>
              <w:fldChar w:fldCharType="end"/>
            </w:r>
          </w:hyperlink>
        </w:p>
        <w:p w14:paraId="3B7D76E6" w14:textId="2B32B17E" w:rsidR="008956C8" w:rsidRDefault="008956C8">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5574145" w:history="1">
            <w:r w:rsidRPr="00005371">
              <w:rPr>
                <w:rStyle w:val="Hyperlink"/>
                <w:noProof/>
              </w:rPr>
              <w:t>Attachment B</w:t>
            </w:r>
            <w:r>
              <w:rPr>
                <w:noProof/>
                <w:webHidden/>
              </w:rPr>
              <w:tab/>
            </w:r>
            <w:r>
              <w:rPr>
                <w:noProof/>
                <w:webHidden/>
              </w:rPr>
              <w:fldChar w:fldCharType="begin"/>
            </w:r>
            <w:r>
              <w:rPr>
                <w:noProof/>
                <w:webHidden/>
              </w:rPr>
              <w:instrText xml:space="preserve"> PAGEREF _Toc175574145 \h </w:instrText>
            </w:r>
            <w:r>
              <w:rPr>
                <w:noProof/>
                <w:webHidden/>
              </w:rPr>
            </w:r>
            <w:r>
              <w:rPr>
                <w:noProof/>
                <w:webHidden/>
              </w:rPr>
              <w:fldChar w:fldCharType="separate"/>
            </w:r>
            <w:r>
              <w:rPr>
                <w:noProof/>
                <w:webHidden/>
              </w:rPr>
              <w:t>21</w:t>
            </w:r>
            <w:r>
              <w:rPr>
                <w:noProof/>
                <w:webHidden/>
              </w:rPr>
              <w:fldChar w:fldCharType="end"/>
            </w:r>
          </w:hyperlink>
        </w:p>
        <w:p w14:paraId="5747273A" w14:textId="36909195" w:rsidR="008956C8" w:rsidRDefault="008956C8">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75574146" w:history="1">
            <w:r w:rsidRPr="00005371">
              <w:rPr>
                <w:rStyle w:val="Hyperlink"/>
                <w:noProof/>
              </w:rPr>
              <w:t>Example of public information release</w:t>
            </w:r>
            <w:r>
              <w:rPr>
                <w:noProof/>
                <w:webHidden/>
              </w:rPr>
              <w:tab/>
            </w:r>
            <w:r>
              <w:rPr>
                <w:noProof/>
                <w:webHidden/>
              </w:rPr>
              <w:fldChar w:fldCharType="begin"/>
            </w:r>
            <w:r>
              <w:rPr>
                <w:noProof/>
                <w:webHidden/>
              </w:rPr>
              <w:instrText xml:space="preserve"> PAGEREF _Toc175574146 \h </w:instrText>
            </w:r>
            <w:r>
              <w:rPr>
                <w:noProof/>
                <w:webHidden/>
              </w:rPr>
            </w:r>
            <w:r>
              <w:rPr>
                <w:noProof/>
                <w:webHidden/>
              </w:rPr>
              <w:fldChar w:fldCharType="separate"/>
            </w:r>
            <w:r>
              <w:rPr>
                <w:noProof/>
                <w:webHidden/>
              </w:rPr>
              <w:t>21</w:t>
            </w:r>
            <w:r>
              <w:rPr>
                <w:noProof/>
                <w:webHidden/>
              </w:rPr>
              <w:fldChar w:fldCharType="end"/>
            </w:r>
          </w:hyperlink>
        </w:p>
        <w:p w14:paraId="247C43EA" w14:textId="5FB8B575" w:rsidR="00F02AEC" w:rsidRPr="00215D48" w:rsidRDefault="00F02AEC" w:rsidP="00CE6085">
          <w:r w:rsidRPr="00215D48">
            <w:fldChar w:fldCharType="end"/>
          </w:r>
        </w:p>
      </w:sdtContent>
    </w:sdt>
    <w:p w14:paraId="4E462466" w14:textId="77777777" w:rsidR="00F02AEC" w:rsidRPr="00215D48" w:rsidRDefault="00F02AEC" w:rsidP="00CE6085">
      <w:r w:rsidRPr="00215D48">
        <w:br w:type="page"/>
      </w:r>
    </w:p>
    <w:p w14:paraId="4D6972FC" w14:textId="627EF0A1" w:rsidR="003943A7" w:rsidRPr="00092BF5" w:rsidRDefault="003943A7" w:rsidP="00DC5D6F">
      <w:pPr>
        <w:pStyle w:val="Heading2"/>
      </w:pPr>
      <w:bookmarkStart w:id="0" w:name="_Toc323739589"/>
      <w:bookmarkStart w:id="1" w:name="_Toc356305216"/>
      <w:bookmarkStart w:id="2" w:name="_Toc175574112"/>
      <w:r w:rsidRPr="00DC5D6F">
        <w:lastRenderedPageBreak/>
        <w:t>Background</w:t>
      </w:r>
      <w:bookmarkEnd w:id="2"/>
    </w:p>
    <w:p w14:paraId="276CB931" w14:textId="00BBF14F" w:rsidR="006137E4" w:rsidRDefault="006137E4" w:rsidP="00DC5D6F">
      <w:r>
        <w:t xml:space="preserve">The purpose of this document is to create a framework that will allow us to share information to better manage the most serious national shortages. Modelling of up-to-date supply and demand data allows us to test shortage management scenarios to find the best approach for a </w:t>
      </w:r>
      <w:r w:rsidR="00AF0156">
        <w:t>specific shortage incident</w:t>
      </w:r>
      <w:r>
        <w:t>. The sharing of information under this framework is voluntary.</w:t>
      </w:r>
      <w:r w:rsidR="001D6B03">
        <w:t xml:space="preserve"> </w:t>
      </w:r>
      <w:r w:rsidR="00CE7F76">
        <w:t xml:space="preserve">In our experience supply chain participants have voluntarily shared data to assist with the management of serious national shortage incidents in the interest of achieving best outcomes for Australian patients. </w:t>
      </w:r>
      <w:r>
        <w:t xml:space="preserve">The </w:t>
      </w:r>
      <w:r w:rsidR="00A42C48">
        <w:t>D</w:t>
      </w:r>
      <w:r>
        <w:t xml:space="preserve">ata-sharing </w:t>
      </w:r>
      <w:r w:rsidR="00FE5CA5">
        <w:t>framework</w:t>
      </w:r>
      <w:r>
        <w:t xml:space="preserve"> appl</w:t>
      </w:r>
      <w:r w:rsidR="00FE5CA5">
        <w:t>ies</w:t>
      </w:r>
      <w:r>
        <w:t xml:space="preserve"> alongside the </w:t>
      </w:r>
      <w:r w:rsidRPr="4D98A817">
        <w:t>TGA</w:t>
      </w:r>
      <w:r>
        <w:t xml:space="preserve">’s functions and powers under the </w:t>
      </w:r>
      <w:r>
        <w:rPr>
          <w:i/>
          <w:iCs/>
        </w:rPr>
        <w:t>Therapeutic Goods Act 1989</w:t>
      </w:r>
      <w:r>
        <w:t xml:space="preserve"> (The Act).</w:t>
      </w:r>
    </w:p>
    <w:p w14:paraId="3AE2423B" w14:textId="1FC91D44" w:rsidR="003943A7" w:rsidRDefault="003943A7" w:rsidP="00DC5D6F">
      <w:r>
        <w:t>T</w:t>
      </w:r>
      <w:r w:rsidRPr="003943A7">
        <w:t xml:space="preserve">he </w:t>
      </w:r>
      <w:r w:rsidR="00F91A06" w:rsidRPr="4D98A817">
        <w:t>Therapeutic Goods Administration (TGA)</w:t>
      </w:r>
      <w:r w:rsidR="00F91A06">
        <w:t xml:space="preserve"> launched the </w:t>
      </w:r>
      <w:r w:rsidRPr="003943A7">
        <w:t xml:space="preserve">Dynamic Model </w:t>
      </w:r>
      <w:r w:rsidR="009E23F5">
        <w:t>of</w:t>
      </w:r>
      <w:r w:rsidRPr="003943A7">
        <w:t xml:space="preserve"> Medicine Availability (</w:t>
      </w:r>
      <w:r w:rsidR="00231533">
        <w:t>DMMA</w:t>
      </w:r>
      <w:r w:rsidR="00492BF4">
        <w:t>)</w:t>
      </w:r>
      <w:r w:rsidR="00231533">
        <w:t xml:space="preserve"> version 1.0</w:t>
      </w:r>
      <w:r w:rsidR="002C65E6">
        <w:t xml:space="preserve"> (the </w:t>
      </w:r>
      <w:r w:rsidR="00672E59">
        <w:t>Intensive Care Unit [</w:t>
      </w:r>
      <w:r w:rsidR="00AA5BB0" w:rsidRPr="00672E59">
        <w:t>ICU</w:t>
      </w:r>
      <w:r w:rsidR="00672E59">
        <w:t>]</w:t>
      </w:r>
      <w:r w:rsidR="00AA5BB0">
        <w:t xml:space="preserve"> </w:t>
      </w:r>
      <w:r w:rsidRPr="003943A7">
        <w:t>Model) in December 2020</w:t>
      </w:r>
      <w:r w:rsidR="00231533">
        <w:t xml:space="preserve">. This was initially developed </w:t>
      </w:r>
      <w:r>
        <w:t>in</w:t>
      </w:r>
      <w:r w:rsidR="000D1F62">
        <w:t xml:space="preserve"> </w:t>
      </w:r>
      <w:r>
        <w:t>response to the</w:t>
      </w:r>
      <w:r w:rsidR="00672E59">
        <w:t xml:space="preserve"> COVID-19</w:t>
      </w:r>
      <w:r>
        <w:t xml:space="preserve"> pandemic</w:t>
      </w:r>
      <w:r w:rsidR="00231533">
        <w:t xml:space="preserve"> to provide </w:t>
      </w:r>
      <w:r w:rsidRPr="003943A7">
        <w:t>a national approach to forecast the availability of medicines</w:t>
      </w:r>
      <w:r w:rsidR="00231533">
        <w:t xml:space="preserve"> for </w:t>
      </w:r>
      <w:r w:rsidR="00492BF4">
        <w:t xml:space="preserve">COVID-19 </w:t>
      </w:r>
      <w:r w:rsidR="00231533">
        <w:t>patients in ICU</w:t>
      </w:r>
      <w:r>
        <w:t>.</w:t>
      </w:r>
    </w:p>
    <w:p w14:paraId="45ADFAA1" w14:textId="6835D0DC" w:rsidR="00231533" w:rsidRPr="00231533" w:rsidRDefault="00B32381" w:rsidP="00DC5D6F">
      <w:r>
        <w:t>We incorporated the lessons learned from the</w:t>
      </w:r>
      <w:r w:rsidR="008C21DA">
        <w:t xml:space="preserve"> COVID-19 pandemic</w:t>
      </w:r>
      <w:r>
        <w:t xml:space="preserve"> ICU modelling to create a</w:t>
      </w:r>
      <w:r w:rsidR="00231533" w:rsidRPr="00231533">
        <w:t xml:space="preserve"> second version of th</w:t>
      </w:r>
      <w:r w:rsidR="00231533">
        <w:t>is model</w:t>
      </w:r>
      <w:r>
        <w:t>.</w:t>
      </w:r>
      <w:r w:rsidR="00F53A01">
        <w:t xml:space="preserve"> </w:t>
      </w:r>
      <w:r w:rsidR="00231533" w:rsidRPr="00231533">
        <w:t>DMMA v</w:t>
      </w:r>
      <w:r w:rsidR="00231533">
        <w:t xml:space="preserve">ersion </w:t>
      </w:r>
      <w:r w:rsidR="00231533" w:rsidRPr="00231533">
        <w:t>2.0</w:t>
      </w:r>
      <w:r w:rsidR="00F53A01">
        <w:t xml:space="preserve"> </w:t>
      </w:r>
      <w:r w:rsidR="00231533" w:rsidRPr="00231533">
        <w:t>has expanded scope and flexibility</w:t>
      </w:r>
      <w:r w:rsidR="00231533">
        <w:t xml:space="preserve"> </w:t>
      </w:r>
      <w:r w:rsidR="00231533" w:rsidRPr="00231533">
        <w:t>to identify, predict and quantify shortages</w:t>
      </w:r>
      <w:r w:rsidR="00231533">
        <w:t xml:space="preserve"> </w:t>
      </w:r>
      <w:r w:rsidR="00231533" w:rsidRPr="00231533">
        <w:t xml:space="preserve">of </w:t>
      </w:r>
      <w:r w:rsidR="00231533" w:rsidRPr="00604BF6">
        <w:rPr>
          <w:i/>
          <w:iCs/>
        </w:rPr>
        <w:t>any</w:t>
      </w:r>
      <w:r w:rsidR="00231533" w:rsidRPr="00231533">
        <w:t xml:space="preserve"> medicine used in </w:t>
      </w:r>
      <w:r w:rsidR="00231533">
        <w:t xml:space="preserve">a </w:t>
      </w:r>
      <w:r w:rsidR="00231533" w:rsidRPr="00231533">
        <w:t>hospital</w:t>
      </w:r>
      <w:r w:rsidR="00231533">
        <w:t xml:space="preserve"> setting</w:t>
      </w:r>
      <w:r w:rsidR="00231533" w:rsidRPr="00231533">
        <w:t>. Th</w:t>
      </w:r>
      <w:r w:rsidR="00231533">
        <w:t>is new version</w:t>
      </w:r>
      <w:r w:rsidR="00231533" w:rsidRPr="00231533">
        <w:t xml:space="preserve"> allows </w:t>
      </w:r>
      <w:r w:rsidR="00231533">
        <w:t xml:space="preserve">for </w:t>
      </w:r>
      <w:r w:rsidR="00231533" w:rsidRPr="00231533">
        <w:t xml:space="preserve">multiple demand and supply inputs </w:t>
      </w:r>
      <w:r w:rsidR="00231533">
        <w:t xml:space="preserve">relating to stock. It also </w:t>
      </w:r>
      <w:r w:rsidR="007F4B45">
        <w:t xml:space="preserve">allows </w:t>
      </w:r>
      <w:r w:rsidR="00231533">
        <w:t>inclu</w:t>
      </w:r>
      <w:r w:rsidR="007F4B45">
        <w:t>sion of</w:t>
      </w:r>
      <w:r w:rsidR="00231533">
        <w:t xml:space="preserve"> extra</w:t>
      </w:r>
      <w:r w:rsidR="00231533" w:rsidRPr="00231533">
        <w:t xml:space="preserve"> parameters such as indication and </w:t>
      </w:r>
      <w:r w:rsidR="00231533">
        <w:t xml:space="preserve">hospital </w:t>
      </w:r>
      <w:r w:rsidR="00C60985">
        <w:t xml:space="preserve">use </w:t>
      </w:r>
      <w:r w:rsidR="00231533">
        <w:t>area</w:t>
      </w:r>
      <w:r w:rsidR="00231533" w:rsidRPr="00231533">
        <w:t xml:space="preserve"> </w:t>
      </w:r>
      <w:r w:rsidR="00231533">
        <w:t xml:space="preserve">for </w:t>
      </w:r>
      <w:r w:rsidR="00231533" w:rsidRPr="00231533">
        <w:t>whe</w:t>
      </w:r>
      <w:r w:rsidR="00231533">
        <w:t>n</w:t>
      </w:r>
      <w:r w:rsidR="00231533" w:rsidRPr="00231533">
        <w:t xml:space="preserve"> more granular information is available and necessary to inform shortage management strategies.</w:t>
      </w:r>
    </w:p>
    <w:p w14:paraId="2F88D6E5" w14:textId="1EEE59C1" w:rsidR="00231533" w:rsidRDefault="00FE5CA5" w:rsidP="00DC5D6F">
      <w:r>
        <w:t>T</w:t>
      </w:r>
      <w:r w:rsidR="00702AD9">
        <w:t>his document</w:t>
      </w:r>
      <w:r w:rsidR="00231533">
        <w:t xml:space="preserve"> provide</w:t>
      </w:r>
      <w:r>
        <w:t>s</w:t>
      </w:r>
      <w:r w:rsidR="00231533">
        <w:t xml:space="preserve"> the framework for data</w:t>
      </w:r>
      <w:r w:rsidR="00D65BF0">
        <w:t>-</w:t>
      </w:r>
      <w:r w:rsidR="00231533">
        <w:t xml:space="preserve">sharing under </w:t>
      </w:r>
      <w:r w:rsidR="00231533" w:rsidRPr="00231533">
        <w:t>DMMA v</w:t>
      </w:r>
      <w:r w:rsidR="00231533">
        <w:t xml:space="preserve">ersion </w:t>
      </w:r>
      <w:r w:rsidR="00231533" w:rsidRPr="00231533">
        <w:t>2.0</w:t>
      </w:r>
      <w:r w:rsidR="00231533">
        <w:t>. The</w:t>
      </w:r>
      <w:r w:rsidR="003A2465">
        <w:t xml:space="preserve"> </w:t>
      </w:r>
      <w:r w:rsidR="00A42C48">
        <w:t>F</w:t>
      </w:r>
      <w:r>
        <w:t>ramework</w:t>
      </w:r>
      <w:r w:rsidR="00702AD9">
        <w:t xml:space="preserve"> </w:t>
      </w:r>
      <w:r w:rsidR="00A943E2">
        <w:t>replace</w:t>
      </w:r>
      <w:r>
        <w:t>s</w:t>
      </w:r>
      <w:r w:rsidR="00A943E2">
        <w:t xml:space="preserve"> the Protocol for National Use</w:t>
      </w:r>
      <w:r w:rsidR="00764864">
        <w:rPr>
          <w:rStyle w:val="FootnoteReference"/>
        </w:rPr>
        <w:footnoteReference w:id="1"/>
      </w:r>
      <w:r w:rsidR="00A943E2">
        <w:t xml:space="preserve"> </w:t>
      </w:r>
      <w:r w:rsidR="00231533">
        <w:t xml:space="preserve">which </w:t>
      </w:r>
      <w:r w:rsidR="00BC69A0">
        <w:t xml:space="preserve">provided the framework for </w:t>
      </w:r>
      <w:r w:rsidR="00A943E2">
        <w:t>data</w:t>
      </w:r>
      <w:r w:rsidR="00D65BF0">
        <w:t>-</w:t>
      </w:r>
      <w:r w:rsidR="00A943E2">
        <w:t xml:space="preserve">sharing </w:t>
      </w:r>
      <w:r w:rsidR="00231533">
        <w:t xml:space="preserve">under version 1.0 of </w:t>
      </w:r>
      <w:r w:rsidR="00A943E2">
        <w:t>the model.</w:t>
      </w:r>
    </w:p>
    <w:p w14:paraId="485F7BD0" w14:textId="38F5FABC" w:rsidR="003943A7" w:rsidRDefault="00231533" w:rsidP="00DC5D6F">
      <w:r>
        <w:t xml:space="preserve">Under </w:t>
      </w:r>
      <w:r w:rsidR="00AB5937">
        <w:t>this</w:t>
      </w:r>
      <w:r w:rsidR="00D766E1">
        <w:t xml:space="preserve"> </w:t>
      </w:r>
      <w:r w:rsidR="003D1552">
        <w:t xml:space="preserve">new </w:t>
      </w:r>
      <w:r w:rsidR="00D766E1">
        <w:t>framework</w:t>
      </w:r>
      <w:r w:rsidR="00F91A06">
        <w:t>,</w:t>
      </w:r>
      <w:r w:rsidR="2D5B77BD">
        <w:t xml:space="preserve"> </w:t>
      </w:r>
      <w:r w:rsidR="00FA2ECE">
        <w:t xml:space="preserve">we will approach </w:t>
      </w:r>
      <w:r w:rsidR="469D8E4D">
        <w:t>data provider</w:t>
      </w:r>
      <w:r w:rsidR="00C117E0">
        <w:t>s</w:t>
      </w:r>
      <w:r w:rsidR="00D766E1">
        <w:t xml:space="preserve"> </w:t>
      </w:r>
      <w:r w:rsidR="00ED215F">
        <w:t xml:space="preserve">to </w:t>
      </w:r>
      <w:r w:rsidR="00F91A06">
        <w:t>share</w:t>
      </w:r>
      <w:r w:rsidR="00B903AC">
        <w:t xml:space="preserve"> </w:t>
      </w:r>
      <w:r w:rsidR="469D8E4D">
        <w:t xml:space="preserve">medicine supply and demand data </w:t>
      </w:r>
      <w:r w:rsidR="0892DD2E">
        <w:t>held by the</w:t>
      </w:r>
      <w:r w:rsidR="00D766E1">
        <w:t>m</w:t>
      </w:r>
      <w:r w:rsidR="61D4E8EB">
        <w:t xml:space="preserve"> </w:t>
      </w:r>
      <w:r w:rsidR="00F91A06">
        <w:t>about</w:t>
      </w:r>
      <w:r w:rsidR="61D4E8EB">
        <w:t xml:space="preserve"> specific medicines</w:t>
      </w:r>
      <w:r w:rsidR="003D1552">
        <w:t xml:space="preserve"> or groups of medicines</w:t>
      </w:r>
      <w:r w:rsidR="7B41BEC0">
        <w:t xml:space="preserve">. </w:t>
      </w:r>
      <w:r>
        <w:t>This will allow</w:t>
      </w:r>
      <w:r w:rsidR="0892DD2E">
        <w:t xml:space="preserve"> the </w:t>
      </w:r>
      <w:r w:rsidR="61D4E8EB">
        <w:t>availability</w:t>
      </w:r>
      <w:r w:rsidR="0892DD2E">
        <w:t xml:space="preserve"> of these medicines </w:t>
      </w:r>
      <w:r>
        <w:t xml:space="preserve">to </w:t>
      </w:r>
      <w:r w:rsidR="009F2D54">
        <w:t>b</w:t>
      </w:r>
      <w:r w:rsidR="0892DD2E">
        <w:t xml:space="preserve">e monitored at a national level and </w:t>
      </w:r>
      <w:r>
        <w:t xml:space="preserve">help to </w:t>
      </w:r>
      <w:r w:rsidR="0892DD2E">
        <w:t xml:space="preserve">forecast </w:t>
      </w:r>
      <w:r>
        <w:t xml:space="preserve">and </w:t>
      </w:r>
      <w:r w:rsidR="2069D88B">
        <w:t xml:space="preserve">manage medicine </w:t>
      </w:r>
      <w:r>
        <w:t xml:space="preserve">shortages </w:t>
      </w:r>
      <w:r w:rsidR="2069D88B">
        <w:t>in Australia</w:t>
      </w:r>
      <w:r w:rsidR="2CE0A62F">
        <w:t>.</w:t>
      </w:r>
      <w:r w:rsidR="00B710F5">
        <w:t xml:space="preserve"> </w:t>
      </w:r>
      <w:r w:rsidR="00996527">
        <w:t xml:space="preserve">Availability of more </w:t>
      </w:r>
      <w:r w:rsidR="004839D6">
        <w:t xml:space="preserve">granular and current </w:t>
      </w:r>
      <w:r w:rsidR="00996527">
        <w:t xml:space="preserve">information </w:t>
      </w:r>
      <w:r w:rsidR="00D6397D">
        <w:t xml:space="preserve">will increase resilience </w:t>
      </w:r>
      <w:r w:rsidR="004839D6">
        <w:t xml:space="preserve">of the pharmaceutical supply chain </w:t>
      </w:r>
      <w:r w:rsidR="008C05D1">
        <w:t xml:space="preserve">by </w:t>
      </w:r>
      <w:r w:rsidR="00FD3F7D">
        <w:t xml:space="preserve">helping us manage serious shortages better </w:t>
      </w:r>
      <w:r w:rsidR="004839D6">
        <w:t xml:space="preserve">and </w:t>
      </w:r>
      <w:r w:rsidR="00FD3F7D">
        <w:t xml:space="preserve">will </w:t>
      </w:r>
      <w:r w:rsidR="004839D6">
        <w:t xml:space="preserve">ensure stakeholders </w:t>
      </w:r>
      <w:r w:rsidR="008F0D15">
        <w:t xml:space="preserve">have the information they need to help manage </w:t>
      </w:r>
      <w:r w:rsidR="00FD3F7D">
        <w:t xml:space="preserve">such </w:t>
      </w:r>
      <w:r w:rsidR="008F0D15">
        <w:t>shortages effectively</w:t>
      </w:r>
      <w:r w:rsidR="001A340A">
        <w:t>, for example through effective conservation measures</w:t>
      </w:r>
      <w:r w:rsidR="008F0D15">
        <w:t>.</w:t>
      </w:r>
    </w:p>
    <w:p w14:paraId="464C50C8" w14:textId="078D52D3" w:rsidR="000D1F62" w:rsidRDefault="00CF1889" w:rsidP="00DC5D6F">
      <w:pPr>
        <w:pStyle w:val="Heading2"/>
      </w:pPr>
      <w:bookmarkStart w:id="3" w:name="_Toc175574113"/>
      <w:r>
        <w:t>About data</w:t>
      </w:r>
      <w:r w:rsidR="00D65BF0">
        <w:t>-</w:t>
      </w:r>
      <w:r w:rsidRPr="00DC5D6F">
        <w:t>sharing</w:t>
      </w:r>
      <w:bookmarkEnd w:id="3"/>
    </w:p>
    <w:p w14:paraId="7987464C" w14:textId="48EE3911" w:rsidR="00213691" w:rsidRPr="001D44FF" w:rsidRDefault="00CF1889" w:rsidP="00DC5D6F">
      <w:r w:rsidRPr="001D44FF">
        <w:t>Th</w:t>
      </w:r>
      <w:r w:rsidR="00761A90">
        <w:t>e</w:t>
      </w:r>
      <w:r w:rsidR="00A56223">
        <w:t xml:space="preserve"> objective</w:t>
      </w:r>
      <w:r w:rsidR="00EE65F2">
        <w:t>s</w:t>
      </w:r>
      <w:r w:rsidR="00A56223">
        <w:t xml:space="preserve"> of this </w:t>
      </w:r>
      <w:r w:rsidR="00AB5937">
        <w:t>framework</w:t>
      </w:r>
      <w:r w:rsidR="00A56223">
        <w:t xml:space="preserve"> </w:t>
      </w:r>
      <w:r w:rsidR="00EE65F2">
        <w:t>are</w:t>
      </w:r>
      <w:r w:rsidR="00A56223">
        <w:t xml:space="preserve"> </w:t>
      </w:r>
      <w:r w:rsidR="00213691" w:rsidRPr="001D44FF">
        <w:t xml:space="preserve">to share </w:t>
      </w:r>
      <w:r w:rsidR="00B730D0" w:rsidRPr="001D44FF">
        <w:t xml:space="preserve">data </w:t>
      </w:r>
      <w:r w:rsidR="001D44FF" w:rsidRPr="001D44FF">
        <w:t xml:space="preserve">in response to serious current or </w:t>
      </w:r>
      <w:r w:rsidR="00231533" w:rsidRPr="001D44FF">
        <w:t>emerg</w:t>
      </w:r>
      <w:r w:rsidR="00231533">
        <w:t>ing</w:t>
      </w:r>
      <w:r w:rsidR="00231533" w:rsidRPr="001D44FF">
        <w:t xml:space="preserve"> </w:t>
      </w:r>
      <w:r w:rsidR="001D44FF" w:rsidRPr="001D44FF">
        <w:t>shortages</w:t>
      </w:r>
      <w:r w:rsidR="00A53B01">
        <w:t xml:space="preserve"> </w:t>
      </w:r>
      <w:r w:rsidR="002A5512">
        <w:t>and</w:t>
      </w:r>
      <w:r w:rsidR="00A53B01">
        <w:t xml:space="preserve"> </w:t>
      </w:r>
      <w:r w:rsidR="001D44FF" w:rsidRPr="001D44FF">
        <w:t xml:space="preserve">prevent </w:t>
      </w:r>
      <w:r w:rsidR="00492BF4">
        <w:t xml:space="preserve">and manage </w:t>
      </w:r>
      <w:r w:rsidR="001D44FF" w:rsidRPr="001D44FF">
        <w:t>serious shortages</w:t>
      </w:r>
      <w:r w:rsidR="00F723E3">
        <w:t>. This will be achieved by the sharing of information</w:t>
      </w:r>
      <w:r w:rsidR="00213691" w:rsidRPr="001D44FF">
        <w:t>:</w:t>
      </w:r>
    </w:p>
    <w:p w14:paraId="73C95181" w14:textId="3AB0D310" w:rsidR="000D1F62" w:rsidRPr="00E344A9" w:rsidRDefault="54376C57" w:rsidP="00E344A9">
      <w:pPr>
        <w:pStyle w:val="ListBullet"/>
      </w:pPr>
      <w:r w:rsidRPr="00E344A9">
        <w:rPr>
          <w:b/>
          <w:bCs/>
        </w:rPr>
        <w:t xml:space="preserve">From </w:t>
      </w:r>
      <w:r w:rsidR="469D8E4D" w:rsidRPr="00E344A9">
        <w:t xml:space="preserve">individual Medicine Availability Working Group (MAWG) representatives for </w:t>
      </w:r>
      <w:r w:rsidRPr="00E344A9">
        <w:t>s</w:t>
      </w:r>
      <w:r w:rsidR="51C94D61" w:rsidRPr="00E344A9">
        <w:t xml:space="preserve">tates and </w:t>
      </w:r>
      <w:r w:rsidR="469D8E4D" w:rsidRPr="00E344A9">
        <w:t>t</w:t>
      </w:r>
      <w:r w:rsidR="51C94D61" w:rsidRPr="00E344A9">
        <w:t>erritor</w:t>
      </w:r>
      <w:r w:rsidR="469D8E4D" w:rsidRPr="00E344A9">
        <w:t>ies</w:t>
      </w:r>
      <w:r w:rsidR="00A73DC7" w:rsidRPr="00E344A9">
        <w:t xml:space="preserve"> (data from public hospitals provided by the state)</w:t>
      </w:r>
      <w:r w:rsidR="00492BF4" w:rsidRPr="00E344A9">
        <w:t xml:space="preserve">, </w:t>
      </w:r>
      <w:r w:rsidR="7078AA1E" w:rsidRPr="00E344A9">
        <w:t>wholesalers</w:t>
      </w:r>
      <w:r w:rsidR="00A73DC7" w:rsidRPr="00E344A9">
        <w:t xml:space="preserve"> (</w:t>
      </w:r>
      <w:r w:rsidR="005157BB" w:rsidRPr="00E344A9">
        <w:t xml:space="preserve">e.g. </w:t>
      </w:r>
      <w:r w:rsidR="00A73DC7" w:rsidRPr="00E344A9">
        <w:t>data provided by the National Pharmaceutical Services Association)</w:t>
      </w:r>
      <w:r w:rsidR="00492BF4" w:rsidRPr="00E344A9">
        <w:t xml:space="preserve">, </w:t>
      </w:r>
      <w:r w:rsidR="5F34DF18" w:rsidRPr="00E344A9">
        <w:t>private hospitals</w:t>
      </w:r>
      <w:r w:rsidR="00A73DC7" w:rsidRPr="00E344A9">
        <w:t xml:space="preserve"> (data provided by </w:t>
      </w:r>
      <w:r w:rsidR="00943647" w:rsidRPr="00E344A9">
        <w:t>the Australian</w:t>
      </w:r>
      <w:r w:rsidR="00A73DC7" w:rsidRPr="00E344A9">
        <w:t xml:space="preserve"> Private Hospital </w:t>
      </w:r>
      <w:r w:rsidR="00943647" w:rsidRPr="00E344A9">
        <w:t>sector</w:t>
      </w:r>
      <w:r w:rsidR="00A73DC7" w:rsidRPr="00E344A9">
        <w:t>)</w:t>
      </w:r>
      <w:r w:rsidR="00492BF4" w:rsidRPr="00E344A9">
        <w:t xml:space="preserve">, and </w:t>
      </w:r>
      <w:r w:rsidR="7078AA1E" w:rsidRPr="00E344A9">
        <w:t>medicine sponsors</w:t>
      </w:r>
      <w:r w:rsidR="00A73DC7" w:rsidRPr="00E344A9">
        <w:t xml:space="preserve"> (</w:t>
      </w:r>
      <w:r w:rsidR="004A46A3" w:rsidRPr="00E344A9">
        <w:t>data provided by</w:t>
      </w:r>
      <w:r w:rsidR="00A73DC7" w:rsidRPr="00E344A9">
        <w:t xml:space="preserve"> specific sponsors of the medicine in or at risk of shortage</w:t>
      </w:r>
      <w:r w:rsidR="00171932" w:rsidRPr="00E344A9">
        <w:t>, or sponsors of medicines approved for supply under section 19A of the</w:t>
      </w:r>
      <w:r w:rsidR="00084B7B" w:rsidRPr="00E344A9">
        <w:t xml:space="preserve"> </w:t>
      </w:r>
      <w:r w:rsidR="00171932" w:rsidRPr="00E344A9">
        <w:t>Act</w:t>
      </w:r>
      <w:r w:rsidR="39EA90AA" w:rsidRPr="00E344A9">
        <w:t xml:space="preserve"> </w:t>
      </w:r>
      <w:r w:rsidR="00F91A06" w:rsidRPr="00E344A9">
        <w:t xml:space="preserve">to mitigate </w:t>
      </w:r>
      <w:r w:rsidR="39EA90AA" w:rsidRPr="00E344A9">
        <w:t>shortages</w:t>
      </w:r>
      <w:r w:rsidR="000E3721" w:rsidRPr="00E344A9">
        <w:t>)</w:t>
      </w:r>
      <w:r w:rsidR="00A73DC7" w:rsidRPr="00E344A9">
        <w:t>.</w:t>
      </w:r>
    </w:p>
    <w:p w14:paraId="4268A94D" w14:textId="2B610BAB" w:rsidR="00213691" w:rsidRPr="00E344A9" w:rsidRDefault="54376C57" w:rsidP="00DC5D6F">
      <w:pPr>
        <w:pStyle w:val="ListBullet"/>
      </w:pPr>
      <w:r w:rsidRPr="00E344A9">
        <w:rPr>
          <w:b/>
          <w:bCs/>
        </w:rPr>
        <w:t xml:space="preserve">To </w:t>
      </w:r>
      <w:r w:rsidRPr="00E344A9">
        <w:t xml:space="preserve">the TGA, a part of the Department of Health and </w:t>
      </w:r>
      <w:r w:rsidRPr="00DC5D6F">
        <w:t>Aged</w:t>
      </w:r>
      <w:r w:rsidRPr="00E344A9">
        <w:t xml:space="preserve"> Care</w:t>
      </w:r>
      <w:r w:rsidR="00DB7893" w:rsidRPr="00E344A9">
        <w:t>, and groups convened by the TGA</w:t>
      </w:r>
      <w:r w:rsidR="00231533" w:rsidRPr="00E344A9">
        <w:t xml:space="preserve"> such as</w:t>
      </w:r>
      <w:r w:rsidR="469D8E4D" w:rsidRPr="00E344A9">
        <w:t xml:space="preserve"> the </w:t>
      </w:r>
      <w:r w:rsidR="00DB7893" w:rsidRPr="00E344A9">
        <w:t xml:space="preserve">MAWG </w:t>
      </w:r>
      <w:r w:rsidR="005157BB" w:rsidRPr="00E344A9">
        <w:t xml:space="preserve">and </w:t>
      </w:r>
      <w:r w:rsidR="00DB7893" w:rsidRPr="00E344A9">
        <w:t xml:space="preserve">various </w:t>
      </w:r>
      <w:r w:rsidR="005157BB" w:rsidRPr="00E344A9">
        <w:t>Medicine Shortage Action Group</w:t>
      </w:r>
      <w:r w:rsidR="00DB7893" w:rsidRPr="00E344A9">
        <w:t>s (MSAGs)</w:t>
      </w:r>
      <w:r w:rsidR="00C117E0" w:rsidRPr="00E344A9">
        <w:t>. Information will also be shared with other parts of government and the public</w:t>
      </w:r>
      <w:r w:rsidR="002E00B1" w:rsidRPr="00E344A9">
        <w:t xml:space="preserve"> as defined under</w:t>
      </w:r>
      <w:r w:rsidR="00C117E0" w:rsidRPr="00E344A9">
        <w:t xml:space="preserve"> </w:t>
      </w:r>
      <w:hyperlink w:anchor="_Information_to_be" w:history="1">
        <w:r w:rsidR="003A2465" w:rsidRPr="003A2465">
          <w:rPr>
            <w:rStyle w:val="Hyperlink"/>
          </w:rPr>
          <w:t>Information to be released</w:t>
        </w:r>
      </w:hyperlink>
      <w:r w:rsidR="005157BB" w:rsidRPr="00E344A9">
        <w:t>.</w:t>
      </w:r>
    </w:p>
    <w:p w14:paraId="7A1FC777" w14:textId="2A282F9C" w:rsidR="00655FCE" w:rsidRDefault="00E050E3" w:rsidP="009F7D22">
      <w:r>
        <w:t xml:space="preserve">The </w:t>
      </w:r>
      <w:r w:rsidR="00A42C48">
        <w:t>F</w:t>
      </w:r>
      <w:r w:rsidR="00FE5CA5">
        <w:t xml:space="preserve">ramework applies </w:t>
      </w:r>
      <w:r w:rsidR="104565DD">
        <w:t>to specific</w:t>
      </w:r>
      <w:r>
        <w:t xml:space="preserve"> requests for information made by </w:t>
      </w:r>
      <w:r w:rsidR="008735F0">
        <w:t>TGA.</w:t>
      </w:r>
      <w:r w:rsidR="00655FCE">
        <w:t xml:space="preserve"> The framework specifies which data will be shared and</w:t>
      </w:r>
      <w:r w:rsidR="00655FCE" w:rsidRPr="009C1653">
        <w:t xml:space="preserve"> </w:t>
      </w:r>
      <w:r w:rsidR="00655FCE">
        <w:t xml:space="preserve">records </w:t>
      </w:r>
      <w:r w:rsidR="00655FCE" w:rsidRPr="009C1653">
        <w:t xml:space="preserve">what </w:t>
      </w:r>
      <w:r w:rsidR="00655FCE">
        <w:t xml:space="preserve">the TGA will do </w:t>
      </w:r>
      <w:r w:rsidR="00655FCE" w:rsidRPr="009C1653">
        <w:t xml:space="preserve">with the </w:t>
      </w:r>
      <w:r w:rsidR="00655FCE">
        <w:t xml:space="preserve">information consistent with a </w:t>
      </w:r>
      <w:hyperlink r:id="rId13" w:history="1">
        <w:r w:rsidR="00655FCE" w:rsidRPr="00780B58">
          <w:rPr>
            <w:rStyle w:val="Hyperlink"/>
          </w:rPr>
          <w:t>legislative instrument</w:t>
        </w:r>
      </w:hyperlink>
      <w:r w:rsidR="00655FCE">
        <w:t xml:space="preserve"> made under s 61(5AB) and (5D) of the Act.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3D634A" w:rsidRPr="00215D48" w14:paraId="66D03747" w14:textId="77777777" w:rsidTr="001D17A8">
        <w:tc>
          <w:tcPr>
            <w:tcW w:w="1276" w:type="dxa"/>
            <w:vAlign w:val="center"/>
          </w:tcPr>
          <w:p w14:paraId="0AC5CF1D" w14:textId="77777777" w:rsidR="003D634A" w:rsidRPr="00215D48" w:rsidRDefault="003D634A" w:rsidP="001D17A8">
            <w:bookmarkStart w:id="4" w:name="_Hlk156401717"/>
            <w:r w:rsidRPr="00215D48">
              <w:rPr>
                <w:noProof/>
              </w:rPr>
              <w:lastRenderedPageBreak/>
              <w:drawing>
                <wp:inline distT="0" distB="0" distL="0" distR="0" wp14:anchorId="5CE59A59" wp14:editId="6F5F3653">
                  <wp:extent cx="487681" cy="487681"/>
                  <wp:effectExtent l="19050" t="0" r="7619" b="0"/>
                  <wp:docPr id="1" name="Picture 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4"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61A73605" w14:textId="5059DABF" w:rsidR="003D634A" w:rsidRPr="00215D48" w:rsidRDefault="00604BF6" w:rsidP="001D17A8">
            <w:bookmarkStart w:id="5" w:name="_Hlk156401696"/>
            <w:r>
              <w:t xml:space="preserve">Section 61 of the </w:t>
            </w:r>
            <w:r w:rsidR="00446337" w:rsidRPr="00446337">
              <w:t>Act</w:t>
            </w:r>
            <w:r>
              <w:rPr>
                <w:i/>
                <w:iCs/>
              </w:rPr>
              <w:t xml:space="preserve"> </w:t>
            </w:r>
            <w:r>
              <w:t xml:space="preserve">provides for the release, by the Secretary of the Department of Health and Aged Care, of information that is held by the </w:t>
            </w:r>
            <w:r w:rsidR="00672E59">
              <w:t xml:space="preserve">department </w:t>
            </w:r>
            <w:r>
              <w:t xml:space="preserve">in relation to therapeutic goods. Certain kinds of therapeutic goods information that the Secretary may release may be set out in legislative instruments that are made by the Minister and published on the </w:t>
            </w:r>
            <w:hyperlink r:id="rId15" w:history="1">
              <w:r w:rsidR="003D634A" w:rsidRPr="003D634A">
                <w:rPr>
                  <w:rStyle w:val="Hyperlink"/>
                </w:rPr>
                <w:t>Federal Register of Legislation</w:t>
              </w:r>
            </w:hyperlink>
            <w:r w:rsidR="003D634A">
              <w:t>.</w:t>
            </w:r>
            <w:bookmarkEnd w:id="5"/>
          </w:p>
        </w:tc>
      </w:tr>
    </w:tbl>
    <w:bookmarkEnd w:id="4"/>
    <w:p w14:paraId="7C310B68" w14:textId="63A8CB7E" w:rsidR="00943647" w:rsidRDefault="00B018FA" w:rsidP="009F7D22">
      <w:pPr>
        <w:spacing w:before="240"/>
      </w:pPr>
      <w:r>
        <w:t xml:space="preserve">The </w:t>
      </w:r>
      <w:r w:rsidR="005F74AE">
        <w:t>document</w:t>
      </w:r>
      <w:r w:rsidR="003B1E3F">
        <w:t xml:space="preserve"> </w:t>
      </w:r>
      <w:r w:rsidR="00C86ECE">
        <w:t>intend</w:t>
      </w:r>
      <w:r w:rsidR="003B1E3F">
        <w:t>s</w:t>
      </w:r>
      <w:r w:rsidR="00C86ECE">
        <w:t xml:space="preserve"> to </w:t>
      </w:r>
      <w:r>
        <w:t>give</w:t>
      </w:r>
      <w:r w:rsidR="009C1653" w:rsidRPr="009C1653">
        <w:t xml:space="preserve"> clarity and certainty to all parties.</w:t>
      </w:r>
      <w:r w:rsidR="009C1653">
        <w:t xml:space="preserve"> </w:t>
      </w:r>
      <w:r w:rsidR="009C1653" w:rsidRPr="009C1653">
        <w:t xml:space="preserve">The document </w:t>
      </w:r>
      <w:r w:rsidR="009C1653">
        <w:t xml:space="preserve">should be </w:t>
      </w:r>
      <w:r w:rsidR="009C1653" w:rsidRPr="009C1653">
        <w:t xml:space="preserve">seen as a </w:t>
      </w:r>
      <w:r w:rsidR="003B1E3F">
        <w:t>framework</w:t>
      </w:r>
      <w:r w:rsidR="009C1653" w:rsidRPr="009C1653">
        <w:t xml:space="preserve"> around how the data can be accessed, shared, and reused</w:t>
      </w:r>
      <w:r w:rsidR="00C86ECE">
        <w:t xml:space="preserve"> </w:t>
      </w:r>
      <w:r w:rsidR="00B14587">
        <w:t xml:space="preserve">as well as </w:t>
      </w:r>
      <w:r w:rsidR="00C86ECE">
        <w:t xml:space="preserve">how </w:t>
      </w:r>
      <w:r w:rsidR="009C1653" w:rsidRPr="009C1653">
        <w:t xml:space="preserve">the data </w:t>
      </w:r>
      <w:r w:rsidR="00C86ECE">
        <w:t xml:space="preserve">is protected </w:t>
      </w:r>
      <w:r w:rsidR="009C1653" w:rsidRPr="009C1653">
        <w:t>from accidental misuse.</w:t>
      </w:r>
    </w:p>
    <w:p w14:paraId="63D814B8" w14:textId="5D939A02" w:rsidR="008170C4" w:rsidRDefault="008720D5" w:rsidP="009F7D22">
      <w:pPr>
        <w:pStyle w:val="Heading3"/>
      </w:pPr>
      <w:bookmarkStart w:id="6" w:name="_Toc175574114"/>
      <w:r>
        <w:t>O</w:t>
      </w:r>
      <w:r w:rsidR="00E050E3">
        <w:t>ur data</w:t>
      </w:r>
      <w:r w:rsidR="00231533">
        <w:t>-</w:t>
      </w:r>
      <w:r w:rsidR="00E050E3">
        <w:t xml:space="preserve">sharing </w:t>
      </w:r>
      <w:r w:rsidR="00E050E3" w:rsidRPr="009F7D22">
        <w:t>p</w:t>
      </w:r>
      <w:r w:rsidR="008170C4" w:rsidRPr="009F7D22">
        <w:t>rinciples</w:t>
      </w:r>
      <w:bookmarkEnd w:id="6"/>
    </w:p>
    <w:p w14:paraId="70D1117A" w14:textId="0263390A" w:rsidR="00231533" w:rsidRDefault="008170C4" w:rsidP="009F7D22">
      <w:r w:rsidRPr="008170C4">
        <w:t xml:space="preserve">The </w:t>
      </w:r>
      <w:r w:rsidR="00492BF4">
        <w:t>policy</w:t>
      </w:r>
      <w:r w:rsidR="00492BF4" w:rsidRPr="008170C4">
        <w:t xml:space="preserve"> </w:t>
      </w:r>
      <w:r w:rsidRPr="008170C4">
        <w:t>principles underpin the data</w:t>
      </w:r>
      <w:r w:rsidR="00231533">
        <w:t>-</w:t>
      </w:r>
      <w:r w:rsidRPr="008170C4">
        <w:t xml:space="preserve">sharing </w:t>
      </w:r>
      <w:r w:rsidR="0083690E">
        <w:t>framework</w:t>
      </w:r>
      <w:r w:rsidR="005E670E">
        <w:t xml:space="preserve"> </w:t>
      </w:r>
      <w:r w:rsidRPr="008170C4">
        <w:t xml:space="preserve">between </w:t>
      </w:r>
      <w:r w:rsidRPr="007E69D6">
        <w:t>the TGA, state</w:t>
      </w:r>
      <w:r w:rsidRPr="008170C4">
        <w:t xml:space="preserve"> and territory jurisdictions, wholesalers, </w:t>
      </w:r>
      <w:r w:rsidR="00DB7893" w:rsidRPr="008170C4">
        <w:t>sponsors,</w:t>
      </w:r>
      <w:r w:rsidRPr="008170C4">
        <w:t xml:space="preserve"> and </w:t>
      </w:r>
      <w:r w:rsidR="003A2465">
        <w:t>the</w:t>
      </w:r>
      <w:r w:rsidRPr="008170C4">
        <w:t xml:space="preserve"> private hospital</w:t>
      </w:r>
      <w:r w:rsidR="003A2465">
        <w:t xml:space="preserve"> sector</w:t>
      </w:r>
      <w:r>
        <w:t>.</w:t>
      </w:r>
    </w:p>
    <w:p w14:paraId="023A36B8" w14:textId="219D9CD4" w:rsidR="008170C4" w:rsidRDefault="00231533" w:rsidP="009F7D22">
      <w:r>
        <w:t>T</w:t>
      </w:r>
      <w:r w:rsidR="007A4A49">
        <w:t>he data</w:t>
      </w:r>
      <w:r>
        <w:t>-</w:t>
      </w:r>
      <w:r w:rsidR="007A4A49">
        <w:t xml:space="preserve">sharing </w:t>
      </w:r>
      <w:r w:rsidR="00005AF6">
        <w:t>principles</w:t>
      </w:r>
      <w:r w:rsidR="002150B3">
        <w:t>:</w:t>
      </w:r>
      <w:bookmarkStart w:id="7" w:name="_Hlk142480663"/>
    </w:p>
    <w:p w14:paraId="7C922819" w14:textId="57DE2ABF" w:rsidR="00B408F6" w:rsidRDefault="00B408F6" w:rsidP="009F7D22">
      <w:pPr>
        <w:pStyle w:val="ListBullet"/>
      </w:pPr>
      <w:r>
        <w:t xml:space="preserve">Apply to medicines used in a </w:t>
      </w:r>
      <w:r w:rsidRPr="009F7D22">
        <w:t>hospital</w:t>
      </w:r>
      <w:r>
        <w:t xml:space="preserve"> setting</w:t>
      </w:r>
      <w:r w:rsidR="000067D6">
        <w:t>.</w:t>
      </w:r>
    </w:p>
    <w:p w14:paraId="467672CA" w14:textId="79098076" w:rsidR="007B011C" w:rsidRDefault="0044165D" w:rsidP="009F7D22">
      <w:pPr>
        <w:pStyle w:val="ListBullet"/>
      </w:pPr>
      <w:r>
        <w:t>A</w:t>
      </w:r>
      <w:r w:rsidR="008170C4" w:rsidRPr="008170C4">
        <w:t xml:space="preserve">llow us to better work together to facilitate the safe sharing of medicine supply and demand data to effectively manage medicine </w:t>
      </w:r>
      <w:r w:rsidR="008170C4" w:rsidRPr="009F7D22">
        <w:t>shortages</w:t>
      </w:r>
      <w:r w:rsidR="008170C4" w:rsidRPr="008170C4">
        <w:t>.</w:t>
      </w:r>
    </w:p>
    <w:p w14:paraId="2DE170FA" w14:textId="016F084B" w:rsidR="008170C4" w:rsidRPr="008170C4" w:rsidRDefault="0044165D" w:rsidP="009F7D22">
      <w:pPr>
        <w:pStyle w:val="ListBullet"/>
      </w:pPr>
      <w:r>
        <w:t>P</w:t>
      </w:r>
      <w:r w:rsidR="008170C4" w:rsidRPr="008170C4">
        <w:t xml:space="preserve">rovide clarity on the value to those sharing </w:t>
      </w:r>
      <w:r w:rsidR="008170C4" w:rsidRPr="009F7D22">
        <w:t>the</w:t>
      </w:r>
      <w:r w:rsidR="008170C4" w:rsidRPr="008170C4">
        <w:t xml:space="preserve"> data</w:t>
      </w:r>
      <w:r w:rsidR="00DB2D0A">
        <w:t>:</w:t>
      </w:r>
    </w:p>
    <w:p w14:paraId="3CB7F558" w14:textId="016A90A2" w:rsidR="008170C4" w:rsidRPr="008170C4" w:rsidRDefault="008170C4" w:rsidP="009F7D22">
      <w:pPr>
        <w:pStyle w:val="ListBullet2"/>
      </w:pPr>
      <w:r w:rsidRPr="008170C4">
        <w:t>The enhanced data</w:t>
      </w:r>
      <w:r w:rsidR="00D65BF0">
        <w:t>-</w:t>
      </w:r>
      <w:r w:rsidRPr="008170C4">
        <w:t xml:space="preserve">sharing under the </w:t>
      </w:r>
      <w:r w:rsidR="00A42C48">
        <w:t>F</w:t>
      </w:r>
      <w:r w:rsidR="00E733E5">
        <w:t>ramework</w:t>
      </w:r>
      <w:r w:rsidR="00702AD9" w:rsidRPr="008170C4">
        <w:t xml:space="preserve"> </w:t>
      </w:r>
      <w:r w:rsidR="009E37C2">
        <w:t xml:space="preserve">will be used to inform management strategies to </w:t>
      </w:r>
      <w:r w:rsidRPr="008170C4">
        <w:t xml:space="preserve">reduce the impact of serious </w:t>
      </w:r>
      <w:r w:rsidRPr="009F7D22">
        <w:t>medicine</w:t>
      </w:r>
      <w:r w:rsidRPr="008170C4">
        <w:t xml:space="preserve"> shortages on patients and health</w:t>
      </w:r>
      <w:r w:rsidR="00DB2D0A">
        <w:t xml:space="preserve"> </w:t>
      </w:r>
      <w:r w:rsidRPr="008170C4">
        <w:t>pr</w:t>
      </w:r>
      <w:r w:rsidR="00DB2D0A">
        <w:t>ofessionals in Australia</w:t>
      </w:r>
      <w:r w:rsidR="00671CF2">
        <w:t>.</w:t>
      </w:r>
      <w:r w:rsidR="0040089A">
        <w:t xml:space="preserve"> Information sharing assists sponsors</w:t>
      </w:r>
      <w:r w:rsidR="00B408F6">
        <w:t>, wholesaler</w:t>
      </w:r>
      <w:r w:rsidR="00386354">
        <w:t xml:space="preserve">s, </w:t>
      </w:r>
      <w:proofErr w:type="gramStart"/>
      <w:r w:rsidR="00386354">
        <w:t>states</w:t>
      </w:r>
      <w:proofErr w:type="gramEnd"/>
      <w:r w:rsidR="00386354">
        <w:t xml:space="preserve"> and territories and </w:t>
      </w:r>
      <w:r w:rsidR="00B408F6">
        <w:t xml:space="preserve">the TGA </w:t>
      </w:r>
      <w:r w:rsidR="0040089A">
        <w:t>with the management of serious national shortages.</w:t>
      </w:r>
    </w:p>
    <w:p w14:paraId="784C1897" w14:textId="617DEA5B" w:rsidR="008170C4" w:rsidRPr="008170C4" w:rsidRDefault="008170C4" w:rsidP="009F7D22">
      <w:pPr>
        <w:pStyle w:val="ListBullet2"/>
      </w:pPr>
      <w:r w:rsidRPr="008170C4">
        <w:t>A data</w:t>
      </w:r>
      <w:r w:rsidR="00231533">
        <w:t>-</w:t>
      </w:r>
      <w:r w:rsidRPr="008170C4">
        <w:t>sharing template standardises the information collected for each case</w:t>
      </w:r>
      <w:r w:rsidR="00DB2D0A">
        <w:t>,</w:t>
      </w:r>
      <w:r w:rsidRPr="008170C4">
        <w:t xml:space="preserve"> facilitating the modelling </w:t>
      </w:r>
      <w:r w:rsidRPr="009F7D22">
        <w:t>process</w:t>
      </w:r>
      <w:r w:rsidRPr="008170C4">
        <w:t>.</w:t>
      </w:r>
    </w:p>
    <w:p w14:paraId="1A586114" w14:textId="714DC3AC" w:rsidR="008170C4" w:rsidRPr="008170C4" w:rsidRDefault="008170C4" w:rsidP="00030E46">
      <w:pPr>
        <w:pStyle w:val="ListBullet2"/>
      </w:pPr>
      <w:r w:rsidRPr="008170C4">
        <w:t xml:space="preserve">The model will be used by </w:t>
      </w:r>
      <w:r w:rsidR="00DB2D0A">
        <w:t xml:space="preserve">the </w:t>
      </w:r>
      <w:r w:rsidRPr="008170C4">
        <w:t>TGA to predict medicine availability on a national level</w:t>
      </w:r>
      <w:r w:rsidR="009E37C2">
        <w:t>. The model itself</w:t>
      </w:r>
      <w:r w:rsidRPr="008170C4">
        <w:t xml:space="preserve"> </w:t>
      </w:r>
      <w:r w:rsidR="009E37C2">
        <w:t xml:space="preserve">(without data) </w:t>
      </w:r>
      <w:r w:rsidRPr="008170C4">
        <w:t xml:space="preserve">is available for states and territories to use </w:t>
      </w:r>
      <w:r w:rsidR="00CF6819">
        <w:t>with</w:t>
      </w:r>
      <w:r w:rsidRPr="008170C4">
        <w:t xml:space="preserve"> their own jurisdiction</w:t>
      </w:r>
      <w:r w:rsidR="00CF6819">
        <w:t>’</w:t>
      </w:r>
      <w:r w:rsidRPr="008170C4">
        <w:t>s</w:t>
      </w:r>
      <w:r w:rsidR="00CF6819">
        <w:t xml:space="preserve"> data</w:t>
      </w:r>
      <w:r w:rsidR="0044165D">
        <w:t>.</w:t>
      </w:r>
      <w:r w:rsidR="009E37C2">
        <w:t xml:space="preserve"> </w:t>
      </w:r>
    </w:p>
    <w:p w14:paraId="4B90F86F" w14:textId="14A33CB7" w:rsidR="008170C4" w:rsidRPr="008170C4" w:rsidRDefault="0044165D" w:rsidP="009F7D22">
      <w:pPr>
        <w:pStyle w:val="ListBullet"/>
      </w:pPr>
      <w:r>
        <w:t>P</w:t>
      </w:r>
      <w:r w:rsidR="008170C4" w:rsidRPr="008170C4">
        <w:t>rovide clarity on the purpose of sharing.</w:t>
      </w:r>
    </w:p>
    <w:p w14:paraId="13978EB2" w14:textId="53210057" w:rsidR="008170C4" w:rsidRPr="00030E46" w:rsidRDefault="008170C4" w:rsidP="009F7D22">
      <w:pPr>
        <w:pStyle w:val="ListBullet2"/>
      </w:pPr>
      <w:r w:rsidRPr="00030E46">
        <w:t>Data providers will contribute medicine supply and demand data held by the state or territory, wholesalers and/or affected sponsors</w:t>
      </w:r>
      <w:r w:rsidR="00A02605" w:rsidRPr="00030E46">
        <w:t>, as relevant, in</w:t>
      </w:r>
      <w:r w:rsidRPr="00030E46">
        <w:t xml:space="preserve"> relation to specific </w:t>
      </w:r>
      <w:r w:rsidR="00DB2D0A" w:rsidRPr="00030E46">
        <w:t xml:space="preserve">hospital </w:t>
      </w:r>
      <w:r w:rsidRPr="00030E46">
        <w:t>medicines</w:t>
      </w:r>
      <w:r w:rsidR="00A02605" w:rsidRPr="00030E46">
        <w:t xml:space="preserve"> or groups of medicines</w:t>
      </w:r>
      <w:r w:rsidRPr="00030E46">
        <w:t>.</w:t>
      </w:r>
    </w:p>
    <w:p w14:paraId="384A0A5F" w14:textId="46075FB9" w:rsidR="008170C4" w:rsidRPr="00030E46" w:rsidRDefault="00672E59" w:rsidP="009F7D22">
      <w:pPr>
        <w:pStyle w:val="ListBullet2"/>
      </w:pPr>
      <w:r w:rsidRPr="00030E46">
        <w:t xml:space="preserve">The </w:t>
      </w:r>
      <w:r w:rsidR="008170C4" w:rsidRPr="00030E46">
        <w:t xml:space="preserve">TGA will use this data to </w:t>
      </w:r>
      <w:r w:rsidR="008170C4" w:rsidRPr="009F7D22">
        <w:t>inform</w:t>
      </w:r>
      <w:r w:rsidR="008170C4" w:rsidRPr="00030E46">
        <w:t xml:space="preserve"> medicine shortages </w:t>
      </w:r>
      <w:r w:rsidR="00A02605" w:rsidRPr="00030E46">
        <w:t xml:space="preserve">monitoring and </w:t>
      </w:r>
      <w:r w:rsidR="008170C4" w:rsidRPr="00030E46">
        <w:t>management</w:t>
      </w:r>
      <w:r w:rsidR="0044165D" w:rsidRPr="00030E46">
        <w:t>.</w:t>
      </w:r>
    </w:p>
    <w:p w14:paraId="0B7CB1D6" w14:textId="79B88FCD" w:rsidR="008170C4" w:rsidRPr="00030E46" w:rsidRDefault="007F4B45" w:rsidP="00030E46">
      <w:pPr>
        <w:pStyle w:val="ListBullet2"/>
      </w:pPr>
      <w:r w:rsidRPr="00030E46">
        <w:t xml:space="preserve">The TGA will share </w:t>
      </w:r>
      <w:r w:rsidR="0032128D" w:rsidRPr="00030E46">
        <w:t xml:space="preserve">de-identified </w:t>
      </w:r>
      <w:r w:rsidRPr="00030E46">
        <w:t xml:space="preserve">aggregated </w:t>
      </w:r>
      <w:r w:rsidR="00891733" w:rsidRPr="00030E46">
        <w:t xml:space="preserve">visuals with specified </w:t>
      </w:r>
      <w:r w:rsidRPr="00030E46">
        <w:t>stakeholders for a specific shortage u</w:t>
      </w:r>
      <w:r w:rsidR="008170C4" w:rsidRPr="00030E46">
        <w:t xml:space="preserve">nder a legislative instrument made under section 61 of the </w:t>
      </w:r>
      <w:r w:rsidR="007E69D6" w:rsidRPr="00030E46">
        <w:t>Act</w:t>
      </w:r>
      <w:r w:rsidR="008170C4" w:rsidRPr="00030E46">
        <w:t xml:space="preserve">, as described in </w:t>
      </w:r>
      <w:r w:rsidR="00657A3D" w:rsidRPr="00030E46">
        <w:t xml:space="preserve">further detail </w:t>
      </w:r>
      <w:r w:rsidR="00B07CEB" w:rsidRPr="00030E46">
        <w:t xml:space="preserve">in the section detailing the </w:t>
      </w:r>
      <w:hyperlink w:anchor="_Information_to_be" w:history="1">
        <w:r w:rsidR="00B07CEB" w:rsidRPr="00030E46">
          <w:rPr>
            <w:rStyle w:val="Hyperlink"/>
            <w:color w:val="333F48"/>
            <w:u w:val="none"/>
          </w:rPr>
          <w:t>information release</w:t>
        </w:r>
      </w:hyperlink>
      <w:r w:rsidR="008170C4" w:rsidRPr="00030E46">
        <w:t>.</w:t>
      </w:r>
      <w:r w:rsidR="0032128D" w:rsidRPr="00030E46">
        <w:t xml:space="preserve"> An example of an aggregated visual is provided as Attachment A.</w:t>
      </w:r>
    </w:p>
    <w:p w14:paraId="53EF9BC8" w14:textId="387193C6" w:rsidR="0044165D" w:rsidRPr="00030E46" w:rsidRDefault="008170C4" w:rsidP="00030E46">
      <w:pPr>
        <w:pStyle w:val="ListBullet2"/>
      </w:pPr>
      <w:r w:rsidRPr="00030E46">
        <w:t xml:space="preserve">The TGA may </w:t>
      </w:r>
      <w:r w:rsidR="007F4B45" w:rsidRPr="00030E46">
        <w:t xml:space="preserve">also </w:t>
      </w:r>
      <w:r w:rsidRPr="00030E46">
        <w:t xml:space="preserve">publish </w:t>
      </w:r>
      <w:r w:rsidR="00BD214D" w:rsidRPr="00030E46">
        <w:t xml:space="preserve">forecasts </w:t>
      </w:r>
      <w:r w:rsidRPr="00030E46">
        <w:t>of medicine availability on the TGA website</w:t>
      </w:r>
      <w:r w:rsidR="0032128D" w:rsidRPr="00030E46">
        <w:t xml:space="preserve"> as set out under</w:t>
      </w:r>
      <w:hyperlink w:anchor="_Information_to_be" w:history="1">
        <w:r w:rsidR="0032128D" w:rsidRPr="00030E46">
          <w:rPr>
            <w:rStyle w:val="Hyperlink"/>
            <w:color w:val="333F48"/>
            <w:u w:val="none"/>
          </w:rPr>
          <w:t xml:space="preserve"> information release</w:t>
        </w:r>
      </w:hyperlink>
      <w:r w:rsidR="0032128D" w:rsidRPr="00030E46">
        <w:t xml:space="preserve">. An example of the type of information we </w:t>
      </w:r>
      <w:r w:rsidR="00B70F28" w:rsidRPr="00030E46">
        <w:t>will publish on our website i</w:t>
      </w:r>
      <w:r w:rsidR="0032128D" w:rsidRPr="00030E46">
        <w:t xml:space="preserve">s </w:t>
      </w:r>
      <w:r w:rsidR="00B70F28" w:rsidRPr="00030E46">
        <w:t xml:space="preserve">provided as </w:t>
      </w:r>
      <w:r w:rsidR="0032128D" w:rsidRPr="00030E46">
        <w:t xml:space="preserve">Attachment </w:t>
      </w:r>
      <w:r w:rsidR="00B70F28" w:rsidRPr="00030E46">
        <w:t>B</w:t>
      </w:r>
      <w:r w:rsidR="0032128D" w:rsidRPr="00030E46">
        <w:t>.</w:t>
      </w:r>
    </w:p>
    <w:p w14:paraId="4213C10D" w14:textId="5CF7CC78" w:rsidR="008170C4" w:rsidRPr="000C77A1" w:rsidRDefault="0044165D" w:rsidP="009F7D22">
      <w:pPr>
        <w:pStyle w:val="ListBullet"/>
      </w:pPr>
      <w:r>
        <w:t>S</w:t>
      </w:r>
      <w:r w:rsidR="008170C4" w:rsidRPr="008170C4">
        <w:t>pecif</w:t>
      </w:r>
      <w:r w:rsidR="00231533">
        <w:t>y</w:t>
      </w:r>
      <w:r w:rsidR="008170C4" w:rsidRPr="008170C4">
        <w:t xml:space="preserve"> who the data will be shared with, what types of data could be requested </w:t>
      </w:r>
      <w:r w:rsidR="00517DC6">
        <w:t xml:space="preserve">and </w:t>
      </w:r>
      <w:r w:rsidR="008170C4" w:rsidRPr="008170C4">
        <w:t xml:space="preserve">what </w:t>
      </w:r>
      <w:r w:rsidR="00517DC6">
        <w:t>the TGA</w:t>
      </w:r>
      <w:r w:rsidR="008170C4" w:rsidRPr="008170C4">
        <w:t xml:space="preserve"> will do with the data.</w:t>
      </w:r>
      <w:r w:rsidR="002248CE" w:rsidRPr="002248CE">
        <w:rPr>
          <w:szCs w:val="22"/>
        </w:rPr>
        <w:t xml:space="preserve"> </w:t>
      </w:r>
      <w:r w:rsidR="002248CE" w:rsidRPr="008720D5">
        <w:rPr>
          <w:szCs w:val="22"/>
        </w:rPr>
        <w:t xml:space="preserve">The </w:t>
      </w:r>
      <w:r w:rsidR="00FF23A8">
        <w:rPr>
          <w:szCs w:val="22"/>
        </w:rPr>
        <w:t xml:space="preserve">process </w:t>
      </w:r>
      <w:r w:rsidR="002248CE" w:rsidRPr="008720D5">
        <w:rPr>
          <w:szCs w:val="22"/>
        </w:rPr>
        <w:t xml:space="preserve">of internal and </w:t>
      </w:r>
      <w:r w:rsidR="002248CE" w:rsidRPr="009F7D22">
        <w:t>external</w:t>
      </w:r>
      <w:r w:rsidR="002248CE" w:rsidRPr="008720D5">
        <w:rPr>
          <w:szCs w:val="22"/>
        </w:rPr>
        <w:t xml:space="preserve"> data</w:t>
      </w:r>
      <w:r w:rsidR="00D65BF0">
        <w:rPr>
          <w:szCs w:val="22"/>
        </w:rPr>
        <w:t>-</w:t>
      </w:r>
      <w:r w:rsidR="002248CE" w:rsidRPr="008720D5">
        <w:rPr>
          <w:szCs w:val="22"/>
        </w:rPr>
        <w:t xml:space="preserve">sharing is captured </w:t>
      </w:r>
      <w:r w:rsidR="00702AD9">
        <w:rPr>
          <w:szCs w:val="22"/>
        </w:rPr>
        <w:t>by</w:t>
      </w:r>
      <w:r w:rsidR="00702AD9" w:rsidRPr="008720D5">
        <w:rPr>
          <w:szCs w:val="22"/>
        </w:rPr>
        <w:t xml:space="preserve"> </w:t>
      </w:r>
      <w:r w:rsidR="008720D5" w:rsidRPr="008720D5">
        <w:rPr>
          <w:szCs w:val="22"/>
        </w:rPr>
        <w:t>our</w:t>
      </w:r>
      <w:r w:rsidR="008720D5">
        <w:rPr>
          <w:szCs w:val="22"/>
        </w:rPr>
        <w:t xml:space="preserve"> </w:t>
      </w:r>
      <w:hyperlink w:anchor="_Standard_process" w:history="1">
        <w:r w:rsidR="008720D5" w:rsidRPr="008720D5">
          <w:rPr>
            <w:rStyle w:val="Hyperlink"/>
            <w:rFonts w:cs="Arial"/>
            <w:szCs w:val="22"/>
          </w:rPr>
          <w:t>standard process</w:t>
        </w:r>
      </w:hyperlink>
      <w:r w:rsidR="008720D5">
        <w:rPr>
          <w:szCs w:val="22"/>
        </w:rPr>
        <w:t>.</w:t>
      </w:r>
    </w:p>
    <w:p w14:paraId="37D41EEA" w14:textId="783EF24F" w:rsidR="000C77A1" w:rsidRPr="008170C4" w:rsidRDefault="001F3C3B" w:rsidP="00030E46">
      <w:pPr>
        <w:pStyle w:val="ListBullet"/>
      </w:pPr>
      <w:r>
        <w:t>Protect the information you provide to us by restricting who will access the information</w:t>
      </w:r>
      <w:r w:rsidR="000067D6">
        <w:t>.</w:t>
      </w:r>
      <w:r>
        <w:t xml:space="preserve"> </w:t>
      </w:r>
    </w:p>
    <w:p w14:paraId="2544335C" w14:textId="3083D9AF" w:rsidR="007F4B45" w:rsidRPr="00702AD9" w:rsidRDefault="007F4B45" w:rsidP="00030E46">
      <w:pPr>
        <w:pStyle w:val="ListBullet"/>
        <w:rPr>
          <w:szCs w:val="22"/>
        </w:rPr>
      </w:pPr>
      <w:r w:rsidRPr="00702AD9">
        <w:t>Provide</w:t>
      </w:r>
      <w:r>
        <w:t xml:space="preserve"> an</w:t>
      </w:r>
      <w:r w:rsidRPr="00702AD9">
        <w:t xml:space="preserve"> opportunity for reviewing arrangements if the requirements for data</w:t>
      </w:r>
      <w:r w:rsidR="00D65BF0">
        <w:t>-</w:t>
      </w:r>
      <w:r w:rsidRPr="00702AD9">
        <w:t>sharing change.</w:t>
      </w:r>
    </w:p>
    <w:p w14:paraId="3E24EFC3" w14:textId="113DF1AB" w:rsidR="007B011C" w:rsidRPr="00030E46" w:rsidRDefault="007B011C" w:rsidP="00030E46">
      <w:pPr>
        <w:pStyle w:val="ListBullet"/>
      </w:pPr>
      <w:r w:rsidRPr="00030E46">
        <w:lastRenderedPageBreak/>
        <w:t>The TGA will not share individual data provided by one stakeholder with another stakeholder without permission, except as set out under</w:t>
      </w:r>
      <w:r w:rsidR="002402B6" w:rsidRPr="00030E46">
        <w:t xml:space="preserve"> </w:t>
      </w:r>
      <w:hyperlink w:anchor="_Information_to_be" w:history="1">
        <w:r w:rsidR="00386354" w:rsidRPr="00030E46">
          <w:t>information release</w:t>
        </w:r>
      </w:hyperlink>
      <w:r w:rsidR="002402B6" w:rsidRPr="00030E46">
        <w:t>.</w:t>
      </w:r>
    </w:p>
    <w:p w14:paraId="24B813B9" w14:textId="3A30C9F2" w:rsidR="00702AD9" w:rsidRPr="00030E46" w:rsidRDefault="008C21DA" w:rsidP="00030E46">
      <w:pPr>
        <w:pStyle w:val="ListBullet"/>
      </w:pPr>
      <w:bookmarkStart w:id="8" w:name="_Hlk158971645"/>
      <w:r w:rsidRPr="00030E46">
        <w:t xml:space="preserve">Sharing data under </w:t>
      </w:r>
      <w:r w:rsidR="00E733E5" w:rsidRPr="00030E46">
        <w:t xml:space="preserve">this </w:t>
      </w:r>
      <w:r w:rsidR="00A42C48" w:rsidRPr="00030E46">
        <w:t>F</w:t>
      </w:r>
      <w:r w:rsidR="00E733E5" w:rsidRPr="00030E46">
        <w:t>ramework</w:t>
      </w:r>
      <w:r w:rsidRPr="00030E46">
        <w:t xml:space="preserve"> does not obligate any party to any specific management actions. </w:t>
      </w:r>
      <w:bookmarkEnd w:id="8"/>
      <w:r w:rsidRPr="00030E46">
        <w:t>For example, they</w:t>
      </w:r>
      <w:r w:rsidR="00FF23A8" w:rsidRPr="00030E46">
        <w:t xml:space="preserve"> </w:t>
      </w:r>
      <w:r w:rsidR="00DB2D0A" w:rsidRPr="00030E46">
        <w:t>cannot</w:t>
      </w:r>
      <w:r w:rsidR="00702AD9" w:rsidRPr="00030E46">
        <w:t xml:space="preserve"> be used</w:t>
      </w:r>
      <w:r w:rsidR="00A02605" w:rsidRPr="00030E46">
        <w:t xml:space="preserve"> by the TGA</w:t>
      </w:r>
      <w:r w:rsidR="00702AD9" w:rsidRPr="00030E46">
        <w:t xml:space="preserve"> to relocate</w:t>
      </w:r>
      <w:r w:rsidR="00DB2D0A" w:rsidRPr="00030E46">
        <w:t xml:space="preserve"> </w:t>
      </w:r>
      <w:r w:rsidR="007F4B45" w:rsidRPr="00030E46">
        <w:t xml:space="preserve">purchased </w:t>
      </w:r>
      <w:r w:rsidR="00DB2D0A" w:rsidRPr="00030E46">
        <w:t xml:space="preserve">stock or facilitate negotiation of </w:t>
      </w:r>
      <w:r w:rsidR="00492BF4" w:rsidRPr="00030E46">
        <w:t xml:space="preserve">its </w:t>
      </w:r>
      <w:r w:rsidR="00DB2D0A" w:rsidRPr="00030E46">
        <w:t>relocation</w:t>
      </w:r>
      <w:r w:rsidR="00702AD9" w:rsidRPr="00030E46">
        <w:t>.</w:t>
      </w:r>
      <w:r w:rsidR="0078458A" w:rsidRPr="00030E46">
        <w:t xml:space="preserve"> However, states and territory jurisdiction</w:t>
      </w:r>
      <w:r w:rsidR="00DB2D0A" w:rsidRPr="00030E46">
        <w:t>s</w:t>
      </w:r>
      <w:r w:rsidR="0078458A" w:rsidRPr="00030E46">
        <w:t xml:space="preserve"> may wish to discuss stock in the context of shortage.</w:t>
      </w:r>
    </w:p>
    <w:p w14:paraId="032F5959" w14:textId="5742F7A3" w:rsidR="008170C4" w:rsidRDefault="007B175C" w:rsidP="009F7D22">
      <w:pPr>
        <w:pStyle w:val="Heading3"/>
      </w:pPr>
      <w:bookmarkStart w:id="9" w:name="_Our_data_sharing"/>
      <w:bookmarkStart w:id="10" w:name="_Our_data-sharing_processes"/>
      <w:bookmarkStart w:id="11" w:name="_Hlk156914915"/>
      <w:bookmarkStart w:id="12" w:name="_Toc175574115"/>
      <w:bookmarkEnd w:id="9"/>
      <w:bookmarkEnd w:id="10"/>
      <w:r>
        <w:t>Our data</w:t>
      </w:r>
      <w:r w:rsidR="00231533">
        <w:t>-</w:t>
      </w:r>
      <w:r>
        <w:t xml:space="preserve">sharing </w:t>
      </w:r>
      <w:r w:rsidRPr="009F7D22">
        <w:t>process</w:t>
      </w:r>
      <w:r w:rsidR="00B0325C" w:rsidRPr="009F7D22">
        <w:t>es</w:t>
      </w:r>
      <w:bookmarkEnd w:id="12"/>
    </w:p>
    <w:p w14:paraId="267EE039" w14:textId="0FC2A490" w:rsidR="00326DFD" w:rsidRDefault="007B175C" w:rsidP="009F7D22">
      <w:bookmarkStart w:id="13" w:name="_Hlk156906307"/>
      <w:r>
        <w:t xml:space="preserve">The </w:t>
      </w:r>
      <w:r w:rsidR="009533EE">
        <w:t xml:space="preserve">standard </w:t>
      </w:r>
      <w:r>
        <w:t>data</w:t>
      </w:r>
      <w:r w:rsidR="00231533">
        <w:t>-</w:t>
      </w:r>
      <w:r>
        <w:t>sharing process</w:t>
      </w:r>
      <w:r w:rsidR="00B0325C">
        <w:t>es</w:t>
      </w:r>
      <w:r w:rsidR="00DA15D4">
        <w:t xml:space="preserve"> </w:t>
      </w:r>
      <w:r w:rsidR="00B0325C">
        <w:t>are</w:t>
      </w:r>
      <w:r>
        <w:t xml:space="preserve"> outlined below</w:t>
      </w:r>
      <w:r w:rsidR="009533EE">
        <w:t>.</w:t>
      </w:r>
    </w:p>
    <w:p w14:paraId="6B498BAA" w14:textId="1AB30C02" w:rsidR="008720D5" w:rsidRDefault="00B87C3D" w:rsidP="009F7D22">
      <w:r>
        <w:t xml:space="preserve">Not all medicine shortages of interest will require national forecasting. </w:t>
      </w:r>
      <w:r w:rsidR="00EB3D17">
        <w:t xml:space="preserve">An information request is </w:t>
      </w:r>
      <w:r>
        <w:t xml:space="preserve">only </w:t>
      </w:r>
      <w:r w:rsidR="00EB3D17">
        <w:t>triggered if all eligibility criteria are met.</w:t>
      </w:r>
      <w:r>
        <w:t xml:space="preserve"> This balances the </w:t>
      </w:r>
      <w:r w:rsidR="008D4FBE">
        <w:t xml:space="preserve">burden of providing, </w:t>
      </w:r>
      <w:r w:rsidR="00B92823">
        <w:t>collecting,</w:t>
      </w:r>
      <w:r w:rsidR="008D4FBE">
        <w:t xml:space="preserve"> and </w:t>
      </w:r>
      <w:bookmarkEnd w:id="13"/>
      <w:r w:rsidR="008D4FBE">
        <w:t xml:space="preserve">modelling data </w:t>
      </w:r>
      <w:r>
        <w:t>with the need for national coordination to ensure forecasting is delivered in the interest of public health.</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EB3D17" w:rsidRPr="00215D48" w14:paraId="3ACF98BC" w14:textId="77777777" w:rsidTr="00C64ED4">
        <w:tc>
          <w:tcPr>
            <w:tcW w:w="1276" w:type="dxa"/>
            <w:vAlign w:val="center"/>
          </w:tcPr>
          <w:p w14:paraId="07425F0C" w14:textId="77777777" w:rsidR="00EB3D17" w:rsidRPr="00215D48" w:rsidRDefault="00EB3D17" w:rsidP="00C64ED4">
            <w:r w:rsidRPr="00215D48">
              <w:rPr>
                <w:noProof/>
              </w:rPr>
              <w:drawing>
                <wp:inline distT="0" distB="0" distL="0" distR="0" wp14:anchorId="49232D94" wp14:editId="659852F7">
                  <wp:extent cx="487681" cy="487681"/>
                  <wp:effectExtent l="19050" t="0" r="7619" b="0"/>
                  <wp:docPr id="9"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4"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4BD423D4" w14:textId="0215E12A" w:rsidR="00EB3D17" w:rsidRPr="008720D5" w:rsidRDefault="00EB3D17" w:rsidP="008720D5">
            <w:pPr>
              <w:rPr>
                <w:b/>
                <w:bCs/>
              </w:rPr>
            </w:pPr>
            <w:r w:rsidRPr="008720D5">
              <w:rPr>
                <w:b/>
                <w:bCs/>
              </w:rPr>
              <w:t>Criteria that trigger an information reque</w:t>
            </w:r>
            <w:r>
              <w:rPr>
                <w:b/>
                <w:bCs/>
              </w:rPr>
              <w:t>s</w:t>
            </w:r>
            <w:r w:rsidRPr="008720D5">
              <w:rPr>
                <w:b/>
                <w:bCs/>
              </w:rPr>
              <w:t>t</w:t>
            </w:r>
            <w:r w:rsidR="00E344A9">
              <w:rPr>
                <w:b/>
                <w:bCs/>
              </w:rPr>
              <w:t xml:space="preserve">: </w:t>
            </w:r>
          </w:p>
          <w:p w14:paraId="6D89151F" w14:textId="6014C47F" w:rsidR="008D4FBE" w:rsidRDefault="00E344A9" w:rsidP="008720D5">
            <w:pPr>
              <w:pStyle w:val="ListBullet"/>
            </w:pPr>
            <w:r>
              <w:t>t</w:t>
            </w:r>
            <w:r w:rsidR="008D4FBE">
              <w:t>he medicine is used in the hospital setting</w:t>
            </w:r>
            <w:r w:rsidR="00E71BF9">
              <w:t xml:space="preserve"> AND</w:t>
            </w:r>
          </w:p>
          <w:p w14:paraId="644396B1" w14:textId="469E42D7" w:rsidR="00EB3D17" w:rsidRDefault="00E344A9" w:rsidP="008720D5">
            <w:pPr>
              <w:pStyle w:val="ListBullet"/>
            </w:pPr>
            <w:r>
              <w:t xml:space="preserve">the medicine is </w:t>
            </w:r>
            <w:r w:rsidR="00EB3D17">
              <w:t>at risk of shortage</w:t>
            </w:r>
            <w:r w:rsidR="00FF23A8">
              <w:t xml:space="preserve"> or</w:t>
            </w:r>
            <w:r w:rsidR="00EB3D17">
              <w:t xml:space="preserve"> in shortage AND</w:t>
            </w:r>
          </w:p>
          <w:p w14:paraId="0FF8E2A4" w14:textId="44212EE6" w:rsidR="00EB3D17" w:rsidRDefault="00E344A9" w:rsidP="008720D5">
            <w:pPr>
              <w:pStyle w:val="ListBullet"/>
            </w:pPr>
            <w:r>
              <w:t xml:space="preserve">the medicine </w:t>
            </w:r>
            <w:r w:rsidR="00EB3D17">
              <w:t>has a significant clinical interest AND</w:t>
            </w:r>
          </w:p>
          <w:p w14:paraId="5A1B54FD" w14:textId="776EE65C" w:rsidR="00EB3D17" w:rsidRDefault="00EB3D17" w:rsidP="008720D5">
            <w:pPr>
              <w:pStyle w:val="ListBullet"/>
            </w:pPr>
            <w:r>
              <w:t xml:space="preserve">unavailability </w:t>
            </w:r>
            <w:r w:rsidR="00E344A9">
              <w:t xml:space="preserve">of the medicine </w:t>
            </w:r>
            <w:r>
              <w:t>has a serious national impact AND</w:t>
            </w:r>
          </w:p>
          <w:p w14:paraId="2817F99C" w14:textId="61E05D79" w:rsidR="00EB3D17" w:rsidRPr="00215D48" w:rsidRDefault="00EB3D17" w:rsidP="008720D5">
            <w:pPr>
              <w:pStyle w:val="ListBullet"/>
            </w:pPr>
            <w:r>
              <w:t xml:space="preserve">modelling of </w:t>
            </w:r>
            <w:r w:rsidR="00153BDA">
              <w:t xml:space="preserve">medicine </w:t>
            </w:r>
            <w:r>
              <w:t>shortage prevention or management is in the interest of public health.</w:t>
            </w:r>
          </w:p>
        </w:tc>
      </w:tr>
    </w:tbl>
    <w:p w14:paraId="2964D3DC" w14:textId="5ECC0957" w:rsidR="00F21CB0" w:rsidRDefault="001920CD" w:rsidP="009F7D22">
      <w:pPr>
        <w:spacing w:before="240"/>
      </w:pPr>
      <w:bookmarkStart w:id="14" w:name="_Standard_process"/>
      <w:bookmarkStart w:id="15" w:name="_Hlk164758505"/>
      <w:bookmarkEnd w:id="14"/>
      <w:r w:rsidDel="00CC5E57">
        <w:t xml:space="preserve">The model </w:t>
      </w:r>
      <w:r w:rsidR="00D27B3E">
        <w:t xml:space="preserve">and </w:t>
      </w:r>
      <w:r w:rsidR="00A42C48">
        <w:t>D</w:t>
      </w:r>
      <w:r w:rsidR="00D27B3E">
        <w:t>ata</w:t>
      </w:r>
      <w:r w:rsidR="00A42C48">
        <w:t>-</w:t>
      </w:r>
      <w:r w:rsidR="00D27B3E">
        <w:t xml:space="preserve">sharing </w:t>
      </w:r>
      <w:r w:rsidR="00FE5CA5">
        <w:t xml:space="preserve">framework </w:t>
      </w:r>
      <w:r>
        <w:t xml:space="preserve">may also be used for </w:t>
      </w:r>
      <w:r w:rsidDel="00CC5E57">
        <w:t>forecasting availability of community medicines</w:t>
      </w:r>
      <w:r w:rsidR="00F8743F">
        <w:t xml:space="preserve"> if the medicine is also used in a hospital setting.</w:t>
      </w:r>
      <w:r w:rsidDel="00CC5E57">
        <w:t xml:space="preserve"> Data</w:t>
      </w:r>
      <w:r w:rsidR="00D65BF0" w:rsidDel="00CC5E57">
        <w:rPr>
          <w:b/>
          <w:bCs/>
        </w:rPr>
        <w:t>-</w:t>
      </w:r>
      <w:r w:rsidDel="00CC5E57">
        <w:t xml:space="preserve">sharing </w:t>
      </w:r>
      <w:r w:rsidR="00D27B3E">
        <w:t xml:space="preserve">to model </w:t>
      </w:r>
      <w:r w:rsidR="004D21F3">
        <w:t>availability</w:t>
      </w:r>
      <w:r w:rsidR="005D60F9">
        <w:t xml:space="preserve"> of </w:t>
      </w:r>
      <w:r w:rsidR="00D27B3E">
        <w:t xml:space="preserve">medicines only </w:t>
      </w:r>
      <w:r w:rsidR="00F63088">
        <w:t xml:space="preserve">used </w:t>
      </w:r>
      <w:r w:rsidR="00D27B3E">
        <w:t>in the community setting is not triggered by the above criteria</w:t>
      </w:r>
      <w:r w:rsidDel="00CC5E57">
        <w:t>.</w:t>
      </w:r>
      <w:bookmarkEnd w:id="15"/>
    </w:p>
    <w:p w14:paraId="104E48DC" w14:textId="2AE14822" w:rsidR="001920CD" w:rsidRDefault="005D60F9" w:rsidP="009F7D22">
      <w:r>
        <w:t xml:space="preserve">Reportable and non-reportable medicines used in the hospital setting are in scope. Requests for non-reportable medicines are expected to be rare. The definition of a </w:t>
      </w:r>
      <w:hyperlink r:id="rId16" w:history="1">
        <w:r w:rsidRPr="00AF0156">
          <w:rPr>
            <w:rStyle w:val="Hyperlink"/>
          </w:rPr>
          <w:t>reportable medicine</w:t>
        </w:r>
      </w:hyperlink>
      <w:r>
        <w:t xml:space="preserve"> is available on our website.</w:t>
      </w:r>
    </w:p>
    <w:p w14:paraId="5F6E94B5" w14:textId="1C5C047B" w:rsidR="00B0325C" w:rsidRDefault="00B0325C" w:rsidP="009F7D22">
      <w:pPr>
        <w:pStyle w:val="Heading4"/>
      </w:pPr>
      <w:bookmarkStart w:id="16" w:name="_Hlk156919257"/>
      <w:bookmarkStart w:id="17" w:name="_Toc175574116"/>
      <w:bookmarkEnd w:id="11"/>
      <w:r>
        <w:t>S</w:t>
      </w:r>
      <w:r w:rsidR="00D024BC">
        <w:t>tep by step</w:t>
      </w:r>
      <w:r>
        <w:t xml:space="preserve"> </w:t>
      </w:r>
      <w:r w:rsidRPr="009F7D22">
        <w:t>process</w:t>
      </w:r>
      <w:bookmarkEnd w:id="17"/>
    </w:p>
    <w:p w14:paraId="6CA43D24" w14:textId="3F0E4746" w:rsidR="00A915BA" w:rsidRDefault="00F21CB0" w:rsidP="009F7D22">
      <w:r>
        <w:t>We consider</w:t>
      </w:r>
      <w:r w:rsidR="00A62A92">
        <w:t xml:space="preserve"> </w:t>
      </w:r>
      <w:r w:rsidR="008D4FBE">
        <w:t>major medicine shortages</w:t>
      </w:r>
      <w:r w:rsidR="00C73895">
        <w:t xml:space="preserve"> of medicines </w:t>
      </w:r>
      <w:r w:rsidR="00386354">
        <w:t xml:space="preserve">used in the hospital setting </w:t>
      </w:r>
      <w:r w:rsidR="00F86CB2">
        <w:t xml:space="preserve">that cannot be managed with standard </w:t>
      </w:r>
      <w:r w:rsidR="00153BDA">
        <w:t>approache</w:t>
      </w:r>
      <w:r w:rsidR="00546DF7">
        <w:t>s</w:t>
      </w:r>
      <w:r w:rsidR="008D4FBE">
        <w:t xml:space="preserve"> </w:t>
      </w:r>
      <w:r>
        <w:t>to be</w:t>
      </w:r>
      <w:r w:rsidR="00A62A92">
        <w:t xml:space="preserve"> </w:t>
      </w:r>
      <w:r w:rsidR="008D4FBE">
        <w:t xml:space="preserve">shortages of interest for potential forecasting of medicine availability. </w:t>
      </w:r>
      <w:r w:rsidR="007F4B45">
        <w:t xml:space="preserve">Once </w:t>
      </w:r>
      <w:r w:rsidR="00D024BC">
        <w:t>a shortage of interest</w:t>
      </w:r>
      <w:r w:rsidR="003C1659">
        <w:t xml:space="preserve"> </w:t>
      </w:r>
      <w:r w:rsidR="007F4B45">
        <w:t xml:space="preserve">is identified, the TGA’s process for </w:t>
      </w:r>
      <w:r w:rsidR="003C1659">
        <w:t xml:space="preserve">triggering a request for information </w:t>
      </w:r>
      <w:r w:rsidR="00D024BC">
        <w:t>to</w:t>
      </w:r>
      <w:r w:rsidR="003C1659">
        <w:t xml:space="preserve"> </w:t>
      </w:r>
      <w:r w:rsidR="00E344A9">
        <w:t>inform modelling of medicine availability and communication of a</w:t>
      </w:r>
      <w:r w:rsidR="00D024BC">
        <w:t xml:space="preserve"> management strategy is </w:t>
      </w:r>
      <w:r w:rsidR="007F4B45">
        <w:t>outlined</w:t>
      </w:r>
      <w:r w:rsidR="00492BF4">
        <w:t xml:space="preserve"> </w:t>
      </w:r>
      <w:r w:rsidR="00D024BC">
        <w:t>below</w:t>
      </w:r>
      <w:r w:rsidR="00A62A92">
        <w:t>.</w:t>
      </w:r>
    </w:p>
    <w:p w14:paraId="229EC3E9" w14:textId="37725DEE" w:rsidR="00D16222" w:rsidRDefault="00D16222" w:rsidP="009F7D22">
      <w:pPr>
        <w:pStyle w:val="Tabletitle"/>
      </w:pPr>
      <w:r>
        <w:lastRenderedPageBreak/>
        <w:t>Figure 1: Data sharing process</w:t>
      </w:r>
      <w:r w:rsidR="007764F1">
        <w:t>.</w:t>
      </w:r>
    </w:p>
    <w:p w14:paraId="4A4FCB57" w14:textId="77777777" w:rsidR="00D16222" w:rsidRDefault="00D16222" w:rsidP="009F7D22">
      <w:pPr>
        <w:rPr>
          <w:b/>
          <w:bCs/>
        </w:rPr>
      </w:pPr>
      <w:r>
        <w:rPr>
          <w:noProof/>
        </w:rPr>
        <w:drawing>
          <wp:inline distT="0" distB="0" distL="0" distR="0" wp14:anchorId="1867EDA6" wp14:editId="3D210966">
            <wp:extent cx="5759450" cy="3987165"/>
            <wp:effectExtent l="0" t="0" r="0" b="0"/>
            <wp:docPr id="6" name="Picture 6" descr="Figure 1: Data sharing process. A process map of the data sharing process. Data sharing steps for information receivers and data providers are shown in separate la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 Data sharing process. A process map of the data sharing process. Data sharing steps for information receivers and data providers are shown in separate lanes. "/>
                    <pic:cNvPicPr/>
                  </pic:nvPicPr>
                  <pic:blipFill>
                    <a:blip r:embed="rId17">
                      <a:extLst>
                        <a:ext uri="{28A0092B-C50C-407E-A947-70E740481C1C}">
                          <a14:useLocalDpi xmlns:a14="http://schemas.microsoft.com/office/drawing/2010/main" val="0"/>
                        </a:ext>
                      </a:extLst>
                    </a:blip>
                    <a:stretch>
                      <a:fillRect/>
                    </a:stretch>
                  </pic:blipFill>
                  <pic:spPr>
                    <a:xfrm>
                      <a:off x="0" y="0"/>
                      <a:ext cx="5759450" cy="3987165"/>
                    </a:xfrm>
                    <a:prstGeom prst="rect">
                      <a:avLst/>
                    </a:prstGeom>
                  </pic:spPr>
                </pic:pic>
              </a:graphicData>
            </a:graphic>
          </wp:inline>
        </w:drawing>
      </w:r>
      <w:r w:rsidRPr="00546DF7">
        <w:rPr>
          <w:b/>
          <w:bCs/>
        </w:rPr>
        <w:t xml:space="preserve"> </w:t>
      </w:r>
    </w:p>
    <w:p w14:paraId="717CE605" w14:textId="51FBF76C" w:rsidR="00D51FB9" w:rsidRPr="00546DF7" w:rsidRDefault="00D51FB9" w:rsidP="009F7D22">
      <w:pPr>
        <w:pStyle w:val="Heading5"/>
      </w:pPr>
      <w:r w:rsidRPr="00546DF7">
        <w:t>TGA Assessment and request</w:t>
      </w:r>
    </w:p>
    <w:p w14:paraId="36986D0B" w14:textId="77777777" w:rsidR="00530669" w:rsidRDefault="00530669" w:rsidP="009F7D22">
      <w:pPr>
        <w:pStyle w:val="ListBullet"/>
      </w:pPr>
      <w:r>
        <w:t xml:space="preserve">The TGA identifies (or identifies risk of) a very serious national shortage that cannot be effectively managed with </w:t>
      </w:r>
      <w:r w:rsidRPr="009F7D22">
        <w:t>conventional</w:t>
      </w:r>
      <w:r>
        <w:t xml:space="preserve"> means.</w:t>
      </w:r>
    </w:p>
    <w:p w14:paraId="109C1FF5" w14:textId="77777777" w:rsidR="00530669" w:rsidRPr="00E24486" w:rsidRDefault="00530669" w:rsidP="00030E46">
      <w:pPr>
        <w:pStyle w:val="ListBullet"/>
      </w:pPr>
      <w:r w:rsidRPr="00E24486">
        <w:t>The medicine shortage is assessed against</w:t>
      </w:r>
      <w:r>
        <w:t xml:space="preserve"> specified</w:t>
      </w:r>
      <w:r w:rsidRPr="00E24486">
        <w:t xml:space="preserve"> criteria for a TGA information request.</w:t>
      </w:r>
    </w:p>
    <w:p w14:paraId="5082AF21" w14:textId="75722D30" w:rsidR="00530669" w:rsidRDefault="00530669" w:rsidP="00030E46">
      <w:pPr>
        <w:pStyle w:val="ListBullet"/>
      </w:pPr>
      <w:r>
        <w:t xml:space="preserve">If the modelling threshold is met, </w:t>
      </w:r>
      <w:r w:rsidRPr="00E24486">
        <w:t xml:space="preserve">The TGA sends a request for data input to </w:t>
      </w:r>
      <w:r>
        <w:t>sponsors, states and territories</w:t>
      </w:r>
      <w:r w:rsidR="003A2465">
        <w:t xml:space="preserve">, </w:t>
      </w:r>
      <w:r>
        <w:t>wholesalers</w:t>
      </w:r>
      <w:r w:rsidR="003A2465">
        <w:t xml:space="preserve"> and the private hospital sector if required</w:t>
      </w:r>
      <w:r>
        <w:t xml:space="preserve">. We will provide you with an </w:t>
      </w:r>
      <w:r w:rsidRPr="00E24486">
        <w:t>excel data-sharing template</w:t>
      </w:r>
      <w:r>
        <w:t xml:space="preserve"> for the data</w:t>
      </w:r>
      <w:r w:rsidRPr="00E24486">
        <w:t>.</w:t>
      </w:r>
    </w:p>
    <w:p w14:paraId="217E47A2" w14:textId="685F367B" w:rsidR="00E21AAE" w:rsidRDefault="00530669" w:rsidP="009F7D22">
      <w:pPr>
        <w:pStyle w:val="ListBullet"/>
      </w:pPr>
      <w:r>
        <w:t>B</w:t>
      </w:r>
      <w:r w:rsidR="00E21AAE">
        <w:t>y providing data, the data sharer is consenting to this information being shared under th</w:t>
      </w:r>
      <w:r w:rsidR="00FE5CA5">
        <w:t>is</w:t>
      </w:r>
      <w:r w:rsidR="002A6677">
        <w:t xml:space="preserve"> </w:t>
      </w:r>
      <w:r w:rsidR="00E21AAE">
        <w:t>Data-</w:t>
      </w:r>
      <w:r w:rsidR="00A42C48">
        <w:t>s</w:t>
      </w:r>
      <w:r w:rsidR="00E21AAE">
        <w:t xml:space="preserve">haring </w:t>
      </w:r>
      <w:r w:rsidR="00A42C48">
        <w:t>f</w:t>
      </w:r>
      <w:r w:rsidR="00FE5CA5">
        <w:t>ramework</w:t>
      </w:r>
      <w:r w:rsidR="00E21AAE">
        <w:t>.</w:t>
      </w:r>
    </w:p>
    <w:p w14:paraId="3A624070" w14:textId="0546D07C" w:rsidR="00D51FB9" w:rsidRPr="00546DF7" w:rsidRDefault="00D51FB9" w:rsidP="009F7D22">
      <w:pPr>
        <w:pStyle w:val="Heading5"/>
      </w:pPr>
      <w:r w:rsidRPr="00546DF7">
        <w:t xml:space="preserve">Individual </w:t>
      </w:r>
      <w:r w:rsidR="00A62A92">
        <w:t xml:space="preserve">and aggregated </w:t>
      </w:r>
      <w:r w:rsidRPr="00546DF7">
        <w:t>data</w:t>
      </w:r>
      <w:r w:rsidR="00D65BF0">
        <w:t>-</w:t>
      </w:r>
      <w:r w:rsidRPr="00546DF7">
        <w:t>sharing</w:t>
      </w:r>
    </w:p>
    <w:p w14:paraId="048EC7CE" w14:textId="77777777" w:rsidR="00E21AAE" w:rsidRPr="00030E46" w:rsidRDefault="00E21AAE" w:rsidP="009F7D22">
      <w:pPr>
        <w:pStyle w:val="ListBullet"/>
      </w:pPr>
      <w:r w:rsidRPr="00030E46">
        <w:t xml:space="preserve">Individual data is provided by relevant stakeholders to the TGA. Individual data may comprise aggregates of individual information </w:t>
      </w:r>
      <w:r w:rsidRPr="009F7D22">
        <w:t>where</w:t>
      </w:r>
      <w:r w:rsidRPr="00030E46">
        <w:t xml:space="preserve"> constituents are represented by a data provider (e.g. hospitals in a state or wholesalers represented by a peak body).</w:t>
      </w:r>
    </w:p>
    <w:p w14:paraId="7C56631B" w14:textId="3E34F066" w:rsidR="00D51FB9" w:rsidRPr="00030E46" w:rsidRDefault="00E21AAE" w:rsidP="00770379">
      <w:pPr>
        <w:pStyle w:val="ListBullet"/>
      </w:pPr>
      <w:r w:rsidRPr="00030E46">
        <w:t>Data are collated</w:t>
      </w:r>
      <w:r w:rsidR="00546DF7" w:rsidRPr="00030E46">
        <w:t xml:space="preserve"> to form aggregated data</w:t>
      </w:r>
      <w:r w:rsidRPr="00030E46">
        <w:t xml:space="preserve"> (if required) </w:t>
      </w:r>
    </w:p>
    <w:p w14:paraId="4C874B63" w14:textId="4660D8B0" w:rsidR="00D51FB9" w:rsidRDefault="009D53C1" w:rsidP="009F7D22">
      <w:pPr>
        <w:pStyle w:val="ListBullet"/>
      </w:pPr>
      <w:r w:rsidRPr="00030E46">
        <w:t>I</w:t>
      </w:r>
      <w:r w:rsidR="00D51FB9" w:rsidRPr="00030E46">
        <w:t xml:space="preserve">ndividual </w:t>
      </w:r>
      <w:r w:rsidR="00546DF7" w:rsidRPr="00030E46">
        <w:t>and aggregate</w:t>
      </w:r>
      <w:r w:rsidRPr="00030E46">
        <w:t>d</w:t>
      </w:r>
      <w:r w:rsidR="00546DF7" w:rsidRPr="00030E46">
        <w:t xml:space="preserve"> </w:t>
      </w:r>
      <w:r w:rsidR="00D51FB9" w:rsidRPr="00030E46">
        <w:t xml:space="preserve">data may be shared with </w:t>
      </w:r>
      <w:r w:rsidR="00386354" w:rsidRPr="00030E46">
        <w:t xml:space="preserve">very </w:t>
      </w:r>
      <w:r w:rsidRPr="00030E46">
        <w:t xml:space="preserve">limited </w:t>
      </w:r>
      <w:r w:rsidR="00D51FB9" w:rsidRPr="00030E46">
        <w:t>specified</w:t>
      </w:r>
      <w:r w:rsidR="00D51FB9">
        <w:t xml:space="preserve"> individuals or organisations if it is </w:t>
      </w:r>
      <w:r w:rsidR="00D51FB9" w:rsidRPr="009F7D22">
        <w:t>required</w:t>
      </w:r>
      <w:r w:rsidR="007344BF">
        <w:t xml:space="preserve"> as set out in the </w:t>
      </w:r>
      <w:hyperlink w:anchor="_Information_to_be" w:history="1">
        <w:r w:rsidR="007344BF" w:rsidRPr="007344BF">
          <w:rPr>
            <w:rStyle w:val="Hyperlink"/>
          </w:rPr>
          <w:t>legislative instrument</w:t>
        </w:r>
      </w:hyperlink>
      <w:r w:rsidR="003A2465">
        <w:t>:</w:t>
      </w:r>
      <w:r w:rsidR="00D51FB9">
        <w:t xml:space="preserve"> </w:t>
      </w:r>
    </w:p>
    <w:p w14:paraId="37075F81" w14:textId="248DBCCC" w:rsidR="00530669" w:rsidRDefault="00530669" w:rsidP="009F7D22">
      <w:pPr>
        <w:pStyle w:val="ListBullet2"/>
      </w:pPr>
      <w:r w:rsidRPr="004E1C94">
        <w:t xml:space="preserve">the Medicine </w:t>
      </w:r>
      <w:r w:rsidRPr="009F7D22">
        <w:t>Availability</w:t>
      </w:r>
      <w:r w:rsidRPr="004E1C94">
        <w:t xml:space="preserve"> Working Group (MAWG) </w:t>
      </w:r>
      <w:r>
        <w:t>a</w:t>
      </w:r>
      <w:r w:rsidRPr="004E1C94">
        <w:t xml:space="preserve">dviser </w:t>
      </w:r>
      <w:r>
        <w:t xml:space="preserve">who runs the </w:t>
      </w:r>
      <w:r w:rsidR="008B100F">
        <w:t>model.</w:t>
      </w:r>
      <w:r>
        <w:t xml:space="preserve"> </w:t>
      </w:r>
    </w:p>
    <w:p w14:paraId="6C3E8F2B" w14:textId="606F5225" w:rsidR="00530669" w:rsidRPr="00530669" w:rsidRDefault="00530669" w:rsidP="00804A7A">
      <w:pPr>
        <w:pStyle w:val="ListBullet2"/>
      </w:pPr>
      <w:r>
        <w:t>the Pharmaceutical Benefits Scheme (a part of the Department of Health and Aged Care)</w:t>
      </w:r>
      <w:r w:rsidRPr="004E1C94">
        <w:t>.</w:t>
      </w:r>
    </w:p>
    <w:p w14:paraId="059BA8F5" w14:textId="31E1A6C2" w:rsidR="00D51FB9" w:rsidRPr="009F7D22" w:rsidRDefault="00D51FB9" w:rsidP="009F7D22">
      <w:pPr>
        <w:pStyle w:val="Heading5"/>
      </w:pPr>
      <w:r w:rsidRPr="009F7D22">
        <w:t xml:space="preserve">Forecast </w:t>
      </w:r>
      <w:proofErr w:type="gramStart"/>
      <w:r w:rsidR="00F86CB2" w:rsidRPr="009F7D22">
        <w:t>m</w:t>
      </w:r>
      <w:r w:rsidRPr="009F7D22">
        <w:t>odelling</w:t>
      </w:r>
      <w:proofErr w:type="gramEnd"/>
    </w:p>
    <w:p w14:paraId="7493D4EB" w14:textId="150921B1" w:rsidR="00E21AAE" w:rsidRDefault="00D51FB9" w:rsidP="009F7D22">
      <w:pPr>
        <w:pStyle w:val="ListBullet"/>
      </w:pPr>
      <w:r>
        <w:t>F</w:t>
      </w:r>
      <w:r w:rsidR="00E21AAE" w:rsidRPr="00E21AAE">
        <w:t xml:space="preserve">orecast modelling is performed by the TGA </w:t>
      </w:r>
      <w:r w:rsidR="00530669">
        <w:t>and</w:t>
      </w:r>
      <w:r w:rsidR="00E21AAE" w:rsidRPr="00E21AAE">
        <w:t xml:space="preserve"> the MAWG adviser by </w:t>
      </w:r>
      <w:r w:rsidR="00E21AAE" w:rsidRPr="009F7D22">
        <w:t>running</w:t>
      </w:r>
      <w:r w:rsidR="00E21AAE" w:rsidRPr="00E21AAE">
        <w:t xml:space="preserve"> the model.</w:t>
      </w:r>
    </w:p>
    <w:p w14:paraId="6D5E9ECB" w14:textId="765DC80A" w:rsidR="00D51FB9" w:rsidRPr="009F7D22" w:rsidRDefault="00D51FB9" w:rsidP="009F7D22">
      <w:pPr>
        <w:pStyle w:val="Heading5"/>
      </w:pPr>
      <w:r w:rsidRPr="009F7D22">
        <w:lastRenderedPageBreak/>
        <w:t xml:space="preserve">Aggregated </w:t>
      </w:r>
      <w:r w:rsidR="00546CBF" w:rsidRPr="009F7D22">
        <w:t>visual</w:t>
      </w:r>
      <w:r w:rsidRPr="009F7D22">
        <w:t xml:space="preserve"> sharing and </w:t>
      </w:r>
      <w:r w:rsidR="009D53C1" w:rsidRPr="009F7D22">
        <w:t xml:space="preserve">response </w:t>
      </w:r>
      <w:proofErr w:type="gramStart"/>
      <w:r w:rsidRPr="009F7D22">
        <w:t>coordinat</w:t>
      </w:r>
      <w:r w:rsidR="009D53C1" w:rsidRPr="009F7D22">
        <w:t>ion</w:t>
      </w:r>
      <w:proofErr w:type="gramEnd"/>
    </w:p>
    <w:p w14:paraId="16C72526" w14:textId="77777777" w:rsidR="00530669" w:rsidRPr="00662490" w:rsidRDefault="00530669" w:rsidP="009F7D22">
      <w:pPr>
        <w:pStyle w:val="ListBullet"/>
      </w:pPr>
      <w:r w:rsidRPr="00662490">
        <w:t>Aggregated visuals are the de-identified model output</w:t>
      </w:r>
      <w:r>
        <w:t xml:space="preserve"> </w:t>
      </w:r>
      <w:r w:rsidRPr="009F7D22">
        <w:t>with</w:t>
      </w:r>
      <w:r>
        <w:t xml:space="preserve"> stock </w:t>
      </w:r>
      <w:r w:rsidRPr="00662490">
        <w:t>displayed as a percentage of demand</w:t>
      </w:r>
      <w:r>
        <w:t xml:space="preserve"> (see below example)</w:t>
      </w:r>
      <w:r w:rsidRPr="00662490">
        <w:t>.</w:t>
      </w:r>
      <w:r>
        <w:t xml:space="preserve"> </w:t>
      </w:r>
      <w:r w:rsidRPr="00662490">
        <w:t xml:space="preserve">Individual </w:t>
      </w:r>
      <w:r>
        <w:t xml:space="preserve">stock </w:t>
      </w:r>
      <w:r w:rsidRPr="00662490">
        <w:t xml:space="preserve">data </w:t>
      </w:r>
      <w:r>
        <w:t>is</w:t>
      </w:r>
      <w:r w:rsidRPr="00662490">
        <w:t xml:space="preserve"> </w:t>
      </w:r>
      <w:r>
        <w:t>not shown.</w:t>
      </w:r>
    </w:p>
    <w:p w14:paraId="2C5A4FAB" w14:textId="31D2BBBB" w:rsidR="00D51FB9" w:rsidRDefault="00D51FB9" w:rsidP="009F7D22">
      <w:pPr>
        <w:pStyle w:val="ListBullet"/>
      </w:pPr>
      <w:r>
        <w:t>If required, t</w:t>
      </w:r>
      <w:r w:rsidR="00E21AAE">
        <w:t xml:space="preserve">he aggregated </w:t>
      </w:r>
      <w:r w:rsidR="00E71BF9">
        <w:t xml:space="preserve">visuals </w:t>
      </w:r>
      <w:r w:rsidR="00E21AAE">
        <w:t xml:space="preserve">(the model outputs) </w:t>
      </w:r>
      <w:r>
        <w:t>may be shared with specified individuals or organisations</w:t>
      </w:r>
      <w:r w:rsidR="007344BF">
        <w:t xml:space="preserve"> set out in the </w:t>
      </w:r>
      <w:hyperlink r:id="rId18" w:history="1">
        <w:r w:rsidR="00386354">
          <w:rPr>
            <w:rStyle w:val="Hyperlink"/>
          </w:rPr>
          <w:t>legislative instrument</w:t>
        </w:r>
      </w:hyperlink>
      <w:r w:rsidR="00546DF7">
        <w:t>.</w:t>
      </w:r>
      <w:r w:rsidR="00AD0E74">
        <w:t xml:space="preserve"> An example is provided in </w:t>
      </w:r>
      <w:hyperlink w:anchor="_Attachment_A" w:history="1">
        <w:r w:rsidR="00AD0E74" w:rsidRPr="00AD0E74">
          <w:rPr>
            <w:rStyle w:val="Hyperlink"/>
          </w:rPr>
          <w:t>Attachment A</w:t>
        </w:r>
      </w:hyperlink>
      <w:r w:rsidR="00AD0E74">
        <w:t>.</w:t>
      </w:r>
    </w:p>
    <w:p w14:paraId="665C2638" w14:textId="15D143E3" w:rsidR="00E21AAE" w:rsidRPr="00546CBF" w:rsidRDefault="00546CBF" w:rsidP="009F7D22">
      <w:pPr>
        <w:pStyle w:val="ListBullet"/>
      </w:pPr>
      <w:r>
        <w:t>Aggregated visuals are shared with the MAWG and</w:t>
      </w:r>
      <w:r w:rsidR="00E21AAE">
        <w:t xml:space="preserve"> discussed from a </w:t>
      </w:r>
      <w:r w:rsidR="00E21AAE" w:rsidRPr="009F7D22">
        <w:t>hospital</w:t>
      </w:r>
      <w:r w:rsidR="00E21AAE">
        <w:t xml:space="preserve"> perspective. This</w:t>
      </w:r>
      <w:r w:rsidR="00E21AAE">
        <w:rPr>
          <w:iCs/>
        </w:rPr>
        <w:t xml:space="preserve"> is coordinated by the TGA and comprises representatives from </w:t>
      </w:r>
      <w:r w:rsidR="00672E59">
        <w:rPr>
          <w:iCs/>
        </w:rPr>
        <w:t xml:space="preserve">state </w:t>
      </w:r>
      <w:r w:rsidR="00E21AAE">
        <w:rPr>
          <w:iCs/>
        </w:rPr>
        <w:t xml:space="preserve">and </w:t>
      </w:r>
      <w:r w:rsidR="00672E59">
        <w:rPr>
          <w:iCs/>
        </w:rPr>
        <w:t xml:space="preserve">territory </w:t>
      </w:r>
      <w:r w:rsidR="00E21AAE">
        <w:rPr>
          <w:iCs/>
        </w:rPr>
        <w:t>health departments. The MAWG</w:t>
      </w:r>
      <w:r w:rsidR="00E21AAE">
        <w:t xml:space="preserve"> uses the model projections to</w:t>
      </w:r>
      <w:r w:rsidR="00E21AAE" w:rsidRPr="005F6427">
        <w:t xml:space="preserve"> develop </w:t>
      </w:r>
      <w:r w:rsidR="00E21AAE">
        <w:t xml:space="preserve">and implement </w:t>
      </w:r>
      <w:r w:rsidR="00E21AAE" w:rsidRPr="005F6427">
        <w:t>conservation recommendations</w:t>
      </w:r>
      <w:r w:rsidR="00E21AAE">
        <w:t>.</w:t>
      </w:r>
    </w:p>
    <w:p w14:paraId="310A530D" w14:textId="25FE5C43" w:rsidR="00546CBF" w:rsidRPr="00DA15D4" w:rsidRDefault="00672E59" w:rsidP="009F7D22">
      <w:pPr>
        <w:pStyle w:val="ListBullet"/>
      </w:pPr>
      <w:r>
        <w:t>A</w:t>
      </w:r>
      <w:r w:rsidR="00546DF7">
        <w:t xml:space="preserve">ggregated visuals </w:t>
      </w:r>
      <w:r w:rsidR="00546CBF">
        <w:t>may also be shared with an MSAG to discuss clinical management. MSAGs are</w:t>
      </w:r>
      <w:r w:rsidR="00546CBF" w:rsidRPr="00DA15D4">
        <w:t xml:space="preserve"> convened and coordinated by</w:t>
      </w:r>
      <w:r>
        <w:t xml:space="preserve"> the</w:t>
      </w:r>
      <w:r w:rsidR="00546CBF" w:rsidRPr="00DA15D4">
        <w:t xml:space="preserve"> TGA </w:t>
      </w:r>
      <w:r w:rsidR="00546CBF" w:rsidRPr="009F7D22">
        <w:t>and</w:t>
      </w:r>
      <w:r w:rsidR="00546CBF" w:rsidRPr="00DA15D4">
        <w:t xml:space="preserve"> include healthcare professional peak bodies and consumer representative groups relevant to </w:t>
      </w:r>
      <w:r w:rsidR="00546CBF">
        <w:t>a specific</w:t>
      </w:r>
      <w:r w:rsidR="00546CBF" w:rsidRPr="00DA15D4">
        <w:t xml:space="preserve"> shortage. </w:t>
      </w:r>
      <w:r w:rsidR="00546CBF">
        <w:t xml:space="preserve">MSAGs use the aggregated </w:t>
      </w:r>
      <w:r w:rsidR="00AD0E74">
        <w:t xml:space="preserve">visual </w:t>
      </w:r>
      <w:r w:rsidR="00546CBF">
        <w:t>forecasts to provide recommendations on</w:t>
      </w:r>
      <w:r w:rsidR="00546CBF" w:rsidRPr="00C050C4">
        <w:rPr>
          <w:rFonts w:cs="Arial"/>
          <w:szCs w:val="18"/>
        </w:rPr>
        <w:t xml:space="preserve"> shortage management strategies</w:t>
      </w:r>
      <w:r w:rsidR="00546CBF">
        <w:rPr>
          <w:rFonts w:cs="Arial"/>
          <w:szCs w:val="18"/>
        </w:rPr>
        <w:t>.</w:t>
      </w:r>
    </w:p>
    <w:p w14:paraId="743595F4" w14:textId="3865B0E5" w:rsidR="00546CBF" w:rsidRPr="00546DF7" w:rsidRDefault="00546CBF" w:rsidP="009F7D22">
      <w:pPr>
        <w:pStyle w:val="Heading5"/>
      </w:pPr>
      <w:r w:rsidRPr="00546DF7">
        <w:t xml:space="preserve">Communication: Sharing of conclusions and </w:t>
      </w:r>
      <w:r w:rsidR="00AD0E74">
        <w:t>recommendations</w:t>
      </w:r>
    </w:p>
    <w:p w14:paraId="1345C79E" w14:textId="3F241278" w:rsidR="00E21AAE" w:rsidRPr="00030E46" w:rsidRDefault="00E21AAE" w:rsidP="009F7D22">
      <w:pPr>
        <w:pStyle w:val="ListBullet"/>
      </w:pPr>
      <w:r w:rsidRPr="00030E46">
        <w:t xml:space="preserve">Management strategies, which may include estimates about medicine availability captured under data release, are </w:t>
      </w:r>
      <w:r w:rsidRPr="009F7D22">
        <w:t>published</w:t>
      </w:r>
      <w:r w:rsidRPr="00030E46">
        <w:t xml:space="preserve"> on the TGA website. The type of information that may be published </w:t>
      </w:r>
      <w:r w:rsidR="00AD0E74" w:rsidRPr="00030E46">
        <w:t>is</w:t>
      </w:r>
      <w:r w:rsidRPr="00030E46">
        <w:t xml:space="preserve"> detailed in a </w:t>
      </w:r>
      <w:hyperlink r:id="rId19" w:history="1">
        <w:r w:rsidRPr="00030E46">
          <w:rPr>
            <w:rStyle w:val="Hyperlink"/>
            <w:color w:val="333F48"/>
            <w:u w:val="none"/>
          </w:rPr>
          <w:t>legislative instrument</w:t>
        </w:r>
      </w:hyperlink>
      <w:r w:rsidRPr="00030E46">
        <w:t>.</w:t>
      </w:r>
      <w:r w:rsidR="00AD0E74" w:rsidRPr="00030E46">
        <w:t xml:space="preserve"> An example of this type of information is shown in Attachment B.</w:t>
      </w:r>
    </w:p>
    <w:p w14:paraId="2BC7611A" w14:textId="2F31F666" w:rsidR="00546CBF" w:rsidRPr="00030E46" w:rsidRDefault="00AD0E74" w:rsidP="009F7D22">
      <w:pPr>
        <w:pStyle w:val="ListBullet"/>
      </w:pPr>
      <w:r w:rsidRPr="00030E46">
        <w:t>The public information, including predictions for medicine availability and conservation recommendations (for the specific medicines) are disseminated to state and territory health departments by their representatives on the MAWG or may be shared by MSAG members through their own communication channels</w:t>
      </w:r>
      <w:r w:rsidR="00E52F76" w:rsidRPr="00030E46">
        <w:t>.</w:t>
      </w:r>
    </w:p>
    <w:p w14:paraId="6FA02F6D" w14:textId="6B76B56F" w:rsidR="00B018FA" w:rsidRDefault="10E9B0CB" w:rsidP="009F7D22">
      <w:pPr>
        <w:pStyle w:val="Heading3"/>
      </w:pPr>
      <w:bookmarkStart w:id="18" w:name="_Details_about_the"/>
      <w:bookmarkStart w:id="19" w:name="_Hlk155866033"/>
      <w:bookmarkStart w:id="20" w:name="_Toc175574117"/>
      <w:bookmarkEnd w:id="7"/>
      <w:bookmarkEnd w:id="16"/>
      <w:bookmarkEnd w:id="18"/>
      <w:r>
        <w:t>Details about the data to be shared</w:t>
      </w:r>
      <w:r w:rsidR="00295D67">
        <w:t xml:space="preserve"> by </w:t>
      </w:r>
      <w:proofErr w:type="gramStart"/>
      <w:r w:rsidR="00295D67">
        <w:t>providers</w:t>
      </w:r>
      <w:bookmarkEnd w:id="20"/>
      <w:proofErr w:type="gramEnd"/>
    </w:p>
    <w:bookmarkEnd w:id="19"/>
    <w:p w14:paraId="374BC7A7" w14:textId="66328F9C" w:rsidR="00956DA6" w:rsidRDefault="000E1DFD" w:rsidP="009F7D22">
      <w:r>
        <w:t xml:space="preserve">The </w:t>
      </w:r>
      <w:r w:rsidR="007F4B45">
        <w:t xml:space="preserve">TGA will </w:t>
      </w:r>
      <w:r w:rsidR="00DE40FB">
        <w:t xml:space="preserve">request </w:t>
      </w:r>
      <w:r w:rsidR="007F4B45">
        <w:t xml:space="preserve">providers </w:t>
      </w:r>
      <w:r>
        <w:t xml:space="preserve">to share data </w:t>
      </w:r>
      <w:r w:rsidR="007F4B45">
        <w:t xml:space="preserve">on the supply and use of specific medicines or groups of medicines </w:t>
      </w:r>
      <w:r w:rsidR="00243AD4">
        <w:t>specified in the data</w:t>
      </w:r>
      <w:r w:rsidR="00231533">
        <w:t>-</w:t>
      </w:r>
      <w:r w:rsidR="00243AD4">
        <w:t>sharing template</w:t>
      </w:r>
      <w:r>
        <w:t xml:space="preserve">. </w:t>
      </w:r>
      <w:r w:rsidR="00C855DF">
        <w:t>The template will be customised to each scenario</w:t>
      </w:r>
      <w:r w:rsidR="00204DF0">
        <w:t>. For example, some requests may require specific usage</w:t>
      </w:r>
      <w:r w:rsidR="00987144">
        <w:t xml:space="preserve"> data. </w:t>
      </w:r>
      <w:r w:rsidR="00A575B4">
        <w:t xml:space="preserve">It is acknowledged that the data provider may not be able to provide the granularity of data requested. </w:t>
      </w:r>
      <w:r w:rsidR="00204DF0">
        <w:t xml:space="preserve">If participants </w:t>
      </w:r>
      <w:r w:rsidR="00853430">
        <w:t xml:space="preserve">do not capture </w:t>
      </w:r>
      <w:r w:rsidR="00A575B4">
        <w:t xml:space="preserve">demand </w:t>
      </w:r>
      <w:r w:rsidR="00853430">
        <w:t>information</w:t>
      </w:r>
      <w:r w:rsidR="00A575B4">
        <w:t xml:space="preserve"> by indication or use area</w:t>
      </w:r>
      <w:r w:rsidR="00853430">
        <w:t>, t</w:t>
      </w:r>
      <w:r w:rsidR="00204DF0">
        <w:t>otal demand may be provided</w:t>
      </w:r>
      <w:r w:rsidR="00853430">
        <w:t xml:space="preserve"> </w:t>
      </w:r>
      <w:r w:rsidR="007F4B45">
        <w:t xml:space="preserve">instead and </w:t>
      </w:r>
      <w:r w:rsidR="00853430">
        <w:t>must be noted</w:t>
      </w:r>
      <w:r w:rsidR="005C7255">
        <w:t>.</w:t>
      </w:r>
      <w:r w:rsidR="00C855DF">
        <w:t xml:space="preserve"> </w:t>
      </w:r>
      <w:r w:rsidR="005C7255">
        <w:t>The data</w:t>
      </w:r>
      <w:r w:rsidR="00231533">
        <w:t>-</w:t>
      </w:r>
      <w:r w:rsidR="005C7255">
        <w:t xml:space="preserve">sharing request </w:t>
      </w:r>
      <w:r w:rsidR="00C855DF">
        <w:t xml:space="preserve">could </w:t>
      </w:r>
      <w:r w:rsidR="007F4B45">
        <w:t>ask</w:t>
      </w:r>
      <w:r w:rsidR="007A40FF">
        <w:t xml:space="preserve"> for</w:t>
      </w:r>
      <w:r w:rsidR="00C855DF">
        <w:t xml:space="preserve"> the types of data</w:t>
      </w:r>
      <w:r w:rsidR="00956DA6">
        <w:t xml:space="preserve"> set out in Table 1.</w:t>
      </w:r>
    </w:p>
    <w:p w14:paraId="6D06FF05" w14:textId="5BFF5B20" w:rsidR="000E1DFD" w:rsidRPr="00956DA6" w:rsidRDefault="00956DA6" w:rsidP="009F7D22">
      <w:pPr>
        <w:pStyle w:val="Tabletitle"/>
      </w:pPr>
      <w:r w:rsidRPr="00956DA6">
        <w:t>Table 1: Types of data</w:t>
      </w:r>
      <w:r w:rsidR="007764F1">
        <w:t>.</w:t>
      </w:r>
    </w:p>
    <w:tbl>
      <w:tblPr>
        <w:tblStyle w:val="TableTGAblue2023"/>
        <w:tblW w:w="5000" w:type="pct"/>
        <w:tblLook w:val="04A0" w:firstRow="1" w:lastRow="0" w:firstColumn="1" w:lastColumn="0" w:noHBand="0" w:noVBand="1"/>
      </w:tblPr>
      <w:tblGrid>
        <w:gridCol w:w="1430"/>
        <w:gridCol w:w="7630"/>
      </w:tblGrid>
      <w:tr w:rsidR="009B2B5E" w:rsidRPr="009B2B5E" w14:paraId="3967569F" w14:textId="77777777" w:rsidTr="009F7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tcPr>
          <w:p w14:paraId="30ADB07E" w14:textId="5B1265C1" w:rsidR="009B2B5E" w:rsidRPr="00092BF5" w:rsidRDefault="009B2B5E" w:rsidP="009F7D22">
            <w:r w:rsidRPr="00092BF5">
              <w:t xml:space="preserve">Descriptor </w:t>
            </w:r>
          </w:p>
        </w:tc>
        <w:tc>
          <w:tcPr>
            <w:tcW w:w="4220" w:type="pct"/>
          </w:tcPr>
          <w:p w14:paraId="3527229B" w14:textId="1C462B0E" w:rsidR="009B2B5E" w:rsidRPr="009B2B5E" w:rsidRDefault="005C07E8" w:rsidP="009F7D22">
            <w:pPr>
              <w:cnfStyle w:val="100000000000" w:firstRow="1" w:lastRow="0" w:firstColumn="0" w:lastColumn="0" w:oddVBand="0" w:evenVBand="0" w:oddHBand="0" w:evenHBand="0" w:firstRowFirstColumn="0" w:firstRowLastColumn="0" w:lastRowFirstColumn="0" w:lastRowLastColumn="0"/>
              <w:rPr>
                <w:rFonts w:eastAsiaTheme="minorHAnsi"/>
                <w:lang w:eastAsia="en-US"/>
              </w:rPr>
            </w:pPr>
            <w:r w:rsidRPr="00092BF5">
              <w:rPr>
                <w:rFonts w:eastAsiaTheme="minorHAnsi"/>
                <w:lang w:eastAsia="en-US"/>
              </w:rPr>
              <w:t>Data type</w:t>
            </w:r>
            <w:r w:rsidR="009B2B5E" w:rsidRPr="009B2B5E">
              <w:rPr>
                <w:rFonts w:eastAsiaTheme="minorHAnsi"/>
                <w:lang w:eastAsia="en-US"/>
              </w:rPr>
              <w:t xml:space="preserve"> </w:t>
            </w:r>
          </w:p>
        </w:tc>
      </w:tr>
      <w:tr w:rsidR="005C07E8" w:rsidRPr="009B2B5E" w14:paraId="6E58350A" w14:textId="77777777" w:rsidTr="009F7D22">
        <w:tc>
          <w:tcPr>
            <w:cnfStyle w:val="001000000000" w:firstRow="0" w:lastRow="0" w:firstColumn="1" w:lastColumn="0" w:oddVBand="0" w:evenVBand="0" w:oddHBand="0" w:evenHBand="0" w:firstRowFirstColumn="0" w:firstRowLastColumn="0" w:lastRowFirstColumn="0" w:lastRowLastColumn="0"/>
            <w:tcW w:w="780" w:type="pct"/>
          </w:tcPr>
          <w:p w14:paraId="6DC559D4" w14:textId="79BA5127" w:rsidR="005C07E8" w:rsidRPr="00092BF5" w:rsidRDefault="005C07E8" w:rsidP="009F7D22">
            <w:pPr>
              <w:rPr>
                <w:szCs w:val="18"/>
              </w:rPr>
            </w:pPr>
            <w:r w:rsidRPr="00092BF5">
              <w:rPr>
                <w:szCs w:val="18"/>
              </w:rPr>
              <w:t>supply</w:t>
            </w:r>
          </w:p>
        </w:tc>
        <w:tc>
          <w:tcPr>
            <w:tcW w:w="4220" w:type="pct"/>
          </w:tcPr>
          <w:p w14:paraId="28E0293D" w14:textId="14585208" w:rsidR="007F4B45" w:rsidRDefault="53F70956" w:rsidP="009F7D22">
            <w:pPr>
              <w:cnfStyle w:val="000000000000" w:firstRow="0" w:lastRow="0" w:firstColumn="0" w:lastColumn="0" w:oddVBand="0" w:evenVBand="0" w:oddHBand="0" w:evenHBand="0" w:firstRowFirstColumn="0" w:firstRowLastColumn="0" w:lastRowFirstColumn="0" w:lastRowLastColumn="0"/>
              <w:rPr>
                <w:rFonts w:eastAsiaTheme="minorEastAsia"/>
                <w:lang w:eastAsia="en-US"/>
              </w:rPr>
            </w:pPr>
            <w:r w:rsidRPr="4D98A817">
              <w:rPr>
                <w:rFonts w:eastAsiaTheme="minorEastAsia"/>
                <w:lang w:eastAsia="en-US"/>
              </w:rPr>
              <w:t>Sponsor</w:t>
            </w:r>
            <w:r w:rsidR="007F4B45">
              <w:rPr>
                <w:rFonts w:eastAsiaTheme="minorEastAsia"/>
                <w:lang w:eastAsia="en-US"/>
              </w:rPr>
              <w:t>:</w:t>
            </w:r>
          </w:p>
          <w:p w14:paraId="4C72E216" w14:textId="1DB69096" w:rsidR="005C07E8" w:rsidRPr="00092BF5" w:rsidRDefault="007F4B45" w:rsidP="009F7D22">
            <w:pPr>
              <w:cnfStyle w:val="000000000000" w:firstRow="0" w:lastRow="0" w:firstColumn="0" w:lastColumn="0" w:oddVBand="0" w:evenVBand="0" w:oddHBand="0" w:evenHBand="0" w:firstRowFirstColumn="0" w:firstRowLastColumn="0" w:lastRowFirstColumn="0" w:lastRowLastColumn="0"/>
              <w:rPr>
                <w:rFonts w:eastAsiaTheme="minorEastAsia"/>
                <w:lang w:eastAsia="en-US"/>
              </w:rPr>
            </w:pPr>
            <w:r>
              <w:rPr>
                <w:rFonts w:eastAsiaTheme="minorEastAsia"/>
                <w:lang w:eastAsia="en-US"/>
              </w:rPr>
              <w:t>S</w:t>
            </w:r>
            <w:r w:rsidRPr="4D98A817">
              <w:rPr>
                <w:rFonts w:eastAsiaTheme="minorEastAsia"/>
                <w:lang w:eastAsia="en-US"/>
              </w:rPr>
              <w:t xml:space="preserve">tock </w:t>
            </w:r>
            <w:r w:rsidR="53F70956" w:rsidRPr="4D98A817">
              <w:rPr>
                <w:rFonts w:eastAsiaTheme="minorEastAsia"/>
                <w:lang w:eastAsia="en-US"/>
              </w:rPr>
              <w:t xml:space="preserve">on hand </w:t>
            </w:r>
            <w:r>
              <w:rPr>
                <w:rFonts w:eastAsiaTheme="minorEastAsia"/>
                <w:lang w:eastAsia="en-US"/>
              </w:rPr>
              <w:t xml:space="preserve">plus </w:t>
            </w:r>
            <w:r w:rsidR="00853430">
              <w:rPr>
                <w:rFonts w:eastAsiaTheme="minorEastAsia"/>
                <w:lang w:eastAsia="en-US"/>
              </w:rPr>
              <w:t>approximate dates and quantities of</w:t>
            </w:r>
            <w:r w:rsidR="53F70956" w:rsidRPr="4D98A817">
              <w:rPr>
                <w:rFonts w:eastAsiaTheme="minorEastAsia"/>
                <w:lang w:eastAsia="en-US"/>
              </w:rPr>
              <w:t xml:space="preserve"> future orders</w:t>
            </w:r>
            <w:r w:rsidR="37F7861B" w:rsidRPr="4D98A817">
              <w:rPr>
                <w:rFonts w:eastAsiaTheme="minorEastAsia"/>
                <w:lang w:eastAsia="en-US"/>
              </w:rPr>
              <w:t xml:space="preserve"> or stock not</w:t>
            </w:r>
            <w:r w:rsidR="005C4180">
              <w:rPr>
                <w:rFonts w:eastAsiaTheme="minorEastAsia"/>
                <w:lang w:eastAsia="en-US"/>
              </w:rPr>
              <w:t xml:space="preserve"> currently</w:t>
            </w:r>
            <w:r w:rsidR="37F7861B" w:rsidRPr="4D98A817">
              <w:rPr>
                <w:rFonts w:eastAsiaTheme="minorEastAsia"/>
                <w:lang w:eastAsia="en-US"/>
              </w:rPr>
              <w:t xml:space="preserve"> usable that could be used</w:t>
            </w:r>
            <w:r w:rsidR="00D21273">
              <w:rPr>
                <w:rFonts w:eastAsiaTheme="minorEastAsia"/>
                <w:lang w:eastAsia="en-US"/>
              </w:rPr>
              <w:t xml:space="preserve"> (</w:t>
            </w:r>
            <w:r w:rsidR="008735F0">
              <w:rPr>
                <w:rFonts w:eastAsiaTheme="minorEastAsia"/>
                <w:lang w:eastAsia="en-US"/>
              </w:rPr>
              <w:t>e.g.</w:t>
            </w:r>
            <w:r w:rsidR="00033B6D">
              <w:rPr>
                <w:rFonts w:eastAsiaTheme="minorEastAsia"/>
                <w:lang w:eastAsia="en-US"/>
              </w:rPr>
              <w:t xml:space="preserve"> </w:t>
            </w:r>
            <w:r w:rsidR="00D21273">
              <w:rPr>
                <w:rFonts w:eastAsiaTheme="minorEastAsia"/>
                <w:lang w:eastAsia="en-US"/>
              </w:rPr>
              <w:t>expired stock)</w:t>
            </w:r>
            <w:r w:rsidR="00664A3A">
              <w:rPr>
                <w:rFonts w:eastAsiaTheme="minorEastAsia"/>
                <w:lang w:eastAsia="en-US"/>
              </w:rPr>
              <w:t xml:space="preserve">, </w:t>
            </w:r>
            <w:r w:rsidR="00472132">
              <w:rPr>
                <w:rFonts w:eastAsiaTheme="minorEastAsia"/>
                <w:lang w:eastAsia="en-US"/>
              </w:rPr>
              <w:t xml:space="preserve">estimates of </w:t>
            </w:r>
            <w:r w:rsidR="00664A3A">
              <w:rPr>
                <w:rFonts w:eastAsiaTheme="minorEastAsia"/>
                <w:lang w:eastAsia="en-US"/>
              </w:rPr>
              <w:t xml:space="preserve">the </w:t>
            </w:r>
            <w:r w:rsidR="00472132">
              <w:rPr>
                <w:rFonts w:eastAsiaTheme="minorEastAsia"/>
                <w:lang w:eastAsia="en-US"/>
              </w:rPr>
              <w:t>stock</w:t>
            </w:r>
            <w:r w:rsidR="00664A3A">
              <w:rPr>
                <w:rFonts w:eastAsiaTheme="minorEastAsia"/>
                <w:lang w:eastAsia="en-US"/>
              </w:rPr>
              <w:t xml:space="preserve"> at </w:t>
            </w:r>
            <w:r w:rsidR="00472132">
              <w:rPr>
                <w:rFonts w:eastAsiaTheme="minorEastAsia"/>
                <w:lang w:eastAsia="en-US"/>
              </w:rPr>
              <w:t>wholesalers</w:t>
            </w:r>
          </w:p>
        </w:tc>
      </w:tr>
      <w:tr w:rsidR="005C07E8" w:rsidRPr="009B2B5E" w14:paraId="618E5C01" w14:textId="77777777" w:rsidTr="009F7D22">
        <w:tc>
          <w:tcPr>
            <w:cnfStyle w:val="001000000000" w:firstRow="0" w:lastRow="0" w:firstColumn="1" w:lastColumn="0" w:oddVBand="0" w:evenVBand="0" w:oddHBand="0" w:evenHBand="0" w:firstRowFirstColumn="0" w:firstRowLastColumn="0" w:lastRowFirstColumn="0" w:lastRowLastColumn="0"/>
            <w:tcW w:w="780" w:type="pct"/>
          </w:tcPr>
          <w:p w14:paraId="693048CF" w14:textId="7BC83B7A" w:rsidR="005C07E8" w:rsidRPr="00092BF5" w:rsidRDefault="005C07E8" w:rsidP="009F7D22">
            <w:pPr>
              <w:rPr>
                <w:szCs w:val="18"/>
              </w:rPr>
            </w:pPr>
            <w:r w:rsidRPr="00092BF5">
              <w:rPr>
                <w:szCs w:val="18"/>
              </w:rPr>
              <w:t>supply</w:t>
            </w:r>
          </w:p>
        </w:tc>
        <w:tc>
          <w:tcPr>
            <w:tcW w:w="4220" w:type="pct"/>
          </w:tcPr>
          <w:p w14:paraId="56D9B47D" w14:textId="65621ADE" w:rsidR="007F4B45" w:rsidRDefault="005C07E8" w:rsidP="009F7D22">
            <w:pPr>
              <w:cnfStyle w:val="000000000000" w:firstRow="0" w:lastRow="0" w:firstColumn="0" w:lastColumn="0" w:oddVBand="0" w:evenVBand="0" w:oddHBand="0" w:evenHBand="0" w:firstRowFirstColumn="0" w:firstRowLastColumn="0" w:lastRowFirstColumn="0" w:lastRowLastColumn="0"/>
              <w:rPr>
                <w:rFonts w:eastAsiaTheme="minorHAnsi"/>
                <w:szCs w:val="18"/>
                <w:lang w:eastAsia="en-US"/>
              </w:rPr>
            </w:pPr>
            <w:r w:rsidRPr="00092BF5">
              <w:rPr>
                <w:rFonts w:eastAsiaTheme="minorHAnsi"/>
                <w:szCs w:val="18"/>
                <w:lang w:eastAsia="en-US"/>
              </w:rPr>
              <w:t>Wholesaler</w:t>
            </w:r>
            <w:r w:rsidR="007F4B45">
              <w:rPr>
                <w:rFonts w:eastAsiaTheme="minorHAnsi"/>
                <w:szCs w:val="18"/>
                <w:lang w:eastAsia="en-US"/>
              </w:rPr>
              <w:t>:</w:t>
            </w:r>
          </w:p>
          <w:p w14:paraId="48F7B2AC" w14:textId="7FDAEED6" w:rsidR="005C07E8" w:rsidRPr="00092BF5" w:rsidRDefault="007F4B45" w:rsidP="009F7D22">
            <w:pPr>
              <w:cnfStyle w:val="000000000000" w:firstRow="0" w:lastRow="0" w:firstColumn="0" w:lastColumn="0" w:oddVBand="0" w:evenVBand="0" w:oddHBand="0" w:evenHBand="0" w:firstRowFirstColumn="0" w:firstRowLastColumn="0" w:lastRowFirstColumn="0" w:lastRowLastColumn="0"/>
              <w:rPr>
                <w:rFonts w:eastAsiaTheme="minorHAnsi"/>
                <w:szCs w:val="18"/>
                <w:lang w:eastAsia="en-US"/>
              </w:rPr>
            </w:pPr>
            <w:r>
              <w:rPr>
                <w:rFonts w:eastAsiaTheme="minorHAnsi"/>
                <w:szCs w:val="18"/>
                <w:lang w:eastAsia="en-US"/>
              </w:rPr>
              <w:t>S</w:t>
            </w:r>
            <w:r w:rsidRPr="00092BF5">
              <w:rPr>
                <w:rFonts w:eastAsiaTheme="minorHAnsi"/>
                <w:szCs w:val="18"/>
                <w:lang w:eastAsia="en-US"/>
              </w:rPr>
              <w:t xml:space="preserve">tock </w:t>
            </w:r>
            <w:r w:rsidR="005C07E8" w:rsidRPr="00092BF5">
              <w:rPr>
                <w:rFonts w:eastAsiaTheme="minorHAnsi"/>
                <w:szCs w:val="18"/>
                <w:lang w:eastAsia="en-US"/>
              </w:rPr>
              <w:t>on hand</w:t>
            </w:r>
          </w:p>
        </w:tc>
      </w:tr>
      <w:tr w:rsidR="005C07E8" w:rsidRPr="009B2B5E" w14:paraId="18C87714" w14:textId="77777777" w:rsidTr="009F7D22">
        <w:tc>
          <w:tcPr>
            <w:cnfStyle w:val="001000000000" w:firstRow="0" w:lastRow="0" w:firstColumn="1" w:lastColumn="0" w:oddVBand="0" w:evenVBand="0" w:oddHBand="0" w:evenHBand="0" w:firstRowFirstColumn="0" w:firstRowLastColumn="0" w:lastRowFirstColumn="0" w:lastRowLastColumn="0"/>
            <w:tcW w:w="780" w:type="pct"/>
          </w:tcPr>
          <w:p w14:paraId="7644C175" w14:textId="4B9EB054" w:rsidR="005C07E8" w:rsidRPr="00092BF5" w:rsidRDefault="005C07E8" w:rsidP="009F7D22">
            <w:pPr>
              <w:rPr>
                <w:szCs w:val="18"/>
              </w:rPr>
            </w:pPr>
            <w:r w:rsidRPr="00092BF5">
              <w:rPr>
                <w:szCs w:val="18"/>
              </w:rPr>
              <w:t>supply</w:t>
            </w:r>
          </w:p>
        </w:tc>
        <w:tc>
          <w:tcPr>
            <w:tcW w:w="4220" w:type="pct"/>
          </w:tcPr>
          <w:p w14:paraId="73898248" w14:textId="727755ED" w:rsidR="008C54A0" w:rsidRPr="008C54A0" w:rsidRDefault="007F4B45" w:rsidP="009F7D22">
            <w:pPr>
              <w:cnfStyle w:val="000000000000" w:firstRow="0" w:lastRow="0" w:firstColumn="0" w:lastColumn="0" w:oddVBand="0" w:evenVBand="0" w:oddHBand="0" w:evenHBand="0" w:firstRowFirstColumn="0" w:firstRowLastColumn="0" w:lastRowFirstColumn="0" w:lastRowLastColumn="0"/>
              <w:rPr>
                <w:rFonts w:eastAsiaTheme="minorEastAsia"/>
                <w:lang w:eastAsia="en-US"/>
              </w:rPr>
            </w:pPr>
            <w:r>
              <w:rPr>
                <w:rFonts w:eastAsiaTheme="minorEastAsia"/>
                <w:lang w:eastAsia="en-US"/>
              </w:rPr>
              <w:t>S</w:t>
            </w:r>
            <w:r w:rsidR="53F70956" w:rsidRPr="4D98A817">
              <w:rPr>
                <w:rFonts w:eastAsiaTheme="minorEastAsia"/>
                <w:lang w:eastAsia="en-US"/>
              </w:rPr>
              <w:t>tock on hand</w:t>
            </w:r>
            <w:r w:rsidR="002409F2">
              <w:rPr>
                <w:rFonts w:eastAsiaTheme="minorEastAsia"/>
                <w:lang w:eastAsia="en-US"/>
              </w:rPr>
              <w:t xml:space="preserve"> (pharmacy level)</w:t>
            </w:r>
            <w:r w:rsidR="008C54A0">
              <w:rPr>
                <w:rFonts w:eastAsiaTheme="minorEastAsia"/>
                <w:lang w:eastAsia="en-US"/>
              </w:rPr>
              <w:br/>
              <w:t>C</w:t>
            </w:r>
            <w:r w:rsidR="008C54A0" w:rsidRPr="008C54A0">
              <w:rPr>
                <w:rFonts w:eastAsiaTheme="minorEastAsia"/>
                <w:lang w:eastAsia="en-US"/>
              </w:rPr>
              <w:t>entral store</w:t>
            </w:r>
            <w:r w:rsidR="008C54A0">
              <w:rPr>
                <w:rFonts w:eastAsiaTheme="minorEastAsia"/>
                <w:lang w:eastAsia="en-US"/>
              </w:rPr>
              <w:t xml:space="preserve"> </w:t>
            </w:r>
            <w:r w:rsidR="008C54A0" w:rsidRPr="008C54A0">
              <w:rPr>
                <w:rFonts w:eastAsiaTheme="minorEastAsia"/>
                <w:lang w:eastAsia="en-US"/>
              </w:rPr>
              <w:t>stockpile</w:t>
            </w:r>
            <w:r w:rsidR="008C54A0">
              <w:rPr>
                <w:rFonts w:eastAsiaTheme="minorEastAsia"/>
                <w:lang w:eastAsia="en-US"/>
              </w:rPr>
              <w:t xml:space="preserve"> captured as</w:t>
            </w:r>
            <w:r w:rsidR="004A119B">
              <w:rPr>
                <w:rFonts w:eastAsiaTheme="minorEastAsia"/>
                <w:lang w:eastAsia="en-US"/>
              </w:rPr>
              <w:t xml:space="preserve"> part of ‘total pharmacy location </w:t>
            </w:r>
            <w:proofErr w:type="gramStart"/>
            <w:r w:rsidR="004A119B">
              <w:rPr>
                <w:rFonts w:eastAsiaTheme="minorEastAsia"/>
                <w:lang w:eastAsia="en-US"/>
              </w:rPr>
              <w:t>stock’</w:t>
            </w:r>
            <w:proofErr w:type="gramEnd"/>
            <w:r w:rsidR="004A119B">
              <w:rPr>
                <w:rFonts w:eastAsiaTheme="minorEastAsia"/>
                <w:lang w:eastAsia="en-US"/>
              </w:rPr>
              <w:t xml:space="preserve"> </w:t>
            </w:r>
          </w:p>
          <w:p w14:paraId="3742CD3D" w14:textId="7D5802B5" w:rsidR="005C07E8" w:rsidRPr="00092BF5" w:rsidRDefault="005C07E8" w:rsidP="009F7D22">
            <w:pPr>
              <w:cnfStyle w:val="000000000000" w:firstRow="0" w:lastRow="0" w:firstColumn="0" w:lastColumn="0" w:oddVBand="0" w:evenVBand="0" w:oddHBand="0" w:evenHBand="0" w:firstRowFirstColumn="0" w:firstRowLastColumn="0" w:lastRowFirstColumn="0" w:lastRowLastColumn="0"/>
              <w:rPr>
                <w:rFonts w:eastAsiaTheme="minorHAnsi"/>
                <w:szCs w:val="18"/>
                <w:lang w:eastAsia="en-US"/>
              </w:rPr>
            </w:pPr>
          </w:p>
        </w:tc>
      </w:tr>
      <w:tr w:rsidR="00A52966" w:rsidRPr="009B2B5E" w14:paraId="1063655A" w14:textId="77777777" w:rsidTr="009F7D22">
        <w:tc>
          <w:tcPr>
            <w:cnfStyle w:val="001000000000" w:firstRow="0" w:lastRow="0" w:firstColumn="1" w:lastColumn="0" w:oddVBand="0" w:evenVBand="0" w:oddHBand="0" w:evenHBand="0" w:firstRowFirstColumn="0" w:firstRowLastColumn="0" w:lastRowFirstColumn="0" w:lastRowLastColumn="0"/>
            <w:tcW w:w="780" w:type="pct"/>
          </w:tcPr>
          <w:p w14:paraId="21B2454B" w14:textId="31EB96D5" w:rsidR="00A52966" w:rsidRPr="00092BF5" w:rsidRDefault="00A52966" w:rsidP="009F7D22">
            <w:pPr>
              <w:rPr>
                <w:szCs w:val="18"/>
              </w:rPr>
            </w:pPr>
            <w:r>
              <w:rPr>
                <w:szCs w:val="18"/>
              </w:rPr>
              <w:t>supply</w:t>
            </w:r>
          </w:p>
        </w:tc>
        <w:tc>
          <w:tcPr>
            <w:tcW w:w="4220" w:type="pct"/>
          </w:tcPr>
          <w:p w14:paraId="3E495DDD" w14:textId="77777777" w:rsidR="007F4B45" w:rsidRDefault="0078458A" w:rsidP="009F7D22">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Hospital p</w:t>
            </w:r>
            <w:r w:rsidR="00A52966">
              <w:rPr>
                <w:rFonts w:eastAsiaTheme="minorEastAsia"/>
              </w:rPr>
              <w:t>harmacy</w:t>
            </w:r>
            <w:r w:rsidR="007F4B45">
              <w:rPr>
                <w:rFonts w:eastAsiaTheme="minorEastAsia"/>
              </w:rPr>
              <w:t>:</w:t>
            </w:r>
          </w:p>
          <w:p w14:paraId="481C163D" w14:textId="5BD2FF30" w:rsidR="00D1199F" w:rsidRDefault="007F4B45" w:rsidP="009F7D22">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w:t>
            </w:r>
            <w:r w:rsidR="00A52966">
              <w:rPr>
                <w:rFonts w:eastAsiaTheme="minorEastAsia"/>
              </w:rPr>
              <w:t>tock on hand</w:t>
            </w:r>
            <w:r>
              <w:rPr>
                <w:rFonts w:eastAsiaTheme="minorEastAsia"/>
              </w:rPr>
              <w:t xml:space="preserve"> </w:t>
            </w:r>
            <w:r w:rsidR="002409F2">
              <w:rPr>
                <w:rFonts w:eastAsiaTheme="minorEastAsia"/>
              </w:rPr>
              <w:t xml:space="preserve">(pharmacy level) </w:t>
            </w:r>
            <w:r w:rsidR="00F952FE">
              <w:rPr>
                <w:rFonts w:eastAsiaTheme="minorEastAsia"/>
              </w:rPr>
              <w:t>–</w:t>
            </w:r>
            <w:r>
              <w:rPr>
                <w:rFonts w:eastAsiaTheme="minorEastAsia"/>
              </w:rPr>
              <w:t xml:space="preserve"> e</w:t>
            </w:r>
            <w:r w:rsidR="00A52966">
              <w:rPr>
                <w:rFonts w:eastAsiaTheme="minorEastAsia"/>
              </w:rPr>
              <w:t>stimates would be provided by states and territories if they are available.</w:t>
            </w:r>
            <w:r w:rsidR="00D1199F">
              <w:rPr>
                <w:rFonts w:eastAsiaTheme="minorEastAsia"/>
              </w:rPr>
              <w:t xml:space="preserve"> Stock may be captured by location (pharmacy 1-20) as the jurisdiction’s stock levels are collated. </w:t>
            </w:r>
          </w:p>
          <w:p w14:paraId="4F1915BA" w14:textId="7DB1D97C" w:rsidR="00A52966" w:rsidRDefault="00A52966" w:rsidP="009F7D22">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Community pharmacies will not be approached</w:t>
            </w:r>
            <w:r w:rsidR="00D1199F">
              <w:rPr>
                <w:rFonts w:eastAsiaTheme="minorEastAsia"/>
              </w:rPr>
              <w:t xml:space="preserve"> (out of scope)</w:t>
            </w:r>
            <w:r>
              <w:rPr>
                <w:rFonts w:eastAsiaTheme="minorEastAsia"/>
              </w:rPr>
              <w:t xml:space="preserve"> </w:t>
            </w:r>
            <w:r w:rsidR="00D1199F">
              <w:rPr>
                <w:rFonts w:eastAsiaTheme="minorEastAsia"/>
              </w:rPr>
              <w:t>but may be extrapolated from wholesaler data.</w:t>
            </w:r>
          </w:p>
        </w:tc>
      </w:tr>
      <w:tr w:rsidR="005C07E8" w:rsidRPr="009B2B5E" w14:paraId="025B65C5" w14:textId="77777777" w:rsidTr="009F7D22">
        <w:tc>
          <w:tcPr>
            <w:cnfStyle w:val="001000000000" w:firstRow="0" w:lastRow="0" w:firstColumn="1" w:lastColumn="0" w:oddVBand="0" w:evenVBand="0" w:oddHBand="0" w:evenHBand="0" w:firstRowFirstColumn="0" w:firstRowLastColumn="0" w:lastRowFirstColumn="0" w:lastRowLastColumn="0"/>
            <w:tcW w:w="780" w:type="pct"/>
          </w:tcPr>
          <w:p w14:paraId="1B8E9B01" w14:textId="6ADAD9C5" w:rsidR="005C07E8" w:rsidRPr="00092BF5" w:rsidRDefault="001A340A" w:rsidP="009F7D22">
            <w:pPr>
              <w:rPr>
                <w:szCs w:val="18"/>
              </w:rPr>
            </w:pPr>
            <w:r>
              <w:rPr>
                <w:szCs w:val="18"/>
              </w:rPr>
              <w:lastRenderedPageBreak/>
              <w:t>S</w:t>
            </w:r>
            <w:r w:rsidR="005C07E8" w:rsidRPr="00092BF5">
              <w:rPr>
                <w:szCs w:val="18"/>
              </w:rPr>
              <w:t>upply</w:t>
            </w:r>
          </w:p>
        </w:tc>
        <w:tc>
          <w:tcPr>
            <w:tcW w:w="4220" w:type="pct"/>
          </w:tcPr>
          <w:p w14:paraId="5D8CEC8B" w14:textId="5CBFBC78" w:rsidR="005C07E8" w:rsidRPr="00092BF5" w:rsidRDefault="005C07E8" w:rsidP="009F7D22">
            <w:pPr>
              <w:cnfStyle w:val="000000000000" w:firstRow="0" w:lastRow="0" w:firstColumn="0" w:lastColumn="0" w:oddVBand="0" w:evenVBand="0" w:oddHBand="0" w:evenHBand="0" w:firstRowFirstColumn="0" w:firstRowLastColumn="0" w:lastRowFirstColumn="0" w:lastRowLastColumn="0"/>
              <w:rPr>
                <w:rFonts w:eastAsiaTheme="minorHAnsi"/>
                <w:szCs w:val="18"/>
                <w:lang w:eastAsia="en-US"/>
              </w:rPr>
            </w:pPr>
            <w:r w:rsidRPr="00092BF5">
              <w:rPr>
                <w:rFonts w:eastAsiaTheme="minorHAnsi"/>
                <w:szCs w:val="18"/>
                <w:lang w:eastAsia="en-US"/>
              </w:rPr>
              <w:t>Public hospitals</w:t>
            </w:r>
            <w:r w:rsidR="00F04ED1">
              <w:rPr>
                <w:rFonts w:eastAsiaTheme="minorHAnsi"/>
                <w:szCs w:val="18"/>
                <w:lang w:eastAsia="en-US"/>
              </w:rPr>
              <w:t xml:space="preserve"> (including hospital pharmacies)</w:t>
            </w:r>
            <w:r w:rsidRPr="00092BF5">
              <w:rPr>
                <w:rFonts w:eastAsiaTheme="minorHAnsi"/>
                <w:szCs w:val="18"/>
                <w:lang w:eastAsia="en-US"/>
              </w:rPr>
              <w:t xml:space="preserve"> </w:t>
            </w:r>
          </w:p>
        </w:tc>
      </w:tr>
      <w:tr w:rsidR="005C07E8" w:rsidRPr="009B2B5E" w14:paraId="6A7F4D11" w14:textId="77777777" w:rsidTr="009F7D22">
        <w:tc>
          <w:tcPr>
            <w:cnfStyle w:val="001000000000" w:firstRow="0" w:lastRow="0" w:firstColumn="1" w:lastColumn="0" w:oddVBand="0" w:evenVBand="0" w:oddHBand="0" w:evenHBand="0" w:firstRowFirstColumn="0" w:firstRowLastColumn="0" w:lastRowFirstColumn="0" w:lastRowLastColumn="0"/>
            <w:tcW w:w="780" w:type="pct"/>
          </w:tcPr>
          <w:p w14:paraId="671B75C9" w14:textId="1385BD74" w:rsidR="005C07E8" w:rsidRPr="00092BF5" w:rsidRDefault="005C07E8" w:rsidP="009F7D22">
            <w:pPr>
              <w:rPr>
                <w:szCs w:val="18"/>
              </w:rPr>
            </w:pPr>
            <w:r w:rsidRPr="00092BF5">
              <w:rPr>
                <w:szCs w:val="18"/>
              </w:rPr>
              <w:t>supply</w:t>
            </w:r>
          </w:p>
        </w:tc>
        <w:tc>
          <w:tcPr>
            <w:tcW w:w="4220" w:type="pct"/>
          </w:tcPr>
          <w:p w14:paraId="075BDECF" w14:textId="48DD2684" w:rsidR="005C07E8" w:rsidRPr="00092BF5" w:rsidRDefault="005C07E8" w:rsidP="009F7D22">
            <w:pPr>
              <w:cnfStyle w:val="000000000000" w:firstRow="0" w:lastRow="0" w:firstColumn="0" w:lastColumn="0" w:oddVBand="0" w:evenVBand="0" w:oddHBand="0" w:evenHBand="0" w:firstRowFirstColumn="0" w:firstRowLastColumn="0" w:lastRowFirstColumn="0" w:lastRowLastColumn="0"/>
              <w:rPr>
                <w:rFonts w:eastAsiaTheme="minorHAnsi"/>
                <w:szCs w:val="18"/>
                <w:lang w:eastAsia="en-US"/>
              </w:rPr>
            </w:pPr>
            <w:r w:rsidRPr="00092BF5">
              <w:rPr>
                <w:rFonts w:eastAsiaTheme="minorHAnsi"/>
                <w:szCs w:val="18"/>
                <w:lang w:eastAsia="en-US"/>
              </w:rPr>
              <w:t xml:space="preserve">Private hospitals </w:t>
            </w:r>
          </w:p>
        </w:tc>
      </w:tr>
      <w:tr w:rsidR="005C07E8" w:rsidRPr="009B2B5E" w14:paraId="5810160D" w14:textId="77777777" w:rsidTr="009F7D22">
        <w:tc>
          <w:tcPr>
            <w:cnfStyle w:val="001000000000" w:firstRow="0" w:lastRow="0" w:firstColumn="1" w:lastColumn="0" w:oddVBand="0" w:evenVBand="0" w:oddHBand="0" w:evenHBand="0" w:firstRowFirstColumn="0" w:firstRowLastColumn="0" w:lastRowFirstColumn="0" w:lastRowLastColumn="0"/>
            <w:tcW w:w="780" w:type="pct"/>
          </w:tcPr>
          <w:p w14:paraId="574BCF4C" w14:textId="116E046A" w:rsidR="005C07E8" w:rsidRPr="00092BF5" w:rsidRDefault="005C07E8" w:rsidP="009F7D22">
            <w:pPr>
              <w:rPr>
                <w:szCs w:val="18"/>
              </w:rPr>
            </w:pPr>
            <w:r w:rsidRPr="00092BF5">
              <w:rPr>
                <w:szCs w:val="18"/>
              </w:rPr>
              <w:t xml:space="preserve">demand </w:t>
            </w:r>
          </w:p>
        </w:tc>
        <w:tc>
          <w:tcPr>
            <w:tcW w:w="4220" w:type="pct"/>
          </w:tcPr>
          <w:p w14:paraId="579DF185" w14:textId="77777777" w:rsidR="00D21273" w:rsidRDefault="005C07E8" w:rsidP="009F7D22">
            <w:pPr>
              <w:cnfStyle w:val="000000000000" w:firstRow="0" w:lastRow="0" w:firstColumn="0" w:lastColumn="0" w:oddVBand="0" w:evenVBand="0" w:oddHBand="0" w:evenHBand="0" w:firstRowFirstColumn="0" w:firstRowLastColumn="0" w:lastRowFirstColumn="0" w:lastRowLastColumn="0"/>
              <w:rPr>
                <w:rFonts w:eastAsiaTheme="minorHAnsi"/>
                <w:szCs w:val="18"/>
                <w:lang w:eastAsia="en-US"/>
              </w:rPr>
            </w:pPr>
            <w:r w:rsidRPr="00092BF5">
              <w:rPr>
                <w:rFonts w:eastAsiaTheme="minorHAnsi"/>
                <w:szCs w:val="18"/>
                <w:lang w:eastAsia="en-US"/>
              </w:rPr>
              <w:t xml:space="preserve">Indication </w:t>
            </w:r>
          </w:p>
          <w:p w14:paraId="7055C96F" w14:textId="5ADFA861" w:rsidR="005C07E8" w:rsidRDefault="00D21273" w:rsidP="009F7D22">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In </w:t>
            </w:r>
            <w:r w:rsidR="00517DC6">
              <w:rPr>
                <w:lang w:eastAsia="en-US"/>
              </w:rPr>
              <w:t xml:space="preserve">some </w:t>
            </w:r>
            <w:r w:rsidR="008735F0">
              <w:rPr>
                <w:lang w:eastAsia="en-US"/>
              </w:rPr>
              <w:t>cases,</w:t>
            </w:r>
            <w:r w:rsidR="00853430">
              <w:rPr>
                <w:lang w:eastAsia="en-US"/>
              </w:rPr>
              <w:t xml:space="preserve"> the TGA may request</w:t>
            </w:r>
            <w:r w:rsidR="00517DC6">
              <w:rPr>
                <w:lang w:eastAsia="en-US"/>
              </w:rPr>
              <w:t xml:space="preserve"> </w:t>
            </w:r>
            <w:r w:rsidR="005C07E8" w:rsidRPr="00D21273">
              <w:rPr>
                <w:lang w:eastAsia="en-US"/>
              </w:rPr>
              <w:t>breakdown of usage for multiple indications, where relevant</w:t>
            </w:r>
            <w:r>
              <w:rPr>
                <w:lang w:eastAsia="en-US"/>
              </w:rPr>
              <w:t xml:space="preserve"> </w:t>
            </w:r>
          </w:p>
          <w:p w14:paraId="261D95FF" w14:textId="23365FD2" w:rsidR="005C07E8" w:rsidRPr="00092BF5" w:rsidRDefault="00517DC6" w:rsidP="009F7D22">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lang w:eastAsia="en-US"/>
              </w:rPr>
              <w:t xml:space="preserve">In </w:t>
            </w:r>
            <w:r w:rsidR="00853430">
              <w:rPr>
                <w:lang w:eastAsia="en-US"/>
              </w:rPr>
              <w:t>other cases, the TGA</w:t>
            </w:r>
            <w:r>
              <w:rPr>
                <w:lang w:eastAsia="en-US"/>
              </w:rPr>
              <w:t xml:space="preserve"> will request total stock numbers for each jurisdiction (captured as indication not known or considered)</w:t>
            </w:r>
          </w:p>
        </w:tc>
      </w:tr>
      <w:tr w:rsidR="005C07E8" w:rsidRPr="009B2B5E" w14:paraId="126D13AF" w14:textId="77777777" w:rsidTr="009F7D22">
        <w:tc>
          <w:tcPr>
            <w:cnfStyle w:val="001000000000" w:firstRow="0" w:lastRow="0" w:firstColumn="1" w:lastColumn="0" w:oddVBand="0" w:evenVBand="0" w:oddHBand="0" w:evenHBand="0" w:firstRowFirstColumn="0" w:firstRowLastColumn="0" w:lastRowFirstColumn="0" w:lastRowLastColumn="0"/>
            <w:tcW w:w="780" w:type="pct"/>
          </w:tcPr>
          <w:p w14:paraId="7F867B1E" w14:textId="44AC0869" w:rsidR="005C07E8" w:rsidRPr="00092BF5" w:rsidRDefault="005C07E8" w:rsidP="009F7D22">
            <w:pPr>
              <w:rPr>
                <w:szCs w:val="18"/>
              </w:rPr>
            </w:pPr>
            <w:r w:rsidRPr="00092BF5">
              <w:rPr>
                <w:szCs w:val="18"/>
              </w:rPr>
              <w:t xml:space="preserve">demand </w:t>
            </w:r>
          </w:p>
        </w:tc>
        <w:tc>
          <w:tcPr>
            <w:tcW w:w="4220" w:type="pct"/>
          </w:tcPr>
          <w:p w14:paraId="7C2AD652" w14:textId="5DEA4E1D" w:rsidR="005C07E8" w:rsidRPr="00092BF5" w:rsidRDefault="00C73D63" w:rsidP="009F7D22">
            <w:pPr>
              <w:cnfStyle w:val="000000000000" w:firstRow="0" w:lastRow="0" w:firstColumn="0" w:lastColumn="0" w:oddVBand="0" w:evenVBand="0" w:oddHBand="0" w:evenHBand="0" w:firstRowFirstColumn="0" w:firstRowLastColumn="0" w:lastRowFirstColumn="0" w:lastRowLastColumn="0"/>
              <w:rPr>
                <w:rFonts w:eastAsiaTheme="minorHAnsi"/>
                <w:szCs w:val="18"/>
                <w:lang w:eastAsia="en-US"/>
              </w:rPr>
            </w:pPr>
            <w:r>
              <w:rPr>
                <w:rFonts w:eastAsiaTheme="minorHAnsi"/>
                <w:szCs w:val="18"/>
                <w:lang w:eastAsia="en-US"/>
              </w:rPr>
              <w:t>Specific u</w:t>
            </w:r>
            <w:r w:rsidR="005C07E8" w:rsidRPr="00092BF5">
              <w:rPr>
                <w:rFonts w:eastAsiaTheme="minorHAnsi"/>
                <w:szCs w:val="18"/>
                <w:lang w:eastAsia="en-US"/>
              </w:rPr>
              <w:t xml:space="preserve">sage within </w:t>
            </w:r>
            <w:r w:rsidR="005C07E8" w:rsidRPr="00092BF5">
              <w:rPr>
                <w:rFonts w:eastAsiaTheme="minorHAnsi"/>
                <w:bCs/>
                <w:szCs w:val="18"/>
                <w:lang w:eastAsia="en-US"/>
              </w:rPr>
              <w:t>primary care</w:t>
            </w:r>
            <w:r w:rsidR="005C07E8" w:rsidRPr="00092BF5">
              <w:rPr>
                <w:rFonts w:eastAsiaTheme="minorHAnsi"/>
                <w:szCs w:val="18"/>
                <w:lang w:eastAsia="en-US"/>
              </w:rPr>
              <w:t xml:space="preserve"> e.g. outpatient, ambulance or remote </w:t>
            </w:r>
            <w:r w:rsidR="005C07E8" w:rsidRPr="00092BF5">
              <w:rPr>
                <w:rFonts w:eastAsiaTheme="minorHAnsi"/>
                <w:bCs/>
                <w:szCs w:val="18"/>
                <w:lang w:eastAsia="en-US"/>
              </w:rPr>
              <w:t>(public</w:t>
            </w:r>
            <w:r w:rsidR="007F4B45">
              <w:rPr>
                <w:rFonts w:eastAsiaTheme="minorHAnsi"/>
                <w:bCs/>
                <w:szCs w:val="18"/>
                <w:lang w:eastAsia="en-US"/>
              </w:rPr>
              <w:t>, private</w:t>
            </w:r>
            <w:r w:rsidR="005C07E8" w:rsidRPr="00092BF5">
              <w:rPr>
                <w:rFonts w:eastAsiaTheme="minorHAnsi"/>
                <w:bCs/>
                <w:szCs w:val="18"/>
                <w:lang w:eastAsia="en-US"/>
              </w:rPr>
              <w:t>)</w:t>
            </w:r>
          </w:p>
        </w:tc>
      </w:tr>
      <w:tr w:rsidR="005C07E8" w:rsidRPr="009B2B5E" w14:paraId="65A454A5" w14:textId="77777777" w:rsidTr="009F7D22">
        <w:tc>
          <w:tcPr>
            <w:cnfStyle w:val="001000000000" w:firstRow="0" w:lastRow="0" w:firstColumn="1" w:lastColumn="0" w:oddVBand="0" w:evenVBand="0" w:oddHBand="0" w:evenHBand="0" w:firstRowFirstColumn="0" w:firstRowLastColumn="0" w:lastRowFirstColumn="0" w:lastRowLastColumn="0"/>
            <w:tcW w:w="780" w:type="pct"/>
          </w:tcPr>
          <w:p w14:paraId="6625A1AD" w14:textId="1784C008" w:rsidR="005C07E8" w:rsidRPr="00092BF5" w:rsidRDefault="005C07E8" w:rsidP="009F7D22">
            <w:pPr>
              <w:rPr>
                <w:szCs w:val="18"/>
              </w:rPr>
            </w:pPr>
            <w:r w:rsidRPr="00092BF5">
              <w:rPr>
                <w:szCs w:val="18"/>
              </w:rPr>
              <w:t>demand</w:t>
            </w:r>
          </w:p>
        </w:tc>
        <w:tc>
          <w:tcPr>
            <w:tcW w:w="4220" w:type="pct"/>
          </w:tcPr>
          <w:p w14:paraId="4FAE1D3C" w14:textId="62129964" w:rsidR="005C07E8" w:rsidRPr="00092BF5" w:rsidRDefault="00C73D63" w:rsidP="009F7D22">
            <w:pPr>
              <w:cnfStyle w:val="000000000000" w:firstRow="0" w:lastRow="0" w:firstColumn="0" w:lastColumn="0" w:oddVBand="0" w:evenVBand="0" w:oddHBand="0" w:evenHBand="0" w:firstRowFirstColumn="0" w:firstRowLastColumn="0" w:lastRowFirstColumn="0" w:lastRowLastColumn="0"/>
              <w:rPr>
                <w:rFonts w:eastAsiaTheme="minorHAnsi"/>
                <w:szCs w:val="18"/>
                <w:lang w:eastAsia="en-US"/>
              </w:rPr>
            </w:pPr>
            <w:r>
              <w:rPr>
                <w:rFonts w:eastAsiaTheme="minorHAnsi"/>
                <w:szCs w:val="18"/>
                <w:lang w:eastAsia="en-US"/>
              </w:rPr>
              <w:t>Specific u</w:t>
            </w:r>
            <w:r w:rsidR="005C07E8" w:rsidRPr="00092BF5">
              <w:rPr>
                <w:rFonts w:eastAsiaTheme="minorHAnsi"/>
                <w:szCs w:val="18"/>
                <w:lang w:eastAsia="en-US"/>
              </w:rPr>
              <w:t xml:space="preserve">sage within </w:t>
            </w:r>
            <w:r w:rsidR="005C07E8" w:rsidRPr="00092BF5">
              <w:rPr>
                <w:rFonts w:eastAsiaTheme="minorHAnsi"/>
                <w:bCs/>
                <w:szCs w:val="18"/>
                <w:lang w:eastAsia="en-US"/>
              </w:rPr>
              <w:t>secondary care</w:t>
            </w:r>
            <w:r w:rsidR="005C07E8" w:rsidRPr="00092BF5">
              <w:rPr>
                <w:rFonts w:eastAsiaTheme="minorHAnsi"/>
                <w:szCs w:val="18"/>
                <w:lang w:eastAsia="en-US"/>
              </w:rPr>
              <w:t xml:space="preserve"> e.g. outpatient, E</w:t>
            </w:r>
            <w:r w:rsidR="00714B9D">
              <w:rPr>
                <w:rFonts w:eastAsiaTheme="minorHAnsi"/>
                <w:szCs w:val="18"/>
                <w:lang w:eastAsia="en-US"/>
              </w:rPr>
              <w:t>mergency Departmen</w:t>
            </w:r>
            <w:r w:rsidR="00714B9D" w:rsidRPr="00092BF5">
              <w:rPr>
                <w:rFonts w:eastAsiaTheme="minorHAnsi"/>
                <w:szCs w:val="18"/>
                <w:lang w:eastAsia="en-US"/>
              </w:rPr>
              <w:t>t</w:t>
            </w:r>
            <w:r w:rsidR="00714B9D">
              <w:rPr>
                <w:rFonts w:eastAsiaTheme="minorHAnsi"/>
                <w:szCs w:val="18"/>
                <w:lang w:eastAsia="en-US"/>
              </w:rPr>
              <w:t xml:space="preserve"> (ED)</w:t>
            </w:r>
            <w:r w:rsidR="005C07E8" w:rsidRPr="00092BF5">
              <w:rPr>
                <w:rFonts w:eastAsiaTheme="minorHAnsi"/>
                <w:szCs w:val="18"/>
                <w:lang w:eastAsia="en-US"/>
              </w:rPr>
              <w:t>, O</w:t>
            </w:r>
            <w:r w:rsidR="00714B9D">
              <w:rPr>
                <w:rFonts w:eastAsiaTheme="minorHAnsi"/>
                <w:szCs w:val="18"/>
                <w:lang w:eastAsia="en-US"/>
              </w:rPr>
              <w:t xml:space="preserve">perating </w:t>
            </w:r>
            <w:proofErr w:type="spellStart"/>
            <w:r w:rsidR="005C07E8" w:rsidRPr="00092BF5">
              <w:rPr>
                <w:rFonts w:eastAsiaTheme="minorHAnsi"/>
                <w:szCs w:val="18"/>
                <w:lang w:eastAsia="en-US"/>
              </w:rPr>
              <w:t>T</w:t>
            </w:r>
            <w:r w:rsidR="00714B9D">
              <w:rPr>
                <w:rFonts w:eastAsiaTheme="minorHAnsi"/>
                <w:szCs w:val="18"/>
                <w:lang w:eastAsia="en-US"/>
              </w:rPr>
              <w:t>heater</w:t>
            </w:r>
            <w:proofErr w:type="spellEnd"/>
            <w:r w:rsidR="00714B9D">
              <w:rPr>
                <w:rFonts w:eastAsiaTheme="minorHAnsi"/>
                <w:szCs w:val="18"/>
                <w:lang w:eastAsia="en-US"/>
              </w:rPr>
              <w:t xml:space="preserve"> (OT)</w:t>
            </w:r>
            <w:r w:rsidR="005C07E8" w:rsidRPr="00092BF5">
              <w:rPr>
                <w:rFonts w:eastAsiaTheme="minorHAnsi"/>
                <w:szCs w:val="18"/>
                <w:lang w:eastAsia="en-US"/>
              </w:rPr>
              <w:t xml:space="preserve">, </w:t>
            </w:r>
            <w:r w:rsidR="00714B9D">
              <w:rPr>
                <w:rFonts w:eastAsiaTheme="minorHAnsi"/>
                <w:szCs w:val="18"/>
                <w:lang w:eastAsia="en-US"/>
              </w:rPr>
              <w:t>Intensive Care Unit (ICU</w:t>
            </w:r>
            <w:proofErr w:type="gramStart"/>
            <w:r w:rsidR="00714B9D">
              <w:rPr>
                <w:rFonts w:eastAsiaTheme="minorHAnsi"/>
                <w:szCs w:val="18"/>
                <w:lang w:eastAsia="en-US"/>
              </w:rPr>
              <w:t xml:space="preserve">) </w:t>
            </w:r>
            <w:r w:rsidR="005C07E8" w:rsidRPr="00092BF5">
              <w:rPr>
                <w:rFonts w:eastAsiaTheme="minorHAnsi"/>
                <w:szCs w:val="18"/>
                <w:lang w:eastAsia="en-US"/>
              </w:rPr>
              <w:t>,</w:t>
            </w:r>
            <w:proofErr w:type="gramEnd"/>
            <w:r w:rsidR="005C07E8" w:rsidRPr="00092BF5">
              <w:rPr>
                <w:rFonts w:eastAsiaTheme="minorHAnsi"/>
                <w:szCs w:val="18"/>
                <w:lang w:eastAsia="en-US"/>
              </w:rPr>
              <w:t xml:space="preserve"> </w:t>
            </w:r>
            <w:r w:rsidR="008735F0" w:rsidRPr="00092BF5">
              <w:rPr>
                <w:rFonts w:eastAsiaTheme="minorHAnsi"/>
                <w:szCs w:val="18"/>
                <w:lang w:eastAsia="en-US"/>
              </w:rPr>
              <w:t>Non-ICU</w:t>
            </w:r>
            <w:r w:rsidR="005C07E8" w:rsidRPr="00092BF5">
              <w:rPr>
                <w:rFonts w:eastAsiaTheme="minorHAnsi"/>
                <w:szCs w:val="18"/>
                <w:lang w:eastAsia="en-US"/>
              </w:rPr>
              <w:t xml:space="preserve"> ward (</w:t>
            </w:r>
            <w:r w:rsidR="005C07E8" w:rsidRPr="00092BF5">
              <w:rPr>
                <w:rFonts w:eastAsiaTheme="minorHAnsi"/>
                <w:bCs/>
                <w:szCs w:val="18"/>
                <w:lang w:eastAsia="en-US"/>
              </w:rPr>
              <w:t>public</w:t>
            </w:r>
            <w:r w:rsidR="007F4B45">
              <w:rPr>
                <w:rFonts w:eastAsiaTheme="minorHAnsi"/>
                <w:bCs/>
                <w:szCs w:val="18"/>
                <w:lang w:eastAsia="en-US"/>
              </w:rPr>
              <w:t>, private</w:t>
            </w:r>
            <w:r w:rsidR="005C07E8" w:rsidRPr="00092BF5">
              <w:rPr>
                <w:rFonts w:eastAsiaTheme="minorHAnsi"/>
                <w:szCs w:val="18"/>
                <w:lang w:eastAsia="en-US"/>
              </w:rPr>
              <w:t>)</w:t>
            </w:r>
          </w:p>
        </w:tc>
      </w:tr>
      <w:tr w:rsidR="005C07E8" w:rsidRPr="009B2B5E" w14:paraId="47C50D9A" w14:textId="77777777" w:rsidTr="009F7D22">
        <w:tc>
          <w:tcPr>
            <w:cnfStyle w:val="001000000000" w:firstRow="0" w:lastRow="0" w:firstColumn="1" w:lastColumn="0" w:oddVBand="0" w:evenVBand="0" w:oddHBand="0" w:evenHBand="0" w:firstRowFirstColumn="0" w:firstRowLastColumn="0" w:lastRowFirstColumn="0" w:lastRowLastColumn="0"/>
            <w:tcW w:w="780" w:type="pct"/>
          </w:tcPr>
          <w:p w14:paraId="4EBFA58A" w14:textId="71D90EBD" w:rsidR="005C07E8" w:rsidRPr="00092BF5" w:rsidRDefault="005C07E8" w:rsidP="009F7D22">
            <w:pPr>
              <w:rPr>
                <w:szCs w:val="18"/>
              </w:rPr>
            </w:pPr>
            <w:r w:rsidRPr="00092BF5">
              <w:rPr>
                <w:szCs w:val="18"/>
              </w:rPr>
              <w:t>demand</w:t>
            </w:r>
          </w:p>
        </w:tc>
        <w:tc>
          <w:tcPr>
            <w:tcW w:w="4220" w:type="pct"/>
          </w:tcPr>
          <w:p w14:paraId="7889566A" w14:textId="6D3F7BA9" w:rsidR="005C07E8" w:rsidRPr="005C4180" w:rsidRDefault="005C07E8" w:rsidP="009F7D22">
            <w:pPr>
              <w:cnfStyle w:val="000000000000" w:firstRow="0" w:lastRow="0" w:firstColumn="0" w:lastColumn="0" w:oddVBand="0" w:evenVBand="0" w:oddHBand="0" w:evenHBand="0" w:firstRowFirstColumn="0" w:firstRowLastColumn="0" w:lastRowFirstColumn="0" w:lastRowLastColumn="0"/>
              <w:rPr>
                <w:szCs w:val="18"/>
                <w:lang w:eastAsia="en-US"/>
              </w:rPr>
            </w:pPr>
            <w:r w:rsidRPr="005C4180">
              <w:rPr>
                <w:szCs w:val="18"/>
                <w:lang w:eastAsia="en-US"/>
              </w:rPr>
              <w:t xml:space="preserve">Usage by presentation </w:t>
            </w:r>
            <w:r w:rsidR="00C73D63">
              <w:rPr>
                <w:szCs w:val="18"/>
                <w:lang w:eastAsia="en-US"/>
              </w:rPr>
              <w:br/>
              <w:t>Typically usage would be requested for each ARTG product or unregistered product (</w:t>
            </w:r>
            <w:r w:rsidR="00033B6D">
              <w:rPr>
                <w:szCs w:val="18"/>
                <w:lang w:eastAsia="en-US"/>
              </w:rPr>
              <w:t>e.g.</w:t>
            </w:r>
            <w:r w:rsidR="00C73D63">
              <w:rPr>
                <w:szCs w:val="18"/>
                <w:lang w:eastAsia="en-US"/>
              </w:rPr>
              <w:t>19A product).</w:t>
            </w:r>
          </w:p>
        </w:tc>
      </w:tr>
      <w:tr w:rsidR="0027011C" w:rsidRPr="009B2B5E" w14:paraId="70B2750B" w14:textId="77777777" w:rsidTr="009F7D22">
        <w:tc>
          <w:tcPr>
            <w:cnfStyle w:val="001000000000" w:firstRow="0" w:lastRow="0" w:firstColumn="1" w:lastColumn="0" w:oddVBand="0" w:evenVBand="0" w:oddHBand="0" w:evenHBand="0" w:firstRowFirstColumn="0" w:firstRowLastColumn="0" w:lastRowFirstColumn="0" w:lastRowLastColumn="0"/>
            <w:tcW w:w="780" w:type="pct"/>
          </w:tcPr>
          <w:p w14:paraId="56E32A94" w14:textId="2408BB7E" w:rsidR="0027011C" w:rsidRPr="00092BF5" w:rsidRDefault="001A340A" w:rsidP="009F7D22">
            <w:pPr>
              <w:rPr>
                <w:szCs w:val="18"/>
              </w:rPr>
            </w:pPr>
            <w:r>
              <w:rPr>
                <w:szCs w:val="18"/>
              </w:rPr>
              <w:t>D</w:t>
            </w:r>
            <w:r w:rsidR="0027011C">
              <w:rPr>
                <w:szCs w:val="18"/>
              </w:rPr>
              <w:t>emand</w:t>
            </w:r>
          </w:p>
        </w:tc>
        <w:tc>
          <w:tcPr>
            <w:tcW w:w="4220" w:type="pct"/>
          </w:tcPr>
          <w:p w14:paraId="63E559CA" w14:textId="69B3CEF4" w:rsidR="0027011C" w:rsidRPr="005C4180" w:rsidRDefault="0027011C" w:rsidP="009F7D22">
            <w:pPr>
              <w:cnfStyle w:val="000000000000" w:firstRow="0" w:lastRow="0" w:firstColumn="0" w:lastColumn="0" w:oddVBand="0" w:evenVBand="0" w:oddHBand="0" w:evenHBand="0" w:firstRowFirstColumn="0" w:firstRowLastColumn="0" w:lastRowFirstColumn="0" w:lastRowLastColumn="0"/>
              <w:rPr>
                <w:szCs w:val="18"/>
              </w:rPr>
            </w:pPr>
            <w:r>
              <w:rPr>
                <w:szCs w:val="18"/>
              </w:rPr>
              <w:t>Total demand may be requested or provided where specific demand is not relevant to modelling or not available.</w:t>
            </w:r>
          </w:p>
        </w:tc>
      </w:tr>
    </w:tbl>
    <w:p w14:paraId="6F3F0278" w14:textId="47C960F7" w:rsidR="00747122" w:rsidRDefault="00747122" w:rsidP="009F7D22">
      <w:pPr>
        <w:pStyle w:val="Heading3"/>
      </w:pPr>
      <w:bookmarkStart w:id="21" w:name="_Consent_to_use"/>
      <w:bookmarkStart w:id="22" w:name="_Toc175574118"/>
      <w:bookmarkEnd w:id="21"/>
      <w:r>
        <w:t xml:space="preserve">Period </w:t>
      </w:r>
      <w:r w:rsidR="008F07BD">
        <w:t xml:space="preserve">of </w:t>
      </w:r>
      <w:r w:rsidR="008F07BD" w:rsidRPr="009F7D22">
        <w:t>endorsement</w:t>
      </w:r>
      <w:bookmarkEnd w:id="22"/>
    </w:p>
    <w:p w14:paraId="10EC25F9" w14:textId="43FCC4D4" w:rsidR="00C67335" w:rsidRPr="008170C4" w:rsidRDefault="003C47C7" w:rsidP="009F7D22">
      <w:r>
        <w:t xml:space="preserve">The participants under this framework are set out </w:t>
      </w:r>
      <w:r w:rsidR="00067F44">
        <w:t xml:space="preserve">in the table under </w:t>
      </w:r>
      <w:hyperlink w:anchor="_Data-sharing_participants" w:history="1">
        <w:r w:rsidR="00067F44" w:rsidRPr="00672E59">
          <w:rPr>
            <w:rStyle w:val="Hyperlink"/>
          </w:rPr>
          <w:t>Data</w:t>
        </w:r>
        <w:r w:rsidR="00231533" w:rsidRPr="00672E59">
          <w:rPr>
            <w:rStyle w:val="Hyperlink"/>
          </w:rPr>
          <w:t>-</w:t>
        </w:r>
        <w:r w:rsidR="00067F44" w:rsidRPr="00672E59">
          <w:rPr>
            <w:rStyle w:val="Hyperlink"/>
          </w:rPr>
          <w:t>sharing participants</w:t>
        </w:r>
      </w:hyperlink>
      <w:r w:rsidR="00067F44">
        <w:t xml:space="preserve">. </w:t>
      </w:r>
      <w:r w:rsidR="0024448A">
        <w:t xml:space="preserve">Entities listed </w:t>
      </w:r>
      <w:r w:rsidR="00672E59">
        <w:t xml:space="preserve">in the table </w:t>
      </w:r>
      <w:r w:rsidR="00295D67">
        <w:t>under</w:t>
      </w:r>
      <w:r w:rsidR="0024448A">
        <w:t xml:space="preserve"> ‘Data Providers’ who share information under this framework </w:t>
      </w:r>
      <w:r w:rsidR="00D447CA">
        <w:t xml:space="preserve">have endorsed </w:t>
      </w:r>
      <w:r w:rsidR="0024448A">
        <w:t>that information will be shared and used as set out in th</w:t>
      </w:r>
      <w:r w:rsidR="004B4E3B">
        <w:t xml:space="preserve">is document and pursuant to the </w:t>
      </w:r>
      <w:r w:rsidR="009336DC">
        <w:t>‘</w:t>
      </w:r>
      <w:hyperlink r:id="rId20" w:history="1">
        <w:r w:rsidR="009336DC" w:rsidRPr="009336DC">
          <w:rPr>
            <w:rStyle w:val="Hyperlink"/>
            <w:bCs/>
            <w:i/>
            <w:iCs/>
          </w:rPr>
          <w:t>Therapeutic Goods (Information Specification—Medicine Shortages and Availability Data) Instrument 2024</w:t>
        </w:r>
      </w:hyperlink>
      <w:r w:rsidR="004B4E3B" w:rsidRPr="00B23151">
        <w:rPr>
          <w:bCs/>
        </w:rPr>
        <w:t>’</w:t>
      </w:r>
      <w:r w:rsidR="0024448A" w:rsidRPr="00B23151">
        <w:t>.</w:t>
      </w:r>
    </w:p>
    <w:p w14:paraId="1956C6A9" w14:textId="77E38703" w:rsidR="00ED1A4B" w:rsidRDefault="008854CF" w:rsidP="009F7D22">
      <w:r>
        <w:t xml:space="preserve">The </w:t>
      </w:r>
      <w:r w:rsidR="005146FF">
        <w:t>Data</w:t>
      </w:r>
      <w:r w:rsidR="00D65BF0">
        <w:t>-</w:t>
      </w:r>
      <w:r w:rsidR="00A42C48">
        <w:t>s</w:t>
      </w:r>
      <w:r w:rsidR="005146FF">
        <w:t xml:space="preserve">haring </w:t>
      </w:r>
      <w:r w:rsidR="00A42C48">
        <w:t>f</w:t>
      </w:r>
      <w:r w:rsidR="00FE5CA5">
        <w:t>ramework</w:t>
      </w:r>
      <w:r w:rsidR="005146FF">
        <w:t xml:space="preserve"> </w:t>
      </w:r>
      <w:r w:rsidR="00A42C48">
        <w:t xml:space="preserve">is </w:t>
      </w:r>
      <w:r w:rsidR="008F07BD">
        <w:t xml:space="preserve">endorsed </w:t>
      </w:r>
      <w:r>
        <w:t xml:space="preserve">for a period of </w:t>
      </w:r>
      <w:r w:rsidR="006D04EC">
        <w:t>2</w:t>
      </w:r>
      <w:r>
        <w:t xml:space="preserve"> years. </w:t>
      </w:r>
      <w:r w:rsidR="00231533">
        <w:t xml:space="preserve">After this, </w:t>
      </w:r>
      <w:r w:rsidR="00A42C48">
        <w:t>it</w:t>
      </w:r>
      <w:r w:rsidR="00A42C48" w:rsidDel="005146FF">
        <w:t xml:space="preserve"> </w:t>
      </w:r>
      <w:r w:rsidR="006D04EC">
        <w:t xml:space="preserve">will be revisited and </w:t>
      </w:r>
      <w:r w:rsidR="009063D0">
        <w:t xml:space="preserve">may be </w:t>
      </w:r>
      <w:r w:rsidR="00325D1F">
        <w:t xml:space="preserve">renewed with or without </w:t>
      </w:r>
      <w:r w:rsidR="009063D0">
        <w:t>amend</w:t>
      </w:r>
      <w:r w:rsidR="00325D1F">
        <w:t>ment</w:t>
      </w:r>
      <w:r w:rsidR="009063D0">
        <w:t>.</w:t>
      </w:r>
      <w:bookmarkStart w:id="23" w:name="_Parties_to_the"/>
      <w:bookmarkEnd w:id="23"/>
    </w:p>
    <w:p w14:paraId="6931141C" w14:textId="1B0DD515" w:rsidR="0075212E" w:rsidRPr="0075212E" w:rsidRDefault="0075212E" w:rsidP="009F7D22">
      <w:r w:rsidRPr="0075212E">
        <w:t xml:space="preserve">Stakeholders may raise </w:t>
      </w:r>
      <w:r w:rsidR="005D60F9">
        <w:t xml:space="preserve">issues or </w:t>
      </w:r>
      <w:r w:rsidRPr="0075212E">
        <w:t>request</w:t>
      </w:r>
      <w:r>
        <w:t>s</w:t>
      </w:r>
      <w:r w:rsidRPr="0075212E">
        <w:t xml:space="preserve"> for process amendment </w:t>
      </w:r>
      <w:r w:rsidR="00D85ADA">
        <w:t>a</w:t>
      </w:r>
      <w:r w:rsidR="00FA3C49">
        <w:t>t</w:t>
      </w:r>
      <w:r w:rsidR="00D85ADA">
        <w:t xml:space="preserve"> any point in time, which </w:t>
      </w:r>
      <w:proofErr w:type="gramStart"/>
      <w:r w:rsidR="00D85ADA">
        <w:t>could  lead</w:t>
      </w:r>
      <w:proofErr w:type="gramEnd"/>
      <w:r w:rsidR="00D85ADA">
        <w:t xml:space="preserve"> to earlier review of the </w:t>
      </w:r>
      <w:r w:rsidR="00A42C48">
        <w:t>F</w:t>
      </w:r>
      <w:r w:rsidR="00E733E5">
        <w:t xml:space="preserve">ramework </w:t>
      </w:r>
      <w:r w:rsidR="00D85ADA">
        <w:t>if concerns are significant and experienced across multiple stakeholders.</w:t>
      </w:r>
    </w:p>
    <w:p w14:paraId="3B8A5B8B" w14:textId="1DCF92CE" w:rsidR="00B730D0" w:rsidRDefault="002E00B1" w:rsidP="009F7D22">
      <w:pPr>
        <w:pStyle w:val="Heading3"/>
      </w:pPr>
      <w:bookmarkStart w:id="24" w:name="_Data-sharing_participants"/>
      <w:bookmarkStart w:id="25" w:name="_Hlk157764385"/>
      <w:bookmarkStart w:id="26" w:name="_Toc175574119"/>
      <w:bookmarkEnd w:id="24"/>
      <w:r w:rsidRPr="00096787">
        <w:t>Data</w:t>
      </w:r>
      <w:r w:rsidR="00231533" w:rsidRPr="00096787">
        <w:t>-</w:t>
      </w:r>
      <w:r w:rsidRPr="009F7D22">
        <w:t>sharing</w:t>
      </w:r>
      <w:r w:rsidRPr="00096787">
        <w:t xml:space="preserve"> participants</w:t>
      </w:r>
      <w:bookmarkEnd w:id="26"/>
    </w:p>
    <w:bookmarkEnd w:id="25"/>
    <w:p w14:paraId="5E06452D" w14:textId="6DF43219" w:rsidR="00E52F76" w:rsidRDefault="00AC2A21" w:rsidP="009F7D22">
      <w:r>
        <w:t xml:space="preserve">The table </w:t>
      </w:r>
      <w:r w:rsidR="009A583C">
        <w:t xml:space="preserve">below </w:t>
      </w:r>
      <w:r>
        <w:t>shows the data providers</w:t>
      </w:r>
      <w:r w:rsidR="00222102">
        <w:t xml:space="preserve"> and receivers</w:t>
      </w:r>
      <w:r>
        <w:t xml:space="preserve"> participating in the </w:t>
      </w:r>
      <w:r w:rsidR="005079E3">
        <w:t>data</w:t>
      </w:r>
      <w:r w:rsidR="00231533">
        <w:t>-</w:t>
      </w:r>
      <w:r w:rsidR="005079E3">
        <w:t>sharing process</w:t>
      </w:r>
      <w:r>
        <w:t>.</w:t>
      </w:r>
      <w:r w:rsidR="00E52F76">
        <w:t xml:space="preserve"> They are responsible for sharing data in line with </w:t>
      </w:r>
      <w:r w:rsidR="00FE5CA5">
        <w:t xml:space="preserve">this </w:t>
      </w:r>
      <w:r w:rsidR="00E52F76">
        <w:t>Data</w:t>
      </w:r>
      <w:r w:rsidR="00D65BF0">
        <w:t>-</w:t>
      </w:r>
      <w:r w:rsidR="00A42C48">
        <w:t>s</w:t>
      </w:r>
      <w:r w:rsidR="00E52F76">
        <w:t xml:space="preserve">haring </w:t>
      </w:r>
      <w:bookmarkStart w:id="27" w:name="_Hlk157763966"/>
      <w:r w:rsidR="00A42C48">
        <w:t>f</w:t>
      </w:r>
      <w:r w:rsidR="00FE5CA5">
        <w:t>ramework</w:t>
      </w:r>
      <w:r w:rsidR="00E52F76">
        <w:t>.</w:t>
      </w:r>
      <w:r w:rsidR="00CB761D">
        <w:t xml:space="preserve"> </w:t>
      </w:r>
      <w:r w:rsidR="00CB761D" w:rsidRPr="00FC208E">
        <w:t xml:space="preserve">Actual sharing of data may be delegated as necessary, </w:t>
      </w:r>
      <w:r w:rsidR="001920CD" w:rsidRPr="00FC208E">
        <w:t>except for</w:t>
      </w:r>
      <w:r w:rsidR="00CB761D" w:rsidRPr="00FC208E">
        <w:t xml:space="preserve"> the</w:t>
      </w:r>
      <w:r w:rsidR="00FC208E" w:rsidRPr="00FC208E">
        <w:t xml:space="preserve"> role of</w:t>
      </w:r>
      <w:r w:rsidR="00CB761D" w:rsidRPr="00FC208E">
        <w:t xml:space="preserve"> MAWG adviser.</w:t>
      </w:r>
      <w:bookmarkEnd w:id="27"/>
      <w:r w:rsidR="00CB761D">
        <w:t xml:space="preserve"> </w:t>
      </w:r>
      <w:r w:rsidR="00B23151">
        <w:t>Specific persons</w:t>
      </w:r>
      <w:r w:rsidR="00F30860">
        <w:t>,</w:t>
      </w:r>
      <w:r w:rsidR="00B23151">
        <w:t xml:space="preserve"> </w:t>
      </w:r>
      <w:r w:rsidR="00B92823">
        <w:t>bodies,</w:t>
      </w:r>
      <w:r w:rsidR="00B23151">
        <w:t xml:space="preserve"> or authorities that data may be shared with are </w:t>
      </w:r>
      <w:r w:rsidR="009336DC">
        <w:t>summarised below</w:t>
      </w:r>
      <w:r w:rsidR="00B23151">
        <w:t xml:space="preserve"> under </w:t>
      </w:r>
      <w:hyperlink w:anchor="_Information_to_be" w:history="1">
        <w:r w:rsidR="00B23151" w:rsidRPr="00B23151">
          <w:rPr>
            <w:rStyle w:val="Hyperlink"/>
          </w:rPr>
          <w:t>legislative instrument</w:t>
        </w:r>
      </w:hyperlink>
      <w:r w:rsidR="00B23151">
        <w:t xml:space="preserve">. </w:t>
      </w:r>
    </w:p>
    <w:p w14:paraId="7441538F" w14:textId="05B9A138" w:rsidR="00E21AAE" w:rsidRDefault="00E21AAE" w:rsidP="009F7D22">
      <w:r>
        <w:t xml:space="preserve">The need to share information with each data receiver will be assessed on a </w:t>
      </w:r>
      <w:r w:rsidR="006222A5">
        <w:t>case-by-case</w:t>
      </w:r>
      <w:r>
        <w:t xml:space="preserve"> basis. Information will be provided to potential data receivers </w:t>
      </w:r>
      <w:r w:rsidR="00E2187B">
        <w:t xml:space="preserve">only </w:t>
      </w:r>
      <w:r>
        <w:t>if it is necessary for the effective manage</w:t>
      </w:r>
      <w:r w:rsidR="00350CFB">
        <w:t xml:space="preserve">ment </w:t>
      </w:r>
      <w:r>
        <w:t xml:space="preserve">of a specific shortage. </w:t>
      </w:r>
      <w:r w:rsidR="007344BF">
        <w:t xml:space="preserve">The type of information that can be shared is limited and set out in the </w:t>
      </w:r>
      <w:hyperlink w:anchor="_Information_to_be" w:history="1">
        <w:r w:rsidR="007344BF" w:rsidRPr="007344BF">
          <w:rPr>
            <w:rStyle w:val="Hyperlink"/>
          </w:rPr>
          <w:t>legislative instrument</w:t>
        </w:r>
      </w:hyperlink>
      <w:r w:rsidR="007344BF">
        <w:t xml:space="preserve"> </w:t>
      </w:r>
      <w:r w:rsidR="009336DC">
        <w:t xml:space="preserve">summarised </w:t>
      </w:r>
      <w:r w:rsidR="007344BF">
        <w:t xml:space="preserve">below. </w:t>
      </w:r>
      <w:r>
        <w:t xml:space="preserve">Data providers are approached with information requests tailored to the specific shortage. </w:t>
      </w:r>
    </w:p>
    <w:p w14:paraId="0B5BA518" w14:textId="0BC4FEE9" w:rsidR="002A6677" w:rsidRPr="009F7D22" w:rsidRDefault="00E21AAE">
      <w:r>
        <w:t>N</w:t>
      </w:r>
      <w:r w:rsidR="00433693">
        <w:t>ew members may be added with agreement from their sector.</w:t>
      </w:r>
      <w:r w:rsidR="00A14F62">
        <w:t xml:space="preserve"> Participation is voluntary and a</w:t>
      </w:r>
      <w:r w:rsidR="00EE4E9A">
        <w:t xml:space="preserve"> </w:t>
      </w:r>
      <w:r w:rsidR="00A14F62">
        <w:t xml:space="preserve">member may leave </w:t>
      </w:r>
      <w:r w:rsidR="000F15A0">
        <w:t xml:space="preserve">by emailing </w:t>
      </w:r>
      <w:r w:rsidR="002D0DB0">
        <w:t xml:space="preserve">the </w:t>
      </w:r>
      <w:r w:rsidR="00EE4E9A">
        <w:t>TGA</w:t>
      </w:r>
      <w:r w:rsidR="002D0DB0">
        <w:t xml:space="preserve"> at </w:t>
      </w:r>
      <w:hyperlink r:id="rId21" w:history="1">
        <w:r w:rsidR="003C09FD" w:rsidRPr="00530E04">
          <w:rPr>
            <w:rStyle w:val="Hyperlink"/>
          </w:rPr>
          <w:t>medicine.shortages@health.gov.au</w:t>
        </w:r>
      </w:hyperlink>
      <w:r w:rsidR="00A14F62">
        <w:t xml:space="preserve">. </w:t>
      </w:r>
      <w:r w:rsidR="00472132">
        <w:t xml:space="preserve">When a member leaves, they should provide </w:t>
      </w:r>
      <w:r w:rsidR="00231533">
        <w:t xml:space="preserve">the TGA with </w:t>
      </w:r>
      <w:r w:rsidR="00472132">
        <w:t xml:space="preserve">details of a new representative for their </w:t>
      </w:r>
      <w:r w:rsidR="00AC2A21">
        <w:t>sector</w:t>
      </w:r>
      <w:r w:rsidR="00472132">
        <w:t>.</w:t>
      </w:r>
      <w:r w:rsidR="00AC2A21">
        <w:t xml:space="preserve"> </w:t>
      </w:r>
      <w:r w:rsidR="00472132">
        <w:t xml:space="preserve">The TGA and current representatives may make recommendations for new members to </w:t>
      </w:r>
      <w:r w:rsidR="00DE40FB">
        <w:t>participate in the data</w:t>
      </w:r>
      <w:r w:rsidR="00231533">
        <w:t>-</w:t>
      </w:r>
      <w:r w:rsidR="00DE40FB">
        <w:t>sharing process</w:t>
      </w:r>
      <w:r w:rsidR="00472132">
        <w:t>.</w:t>
      </w:r>
    </w:p>
    <w:p w14:paraId="0048A910" w14:textId="5E6CB4A9" w:rsidR="00956DA6" w:rsidRPr="00763A68" w:rsidRDefault="00956DA6" w:rsidP="009F7D22">
      <w:pPr>
        <w:pStyle w:val="Tabletitle"/>
      </w:pPr>
      <w:r w:rsidRPr="00763A68">
        <w:lastRenderedPageBreak/>
        <w:t xml:space="preserve">Table </w:t>
      </w:r>
      <w:r w:rsidR="00D16222" w:rsidRPr="00763A68">
        <w:t xml:space="preserve">2: Data </w:t>
      </w:r>
      <w:r w:rsidR="00D16222" w:rsidRPr="009F7D22">
        <w:t>sharing</w:t>
      </w:r>
      <w:r w:rsidR="00D16222" w:rsidRPr="00763A68">
        <w:t xml:space="preserve"> participants</w:t>
      </w:r>
      <w:r w:rsidR="007764F1">
        <w:t>.</w:t>
      </w:r>
    </w:p>
    <w:tbl>
      <w:tblPr>
        <w:tblStyle w:val="TableTGAblue2023"/>
        <w:tblW w:w="0" w:type="auto"/>
        <w:tblLook w:val="04A0" w:firstRow="1" w:lastRow="0" w:firstColumn="1" w:lastColumn="0" w:noHBand="0" w:noVBand="1"/>
      </w:tblPr>
      <w:tblGrid>
        <w:gridCol w:w="2721"/>
        <w:gridCol w:w="2832"/>
        <w:gridCol w:w="3507"/>
      </w:tblGrid>
      <w:tr w:rsidR="00B730D0" w14:paraId="6728CBA9" w14:textId="77777777" w:rsidTr="009F7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5E6C248" w14:textId="3076BFA0" w:rsidR="00B730D0" w:rsidRPr="00D74887" w:rsidRDefault="00AF33F9" w:rsidP="009F7D22">
            <w:r>
              <w:t>Entity</w:t>
            </w:r>
          </w:p>
        </w:tc>
        <w:tc>
          <w:tcPr>
            <w:tcW w:w="2832" w:type="dxa"/>
          </w:tcPr>
          <w:p w14:paraId="40B81561" w14:textId="3D6831A8" w:rsidR="00B730D0" w:rsidRPr="00D74887" w:rsidRDefault="00433693" w:rsidP="009F7D22">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Sector</w:t>
            </w:r>
          </w:p>
        </w:tc>
        <w:tc>
          <w:tcPr>
            <w:tcW w:w="3507" w:type="dxa"/>
          </w:tcPr>
          <w:p w14:paraId="7119002E" w14:textId="77777777" w:rsidR="00B730D0" w:rsidRPr="00D74887" w:rsidRDefault="00B730D0" w:rsidP="009F7D22">
            <w:pPr>
              <w:cnfStyle w:val="100000000000" w:firstRow="1" w:lastRow="0" w:firstColumn="0" w:lastColumn="0" w:oddVBand="0" w:evenVBand="0" w:oddHBand="0" w:evenHBand="0" w:firstRowFirstColumn="0" w:firstRowLastColumn="0" w:lastRowFirstColumn="0" w:lastRowLastColumn="0"/>
              <w:rPr>
                <w:rFonts w:cs="Arial"/>
                <w:szCs w:val="22"/>
              </w:rPr>
            </w:pPr>
            <w:r w:rsidRPr="00D74887">
              <w:rPr>
                <w:rFonts w:cs="Arial"/>
                <w:szCs w:val="22"/>
              </w:rPr>
              <w:t xml:space="preserve">Position </w:t>
            </w:r>
          </w:p>
        </w:tc>
      </w:tr>
      <w:tr w:rsidR="00B702D5" w14:paraId="0722779A" w14:textId="77777777" w:rsidTr="009F7D22">
        <w:trPr>
          <w:trHeight w:val="703"/>
        </w:trPr>
        <w:tc>
          <w:tcPr>
            <w:cnfStyle w:val="001000000000" w:firstRow="0" w:lastRow="0" w:firstColumn="1" w:lastColumn="0" w:oddVBand="0" w:evenVBand="0" w:oddHBand="0" w:evenHBand="0" w:firstRowFirstColumn="0" w:firstRowLastColumn="0" w:lastRowFirstColumn="0" w:lastRowLastColumn="0"/>
            <w:tcW w:w="9060" w:type="dxa"/>
            <w:gridSpan w:val="3"/>
          </w:tcPr>
          <w:p w14:paraId="74AC0AAD" w14:textId="6C044258" w:rsidR="00B702D5" w:rsidRPr="00092BF5" w:rsidRDefault="00361D79" w:rsidP="009F7D22">
            <w:pPr>
              <w:rPr>
                <w:rFonts w:cs="Arial"/>
                <w:bCs/>
                <w:sz w:val="20"/>
                <w:szCs w:val="20"/>
              </w:rPr>
            </w:pPr>
            <w:r>
              <w:rPr>
                <w:rFonts w:cs="Arial"/>
                <w:bCs/>
                <w:sz w:val="20"/>
                <w:szCs w:val="20"/>
              </w:rPr>
              <w:t>Information</w:t>
            </w:r>
            <w:r w:rsidR="00B702D5" w:rsidRPr="00092BF5">
              <w:rPr>
                <w:rFonts w:cs="Arial"/>
                <w:bCs/>
                <w:sz w:val="20"/>
                <w:szCs w:val="20"/>
              </w:rPr>
              <w:t xml:space="preserve"> receiver </w:t>
            </w:r>
          </w:p>
        </w:tc>
      </w:tr>
      <w:tr w:rsidR="00057CD2" w14:paraId="4BACF86C"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383FE3F1" w14:textId="5247D1BC" w:rsidR="00057CD2" w:rsidRPr="00092BF5" w:rsidRDefault="00057CD2" w:rsidP="009F7D22">
            <w:pPr>
              <w:rPr>
                <w:rFonts w:cs="Arial"/>
                <w:szCs w:val="18"/>
              </w:rPr>
            </w:pPr>
            <w:r w:rsidRPr="00092BF5">
              <w:rPr>
                <w:rFonts w:cs="Arial"/>
                <w:szCs w:val="18"/>
              </w:rPr>
              <w:t>TGA</w:t>
            </w:r>
          </w:p>
        </w:tc>
        <w:tc>
          <w:tcPr>
            <w:tcW w:w="2832" w:type="dxa"/>
          </w:tcPr>
          <w:p w14:paraId="0618748A" w14:textId="08AE7AC0" w:rsidR="00057CD2" w:rsidRPr="002917CC" w:rsidRDefault="0078458A" w:rsidP="009F7D22">
            <w:pPr>
              <w:cnfStyle w:val="000000000000" w:firstRow="0" w:lastRow="0" w:firstColumn="0" w:lastColumn="0" w:oddVBand="0" w:evenVBand="0" w:oddHBand="0" w:evenHBand="0" w:firstRowFirstColumn="0" w:firstRowLastColumn="0" w:lastRowFirstColumn="0" w:lastRowLastColumn="0"/>
              <w:rPr>
                <w:rFonts w:cs="Arial"/>
                <w:szCs w:val="18"/>
                <w:highlight w:val="yellow"/>
              </w:rPr>
            </w:pPr>
            <w:r>
              <w:rPr>
                <w:rFonts w:cs="Arial"/>
                <w:szCs w:val="18"/>
              </w:rPr>
              <w:t>Commonwealth</w:t>
            </w:r>
            <w:r w:rsidR="00231533">
              <w:rPr>
                <w:rFonts w:cs="Arial"/>
                <w:szCs w:val="18"/>
              </w:rPr>
              <w:t xml:space="preserve"> </w:t>
            </w:r>
          </w:p>
        </w:tc>
        <w:tc>
          <w:tcPr>
            <w:tcW w:w="3507" w:type="dxa"/>
          </w:tcPr>
          <w:p w14:paraId="733B7964" w14:textId="0B483544" w:rsidR="00057CD2" w:rsidRPr="00A0727F" w:rsidRDefault="004C6F7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A0727F">
              <w:rPr>
                <w:rFonts w:cs="Arial"/>
                <w:szCs w:val="18"/>
              </w:rPr>
              <w:t>Director</w:t>
            </w:r>
            <w:r w:rsidR="00EE4E9A">
              <w:rPr>
                <w:rFonts w:cs="Arial"/>
                <w:szCs w:val="18"/>
              </w:rPr>
              <w:t>,</w:t>
            </w:r>
            <w:r w:rsidRPr="00A0727F">
              <w:rPr>
                <w:rFonts w:cs="Arial"/>
                <w:szCs w:val="18"/>
              </w:rPr>
              <w:t xml:space="preserve"> Medicine Shortages Section</w:t>
            </w:r>
            <w:r w:rsidR="00EE4E9A">
              <w:rPr>
                <w:rFonts w:cs="Arial"/>
                <w:szCs w:val="18"/>
              </w:rPr>
              <w:t>, TGA</w:t>
            </w:r>
          </w:p>
        </w:tc>
      </w:tr>
      <w:tr w:rsidR="007B2F29" w14:paraId="0007025E"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7CCD20FD" w14:textId="5EF6B064" w:rsidR="007B2F29" w:rsidRPr="00092BF5" w:rsidRDefault="007B2F29" w:rsidP="009F7D22">
            <w:pPr>
              <w:rPr>
                <w:rFonts w:cs="Arial"/>
                <w:szCs w:val="18"/>
              </w:rPr>
            </w:pPr>
            <w:r>
              <w:rPr>
                <w:rFonts w:cs="Arial"/>
                <w:szCs w:val="18"/>
              </w:rPr>
              <w:t xml:space="preserve">Medicine Shortage Action </w:t>
            </w:r>
            <w:r w:rsidR="00FF67DC">
              <w:rPr>
                <w:rFonts w:cs="Arial"/>
                <w:szCs w:val="18"/>
              </w:rPr>
              <w:t>G</w:t>
            </w:r>
            <w:r>
              <w:rPr>
                <w:rFonts w:cs="Arial"/>
                <w:szCs w:val="18"/>
              </w:rPr>
              <w:t>roup</w:t>
            </w:r>
            <w:r w:rsidR="00084B7B">
              <w:rPr>
                <w:rFonts w:cs="Arial"/>
                <w:szCs w:val="18"/>
              </w:rPr>
              <w:t>s</w:t>
            </w:r>
            <w:r>
              <w:rPr>
                <w:rFonts w:cs="Arial"/>
                <w:szCs w:val="18"/>
              </w:rPr>
              <w:t xml:space="preserve"> (MSAG</w:t>
            </w:r>
            <w:r w:rsidR="00084B7B">
              <w:rPr>
                <w:rFonts w:cs="Arial"/>
                <w:szCs w:val="18"/>
              </w:rPr>
              <w:t>s</w:t>
            </w:r>
            <w:r>
              <w:rPr>
                <w:rFonts w:cs="Arial"/>
                <w:szCs w:val="18"/>
              </w:rPr>
              <w:t>)</w:t>
            </w:r>
            <w:r w:rsidR="00A0727F">
              <w:rPr>
                <w:rFonts w:cs="Arial"/>
                <w:szCs w:val="18"/>
              </w:rPr>
              <w:br/>
            </w:r>
            <w:r w:rsidR="00033B6D">
              <w:rPr>
                <w:rFonts w:cs="Arial"/>
                <w:i/>
                <w:iCs/>
                <w:szCs w:val="18"/>
              </w:rPr>
              <w:t>Short</w:t>
            </w:r>
            <w:r w:rsidR="00764864">
              <w:rPr>
                <w:rFonts w:cs="Arial"/>
                <w:i/>
                <w:iCs/>
                <w:szCs w:val="18"/>
              </w:rPr>
              <w:t>-</w:t>
            </w:r>
            <w:r w:rsidR="00033B6D">
              <w:rPr>
                <w:rFonts w:cs="Arial"/>
                <w:i/>
                <w:iCs/>
                <w:szCs w:val="18"/>
              </w:rPr>
              <w:t>term g</w:t>
            </w:r>
            <w:r w:rsidR="00084B7B">
              <w:rPr>
                <w:rFonts w:cs="Arial"/>
                <w:i/>
                <w:iCs/>
                <w:szCs w:val="18"/>
              </w:rPr>
              <w:t xml:space="preserve">roups are created </w:t>
            </w:r>
            <w:r w:rsidR="00084B7B" w:rsidRPr="00A0727F">
              <w:rPr>
                <w:rFonts w:cs="Arial"/>
                <w:i/>
                <w:iCs/>
                <w:szCs w:val="18"/>
              </w:rPr>
              <w:t xml:space="preserve">in response to </w:t>
            </w:r>
            <w:r w:rsidR="00084B7B">
              <w:rPr>
                <w:rFonts w:cs="Arial"/>
                <w:i/>
                <w:iCs/>
                <w:szCs w:val="18"/>
              </w:rPr>
              <w:t xml:space="preserve">case-by-case </w:t>
            </w:r>
            <w:r w:rsidR="00084B7B" w:rsidRPr="00A0727F">
              <w:rPr>
                <w:rFonts w:cs="Arial"/>
                <w:i/>
                <w:iCs/>
                <w:szCs w:val="18"/>
              </w:rPr>
              <w:t>acute shortage event</w:t>
            </w:r>
            <w:r w:rsidR="00084B7B">
              <w:rPr>
                <w:rFonts w:cs="Arial"/>
                <w:i/>
                <w:iCs/>
                <w:szCs w:val="18"/>
              </w:rPr>
              <w:t>s.</w:t>
            </w:r>
            <w:r w:rsidR="00084B7B" w:rsidRPr="00A0727F">
              <w:rPr>
                <w:rFonts w:cs="Arial"/>
                <w:i/>
                <w:iCs/>
                <w:szCs w:val="18"/>
              </w:rPr>
              <w:t xml:space="preserve"> </w:t>
            </w:r>
            <w:r w:rsidR="00084B7B">
              <w:rPr>
                <w:rFonts w:cs="Arial"/>
                <w:i/>
                <w:iCs/>
                <w:szCs w:val="18"/>
              </w:rPr>
              <w:t xml:space="preserve">Groups </w:t>
            </w:r>
            <w:r w:rsidR="00231533">
              <w:rPr>
                <w:rFonts w:cs="Arial"/>
                <w:i/>
                <w:iCs/>
                <w:szCs w:val="18"/>
              </w:rPr>
              <w:t xml:space="preserve">give </w:t>
            </w:r>
            <w:r w:rsidR="00084B7B">
              <w:rPr>
                <w:rFonts w:cs="Arial"/>
                <w:i/>
                <w:iCs/>
                <w:szCs w:val="18"/>
              </w:rPr>
              <w:t>a</w:t>
            </w:r>
            <w:r w:rsidR="00A0727F" w:rsidRPr="00A0727F">
              <w:rPr>
                <w:rFonts w:cs="Arial"/>
                <w:i/>
                <w:iCs/>
                <w:szCs w:val="18"/>
              </w:rPr>
              <w:t>dvi</w:t>
            </w:r>
            <w:r w:rsidR="00231533">
              <w:rPr>
                <w:rFonts w:cs="Arial"/>
                <w:i/>
                <w:iCs/>
                <w:szCs w:val="18"/>
              </w:rPr>
              <w:t>c</w:t>
            </w:r>
            <w:r w:rsidR="00A0727F" w:rsidRPr="00A0727F">
              <w:rPr>
                <w:rFonts w:cs="Arial"/>
                <w:i/>
                <w:iCs/>
                <w:szCs w:val="18"/>
              </w:rPr>
              <w:t xml:space="preserve">e </w:t>
            </w:r>
            <w:r w:rsidR="00231533">
              <w:rPr>
                <w:rFonts w:cs="Arial"/>
                <w:i/>
                <w:iCs/>
                <w:szCs w:val="18"/>
              </w:rPr>
              <w:t>on</w:t>
            </w:r>
            <w:r w:rsidR="00A0727F" w:rsidRPr="00A0727F">
              <w:rPr>
                <w:rFonts w:cs="Arial"/>
                <w:i/>
                <w:iCs/>
                <w:szCs w:val="18"/>
              </w:rPr>
              <w:t xml:space="preserve"> </w:t>
            </w:r>
            <w:r w:rsidR="00A51875">
              <w:rPr>
                <w:rFonts w:cs="Arial"/>
                <w:i/>
                <w:iCs/>
                <w:szCs w:val="18"/>
              </w:rPr>
              <w:t xml:space="preserve">clinical </w:t>
            </w:r>
            <w:r w:rsidR="00A0727F" w:rsidRPr="00A0727F">
              <w:rPr>
                <w:rFonts w:cs="Arial"/>
                <w:i/>
                <w:iCs/>
                <w:szCs w:val="18"/>
              </w:rPr>
              <w:t>shortage management</w:t>
            </w:r>
            <w:r w:rsidR="00084B7B" w:rsidRPr="00A0727F">
              <w:rPr>
                <w:rFonts w:cs="Arial"/>
                <w:i/>
                <w:iCs/>
                <w:szCs w:val="18"/>
              </w:rPr>
              <w:t xml:space="preserve"> strategies</w:t>
            </w:r>
            <w:r w:rsidR="00084B7B">
              <w:rPr>
                <w:rFonts w:cs="Arial"/>
                <w:i/>
                <w:iCs/>
                <w:szCs w:val="18"/>
              </w:rPr>
              <w:t>.</w:t>
            </w:r>
            <w:r w:rsidR="00A0727F" w:rsidRPr="00A0727F">
              <w:rPr>
                <w:rFonts w:cs="Arial"/>
                <w:i/>
                <w:iCs/>
                <w:szCs w:val="18"/>
              </w:rPr>
              <w:t xml:space="preserve"> </w:t>
            </w:r>
          </w:p>
        </w:tc>
        <w:tc>
          <w:tcPr>
            <w:tcW w:w="2832" w:type="dxa"/>
          </w:tcPr>
          <w:p w14:paraId="1D25C8F1" w14:textId="64EE51B5" w:rsidR="00764864" w:rsidRPr="00C55CC4" w:rsidRDefault="0078458A"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Commonwealth</w:t>
            </w:r>
            <w:r w:rsidR="00EE312F" w:rsidRPr="00C55CC4">
              <w:rPr>
                <w:rFonts w:cs="Arial"/>
                <w:szCs w:val="18"/>
              </w:rPr>
              <w:t xml:space="preserve"> </w:t>
            </w:r>
            <w:r w:rsidR="00084B7B" w:rsidRPr="00C55CC4">
              <w:rPr>
                <w:rFonts w:cs="Arial"/>
                <w:szCs w:val="18"/>
              </w:rPr>
              <w:br/>
              <w:t xml:space="preserve">As required groups may </w:t>
            </w:r>
            <w:r w:rsidR="00C55CC4" w:rsidRPr="00C55CC4">
              <w:rPr>
                <w:rFonts w:cs="Arial"/>
                <w:szCs w:val="18"/>
              </w:rPr>
              <w:t>include</w:t>
            </w:r>
            <w:r w:rsidR="00084B7B" w:rsidRPr="00C55CC4">
              <w:rPr>
                <w:rFonts w:cs="Arial"/>
                <w:szCs w:val="18"/>
              </w:rPr>
              <w:t>:</w:t>
            </w:r>
          </w:p>
          <w:p w14:paraId="1A2173FC" w14:textId="2B621AC2" w:rsidR="00C55CC4" w:rsidRPr="00C55CC4" w:rsidRDefault="00C55CC4"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C55CC4">
              <w:rPr>
                <w:rFonts w:cs="Arial"/>
                <w:szCs w:val="18"/>
              </w:rPr>
              <w:t>r</w:t>
            </w:r>
            <w:r w:rsidR="00084B7B" w:rsidRPr="00C55CC4">
              <w:rPr>
                <w:rFonts w:cs="Arial"/>
                <w:szCs w:val="18"/>
              </w:rPr>
              <w:t>elevant h</w:t>
            </w:r>
            <w:r w:rsidR="002917CC" w:rsidRPr="00C55CC4">
              <w:rPr>
                <w:rFonts w:cs="Arial"/>
                <w:szCs w:val="18"/>
              </w:rPr>
              <w:t xml:space="preserve">ealth </w:t>
            </w:r>
            <w:r w:rsidRPr="00C55CC4">
              <w:rPr>
                <w:rFonts w:cs="Arial"/>
                <w:szCs w:val="18"/>
              </w:rPr>
              <w:t>p</w:t>
            </w:r>
            <w:r w:rsidR="002917CC" w:rsidRPr="00C55CC4">
              <w:rPr>
                <w:rFonts w:cs="Arial"/>
                <w:szCs w:val="18"/>
              </w:rPr>
              <w:t>rofessional peak bodies</w:t>
            </w:r>
            <w:r w:rsidR="009A583C">
              <w:rPr>
                <w:rFonts w:cs="Arial"/>
                <w:szCs w:val="18"/>
              </w:rPr>
              <w:t xml:space="preserve"> and colleges</w:t>
            </w:r>
            <w:r w:rsidR="002917CC" w:rsidRPr="00C55CC4">
              <w:rPr>
                <w:rFonts w:cs="Arial"/>
                <w:szCs w:val="18"/>
              </w:rPr>
              <w:t xml:space="preserve"> </w:t>
            </w:r>
          </w:p>
          <w:p w14:paraId="64777B0D" w14:textId="325758DA" w:rsidR="007B2F29" w:rsidRPr="00C55CC4" w:rsidRDefault="00C55CC4"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C55CC4">
              <w:rPr>
                <w:rFonts w:cs="Arial"/>
                <w:szCs w:val="18"/>
              </w:rPr>
              <w:t>r</w:t>
            </w:r>
            <w:r w:rsidR="00084B7B" w:rsidRPr="00C55CC4">
              <w:rPr>
                <w:rFonts w:cs="Arial"/>
                <w:szCs w:val="18"/>
              </w:rPr>
              <w:t>elevant c</w:t>
            </w:r>
            <w:r w:rsidR="002917CC" w:rsidRPr="00C55CC4">
              <w:rPr>
                <w:rFonts w:cs="Arial"/>
                <w:szCs w:val="18"/>
              </w:rPr>
              <w:t>onsumer representative group</w:t>
            </w:r>
            <w:r w:rsidR="00244A59">
              <w:rPr>
                <w:rFonts w:cs="Arial"/>
                <w:szCs w:val="18"/>
              </w:rPr>
              <w:t>s</w:t>
            </w:r>
          </w:p>
        </w:tc>
        <w:tc>
          <w:tcPr>
            <w:tcW w:w="3507" w:type="dxa"/>
          </w:tcPr>
          <w:p w14:paraId="56B8865A" w14:textId="55AA81EA" w:rsidR="007B2F29" w:rsidRPr="00EC6886" w:rsidRDefault="00EC6886"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EC6886">
              <w:rPr>
                <w:rFonts w:cs="Arial"/>
                <w:szCs w:val="18"/>
              </w:rPr>
              <w:t>Director</w:t>
            </w:r>
            <w:r w:rsidR="00EE4E9A">
              <w:rPr>
                <w:rFonts w:cs="Arial"/>
                <w:szCs w:val="18"/>
              </w:rPr>
              <w:t>,</w:t>
            </w:r>
            <w:r w:rsidRPr="00EC6886">
              <w:rPr>
                <w:rFonts w:cs="Arial"/>
                <w:szCs w:val="18"/>
              </w:rPr>
              <w:t xml:space="preserve"> Medicine Shortages Section</w:t>
            </w:r>
            <w:r w:rsidR="00EE4E9A">
              <w:rPr>
                <w:rFonts w:cs="Arial"/>
                <w:szCs w:val="18"/>
              </w:rPr>
              <w:t>, TGA</w:t>
            </w:r>
            <w:r w:rsidRPr="00EC6886">
              <w:rPr>
                <w:rFonts w:cs="Arial"/>
                <w:szCs w:val="18"/>
              </w:rPr>
              <w:t xml:space="preserve"> </w:t>
            </w:r>
          </w:p>
        </w:tc>
      </w:tr>
      <w:tr w:rsidR="007B2F29" w14:paraId="6FFC5A07"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6854E44E" w14:textId="3C466A5F" w:rsidR="007B2F29" w:rsidRPr="00092BF5" w:rsidRDefault="007B2F29" w:rsidP="009F7D22">
            <w:pPr>
              <w:rPr>
                <w:rFonts w:cs="Arial"/>
                <w:szCs w:val="18"/>
              </w:rPr>
            </w:pPr>
            <w:r w:rsidRPr="00092BF5">
              <w:rPr>
                <w:rFonts w:cs="Arial"/>
                <w:szCs w:val="18"/>
              </w:rPr>
              <w:t>Medicine Availability Working Group</w:t>
            </w:r>
            <w:r w:rsidR="00DB7893">
              <w:rPr>
                <w:rFonts w:cs="Arial"/>
                <w:szCs w:val="18"/>
              </w:rPr>
              <w:t>s</w:t>
            </w:r>
            <w:r w:rsidR="00231533">
              <w:rPr>
                <w:rFonts w:cs="Arial"/>
                <w:szCs w:val="18"/>
              </w:rPr>
              <w:t xml:space="preserve"> (MAWG)</w:t>
            </w:r>
            <w:r w:rsidR="00A0727F">
              <w:rPr>
                <w:rFonts w:cs="Arial"/>
                <w:szCs w:val="18"/>
              </w:rPr>
              <w:br/>
            </w:r>
            <w:r w:rsidR="00A0727F" w:rsidRPr="00A0727F">
              <w:rPr>
                <w:rFonts w:cs="Arial"/>
                <w:i/>
                <w:iCs/>
                <w:szCs w:val="18"/>
              </w:rPr>
              <w:t>Assist with collation of national medicine availability data</w:t>
            </w:r>
            <w:r w:rsidR="00084B7B">
              <w:rPr>
                <w:rFonts w:cs="Arial"/>
                <w:i/>
                <w:iCs/>
                <w:szCs w:val="18"/>
              </w:rPr>
              <w:t xml:space="preserve">. The group </w:t>
            </w:r>
            <w:r w:rsidR="00A0727F" w:rsidRPr="00A0727F">
              <w:rPr>
                <w:rFonts w:cs="Arial"/>
                <w:i/>
                <w:iCs/>
                <w:szCs w:val="18"/>
              </w:rPr>
              <w:t>use</w:t>
            </w:r>
            <w:r w:rsidR="00084B7B">
              <w:rPr>
                <w:rFonts w:cs="Arial"/>
                <w:i/>
                <w:iCs/>
                <w:szCs w:val="18"/>
              </w:rPr>
              <w:t>s</w:t>
            </w:r>
            <w:r w:rsidR="00A0727F" w:rsidRPr="00A0727F">
              <w:rPr>
                <w:rFonts w:cs="Arial"/>
                <w:i/>
                <w:iCs/>
                <w:szCs w:val="18"/>
              </w:rPr>
              <w:t xml:space="preserve"> the DMA model and </w:t>
            </w:r>
            <w:r w:rsidR="00084B7B">
              <w:rPr>
                <w:rFonts w:cs="Arial"/>
                <w:i/>
                <w:iCs/>
                <w:szCs w:val="18"/>
              </w:rPr>
              <w:t>the</w:t>
            </w:r>
            <w:r w:rsidR="00A0727F" w:rsidRPr="00A0727F">
              <w:rPr>
                <w:rFonts w:cs="Arial"/>
                <w:i/>
                <w:iCs/>
                <w:szCs w:val="18"/>
              </w:rPr>
              <w:t xml:space="preserve"> model outputs</w:t>
            </w:r>
            <w:r w:rsidR="00F952FE">
              <w:rPr>
                <w:rFonts w:cs="Arial"/>
                <w:i/>
                <w:iCs/>
                <w:szCs w:val="18"/>
              </w:rPr>
              <w:t xml:space="preserve"> </w:t>
            </w:r>
            <w:r w:rsidR="00A0727F" w:rsidRPr="00A0727F">
              <w:rPr>
                <w:rFonts w:cs="Arial"/>
                <w:i/>
                <w:iCs/>
                <w:szCs w:val="18"/>
              </w:rPr>
              <w:t>to develop conservation recommendations</w:t>
            </w:r>
            <w:r w:rsidR="00A0727F">
              <w:rPr>
                <w:rFonts w:cs="Arial"/>
                <w:i/>
                <w:iCs/>
                <w:szCs w:val="18"/>
              </w:rPr>
              <w:t>.</w:t>
            </w:r>
          </w:p>
        </w:tc>
        <w:tc>
          <w:tcPr>
            <w:tcW w:w="2832" w:type="dxa"/>
          </w:tcPr>
          <w:p w14:paraId="1BC777A7" w14:textId="06A8223C" w:rsidR="007B2F29" w:rsidRPr="00764864" w:rsidRDefault="00EE312F"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764864">
              <w:rPr>
                <w:rFonts w:cs="Arial"/>
                <w:szCs w:val="18"/>
              </w:rPr>
              <w:t>Advisory</w:t>
            </w:r>
            <w:r w:rsidR="00084B7B" w:rsidRPr="00764864">
              <w:rPr>
                <w:rFonts w:cs="Arial"/>
                <w:szCs w:val="18"/>
              </w:rPr>
              <w:t xml:space="preserve"> </w:t>
            </w:r>
            <w:r w:rsidR="00764864" w:rsidRPr="00764864">
              <w:rPr>
                <w:rFonts w:cs="Arial"/>
                <w:szCs w:val="18"/>
              </w:rPr>
              <w:t>G</w:t>
            </w:r>
            <w:r w:rsidR="00084B7B" w:rsidRPr="00764864">
              <w:rPr>
                <w:rFonts w:cs="Arial"/>
                <w:szCs w:val="18"/>
              </w:rPr>
              <w:t>roup</w:t>
            </w:r>
            <w:r w:rsidRPr="00764864">
              <w:rPr>
                <w:rFonts w:cs="Arial"/>
                <w:szCs w:val="18"/>
              </w:rPr>
              <w:t xml:space="preserve"> for </w:t>
            </w:r>
            <w:r w:rsidR="00764864" w:rsidRPr="00764864">
              <w:rPr>
                <w:rFonts w:cs="Arial"/>
                <w:szCs w:val="18"/>
              </w:rPr>
              <w:t xml:space="preserve">the </w:t>
            </w:r>
            <w:r w:rsidR="00DB7893">
              <w:rPr>
                <w:rFonts w:cs="Arial"/>
                <w:szCs w:val="18"/>
              </w:rPr>
              <w:t>TGA</w:t>
            </w:r>
            <w:r w:rsidR="00764864" w:rsidRPr="00764864">
              <w:rPr>
                <w:rStyle w:val="CommentReference"/>
                <w:rFonts w:cstheme="minorBidi"/>
                <w:sz w:val="18"/>
                <w:szCs w:val="18"/>
              </w:rPr>
              <w:t xml:space="preserve"> </w:t>
            </w:r>
            <w:r w:rsidR="00764864">
              <w:rPr>
                <w:rStyle w:val="CommentReference"/>
                <w:rFonts w:cstheme="minorBidi"/>
                <w:sz w:val="18"/>
                <w:szCs w:val="18"/>
              </w:rPr>
              <w:t>c</w:t>
            </w:r>
            <w:r w:rsidR="00A0727F" w:rsidRPr="00764864">
              <w:rPr>
                <w:rFonts w:cs="Arial"/>
                <w:szCs w:val="18"/>
              </w:rPr>
              <w:t>onsisting of state and territory</w:t>
            </w:r>
            <w:r w:rsidR="00DB7893">
              <w:rPr>
                <w:rFonts w:cs="Arial"/>
                <w:szCs w:val="18"/>
              </w:rPr>
              <w:t xml:space="preserve"> health department</w:t>
            </w:r>
            <w:r w:rsidR="00A0727F" w:rsidRPr="00764864">
              <w:rPr>
                <w:rFonts w:cs="Arial"/>
                <w:szCs w:val="18"/>
              </w:rPr>
              <w:t xml:space="preserve"> </w:t>
            </w:r>
            <w:r w:rsidR="00084B7B" w:rsidRPr="00764864">
              <w:rPr>
                <w:rFonts w:cs="Arial"/>
                <w:szCs w:val="18"/>
              </w:rPr>
              <w:t>representatives</w:t>
            </w:r>
          </w:p>
        </w:tc>
        <w:tc>
          <w:tcPr>
            <w:tcW w:w="3507" w:type="dxa"/>
          </w:tcPr>
          <w:p w14:paraId="7425E464" w14:textId="77777777" w:rsidR="008910A4" w:rsidRDefault="00D247A1" w:rsidP="009F7D22">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w:t>
            </w:r>
            <w:r w:rsidR="005039D4">
              <w:rPr>
                <w:rFonts w:cs="Arial"/>
              </w:rPr>
              <w:t>MAWG adviser</w:t>
            </w:r>
          </w:p>
          <w:p w14:paraId="4E460A0C" w14:textId="6CB7C12B" w:rsidR="007B2F29" w:rsidRPr="00D74887" w:rsidRDefault="008910A4" w:rsidP="009F7D22">
            <w:pPr>
              <w:cnfStyle w:val="000000000000" w:firstRow="0" w:lastRow="0" w:firstColumn="0" w:lastColumn="0" w:oddVBand="0" w:evenVBand="0" w:oddHBand="0" w:evenHBand="0" w:firstRowFirstColumn="0" w:firstRowLastColumn="0" w:lastRowFirstColumn="0" w:lastRowLastColumn="0"/>
              <w:rPr>
                <w:rFonts w:cs="Arial"/>
              </w:rPr>
            </w:pPr>
            <w:r w:rsidRPr="00EC6886">
              <w:rPr>
                <w:rFonts w:cs="Arial"/>
                <w:szCs w:val="18"/>
              </w:rPr>
              <w:t>Director</w:t>
            </w:r>
            <w:r>
              <w:rPr>
                <w:rFonts w:cs="Arial"/>
                <w:szCs w:val="18"/>
              </w:rPr>
              <w:t>,</w:t>
            </w:r>
            <w:r w:rsidRPr="00EC6886">
              <w:rPr>
                <w:rFonts w:cs="Arial"/>
                <w:szCs w:val="18"/>
              </w:rPr>
              <w:t xml:space="preserve"> Medicine Shortages Section</w:t>
            </w:r>
            <w:r>
              <w:rPr>
                <w:rFonts w:cs="Arial"/>
                <w:szCs w:val="18"/>
              </w:rPr>
              <w:t>, TGA</w:t>
            </w:r>
            <w:r w:rsidR="005039D4">
              <w:rPr>
                <w:rFonts w:cs="Arial"/>
              </w:rPr>
              <w:t xml:space="preserve"> </w:t>
            </w:r>
          </w:p>
        </w:tc>
      </w:tr>
      <w:tr w:rsidR="00361D79" w14:paraId="38C05FA0"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2BF62513" w14:textId="2FFF812F" w:rsidR="00361D79" w:rsidRPr="00092BF5" w:rsidRDefault="00361D79" w:rsidP="009F7D22">
            <w:pPr>
              <w:rPr>
                <w:rFonts w:cs="Arial"/>
                <w:szCs w:val="18"/>
              </w:rPr>
            </w:pPr>
            <w:r>
              <w:rPr>
                <w:rFonts w:cs="Arial"/>
                <w:szCs w:val="18"/>
              </w:rPr>
              <w:t>The Department of Health</w:t>
            </w:r>
            <w:r w:rsidR="00EE4E9A">
              <w:rPr>
                <w:rFonts w:cs="Arial"/>
                <w:szCs w:val="18"/>
              </w:rPr>
              <w:t xml:space="preserve"> and Aged Care</w:t>
            </w:r>
            <w:r>
              <w:rPr>
                <w:rFonts w:cs="Arial"/>
                <w:szCs w:val="18"/>
              </w:rPr>
              <w:t>, Technology Assessment and Access Division</w:t>
            </w:r>
          </w:p>
        </w:tc>
        <w:tc>
          <w:tcPr>
            <w:tcW w:w="2832" w:type="dxa"/>
          </w:tcPr>
          <w:p w14:paraId="1CF91189" w14:textId="42037EF6" w:rsidR="00361D79" w:rsidRPr="00764864" w:rsidRDefault="00361D79"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A</w:t>
            </w:r>
            <w:r w:rsidR="003C09FD">
              <w:rPr>
                <w:rFonts w:cs="Arial"/>
                <w:szCs w:val="18"/>
              </w:rPr>
              <w:t>rea that a</w:t>
            </w:r>
            <w:r>
              <w:rPr>
                <w:rFonts w:cs="Arial"/>
                <w:szCs w:val="18"/>
              </w:rPr>
              <w:t>dministers the Pharmaceutical Benefits Scheme</w:t>
            </w:r>
          </w:p>
        </w:tc>
        <w:tc>
          <w:tcPr>
            <w:tcW w:w="3507" w:type="dxa"/>
          </w:tcPr>
          <w:p w14:paraId="1A228120" w14:textId="467FED41" w:rsidR="00361D79" w:rsidRPr="00AC2A21" w:rsidRDefault="00EE4E9A" w:rsidP="009F7D22">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Directors, </w:t>
            </w:r>
            <w:r w:rsidR="00642357">
              <w:rPr>
                <w:rFonts w:cs="Arial"/>
              </w:rPr>
              <w:t>Office of Health Technology Assessment</w:t>
            </w:r>
            <w:r>
              <w:rPr>
                <w:rFonts w:cs="Arial"/>
              </w:rPr>
              <w:t xml:space="preserve">, Department of </w:t>
            </w:r>
            <w:proofErr w:type="gramStart"/>
            <w:r>
              <w:rPr>
                <w:rFonts w:cs="Arial"/>
              </w:rPr>
              <w:t>Health</w:t>
            </w:r>
            <w:proofErr w:type="gramEnd"/>
            <w:r>
              <w:rPr>
                <w:rFonts w:cs="Arial"/>
              </w:rPr>
              <w:t xml:space="preserve"> and Aged Care</w:t>
            </w:r>
            <w:r w:rsidR="00642357">
              <w:rPr>
                <w:rFonts w:cs="Arial"/>
              </w:rPr>
              <w:t xml:space="preserve"> </w:t>
            </w:r>
          </w:p>
        </w:tc>
      </w:tr>
      <w:tr w:rsidR="00D247A1" w14:paraId="11828CB3"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503FA8CD" w14:textId="30A52E37" w:rsidR="00D247A1" w:rsidRDefault="005C0C4E" w:rsidP="009F7D22">
            <w:pPr>
              <w:rPr>
                <w:rFonts w:cs="Arial"/>
                <w:szCs w:val="18"/>
              </w:rPr>
            </w:pPr>
            <w:r>
              <w:rPr>
                <w:rFonts w:cs="Arial"/>
                <w:szCs w:val="18"/>
              </w:rPr>
              <w:t>The Department of Industry</w:t>
            </w:r>
            <w:r w:rsidR="00231533">
              <w:rPr>
                <w:rFonts w:cs="Arial"/>
                <w:szCs w:val="18"/>
              </w:rPr>
              <w:t>,</w:t>
            </w:r>
            <w:r>
              <w:rPr>
                <w:rFonts w:cs="Arial"/>
                <w:szCs w:val="18"/>
              </w:rPr>
              <w:t xml:space="preserve"> Science and Resources</w:t>
            </w:r>
            <w:r w:rsidR="00EE4E9A">
              <w:rPr>
                <w:rFonts w:cs="Arial"/>
                <w:szCs w:val="18"/>
              </w:rPr>
              <w:t xml:space="preserve"> (DISR)</w:t>
            </w:r>
            <w:r>
              <w:rPr>
                <w:rFonts w:cs="Arial"/>
                <w:szCs w:val="18"/>
              </w:rPr>
              <w:t>, Office of Supply Chain Resilience</w:t>
            </w:r>
            <w:r w:rsidR="00EE4E9A">
              <w:rPr>
                <w:rFonts w:cs="Arial"/>
                <w:szCs w:val="18"/>
              </w:rPr>
              <w:t xml:space="preserve"> </w:t>
            </w:r>
          </w:p>
        </w:tc>
        <w:tc>
          <w:tcPr>
            <w:tcW w:w="2832" w:type="dxa"/>
          </w:tcPr>
          <w:p w14:paraId="353B9165" w14:textId="736EDC27" w:rsidR="00D247A1" w:rsidRDefault="0078458A"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Commonwealth</w:t>
            </w:r>
            <w:r w:rsidR="00231533">
              <w:rPr>
                <w:rFonts w:cs="Arial"/>
                <w:szCs w:val="18"/>
              </w:rPr>
              <w:t xml:space="preserve"> </w:t>
            </w:r>
          </w:p>
        </w:tc>
        <w:tc>
          <w:tcPr>
            <w:tcW w:w="3507" w:type="dxa"/>
          </w:tcPr>
          <w:p w14:paraId="4945B020" w14:textId="43C4026E" w:rsidR="00D247A1" w:rsidRDefault="00EE4E9A" w:rsidP="009F7D22">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Managers, </w:t>
            </w:r>
            <w:r w:rsidR="0052435E">
              <w:rPr>
                <w:rFonts w:cs="Arial"/>
              </w:rPr>
              <w:t>Office of Supply Chain Resilience</w:t>
            </w:r>
            <w:r>
              <w:rPr>
                <w:rFonts w:cs="Arial"/>
              </w:rPr>
              <w:t>, DISR</w:t>
            </w:r>
          </w:p>
        </w:tc>
      </w:tr>
      <w:tr w:rsidR="00D247A1" w14:paraId="5914F947"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26B501BC" w14:textId="138CB846" w:rsidR="00D247A1" w:rsidRDefault="0052435E" w:rsidP="009F7D22">
            <w:pPr>
              <w:rPr>
                <w:rFonts w:cs="Arial"/>
                <w:szCs w:val="18"/>
              </w:rPr>
            </w:pPr>
            <w:r>
              <w:rPr>
                <w:rFonts w:cs="Arial"/>
                <w:szCs w:val="18"/>
              </w:rPr>
              <w:t xml:space="preserve">The Department of </w:t>
            </w:r>
            <w:r w:rsidR="008C0BCB">
              <w:rPr>
                <w:rFonts w:cs="Arial"/>
                <w:szCs w:val="18"/>
              </w:rPr>
              <w:t>Home Affairs</w:t>
            </w:r>
          </w:p>
        </w:tc>
        <w:tc>
          <w:tcPr>
            <w:tcW w:w="2832" w:type="dxa"/>
          </w:tcPr>
          <w:p w14:paraId="09104877" w14:textId="1364038B" w:rsidR="00D247A1" w:rsidRDefault="0078458A"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Commonwealth</w:t>
            </w:r>
          </w:p>
        </w:tc>
        <w:tc>
          <w:tcPr>
            <w:tcW w:w="3507" w:type="dxa"/>
          </w:tcPr>
          <w:p w14:paraId="50B8B56D" w14:textId="519E18CA" w:rsidR="00D247A1" w:rsidRPr="008C7C8A" w:rsidRDefault="00EE4E9A" w:rsidP="009F7D22">
            <w:pPr>
              <w:cnfStyle w:val="000000000000" w:firstRow="0" w:lastRow="0" w:firstColumn="0" w:lastColumn="0" w:oddVBand="0" w:evenVBand="0" w:oddHBand="0" w:evenHBand="0" w:firstRowFirstColumn="0" w:firstRowLastColumn="0" w:lastRowFirstColumn="0" w:lastRowLastColumn="0"/>
              <w:rPr>
                <w:rFonts w:cs="Arial"/>
              </w:rPr>
            </w:pPr>
            <w:r w:rsidRPr="008C7C8A">
              <w:rPr>
                <w:rFonts w:cs="Arial"/>
              </w:rPr>
              <w:t xml:space="preserve">Directors, Australian </w:t>
            </w:r>
            <w:r w:rsidR="0052435E" w:rsidRPr="008C7C8A">
              <w:rPr>
                <w:rFonts w:cs="Arial"/>
              </w:rPr>
              <w:t>Border Force</w:t>
            </w:r>
            <w:r w:rsidR="00B443EE" w:rsidRPr="008C7C8A">
              <w:rPr>
                <w:rFonts w:cs="Arial"/>
              </w:rPr>
              <w:t xml:space="preserve"> </w:t>
            </w:r>
          </w:p>
        </w:tc>
      </w:tr>
      <w:tr w:rsidR="008C0BCB" w14:paraId="55648AE3"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3E5E6589" w14:textId="29AF5F0E" w:rsidR="008C0BCB" w:rsidRDefault="008C0BCB" w:rsidP="009F7D22">
            <w:pPr>
              <w:rPr>
                <w:rFonts w:cs="Arial"/>
                <w:szCs w:val="18"/>
              </w:rPr>
            </w:pPr>
            <w:r>
              <w:rPr>
                <w:rFonts w:cs="Arial"/>
                <w:szCs w:val="18"/>
              </w:rPr>
              <w:t>The Department of Foreign Affairs and Trade</w:t>
            </w:r>
            <w:r w:rsidR="00672E59">
              <w:rPr>
                <w:rFonts w:cs="Arial"/>
                <w:szCs w:val="18"/>
              </w:rPr>
              <w:t xml:space="preserve"> (DFAT)</w:t>
            </w:r>
          </w:p>
        </w:tc>
        <w:tc>
          <w:tcPr>
            <w:tcW w:w="2832" w:type="dxa"/>
          </w:tcPr>
          <w:p w14:paraId="466A118F" w14:textId="78E30590" w:rsidR="008C0BCB" w:rsidRDefault="0078458A"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Commonwealth</w:t>
            </w:r>
          </w:p>
        </w:tc>
        <w:tc>
          <w:tcPr>
            <w:tcW w:w="3507" w:type="dxa"/>
          </w:tcPr>
          <w:p w14:paraId="6E307E27" w14:textId="30DA8477" w:rsidR="008C0BCB" w:rsidRPr="008C7C8A" w:rsidRDefault="008A7902" w:rsidP="009F7D22">
            <w:pPr>
              <w:cnfStyle w:val="000000000000" w:firstRow="0" w:lastRow="0" w:firstColumn="0" w:lastColumn="0" w:oddVBand="0" w:evenVBand="0" w:oddHBand="0" w:evenHBand="0" w:firstRowFirstColumn="0" w:firstRowLastColumn="0" w:lastRowFirstColumn="0" w:lastRowLastColumn="0"/>
              <w:rPr>
                <w:rFonts w:cs="Arial"/>
              </w:rPr>
            </w:pPr>
            <w:r w:rsidRPr="008C7C8A">
              <w:rPr>
                <w:rFonts w:cs="Arial"/>
                <w:szCs w:val="18"/>
              </w:rPr>
              <w:t>Directors Supply Chain Resilience Section, DFAT</w:t>
            </w:r>
          </w:p>
        </w:tc>
      </w:tr>
      <w:tr w:rsidR="00B702D5" w14:paraId="38E633E8" w14:textId="77777777" w:rsidTr="009F7D22">
        <w:tc>
          <w:tcPr>
            <w:cnfStyle w:val="001000000000" w:firstRow="0" w:lastRow="0" w:firstColumn="1" w:lastColumn="0" w:oddVBand="0" w:evenVBand="0" w:oddHBand="0" w:evenHBand="0" w:firstRowFirstColumn="0" w:firstRowLastColumn="0" w:lastRowFirstColumn="0" w:lastRowLastColumn="0"/>
            <w:tcW w:w="9060" w:type="dxa"/>
            <w:gridSpan w:val="3"/>
          </w:tcPr>
          <w:p w14:paraId="10B2DD73" w14:textId="1CD94660" w:rsidR="00B702D5" w:rsidRPr="00092BF5" w:rsidRDefault="00B702D5" w:rsidP="009F7D22">
            <w:pPr>
              <w:rPr>
                <w:rFonts w:cs="Arial"/>
                <w:bCs/>
                <w:sz w:val="20"/>
                <w:szCs w:val="20"/>
              </w:rPr>
            </w:pPr>
            <w:r w:rsidRPr="00092BF5">
              <w:rPr>
                <w:rFonts w:cs="Arial"/>
                <w:bCs/>
                <w:sz w:val="20"/>
                <w:szCs w:val="20"/>
              </w:rPr>
              <w:t>Data providers</w:t>
            </w:r>
            <w:r w:rsidR="00AF33F9">
              <w:rPr>
                <w:rFonts w:cs="Arial"/>
                <w:bCs/>
                <w:sz w:val="20"/>
                <w:szCs w:val="20"/>
              </w:rPr>
              <w:t xml:space="preserve"> </w:t>
            </w:r>
            <w:r w:rsidR="001A340A">
              <w:rPr>
                <w:rFonts w:cs="Arial"/>
                <w:bCs/>
                <w:sz w:val="20"/>
                <w:szCs w:val="20"/>
              </w:rPr>
              <w:t>–</w:t>
            </w:r>
            <w:r w:rsidR="00AF33F9">
              <w:rPr>
                <w:rFonts w:cs="Arial"/>
                <w:bCs/>
                <w:sz w:val="20"/>
                <w:szCs w:val="20"/>
              </w:rPr>
              <w:t xml:space="preserve"> States and territories</w:t>
            </w:r>
          </w:p>
        </w:tc>
      </w:tr>
      <w:tr w:rsidR="00B730D0" w14:paraId="7B4D4814"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6638B467" w14:textId="77777777" w:rsidR="00B730D0" w:rsidRPr="00092BF5" w:rsidRDefault="00B730D0" w:rsidP="009F7D22">
            <w:pPr>
              <w:rPr>
                <w:rFonts w:cs="Arial"/>
                <w:szCs w:val="18"/>
              </w:rPr>
            </w:pPr>
            <w:r w:rsidRPr="00092BF5">
              <w:rPr>
                <w:rFonts w:cs="Arial"/>
                <w:szCs w:val="18"/>
              </w:rPr>
              <w:t>ACT</w:t>
            </w:r>
          </w:p>
        </w:tc>
        <w:tc>
          <w:tcPr>
            <w:tcW w:w="2832" w:type="dxa"/>
          </w:tcPr>
          <w:p w14:paraId="286DB247" w14:textId="554D7953" w:rsidR="00B730D0" w:rsidRPr="00092BF5" w:rsidRDefault="00EE312F" w:rsidP="009F7D22">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State/territory government </w:t>
            </w:r>
          </w:p>
        </w:tc>
        <w:tc>
          <w:tcPr>
            <w:tcW w:w="3507" w:type="dxa"/>
          </w:tcPr>
          <w:p w14:paraId="135D25FD" w14:textId="77777777"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 xml:space="preserve">Director </w:t>
            </w:r>
            <w:r w:rsidRPr="00092BF5">
              <w:rPr>
                <w:rFonts w:cs="Arial"/>
                <w:szCs w:val="18"/>
              </w:rPr>
              <w:br/>
              <w:t xml:space="preserve">Pharmaceutical Services Section Operations </w:t>
            </w:r>
          </w:p>
          <w:p w14:paraId="7787065E" w14:textId="77777777"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(Deputy Chief Pharmacist)</w:t>
            </w:r>
          </w:p>
          <w:p w14:paraId="120C2B7A" w14:textId="77777777"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Health Protection Service</w:t>
            </w:r>
          </w:p>
          <w:p w14:paraId="4DC435B5" w14:textId="5FD4F1B5"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rPr>
            </w:pPr>
            <w:r w:rsidRPr="00092BF5">
              <w:rPr>
                <w:rFonts w:cs="Arial"/>
                <w:szCs w:val="18"/>
              </w:rPr>
              <w:t>ACT Health</w:t>
            </w:r>
          </w:p>
        </w:tc>
      </w:tr>
      <w:tr w:rsidR="00B730D0" w14:paraId="482CFFD9"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5ED3139C" w14:textId="77777777" w:rsidR="00B730D0" w:rsidRPr="00092BF5" w:rsidRDefault="00B730D0" w:rsidP="009F7D22">
            <w:pPr>
              <w:rPr>
                <w:rFonts w:cs="Arial"/>
                <w:szCs w:val="18"/>
              </w:rPr>
            </w:pPr>
            <w:r w:rsidRPr="00092BF5">
              <w:rPr>
                <w:rFonts w:cs="Arial"/>
                <w:szCs w:val="18"/>
              </w:rPr>
              <w:t>NSW</w:t>
            </w:r>
          </w:p>
        </w:tc>
        <w:tc>
          <w:tcPr>
            <w:tcW w:w="2832" w:type="dxa"/>
          </w:tcPr>
          <w:p w14:paraId="62A43AAF" w14:textId="0126DE45" w:rsidR="00B730D0" w:rsidRPr="00092BF5" w:rsidRDefault="00EE312F"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rPr>
              <w:t xml:space="preserve">State/territory government </w:t>
            </w:r>
          </w:p>
        </w:tc>
        <w:tc>
          <w:tcPr>
            <w:tcW w:w="3507" w:type="dxa"/>
          </w:tcPr>
          <w:p w14:paraId="781EEDA8" w14:textId="61F6BB32" w:rsidR="0079656C" w:rsidRDefault="0079656C" w:rsidP="009F7D22">
            <w:pPr>
              <w:cnfStyle w:val="000000000000" w:firstRow="0" w:lastRow="0" w:firstColumn="0" w:lastColumn="0" w:oddVBand="0" w:evenVBand="0" w:oddHBand="0" w:evenHBand="0" w:firstRowFirstColumn="0" w:firstRowLastColumn="0" w:lastRowFirstColumn="0" w:lastRowLastColumn="0"/>
              <w:rPr>
                <w:rFonts w:eastAsiaTheme="minorHAnsi" w:cs="Arial"/>
                <w:lang w:eastAsia="en-US"/>
              </w:rPr>
            </w:pPr>
            <w:r w:rsidRPr="0079656C">
              <w:rPr>
                <w:rFonts w:cs="Arial"/>
                <w:szCs w:val="18"/>
              </w:rPr>
              <w:t>Chief Health Officer and Deputy Secretary – Population and Public Health</w:t>
            </w:r>
            <w:r w:rsidRPr="0079656C">
              <w:rPr>
                <w:rFonts w:cs="Arial"/>
                <w:szCs w:val="18"/>
              </w:rPr>
              <w:br/>
            </w:r>
            <w:r w:rsidRPr="0079656C">
              <w:rPr>
                <w:rFonts w:eastAsiaTheme="minorHAnsi" w:cs="Arial"/>
                <w:lang w:eastAsia="en-US"/>
              </w:rPr>
              <w:t xml:space="preserve">Office of the Chief Health Officer </w:t>
            </w:r>
          </w:p>
          <w:p w14:paraId="1ECA0BA2" w14:textId="2AA647ED" w:rsidR="00B730D0" w:rsidRPr="00092BF5" w:rsidRDefault="0079656C"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79656C">
              <w:rPr>
                <w:rFonts w:cs="Arial"/>
                <w:szCs w:val="18"/>
              </w:rPr>
              <w:t>NSW Health</w:t>
            </w:r>
          </w:p>
        </w:tc>
      </w:tr>
      <w:tr w:rsidR="00B730D0" w14:paraId="77951807"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015FF1F1" w14:textId="77777777" w:rsidR="00B730D0" w:rsidRPr="00092BF5" w:rsidRDefault="00B730D0" w:rsidP="009F7D22">
            <w:pPr>
              <w:rPr>
                <w:rFonts w:cs="Arial"/>
                <w:szCs w:val="18"/>
              </w:rPr>
            </w:pPr>
            <w:r w:rsidRPr="00092BF5">
              <w:rPr>
                <w:rFonts w:cs="Arial"/>
                <w:szCs w:val="18"/>
              </w:rPr>
              <w:t>NT</w:t>
            </w:r>
          </w:p>
        </w:tc>
        <w:tc>
          <w:tcPr>
            <w:tcW w:w="2832" w:type="dxa"/>
          </w:tcPr>
          <w:p w14:paraId="58D15050" w14:textId="60F7F528" w:rsidR="00B730D0" w:rsidRPr="00092BF5" w:rsidRDefault="00EE312F"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rPr>
              <w:t xml:space="preserve">State/territory government </w:t>
            </w:r>
          </w:p>
        </w:tc>
        <w:tc>
          <w:tcPr>
            <w:tcW w:w="3507" w:type="dxa"/>
          </w:tcPr>
          <w:p w14:paraId="7102FBE1" w14:textId="77777777"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 xml:space="preserve">Executive Director </w:t>
            </w:r>
            <w:r w:rsidRPr="00092BF5">
              <w:rPr>
                <w:rFonts w:cs="Arial"/>
                <w:szCs w:val="18"/>
              </w:rPr>
              <w:br/>
              <w:t>Medicines Management/Research</w:t>
            </w:r>
          </w:p>
          <w:p w14:paraId="1DA900EC" w14:textId="48222318"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NT Health</w:t>
            </w:r>
          </w:p>
        </w:tc>
      </w:tr>
      <w:tr w:rsidR="00B730D0" w14:paraId="6172FBBE"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2DC7AA86" w14:textId="77777777" w:rsidR="00B730D0" w:rsidRPr="00092BF5" w:rsidRDefault="00B730D0" w:rsidP="009F7D22">
            <w:pPr>
              <w:rPr>
                <w:rFonts w:cs="Arial"/>
                <w:szCs w:val="18"/>
              </w:rPr>
            </w:pPr>
            <w:r w:rsidRPr="00092BF5">
              <w:rPr>
                <w:rFonts w:cs="Arial"/>
                <w:szCs w:val="18"/>
              </w:rPr>
              <w:lastRenderedPageBreak/>
              <w:t>QLD</w:t>
            </w:r>
          </w:p>
        </w:tc>
        <w:tc>
          <w:tcPr>
            <w:tcW w:w="2832" w:type="dxa"/>
          </w:tcPr>
          <w:p w14:paraId="5FE59265" w14:textId="7AAEB870" w:rsidR="00B730D0" w:rsidRPr="00092BF5" w:rsidRDefault="00EE312F"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rPr>
              <w:t xml:space="preserve">State/territory government </w:t>
            </w:r>
          </w:p>
        </w:tc>
        <w:tc>
          <w:tcPr>
            <w:tcW w:w="3507" w:type="dxa"/>
          </w:tcPr>
          <w:p w14:paraId="052E23FB" w14:textId="46D5B338"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 xml:space="preserve">Executive Director </w:t>
            </w:r>
            <w:r w:rsidRPr="00092BF5">
              <w:rPr>
                <w:rFonts w:cs="Arial"/>
                <w:szCs w:val="18"/>
              </w:rPr>
              <w:br/>
              <w:t xml:space="preserve">Healthcare Regulation Branch </w:t>
            </w:r>
          </w:p>
          <w:p w14:paraId="56270E41" w14:textId="77777777"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 xml:space="preserve">Queensland Public Health and Scientific Services </w:t>
            </w:r>
          </w:p>
          <w:p w14:paraId="376CBBF2" w14:textId="60A91AF2"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Queensland Health</w:t>
            </w:r>
          </w:p>
        </w:tc>
      </w:tr>
      <w:tr w:rsidR="00B730D0" w14:paraId="734AB407"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13309725" w14:textId="77777777" w:rsidR="00B730D0" w:rsidRPr="00092BF5" w:rsidRDefault="00B730D0" w:rsidP="009F7D22">
            <w:pPr>
              <w:rPr>
                <w:rFonts w:cs="Arial"/>
                <w:szCs w:val="18"/>
              </w:rPr>
            </w:pPr>
            <w:r w:rsidRPr="00092BF5">
              <w:rPr>
                <w:rFonts w:cs="Arial"/>
                <w:szCs w:val="18"/>
              </w:rPr>
              <w:t>SA</w:t>
            </w:r>
          </w:p>
        </w:tc>
        <w:tc>
          <w:tcPr>
            <w:tcW w:w="2832" w:type="dxa"/>
          </w:tcPr>
          <w:p w14:paraId="4A23283A" w14:textId="74113121" w:rsidR="00B730D0" w:rsidRPr="00092BF5" w:rsidRDefault="00EE312F"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rPr>
              <w:t xml:space="preserve">State/territory government </w:t>
            </w:r>
          </w:p>
        </w:tc>
        <w:tc>
          <w:tcPr>
            <w:tcW w:w="3507" w:type="dxa"/>
          </w:tcPr>
          <w:p w14:paraId="30AD9C82" w14:textId="77777777" w:rsidR="00232A79" w:rsidRDefault="00232A79"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Director of Medicines and Technology Programs</w:t>
            </w:r>
          </w:p>
          <w:p w14:paraId="23CBD347" w14:textId="0F59F814" w:rsidR="00232A79" w:rsidRPr="00092BF5" w:rsidRDefault="00232A79"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Office of the Chief Pharmacist</w:t>
            </w:r>
          </w:p>
          <w:p w14:paraId="0BBD2BEC" w14:textId="527B9DD7"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S</w:t>
            </w:r>
            <w:r w:rsidR="00232A79">
              <w:rPr>
                <w:rFonts w:cs="Arial"/>
                <w:szCs w:val="18"/>
              </w:rPr>
              <w:t>A</w:t>
            </w:r>
            <w:r w:rsidRPr="00092BF5">
              <w:rPr>
                <w:rFonts w:cs="Arial"/>
                <w:szCs w:val="18"/>
              </w:rPr>
              <w:t xml:space="preserve"> Health</w:t>
            </w:r>
          </w:p>
        </w:tc>
      </w:tr>
      <w:tr w:rsidR="00B730D0" w14:paraId="58F701D2"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13E972B2" w14:textId="77777777" w:rsidR="00B730D0" w:rsidRPr="00092BF5" w:rsidRDefault="00B730D0" w:rsidP="009F7D22">
            <w:pPr>
              <w:rPr>
                <w:rFonts w:cs="Arial"/>
                <w:szCs w:val="18"/>
              </w:rPr>
            </w:pPr>
            <w:r w:rsidRPr="00092BF5">
              <w:rPr>
                <w:rFonts w:cs="Arial"/>
                <w:szCs w:val="18"/>
              </w:rPr>
              <w:t>TAS</w:t>
            </w:r>
          </w:p>
        </w:tc>
        <w:tc>
          <w:tcPr>
            <w:tcW w:w="2832" w:type="dxa"/>
          </w:tcPr>
          <w:p w14:paraId="7DE1DDC4" w14:textId="515D03DB" w:rsidR="00B730D0" w:rsidRPr="00092BF5" w:rsidRDefault="00EE312F"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rPr>
              <w:t xml:space="preserve">State/territory government </w:t>
            </w:r>
          </w:p>
        </w:tc>
        <w:tc>
          <w:tcPr>
            <w:tcW w:w="3507" w:type="dxa"/>
          </w:tcPr>
          <w:p w14:paraId="5D05B6DD" w14:textId="77777777"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 xml:space="preserve">Director </w:t>
            </w:r>
            <w:r w:rsidRPr="00092BF5">
              <w:rPr>
                <w:rFonts w:cs="Arial"/>
                <w:szCs w:val="18"/>
              </w:rPr>
              <w:br/>
              <w:t>Medication Strategy and Reform</w:t>
            </w:r>
          </w:p>
          <w:p w14:paraId="3F45367E" w14:textId="77777777"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Clinical Quality, Regulation and Accreditation</w:t>
            </w:r>
          </w:p>
          <w:p w14:paraId="3D1B3CC4" w14:textId="6B631878"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Department of Health, Tasmania</w:t>
            </w:r>
          </w:p>
        </w:tc>
      </w:tr>
      <w:tr w:rsidR="00B730D0" w14:paraId="49B8A7FA"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170DAE3B" w14:textId="77777777" w:rsidR="00B730D0" w:rsidRPr="00092BF5" w:rsidRDefault="00B730D0" w:rsidP="009F7D22">
            <w:pPr>
              <w:rPr>
                <w:rFonts w:cs="Arial"/>
                <w:szCs w:val="18"/>
              </w:rPr>
            </w:pPr>
            <w:r w:rsidRPr="00092BF5">
              <w:rPr>
                <w:rFonts w:cs="Arial"/>
                <w:szCs w:val="18"/>
              </w:rPr>
              <w:t>VIC</w:t>
            </w:r>
          </w:p>
        </w:tc>
        <w:tc>
          <w:tcPr>
            <w:tcW w:w="2832" w:type="dxa"/>
          </w:tcPr>
          <w:p w14:paraId="02E1D837" w14:textId="72F119BF" w:rsidR="00B730D0" w:rsidRPr="00092BF5" w:rsidRDefault="00EE312F"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rPr>
              <w:t xml:space="preserve">State/territory government </w:t>
            </w:r>
          </w:p>
        </w:tc>
        <w:tc>
          <w:tcPr>
            <w:tcW w:w="3507" w:type="dxa"/>
          </w:tcPr>
          <w:p w14:paraId="2D307419" w14:textId="77777777"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 xml:space="preserve">Director </w:t>
            </w:r>
            <w:r w:rsidRPr="00092BF5">
              <w:rPr>
                <w:rFonts w:cs="Arial"/>
                <w:szCs w:val="18"/>
              </w:rPr>
              <w:br/>
              <w:t>Supply Chain Surety</w:t>
            </w:r>
          </w:p>
          <w:p w14:paraId="310C8E37" w14:textId="53AEABDA"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proofErr w:type="spellStart"/>
            <w:r w:rsidRPr="00092BF5">
              <w:rPr>
                <w:rFonts w:cs="Arial"/>
                <w:szCs w:val="18"/>
              </w:rPr>
              <w:t>HealthShare</w:t>
            </w:r>
            <w:proofErr w:type="spellEnd"/>
            <w:r w:rsidRPr="00092BF5">
              <w:rPr>
                <w:rFonts w:cs="Arial"/>
                <w:szCs w:val="18"/>
              </w:rPr>
              <w:t xml:space="preserve"> Victoria</w:t>
            </w:r>
          </w:p>
        </w:tc>
      </w:tr>
      <w:tr w:rsidR="00B730D0" w14:paraId="0FF38DA2"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4C10ED0C" w14:textId="77777777" w:rsidR="00B730D0" w:rsidRPr="00092BF5" w:rsidRDefault="00B730D0" w:rsidP="009F7D22">
            <w:pPr>
              <w:rPr>
                <w:rFonts w:cs="Arial"/>
                <w:szCs w:val="18"/>
              </w:rPr>
            </w:pPr>
            <w:r w:rsidRPr="00092BF5">
              <w:rPr>
                <w:rFonts w:cs="Arial"/>
                <w:szCs w:val="18"/>
              </w:rPr>
              <w:t>WA</w:t>
            </w:r>
          </w:p>
        </w:tc>
        <w:tc>
          <w:tcPr>
            <w:tcW w:w="2832" w:type="dxa"/>
          </w:tcPr>
          <w:p w14:paraId="4062CD49" w14:textId="3749A729" w:rsidR="00B730D0" w:rsidRPr="00092BF5" w:rsidRDefault="00EE312F"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rPr>
              <w:t xml:space="preserve">State/territory government </w:t>
            </w:r>
          </w:p>
        </w:tc>
        <w:tc>
          <w:tcPr>
            <w:tcW w:w="3507" w:type="dxa"/>
          </w:tcPr>
          <w:p w14:paraId="296A40E3" w14:textId="77777777"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Chief Pharmacist</w:t>
            </w:r>
          </w:p>
          <w:p w14:paraId="6C48165C" w14:textId="77777777"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Public Health Regulation Directorate</w:t>
            </w:r>
          </w:p>
          <w:p w14:paraId="11DE15B5" w14:textId="6F03B890" w:rsidR="00B730D0" w:rsidRPr="00092BF5" w:rsidRDefault="00B730D0"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092BF5">
              <w:rPr>
                <w:rFonts w:cs="Arial"/>
                <w:szCs w:val="18"/>
              </w:rPr>
              <w:t xml:space="preserve">Department of Health </w:t>
            </w:r>
            <w:r w:rsidRPr="00092BF5">
              <w:rPr>
                <w:rFonts w:cs="Arial"/>
                <w:szCs w:val="18"/>
              </w:rPr>
              <w:br/>
              <w:t>Western Australia</w:t>
            </w:r>
          </w:p>
        </w:tc>
      </w:tr>
      <w:tr w:rsidR="00832386" w14:paraId="27FF10F0" w14:textId="77777777" w:rsidTr="009F7D22">
        <w:tc>
          <w:tcPr>
            <w:cnfStyle w:val="001000000000" w:firstRow="0" w:lastRow="0" w:firstColumn="1" w:lastColumn="0" w:oddVBand="0" w:evenVBand="0" w:oddHBand="0" w:evenHBand="0" w:firstRowFirstColumn="0" w:firstRowLastColumn="0" w:lastRowFirstColumn="0" w:lastRowLastColumn="0"/>
            <w:tcW w:w="9060" w:type="dxa"/>
            <w:gridSpan w:val="3"/>
          </w:tcPr>
          <w:p w14:paraId="41D1C854" w14:textId="2B0F123F" w:rsidR="00832386" w:rsidRPr="00092BF5" w:rsidRDefault="00832386" w:rsidP="009F7D22">
            <w:pPr>
              <w:rPr>
                <w:rFonts w:cs="Arial"/>
                <w:szCs w:val="18"/>
              </w:rPr>
            </w:pPr>
            <w:r w:rsidRPr="00FB72F5">
              <w:rPr>
                <w:rFonts w:cs="Arial"/>
                <w:bCs/>
                <w:sz w:val="20"/>
                <w:szCs w:val="20"/>
              </w:rPr>
              <w:t xml:space="preserve">Data providers </w:t>
            </w:r>
            <w:r w:rsidR="001A340A">
              <w:rPr>
                <w:rFonts w:cs="Arial"/>
                <w:bCs/>
                <w:sz w:val="20"/>
                <w:szCs w:val="20"/>
              </w:rPr>
              <w:t>–</w:t>
            </w:r>
            <w:r w:rsidRPr="00FB72F5">
              <w:rPr>
                <w:rFonts w:cs="Arial"/>
                <w:bCs/>
                <w:sz w:val="20"/>
                <w:szCs w:val="20"/>
              </w:rPr>
              <w:t xml:space="preserve"> wholesalers</w:t>
            </w:r>
          </w:p>
        </w:tc>
      </w:tr>
      <w:tr w:rsidR="00832386" w14:paraId="1B164434"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7F399988" w14:textId="5E942D1C" w:rsidR="00832386" w:rsidRPr="00092BF5" w:rsidRDefault="00DD2818" w:rsidP="009F7D22">
            <w:pPr>
              <w:rPr>
                <w:rFonts w:cs="Arial"/>
                <w:szCs w:val="18"/>
              </w:rPr>
            </w:pPr>
            <w:r w:rsidRPr="00DD2818">
              <w:rPr>
                <w:rFonts w:cs="Arial"/>
                <w:szCs w:val="18"/>
              </w:rPr>
              <w:t xml:space="preserve">NPSA </w:t>
            </w:r>
            <w:r w:rsidR="001A340A">
              <w:rPr>
                <w:rFonts w:cs="Arial"/>
                <w:szCs w:val="18"/>
              </w:rPr>
              <w:t>–</w:t>
            </w:r>
            <w:r w:rsidRPr="00DD2818">
              <w:rPr>
                <w:rFonts w:cs="Arial"/>
                <w:szCs w:val="18"/>
              </w:rPr>
              <w:t xml:space="preserve"> Australia</w:t>
            </w:r>
            <w:r w:rsidR="001A340A">
              <w:rPr>
                <w:rFonts w:cs="Arial"/>
                <w:szCs w:val="18"/>
              </w:rPr>
              <w:t>’</w:t>
            </w:r>
            <w:r w:rsidRPr="00DD2818">
              <w:rPr>
                <w:rFonts w:cs="Arial"/>
                <w:szCs w:val="18"/>
              </w:rPr>
              <w:t xml:space="preserve">s medicine distribution network </w:t>
            </w:r>
            <w:r w:rsidR="00227BE0">
              <w:rPr>
                <w:rFonts w:cs="Arial"/>
                <w:szCs w:val="18"/>
              </w:rPr>
              <w:t>(NPSA)</w:t>
            </w:r>
          </w:p>
        </w:tc>
        <w:tc>
          <w:tcPr>
            <w:tcW w:w="2832" w:type="dxa"/>
          </w:tcPr>
          <w:p w14:paraId="5FC3E825" w14:textId="09609A6F" w:rsidR="00832386" w:rsidRPr="00092BF5" w:rsidRDefault="00FF67DC" w:rsidP="009F7D22">
            <w:pPr>
              <w:cnfStyle w:val="000000000000" w:firstRow="0" w:lastRow="0" w:firstColumn="0" w:lastColumn="0" w:oddVBand="0" w:evenVBand="0" w:oddHBand="0" w:evenHBand="0" w:firstRowFirstColumn="0" w:firstRowLastColumn="0" w:lastRowFirstColumn="0" w:lastRowLastColumn="0"/>
              <w:rPr>
                <w:rFonts w:cs="Arial"/>
              </w:rPr>
            </w:pPr>
            <w:bookmarkStart w:id="28" w:name="_Hlk157764345"/>
            <w:r>
              <w:rPr>
                <w:rFonts w:cs="Arial"/>
              </w:rPr>
              <w:t>P</w:t>
            </w:r>
            <w:r w:rsidR="00492BF4">
              <w:rPr>
                <w:rFonts w:cs="Arial"/>
              </w:rPr>
              <w:t>harmaceutical Benefits Scheme (P</w:t>
            </w:r>
            <w:r>
              <w:rPr>
                <w:rFonts w:cs="Arial"/>
              </w:rPr>
              <w:t>BS</w:t>
            </w:r>
            <w:r w:rsidR="00492BF4">
              <w:rPr>
                <w:rFonts w:cs="Arial"/>
              </w:rPr>
              <w:t>)</w:t>
            </w:r>
            <w:r w:rsidR="00EE4E9A">
              <w:rPr>
                <w:rFonts w:cs="Arial"/>
              </w:rPr>
              <w:t xml:space="preserve"> </w:t>
            </w:r>
            <w:r w:rsidR="00FC208E">
              <w:rPr>
                <w:rFonts w:cs="Arial"/>
              </w:rPr>
              <w:t xml:space="preserve">Community Service Obligation Distributors </w:t>
            </w:r>
            <w:r w:rsidR="00EE4E9A">
              <w:rPr>
                <w:rFonts w:cs="Arial"/>
              </w:rPr>
              <w:t>(</w:t>
            </w:r>
            <w:r w:rsidR="00EE4E9A" w:rsidRPr="00FC208E">
              <w:rPr>
                <w:rFonts w:cs="Arial"/>
              </w:rPr>
              <w:t>CSOD</w:t>
            </w:r>
            <w:r w:rsidR="00EE4E9A">
              <w:rPr>
                <w:rFonts w:cs="Arial"/>
              </w:rPr>
              <w:t>)</w:t>
            </w:r>
            <w:r>
              <w:rPr>
                <w:rFonts w:cs="Arial"/>
              </w:rPr>
              <w:t xml:space="preserve"> </w:t>
            </w:r>
            <w:r w:rsidR="00EE312F">
              <w:rPr>
                <w:rFonts w:cs="Arial"/>
              </w:rPr>
              <w:t>Wholesalers</w:t>
            </w:r>
            <w:bookmarkEnd w:id="28"/>
          </w:p>
        </w:tc>
        <w:tc>
          <w:tcPr>
            <w:tcW w:w="3507" w:type="dxa"/>
          </w:tcPr>
          <w:p w14:paraId="79ADC973" w14:textId="6434EF5C" w:rsidR="00832386" w:rsidRPr="00092BF5" w:rsidRDefault="00494FF7"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Executive Director</w:t>
            </w:r>
          </w:p>
        </w:tc>
      </w:tr>
      <w:tr w:rsidR="0098132E" w14:paraId="7A2125F6"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40434972" w14:textId="51E8E036" w:rsidR="0098132E" w:rsidRPr="00092BF5" w:rsidRDefault="0098132E" w:rsidP="009F7D22">
            <w:pPr>
              <w:rPr>
                <w:rFonts w:cs="Arial"/>
                <w:szCs w:val="18"/>
              </w:rPr>
            </w:pPr>
            <w:r>
              <w:rPr>
                <w:rFonts w:cs="Arial"/>
                <w:szCs w:val="18"/>
              </w:rPr>
              <w:t xml:space="preserve">NPSA </w:t>
            </w:r>
            <w:r w:rsidR="00EE4E9A">
              <w:rPr>
                <w:rFonts w:cs="Arial"/>
                <w:szCs w:val="18"/>
              </w:rPr>
              <w:t>member</w:t>
            </w:r>
            <w:r>
              <w:rPr>
                <w:rFonts w:cs="Arial"/>
                <w:szCs w:val="18"/>
              </w:rPr>
              <w:t>– A</w:t>
            </w:r>
            <w:r w:rsidR="00CA555B">
              <w:rPr>
                <w:rFonts w:cs="Arial"/>
                <w:szCs w:val="18"/>
              </w:rPr>
              <w:t xml:space="preserve">ustralian </w:t>
            </w:r>
            <w:r>
              <w:rPr>
                <w:rFonts w:cs="Arial"/>
                <w:szCs w:val="18"/>
              </w:rPr>
              <w:t>P</w:t>
            </w:r>
            <w:r w:rsidR="00CA555B">
              <w:rPr>
                <w:rFonts w:cs="Arial"/>
                <w:szCs w:val="18"/>
              </w:rPr>
              <w:t xml:space="preserve">harmaceutical </w:t>
            </w:r>
            <w:r>
              <w:rPr>
                <w:rFonts w:cs="Arial"/>
                <w:szCs w:val="18"/>
              </w:rPr>
              <w:t>I</w:t>
            </w:r>
            <w:r w:rsidR="00CA555B">
              <w:rPr>
                <w:rFonts w:cs="Arial"/>
                <w:szCs w:val="18"/>
              </w:rPr>
              <w:t>ndustries</w:t>
            </w:r>
            <w:r>
              <w:rPr>
                <w:rFonts w:cs="Arial"/>
                <w:szCs w:val="18"/>
              </w:rPr>
              <w:t xml:space="preserve"> </w:t>
            </w:r>
          </w:p>
        </w:tc>
        <w:tc>
          <w:tcPr>
            <w:tcW w:w="2832" w:type="dxa"/>
          </w:tcPr>
          <w:p w14:paraId="706569FC" w14:textId="51A242EA" w:rsidR="0098132E" w:rsidRPr="00092BF5" w:rsidRDefault="00EC6886"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rPr>
              <w:t>PBS Wholesalers</w:t>
            </w:r>
          </w:p>
        </w:tc>
        <w:tc>
          <w:tcPr>
            <w:tcW w:w="3507" w:type="dxa"/>
          </w:tcPr>
          <w:p w14:paraId="7D9FE500" w14:textId="6047E839" w:rsidR="0098132E" w:rsidRPr="00092BF5" w:rsidRDefault="0098132E"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General Manager Healthcare Services</w:t>
            </w:r>
          </w:p>
        </w:tc>
      </w:tr>
      <w:tr w:rsidR="0098132E" w14:paraId="600DEEE5"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64BA3D09" w14:textId="5458068B" w:rsidR="0098132E" w:rsidRPr="00092BF5" w:rsidRDefault="0098132E" w:rsidP="009F7D22">
            <w:pPr>
              <w:rPr>
                <w:rFonts w:cs="Arial"/>
                <w:szCs w:val="18"/>
              </w:rPr>
            </w:pPr>
            <w:r>
              <w:rPr>
                <w:rFonts w:cs="Arial"/>
                <w:szCs w:val="18"/>
              </w:rPr>
              <w:t>NPSA</w:t>
            </w:r>
            <w:r w:rsidR="00EE4E9A">
              <w:rPr>
                <w:rFonts w:cs="Arial"/>
                <w:szCs w:val="18"/>
              </w:rPr>
              <w:t xml:space="preserve"> member</w:t>
            </w:r>
            <w:r>
              <w:rPr>
                <w:rFonts w:cs="Arial"/>
                <w:szCs w:val="18"/>
              </w:rPr>
              <w:t>- Sigma</w:t>
            </w:r>
          </w:p>
        </w:tc>
        <w:tc>
          <w:tcPr>
            <w:tcW w:w="2832" w:type="dxa"/>
          </w:tcPr>
          <w:p w14:paraId="57C4670C" w14:textId="0D9D9447" w:rsidR="0098132E" w:rsidRPr="00092BF5" w:rsidRDefault="00EC6886"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rPr>
              <w:t>PBS Wholesalers</w:t>
            </w:r>
          </w:p>
        </w:tc>
        <w:tc>
          <w:tcPr>
            <w:tcW w:w="3507" w:type="dxa"/>
          </w:tcPr>
          <w:p w14:paraId="24B21CF7" w14:textId="78233BCF" w:rsidR="0098132E" w:rsidRPr="00092BF5" w:rsidRDefault="00CA555B"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CA555B">
              <w:rPr>
                <w:rFonts w:cs="Arial"/>
                <w:szCs w:val="18"/>
              </w:rPr>
              <w:t xml:space="preserve">Supply Planning Manager </w:t>
            </w:r>
            <w:r w:rsidR="0098132E">
              <w:rPr>
                <w:rFonts w:cs="Arial"/>
                <w:szCs w:val="18"/>
              </w:rPr>
              <w:t xml:space="preserve">Sigma Healthcare </w:t>
            </w:r>
          </w:p>
        </w:tc>
      </w:tr>
      <w:tr w:rsidR="0098132E" w14:paraId="593E8BD5"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25385D88" w14:textId="3AA43436" w:rsidR="0098132E" w:rsidRPr="00092BF5" w:rsidRDefault="0098132E" w:rsidP="009F7D22">
            <w:pPr>
              <w:rPr>
                <w:rFonts w:cs="Arial"/>
                <w:szCs w:val="18"/>
              </w:rPr>
            </w:pPr>
            <w:r>
              <w:rPr>
                <w:rFonts w:cs="Arial"/>
                <w:szCs w:val="18"/>
              </w:rPr>
              <w:t xml:space="preserve">NPSA </w:t>
            </w:r>
            <w:r w:rsidR="00EE4E9A">
              <w:rPr>
                <w:rFonts w:cs="Arial"/>
                <w:szCs w:val="18"/>
              </w:rPr>
              <w:t>member</w:t>
            </w:r>
            <w:r>
              <w:rPr>
                <w:rFonts w:cs="Arial"/>
                <w:szCs w:val="18"/>
              </w:rPr>
              <w:t xml:space="preserve">- </w:t>
            </w:r>
            <w:proofErr w:type="spellStart"/>
            <w:r>
              <w:rPr>
                <w:rFonts w:cs="Arial"/>
                <w:szCs w:val="18"/>
              </w:rPr>
              <w:t>Symbion</w:t>
            </w:r>
            <w:proofErr w:type="spellEnd"/>
          </w:p>
        </w:tc>
        <w:tc>
          <w:tcPr>
            <w:tcW w:w="2832" w:type="dxa"/>
          </w:tcPr>
          <w:p w14:paraId="7E68FE79" w14:textId="1888D771" w:rsidR="0098132E" w:rsidRPr="00092BF5" w:rsidRDefault="00EC6886" w:rsidP="009F7D22">
            <w:pPr>
              <w:cnfStyle w:val="000000000000" w:firstRow="0" w:lastRow="0" w:firstColumn="0" w:lastColumn="0" w:oddVBand="0" w:evenVBand="0" w:oddHBand="0" w:evenHBand="0" w:firstRowFirstColumn="0" w:firstRowLastColumn="0" w:lastRowFirstColumn="0" w:lastRowLastColumn="0"/>
              <w:rPr>
                <w:rFonts w:cs="Arial"/>
              </w:rPr>
            </w:pPr>
            <w:r>
              <w:rPr>
                <w:rFonts w:cs="Arial"/>
              </w:rPr>
              <w:t>PBS Wholesalers</w:t>
            </w:r>
          </w:p>
        </w:tc>
        <w:tc>
          <w:tcPr>
            <w:tcW w:w="3507" w:type="dxa"/>
          </w:tcPr>
          <w:p w14:paraId="1CF76085" w14:textId="7D59F266" w:rsidR="0098132E" w:rsidRPr="00092BF5" w:rsidRDefault="00CA555B" w:rsidP="009F7D22">
            <w:pPr>
              <w:cnfStyle w:val="000000000000" w:firstRow="0" w:lastRow="0" w:firstColumn="0" w:lastColumn="0" w:oddVBand="0" w:evenVBand="0" w:oddHBand="0" w:evenHBand="0" w:firstRowFirstColumn="0" w:firstRowLastColumn="0" w:lastRowFirstColumn="0" w:lastRowLastColumn="0"/>
              <w:rPr>
                <w:rFonts w:cs="Arial"/>
                <w:szCs w:val="18"/>
              </w:rPr>
            </w:pPr>
            <w:r w:rsidRPr="00CA555B">
              <w:rPr>
                <w:rFonts w:cs="Arial"/>
                <w:szCs w:val="18"/>
              </w:rPr>
              <w:t>General Manager Supply Chain</w:t>
            </w:r>
          </w:p>
        </w:tc>
      </w:tr>
      <w:tr w:rsidR="0098132E" w14:paraId="41A5ADE0"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4F874916" w14:textId="1E58DB3B" w:rsidR="0098132E" w:rsidRPr="00092BF5" w:rsidRDefault="00DC6867" w:rsidP="009F7D22">
            <w:pPr>
              <w:rPr>
                <w:rFonts w:cs="Arial"/>
                <w:szCs w:val="18"/>
              </w:rPr>
            </w:pPr>
            <w:bookmarkStart w:id="29" w:name="_Hlk157764303"/>
            <w:r>
              <w:rPr>
                <w:rFonts w:cs="Arial"/>
                <w:szCs w:val="18"/>
              </w:rPr>
              <w:t xml:space="preserve">NPSA </w:t>
            </w:r>
            <w:r w:rsidR="00EE4E9A">
              <w:rPr>
                <w:rFonts w:cs="Arial"/>
                <w:szCs w:val="18"/>
              </w:rPr>
              <w:t>member</w:t>
            </w:r>
            <w:r>
              <w:rPr>
                <w:rFonts w:cs="Arial"/>
                <w:szCs w:val="18"/>
              </w:rPr>
              <w:t xml:space="preserve">- </w:t>
            </w:r>
            <w:r w:rsidRPr="00FC208E">
              <w:rPr>
                <w:rFonts w:cs="Arial"/>
                <w:szCs w:val="18"/>
              </w:rPr>
              <w:t>NPD</w:t>
            </w:r>
            <w:r w:rsidRPr="00DC6867">
              <w:rPr>
                <w:rFonts w:cs="Arial"/>
                <w:szCs w:val="18"/>
              </w:rPr>
              <w:t xml:space="preserve"> (National Pharmacies</w:t>
            </w:r>
            <w:r w:rsidR="00672E59">
              <w:rPr>
                <w:rFonts w:cs="Arial"/>
                <w:szCs w:val="18"/>
              </w:rPr>
              <w:t xml:space="preserve"> Distribution</w:t>
            </w:r>
            <w:r w:rsidRPr="00DC6867">
              <w:rPr>
                <w:rFonts w:cs="Arial"/>
                <w:szCs w:val="18"/>
              </w:rPr>
              <w:t>)</w:t>
            </w:r>
            <w:bookmarkEnd w:id="29"/>
          </w:p>
        </w:tc>
        <w:tc>
          <w:tcPr>
            <w:tcW w:w="2832" w:type="dxa"/>
          </w:tcPr>
          <w:p w14:paraId="140BC19D" w14:textId="7201B10C" w:rsidR="0098132E" w:rsidRPr="00092BF5" w:rsidRDefault="00EC6886"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rPr>
              <w:t>PBS Wholesalers</w:t>
            </w:r>
          </w:p>
        </w:tc>
        <w:tc>
          <w:tcPr>
            <w:tcW w:w="3507" w:type="dxa"/>
          </w:tcPr>
          <w:p w14:paraId="220F57BD" w14:textId="62151C58" w:rsidR="0098132E" w:rsidRPr="00092BF5" w:rsidRDefault="00AC710B"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Chief Executive Officer National Pharmacies</w:t>
            </w:r>
          </w:p>
        </w:tc>
      </w:tr>
      <w:tr w:rsidR="00C31F95" w14:paraId="143CED85"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7A3684DF" w14:textId="080EF616" w:rsidR="00084B7B" w:rsidRDefault="00084B7B" w:rsidP="009F7D22">
            <w:pPr>
              <w:rPr>
                <w:rFonts w:cs="Arial"/>
                <w:szCs w:val="18"/>
              </w:rPr>
            </w:pPr>
            <w:r>
              <w:rPr>
                <w:rFonts w:cs="Arial"/>
                <w:szCs w:val="18"/>
              </w:rPr>
              <w:t>Other whol</w:t>
            </w:r>
            <w:r w:rsidR="00033B6D">
              <w:rPr>
                <w:rFonts w:cs="Arial"/>
                <w:szCs w:val="18"/>
              </w:rPr>
              <w:t>e</w:t>
            </w:r>
            <w:r>
              <w:rPr>
                <w:rFonts w:cs="Arial"/>
                <w:szCs w:val="18"/>
              </w:rPr>
              <w:t>salers – Clifford Hallam Healthcare (CH2)</w:t>
            </w:r>
          </w:p>
        </w:tc>
        <w:tc>
          <w:tcPr>
            <w:tcW w:w="2832" w:type="dxa"/>
          </w:tcPr>
          <w:p w14:paraId="1894692F" w14:textId="5EE0D063" w:rsidR="00084B7B" w:rsidRDefault="0036362E" w:rsidP="009F7D22">
            <w:pPr>
              <w:cnfStyle w:val="000000000000" w:firstRow="0" w:lastRow="0" w:firstColumn="0" w:lastColumn="0" w:oddVBand="0" w:evenVBand="0" w:oddHBand="0" w:evenHBand="0" w:firstRowFirstColumn="0" w:firstRowLastColumn="0" w:lastRowFirstColumn="0" w:lastRowLastColumn="0"/>
              <w:rPr>
                <w:rFonts w:cs="Arial"/>
              </w:rPr>
            </w:pPr>
            <w:r>
              <w:rPr>
                <w:rFonts w:cs="Arial"/>
              </w:rPr>
              <w:t>W</w:t>
            </w:r>
            <w:r w:rsidR="00AC710B">
              <w:rPr>
                <w:rFonts w:cs="Arial"/>
              </w:rPr>
              <w:t>holesalers</w:t>
            </w:r>
          </w:p>
        </w:tc>
        <w:tc>
          <w:tcPr>
            <w:tcW w:w="3507" w:type="dxa"/>
          </w:tcPr>
          <w:p w14:paraId="1093E175" w14:textId="4C23E0E4" w:rsidR="00084B7B" w:rsidRPr="00DC6867" w:rsidRDefault="00526247" w:rsidP="009F7D22">
            <w:pPr>
              <w:cnfStyle w:val="000000000000" w:firstRow="0" w:lastRow="0" w:firstColumn="0" w:lastColumn="0" w:oddVBand="0" w:evenVBand="0" w:oddHBand="0" w:evenHBand="0" w:firstRowFirstColumn="0" w:firstRowLastColumn="0" w:lastRowFirstColumn="0" w:lastRowLastColumn="0"/>
              <w:rPr>
                <w:rFonts w:cs="Arial"/>
                <w:szCs w:val="18"/>
                <w:highlight w:val="yellow"/>
              </w:rPr>
            </w:pPr>
            <w:r w:rsidRPr="00526247">
              <w:rPr>
                <w:rFonts w:cs="Arial"/>
                <w:szCs w:val="18"/>
              </w:rPr>
              <w:t>Chief Executive Officer CH2</w:t>
            </w:r>
          </w:p>
        </w:tc>
      </w:tr>
      <w:tr w:rsidR="00C31F95" w14:paraId="02EDF870"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03A7E4C2" w14:textId="473CF156" w:rsidR="00084B7B" w:rsidRDefault="00AC710B" w:rsidP="009F7D22">
            <w:pPr>
              <w:rPr>
                <w:rFonts w:cs="Arial"/>
                <w:szCs w:val="18"/>
              </w:rPr>
            </w:pPr>
            <w:r>
              <w:rPr>
                <w:rFonts w:cs="Arial"/>
                <w:szCs w:val="18"/>
              </w:rPr>
              <w:t>Other wholesalers</w:t>
            </w:r>
            <w:r w:rsidR="00517DC6">
              <w:rPr>
                <w:rFonts w:cs="Arial"/>
                <w:szCs w:val="18"/>
              </w:rPr>
              <w:t>/distributors</w:t>
            </w:r>
            <w:r>
              <w:rPr>
                <w:rFonts w:cs="Arial"/>
                <w:szCs w:val="18"/>
              </w:rPr>
              <w:t xml:space="preserve"> may be approached as required for individual cases</w:t>
            </w:r>
          </w:p>
        </w:tc>
        <w:tc>
          <w:tcPr>
            <w:tcW w:w="2832" w:type="dxa"/>
          </w:tcPr>
          <w:p w14:paraId="5AFF8EF9" w14:textId="4447F51A" w:rsidR="00084B7B" w:rsidRDefault="00517DC6" w:rsidP="009F7D22">
            <w:pPr>
              <w:cnfStyle w:val="000000000000" w:firstRow="0" w:lastRow="0" w:firstColumn="0" w:lastColumn="0" w:oddVBand="0" w:evenVBand="0" w:oddHBand="0" w:evenHBand="0" w:firstRowFirstColumn="0" w:firstRowLastColumn="0" w:lastRowFirstColumn="0" w:lastRowLastColumn="0"/>
              <w:rPr>
                <w:rFonts w:cs="Arial"/>
              </w:rPr>
            </w:pPr>
            <w:r>
              <w:rPr>
                <w:rFonts w:cs="Arial"/>
              </w:rPr>
              <w:t>W</w:t>
            </w:r>
            <w:r w:rsidR="00AC710B">
              <w:rPr>
                <w:rFonts w:cs="Arial"/>
              </w:rPr>
              <w:t>holesalers</w:t>
            </w:r>
          </w:p>
        </w:tc>
        <w:tc>
          <w:tcPr>
            <w:tcW w:w="3507" w:type="dxa"/>
          </w:tcPr>
          <w:p w14:paraId="191CDA43" w14:textId="3C0D4D58" w:rsidR="00084B7B" w:rsidRPr="00DC6867" w:rsidRDefault="00084B7B" w:rsidP="009F7D22">
            <w:pPr>
              <w:cnfStyle w:val="000000000000" w:firstRow="0" w:lastRow="0" w:firstColumn="0" w:lastColumn="0" w:oddVBand="0" w:evenVBand="0" w:oddHBand="0" w:evenHBand="0" w:firstRowFirstColumn="0" w:firstRowLastColumn="0" w:lastRowFirstColumn="0" w:lastRowLastColumn="0"/>
              <w:rPr>
                <w:rFonts w:cs="Arial"/>
                <w:szCs w:val="18"/>
                <w:highlight w:val="yellow"/>
              </w:rPr>
            </w:pPr>
          </w:p>
        </w:tc>
      </w:tr>
      <w:tr w:rsidR="0098132E" w14:paraId="4110F600" w14:textId="77777777" w:rsidTr="009F7D22">
        <w:tc>
          <w:tcPr>
            <w:cnfStyle w:val="001000000000" w:firstRow="0" w:lastRow="0" w:firstColumn="1" w:lastColumn="0" w:oddVBand="0" w:evenVBand="0" w:oddHBand="0" w:evenHBand="0" w:firstRowFirstColumn="0" w:firstRowLastColumn="0" w:lastRowFirstColumn="0" w:lastRowLastColumn="0"/>
            <w:tcW w:w="9060" w:type="dxa"/>
            <w:gridSpan w:val="3"/>
          </w:tcPr>
          <w:p w14:paraId="28D2FBC1" w14:textId="22F7F16B" w:rsidR="0098132E" w:rsidRPr="00092BF5" w:rsidRDefault="0098132E" w:rsidP="009F7D22">
            <w:pPr>
              <w:rPr>
                <w:rFonts w:cs="Arial"/>
                <w:szCs w:val="18"/>
              </w:rPr>
            </w:pPr>
            <w:r w:rsidRPr="00FB72F5">
              <w:rPr>
                <w:rFonts w:cs="Arial"/>
                <w:bCs/>
                <w:sz w:val="20"/>
                <w:szCs w:val="20"/>
              </w:rPr>
              <w:t xml:space="preserve">Data providers </w:t>
            </w:r>
            <w:r w:rsidR="00A434A9">
              <w:rPr>
                <w:rFonts w:cs="Arial"/>
                <w:bCs/>
                <w:sz w:val="20"/>
                <w:szCs w:val="20"/>
              </w:rPr>
              <w:t>–</w:t>
            </w:r>
            <w:r w:rsidRPr="00FB72F5">
              <w:rPr>
                <w:rFonts w:cs="Arial"/>
                <w:bCs/>
                <w:sz w:val="20"/>
                <w:szCs w:val="20"/>
              </w:rPr>
              <w:t xml:space="preserve"> </w:t>
            </w:r>
            <w:r w:rsidR="00EE4E9A">
              <w:rPr>
                <w:rFonts w:cs="Arial"/>
                <w:bCs/>
                <w:sz w:val="20"/>
                <w:szCs w:val="20"/>
              </w:rPr>
              <w:t xml:space="preserve">medicine </w:t>
            </w:r>
            <w:r>
              <w:rPr>
                <w:rFonts w:cs="Arial"/>
                <w:bCs/>
                <w:sz w:val="20"/>
                <w:szCs w:val="20"/>
              </w:rPr>
              <w:t>sponsors</w:t>
            </w:r>
          </w:p>
        </w:tc>
      </w:tr>
      <w:tr w:rsidR="0098132E" w14:paraId="67063D37"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42BA4481" w14:textId="446B792A" w:rsidR="0098132E" w:rsidRPr="00092BF5" w:rsidRDefault="00DC6867" w:rsidP="009F7D22">
            <w:pPr>
              <w:rPr>
                <w:rFonts w:cs="Arial"/>
                <w:szCs w:val="18"/>
              </w:rPr>
            </w:pPr>
            <w:r>
              <w:rPr>
                <w:rFonts w:cs="Arial"/>
                <w:szCs w:val="18"/>
              </w:rPr>
              <w:lastRenderedPageBreak/>
              <w:t xml:space="preserve">Sponsor affected by </w:t>
            </w:r>
            <w:r w:rsidR="00084B7B">
              <w:rPr>
                <w:rFonts w:cs="Arial"/>
                <w:szCs w:val="18"/>
              </w:rPr>
              <w:t>a specific</w:t>
            </w:r>
            <w:r w:rsidR="00231533">
              <w:rPr>
                <w:rFonts w:cs="Arial"/>
                <w:szCs w:val="18"/>
              </w:rPr>
              <w:t>,</w:t>
            </w:r>
            <w:r w:rsidR="00084B7B">
              <w:rPr>
                <w:rFonts w:cs="Arial"/>
                <w:szCs w:val="18"/>
              </w:rPr>
              <w:t xml:space="preserve"> </w:t>
            </w:r>
            <w:proofErr w:type="gramStart"/>
            <w:r>
              <w:rPr>
                <w:rFonts w:cs="Arial"/>
                <w:szCs w:val="18"/>
              </w:rPr>
              <w:t>anticipated</w:t>
            </w:r>
            <w:proofErr w:type="gramEnd"/>
            <w:r>
              <w:rPr>
                <w:rFonts w:cs="Arial"/>
                <w:szCs w:val="18"/>
              </w:rPr>
              <w:t xml:space="preserve"> or current shortage</w:t>
            </w:r>
            <w:r w:rsidR="00084B7B">
              <w:rPr>
                <w:rFonts w:cs="Arial"/>
                <w:szCs w:val="18"/>
              </w:rPr>
              <w:t>. A</w:t>
            </w:r>
            <w:r>
              <w:rPr>
                <w:rFonts w:cs="Arial"/>
                <w:szCs w:val="18"/>
              </w:rPr>
              <w:t>ny sponsor with a TGA client ID could be approached including sponsors of reportable or non-reportable medicines</w:t>
            </w:r>
            <w:r w:rsidR="00CA4D10">
              <w:rPr>
                <w:rFonts w:cs="Arial"/>
                <w:szCs w:val="18"/>
              </w:rPr>
              <w:t xml:space="preserve">, and sponsors of overseas medicines approved under s19A of the </w:t>
            </w:r>
            <w:r w:rsidR="00084B7B" w:rsidRPr="0036362E">
              <w:rPr>
                <w:rFonts w:cs="Arial"/>
                <w:szCs w:val="18"/>
              </w:rPr>
              <w:t>Act</w:t>
            </w:r>
            <w:r w:rsidR="00526247">
              <w:rPr>
                <w:rFonts w:cs="Arial"/>
                <w:szCs w:val="18"/>
              </w:rPr>
              <w:t xml:space="preserve">. </w:t>
            </w:r>
            <w:r w:rsidR="00B0615F">
              <w:rPr>
                <w:rFonts w:cs="Arial"/>
                <w:szCs w:val="18"/>
              </w:rPr>
              <w:t xml:space="preserve">Sponsors of non-reportable medicines </w:t>
            </w:r>
            <w:r w:rsidR="006F544E">
              <w:rPr>
                <w:rFonts w:cs="Arial"/>
                <w:szCs w:val="18"/>
              </w:rPr>
              <w:t xml:space="preserve">may </w:t>
            </w:r>
            <w:r w:rsidR="00311F37">
              <w:rPr>
                <w:rFonts w:cs="Arial"/>
                <w:szCs w:val="18"/>
              </w:rPr>
              <w:t>opt in to use the framework if needed</w:t>
            </w:r>
            <w:r w:rsidR="00763A68">
              <w:rPr>
                <w:rFonts w:cs="Arial"/>
                <w:szCs w:val="18"/>
              </w:rPr>
              <w:t xml:space="preserve"> </w:t>
            </w:r>
            <w:r w:rsidR="00B0615F">
              <w:rPr>
                <w:rFonts w:cs="Arial"/>
                <w:szCs w:val="18"/>
              </w:rPr>
              <w:t>but is expected to be rare</w:t>
            </w:r>
            <w:r w:rsidR="00311F37">
              <w:rPr>
                <w:rFonts w:cs="Arial"/>
                <w:szCs w:val="18"/>
              </w:rPr>
              <w:t>.</w:t>
            </w:r>
          </w:p>
        </w:tc>
        <w:tc>
          <w:tcPr>
            <w:tcW w:w="2832" w:type="dxa"/>
          </w:tcPr>
          <w:p w14:paraId="7EE2CEEB" w14:textId="46DF52FB" w:rsidR="0098132E" w:rsidRPr="00A0727F" w:rsidRDefault="00084B7B"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Pharmaceutical Industry</w:t>
            </w:r>
          </w:p>
        </w:tc>
        <w:tc>
          <w:tcPr>
            <w:tcW w:w="3507" w:type="dxa"/>
          </w:tcPr>
          <w:p w14:paraId="710F1871" w14:textId="6307CF5D" w:rsidR="009019DE" w:rsidRDefault="009019DE"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TGA client database contact for any sponsors represented or not represented by Medicines Australia</w:t>
            </w:r>
            <w:r w:rsidR="00227BE0">
              <w:rPr>
                <w:rFonts w:cs="Arial"/>
                <w:szCs w:val="18"/>
              </w:rPr>
              <w:t xml:space="preserve"> </w:t>
            </w:r>
            <w:r>
              <w:rPr>
                <w:rFonts w:cs="Arial"/>
                <w:szCs w:val="18"/>
              </w:rPr>
              <w:t xml:space="preserve">/Generic and Biosimilar Medicines Australia </w:t>
            </w:r>
          </w:p>
          <w:p w14:paraId="32391B21" w14:textId="40E1F77A" w:rsidR="0098132E" w:rsidRDefault="00EE312F"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 xml:space="preserve">Chief Executive Officer </w:t>
            </w:r>
            <w:r>
              <w:rPr>
                <w:rFonts w:cs="Arial"/>
                <w:szCs w:val="18"/>
              </w:rPr>
              <w:br/>
            </w:r>
            <w:r w:rsidR="00802B8E">
              <w:rPr>
                <w:rFonts w:cs="Arial"/>
                <w:szCs w:val="18"/>
              </w:rPr>
              <w:t>Medicines Australia</w:t>
            </w:r>
            <w:r w:rsidR="00227BE0">
              <w:rPr>
                <w:rFonts w:cs="Arial"/>
                <w:szCs w:val="18"/>
              </w:rPr>
              <w:t xml:space="preserve"> (MA)</w:t>
            </w:r>
          </w:p>
          <w:p w14:paraId="5E290734" w14:textId="007F4F6A" w:rsidR="00A0727F" w:rsidRPr="00092BF5" w:rsidRDefault="00EE312F" w:rsidP="009F7D2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Chief Executive Officer,</w:t>
            </w:r>
            <w:r>
              <w:rPr>
                <w:rFonts w:cs="Arial"/>
                <w:szCs w:val="18"/>
              </w:rPr>
              <w:br/>
            </w:r>
            <w:r w:rsidR="00802B8E">
              <w:rPr>
                <w:rFonts w:cs="Arial"/>
                <w:szCs w:val="18"/>
              </w:rPr>
              <w:t>Generic and Biosimilar Medicines Australia</w:t>
            </w:r>
            <w:r w:rsidR="00227BE0">
              <w:rPr>
                <w:rFonts w:cs="Arial"/>
                <w:szCs w:val="18"/>
              </w:rPr>
              <w:t xml:space="preserve"> (GBMA)</w:t>
            </w:r>
          </w:p>
        </w:tc>
      </w:tr>
      <w:tr w:rsidR="001D44FF" w14:paraId="6C3E1B74" w14:textId="77777777" w:rsidTr="009F7D22">
        <w:tc>
          <w:tcPr>
            <w:cnfStyle w:val="001000000000" w:firstRow="0" w:lastRow="0" w:firstColumn="1" w:lastColumn="0" w:oddVBand="0" w:evenVBand="0" w:oddHBand="0" w:evenHBand="0" w:firstRowFirstColumn="0" w:firstRowLastColumn="0" w:lastRowFirstColumn="0" w:lastRowLastColumn="0"/>
            <w:tcW w:w="9060" w:type="dxa"/>
            <w:gridSpan w:val="3"/>
          </w:tcPr>
          <w:p w14:paraId="7B6852D1" w14:textId="66FBD0B6" w:rsidR="001D44FF" w:rsidRPr="001D44FF" w:rsidRDefault="2E433F80" w:rsidP="009F7D22">
            <w:pPr>
              <w:rPr>
                <w:rFonts w:cs="Arial"/>
                <w:bCs/>
                <w:sz w:val="20"/>
                <w:szCs w:val="20"/>
              </w:rPr>
            </w:pPr>
            <w:r w:rsidRPr="4D98A817">
              <w:rPr>
                <w:rFonts w:cs="Arial"/>
                <w:bCs/>
                <w:sz w:val="20"/>
                <w:szCs w:val="20"/>
              </w:rPr>
              <w:t xml:space="preserve">Data providers </w:t>
            </w:r>
            <w:r w:rsidR="00970929">
              <w:rPr>
                <w:rFonts w:cs="Arial"/>
                <w:bCs/>
                <w:sz w:val="20"/>
                <w:szCs w:val="20"/>
              </w:rPr>
              <w:t>–</w:t>
            </w:r>
            <w:r w:rsidRPr="4D98A817">
              <w:rPr>
                <w:rFonts w:cs="Arial"/>
                <w:bCs/>
                <w:sz w:val="20"/>
                <w:szCs w:val="20"/>
              </w:rPr>
              <w:t xml:space="preserve"> Private hospital</w:t>
            </w:r>
            <w:r w:rsidR="00300C8A">
              <w:rPr>
                <w:rFonts w:cs="Arial"/>
                <w:bCs/>
                <w:sz w:val="20"/>
                <w:szCs w:val="20"/>
              </w:rPr>
              <w:t xml:space="preserve"> sector</w:t>
            </w:r>
            <w:r w:rsidRPr="4D98A817">
              <w:rPr>
                <w:rFonts w:cs="Arial"/>
                <w:bCs/>
                <w:sz w:val="20"/>
                <w:szCs w:val="20"/>
              </w:rPr>
              <w:t xml:space="preserve"> </w:t>
            </w:r>
          </w:p>
        </w:tc>
      </w:tr>
      <w:tr w:rsidR="001D44FF" w14:paraId="4F186451"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623204C3" w14:textId="2C63B279" w:rsidR="00084B7B" w:rsidRDefault="00D21273" w:rsidP="009F7D22">
            <w:pPr>
              <w:rPr>
                <w:rFonts w:cs="Arial"/>
                <w:szCs w:val="18"/>
              </w:rPr>
            </w:pPr>
            <w:r>
              <w:rPr>
                <w:rFonts w:cs="Arial"/>
                <w:szCs w:val="18"/>
              </w:rPr>
              <w:t xml:space="preserve">Individual private hospitals subject to </w:t>
            </w:r>
            <w:r w:rsidR="004E7886">
              <w:rPr>
                <w:rFonts w:cs="Arial"/>
                <w:szCs w:val="18"/>
              </w:rPr>
              <w:t>their election to participate</w:t>
            </w:r>
            <w:r w:rsidR="00970929">
              <w:rPr>
                <w:rFonts w:cs="Arial"/>
                <w:szCs w:val="18"/>
              </w:rPr>
              <w:t xml:space="preserve"> in the framework</w:t>
            </w:r>
            <w:r w:rsidR="00084B7B">
              <w:rPr>
                <w:rFonts w:cs="Arial"/>
                <w:szCs w:val="18"/>
              </w:rPr>
              <w:t xml:space="preserve">. Some private hospitals may have a separate private pharmacy provider. </w:t>
            </w:r>
          </w:p>
        </w:tc>
        <w:tc>
          <w:tcPr>
            <w:tcW w:w="2832" w:type="dxa"/>
          </w:tcPr>
          <w:p w14:paraId="33EDA028" w14:textId="1CCCFAD4" w:rsidR="001D44FF" w:rsidRPr="00CB0E43" w:rsidRDefault="00CB0E43" w:rsidP="009F7D22">
            <w:pPr>
              <w:cnfStyle w:val="000000000000" w:firstRow="0" w:lastRow="0" w:firstColumn="0" w:lastColumn="0" w:oddVBand="0" w:evenVBand="0" w:oddHBand="0" w:evenHBand="0" w:firstRowFirstColumn="0" w:firstRowLastColumn="0" w:lastRowFirstColumn="0" w:lastRowLastColumn="0"/>
              <w:rPr>
                <w:rFonts w:cs="Arial"/>
              </w:rPr>
            </w:pPr>
            <w:r w:rsidRPr="00CB0E43">
              <w:rPr>
                <w:rFonts w:cs="Arial"/>
              </w:rPr>
              <w:t>Private sector</w:t>
            </w:r>
          </w:p>
        </w:tc>
        <w:tc>
          <w:tcPr>
            <w:tcW w:w="3507" w:type="dxa"/>
          </w:tcPr>
          <w:p w14:paraId="2D3AEA1F" w14:textId="643CD258" w:rsidR="001D44FF" w:rsidRDefault="00F404F4" w:rsidP="009F7D22">
            <w:pPr>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CB0E43">
              <w:rPr>
                <w:rFonts w:cs="Arial"/>
                <w:color w:val="auto"/>
                <w:szCs w:val="18"/>
              </w:rPr>
              <w:t>T</w:t>
            </w:r>
            <w:r w:rsidR="00231533">
              <w:rPr>
                <w:rFonts w:cs="Arial"/>
                <w:color w:val="auto"/>
                <w:szCs w:val="18"/>
              </w:rPr>
              <w:t>o be determined</w:t>
            </w:r>
            <w:r w:rsidR="00A0727F" w:rsidRPr="00CB0E43">
              <w:rPr>
                <w:rFonts w:cs="Arial"/>
                <w:color w:val="auto"/>
                <w:szCs w:val="18"/>
              </w:rPr>
              <w:t xml:space="preserve"> </w:t>
            </w:r>
            <w:r w:rsidR="00CB0E43" w:rsidRPr="00CB0E43">
              <w:rPr>
                <w:rFonts w:cs="Arial"/>
                <w:color w:val="auto"/>
                <w:szCs w:val="18"/>
              </w:rPr>
              <w:t xml:space="preserve">on a case-by-case basis and </w:t>
            </w:r>
            <w:r w:rsidR="00A0727F" w:rsidRPr="00CB0E43">
              <w:rPr>
                <w:rFonts w:cs="Arial"/>
                <w:color w:val="auto"/>
                <w:szCs w:val="18"/>
              </w:rPr>
              <w:t>subject to agreement</w:t>
            </w:r>
          </w:p>
          <w:p w14:paraId="3E25E6EA" w14:textId="0C5E681E" w:rsidR="00084B7B" w:rsidRPr="00CB0E43" w:rsidRDefault="00084B7B" w:rsidP="009F7D22">
            <w:pPr>
              <w:cnfStyle w:val="000000000000" w:firstRow="0" w:lastRow="0" w:firstColumn="0" w:lastColumn="0" w:oddVBand="0" w:evenVBand="0" w:oddHBand="0" w:evenHBand="0" w:firstRowFirstColumn="0" w:firstRowLastColumn="0" w:lastRowFirstColumn="0" w:lastRowLastColumn="0"/>
              <w:rPr>
                <w:rFonts w:cs="Arial"/>
                <w:color w:val="auto"/>
                <w:szCs w:val="18"/>
              </w:rPr>
            </w:pPr>
            <w:r>
              <w:rPr>
                <w:rFonts w:cs="Arial"/>
                <w:color w:val="auto"/>
                <w:szCs w:val="18"/>
              </w:rPr>
              <w:t>Director of Pharmacy or Chief Pharmacist</w:t>
            </w:r>
          </w:p>
        </w:tc>
      </w:tr>
      <w:tr w:rsidR="00300C8A" w14:paraId="0E256E6C" w14:textId="77777777" w:rsidTr="009F7D22">
        <w:tc>
          <w:tcPr>
            <w:cnfStyle w:val="001000000000" w:firstRow="0" w:lastRow="0" w:firstColumn="1" w:lastColumn="0" w:oddVBand="0" w:evenVBand="0" w:oddHBand="0" w:evenHBand="0" w:firstRowFirstColumn="0" w:firstRowLastColumn="0" w:lastRowFirstColumn="0" w:lastRowLastColumn="0"/>
            <w:tcW w:w="2721" w:type="dxa"/>
          </w:tcPr>
          <w:p w14:paraId="05D6A907" w14:textId="4219A6A3" w:rsidR="00300C8A" w:rsidRDefault="00300C8A" w:rsidP="009F7D22">
            <w:pPr>
              <w:rPr>
                <w:rFonts w:cs="Arial"/>
                <w:szCs w:val="18"/>
              </w:rPr>
            </w:pPr>
            <w:bookmarkStart w:id="30" w:name="_Hlk168313798"/>
            <w:r>
              <w:rPr>
                <w:rFonts w:cs="Arial"/>
                <w:szCs w:val="18"/>
              </w:rPr>
              <w:t>Private Hospital Pharmacy Service Providers</w:t>
            </w:r>
            <w:r w:rsidR="00E723AB">
              <w:rPr>
                <w:rFonts w:cs="Arial"/>
                <w:szCs w:val="18"/>
              </w:rPr>
              <w:t>:</w:t>
            </w:r>
          </w:p>
          <w:p w14:paraId="417A1C81" w14:textId="47989A7D" w:rsidR="00300C8A" w:rsidRPr="00ED7EEE" w:rsidRDefault="00300C8A" w:rsidP="009F7D22">
            <w:r w:rsidRPr="00E723AB">
              <w:t>ICON group</w:t>
            </w:r>
            <w:r w:rsidR="00ED7EEE">
              <w:t xml:space="preserve"> (including </w:t>
            </w:r>
            <w:r w:rsidRPr="00ED7EEE">
              <w:t xml:space="preserve">Slade </w:t>
            </w:r>
            <w:r w:rsidR="00126095">
              <w:t xml:space="preserve">and Epic </w:t>
            </w:r>
            <w:r w:rsidRPr="00ED7EEE">
              <w:t>pharmacy</w:t>
            </w:r>
            <w:r w:rsidR="00126095">
              <w:t xml:space="preserve"> </w:t>
            </w:r>
          </w:p>
          <w:p w14:paraId="50755793" w14:textId="1552495C" w:rsidR="00E723AB" w:rsidRPr="00E723AB" w:rsidRDefault="00E723AB" w:rsidP="009F7D22">
            <w:r w:rsidRPr="00E723AB">
              <w:t>HPS Pharmacies</w:t>
            </w:r>
          </w:p>
          <w:p w14:paraId="592BF337" w14:textId="3FDBAD40" w:rsidR="00E723AB" w:rsidRPr="00E723AB" w:rsidRDefault="00E723AB" w:rsidP="009F7D22">
            <w:r w:rsidRPr="00E723AB">
              <w:t>Ramsay Pharmacy</w:t>
            </w:r>
          </w:p>
          <w:p w14:paraId="0AAC6DCD" w14:textId="09C90B1D" w:rsidR="00E723AB" w:rsidRDefault="00E723AB" w:rsidP="009F7D22">
            <w:pPr>
              <w:rPr>
                <w:rFonts w:cs="Arial"/>
                <w:szCs w:val="18"/>
              </w:rPr>
            </w:pPr>
            <w:r>
              <w:rPr>
                <w:rFonts w:cs="Arial"/>
                <w:szCs w:val="18"/>
              </w:rPr>
              <w:t>Main hospitals with inhouse pharmacy service:</w:t>
            </w:r>
          </w:p>
          <w:p w14:paraId="274A6E1F" w14:textId="0EC492C2" w:rsidR="00E723AB" w:rsidRDefault="00E723AB" w:rsidP="009F7D22">
            <w:r>
              <w:t>Adventist Health</w:t>
            </w:r>
          </w:p>
          <w:p w14:paraId="4F32F85C" w14:textId="6A140C3C" w:rsidR="00300C8A" w:rsidRPr="009F7D22" w:rsidDel="00300C8A" w:rsidRDefault="00B90708" w:rsidP="009F7D22">
            <w:r>
              <w:rPr>
                <w:lang w:eastAsia="en-US"/>
              </w:rPr>
              <w:t xml:space="preserve">Chris O’Brien </w:t>
            </w:r>
            <w:proofErr w:type="spellStart"/>
            <w:r>
              <w:rPr>
                <w:lang w:eastAsia="en-US"/>
              </w:rPr>
              <w:t>Lifehouse</w:t>
            </w:r>
            <w:bookmarkEnd w:id="30"/>
            <w:proofErr w:type="spellEnd"/>
          </w:p>
        </w:tc>
        <w:tc>
          <w:tcPr>
            <w:tcW w:w="2832" w:type="dxa"/>
          </w:tcPr>
          <w:p w14:paraId="716EC85F" w14:textId="3A44BBEB" w:rsidR="00300C8A" w:rsidRPr="00CB0E43" w:rsidDel="00300C8A" w:rsidRDefault="00300C8A" w:rsidP="009F7D22">
            <w:pPr>
              <w:cnfStyle w:val="000000000000" w:firstRow="0" w:lastRow="0" w:firstColumn="0" w:lastColumn="0" w:oddVBand="0" w:evenVBand="0" w:oddHBand="0" w:evenHBand="0" w:firstRowFirstColumn="0" w:firstRowLastColumn="0" w:lastRowFirstColumn="0" w:lastRowLastColumn="0"/>
              <w:rPr>
                <w:rFonts w:cs="Arial"/>
              </w:rPr>
            </w:pPr>
            <w:r>
              <w:rPr>
                <w:rFonts w:cs="Arial"/>
              </w:rPr>
              <w:t>Private sector</w:t>
            </w:r>
          </w:p>
        </w:tc>
        <w:tc>
          <w:tcPr>
            <w:tcW w:w="3507" w:type="dxa"/>
          </w:tcPr>
          <w:p w14:paraId="4209D461" w14:textId="77777777" w:rsidR="00300C8A" w:rsidRPr="00CB0E43" w:rsidDel="00300C8A" w:rsidRDefault="00300C8A" w:rsidP="009F7D22">
            <w:pPr>
              <w:cnfStyle w:val="000000000000" w:firstRow="0" w:lastRow="0" w:firstColumn="0" w:lastColumn="0" w:oddVBand="0" w:evenVBand="0" w:oddHBand="0" w:evenHBand="0" w:firstRowFirstColumn="0" w:firstRowLastColumn="0" w:lastRowFirstColumn="0" w:lastRowLastColumn="0"/>
              <w:rPr>
                <w:rFonts w:cs="Arial"/>
                <w:szCs w:val="18"/>
              </w:rPr>
            </w:pPr>
          </w:p>
        </w:tc>
      </w:tr>
    </w:tbl>
    <w:p w14:paraId="361EB001" w14:textId="1E263AAE" w:rsidR="00B702D5" w:rsidRDefault="00B702D5" w:rsidP="009F7D22">
      <w:pPr>
        <w:pStyle w:val="Heading2"/>
      </w:pPr>
      <w:bookmarkStart w:id="31" w:name="_Toc175574120"/>
      <w:r>
        <w:t xml:space="preserve">Roles and </w:t>
      </w:r>
      <w:r w:rsidRPr="009F7D22">
        <w:t>responsibilities</w:t>
      </w:r>
      <w:bookmarkEnd w:id="31"/>
    </w:p>
    <w:p w14:paraId="094E9136" w14:textId="4B4E40E6" w:rsidR="008C0E96" w:rsidRDefault="00B70F28" w:rsidP="009F7D22">
      <w:pPr>
        <w:pStyle w:val="Heading3"/>
      </w:pPr>
      <w:bookmarkStart w:id="32" w:name="_Toc175574121"/>
      <w:r>
        <w:t>P</w:t>
      </w:r>
      <w:r w:rsidR="008C0E96">
        <w:t xml:space="preserve">roviders of </w:t>
      </w:r>
      <w:r w:rsidR="008C0E96" w:rsidRPr="009F7D22">
        <w:t>information</w:t>
      </w:r>
      <w:bookmarkEnd w:id="32"/>
    </w:p>
    <w:p w14:paraId="01773333" w14:textId="7D368BD1" w:rsidR="009A583C" w:rsidRDefault="00C228C3" w:rsidP="009F7D22">
      <w:r>
        <w:t xml:space="preserve">It is the responsibility of data providers to ensure that all data </w:t>
      </w:r>
      <w:r w:rsidR="00475684">
        <w:t xml:space="preserve">under </w:t>
      </w:r>
      <w:r w:rsidR="00FE5CA5">
        <w:t>this Framework</w:t>
      </w:r>
      <w:r w:rsidR="0083690E">
        <w:t xml:space="preserve"> </w:t>
      </w:r>
      <w:r w:rsidR="004B4E3B">
        <w:t>is</w:t>
      </w:r>
      <w:r w:rsidR="009019DE">
        <w:t xml:space="preserve"> </w:t>
      </w:r>
      <w:r w:rsidR="007F4B45">
        <w:t xml:space="preserve">provided </w:t>
      </w:r>
      <w:r w:rsidR="009019DE">
        <w:t>in good faith and</w:t>
      </w:r>
      <w:r w:rsidR="0083690E">
        <w:t xml:space="preserve"> </w:t>
      </w:r>
      <w:r w:rsidR="007F4B45">
        <w:t xml:space="preserve">is </w:t>
      </w:r>
      <w:r>
        <w:t xml:space="preserve">accurate and correct. </w:t>
      </w:r>
      <w:r w:rsidR="007F4B45">
        <w:t>D</w:t>
      </w:r>
      <w:r w:rsidR="009A583C">
        <w:t>ata will change over time, sometimes quickly.</w:t>
      </w:r>
      <w:r w:rsidR="00227BE0">
        <w:t xml:space="preserve"> </w:t>
      </w:r>
      <w:r w:rsidR="009A583C">
        <w:t>To assist with forecasting</w:t>
      </w:r>
      <w:r w:rsidR="003D0115">
        <w:t>,</w:t>
      </w:r>
      <w:r w:rsidR="00AC39EE">
        <w:t xml:space="preserve"> </w:t>
      </w:r>
      <w:r w:rsidR="003D0115">
        <w:t>i</w:t>
      </w:r>
      <w:r w:rsidR="00AC39EE">
        <w:t>t is essential that the currency of information is identified in the date column of the data template.</w:t>
      </w:r>
      <w:r w:rsidR="009019DE">
        <w:t xml:space="preserve"> If exact data is unavailable, approximate data may be provided (e.g. data on usage for certain indications)</w:t>
      </w:r>
      <w:r w:rsidR="009A583C">
        <w:t>.</w:t>
      </w:r>
      <w:r w:rsidR="009019DE">
        <w:t xml:space="preserve"> This should be noted by data providers when the information is returned</w:t>
      </w:r>
      <w:r w:rsidR="00672E59">
        <w:t xml:space="preserve"> </w:t>
      </w:r>
      <w:r w:rsidR="009019DE">
        <w:t>to the TGA.</w:t>
      </w:r>
    </w:p>
    <w:p w14:paraId="240E6D3E" w14:textId="51311503" w:rsidR="00222F09" w:rsidRDefault="009A583C" w:rsidP="009F7D22">
      <w:r>
        <w:t xml:space="preserve">Data providers acknowledge that information may be shared by </w:t>
      </w:r>
      <w:r w:rsidR="00672E59">
        <w:t xml:space="preserve">the </w:t>
      </w:r>
      <w:r>
        <w:t xml:space="preserve">TGA as outlined in </w:t>
      </w:r>
      <w:r w:rsidR="00FE5CA5">
        <w:t>this Framework</w:t>
      </w:r>
      <w:r>
        <w:t xml:space="preserve">. The TGA assumes no legal </w:t>
      </w:r>
      <w:r w:rsidRPr="00947CB5">
        <w:t>liability or responsibility for the accuracy, currency or completeness of the information</w:t>
      </w:r>
      <w:r>
        <w:t xml:space="preserve"> shared by data providers which is then shared under </w:t>
      </w:r>
      <w:r w:rsidR="00E733E5">
        <w:t>the Framework</w:t>
      </w:r>
      <w:r>
        <w:t>.</w:t>
      </w:r>
    </w:p>
    <w:p w14:paraId="0F9518C2" w14:textId="77777777" w:rsidR="00B70F28" w:rsidRDefault="00B70F28" w:rsidP="009F7D22">
      <w:pPr>
        <w:pStyle w:val="Heading4"/>
      </w:pPr>
      <w:bookmarkStart w:id="33" w:name="_Toc175574122"/>
      <w:r w:rsidRPr="009F7D22">
        <w:t>Consent</w:t>
      </w:r>
      <w:r>
        <w:t xml:space="preserve"> to use </w:t>
      </w:r>
      <w:proofErr w:type="gramStart"/>
      <w:r>
        <w:t>information</w:t>
      </w:r>
      <w:bookmarkEnd w:id="33"/>
      <w:proofErr w:type="gramEnd"/>
    </w:p>
    <w:p w14:paraId="65E37A0E" w14:textId="65E081DE" w:rsidR="00B70F28" w:rsidRDefault="00B70F28" w:rsidP="009F7D22">
      <w:r>
        <w:t>When sending the request for data, the covering email will include the following statement:</w:t>
      </w:r>
    </w:p>
    <w:p w14:paraId="62CE5209" w14:textId="436ADBAF" w:rsidR="00B70F28" w:rsidRPr="000F15A0" w:rsidRDefault="00B70F28" w:rsidP="009F7D22">
      <w:pPr>
        <w:ind w:left="720"/>
        <w:rPr>
          <w:b/>
        </w:rPr>
      </w:pPr>
      <w:r>
        <w:lastRenderedPageBreak/>
        <w:t>“This request for data is being provided under the ‘Data-</w:t>
      </w:r>
      <w:r w:rsidR="00A42C48">
        <w:t>s</w:t>
      </w:r>
      <w:r>
        <w:t xml:space="preserve">haring </w:t>
      </w:r>
      <w:r w:rsidR="00A42C48">
        <w:t>f</w:t>
      </w:r>
      <w:r w:rsidR="00E733E5">
        <w:t>ramework</w:t>
      </w:r>
      <w:r>
        <w:t>’ document. By providing data in response to this request, you consent to this information being shared in line with the Data-</w:t>
      </w:r>
      <w:r w:rsidR="00A42C48">
        <w:t>s</w:t>
      </w:r>
      <w:r>
        <w:t xml:space="preserve">haring </w:t>
      </w:r>
      <w:r w:rsidR="00A42C48">
        <w:t>f</w:t>
      </w:r>
      <w:r w:rsidR="00E733E5">
        <w:t>ramework</w:t>
      </w:r>
      <w:r>
        <w:t xml:space="preserve"> document and consistent with the ‘</w:t>
      </w:r>
      <w:hyperlink r:id="rId22" w:history="1">
        <w:r w:rsidR="009336DC" w:rsidRPr="009336DC">
          <w:rPr>
            <w:rStyle w:val="Hyperlink"/>
            <w:bCs/>
            <w:i/>
            <w:iCs/>
          </w:rPr>
          <w:t>Therapeutic Goods (Information Specification—Medicine Shortages and Availability Data) Instrument 2024</w:t>
        </w:r>
      </w:hyperlink>
      <w:r w:rsidR="008B100F">
        <w:rPr>
          <w:bCs/>
        </w:rPr>
        <w:t>’.</w:t>
      </w:r>
    </w:p>
    <w:p w14:paraId="77FF3CE9" w14:textId="77777777" w:rsidR="00B70F28" w:rsidRDefault="00B70F28" w:rsidP="009F7D22">
      <w:pPr>
        <w:pStyle w:val="Heading3"/>
      </w:pPr>
      <w:bookmarkStart w:id="34" w:name="_Toc175574123"/>
      <w:r>
        <w:t xml:space="preserve">Receivers of </w:t>
      </w:r>
      <w:r w:rsidRPr="009F7D22">
        <w:t>information</w:t>
      </w:r>
      <w:bookmarkEnd w:id="34"/>
    </w:p>
    <w:p w14:paraId="4603B60D" w14:textId="1D617EE4" w:rsidR="00B70F28" w:rsidRPr="00222F09" w:rsidRDefault="00B70F28" w:rsidP="009F7D22">
      <w:r>
        <w:t xml:space="preserve">Receivers of information </w:t>
      </w:r>
      <w:r w:rsidR="00956DA6">
        <w:t>are set out in t</w:t>
      </w:r>
      <w:r w:rsidR="00D16222">
        <w:t>able 2</w:t>
      </w:r>
      <w:r w:rsidR="00956DA6">
        <w:t xml:space="preserve">. </w:t>
      </w:r>
      <w:r w:rsidR="00D16222">
        <w:t>The r</w:t>
      </w:r>
      <w:r w:rsidR="00956DA6">
        <w:t xml:space="preserve">elease of information is covered in the section </w:t>
      </w:r>
      <w:hyperlink w:anchor="_Release_of_information" w:history="1">
        <w:r w:rsidR="00956DA6" w:rsidRPr="002857FB">
          <w:rPr>
            <w:rStyle w:val="Hyperlink"/>
          </w:rPr>
          <w:t>Release of information by TGA</w:t>
        </w:r>
      </w:hyperlink>
      <w:r w:rsidR="00956DA6">
        <w:rPr>
          <w:rStyle w:val="Hyperlink"/>
        </w:rPr>
        <w:t>.</w:t>
      </w:r>
    </w:p>
    <w:p w14:paraId="787E9A34" w14:textId="638630B4" w:rsidR="00DB7B10" w:rsidRDefault="73E51EC3" w:rsidP="009F7D22">
      <w:pPr>
        <w:pStyle w:val="Heading3"/>
      </w:pPr>
      <w:bookmarkStart w:id="35" w:name="_Toc175574124"/>
      <w:r>
        <w:t xml:space="preserve">State </w:t>
      </w:r>
      <w:r w:rsidRPr="009F7D22">
        <w:t>and</w:t>
      </w:r>
      <w:r>
        <w:t xml:space="preserve"> </w:t>
      </w:r>
      <w:r w:rsidR="70A3B603">
        <w:t>t</w:t>
      </w:r>
      <w:r>
        <w:t xml:space="preserve">erritory </w:t>
      </w:r>
      <w:proofErr w:type="gramStart"/>
      <w:r>
        <w:t>entities</w:t>
      </w:r>
      <w:bookmarkEnd w:id="35"/>
      <w:proofErr w:type="gramEnd"/>
    </w:p>
    <w:p w14:paraId="7CBD91B0" w14:textId="77777777" w:rsidR="007C426A" w:rsidRPr="00E07E72" w:rsidRDefault="007C426A" w:rsidP="009F7D22">
      <w:pPr>
        <w:pStyle w:val="Heading4"/>
      </w:pPr>
      <w:bookmarkStart w:id="36" w:name="_Toc175574125"/>
      <w:r w:rsidRPr="00E07E72">
        <w:t>Provi</w:t>
      </w:r>
      <w:r>
        <w:t>de</w:t>
      </w:r>
      <w:r w:rsidRPr="00E07E72">
        <w:t xml:space="preserve"> </w:t>
      </w:r>
      <w:proofErr w:type="gramStart"/>
      <w:r w:rsidRPr="00E07E72">
        <w:t>information</w:t>
      </w:r>
      <w:bookmarkEnd w:id="36"/>
      <w:proofErr w:type="gramEnd"/>
    </w:p>
    <w:p w14:paraId="6AD0F781" w14:textId="76C5813C" w:rsidR="00075DC1" w:rsidRDefault="73E51EC3" w:rsidP="009F7D22">
      <w:r>
        <w:t>State and territor</w:t>
      </w:r>
      <w:r w:rsidR="0A479258">
        <w:t>y data providers</w:t>
      </w:r>
      <w:r w:rsidR="00DE40FB">
        <w:t xml:space="preserve"> are requested </w:t>
      </w:r>
      <w:r>
        <w:t xml:space="preserve">to provide </w:t>
      </w:r>
      <w:r w:rsidR="03BBB4F2">
        <w:t xml:space="preserve">collated information </w:t>
      </w:r>
      <w:r>
        <w:t xml:space="preserve">specified in the </w:t>
      </w:r>
      <w:r w:rsidR="17530AA8">
        <w:t xml:space="preserve">MAWG </w:t>
      </w:r>
      <w:r>
        <w:t>data</w:t>
      </w:r>
      <w:r w:rsidR="00D65BF0">
        <w:t>-</w:t>
      </w:r>
      <w:r>
        <w:t xml:space="preserve">sharing template. </w:t>
      </w:r>
      <w:r w:rsidR="30991AF7">
        <w:t xml:space="preserve">The information </w:t>
      </w:r>
      <w:r w:rsidR="00DE40FB">
        <w:t xml:space="preserve">should be </w:t>
      </w:r>
      <w:r w:rsidR="30991AF7">
        <w:t>provided as soon as possible, following the receipt of a request for information from TGA.</w:t>
      </w:r>
    </w:p>
    <w:p w14:paraId="0ACC7351" w14:textId="54D62E1F" w:rsidR="0098132E" w:rsidRDefault="03BBB4F2" w:rsidP="009F7D22">
      <w:r>
        <w:t xml:space="preserve">The type of information to be provided consists of the available information from public </w:t>
      </w:r>
      <w:r w:rsidR="00F404F4">
        <w:t>hospitals</w:t>
      </w:r>
      <w:r w:rsidR="000F59C6">
        <w:t xml:space="preserve"> (see </w:t>
      </w:r>
      <w:hyperlink w:anchor="_Details_about_the" w:history="1">
        <w:r w:rsidR="000F59C6" w:rsidRPr="000F59C6">
          <w:rPr>
            <w:rStyle w:val="Hyperlink"/>
          </w:rPr>
          <w:t>Data to be shared</w:t>
        </w:r>
      </w:hyperlink>
      <w:r w:rsidR="000F59C6">
        <w:t>)</w:t>
      </w:r>
      <w:r w:rsidR="002409F2">
        <w:t>.</w:t>
      </w:r>
    </w:p>
    <w:p w14:paraId="71A4C55B" w14:textId="4805E2CA" w:rsidR="007C426A" w:rsidRDefault="007C426A" w:rsidP="009F7D22">
      <w:pPr>
        <w:pStyle w:val="Heading4"/>
      </w:pPr>
      <w:bookmarkStart w:id="37" w:name="_Toc175574126"/>
      <w:r w:rsidRPr="007C426A">
        <w:t xml:space="preserve">Endorse the use of </w:t>
      </w:r>
      <w:proofErr w:type="gramStart"/>
      <w:r w:rsidRPr="007C426A">
        <w:t>information</w:t>
      </w:r>
      <w:bookmarkEnd w:id="37"/>
      <w:proofErr w:type="gramEnd"/>
    </w:p>
    <w:p w14:paraId="24DA3C85" w14:textId="0AF9ADD6" w:rsidR="007C426A" w:rsidRPr="007C426A" w:rsidRDefault="007C426A" w:rsidP="009F7D22">
      <w:r w:rsidRPr="007C426A">
        <w:t>Data providers endorse the use and release</w:t>
      </w:r>
      <w:r w:rsidR="00EB324D">
        <w:t xml:space="preserve"> of provided information as set out</w:t>
      </w:r>
      <w:r w:rsidRPr="007C426A">
        <w:t xml:space="preserve"> </w:t>
      </w:r>
      <w:r w:rsidR="00EB324D">
        <w:t xml:space="preserve">under the section </w:t>
      </w:r>
      <w:hyperlink w:anchor="_Release_of_information" w:history="1">
        <w:r w:rsidR="00EB324D" w:rsidRPr="002857FB">
          <w:rPr>
            <w:rStyle w:val="Hyperlink"/>
          </w:rPr>
          <w:t>Release of information by TGA</w:t>
        </w:r>
      </w:hyperlink>
      <w:r w:rsidR="00EB324D">
        <w:t>.</w:t>
      </w:r>
      <w:r w:rsidR="000F59C6">
        <w:t xml:space="preserve"> </w:t>
      </w:r>
    </w:p>
    <w:p w14:paraId="5596D1E3" w14:textId="09C21040" w:rsidR="00F22CF3" w:rsidRDefault="00F22CF3" w:rsidP="009F7D22">
      <w:pPr>
        <w:pStyle w:val="Heading3"/>
      </w:pPr>
      <w:bookmarkStart w:id="38" w:name="_Toc175574127"/>
      <w:r w:rsidRPr="009F7D22">
        <w:t>Sponsors</w:t>
      </w:r>
      <w:bookmarkEnd w:id="38"/>
    </w:p>
    <w:p w14:paraId="134DA764" w14:textId="6790C78F" w:rsidR="00E07E72" w:rsidRPr="00E07E72" w:rsidRDefault="00E07E72" w:rsidP="009F7D22">
      <w:pPr>
        <w:pStyle w:val="Heading4"/>
      </w:pPr>
      <w:bookmarkStart w:id="39" w:name="_Toc175574128"/>
      <w:r w:rsidRPr="00E07E72">
        <w:t>Provi</w:t>
      </w:r>
      <w:r w:rsidR="007C426A">
        <w:t>de</w:t>
      </w:r>
      <w:r w:rsidRPr="00E07E72">
        <w:t xml:space="preserve"> </w:t>
      </w:r>
      <w:proofErr w:type="gramStart"/>
      <w:r w:rsidRPr="00E07E72">
        <w:t>information</w:t>
      </w:r>
      <w:bookmarkEnd w:id="39"/>
      <w:proofErr w:type="gramEnd"/>
    </w:p>
    <w:p w14:paraId="1635A917" w14:textId="04A5E828" w:rsidR="001312D5" w:rsidRDefault="17530AA8" w:rsidP="009F7D22">
      <w:r>
        <w:t xml:space="preserve">Sponsors of any </w:t>
      </w:r>
      <w:r w:rsidR="27E7DC25">
        <w:t>t</w:t>
      </w:r>
      <w:r w:rsidR="688EBB02">
        <w:t xml:space="preserve">herapeutic </w:t>
      </w:r>
      <w:r w:rsidR="1B57AA4A">
        <w:t>g</w:t>
      </w:r>
      <w:r w:rsidR="688EBB02">
        <w:t xml:space="preserve">oods </w:t>
      </w:r>
      <w:r>
        <w:t xml:space="preserve">(including those that are non-reportable) </w:t>
      </w:r>
      <w:r w:rsidR="00DE40FB">
        <w:t xml:space="preserve">are requested </w:t>
      </w:r>
      <w:r>
        <w:t>to provide the information</w:t>
      </w:r>
      <w:r w:rsidR="37154065">
        <w:t xml:space="preserve"> set out in the </w:t>
      </w:r>
      <w:r w:rsidR="00DE40FB">
        <w:t xml:space="preserve">data </w:t>
      </w:r>
      <w:r>
        <w:t>template</w:t>
      </w:r>
      <w:r w:rsidR="30991AF7">
        <w:t xml:space="preserve">. The information </w:t>
      </w:r>
      <w:r w:rsidR="00DE40FB">
        <w:t>should be</w:t>
      </w:r>
      <w:r w:rsidR="30991AF7">
        <w:t xml:space="preserve"> provided as soon as possible, following the receipt of a request for information from </w:t>
      </w:r>
      <w:r w:rsidR="00672E59">
        <w:t xml:space="preserve">the </w:t>
      </w:r>
      <w:r w:rsidR="30991AF7">
        <w:t>TGA.</w:t>
      </w:r>
    </w:p>
    <w:p w14:paraId="74FCB4A1" w14:textId="7AC4448D" w:rsidR="00F22CF3" w:rsidRDefault="00F22CF3" w:rsidP="009F7D22">
      <w:r w:rsidRPr="00F22CF3">
        <w:t xml:space="preserve">The receipt of this </w:t>
      </w:r>
      <w:r w:rsidR="00E07E72">
        <w:t xml:space="preserve">medicine </w:t>
      </w:r>
      <w:r w:rsidRPr="00F22CF3">
        <w:t>data from sponsors</w:t>
      </w:r>
      <w:r w:rsidR="003B6920">
        <w:t xml:space="preserve"> under </w:t>
      </w:r>
      <w:r w:rsidR="00E733E5">
        <w:t>this Framework</w:t>
      </w:r>
      <w:r w:rsidR="0083690E">
        <w:t xml:space="preserve"> </w:t>
      </w:r>
      <w:r w:rsidR="003B6920">
        <w:t xml:space="preserve">will be used </w:t>
      </w:r>
      <w:r w:rsidR="001D44FF">
        <w:t>alongside data received under</w:t>
      </w:r>
      <w:r w:rsidR="007906DE">
        <w:t xml:space="preserve"> the</w:t>
      </w:r>
      <w:r w:rsidR="00374719">
        <w:t xml:space="preserve"> Act</w:t>
      </w:r>
      <w:r w:rsidR="007906DE">
        <w:t>.</w:t>
      </w:r>
    </w:p>
    <w:p w14:paraId="09347737" w14:textId="2E5D12BD" w:rsidR="001C51D0" w:rsidRPr="007C426A" w:rsidRDefault="007C426A" w:rsidP="009F7D22">
      <w:pPr>
        <w:pStyle w:val="Heading4"/>
      </w:pPr>
      <w:bookmarkStart w:id="40" w:name="_Toc175574129"/>
      <w:r w:rsidRPr="007C426A">
        <w:t xml:space="preserve">Endorse the use of </w:t>
      </w:r>
      <w:proofErr w:type="gramStart"/>
      <w:r w:rsidRPr="007C426A">
        <w:t>information</w:t>
      </w:r>
      <w:bookmarkEnd w:id="40"/>
      <w:proofErr w:type="gramEnd"/>
    </w:p>
    <w:p w14:paraId="0D6B80DF" w14:textId="7F2A86E8" w:rsidR="004B04E8" w:rsidRDefault="009F4CEB" w:rsidP="009F7D22">
      <w:r>
        <w:t xml:space="preserve">The </w:t>
      </w:r>
      <w:r w:rsidR="009956BE">
        <w:t>s</w:t>
      </w:r>
      <w:r w:rsidR="00E07E72">
        <w:t>ponsors of reportable and non-reportable medicines approached under this</w:t>
      </w:r>
      <w:r w:rsidR="005079E3">
        <w:t xml:space="preserve"> process</w:t>
      </w:r>
      <w:r w:rsidR="00E07E72">
        <w:t xml:space="preserve"> </w:t>
      </w:r>
      <w:bookmarkStart w:id="41" w:name="_Hlk136600419"/>
      <w:r w:rsidR="007906DE">
        <w:t>elect</w:t>
      </w:r>
      <w:r w:rsidR="00CB2DF3">
        <w:t xml:space="preserve"> </w:t>
      </w:r>
      <w:r w:rsidR="007906DE">
        <w:t>to participate in this framework</w:t>
      </w:r>
      <w:r w:rsidR="00EB324D">
        <w:t xml:space="preserve"> </w:t>
      </w:r>
      <w:r>
        <w:t>by providing information</w:t>
      </w:r>
      <w:r w:rsidR="005A6DAE">
        <w:t xml:space="preserve"> to the TGA</w:t>
      </w:r>
      <w:r>
        <w:t xml:space="preserve">. </w:t>
      </w:r>
      <w:r w:rsidR="00CB2DF3">
        <w:t xml:space="preserve">Participating sponsors </w:t>
      </w:r>
      <w:hyperlink w:anchor="_Consent_to_use" w:history="1">
        <w:r w:rsidR="00CB2DF3" w:rsidRPr="00CB2DF3">
          <w:rPr>
            <w:rStyle w:val="Hyperlink"/>
          </w:rPr>
          <w:t>consent to the use of information</w:t>
        </w:r>
      </w:hyperlink>
      <w:r w:rsidR="00EB324D">
        <w:t xml:space="preserve"> </w:t>
      </w:r>
      <w:r w:rsidR="00CB2DF3">
        <w:t xml:space="preserve">under this framework as set out under the section </w:t>
      </w:r>
      <w:hyperlink w:anchor="_Release_of_information" w:history="1">
        <w:r w:rsidR="00CB2DF3" w:rsidRPr="002857FB">
          <w:rPr>
            <w:rStyle w:val="Hyperlink"/>
          </w:rPr>
          <w:t>Release of information by TGA</w:t>
        </w:r>
      </w:hyperlink>
      <w:r w:rsidR="00CB2DF3">
        <w:t>.</w:t>
      </w:r>
      <w:bookmarkEnd w:id="41"/>
    </w:p>
    <w:p w14:paraId="07077B83" w14:textId="705D3DA3" w:rsidR="00F22CF3" w:rsidRDefault="00F22CF3" w:rsidP="009F7D22">
      <w:pPr>
        <w:pStyle w:val="Heading3"/>
      </w:pPr>
      <w:bookmarkStart w:id="42" w:name="_Toc175574130"/>
      <w:r w:rsidRPr="009F7D22">
        <w:t>Wholesalers</w:t>
      </w:r>
      <w:bookmarkEnd w:id="42"/>
    </w:p>
    <w:p w14:paraId="186EF534" w14:textId="77777777" w:rsidR="00B9684D" w:rsidRPr="00E07E72" w:rsidRDefault="00B9684D" w:rsidP="009F7D22">
      <w:pPr>
        <w:pStyle w:val="Heading4"/>
      </w:pPr>
      <w:bookmarkStart w:id="43" w:name="_Toc175574131"/>
      <w:r w:rsidRPr="00E07E72">
        <w:t>Provi</w:t>
      </w:r>
      <w:r>
        <w:t>de</w:t>
      </w:r>
      <w:r w:rsidRPr="00E07E72">
        <w:t xml:space="preserve"> </w:t>
      </w:r>
      <w:proofErr w:type="gramStart"/>
      <w:r w:rsidRPr="00E07E72">
        <w:t>information</w:t>
      </w:r>
      <w:bookmarkEnd w:id="43"/>
      <w:proofErr w:type="gramEnd"/>
    </w:p>
    <w:p w14:paraId="05CB8F8E" w14:textId="72F36D8B" w:rsidR="000E2349" w:rsidRDefault="009F4CEB" w:rsidP="009F7D22">
      <w:r>
        <w:t xml:space="preserve">Endorsement of the </w:t>
      </w:r>
      <w:r w:rsidR="005146FF">
        <w:t>Data</w:t>
      </w:r>
      <w:r w:rsidR="00D65BF0">
        <w:t>-</w:t>
      </w:r>
      <w:r w:rsidR="00A42C48">
        <w:t>s</w:t>
      </w:r>
      <w:r w:rsidR="005146FF">
        <w:t xml:space="preserve">haring </w:t>
      </w:r>
      <w:r w:rsidR="00A42C48">
        <w:t>f</w:t>
      </w:r>
      <w:r w:rsidR="00E733E5">
        <w:t>ramework</w:t>
      </w:r>
      <w:r w:rsidR="005146FF">
        <w:t xml:space="preserve"> </w:t>
      </w:r>
      <w:r>
        <w:t>will be sought from</w:t>
      </w:r>
      <w:r w:rsidDel="009F4CEB">
        <w:t xml:space="preserve"> </w:t>
      </w:r>
      <w:r>
        <w:t xml:space="preserve">NPSA. </w:t>
      </w:r>
      <w:r w:rsidR="6E3D95FC">
        <w:t>Wholesalers</w:t>
      </w:r>
      <w:r>
        <w:t xml:space="preserve"> </w:t>
      </w:r>
      <w:r w:rsidR="00041797">
        <w:t xml:space="preserve">are requested </w:t>
      </w:r>
      <w:r w:rsidR="6E3D95FC">
        <w:t xml:space="preserve">to provide information </w:t>
      </w:r>
      <w:r w:rsidR="0036362E">
        <w:t xml:space="preserve">covered by the </w:t>
      </w:r>
      <w:r w:rsidR="0036362E" w:rsidRPr="0036362E">
        <w:t>T</w:t>
      </w:r>
      <w:bookmarkStart w:id="44" w:name="_Hlk142384146"/>
      <w:r w:rsidR="0036362E" w:rsidRPr="0036362E">
        <w:t>GA and NPSA Medicine Shortages Wholesaler Data Reporting Protocol</w:t>
      </w:r>
      <w:bookmarkEnd w:id="44"/>
      <w:r w:rsidR="0036362E">
        <w:t xml:space="preserve"> </w:t>
      </w:r>
      <w:r w:rsidR="00FC16A6">
        <w:t xml:space="preserve">for </w:t>
      </w:r>
      <w:r w:rsidR="6E3D95FC">
        <w:t>specific medicines</w:t>
      </w:r>
      <w:r w:rsidR="00C31F95">
        <w:t xml:space="preserve"> </w:t>
      </w:r>
      <w:r w:rsidR="6E3D95FC">
        <w:t xml:space="preserve">that are either in shortage or at risk of shortage. The information </w:t>
      </w:r>
      <w:r w:rsidR="0032245C">
        <w:t>should be</w:t>
      </w:r>
      <w:r w:rsidR="6E3D95FC">
        <w:t xml:space="preserve"> provided as soon as possible, following the receipt of a request for information from TGA</w:t>
      </w:r>
      <w:r w:rsidR="00075DC1">
        <w:t xml:space="preserve">, unless </w:t>
      </w:r>
      <w:r w:rsidR="00075DC1">
        <w:lastRenderedPageBreak/>
        <w:t>otherwise agreed</w:t>
      </w:r>
      <w:r w:rsidR="6E3D95FC">
        <w:t>.</w:t>
      </w:r>
      <w:r w:rsidR="00F404F4">
        <w:t xml:space="preserve"> </w:t>
      </w:r>
      <w:r w:rsidR="00EC0FEF">
        <w:t xml:space="preserve">Aggregated wholesaler </w:t>
      </w:r>
      <w:r w:rsidR="00F404F4">
        <w:t>data is provided</w:t>
      </w:r>
      <w:r w:rsidR="00EC0FEF">
        <w:t xml:space="preserve"> to the</w:t>
      </w:r>
      <w:r w:rsidR="00075DC1">
        <w:t xml:space="preserve"> </w:t>
      </w:r>
      <w:r w:rsidR="00EC0FEF">
        <w:t>TGA</w:t>
      </w:r>
      <w:r w:rsidR="00F404F4">
        <w:t xml:space="preserve"> by the </w:t>
      </w:r>
      <w:r w:rsidR="00227BE0">
        <w:t>NPSA</w:t>
      </w:r>
      <w:r w:rsidR="009A567A">
        <w:t>. I</w:t>
      </w:r>
      <w:r w:rsidR="00EC0FEF">
        <w:t xml:space="preserve">ndividual </w:t>
      </w:r>
      <w:r>
        <w:t xml:space="preserve">NPSA </w:t>
      </w:r>
      <w:r w:rsidR="00EC0FEF">
        <w:t>wholesaler data is not requested or received.</w:t>
      </w:r>
    </w:p>
    <w:p w14:paraId="5155B070" w14:textId="5734EBC4" w:rsidR="00B87C3D" w:rsidRDefault="009F4CEB" w:rsidP="009F7D22">
      <w:r>
        <w:t xml:space="preserve">Other wholesalers </w:t>
      </w:r>
      <w:r w:rsidR="000E2349">
        <w:t>w</w:t>
      </w:r>
      <w:r w:rsidR="00E733E5">
        <w:t>ill</w:t>
      </w:r>
      <w:r w:rsidR="000E2349">
        <w:t xml:space="preserve"> be </w:t>
      </w:r>
      <w:r>
        <w:t xml:space="preserve">approached </w:t>
      </w:r>
      <w:r w:rsidR="000E2349">
        <w:t>individually on a case-by-case basis. Wholesalers approached under this process elect to participate in this framework by providing information</w:t>
      </w:r>
      <w:r w:rsidR="005A6DAE">
        <w:t xml:space="preserve"> to the TGA</w:t>
      </w:r>
      <w:r w:rsidR="000E2349">
        <w:t>.</w:t>
      </w:r>
    </w:p>
    <w:p w14:paraId="50395B54" w14:textId="77777777" w:rsidR="00B9684D" w:rsidRPr="007C426A" w:rsidRDefault="00B9684D" w:rsidP="007406FE">
      <w:pPr>
        <w:pStyle w:val="Heading4"/>
      </w:pPr>
      <w:bookmarkStart w:id="45" w:name="_Toc175574132"/>
      <w:r w:rsidRPr="007C426A">
        <w:t xml:space="preserve">Endorse the use of </w:t>
      </w:r>
      <w:proofErr w:type="gramStart"/>
      <w:r w:rsidRPr="007C426A">
        <w:t>information</w:t>
      </w:r>
      <w:bookmarkEnd w:id="45"/>
      <w:proofErr w:type="gramEnd"/>
    </w:p>
    <w:p w14:paraId="44129871" w14:textId="289F33C5" w:rsidR="00B9684D" w:rsidRDefault="00B87C3D" w:rsidP="007406FE">
      <w:r>
        <w:t>Participating w</w:t>
      </w:r>
      <w:r w:rsidR="00B9684D">
        <w:t xml:space="preserve">holesalers </w:t>
      </w:r>
      <w:hyperlink w:anchor="_Consent_to_use" w:history="1">
        <w:r w:rsidRPr="00CB2DF3">
          <w:rPr>
            <w:rStyle w:val="Hyperlink"/>
          </w:rPr>
          <w:t>consent to the use of information</w:t>
        </w:r>
      </w:hyperlink>
      <w:r>
        <w:t xml:space="preserve"> under this framework as set out under the section </w:t>
      </w:r>
      <w:hyperlink w:anchor="_Release_of_information" w:history="1">
        <w:r w:rsidRPr="002857FB">
          <w:rPr>
            <w:rStyle w:val="Hyperlink"/>
          </w:rPr>
          <w:t>Release of information by TGA</w:t>
        </w:r>
      </w:hyperlink>
      <w:r>
        <w:t>.</w:t>
      </w:r>
    </w:p>
    <w:p w14:paraId="1BCBD292" w14:textId="1A66215A" w:rsidR="00080B8D" w:rsidRDefault="00080B8D" w:rsidP="007406FE">
      <w:pPr>
        <w:pStyle w:val="Heading3"/>
      </w:pPr>
      <w:bookmarkStart w:id="46" w:name="_Toc175574133"/>
      <w:r>
        <w:t xml:space="preserve">Private hospital </w:t>
      </w:r>
      <w:r w:rsidR="007B1B25">
        <w:t>sector</w:t>
      </w:r>
      <w:bookmarkEnd w:id="46"/>
    </w:p>
    <w:p w14:paraId="78A70293" w14:textId="77777777" w:rsidR="003F7659" w:rsidRPr="00E07E72" w:rsidRDefault="003F7659" w:rsidP="007406FE">
      <w:pPr>
        <w:pStyle w:val="Heading4"/>
      </w:pPr>
      <w:bookmarkStart w:id="47" w:name="_Toc175574134"/>
      <w:r w:rsidRPr="00E07E72">
        <w:t>Provi</w:t>
      </w:r>
      <w:r>
        <w:t>de</w:t>
      </w:r>
      <w:r w:rsidRPr="00E07E72">
        <w:t xml:space="preserve"> </w:t>
      </w:r>
      <w:proofErr w:type="gramStart"/>
      <w:r w:rsidRPr="00E07E72">
        <w:t>information</w:t>
      </w:r>
      <w:bookmarkEnd w:id="47"/>
      <w:proofErr w:type="gramEnd"/>
    </w:p>
    <w:p w14:paraId="034F9C19" w14:textId="29A86E16" w:rsidR="00227BE0" w:rsidRDefault="0032245C" w:rsidP="007406FE">
      <w:r w:rsidRPr="00554172">
        <w:t>I</w:t>
      </w:r>
      <w:r w:rsidR="004966F3" w:rsidRPr="0032245C">
        <w:t>ndividual</w:t>
      </w:r>
      <w:r w:rsidR="004966F3">
        <w:t xml:space="preserve"> private hospitals </w:t>
      </w:r>
      <w:r w:rsidR="007B1B25">
        <w:t>pharmacy</w:t>
      </w:r>
      <w:r w:rsidR="00B8194E">
        <w:t xml:space="preserve"> service providers </w:t>
      </w:r>
      <w:r w:rsidR="004966F3">
        <w:t xml:space="preserve">may be approached </w:t>
      </w:r>
      <w:r>
        <w:t xml:space="preserve">with a request </w:t>
      </w:r>
      <w:r w:rsidR="004966F3">
        <w:t>to complete the data</w:t>
      </w:r>
      <w:r w:rsidR="00D65BF0">
        <w:t>-</w:t>
      </w:r>
      <w:r w:rsidR="004966F3">
        <w:t>sharing template on a case-by-case basis.</w:t>
      </w:r>
    </w:p>
    <w:p w14:paraId="3A1AB8EA" w14:textId="7E7A34C5" w:rsidR="003F7659" w:rsidRDefault="003F7659" w:rsidP="007406FE">
      <w:r>
        <w:t xml:space="preserve">The information </w:t>
      </w:r>
      <w:r w:rsidR="0032245C">
        <w:t xml:space="preserve">should be </w:t>
      </w:r>
      <w:r>
        <w:t xml:space="preserve">provided as soon as possible, following the receipt of a request for information from </w:t>
      </w:r>
      <w:r w:rsidR="00672E59">
        <w:t xml:space="preserve">the </w:t>
      </w:r>
      <w:r>
        <w:t>TGA.</w:t>
      </w:r>
    </w:p>
    <w:p w14:paraId="2E34B80F" w14:textId="1B4CE0C4" w:rsidR="003F7659" w:rsidRDefault="003F7659" w:rsidP="003F7659">
      <w:r>
        <w:t xml:space="preserve">The type of information to be provided consists of the available information from private hospitals </w:t>
      </w:r>
      <w:r w:rsidR="007B1B25">
        <w:t xml:space="preserve">or </w:t>
      </w:r>
      <w:r>
        <w:t xml:space="preserve">pharmacies servicing </w:t>
      </w:r>
      <w:r w:rsidR="00492BF4">
        <w:t xml:space="preserve">the </w:t>
      </w:r>
      <w:r>
        <w:t>hospitals.</w:t>
      </w:r>
    </w:p>
    <w:p w14:paraId="2F01E92A" w14:textId="16D4A59B" w:rsidR="000E2349" w:rsidRDefault="000E2349" w:rsidP="007406FE">
      <w:r>
        <w:t>Private hospitals or peak bodies approached under this process elect to participate in this framework by providing information.</w:t>
      </w:r>
    </w:p>
    <w:p w14:paraId="26672E00" w14:textId="77777777" w:rsidR="003F7659" w:rsidRDefault="003F7659" w:rsidP="007406FE">
      <w:pPr>
        <w:pStyle w:val="Heading4"/>
      </w:pPr>
      <w:bookmarkStart w:id="48" w:name="_Toc175574135"/>
      <w:r w:rsidRPr="007C426A">
        <w:t xml:space="preserve">Endorse the use of </w:t>
      </w:r>
      <w:proofErr w:type="gramStart"/>
      <w:r w:rsidRPr="007C426A">
        <w:t>information</w:t>
      </w:r>
      <w:bookmarkEnd w:id="48"/>
      <w:proofErr w:type="gramEnd"/>
    </w:p>
    <w:p w14:paraId="116E1F18" w14:textId="57CA2E69" w:rsidR="003F7659" w:rsidRPr="003F7659" w:rsidRDefault="003F7659" w:rsidP="007406FE">
      <w:r w:rsidRPr="007C426A">
        <w:t xml:space="preserve">Data providers </w:t>
      </w:r>
      <w:hyperlink w:anchor="_Consent_to_use" w:history="1">
        <w:r w:rsidR="00B87C3D" w:rsidRPr="00CB2DF3">
          <w:rPr>
            <w:rStyle w:val="Hyperlink"/>
          </w:rPr>
          <w:t>consent to the use of information</w:t>
        </w:r>
      </w:hyperlink>
      <w:r w:rsidR="00B87C3D">
        <w:t xml:space="preserve"> under this framework as set out under the section </w:t>
      </w:r>
      <w:hyperlink w:anchor="_Release_of_information" w:history="1">
        <w:r w:rsidR="00B87C3D" w:rsidRPr="002857FB">
          <w:rPr>
            <w:rStyle w:val="Hyperlink"/>
          </w:rPr>
          <w:t>Release of information by TGA</w:t>
        </w:r>
      </w:hyperlink>
      <w:r w:rsidR="00B87C3D">
        <w:t xml:space="preserve">. </w:t>
      </w:r>
    </w:p>
    <w:p w14:paraId="535446DF" w14:textId="2DA39B03" w:rsidR="00B702D5" w:rsidRDefault="00B33CAB" w:rsidP="007406FE">
      <w:pPr>
        <w:pStyle w:val="Heading3"/>
      </w:pPr>
      <w:bookmarkStart w:id="49" w:name="_Toc175574136"/>
      <w:r w:rsidRPr="00B33CAB">
        <w:t xml:space="preserve">Therapeutic Goods </w:t>
      </w:r>
      <w:r w:rsidRPr="007406FE">
        <w:t>Administration</w:t>
      </w:r>
      <w:bookmarkEnd w:id="49"/>
    </w:p>
    <w:p w14:paraId="0F7FF4AE" w14:textId="7AD87B72" w:rsidR="00DB3C97" w:rsidRDefault="00DB3C97" w:rsidP="007406FE">
      <w:pPr>
        <w:pStyle w:val="Heading4"/>
      </w:pPr>
      <w:bookmarkStart w:id="50" w:name="_Toc175574137"/>
      <w:r>
        <w:t xml:space="preserve">How the information is </w:t>
      </w:r>
      <w:r w:rsidRPr="007406FE">
        <w:t>treated</w:t>
      </w:r>
      <w:r>
        <w:t xml:space="preserve"> by </w:t>
      </w:r>
      <w:r w:rsidR="00492BF4">
        <w:t xml:space="preserve">the </w:t>
      </w:r>
      <w:r>
        <w:t>TGA</w:t>
      </w:r>
      <w:bookmarkEnd w:id="50"/>
    </w:p>
    <w:p w14:paraId="70ED6AF3" w14:textId="759C05BE" w:rsidR="00492BF4" w:rsidRDefault="00DB3C97" w:rsidP="007406FE">
      <w:r>
        <w:t xml:space="preserve">Information provided to </w:t>
      </w:r>
      <w:r w:rsidR="00492BF4">
        <w:t xml:space="preserve">the </w:t>
      </w:r>
      <w:r>
        <w:t xml:space="preserve">TGA such as personal, business or commercially confidential information is treated as </w:t>
      </w:r>
      <w:r w:rsidRPr="00CB0E43">
        <w:t>official information</w:t>
      </w:r>
      <w:r w:rsidR="005533FE">
        <w:t>. As part of the Department of Health and Aged Care</w:t>
      </w:r>
      <w:r w:rsidR="00514478">
        <w:t>,</w:t>
      </w:r>
      <w:r w:rsidR="005533FE" w:rsidRPr="005533FE">
        <w:t xml:space="preserve"> </w:t>
      </w:r>
      <w:r w:rsidR="00F22CF3">
        <w:t>t</w:t>
      </w:r>
      <w:r w:rsidR="005533FE" w:rsidRPr="005533FE">
        <w:t xml:space="preserve">he TGA has obligations under the </w:t>
      </w:r>
      <w:hyperlink r:id="rId23" w:history="1">
        <w:r w:rsidR="005533FE" w:rsidRPr="00DF3959">
          <w:rPr>
            <w:rStyle w:val="Hyperlink"/>
          </w:rPr>
          <w:t>Protective Security Policy Framework</w:t>
        </w:r>
      </w:hyperlink>
      <w:r w:rsidR="005533FE" w:rsidRPr="005533FE">
        <w:t xml:space="preserve"> (PSPF) to ensure that </w:t>
      </w:r>
      <w:r w:rsidR="007C426A">
        <w:t>we</w:t>
      </w:r>
      <w:r w:rsidR="005533FE" w:rsidRPr="005533FE">
        <w:t xml:space="preserve"> develop, document, implement and review appropriate security measures to protect information from unauthorised use or accidental modification, loss or release</w:t>
      </w:r>
      <w:r w:rsidR="004A77C4">
        <w:t>.</w:t>
      </w:r>
    </w:p>
    <w:p w14:paraId="5A1569D3" w14:textId="37B86ED2" w:rsidR="000A40CD" w:rsidRPr="00CB0E43" w:rsidRDefault="004A77C4" w:rsidP="007406FE">
      <w:r>
        <w:t xml:space="preserve">The </w:t>
      </w:r>
      <w:r w:rsidR="00672E59">
        <w:t xml:space="preserve">department’s </w:t>
      </w:r>
      <w:hyperlink r:id="rId24" w:history="1">
        <w:r w:rsidRPr="005E3BDE">
          <w:rPr>
            <w:rStyle w:val="Hyperlink"/>
          </w:rPr>
          <w:t>Data Strategy</w:t>
        </w:r>
      </w:hyperlink>
      <w:r>
        <w:t xml:space="preserve"> sets out </w:t>
      </w:r>
      <w:r w:rsidRPr="004A77C4">
        <w:t>how we ensur</w:t>
      </w:r>
      <w:r>
        <w:t>e</w:t>
      </w:r>
      <w:r w:rsidRPr="004A77C4">
        <w:t xml:space="preserve"> that we use data for public good</w:t>
      </w:r>
      <w:r w:rsidR="00492BF4">
        <w:t xml:space="preserve"> while </w:t>
      </w:r>
      <w:r w:rsidRPr="004A77C4">
        <w:t>maintaining individual privacy and conf</w:t>
      </w:r>
      <w:r w:rsidR="001663BC">
        <w:t>i</w:t>
      </w:r>
      <w:r w:rsidRPr="004A77C4">
        <w:t xml:space="preserve">dentiality </w:t>
      </w:r>
      <w:r w:rsidR="00492BF4">
        <w:t>and</w:t>
      </w:r>
      <w:r w:rsidRPr="004A77C4">
        <w:t xml:space="preserve"> upholding commercial-in-conf</w:t>
      </w:r>
      <w:r w:rsidR="00E735A8">
        <w:t>i</w:t>
      </w:r>
      <w:r w:rsidRPr="004A77C4">
        <w:t>dence obligations</w:t>
      </w:r>
      <w:r w:rsidR="00E735A8">
        <w:t xml:space="preserve">. Strategic objective number 4 of the data strategy </w:t>
      </w:r>
      <w:r w:rsidR="00492BF4">
        <w:t>embeds our</w:t>
      </w:r>
      <w:r w:rsidR="00E735A8">
        <w:t xml:space="preserve"> </w:t>
      </w:r>
      <w:r w:rsidR="00E735A8" w:rsidRPr="00E735A8">
        <w:t xml:space="preserve">commitment to safe sharing and release of data using trusted, transparent, </w:t>
      </w:r>
      <w:r w:rsidR="00B92823" w:rsidRPr="00E735A8">
        <w:t>consistent,</w:t>
      </w:r>
      <w:r w:rsidR="00E735A8" w:rsidRPr="00E735A8">
        <w:t xml:space="preserve"> and efficient protocols</w:t>
      </w:r>
      <w:r w:rsidR="00E735A8">
        <w:t>.</w:t>
      </w:r>
    </w:p>
    <w:p w14:paraId="437D00D9" w14:textId="3DFDB727" w:rsidR="000A40CD" w:rsidRDefault="3C49CFA4" w:rsidP="007406FE">
      <w:r>
        <w:t xml:space="preserve">Data will be reviewed by the </w:t>
      </w:r>
      <w:r w:rsidR="00514478">
        <w:t>TGA</w:t>
      </w:r>
      <w:r w:rsidR="0670DBD8">
        <w:t xml:space="preserve"> and</w:t>
      </w:r>
      <w:r>
        <w:t xml:space="preserve"> treated </w:t>
      </w:r>
      <w:r w:rsidR="47C1670B">
        <w:t>for official use.</w:t>
      </w:r>
      <w:r w:rsidR="00125913">
        <w:t xml:space="preserve"> The TGA does not collect personal information</w:t>
      </w:r>
      <w:r w:rsidR="00E577DD">
        <w:t xml:space="preserve"> of patients or healthcare professionals</w:t>
      </w:r>
      <w:r w:rsidR="00125913">
        <w:t xml:space="preserve"> as part of this initiative.</w:t>
      </w:r>
    </w:p>
    <w:p w14:paraId="49681B8C" w14:textId="2B7C075D" w:rsidR="008F07BD" w:rsidRPr="000A40CD" w:rsidRDefault="008F07BD" w:rsidP="007406FE">
      <w:r>
        <w:t xml:space="preserve">The TGA will retain the information provided for the duration </w:t>
      </w:r>
      <w:r w:rsidR="002D0DB0">
        <w:t xml:space="preserve">of 7 years </w:t>
      </w:r>
      <w:r w:rsidR="00672E59">
        <w:t xml:space="preserve">as </w:t>
      </w:r>
      <w:r>
        <w:t>required by our record</w:t>
      </w:r>
      <w:r w:rsidR="00672E59">
        <w:t>-</w:t>
      </w:r>
      <w:r>
        <w:t>keeping obligations.</w:t>
      </w:r>
    </w:p>
    <w:p w14:paraId="7E16C0C0" w14:textId="07956C1F" w:rsidR="00062F64" w:rsidRPr="00062F64" w:rsidRDefault="00DB7B10" w:rsidP="007406FE">
      <w:pPr>
        <w:pStyle w:val="Heading3"/>
      </w:pPr>
      <w:bookmarkStart w:id="51" w:name="_Release_of_information"/>
      <w:bookmarkStart w:id="52" w:name="_Toc175574138"/>
      <w:bookmarkEnd w:id="51"/>
      <w:r w:rsidRPr="00062F64">
        <w:rPr>
          <w:rStyle w:val="Heading3Char"/>
          <w:rFonts w:eastAsia="Cambria"/>
          <w:b/>
          <w:bCs/>
          <w:sz w:val="28"/>
          <w:szCs w:val="26"/>
        </w:rPr>
        <w:t xml:space="preserve">Release of information by </w:t>
      </w:r>
      <w:r w:rsidR="00672E59">
        <w:rPr>
          <w:rStyle w:val="Heading3Char"/>
          <w:rFonts w:eastAsia="Cambria"/>
          <w:b/>
          <w:bCs/>
          <w:sz w:val="28"/>
          <w:szCs w:val="26"/>
        </w:rPr>
        <w:t xml:space="preserve">the </w:t>
      </w:r>
      <w:r w:rsidRPr="00062F64">
        <w:rPr>
          <w:rStyle w:val="Heading3Char"/>
          <w:rFonts w:eastAsia="Cambria"/>
          <w:b/>
          <w:bCs/>
          <w:sz w:val="28"/>
          <w:szCs w:val="26"/>
        </w:rPr>
        <w:t>TGA</w:t>
      </w:r>
      <w:bookmarkEnd w:id="52"/>
    </w:p>
    <w:p w14:paraId="5B4D779D" w14:textId="4A0EE1C5" w:rsidR="0058762C" w:rsidRDefault="0058762C" w:rsidP="007406FE">
      <w:r>
        <w:t xml:space="preserve">Individual data sets </w:t>
      </w:r>
      <w:r w:rsidR="009A567A">
        <w:t xml:space="preserve">and their aggregates </w:t>
      </w:r>
      <w:r>
        <w:t xml:space="preserve">received by </w:t>
      </w:r>
      <w:r w:rsidR="00672E59">
        <w:t xml:space="preserve">the </w:t>
      </w:r>
      <w:r>
        <w:t>TGA will only be shared with the MAWG adviser for medicine shortages</w:t>
      </w:r>
      <w:r w:rsidR="00B07374">
        <w:t xml:space="preserve"> for modelling purposes</w:t>
      </w:r>
      <w:r>
        <w:t xml:space="preserve">, and the </w:t>
      </w:r>
      <w:r w:rsidR="00492BF4">
        <w:t xml:space="preserve">relevant </w:t>
      </w:r>
      <w:r w:rsidRPr="0058762C">
        <w:t>PBS</w:t>
      </w:r>
      <w:r w:rsidR="00227BE0">
        <w:t xml:space="preserve"> area</w:t>
      </w:r>
      <w:r w:rsidRPr="0058762C">
        <w:t xml:space="preserve"> </w:t>
      </w:r>
      <w:r w:rsidR="00492BF4">
        <w:t>to</w:t>
      </w:r>
      <w:r w:rsidRPr="0058762C">
        <w:t xml:space="preserve"> facilitat</w:t>
      </w:r>
      <w:r w:rsidR="00492BF4">
        <w:t>e</w:t>
      </w:r>
      <w:r w:rsidRPr="0058762C">
        <w:t xml:space="preserve"> </w:t>
      </w:r>
      <w:r w:rsidRPr="0058762C">
        <w:lastRenderedPageBreak/>
        <w:t>shortage mitigation</w:t>
      </w:r>
      <w:r w:rsidR="00554172">
        <w:t xml:space="preserve"> </w:t>
      </w:r>
      <w:r w:rsidR="002C65E6">
        <w:t xml:space="preserve">through </w:t>
      </w:r>
      <w:r w:rsidRPr="0058762C">
        <w:t>flexibilities within the PBS</w:t>
      </w:r>
      <w:r>
        <w:t>. Individual data sets are provided by a stakeholder in response to a request for information. Aggregate</w:t>
      </w:r>
      <w:r w:rsidR="00492BF4">
        <w:t>d</w:t>
      </w:r>
      <w:r w:rsidR="00B07374">
        <w:t xml:space="preserve"> data sets are used to run the </w:t>
      </w:r>
      <w:r w:rsidR="009E23F5">
        <w:t xml:space="preserve">DMMA </w:t>
      </w:r>
      <w:r w:rsidR="00B07374">
        <w:t xml:space="preserve">and </w:t>
      </w:r>
      <w:r w:rsidR="009E23F5">
        <w:t xml:space="preserve">model outputs for these </w:t>
      </w:r>
      <w:r w:rsidR="00B07374">
        <w:t>include estimates of quantity.</w:t>
      </w:r>
    </w:p>
    <w:p w14:paraId="6C5A9860" w14:textId="53606E4E" w:rsidR="00554172" w:rsidRDefault="00B07374" w:rsidP="007406FE">
      <w:r>
        <w:t xml:space="preserve">The majority </w:t>
      </w:r>
      <w:r w:rsidR="006222A5">
        <w:t>of information release</w:t>
      </w:r>
      <w:r w:rsidR="00CB761D">
        <w:t>d</w:t>
      </w:r>
      <w:r w:rsidR="006222A5">
        <w:t xml:space="preserve"> by </w:t>
      </w:r>
      <w:r w:rsidR="00672E59">
        <w:t xml:space="preserve">the </w:t>
      </w:r>
      <w:r w:rsidR="006222A5">
        <w:t>TGA</w:t>
      </w:r>
      <w:r>
        <w:t xml:space="preserve"> to specific bodies or individuals occurs in </w:t>
      </w:r>
      <w:r w:rsidR="00554F7E">
        <w:t xml:space="preserve">the </w:t>
      </w:r>
      <w:r>
        <w:t xml:space="preserve">form of an </w:t>
      </w:r>
      <w:r w:rsidR="7D766491">
        <w:t>a</w:t>
      </w:r>
      <w:r w:rsidR="73E51EC3">
        <w:t xml:space="preserve">ggregated </w:t>
      </w:r>
      <w:r>
        <w:t>visual</w:t>
      </w:r>
      <w:r w:rsidR="009E23F5">
        <w:t xml:space="preserve"> and </w:t>
      </w:r>
      <w:r>
        <w:t>support</w:t>
      </w:r>
      <w:r w:rsidR="009E23F5">
        <w:t>s</w:t>
      </w:r>
      <w:r>
        <w:t xml:space="preserve"> the management or prevention of specific medicine shortages (see </w:t>
      </w:r>
      <w:hyperlink w:anchor="_Our_data_sharing" w:history="1">
        <w:r w:rsidR="00D65BF0">
          <w:rPr>
            <w:rStyle w:val="Hyperlink"/>
          </w:rPr>
          <w:t>data-sharing process</w:t>
        </w:r>
      </w:hyperlink>
      <w:r w:rsidR="004D4A50">
        <w:rPr>
          <w:rStyle w:val="Hyperlink"/>
        </w:rPr>
        <w:t xml:space="preserve"> </w:t>
      </w:r>
      <w:r w:rsidR="004D4A50" w:rsidRPr="004D4A50">
        <w:rPr>
          <w:rStyle w:val="Hyperlink"/>
          <w:color w:val="auto"/>
          <w:u w:val="none"/>
        </w:rPr>
        <w:t xml:space="preserve">and </w:t>
      </w:r>
      <w:hyperlink w:anchor="_Attachment_A" w:history="1">
        <w:r w:rsidR="004D4A50" w:rsidRPr="004D4A50">
          <w:rPr>
            <w:rStyle w:val="Hyperlink"/>
          </w:rPr>
          <w:t>Attachment A</w:t>
        </w:r>
      </w:hyperlink>
      <w:r>
        <w:t xml:space="preserve">). This is the model output and can be released </w:t>
      </w:r>
      <w:r w:rsidR="00492BF4">
        <w:t xml:space="preserve">as </w:t>
      </w:r>
      <w:r>
        <w:t xml:space="preserve">a narrative or as a live view while the model is run during forecasting meetings. </w:t>
      </w:r>
      <w:r w:rsidR="006222A5">
        <w:t xml:space="preserve">The information that is shared as an aggregated visual is less sensitive than the aggregated data set and shared more broadly (see </w:t>
      </w:r>
      <w:hyperlink w:anchor="_Our_data_sharing" w:history="1">
        <w:r w:rsidR="00D65BF0">
          <w:rPr>
            <w:rStyle w:val="Hyperlink"/>
          </w:rPr>
          <w:t>data-sharing process</w:t>
        </w:r>
      </w:hyperlink>
      <w:r w:rsidR="006222A5" w:rsidRPr="000D1AC1">
        <w:rPr>
          <w:rStyle w:val="Hyperlink"/>
          <w:color w:val="auto"/>
          <w:u w:val="none"/>
        </w:rPr>
        <w:t>)</w:t>
      </w:r>
      <w:r w:rsidR="009E23F5" w:rsidRPr="000D1AC1">
        <w:rPr>
          <w:rStyle w:val="Hyperlink"/>
          <w:color w:val="auto"/>
          <w:u w:val="none"/>
        </w:rPr>
        <w:t>.</w:t>
      </w:r>
      <w:r w:rsidR="006222A5">
        <w:t xml:space="preserve"> </w:t>
      </w:r>
      <w:r>
        <w:t>The aggregated visual includes estimates of</w:t>
      </w:r>
      <w:r w:rsidR="00780810">
        <w:t xml:space="preserve"> available</w:t>
      </w:r>
      <w:r>
        <w:t xml:space="preserve"> quantity as a percentage</w:t>
      </w:r>
      <w:r w:rsidR="005920E6">
        <w:t xml:space="preserve"> of demand rather than specifying </w:t>
      </w:r>
      <w:r w:rsidR="006222A5">
        <w:t xml:space="preserve">medicine </w:t>
      </w:r>
      <w:r w:rsidR="005920E6">
        <w:t>quantity in units o</w:t>
      </w:r>
      <w:r w:rsidR="006222A5">
        <w:t>r</w:t>
      </w:r>
      <w:r w:rsidR="005920E6">
        <w:t xml:space="preserve"> milligrams</w:t>
      </w:r>
      <w:r>
        <w:t>.</w:t>
      </w:r>
    </w:p>
    <w:p w14:paraId="1CB6F84A" w14:textId="46E3F803" w:rsidR="00E747A9" w:rsidRDefault="00B07374" w:rsidP="007406FE">
      <w:r>
        <w:t xml:space="preserve">The </w:t>
      </w:r>
      <w:r w:rsidR="0044069E">
        <w:t>aggregated visual</w:t>
      </w:r>
      <w:r w:rsidR="00492BF4">
        <w:t xml:space="preserve"> </w:t>
      </w:r>
      <w:r w:rsidR="73E51EC3">
        <w:t xml:space="preserve">will be used to inform </w:t>
      </w:r>
      <w:r>
        <w:t xml:space="preserve">other </w:t>
      </w:r>
      <w:r w:rsidR="004A280E">
        <w:t>Commonwealth</w:t>
      </w:r>
      <w:r w:rsidR="73E51EC3">
        <w:t xml:space="preserve"> </w:t>
      </w:r>
      <w:r>
        <w:t>d</w:t>
      </w:r>
      <w:r w:rsidR="73E51EC3">
        <w:t>epartment</w:t>
      </w:r>
      <w:r>
        <w:t>s</w:t>
      </w:r>
      <w:r w:rsidR="73E51EC3">
        <w:t xml:space="preserve">, </w:t>
      </w:r>
      <w:proofErr w:type="gramStart"/>
      <w:r w:rsidR="00514478">
        <w:t>s</w:t>
      </w:r>
      <w:r w:rsidR="73E51EC3">
        <w:t>tate</w:t>
      </w:r>
      <w:proofErr w:type="gramEnd"/>
      <w:r w:rsidR="73E51EC3">
        <w:t xml:space="preserve"> and </w:t>
      </w:r>
      <w:r w:rsidR="00514478">
        <w:t>t</w:t>
      </w:r>
      <w:r w:rsidR="73E51EC3">
        <w:t xml:space="preserve">erritory entities (the </w:t>
      </w:r>
      <w:r w:rsidR="005920E6">
        <w:t>MAWG</w:t>
      </w:r>
      <w:r w:rsidR="73E51EC3">
        <w:t>)</w:t>
      </w:r>
      <w:r w:rsidR="0032245C">
        <w:t>,</w:t>
      </w:r>
      <w:r w:rsidR="73E51EC3">
        <w:t xml:space="preserve"> sponsors</w:t>
      </w:r>
      <w:r w:rsidR="5F34DF18">
        <w:t xml:space="preserve">, </w:t>
      </w:r>
      <w:r w:rsidR="73E51EC3">
        <w:t>wholesalers</w:t>
      </w:r>
      <w:r w:rsidR="5F34DF18">
        <w:t>,</w:t>
      </w:r>
      <w:r w:rsidR="00B23FBB">
        <w:t xml:space="preserve"> relevant</w:t>
      </w:r>
      <w:r w:rsidR="5F34DF18">
        <w:t xml:space="preserve"> </w:t>
      </w:r>
      <w:r w:rsidR="00155527">
        <w:t>MSAGs</w:t>
      </w:r>
      <w:r>
        <w:t xml:space="preserve"> and</w:t>
      </w:r>
      <w:r w:rsidR="00EC0FEF">
        <w:t xml:space="preserve"> private hospitals</w:t>
      </w:r>
      <w:r>
        <w:t xml:space="preserve">. </w:t>
      </w:r>
      <w:r w:rsidR="73E51EC3">
        <w:t>The</w:t>
      </w:r>
      <w:r w:rsidR="00492BF4">
        <w:t>y</w:t>
      </w:r>
      <w:r w:rsidR="73E51EC3">
        <w:t xml:space="preserve"> </w:t>
      </w:r>
      <w:r w:rsidR="5F34DF18">
        <w:t xml:space="preserve">may be discussed </w:t>
      </w:r>
      <w:r w:rsidR="00EC0FEF">
        <w:t xml:space="preserve">to inform shortage management </w:t>
      </w:r>
      <w:r w:rsidR="5F34DF18">
        <w:t>at MSAG or MAWG meetings</w:t>
      </w:r>
      <w:r w:rsidR="0032245C">
        <w:t xml:space="preserve">. Representatives for consumers or relevant health professional peak bodies may be present at these meetings to advise on shortage management solutions. Aggregated visuals may also be shared with other </w:t>
      </w:r>
      <w:r w:rsidR="004A280E">
        <w:t xml:space="preserve">Commonwealth </w:t>
      </w:r>
      <w:r w:rsidR="009E45F4">
        <w:t>entities</w:t>
      </w:r>
      <w:r w:rsidR="0032245C">
        <w:t xml:space="preserve"> that contribute to the national</w:t>
      </w:r>
      <w:r w:rsidR="00EC0FEF">
        <w:t xml:space="preserve"> shortages management such as the Department of Industry, Science and Resources (DISR)</w:t>
      </w:r>
      <w:r w:rsidR="5F34DF18">
        <w:t xml:space="preserve">. </w:t>
      </w:r>
      <w:r w:rsidR="002440A3">
        <w:t xml:space="preserve">All aggregated </w:t>
      </w:r>
      <w:r w:rsidR="002D0DB0">
        <w:t xml:space="preserve">visuals </w:t>
      </w:r>
      <w:r w:rsidR="002440A3">
        <w:t>will be de-identified to prevent identification of individual data sources.</w:t>
      </w:r>
    </w:p>
    <w:p w14:paraId="4DA68455" w14:textId="3EFD333F" w:rsidR="00E747A9" w:rsidRDefault="063AE39B" w:rsidP="007406FE">
      <w:r>
        <w:t>Due to the time</w:t>
      </w:r>
      <w:r w:rsidR="393EFF06">
        <w:t>-</w:t>
      </w:r>
      <w:r>
        <w:t>critical nature of the shortage management process</w:t>
      </w:r>
      <w:r w:rsidR="6BC924D3">
        <w:t>,</w:t>
      </w:r>
      <w:r w:rsidR="0032479F">
        <w:t xml:space="preserve"> it may be necessary for</w:t>
      </w:r>
      <w:r>
        <w:t xml:space="preserve"> the TGA </w:t>
      </w:r>
      <w:r w:rsidR="00293964">
        <w:t xml:space="preserve">to undertake </w:t>
      </w:r>
      <w:r>
        <w:t xml:space="preserve">data model </w:t>
      </w:r>
      <w:r w:rsidR="00293964">
        <w:t>prediction</w:t>
      </w:r>
      <w:r w:rsidR="00492BF4">
        <w:t>s</w:t>
      </w:r>
      <w:r w:rsidR="00293964">
        <w:t xml:space="preserve"> </w:t>
      </w:r>
      <w:r w:rsidR="00E577DD">
        <w:t xml:space="preserve">based </w:t>
      </w:r>
      <w:r w:rsidR="00293964">
        <w:t>o</w:t>
      </w:r>
      <w:r w:rsidR="1860EBFD">
        <w:t>n</w:t>
      </w:r>
      <w:r>
        <w:t xml:space="preserve"> incomplete information. In situations where </w:t>
      </w:r>
      <w:r w:rsidR="00293964">
        <w:t xml:space="preserve">some </w:t>
      </w:r>
      <w:r>
        <w:t>stakeholder’s data input is delayed</w:t>
      </w:r>
      <w:r w:rsidR="003D030E">
        <w:t xml:space="preserve">, data receivers viewing the aggregate visuals may be able to </w:t>
      </w:r>
      <w:r w:rsidR="004D4A50">
        <w:t xml:space="preserve">estimate </w:t>
      </w:r>
      <w:r w:rsidR="003D030E">
        <w:t>this data provider’s input through the comparison of modelling outcomes before and after the input was included.</w:t>
      </w:r>
    </w:p>
    <w:p w14:paraId="1076DE54" w14:textId="239E5BCE" w:rsidR="0032479F" w:rsidRDefault="003D030E" w:rsidP="007406FE">
      <w:r>
        <w:t>Conclusions drawn from a</w:t>
      </w:r>
      <w:r w:rsidR="5F34DF18">
        <w:t xml:space="preserve">ggregated </w:t>
      </w:r>
      <w:r w:rsidR="002D0DB0">
        <w:t xml:space="preserve">visuals </w:t>
      </w:r>
      <w:r w:rsidR="002440A3">
        <w:t>may be shared with the public</w:t>
      </w:r>
      <w:r w:rsidR="00B07374">
        <w:t xml:space="preserve"> </w:t>
      </w:r>
      <w:r w:rsidR="00492BF4">
        <w:t>as</w:t>
      </w:r>
      <w:r w:rsidR="00B07374">
        <w:t xml:space="preserve"> a n</w:t>
      </w:r>
      <w:r w:rsidR="00B07374" w:rsidRPr="002440A3">
        <w:t>arrative</w:t>
      </w:r>
      <w:r>
        <w:t xml:space="preserve"> of the supply situation and mitigation and management actions</w:t>
      </w:r>
      <w:r w:rsidR="004D4A50">
        <w:t xml:space="preserve"> (example at </w:t>
      </w:r>
      <w:hyperlink w:anchor="_Attachment_B" w:history="1">
        <w:r w:rsidR="004D4A50" w:rsidRPr="004D4A50">
          <w:rPr>
            <w:rStyle w:val="Hyperlink"/>
          </w:rPr>
          <w:t>Attachment B</w:t>
        </w:r>
      </w:hyperlink>
      <w:r w:rsidR="004D4A50">
        <w:t>)</w:t>
      </w:r>
      <w:r w:rsidR="00B07374" w:rsidRPr="002440A3">
        <w:t xml:space="preserve">. </w:t>
      </w:r>
      <w:r w:rsidR="002440A3">
        <w:t xml:space="preserve">Publication on </w:t>
      </w:r>
      <w:r w:rsidR="00F8506E">
        <w:t>the TGA</w:t>
      </w:r>
      <w:r w:rsidR="002440A3">
        <w:t xml:space="preserve"> website s</w:t>
      </w:r>
      <w:r w:rsidR="00B07374" w:rsidRPr="002440A3">
        <w:t xml:space="preserve">upports communication about medicine shortages </w:t>
      </w:r>
      <w:r w:rsidR="002440A3">
        <w:t xml:space="preserve">and could include projected time periods of stock unavailability. Public information </w:t>
      </w:r>
      <w:r w:rsidR="5F34DF18">
        <w:t xml:space="preserve">may also be presented at </w:t>
      </w:r>
      <w:r w:rsidR="73E51EC3">
        <w:t>conferences or webinars.</w:t>
      </w:r>
    </w:p>
    <w:p w14:paraId="1DFA1C7E" w14:textId="5916DFD5" w:rsidR="00C76239" w:rsidRDefault="002857FB" w:rsidP="007406FE">
      <w:r>
        <w:t>The r</w:t>
      </w:r>
      <w:r w:rsidR="00C76239">
        <w:t xml:space="preserve">elease of information </w:t>
      </w:r>
      <w:r>
        <w:t xml:space="preserve">by </w:t>
      </w:r>
      <w:r w:rsidR="00672E59">
        <w:t xml:space="preserve">the </w:t>
      </w:r>
      <w:r>
        <w:t xml:space="preserve">TGA </w:t>
      </w:r>
      <w:r w:rsidR="00EA3CCB">
        <w:t>will be undertaken pursuant</w:t>
      </w:r>
      <w:r w:rsidR="00C76239">
        <w:t xml:space="preserve"> </w:t>
      </w:r>
      <w:r w:rsidR="00347E78">
        <w:t>to</w:t>
      </w:r>
      <w:r w:rsidR="00C76239">
        <w:t xml:space="preserve"> a </w:t>
      </w:r>
      <w:r w:rsidR="00C76239" w:rsidRPr="006222A5">
        <w:t>legislative</w:t>
      </w:r>
      <w:r w:rsidR="00C76239">
        <w:t xml:space="preserve"> instrument </w:t>
      </w:r>
      <w:r w:rsidR="00EA3CCB">
        <w:t xml:space="preserve">made </w:t>
      </w:r>
      <w:r w:rsidR="00C76239">
        <w:t xml:space="preserve">under </w:t>
      </w:r>
      <w:r w:rsidR="00382D54">
        <w:t xml:space="preserve">section </w:t>
      </w:r>
      <w:r w:rsidR="00C76239">
        <w:t xml:space="preserve">61 of the </w:t>
      </w:r>
      <w:r w:rsidR="00084B7B" w:rsidRPr="00526247">
        <w:t>Act</w:t>
      </w:r>
      <w:r w:rsidR="00FE51BA">
        <w:t>. The instrument</w:t>
      </w:r>
      <w:r w:rsidR="00EA3CCB">
        <w:t xml:space="preserve"> specif</w:t>
      </w:r>
      <w:r w:rsidR="003C09FD">
        <w:t>ies</w:t>
      </w:r>
      <w:r w:rsidR="00EA3CCB">
        <w:t xml:space="preserve"> </w:t>
      </w:r>
      <w:r w:rsidR="006222A5">
        <w:t xml:space="preserve">kinds </w:t>
      </w:r>
      <w:r w:rsidR="001058C6">
        <w:t xml:space="preserve">of information that can be disclosed and </w:t>
      </w:r>
      <w:r w:rsidR="00EA3CCB">
        <w:t>the persons to whom</w:t>
      </w:r>
      <w:r w:rsidR="0032479F">
        <w:t>,</w:t>
      </w:r>
      <w:r w:rsidR="00EA3CCB">
        <w:t xml:space="preserve"> and the purposes for which</w:t>
      </w:r>
      <w:r w:rsidR="0032479F">
        <w:t>,</w:t>
      </w:r>
      <w:r w:rsidR="00EA3CCB">
        <w:t xml:space="preserve"> information can be disclosed</w:t>
      </w:r>
      <w:r w:rsidR="004D15E6">
        <w:t>.</w:t>
      </w:r>
    </w:p>
    <w:p w14:paraId="27A225C8" w14:textId="5F0125FF" w:rsidR="00374719" w:rsidRDefault="00374719" w:rsidP="007406FE">
      <w:r>
        <w:t xml:space="preserve">To control further disclosure, all entities or individuals who receive </w:t>
      </w:r>
      <w:r w:rsidR="00F8506E">
        <w:t>individual data,</w:t>
      </w:r>
      <w:r>
        <w:t xml:space="preserve"> </w:t>
      </w:r>
      <w:r w:rsidR="00F8506E">
        <w:t>aggregated data, or aggregated visuals</w:t>
      </w:r>
      <w:r>
        <w:t xml:space="preserve"> released under the </w:t>
      </w:r>
      <w:r w:rsidR="002C65E6">
        <w:t xml:space="preserve">section </w:t>
      </w:r>
      <w:r>
        <w:t xml:space="preserve">61 </w:t>
      </w:r>
      <w:r w:rsidR="00492BF4">
        <w:t xml:space="preserve">legislative </w:t>
      </w:r>
      <w:r>
        <w:t xml:space="preserve">instrument will be required to </w:t>
      </w:r>
      <w:r w:rsidR="003C09FD">
        <w:t>agree to</w:t>
      </w:r>
      <w:r>
        <w:t xml:space="preserve"> confidentiality </w:t>
      </w:r>
      <w:r w:rsidR="009E45F4">
        <w:t xml:space="preserve">in advance </w:t>
      </w:r>
      <w:r>
        <w:t xml:space="preserve">if they are not already subject to </w:t>
      </w:r>
      <w:r w:rsidR="003C09FD">
        <w:t>a confidentiality deed</w:t>
      </w:r>
      <w:r>
        <w:t xml:space="preserve">. </w:t>
      </w:r>
      <w:r w:rsidR="00C55B4B">
        <w:t>Although we have put these measures in place to protect the information, the TGA does not take responsibility for the information once it has been provided to recipients under</w:t>
      </w:r>
      <w:r w:rsidR="001A0E10">
        <w:t xml:space="preserve"> the legislative instrument made under</w:t>
      </w:r>
      <w:r w:rsidR="00C55B4B">
        <w:t xml:space="preserve"> section 61 of the Act.</w:t>
      </w:r>
    </w:p>
    <w:p w14:paraId="448D4CAF" w14:textId="113503F1" w:rsidR="00EB6C2B" w:rsidRDefault="00EB6C2B" w:rsidP="007406FE">
      <w:pPr>
        <w:pStyle w:val="Heading4"/>
      </w:pPr>
      <w:bookmarkStart w:id="53" w:name="_Information_to_be"/>
      <w:bookmarkStart w:id="54" w:name="_Toc175574139"/>
      <w:bookmarkEnd w:id="53"/>
      <w:r>
        <w:t xml:space="preserve">Information to be </w:t>
      </w:r>
      <w:r w:rsidRPr="007406FE">
        <w:t>released</w:t>
      </w:r>
      <w:r>
        <w:t xml:space="preserve"> under the legislative </w:t>
      </w:r>
      <w:proofErr w:type="gramStart"/>
      <w:r>
        <w:t>instrument</w:t>
      </w:r>
      <w:bookmarkEnd w:id="54"/>
      <w:proofErr w:type="gramEnd"/>
    </w:p>
    <w:p w14:paraId="01F399B8" w14:textId="1BB314B4" w:rsidR="008E20F8" w:rsidRPr="00B557AF" w:rsidRDefault="00386354" w:rsidP="007406FE">
      <w:r>
        <w:t>A</w:t>
      </w:r>
      <w:r w:rsidR="008E20F8" w:rsidRPr="008E20F8">
        <w:t xml:space="preserve"> legislative instrument provide</w:t>
      </w:r>
      <w:r w:rsidR="00F8506E">
        <w:t>s</w:t>
      </w:r>
      <w:r w:rsidR="008E20F8" w:rsidRPr="008E20F8">
        <w:t xml:space="preserve"> a legal basis under the </w:t>
      </w:r>
      <w:r w:rsidR="00F8506E">
        <w:t xml:space="preserve">Act </w:t>
      </w:r>
      <w:r w:rsidR="008E20F8" w:rsidRPr="008E20F8">
        <w:t xml:space="preserve">to release information concerning medicine </w:t>
      </w:r>
      <w:r w:rsidR="00F8506E">
        <w:t>availability and demand</w:t>
      </w:r>
      <w:r w:rsidR="008E20F8" w:rsidRPr="008E20F8">
        <w:t xml:space="preserve"> to specified data recipients and the public. </w:t>
      </w:r>
      <w:r w:rsidR="00B557AF">
        <w:t>The ‘</w:t>
      </w:r>
      <w:hyperlink r:id="rId25" w:history="1">
        <w:r w:rsidR="00B557AF" w:rsidRPr="00B557AF">
          <w:rPr>
            <w:rStyle w:val="Hyperlink"/>
            <w:rFonts w:cs="Arial"/>
            <w:i/>
            <w:iCs/>
          </w:rPr>
          <w:t>Therapeutic Goods (Information Specification—Medicine Shortages and Availability Data) Instrument 2024</w:t>
        </w:r>
      </w:hyperlink>
      <w:r w:rsidR="00B557AF">
        <w:t xml:space="preserve"> ‘came into effect on 13June 2024.</w:t>
      </w:r>
    </w:p>
    <w:p w14:paraId="795CE668" w14:textId="0F5A93AC" w:rsidR="008E20F8" w:rsidRPr="008E20F8" w:rsidRDefault="009336DC" w:rsidP="007406FE">
      <w:r>
        <w:t>T</w:t>
      </w:r>
      <w:r w:rsidR="008E20F8" w:rsidRPr="008E20F8">
        <w:t xml:space="preserve">he instrument </w:t>
      </w:r>
      <w:r w:rsidR="00B557AF">
        <w:t>facilitates</w:t>
      </w:r>
      <w:r w:rsidR="008E20F8" w:rsidRPr="008E20F8">
        <w:t xml:space="preserve"> broader consideration and analysis of medicine availability data, to support the management of medicine shortages and discontinuations.</w:t>
      </w:r>
    </w:p>
    <w:p w14:paraId="7C001752" w14:textId="2F121AC3" w:rsidR="008E20F8" w:rsidRPr="008E20F8" w:rsidRDefault="008E20F8" w:rsidP="007406FE">
      <w:r w:rsidRPr="008E20F8">
        <w:t>The instrument specif</w:t>
      </w:r>
      <w:r w:rsidR="0019695F">
        <w:t>ies</w:t>
      </w:r>
      <w:r w:rsidRPr="008E20F8">
        <w:t xml:space="preserve">: </w:t>
      </w:r>
    </w:p>
    <w:p w14:paraId="2A8B9928" w14:textId="77777777" w:rsidR="008E20F8" w:rsidRPr="008E20F8" w:rsidRDefault="008E20F8" w:rsidP="007406FE">
      <w:pPr>
        <w:pStyle w:val="ListBullet"/>
      </w:pPr>
      <w:r w:rsidRPr="008E20F8">
        <w:t xml:space="preserve">the kinds of </w:t>
      </w:r>
      <w:r w:rsidRPr="007406FE">
        <w:t>information</w:t>
      </w:r>
      <w:r w:rsidRPr="008E20F8">
        <w:t xml:space="preserve"> that the TGA may release to specified persons, bodies, or authorities; and </w:t>
      </w:r>
    </w:p>
    <w:p w14:paraId="487F4A74" w14:textId="72BFAF4D" w:rsidR="008E20F8" w:rsidRDefault="008E20F8" w:rsidP="007406FE">
      <w:pPr>
        <w:pStyle w:val="ListBullet"/>
      </w:pPr>
      <w:r w:rsidRPr="008E20F8">
        <w:t xml:space="preserve">the persons, bodies, or authorities to which that </w:t>
      </w:r>
      <w:r w:rsidRPr="007406FE">
        <w:t>information</w:t>
      </w:r>
      <w:r w:rsidRPr="008E20F8">
        <w:t xml:space="preserve"> may be </w:t>
      </w:r>
      <w:r w:rsidR="008B100F" w:rsidRPr="008E20F8">
        <w:t>released</w:t>
      </w:r>
      <w:r w:rsidR="008B100F">
        <w:t>.</w:t>
      </w:r>
    </w:p>
    <w:p w14:paraId="09B744A1" w14:textId="6EC4F509" w:rsidR="00350CFB" w:rsidRPr="008E20F8" w:rsidRDefault="00350CFB" w:rsidP="007406FE">
      <w:pPr>
        <w:pStyle w:val="ListBullet"/>
      </w:pPr>
      <w:r>
        <w:t xml:space="preserve">the purpose for which the </w:t>
      </w:r>
      <w:r w:rsidRPr="007406FE">
        <w:t>information</w:t>
      </w:r>
      <w:r>
        <w:t xml:space="preserve"> may be released.</w:t>
      </w:r>
    </w:p>
    <w:p w14:paraId="73A4121C" w14:textId="1F12DB47" w:rsidR="008E20F8" w:rsidRPr="006A0BE9" w:rsidRDefault="006A0BE9" w:rsidP="007406FE">
      <w:pPr>
        <w:pStyle w:val="Tabletitle"/>
      </w:pPr>
      <w:r w:rsidRPr="006A0BE9">
        <w:lastRenderedPageBreak/>
        <w:t xml:space="preserve">Table 3: </w:t>
      </w:r>
      <w:r w:rsidRPr="007406FE">
        <w:t>Information</w:t>
      </w:r>
      <w:r w:rsidRPr="006A0BE9">
        <w:t xml:space="preserve"> to be released to persons, </w:t>
      </w:r>
      <w:r w:rsidR="00B92823" w:rsidRPr="006A0BE9">
        <w:t>bodies,</w:t>
      </w:r>
      <w:r w:rsidRPr="006A0BE9">
        <w:t xml:space="preserve"> or authorities</w:t>
      </w:r>
      <w:r w:rsidR="007764F1">
        <w:t>.</w:t>
      </w:r>
    </w:p>
    <w:tbl>
      <w:tblPr>
        <w:tblStyle w:val="TableTGAblue2023"/>
        <w:tblW w:w="5000" w:type="pct"/>
        <w:tblLook w:val="04A0" w:firstRow="1" w:lastRow="0" w:firstColumn="1" w:lastColumn="0" w:noHBand="0" w:noVBand="1"/>
      </w:tblPr>
      <w:tblGrid>
        <w:gridCol w:w="4530"/>
        <w:gridCol w:w="4530"/>
      </w:tblGrid>
      <w:tr w:rsidR="00642357" w14:paraId="550D2FA3" w14:textId="77777777" w:rsidTr="00740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CAD6F8F" w14:textId="463FC7A0" w:rsidR="00642357" w:rsidRPr="00642357" w:rsidRDefault="00642357" w:rsidP="007406FE">
            <w:pPr>
              <w:rPr>
                <w:b w:val="0"/>
              </w:rPr>
            </w:pPr>
            <w:r>
              <w:t>I</w:t>
            </w:r>
            <w:r w:rsidRPr="00EB6C2B">
              <w:t>nformation</w:t>
            </w:r>
            <w:r>
              <w:t xml:space="preserve"> to be released to p</w:t>
            </w:r>
            <w:r w:rsidRPr="00EB6C2B">
              <w:t xml:space="preserve">ersons, </w:t>
            </w:r>
            <w:r w:rsidR="00B92823" w:rsidRPr="00EB6C2B">
              <w:t>bodies,</w:t>
            </w:r>
            <w:r w:rsidRPr="00EB6C2B">
              <w:t xml:space="preserve"> or authorities</w:t>
            </w:r>
          </w:p>
        </w:tc>
      </w:tr>
      <w:tr w:rsidR="00EB6C2B" w14:paraId="3B4D2C82" w14:textId="77777777" w:rsidTr="007406FE">
        <w:tc>
          <w:tcPr>
            <w:cnfStyle w:val="001000000000" w:firstRow="0" w:lastRow="0" w:firstColumn="1" w:lastColumn="0" w:oddVBand="0" w:evenVBand="0" w:oddHBand="0" w:evenHBand="0" w:firstRowFirstColumn="0" w:firstRowLastColumn="0" w:lastRowFirstColumn="0" w:lastRowLastColumn="0"/>
            <w:tcW w:w="2500" w:type="pct"/>
          </w:tcPr>
          <w:p w14:paraId="751A5537" w14:textId="77777777" w:rsidR="00B557AF" w:rsidRPr="00B557AF" w:rsidRDefault="00EB6C2B" w:rsidP="007406FE">
            <w:r w:rsidRPr="00FC5E18">
              <w:rPr>
                <w:bCs/>
              </w:rPr>
              <w:t>Individual data set</w:t>
            </w:r>
            <w:r w:rsidR="00FC5E18" w:rsidRPr="00FC5E18">
              <w:rPr>
                <w:bCs/>
              </w:rPr>
              <w:br/>
            </w:r>
            <w:r w:rsidR="00B557AF" w:rsidRPr="00B557AF">
              <w:t>means any data provided to the TGA by a data source for a medicine that is in shortage, is at risk of being in shortage, or has been permanently discontinued, and includes data about the following:</w:t>
            </w:r>
          </w:p>
          <w:p w14:paraId="64A13483" w14:textId="6EAA8FDD" w:rsidR="00B557AF" w:rsidRPr="00B557AF" w:rsidRDefault="00B557AF" w:rsidP="007406FE">
            <w:r w:rsidRPr="00B557AF">
              <w:t xml:space="preserve">the supply of, or demand for, the </w:t>
            </w:r>
            <w:proofErr w:type="gramStart"/>
            <w:r w:rsidRPr="00B557AF">
              <w:t>medicine;</w:t>
            </w:r>
            <w:proofErr w:type="gramEnd"/>
          </w:p>
          <w:p w14:paraId="1C2FD8F8" w14:textId="1B88F44F" w:rsidR="00B557AF" w:rsidRPr="00B557AF" w:rsidRDefault="00B557AF" w:rsidP="007406FE">
            <w:r w:rsidRPr="00B557AF">
              <w:t>the current and expected availability of the medicine (including the quantity of the medicine</w:t>
            </w:r>
            <w:proofErr w:type="gramStart"/>
            <w:r w:rsidRPr="00B557AF">
              <w:t>);</w:t>
            </w:r>
            <w:proofErr w:type="gramEnd"/>
          </w:p>
          <w:p w14:paraId="75E953AF" w14:textId="1F95849B" w:rsidR="00EB6C2B" w:rsidRDefault="00B557AF" w:rsidP="007406FE">
            <w:r w:rsidRPr="00B557AF">
              <w:rPr>
                <w:sz w:val="20"/>
                <w:szCs w:val="20"/>
              </w:rPr>
              <w:t>when the medicine is expected to become available</w:t>
            </w:r>
            <w:r w:rsidRPr="00B557AF">
              <w:t>.</w:t>
            </w:r>
          </w:p>
        </w:tc>
        <w:tc>
          <w:tcPr>
            <w:tcW w:w="2500" w:type="pct"/>
          </w:tcPr>
          <w:p w14:paraId="2EED7CB5" w14:textId="48B93695" w:rsidR="00EB6C2B" w:rsidRPr="00EB6C2B" w:rsidRDefault="00EB6C2B" w:rsidP="007406FE">
            <w:pPr>
              <w:cnfStyle w:val="000000000000" w:firstRow="0" w:lastRow="0" w:firstColumn="0" w:lastColumn="0" w:oddVBand="0" w:evenVBand="0" w:oddHBand="0" w:evenHBand="0" w:firstRowFirstColumn="0" w:firstRowLastColumn="0" w:lastRowFirstColumn="0" w:lastRowLastColumn="0"/>
            </w:pPr>
            <w:r w:rsidRPr="00EB6C2B">
              <w:t xml:space="preserve">The following persons, </w:t>
            </w:r>
            <w:r w:rsidR="00B92823" w:rsidRPr="00EB6C2B">
              <w:t>bodies,</w:t>
            </w:r>
            <w:r w:rsidRPr="00EB6C2B">
              <w:t xml:space="preserve"> or authorities:</w:t>
            </w:r>
          </w:p>
          <w:p w14:paraId="2F5FBC77" w14:textId="1F8C973F" w:rsidR="002440A3" w:rsidRPr="00F952FE" w:rsidRDefault="00500F77" w:rsidP="007406FE">
            <w:pPr>
              <w:cnfStyle w:val="000000000000" w:firstRow="0" w:lastRow="0" w:firstColumn="0" w:lastColumn="0" w:oddVBand="0" w:evenVBand="0" w:oddHBand="0" w:evenHBand="0" w:firstRowFirstColumn="0" w:firstRowLastColumn="0" w:lastRowFirstColumn="0" w:lastRowLastColumn="0"/>
            </w:pPr>
            <w:r w:rsidRPr="00F952FE">
              <w:t xml:space="preserve">an expert adviser in the </w:t>
            </w:r>
            <w:r w:rsidR="00672E59" w:rsidRPr="00E344A9">
              <w:t xml:space="preserve">Medicine Availability Working Group </w:t>
            </w:r>
            <w:r w:rsidR="00672E59">
              <w:t>(</w:t>
            </w:r>
            <w:r w:rsidRPr="00F952FE">
              <w:t>MAWG</w:t>
            </w:r>
            <w:r w:rsidR="00672E59">
              <w:t>)</w:t>
            </w:r>
            <w:r w:rsidRPr="00F952FE">
              <w:t xml:space="preserve"> (if any)</w:t>
            </w:r>
          </w:p>
          <w:p w14:paraId="133C47C1" w14:textId="45953CEF" w:rsidR="00F823D2" w:rsidRPr="00F952FE" w:rsidRDefault="002440A3" w:rsidP="007406FE">
            <w:pPr>
              <w:cnfStyle w:val="000000000000" w:firstRow="0" w:lastRow="0" w:firstColumn="0" w:lastColumn="0" w:oddVBand="0" w:evenVBand="0" w:oddHBand="0" w:evenHBand="0" w:firstRowFirstColumn="0" w:firstRowLastColumn="0" w:lastRowFirstColumn="0" w:lastRowLastColumn="0"/>
            </w:pPr>
            <w:r w:rsidRPr="00F952FE">
              <w:t xml:space="preserve">the part of the </w:t>
            </w:r>
            <w:r w:rsidR="00672E59">
              <w:t>d</w:t>
            </w:r>
            <w:r w:rsidR="00672E59" w:rsidRPr="00F952FE">
              <w:t xml:space="preserve">epartment </w:t>
            </w:r>
            <w:r w:rsidRPr="00F952FE">
              <w:t>responsible for administering the Pharmaceutical Benefits Scheme</w:t>
            </w:r>
            <w:r w:rsidR="00672E59">
              <w:t xml:space="preserve"> (PBS)</w:t>
            </w:r>
            <w:r w:rsidR="00A71352">
              <w:t>.</w:t>
            </w:r>
          </w:p>
        </w:tc>
      </w:tr>
      <w:tr w:rsidR="00EB6C2B" w14:paraId="41577A80" w14:textId="77777777" w:rsidTr="007406FE">
        <w:tc>
          <w:tcPr>
            <w:cnfStyle w:val="001000000000" w:firstRow="0" w:lastRow="0" w:firstColumn="1" w:lastColumn="0" w:oddVBand="0" w:evenVBand="0" w:oddHBand="0" w:evenHBand="0" w:firstRowFirstColumn="0" w:firstRowLastColumn="0" w:lastRowFirstColumn="0" w:lastRowLastColumn="0"/>
            <w:tcW w:w="2500" w:type="pct"/>
          </w:tcPr>
          <w:p w14:paraId="51865419" w14:textId="428803EC" w:rsidR="00EB6C2B" w:rsidRPr="00EB6C2B" w:rsidRDefault="00F823D2" w:rsidP="007406FE">
            <w:r w:rsidRPr="00FC5E18">
              <w:rPr>
                <w:bCs/>
              </w:rPr>
              <w:t xml:space="preserve">Aggregated </w:t>
            </w:r>
            <w:r w:rsidR="002440A3" w:rsidRPr="00FC5E18">
              <w:rPr>
                <w:bCs/>
              </w:rPr>
              <w:t>data set</w:t>
            </w:r>
            <w:r w:rsidR="002440A3">
              <w:t xml:space="preserve"> </w:t>
            </w:r>
            <w:r w:rsidR="00FC5E18">
              <w:br/>
            </w:r>
            <w:r w:rsidR="00B557AF" w:rsidRPr="00B557AF">
              <w:rPr>
                <w:bCs/>
                <w:iCs/>
              </w:rPr>
              <w:t>means data that is an aggregate of the individual data sets for a medicine from all data sources that provided data to the TGA for the medicine.</w:t>
            </w:r>
          </w:p>
        </w:tc>
        <w:tc>
          <w:tcPr>
            <w:tcW w:w="2500" w:type="pct"/>
          </w:tcPr>
          <w:p w14:paraId="21095DA2" w14:textId="4F611760" w:rsidR="00EB6C2B" w:rsidRPr="00EB6C2B" w:rsidRDefault="00EB6C2B" w:rsidP="007406FE">
            <w:pPr>
              <w:cnfStyle w:val="000000000000" w:firstRow="0" w:lastRow="0" w:firstColumn="0" w:lastColumn="0" w:oddVBand="0" w:evenVBand="0" w:oddHBand="0" w:evenHBand="0" w:firstRowFirstColumn="0" w:firstRowLastColumn="0" w:lastRowFirstColumn="0" w:lastRowLastColumn="0"/>
            </w:pPr>
            <w:r w:rsidRPr="00EB6C2B">
              <w:t xml:space="preserve">The following persons, </w:t>
            </w:r>
            <w:r w:rsidR="00B92823" w:rsidRPr="00EB6C2B">
              <w:t>bodies,</w:t>
            </w:r>
            <w:r w:rsidRPr="00EB6C2B">
              <w:t xml:space="preserve"> or authorities:</w:t>
            </w:r>
          </w:p>
          <w:p w14:paraId="39A1DC11" w14:textId="735EB07A" w:rsidR="002440A3" w:rsidRPr="00F952FE" w:rsidRDefault="00500F77" w:rsidP="007406FE">
            <w:pPr>
              <w:cnfStyle w:val="000000000000" w:firstRow="0" w:lastRow="0" w:firstColumn="0" w:lastColumn="0" w:oddVBand="0" w:evenVBand="0" w:oddHBand="0" w:evenHBand="0" w:firstRowFirstColumn="0" w:firstRowLastColumn="0" w:lastRowFirstColumn="0" w:lastRowLastColumn="0"/>
            </w:pPr>
            <w:r w:rsidRPr="00F952FE">
              <w:t>an expert adviser in the MAWG (if any)</w:t>
            </w:r>
          </w:p>
          <w:p w14:paraId="29551D72" w14:textId="3048D2D9" w:rsidR="00EB6C2B" w:rsidRPr="00F952FE" w:rsidRDefault="002440A3" w:rsidP="007406FE">
            <w:pPr>
              <w:cnfStyle w:val="000000000000" w:firstRow="0" w:lastRow="0" w:firstColumn="0" w:lastColumn="0" w:oddVBand="0" w:evenVBand="0" w:oddHBand="0" w:evenHBand="0" w:firstRowFirstColumn="0" w:firstRowLastColumn="0" w:lastRowFirstColumn="0" w:lastRowLastColumn="0"/>
            </w:pPr>
            <w:r w:rsidRPr="00F952FE">
              <w:t xml:space="preserve">the part of the </w:t>
            </w:r>
            <w:r w:rsidR="00672E59">
              <w:t>d</w:t>
            </w:r>
            <w:r w:rsidR="00672E59" w:rsidRPr="00F952FE">
              <w:t xml:space="preserve">epartment </w:t>
            </w:r>
            <w:r w:rsidRPr="00F952FE">
              <w:t xml:space="preserve">responsible for administering the </w:t>
            </w:r>
            <w:r w:rsidR="00672E59">
              <w:t>PBS</w:t>
            </w:r>
            <w:r w:rsidR="00A71352">
              <w:t>.</w:t>
            </w:r>
          </w:p>
        </w:tc>
      </w:tr>
      <w:tr w:rsidR="002440A3" w14:paraId="633347BD" w14:textId="77777777" w:rsidTr="007406FE">
        <w:tc>
          <w:tcPr>
            <w:cnfStyle w:val="001000000000" w:firstRow="0" w:lastRow="0" w:firstColumn="1" w:lastColumn="0" w:oddVBand="0" w:evenVBand="0" w:oddHBand="0" w:evenHBand="0" w:firstRowFirstColumn="0" w:firstRowLastColumn="0" w:lastRowFirstColumn="0" w:lastRowLastColumn="0"/>
            <w:tcW w:w="2500" w:type="pct"/>
          </w:tcPr>
          <w:p w14:paraId="4397761C" w14:textId="769671D1" w:rsidR="00FC5E18" w:rsidRDefault="002440A3" w:rsidP="007406FE">
            <w:r w:rsidRPr="00500F77">
              <w:rPr>
                <w:bCs/>
              </w:rPr>
              <w:t xml:space="preserve">Aggregated visual </w:t>
            </w:r>
            <w:r w:rsidR="00672E59" w:rsidRPr="00FC5E18">
              <w:rPr>
                <w:bCs/>
              </w:rPr>
              <w:br/>
            </w:r>
            <w:r w:rsidR="00B557AF" w:rsidRPr="00B557AF">
              <w:rPr>
                <w:bCs/>
                <w:iCs/>
              </w:rPr>
              <w:t>means the medicine availability modelling forecast (either in report form, live modelling form or any other form) for a medicine, that is created by the TGA or an expert adviser in the MAWG through the process of running the aggregated data set through a dynamic modelling process to obtain estimates of expected medicine availability.</w:t>
            </w:r>
          </w:p>
        </w:tc>
        <w:tc>
          <w:tcPr>
            <w:tcW w:w="2500" w:type="pct"/>
          </w:tcPr>
          <w:p w14:paraId="1C4A5361" w14:textId="33C68AF0" w:rsidR="004D4A50" w:rsidRDefault="004D4A50" w:rsidP="007406FE">
            <w:pPr>
              <w:cnfStyle w:val="000000000000" w:firstRow="0" w:lastRow="0" w:firstColumn="0" w:lastColumn="0" w:oddVBand="0" w:evenVBand="0" w:oddHBand="0" w:evenHBand="0" w:firstRowFirstColumn="0" w:firstRowLastColumn="0" w:lastRowFirstColumn="0" w:lastRowLastColumn="0"/>
            </w:pPr>
            <w:r w:rsidRPr="004D4A50">
              <w:t>an expert adviser in the MAWG (if any)</w:t>
            </w:r>
          </w:p>
          <w:p w14:paraId="46D000D1" w14:textId="7C59CE3F" w:rsidR="004D4A50" w:rsidRDefault="004D4A50" w:rsidP="007406FE">
            <w:pPr>
              <w:cnfStyle w:val="000000000000" w:firstRow="0" w:lastRow="0" w:firstColumn="0" w:lastColumn="0" w:oddVBand="0" w:evenVBand="0" w:oddHBand="0" w:evenHBand="0" w:firstRowFirstColumn="0" w:firstRowLastColumn="0" w:lastRowFirstColumn="0" w:lastRowLastColumn="0"/>
            </w:pPr>
            <w:r w:rsidRPr="004D4A50">
              <w:t>the part of the department responsible for administering the PBS.</w:t>
            </w:r>
          </w:p>
          <w:p w14:paraId="517264C6" w14:textId="19254B8C" w:rsidR="008F07BD" w:rsidRPr="00F952FE" w:rsidRDefault="008F07BD" w:rsidP="007406FE">
            <w:pPr>
              <w:cnfStyle w:val="000000000000" w:firstRow="0" w:lastRow="0" w:firstColumn="0" w:lastColumn="0" w:oddVBand="0" w:evenVBand="0" w:oddHBand="0" w:evenHBand="0" w:firstRowFirstColumn="0" w:firstRowLastColumn="0" w:lastRowFirstColumn="0" w:lastRowLastColumn="0"/>
            </w:pPr>
            <w:r w:rsidRPr="00F952FE">
              <w:t>The MAWG</w:t>
            </w:r>
          </w:p>
          <w:p w14:paraId="2C90EB74" w14:textId="1A90B70D" w:rsidR="008F07BD" w:rsidRPr="00F952FE" w:rsidRDefault="008F07BD" w:rsidP="007406FE">
            <w:pPr>
              <w:cnfStyle w:val="000000000000" w:firstRow="0" w:lastRow="0" w:firstColumn="0" w:lastColumn="0" w:oddVBand="0" w:evenVBand="0" w:oddHBand="0" w:evenHBand="0" w:firstRowFirstColumn="0" w:firstRowLastColumn="0" w:lastRowFirstColumn="0" w:lastRowLastColumn="0"/>
            </w:pPr>
            <w:r w:rsidRPr="00F952FE">
              <w:t xml:space="preserve">The </w:t>
            </w:r>
            <w:r w:rsidR="00672E59">
              <w:rPr>
                <w:rFonts w:cs="Arial"/>
                <w:szCs w:val="18"/>
              </w:rPr>
              <w:t>Medicine Shortage Action Groups (</w:t>
            </w:r>
            <w:r w:rsidRPr="00F952FE">
              <w:t>MSAG</w:t>
            </w:r>
            <w:r w:rsidR="00672E59">
              <w:t>)</w:t>
            </w:r>
          </w:p>
          <w:p w14:paraId="4EA58DB7" w14:textId="706DFAA7" w:rsidR="008F07BD" w:rsidRPr="00F952FE" w:rsidRDefault="008F07BD" w:rsidP="007406FE">
            <w:pPr>
              <w:cnfStyle w:val="000000000000" w:firstRow="0" w:lastRow="0" w:firstColumn="0" w:lastColumn="0" w:oddVBand="0" w:evenVBand="0" w:oddHBand="0" w:evenHBand="0" w:firstRowFirstColumn="0" w:firstRowLastColumn="0" w:lastRowFirstColumn="0" w:lastRowLastColumn="0"/>
            </w:pPr>
            <w:r w:rsidRPr="00F952FE">
              <w:t>Industry Department (including the Office of Supply Chain Resilience)</w:t>
            </w:r>
          </w:p>
          <w:p w14:paraId="403A97BF" w14:textId="2C0B260B" w:rsidR="008F07BD" w:rsidRPr="00F952FE" w:rsidRDefault="008F07BD" w:rsidP="007406FE">
            <w:pPr>
              <w:cnfStyle w:val="000000000000" w:firstRow="0" w:lastRow="0" w:firstColumn="0" w:lastColumn="0" w:oddVBand="0" w:evenVBand="0" w:oddHBand="0" w:evenHBand="0" w:firstRowFirstColumn="0" w:firstRowLastColumn="0" w:lastRowFirstColumn="0" w:lastRowLastColumn="0"/>
            </w:pPr>
            <w:r w:rsidRPr="00F952FE">
              <w:t>Department of Home Affairs (including Border Force)</w:t>
            </w:r>
          </w:p>
          <w:p w14:paraId="22DC544E" w14:textId="650C2EF2" w:rsidR="008F07BD" w:rsidRPr="00F952FE" w:rsidRDefault="008F07BD" w:rsidP="007406FE">
            <w:pPr>
              <w:cnfStyle w:val="000000000000" w:firstRow="0" w:lastRow="0" w:firstColumn="0" w:lastColumn="0" w:oddVBand="0" w:evenVBand="0" w:oddHBand="0" w:evenHBand="0" w:firstRowFirstColumn="0" w:firstRowLastColumn="0" w:lastRowFirstColumn="0" w:lastRowLastColumn="0"/>
            </w:pPr>
            <w:r w:rsidRPr="00F952FE">
              <w:t>Department of Foreign Affairs and Trade</w:t>
            </w:r>
          </w:p>
          <w:p w14:paraId="249AD6E8" w14:textId="0D65F80C" w:rsidR="002440A3" w:rsidRPr="00F952FE" w:rsidRDefault="008F07BD" w:rsidP="007406FE">
            <w:pPr>
              <w:cnfStyle w:val="000000000000" w:firstRow="0" w:lastRow="0" w:firstColumn="0" w:lastColumn="0" w:oddVBand="0" w:evenVBand="0" w:oddHBand="0" w:evenHBand="0" w:firstRowFirstColumn="0" w:firstRowLastColumn="0" w:lastRowFirstColumn="0" w:lastRowLastColumn="0"/>
            </w:pPr>
            <w:r w:rsidRPr="00F952FE">
              <w:t>National Emergency Management Agency</w:t>
            </w:r>
          </w:p>
        </w:tc>
      </w:tr>
    </w:tbl>
    <w:p w14:paraId="44F1AD60" w14:textId="2D21D33F" w:rsidR="00D50FC0" w:rsidRDefault="008E20F8" w:rsidP="007406FE">
      <w:pPr>
        <w:spacing w:before="240"/>
      </w:pPr>
      <w:r>
        <w:t xml:space="preserve">The instrument </w:t>
      </w:r>
      <w:r w:rsidR="00386354">
        <w:t>specifies</w:t>
      </w:r>
      <w:r w:rsidR="00492BF4">
        <w:t xml:space="preserve"> </w:t>
      </w:r>
      <w:r>
        <w:t>the kinds of information that the TGA may release to the public, with a view to facilitating greater public awareness of medicine shortages and discontinuations across Australia</w:t>
      </w:r>
      <w:r w:rsidR="00622AFF">
        <w:t xml:space="preserve"> and key information about how the shortage is being managed</w:t>
      </w:r>
      <w:r>
        <w:t>.</w:t>
      </w:r>
    </w:p>
    <w:p w14:paraId="5243FE1C" w14:textId="4D484C3C" w:rsidR="006A0BE9" w:rsidRPr="008563E1" w:rsidRDefault="006A0BE9" w:rsidP="007406FE">
      <w:pPr>
        <w:pStyle w:val="Tabletitle"/>
      </w:pPr>
      <w:r w:rsidRPr="008563E1">
        <w:t>Table 4: Information to be released to the public</w:t>
      </w:r>
      <w:r w:rsidR="007764F1">
        <w:t>.</w:t>
      </w:r>
    </w:p>
    <w:tbl>
      <w:tblPr>
        <w:tblStyle w:val="TableTGAblue2023"/>
        <w:tblW w:w="5000" w:type="pct"/>
        <w:tblLook w:val="04A0" w:firstRow="1" w:lastRow="0" w:firstColumn="1" w:lastColumn="0" w:noHBand="0" w:noVBand="1"/>
      </w:tblPr>
      <w:tblGrid>
        <w:gridCol w:w="9060"/>
      </w:tblGrid>
      <w:tr w:rsidR="00CE6049" w14:paraId="6016C3F5" w14:textId="77777777" w:rsidTr="0025627F">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000" w:type="pct"/>
          </w:tcPr>
          <w:p w14:paraId="297AA7AA" w14:textId="6E113486" w:rsidR="00CE6049" w:rsidRDefault="00CE6049" w:rsidP="00C64ED4">
            <w:r>
              <w:t>I</w:t>
            </w:r>
            <w:r w:rsidRPr="00EB6C2B">
              <w:t>nformation</w:t>
            </w:r>
            <w:r>
              <w:t xml:space="preserve"> to be released to the public</w:t>
            </w:r>
          </w:p>
        </w:tc>
      </w:tr>
      <w:tr w:rsidR="00CE6049" w14:paraId="1BE2A1B7" w14:textId="77777777" w:rsidTr="0025627F">
        <w:trPr>
          <w:cantSplit w:val="0"/>
        </w:trPr>
        <w:tc>
          <w:tcPr>
            <w:cnfStyle w:val="001000000000" w:firstRow="0" w:lastRow="0" w:firstColumn="1" w:lastColumn="0" w:oddVBand="0" w:evenVBand="0" w:oddHBand="0" w:evenHBand="0" w:firstRowFirstColumn="0" w:firstRowLastColumn="0" w:lastRowFirstColumn="0" w:lastRowLastColumn="0"/>
            <w:tcW w:w="5000" w:type="pct"/>
          </w:tcPr>
          <w:p w14:paraId="7A639D9C" w14:textId="146A632A" w:rsidR="00B557AF" w:rsidRPr="00426D65" w:rsidRDefault="00B557AF" w:rsidP="007406FE">
            <w:pPr>
              <w:pStyle w:val="ListBullet"/>
            </w:pPr>
            <w:r w:rsidRPr="00426D65">
              <w:t>information about a medicine, and the availability of the medicine, including</w:t>
            </w:r>
            <w:r w:rsidR="005F3580" w:rsidRPr="00426D65">
              <w:t>:</w:t>
            </w:r>
          </w:p>
          <w:p w14:paraId="208E6D1C" w14:textId="4142D028" w:rsidR="00B557AF" w:rsidRPr="00B557AF" w:rsidRDefault="00B557AF" w:rsidP="007406FE">
            <w:pPr>
              <w:pStyle w:val="Numberbullet2"/>
            </w:pPr>
            <w:r w:rsidRPr="00B557AF">
              <w:t xml:space="preserve">the sponsor of the </w:t>
            </w:r>
            <w:proofErr w:type="gramStart"/>
            <w:r w:rsidRPr="00B557AF">
              <w:t>medicine;</w:t>
            </w:r>
            <w:proofErr w:type="gramEnd"/>
          </w:p>
          <w:p w14:paraId="00B51CE1" w14:textId="3AF6F8AA" w:rsidR="00B557AF" w:rsidRPr="00B557AF" w:rsidRDefault="00B557AF" w:rsidP="007406FE">
            <w:pPr>
              <w:pStyle w:val="Numberbullet2"/>
            </w:pPr>
            <w:r w:rsidRPr="00B557AF">
              <w:t xml:space="preserve">the date when, or period within which, a shortage or discontinuation of the medicine is expected to commence, and the anticipated period of the </w:t>
            </w:r>
            <w:proofErr w:type="gramStart"/>
            <w:r w:rsidRPr="00B557AF">
              <w:t>shortage;</w:t>
            </w:r>
            <w:proofErr w:type="gramEnd"/>
          </w:p>
          <w:p w14:paraId="061A9183" w14:textId="016EAF6B" w:rsidR="00B557AF" w:rsidRPr="00B557AF" w:rsidRDefault="00B557AF" w:rsidP="007406FE">
            <w:pPr>
              <w:pStyle w:val="Numberbullet2"/>
            </w:pPr>
            <w:r w:rsidRPr="00B557AF">
              <w:t>the estimated proportion of national demand for the medicine that is available (including if none is available</w:t>
            </w:r>
            <w:proofErr w:type="gramStart"/>
            <w:r w:rsidRPr="00B557AF">
              <w:t>);</w:t>
            </w:r>
            <w:proofErr w:type="gramEnd"/>
          </w:p>
          <w:p w14:paraId="59385924" w14:textId="0939886B" w:rsidR="00B557AF" w:rsidRPr="00B557AF" w:rsidRDefault="00B557AF" w:rsidP="007406FE">
            <w:pPr>
              <w:pStyle w:val="Numberbullet2"/>
            </w:pPr>
            <w:r w:rsidRPr="00B557AF">
              <w:t>the estimated proportion of the usual or expected supply of the medicine that is available (including if none is available</w:t>
            </w:r>
            <w:proofErr w:type="gramStart"/>
            <w:r w:rsidRPr="00B557AF">
              <w:t>);</w:t>
            </w:r>
            <w:proofErr w:type="gramEnd"/>
          </w:p>
          <w:p w14:paraId="34536BE8" w14:textId="6274B543" w:rsidR="00B557AF" w:rsidRPr="00B557AF" w:rsidRDefault="00B557AF" w:rsidP="007406FE">
            <w:pPr>
              <w:pStyle w:val="Numberbullet2"/>
            </w:pPr>
            <w:r w:rsidRPr="00B557AF">
              <w:t xml:space="preserve">the predicted future supply and availability of the medicine over </w:t>
            </w:r>
            <w:proofErr w:type="gramStart"/>
            <w:r w:rsidRPr="00B557AF">
              <w:t>time;</w:t>
            </w:r>
            <w:proofErr w:type="gramEnd"/>
          </w:p>
          <w:p w14:paraId="3A294276" w14:textId="77777777" w:rsidR="00CE6049" w:rsidRDefault="00B557AF" w:rsidP="007406FE">
            <w:pPr>
              <w:pStyle w:val="Numberbullet2"/>
            </w:pPr>
            <w:r w:rsidRPr="00B557AF">
              <w:t>the estimated supply deficit of the medicine</w:t>
            </w:r>
            <w:r w:rsidR="00A71352">
              <w:t>.</w:t>
            </w:r>
          </w:p>
          <w:p w14:paraId="5C9BDBFB" w14:textId="77777777" w:rsidR="00030E46" w:rsidRDefault="00B557AF" w:rsidP="00833B68">
            <w:pPr>
              <w:pStyle w:val="ListBullet"/>
            </w:pPr>
            <w:r w:rsidRPr="00030E46">
              <w:t xml:space="preserve">information </w:t>
            </w:r>
            <w:r w:rsidRPr="007406FE">
              <w:t>about</w:t>
            </w:r>
            <w:r w:rsidRPr="00030E46">
              <w:t xml:space="preserve"> the predicted impact of a </w:t>
            </w:r>
            <w:r w:rsidRPr="00833B68">
              <w:t>shortage</w:t>
            </w:r>
            <w:r w:rsidRPr="00030E46">
              <w:t xml:space="preserve"> or discontinuation of a medicine, and recommended measures to potentially limit the impact of the shortage or </w:t>
            </w:r>
            <w:r w:rsidR="00B92823" w:rsidRPr="00030E46">
              <w:t>discontinuation.</w:t>
            </w:r>
          </w:p>
          <w:p w14:paraId="429BB56E" w14:textId="0C315BCF" w:rsidR="00B557AF" w:rsidRPr="00030E46" w:rsidRDefault="00B557AF" w:rsidP="00833B68">
            <w:pPr>
              <w:pStyle w:val="ListBullet"/>
            </w:pPr>
            <w:r w:rsidRPr="00030E46">
              <w:lastRenderedPageBreak/>
              <w:t xml:space="preserve">information about </w:t>
            </w:r>
            <w:r w:rsidRPr="007406FE">
              <w:t>an</w:t>
            </w:r>
            <w:r w:rsidRPr="00030E46">
              <w:t xml:space="preserve"> </w:t>
            </w:r>
            <w:r w:rsidRPr="00833B68">
              <w:t>alternative</w:t>
            </w:r>
            <w:r w:rsidRPr="00030E46">
              <w:t xml:space="preserve"> treatment, and the availability of the alternative treatment, including:</w:t>
            </w:r>
          </w:p>
          <w:p w14:paraId="1C05C021" w14:textId="35EF0A5C" w:rsidR="00B557AF" w:rsidRPr="007406FE" w:rsidRDefault="00B557AF" w:rsidP="007406FE">
            <w:pPr>
              <w:pStyle w:val="Numberbullet2"/>
              <w:numPr>
                <w:ilvl w:val="1"/>
                <w:numId w:val="38"/>
              </w:numPr>
            </w:pPr>
            <w:r w:rsidRPr="007406FE">
              <w:t xml:space="preserve">the sponsor of the alternative </w:t>
            </w:r>
            <w:r w:rsidR="00B92823" w:rsidRPr="007406FE">
              <w:t>treatment.</w:t>
            </w:r>
          </w:p>
          <w:p w14:paraId="5B53E80D" w14:textId="618087C0" w:rsidR="00B557AF" w:rsidRPr="0025627F" w:rsidRDefault="00B557AF" w:rsidP="007406FE">
            <w:pPr>
              <w:pStyle w:val="Numberbullet2"/>
            </w:pPr>
            <w:r w:rsidRPr="0025627F">
              <w:t>the predicted future supply and availability of the alternative treatment over time</w:t>
            </w:r>
          </w:p>
          <w:p w14:paraId="19E5F0F4" w14:textId="506B07B7" w:rsidR="00B557AF" w:rsidRPr="0025627F" w:rsidRDefault="00B557AF" w:rsidP="00833B68">
            <w:pPr>
              <w:pStyle w:val="ListBullet"/>
            </w:pPr>
            <w:r w:rsidRPr="0025627F">
              <w:t>information about the predicted impact of usage of alternative treatments, or implementation of recommended measures to potentially limit the impact of a shortage or discontinuation of a medicine, including:</w:t>
            </w:r>
          </w:p>
          <w:p w14:paraId="75A87EF8" w14:textId="1AA305B5" w:rsidR="00B557AF" w:rsidRPr="00833B68" w:rsidRDefault="00B557AF" w:rsidP="00833B68">
            <w:pPr>
              <w:pStyle w:val="Numberbullet2"/>
              <w:numPr>
                <w:ilvl w:val="1"/>
                <w:numId w:val="39"/>
              </w:numPr>
            </w:pPr>
            <w:r w:rsidRPr="00833B68">
              <w:t xml:space="preserve">the predicted impact (if any) on supply of the medicine that is in shortage or </w:t>
            </w:r>
            <w:proofErr w:type="gramStart"/>
            <w:r w:rsidRPr="00833B68">
              <w:t>discontinued;</w:t>
            </w:r>
            <w:proofErr w:type="gramEnd"/>
          </w:p>
          <w:p w14:paraId="19A5DE9E" w14:textId="1EF80484" w:rsidR="00B557AF" w:rsidRPr="00A71352" w:rsidRDefault="00B557AF" w:rsidP="00833B68">
            <w:pPr>
              <w:pStyle w:val="Numberbullet2"/>
            </w:pPr>
            <w:r w:rsidRPr="0025627F">
              <w:t>the predicted impact (if any) of usage of the alternative treatment on the availability of the alternative treatment</w:t>
            </w:r>
          </w:p>
        </w:tc>
      </w:tr>
    </w:tbl>
    <w:p w14:paraId="2E5D5EB7" w14:textId="10CB8BE8" w:rsidR="00DB3C97" w:rsidRPr="00062F64" w:rsidRDefault="00947B2D" w:rsidP="00833B68">
      <w:pPr>
        <w:pStyle w:val="Heading4"/>
      </w:pPr>
      <w:bookmarkStart w:id="55" w:name="_Hlk139462154"/>
      <w:bookmarkStart w:id="56" w:name="_Toc175574140"/>
      <w:r w:rsidRPr="00062F64">
        <w:lastRenderedPageBreak/>
        <w:t xml:space="preserve">Release of related information under </w:t>
      </w:r>
      <w:r w:rsidRPr="00833B68">
        <w:t>an</w:t>
      </w:r>
      <w:r w:rsidRPr="00062F64">
        <w:t xml:space="preserve"> existing framework</w:t>
      </w:r>
      <w:bookmarkEnd w:id="56"/>
    </w:p>
    <w:bookmarkEnd w:id="55"/>
    <w:p w14:paraId="0785F4F3" w14:textId="1AF28F67" w:rsidR="004F40FC" w:rsidRDefault="5886AA3A" w:rsidP="00833B68">
      <w:pPr>
        <w:rPr>
          <w:i/>
          <w:iCs/>
        </w:rPr>
      </w:pPr>
      <w:r>
        <w:t xml:space="preserve">In addition to information received under this </w:t>
      </w:r>
      <w:r w:rsidR="008F07BD">
        <w:t>data</w:t>
      </w:r>
      <w:r w:rsidR="00D65BF0">
        <w:t>-</w:t>
      </w:r>
      <w:r w:rsidR="008F07BD">
        <w:t>sharing process</w:t>
      </w:r>
      <w:r w:rsidR="2F7A0225">
        <w:t>,</w:t>
      </w:r>
      <w:r>
        <w:t xml:space="preserve"> the TGA already holds and releases related information to the </w:t>
      </w:r>
      <w:r w:rsidR="47BED020">
        <w:t>public. Under</w:t>
      </w:r>
      <w:r w:rsidR="1CFF8F34">
        <w:t xml:space="preserve"> the</w:t>
      </w:r>
      <w:r w:rsidR="00382D54">
        <w:t xml:space="preserve"> Act</w:t>
      </w:r>
      <w:r w:rsidR="1CFF8F34">
        <w:t>, the Secretary of the Department of Health</w:t>
      </w:r>
      <w:r w:rsidR="1B156F64">
        <w:t xml:space="preserve"> and Aged Care</w:t>
      </w:r>
      <w:r w:rsidR="1CFF8F34">
        <w:t xml:space="preserve"> may release therapeutic </w:t>
      </w:r>
      <w:r w:rsidR="5FD748C8">
        <w:t>g</w:t>
      </w:r>
      <w:r w:rsidR="1CFF8F34">
        <w:t xml:space="preserve">oods information </w:t>
      </w:r>
      <w:r w:rsidR="229B547D">
        <w:t xml:space="preserve">set out in </w:t>
      </w:r>
      <w:r w:rsidR="229B547D" w:rsidRPr="001B717E">
        <w:rPr>
          <w:rFonts w:cs="Arial"/>
        </w:rPr>
        <w:t xml:space="preserve">the </w:t>
      </w:r>
      <w:bookmarkStart w:id="57" w:name="_Hlk142480144"/>
      <w:r w:rsidR="229B547D" w:rsidRPr="001B717E">
        <w:rPr>
          <w:rFonts w:cs="Arial"/>
          <w:i/>
          <w:iCs/>
        </w:rPr>
        <w:t xml:space="preserve">Therapeutic Goods </w:t>
      </w:r>
      <w:hyperlink r:id="rId26">
        <w:r w:rsidR="229B547D" w:rsidRPr="00526247">
          <w:rPr>
            <w:rStyle w:val="Hyperlink"/>
            <w:rFonts w:cs="Arial"/>
            <w:i/>
            <w:iCs/>
          </w:rPr>
          <w:t>(Information relating to Shortages and Discontinuations of Supply of Medicines</w:t>
        </w:r>
      </w:hyperlink>
      <w:r w:rsidR="229B547D" w:rsidRPr="001B717E">
        <w:rPr>
          <w:rFonts w:cs="Arial"/>
          <w:i/>
          <w:iCs/>
        </w:rPr>
        <w:t>) Specification</w:t>
      </w:r>
      <w:r w:rsidR="229B547D" w:rsidRPr="4D98A817">
        <w:rPr>
          <w:i/>
          <w:iCs/>
        </w:rPr>
        <w:t xml:space="preserve"> 2018</w:t>
      </w:r>
      <w:bookmarkEnd w:id="57"/>
      <w:r w:rsidR="229B547D" w:rsidRPr="4D98A817">
        <w:rPr>
          <w:i/>
          <w:iCs/>
        </w:rPr>
        <w:t>.</w:t>
      </w:r>
    </w:p>
    <w:p w14:paraId="737CE40D" w14:textId="34C268F8" w:rsidR="00E577DD" w:rsidRDefault="229B547D" w:rsidP="00833B68">
      <w:r>
        <w:t xml:space="preserve">The </w:t>
      </w:r>
      <w:r w:rsidR="2A257554">
        <w:t>t</w:t>
      </w:r>
      <w:r>
        <w:t xml:space="preserve">herapeutic </w:t>
      </w:r>
      <w:r w:rsidR="1022853F">
        <w:t>g</w:t>
      </w:r>
      <w:r>
        <w:t>oods information</w:t>
      </w:r>
      <w:r w:rsidR="00381C2A">
        <w:t xml:space="preserve"> that</w:t>
      </w:r>
      <w:r>
        <w:t xml:space="preserve"> </w:t>
      </w:r>
      <w:r w:rsidR="15A90CD3">
        <w:t>is</w:t>
      </w:r>
      <w:r w:rsidR="47C1670B">
        <w:t xml:space="preserve"> routinely </w:t>
      </w:r>
      <w:r w:rsidR="15A90CD3">
        <w:t xml:space="preserve">published </w:t>
      </w:r>
      <w:r w:rsidR="47C1670B">
        <w:t xml:space="preserve">in the Medicine Shortage </w:t>
      </w:r>
      <w:r w:rsidR="1609AFA8">
        <w:t xml:space="preserve">Reports </w:t>
      </w:r>
      <w:r w:rsidR="47C1670B">
        <w:t xml:space="preserve">Database </w:t>
      </w:r>
      <w:r w:rsidR="15A90CD3">
        <w:t xml:space="preserve">on </w:t>
      </w:r>
      <w:r w:rsidR="545F16D2">
        <w:t xml:space="preserve">the TGA </w:t>
      </w:r>
      <w:r w:rsidR="15A90CD3">
        <w:t>website</w:t>
      </w:r>
      <w:r w:rsidR="00492BF4">
        <w:t>,</w:t>
      </w:r>
      <w:r w:rsidR="15A90CD3">
        <w:t xml:space="preserve"> in relation to medicine shortages</w:t>
      </w:r>
      <w:r w:rsidR="4534C824">
        <w:t xml:space="preserve"> and discontinuations</w:t>
      </w:r>
      <w:r w:rsidR="15A90CD3">
        <w:t xml:space="preserve"> and their management</w:t>
      </w:r>
      <w:r w:rsidR="00492BF4">
        <w:t>,</w:t>
      </w:r>
      <w:r w:rsidR="00381C2A">
        <w:t xml:space="preserve"> is included in this Specification</w:t>
      </w:r>
      <w:r>
        <w:t>.</w:t>
      </w:r>
    </w:p>
    <w:p w14:paraId="45433BF9" w14:textId="6908B5DE" w:rsidR="00D2478C" w:rsidRDefault="00D2478C" w:rsidP="00833B68">
      <w:pPr>
        <w:pStyle w:val="Heading4"/>
      </w:pPr>
      <w:bookmarkStart w:id="58" w:name="_Toc175574141"/>
      <w:r w:rsidRPr="00833B68">
        <w:t>Confidentiality</w:t>
      </w:r>
      <w:bookmarkEnd w:id="58"/>
    </w:p>
    <w:p w14:paraId="577D8025" w14:textId="1BCCFC58" w:rsidR="006446E1" w:rsidRDefault="00D2478C" w:rsidP="00833B68">
      <w:r>
        <w:t xml:space="preserve">The data is classified for official use. </w:t>
      </w:r>
      <w:r w:rsidR="00155527">
        <w:t xml:space="preserve">The TGA </w:t>
      </w:r>
      <w:r w:rsidR="00017DE7">
        <w:t>recognise</w:t>
      </w:r>
      <w:r w:rsidR="00155527">
        <w:t>s</w:t>
      </w:r>
      <w:r w:rsidR="00017DE7">
        <w:t xml:space="preserve"> that</w:t>
      </w:r>
      <w:r w:rsidR="00155527">
        <w:t xml:space="preserve"> information provided under </w:t>
      </w:r>
      <w:r w:rsidR="00E733E5">
        <w:t>this Framework</w:t>
      </w:r>
      <w:r w:rsidR="00155527">
        <w:t xml:space="preserve"> may be</w:t>
      </w:r>
      <w:r w:rsidR="00017DE7">
        <w:t xml:space="preserve"> commercial</w:t>
      </w:r>
      <w:r w:rsidR="001058C6">
        <w:t>-</w:t>
      </w:r>
      <w:r w:rsidR="00017DE7">
        <w:t>in</w:t>
      </w:r>
      <w:r w:rsidR="001058C6">
        <w:t>-</w:t>
      </w:r>
      <w:r w:rsidR="00017DE7">
        <w:t>confiden</w:t>
      </w:r>
      <w:r w:rsidR="00993B11">
        <w:t>ce</w:t>
      </w:r>
      <w:r w:rsidR="00947B2D">
        <w:t xml:space="preserve"> information and </w:t>
      </w:r>
      <w:r w:rsidR="00155527">
        <w:t xml:space="preserve">will be </w:t>
      </w:r>
      <w:r w:rsidR="00947B2D">
        <w:t>treated as such</w:t>
      </w:r>
      <w:r w:rsidR="00155527">
        <w:t>. This information</w:t>
      </w:r>
      <w:r w:rsidR="009E6886">
        <w:t xml:space="preserve"> will only be released when </w:t>
      </w:r>
      <w:r w:rsidR="004D4A50">
        <w:t xml:space="preserve">the data provider </w:t>
      </w:r>
      <w:r w:rsidR="009E6886">
        <w:t xml:space="preserve">has consented and in accordance with </w:t>
      </w:r>
      <w:r w:rsidR="00E733E5">
        <w:t>the Framework</w:t>
      </w:r>
      <w:r w:rsidR="009E6886">
        <w:t>.</w:t>
      </w:r>
      <w:r w:rsidR="006446E1">
        <w:t xml:space="preserve"> </w:t>
      </w:r>
    </w:p>
    <w:p w14:paraId="1C53EE0E" w14:textId="03291D45" w:rsidR="00796425" w:rsidRDefault="00AE4359" w:rsidP="00833B68">
      <w:pPr>
        <w:pStyle w:val="Heading3"/>
      </w:pPr>
      <w:bookmarkStart w:id="59" w:name="_Toc175574142"/>
      <w:r>
        <w:t xml:space="preserve">Fictitious case study – our process </w:t>
      </w:r>
      <w:proofErr w:type="gramStart"/>
      <w:r>
        <w:t>applied</w:t>
      </w:r>
      <w:bookmarkEnd w:id="59"/>
      <w:proofErr w:type="gramEnd"/>
    </w:p>
    <w:p w14:paraId="1BC0A061" w14:textId="7031B4C6" w:rsidR="006A0BE9" w:rsidRDefault="00796425" w:rsidP="00833B68">
      <w:pPr>
        <w:pStyle w:val="ListBullet"/>
      </w:pPr>
      <w:r>
        <w:t xml:space="preserve">The TGA becomes aware of a </w:t>
      </w:r>
      <w:r w:rsidR="006A0BE9">
        <w:t xml:space="preserve">national </w:t>
      </w:r>
      <w:r>
        <w:t xml:space="preserve">shortage </w:t>
      </w:r>
      <w:r w:rsidR="006A0BE9">
        <w:t>for a medicine used in the hospital setting. We are concerned medicine availability may</w:t>
      </w:r>
      <w:r>
        <w:t xml:space="preserve"> not be adequately managed with conventional measures. We apply </w:t>
      </w:r>
      <w:hyperlink w:anchor="_Our_data_sharing" w:history="1">
        <w:r w:rsidRPr="006A0BE9">
          <w:rPr>
            <w:rStyle w:val="Hyperlink"/>
          </w:rPr>
          <w:t>the criteria</w:t>
        </w:r>
      </w:hyperlink>
      <w:r w:rsidR="006A0BE9">
        <w:t xml:space="preserve"> to determine if the shortage triggers an information request to inform modelling availability. </w:t>
      </w:r>
      <w:r w:rsidR="00DA6247">
        <w:t>The</w:t>
      </w:r>
      <w:r w:rsidR="00AE4359">
        <w:t xml:space="preserve"> </w:t>
      </w:r>
      <w:r w:rsidR="00FC4D3C">
        <w:t xml:space="preserve">medicine </w:t>
      </w:r>
      <w:r w:rsidR="00AE4359">
        <w:t xml:space="preserve">shortage </w:t>
      </w:r>
      <w:r w:rsidR="00DA6247">
        <w:t>in this scenario</w:t>
      </w:r>
      <w:r w:rsidR="00AE4359">
        <w:t xml:space="preserve"> meets all </w:t>
      </w:r>
      <w:hyperlink w:anchor="_Our_data_sharing" w:history="1">
        <w:r w:rsidR="00AE4359" w:rsidRPr="00DA6247">
          <w:rPr>
            <w:rStyle w:val="Hyperlink"/>
          </w:rPr>
          <w:t>criteria</w:t>
        </w:r>
      </w:hyperlink>
      <w:r w:rsidR="006A0BE9">
        <w:rPr>
          <w:rStyle w:val="Hyperlink"/>
        </w:rPr>
        <w:t>.</w:t>
      </w:r>
    </w:p>
    <w:p w14:paraId="755F6F2F" w14:textId="5EE07F55" w:rsidR="006A0BE9" w:rsidRDefault="00AE4359" w:rsidP="00833B68">
      <w:pPr>
        <w:pStyle w:val="ListBullet"/>
      </w:pPr>
      <w:r>
        <w:t xml:space="preserve">TGA sends a request for information </w:t>
      </w:r>
      <w:r w:rsidR="00AC61B6">
        <w:t xml:space="preserve">on supply and </w:t>
      </w:r>
      <w:r w:rsidR="00AC61B6" w:rsidRPr="00833B68">
        <w:t>demand</w:t>
      </w:r>
      <w:r w:rsidR="00AC61B6">
        <w:t xml:space="preserve"> data to each </w:t>
      </w:r>
      <w:r w:rsidR="006A0BE9">
        <w:t xml:space="preserve">data provider </w:t>
      </w:r>
      <w:r>
        <w:t xml:space="preserve">as </w:t>
      </w:r>
      <w:r w:rsidR="006A0BE9">
        <w:t>shown below.</w:t>
      </w:r>
    </w:p>
    <w:p w14:paraId="0B0EE8F8" w14:textId="0F3A5E82" w:rsidR="008563E1" w:rsidRPr="008563E1" w:rsidRDefault="008563E1" w:rsidP="00833B68">
      <w:pPr>
        <w:pStyle w:val="Tabletitle"/>
      </w:pPr>
      <w:r w:rsidRPr="008563E1">
        <w:t xml:space="preserve">Table 5: Type of </w:t>
      </w:r>
      <w:r w:rsidRPr="00833B68">
        <w:t>information</w:t>
      </w:r>
      <w:r w:rsidRPr="008563E1">
        <w:t xml:space="preserve"> requested from data providers</w:t>
      </w:r>
      <w:r w:rsidR="007764F1">
        <w:t>.</w:t>
      </w:r>
    </w:p>
    <w:tbl>
      <w:tblPr>
        <w:tblStyle w:val="TableTGAblue2023"/>
        <w:tblW w:w="0" w:type="auto"/>
        <w:tblLook w:val="04A0" w:firstRow="1" w:lastRow="0" w:firstColumn="1" w:lastColumn="0" w:noHBand="0" w:noVBand="1"/>
      </w:tblPr>
      <w:tblGrid>
        <w:gridCol w:w="4530"/>
        <w:gridCol w:w="4530"/>
      </w:tblGrid>
      <w:tr w:rsidR="00AE4359" w14:paraId="0224F7C6" w14:textId="77777777" w:rsidTr="00833B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DDCDAE3" w14:textId="77777777" w:rsidR="00AE4359" w:rsidRPr="00AE4359" w:rsidRDefault="00AE4359" w:rsidP="00833B68">
            <w:pPr>
              <w:rPr>
                <w:b w:val="0"/>
              </w:rPr>
            </w:pPr>
            <w:r w:rsidRPr="00AE4359">
              <w:t xml:space="preserve">Entity </w:t>
            </w:r>
          </w:p>
        </w:tc>
        <w:tc>
          <w:tcPr>
            <w:tcW w:w="4530" w:type="dxa"/>
          </w:tcPr>
          <w:p w14:paraId="6CC5FA6C" w14:textId="77777777" w:rsidR="00AE4359" w:rsidRPr="00AE4359" w:rsidRDefault="00AE4359" w:rsidP="00833B68">
            <w:pPr>
              <w:cnfStyle w:val="100000000000" w:firstRow="1" w:lastRow="0" w:firstColumn="0" w:lastColumn="0" w:oddVBand="0" w:evenVBand="0" w:oddHBand="0" w:evenHBand="0" w:firstRowFirstColumn="0" w:firstRowLastColumn="0" w:lastRowFirstColumn="0" w:lastRowLastColumn="0"/>
              <w:rPr>
                <w:b w:val="0"/>
              </w:rPr>
            </w:pPr>
            <w:r w:rsidRPr="00AE4359">
              <w:t xml:space="preserve">Type of information requested </w:t>
            </w:r>
          </w:p>
        </w:tc>
      </w:tr>
      <w:tr w:rsidR="00F508AF" w14:paraId="6C6E436A" w14:textId="77777777" w:rsidTr="00833B68">
        <w:trPr>
          <w:trHeight w:val="161"/>
        </w:trPr>
        <w:tc>
          <w:tcPr>
            <w:cnfStyle w:val="001000000000" w:firstRow="0" w:lastRow="0" w:firstColumn="1" w:lastColumn="0" w:oddVBand="0" w:evenVBand="0" w:oddHBand="0" w:evenHBand="0" w:firstRowFirstColumn="0" w:firstRowLastColumn="0" w:lastRowFirstColumn="0" w:lastRowLastColumn="0"/>
            <w:tcW w:w="4530" w:type="dxa"/>
            <w:vMerge w:val="restart"/>
          </w:tcPr>
          <w:p w14:paraId="5F422831" w14:textId="77777777" w:rsidR="00F508AF" w:rsidRPr="00184460" w:rsidRDefault="00F508AF" w:rsidP="00833B68">
            <w:pPr>
              <w:rPr>
                <w:szCs w:val="18"/>
              </w:rPr>
            </w:pPr>
            <w:r w:rsidRPr="00184460">
              <w:rPr>
                <w:szCs w:val="18"/>
              </w:rPr>
              <w:t xml:space="preserve">State and territory jurisdictions </w:t>
            </w:r>
          </w:p>
        </w:tc>
        <w:tc>
          <w:tcPr>
            <w:tcW w:w="4530" w:type="dxa"/>
          </w:tcPr>
          <w:p w14:paraId="080CC1AA" w14:textId="06D33C6B" w:rsidR="00F508AF" w:rsidRPr="00184460" w:rsidRDefault="006A0BE9" w:rsidP="00833B68">
            <w:pPr>
              <w:cnfStyle w:val="000000000000" w:firstRow="0" w:lastRow="0" w:firstColumn="0" w:lastColumn="0" w:oddVBand="0" w:evenVBand="0" w:oddHBand="0" w:evenHBand="0" w:firstRowFirstColumn="0" w:firstRowLastColumn="0" w:lastRowFirstColumn="0" w:lastRowLastColumn="0"/>
              <w:rPr>
                <w:szCs w:val="18"/>
              </w:rPr>
            </w:pPr>
            <w:r>
              <w:rPr>
                <w:szCs w:val="18"/>
              </w:rPr>
              <w:t xml:space="preserve">Hospital </w:t>
            </w:r>
            <w:r w:rsidR="00763A68">
              <w:rPr>
                <w:szCs w:val="18"/>
              </w:rPr>
              <w:t>s</w:t>
            </w:r>
            <w:r w:rsidR="00F508AF" w:rsidRPr="00184460">
              <w:rPr>
                <w:szCs w:val="18"/>
              </w:rPr>
              <w:t xml:space="preserve">tock on hand </w:t>
            </w:r>
            <w:r w:rsidR="00CC1021">
              <w:rPr>
                <w:szCs w:val="18"/>
              </w:rPr>
              <w:t>(e.g. 500 units)</w:t>
            </w:r>
          </w:p>
        </w:tc>
      </w:tr>
      <w:tr w:rsidR="00F508AF" w14:paraId="71A9EC30" w14:textId="77777777" w:rsidTr="00833B68">
        <w:trPr>
          <w:trHeight w:val="107"/>
        </w:trPr>
        <w:tc>
          <w:tcPr>
            <w:cnfStyle w:val="001000000000" w:firstRow="0" w:lastRow="0" w:firstColumn="1" w:lastColumn="0" w:oddVBand="0" w:evenVBand="0" w:oddHBand="0" w:evenHBand="0" w:firstRowFirstColumn="0" w:firstRowLastColumn="0" w:lastRowFirstColumn="0" w:lastRowLastColumn="0"/>
            <w:tcW w:w="4530" w:type="dxa"/>
            <w:vMerge/>
          </w:tcPr>
          <w:p w14:paraId="5D1D1D3C" w14:textId="77777777" w:rsidR="00F508AF" w:rsidRPr="00184460" w:rsidRDefault="00F508AF" w:rsidP="00833B68">
            <w:pPr>
              <w:rPr>
                <w:szCs w:val="18"/>
              </w:rPr>
            </w:pPr>
          </w:p>
        </w:tc>
        <w:tc>
          <w:tcPr>
            <w:tcW w:w="4530" w:type="dxa"/>
          </w:tcPr>
          <w:p w14:paraId="40F77E02" w14:textId="75CA11AF" w:rsidR="00F508AF" w:rsidRPr="00184460" w:rsidRDefault="00F508AF" w:rsidP="00833B68">
            <w:pPr>
              <w:cnfStyle w:val="000000000000" w:firstRow="0" w:lastRow="0" w:firstColumn="0" w:lastColumn="0" w:oddVBand="0" w:evenVBand="0" w:oddHBand="0" w:evenHBand="0" w:firstRowFirstColumn="0" w:firstRowLastColumn="0" w:lastRowFirstColumn="0" w:lastRowLastColumn="0"/>
              <w:rPr>
                <w:szCs w:val="18"/>
              </w:rPr>
            </w:pPr>
            <w:r w:rsidRPr="00184460">
              <w:rPr>
                <w:szCs w:val="18"/>
              </w:rPr>
              <w:t xml:space="preserve">Normal daily demand </w:t>
            </w:r>
            <w:r w:rsidR="00CC1021">
              <w:rPr>
                <w:szCs w:val="18"/>
              </w:rPr>
              <w:t>(e.g.50 units)</w:t>
            </w:r>
          </w:p>
        </w:tc>
      </w:tr>
      <w:tr w:rsidR="00F508AF" w14:paraId="69C3430F" w14:textId="77777777" w:rsidTr="00833B68">
        <w:trPr>
          <w:trHeight w:val="89"/>
        </w:trPr>
        <w:tc>
          <w:tcPr>
            <w:cnfStyle w:val="001000000000" w:firstRow="0" w:lastRow="0" w:firstColumn="1" w:lastColumn="0" w:oddVBand="0" w:evenVBand="0" w:oddHBand="0" w:evenHBand="0" w:firstRowFirstColumn="0" w:firstRowLastColumn="0" w:lastRowFirstColumn="0" w:lastRowLastColumn="0"/>
            <w:tcW w:w="4530" w:type="dxa"/>
            <w:vMerge/>
          </w:tcPr>
          <w:p w14:paraId="14D364E1" w14:textId="77777777" w:rsidR="00F508AF" w:rsidRPr="00184460" w:rsidRDefault="00F508AF" w:rsidP="00833B68">
            <w:pPr>
              <w:rPr>
                <w:szCs w:val="18"/>
              </w:rPr>
            </w:pPr>
          </w:p>
        </w:tc>
        <w:tc>
          <w:tcPr>
            <w:tcW w:w="4530" w:type="dxa"/>
          </w:tcPr>
          <w:p w14:paraId="0CD1DACB" w14:textId="589359FD" w:rsidR="00F508AF" w:rsidRPr="00184460" w:rsidRDefault="00F508AF" w:rsidP="00833B68">
            <w:pPr>
              <w:cnfStyle w:val="000000000000" w:firstRow="0" w:lastRow="0" w:firstColumn="0" w:lastColumn="0" w:oddVBand="0" w:evenVBand="0" w:oddHBand="0" w:evenHBand="0" w:firstRowFirstColumn="0" w:firstRowLastColumn="0" w:lastRowFirstColumn="0" w:lastRowLastColumn="0"/>
              <w:rPr>
                <w:szCs w:val="18"/>
              </w:rPr>
            </w:pPr>
            <w:r>
              <w:rPr>
                <w:szCs w:val="18"/>
              </w:rPr>
              <w:t>Jurisdictional central stockpile</w:t>
            </w:r>
            <w:r w:rsidR="00CC1021">
              <w:rPr>
                <w:szCs w:val="18"/>
              </w:rPr>
              <w:t xml:space="preserve"> (e.g. 500 units)</w:t>
            </w:r>
          </w:p>
        </w:tc>
      </w:tr>
      <w:tr w:rsidR="00AE4359" w14:paraId="0658714B" w14:textId="77777777" w:rsidTr="00833B68">
        <w:tc>
          <w:tcPr>
            <w:cnfStyle w:val="001000000000" w:firstRow="0" w:lastRow="0" w:firstColumn="1" w:lastColumn="0" w:oddVBand="0" w:evenVBand="0" w:oddHBand="0" w:evenHBand="0" w:firstRowFirstColumn="0" w:firstRowLastColumn="0" w:lastRowFirstColumn="0" w:lastRowLastColumn="0"/>
            <w:tcW w:w="4530" w:type="dxa"/>
          </w:tcPr>
          <w:p w14:paraId="1ED6E8FF" w14:textId="77777777" w:rsidR="00AE4359" w:rsidRPr="00184460" w:rsidRDefault="00AE4359" w:rsidP="00833B68">
            <w:pPr>
              <w:rPr>
                <w:szCs w:val="18"/>
              </w:rPr>
            </w:pPr>
            <w:r w:rsidRPr="00184460">
              <w:rPr>
                <w:szCs w:val="18"/>
              </w:rPr>
              <w:t xml:space="preserve">Wholesaler </w:t>
            </w:r>
          </w:p>
        </w:tc>
        <w:tc>
          <w:tcPr>
            <w:tcW w:w="4530" w:type="dxa"/>
          </w:tcPr>
          <w:p w14:paraId="35B54658" w14:textId="12745B1B" w:rsidR="00AE4359" w:rsidRPr="00184460" w:rsidRDefault="00AE4359" w:rsidP="00833B68">
            <w:pPr>
              <w:cnfStyle w:val="000000000000" w:firstRow="0" w:lastRow="0" w:firstColumn="0" w:lastColumn="0" w:oddVBand="0" w:evenVBand="0" w:oddHBand="0" w:evenHBand="0" w:firstRowFirstColumn="0" w:firstRowLastColumn="0" w:lastRowFirstColumn="0" w:lastRowLastColumn="0"/>
              <w:rPr>
                <w:szCs w:val="18"/>
              </w:rPr>
            </w:pPr>
            <w:r w:rsidRPr="00184460">
              <w:rPr>
                <w:szCs w:val="18"/>
              </w:rPr>
              <w:t>Stock at wholesaler level</w:t>
            </w:r>
            <w:r w:rsidR="00CC1021">
              <w:rPr>
                <w:szCs w:val="18"/>
              </w:rPr>
              <w:t xml:space="preserve"> (e.g. </w:t>
            </w:r>
            <w:r w:rsidR="0010269B">
              <w:rPr>
                <w:szCs w:val="18"/>
              </w:rPr>
              <w:t>500 units)</w:t>
            </w:r>
          </w:p>
        </w:tc>
      </w:tr>
      <w:tr w:rsidR="00AE4359" w14:paraId="682F0900" w14:textId="77777777" w:rsidTr="00833B68">
        <w:trPr>
          <w:trHeight w:val="150"/>
        </w:trPr>
        <w:tc>
          <w:tcPr>
            <w:cnfStyle w:val="001000000000" w:firstRow="0" w:lastRow="0" w:firstColumn="1" w:lastColumn="0" w:oddVBand="0" w:evenVBand="0" w:oddHBand="0" w:evenHBand="0" w:firstRowFirstColumn="0" w:firstRowLastColumn="0" w:lastRowFirstColumn="0" w:lastRowLastColumn="0"/>
            <w:tcW w:w="4530" w:type="dxa"/>
            <w:vMerge w:val="restart"/>
          </w:tcPr>
          <w:p w14:paraId="09FEFD20" w14:textId="77777777" w:rsidR="00AE4359" w:rsidRPr="00184460" w:rsidRDefault="00AE4359" w:rsidP="00833B68">
            <w:pPr>
              <w:rPr>
                <w:szCs w:val="18"/>
              </w:rPr>
            </w:pPr>
            <w:r w:rsidRPr="00184460">
              <w:rPr>
                <w:szCs w:val="18"/>
              </w:rPr>
              <w:t xml:space="preserve">Sponsor </w:t>
            </w:r>
          </w:p>
        </w:tc>
        <w:tc>
          <w:tcPr>
            <w:tcW w:w="4530" w:type="dxa"/>
          </w:tcPr>
          <w:p w14:paraId="164174EB" w14:textId="3487788D" w:rsidR="00AE4359" w:rsidRPr="00184460" w:rsidRDefault="00AE4359" w:rsidP="00833B68">
            <w:pPr>
              <w:cnfStyle w:val="000000000000" w:firstRow="0" w:lastRow="0" w:firstColumn="0" w:lastColumn="0" w:oddVBand="0" w:evenVBand="0" w:oddHBand="0" w:evenHBand="0" w:firstRowFirstColumn="0" w:firstRowLastColumn="0" w:lastRowFirstColumn="0" w:lastRowLastColumn="0"/>
              <w:rPr>
                <w:szCs w:val="18"/>
              </w:rPr>
            </w:pPr>
            <w:r w:rsidRPr="00184460">
              <w:rPr>
                <w:szCs w:val="18"/>
              </w:rPr>
              <w:t xml:space="preserve">Stock at sponsor level </w:t>
            </w:r>
            <w:r w:rsidR="0010269B">
              <w:rPr>
                <w:szCs w:val="18"/>
              </w:rPr>
              <w:t>(e.g. 1000 units</w:t>
            </w:r>
            <w:r w:rsidR="00426D65">
              <w:rPr>
                <w:szCs w:val="18"/>
              </w:rPr>
              <w:t>)</w:t>
            </w:r>
          </w:p>
        </w:tc>
      </w:tr>
      <w:tr w:rsidR="00AE4359" w14:paraId="0A4C9E1A" w14:textId="77777777" w:rsidTr="00833B68">
        <w:trPr>
          <w:trHeight w:val="86"/>
        </w:trPr>
        <w:tc>
          <w:tcPr>
            <w:cnfStyle w:val="001000000000" w:firstRow="0" w:lastRow="0" w:firstColumn="1" w:lastColumn="0" w:oddVBand="0" w:evenVBand="0" w:oddHBand="0" w:evenHBand="0" w:firstRowFirstColumn="0" w:firstRowLastColumn="0" w:lastRowFirstColumn="0" w:lastRowLastColumn="0"/>
            <w:tcW w:w="4530" w:type="dxa"/>
            <w:vMerge/>
          </w:tcPr>
          <w:p w14:paraId="6F793697" w14:textId="77777777" w:rsidR="00AE4359" w:rsidRPr="00184460" w:rsidRDefault="00AE4359" w:rsidP="00833B68">
            <w:pPr>
              <w:rPr>
                <w:szCs w:val="18"/>
              </w:rPr>
            </w:pPr>
          </w:p>
        </w:tc>
        <w:tc>
          <w:tcPr>
            <w:tcW w:w="4530" w:type="dxa"/>
          </w:tcPr>
          <w:p w14:paraId="711B1942" w14:textId="4DCF5D16" w:rsidR="00AE4359" w:rsidRDefault="00AE4359" w:rsidP="00833B68">
            <w:pPr>
              <w:cnfStyle w:val="000000000000" w:firstRow="0" w:lastRow="0" w:firstColumn="0" w:lastColumn="0" w:oddVBand="0" w:evenVBand="0" w:oddHBand="0" w:evenHBand="0" w:firstRowFirstColumn="0" w:firstRowLastColumn="0" w:lastRowFirstColumn="0" w:lastRowLastColumn="0"/>
              <w:rPr>
                <w:szCs w:val="18"/>
              </w:rPr>
            </w:pPr>
            <w:r w:rsidRPr="00184460">
              <w:rPr>
                <w:szCs w:val="18"/>
              </w:rPr>
              <w:t>Future orders</w:t>
            </w:r>
            <w:r w:rsidR="0010269B">
              <w:rPr>
                <w:szCs w:val="18"/>
              </w:rPr>
              <w:br/>
              <w:t xml:space="preserve">Date A – </w:t>
            </w:r>
            <w:r w:rsidR="009D0201">
              <w:rPr>
                <w:szCs w:val="18"/>
              </w:rPr>
              <w:t xml:space="preserve">(e.g. </w:t>
            </w:r>
            <w:r w:rsidR="0010269B">
              <w:rPr>
                <w:szCs w:val="18"/>
              </w:rPr>
              <w:t>50 units</w:t>
            </w:r>
            <w:r w:rsidR="009D0201">
              <w:rPr>
                <w:szCs w:val="18"/>
              </w:rPr>
              <w:t>)</w:t>
            </w:r>
          </w:p>
          <w:p w14:paraId="7CD11FDC" w14:textId="415D844A" w:rsidR="0010269B" w:rsidRDefault="0010269B" w:rsidP="00833B68">
            <w:pPr>
              <w:cnfStyle w:val="000000000000" w:firstRow="0" w:lastRow="0" w:firstColumn="0" w:lastColumn="0" w:oddVBand="0" w:evenVBand="0" w:oddHBand="0" w:evenHBand="0" w:firstRowFirstColumn="0" w:firstRowLastColumn="0" w:lastRowFirstColumn="0" w:lastRowLastColumn="0"/>
              <w:rPr>
                <w:szCs w:val="18"/>
              </w:rPr>
            </w:pPr>
            <w:r>
              <w:rPr>
                <w:szCs w:val="18"/>
              </w:rPr>
              <w:t xml:space="preserve">Date B </w:t>
            </w:r>
            <w:r w:rsidR="009D0201">
              <w:rPr>
                <w:szCs w:val="18"/>
              </w:rPr>
              <w:t xml:space="preserve">(e.g. </w:t>
            </w:r>
            <w:r>
              <w:rPr>
                <w:szCs w:val="18"/>
              </w:rPr>
              <w:t>500 units</w:t>
            </w:r>
            <w:r w:rsidR="009D0201">
              <w:rPr>
                <w:szCs w:val="18"/>
              </w:rPr>
              <w:t>)</w:t>
            </w:r>
          </w:p>
          <w:p w14:paraId="183026C9" w14:textId="1B0C6235" w:rsidR="0010269B" w:rsidRPr="00184460" w:rsidRDefault="0010269B" w:rsidP="00833B68">
            <w:pPr>
              <w:cnfStyle w:val="000000000000" w:firstRow="0" w:lastRow="0" w:firstColumn="0" w:lastColumn="0" w:oddVBand="0" w:evenVBand="0" w:oddHBand="0" w:evenHBand="0" w:firstRowFirstColumn="0" w:firstRowLastColumn="0" w:lastRowFirstColumn="0" w:lastRowLastColumn="0"/>
              <w:rPr>
                <w:szCs w:val="18"/>
              </w:rPr>
            </w:pPr>
            <w:r>
              <w:rPr>
                <w:szCs w:val="18"/>
              </w:rPr>
              <w:t xml:space="preserve">Date C </w:t>
            </w:r>
            <w:r w:rsidR="009D0201">
              <w:rPr>
                <w:szCs w:val="18"/>
              </w:rPr>
              <w:t xml:space="preserve">(e.g. </w:t>
            </w:r>
            <w:r>
              <w:rPr>
                <w:szCs w:val="18"/>
              </w:rPr>
              <w:t>500 Units</w:t>
            </w:r>
            <w:r w:rsidR="009D0201">
              <w:rPr>
                <w:szCs w:val="18"/>
              </w:rPr>
              <w:t>)</w:t>
            </w:r>
          </w:p>
        </w:tc>
      </w:tr>
    </w:tbl>
    <w:p w14:paraId="12B48F91" w14:textId="7381656A" w:rsidR="00AE4359" w:rsidRDefault="008563E1" w:rsidP="00833B68">
      <w:pPr>
        <w:pStyle w:val="ListBullet"/>
      </w:pPr>
      <w:r>
        <w:t xml:space="preserve">Provision of </w:t>
      </w:r>
      <w:r w:rsidRPr="00833B68">
        <w:t>information</w:t>
      </w:r>
      <w:r>
        <w:t xml:space="preserve"> is voluntary and data providers will provide data if the seriousness of the national shortage incident compels them to contribute information to assist with shortage management in the interest of patients.</w:t>
      </w:r>
    </w:p>
    <w:p w14:paraId="4730A308" w14:textId="092E8D52" w:rsidR="008563E1" w:rsidRDefault="008563E1" w:rsidP="00833B68">
      <w:pPr>
        <w:pStyle w:val="ListBullet"/>
      </w:pPr>
      <w:r>
        <w:t xml:space="preserve">Data providers are aware that providing data means to agree to the </w:t>
      </w:r>
      <w:hyperlink w:anchor="_Information_to_be" w:history="1">
        <w:r w:rsidRPr="008563E1">
          <w:rPr>
            <w:rStyle w:val="Hyperlink"/>
          </w:rPr>
          <w:t>release of information</w:t>
        </w:r>
      </w:hyperlink>
      <w:r>
        <w:t xml:space="preserve"> under a section 61 </w:t>
      </w:r>
      <w:r w:rsidRPr="00833B68">
        <w:t>instrument</w:t>
      </w:r>
      <w:r>
        <w:t>.</w:t>
      </w:r>
    </w:p>
    <w:p w14:paraId="322D80D5" w14:textId="3B034ED9" w:rsidR="006A0BE9" w:rsidRDefault="008563E1" w:rsidP="00833B68">
      <w:pPr>
        <w:pStyle w:val="ListBullet"/>
      </w:pPr>
      <w:r>
        <w:t xml:space="preserve">Data providers that </w:t>
      </w:r>
      <w:r w:rsidRPr="00833B68">
        <w:t>select</w:t>
      </w:r>
      <w:r>
        <w:t xml:space="preserve"> to participate in the management of the national shortage return the populated data sharing template.</w:t>
      </w:r>
    </w:p>
    <w:p w14:paraId="398E8605" w14:textId="56967E34" w:rsidR="0011295F" w:rsidRDefault="0011295F" w:rsidP="00833B68">
      <w:r>
        <w:t xml:space="preserve">Under the </w:t>
      </w:r>
      <w:r w:rsidR="00A42C48">
        <w:t>F</w:t>
      </w:r>
      <w:r w:rsidR="00E733E5">
        <w:t>ramework</w:t>
      </w:r>
      <w:r>
        <w:t xml:space="preserve"> the TGA uses the information to inform the following activities. Events are listed in the order they would typically occur.</w:t>
      </w:r>
    </w:p>
    <w:p w14:paraId="5773CBC5" w14:textId="3E4D301F" w:rsidR="0011295F" w:rsidRDefault="0011295F" w:rsidP="00833B68">
      <w:pPr>
        <w:pStyle w:val="ListBullet"/>
      </w:pPr>
      <w:r>
        <w:t xml:space="preserve">The TGA reviews usage </w:t>
      </w:r>
      <w:r w:rsidR="009D0201">
        <w:t xml:space="preserve">including </w:t>
      </w:r>
      <w:r w:rsidR="008B100F">
        <w:t>usage</w:t>
      </w:r>
      <w:r w:rsidR="009D0201">
        <w:t xml:space="preserve"> </w:t>
      </w:r>
      <w:r>
        <w:t xml:space="preserve">other than registered indications such as off-label use in clinical practice and </w:t>
      </w:r>
      <w:r w:rsidRPr="00833B68">
        <w:t>atypical</w:t>
      </w:r>
      <w:r>
        <w:t xml:space="preserve"> uses (e.g. clinical trials) of the medicine in shortage. </w:t>
      </w:r>
    </w:p>
    <w:p w14:paraId="105D3988" w14:textId="0C98A319" w:rsidR="0011295F" w:rsidRDefault="0011295F" w:rsidP="00833B68">
      <w:pPr>
        <w:pStyle w:val="ListBullet"/>
      </w:pPr>
      <w:r>
        <w:t xml:space="preserve">The TGA models national medicine availability and </w:t>
      </w:r>
      <w:r w:rsidR="00404FF9">
        <w:t>test</w:t>
      </w:r>
      <w:r w:rsidR="00004764">
        <w:t>s</w:t>
      </w:r>
      <w:r w:rsidR="00404FF9">
        <w:t xml:space="preserve"> </w:t>
      </w:r>
      <w:r w:rsidR="00004764">
        <w:t xml:space="preserve">the effectiveness of </w:t>
      </w:r>
      <w:r w:rsidR="00404FF9">
        <w:t>various</w:t>
      </w:r>
      <w:r>
        <w:t xml:space="preserve"> management strategies</w:t>
      </w:r>
      <w:r w:rsidR="00004764">
        <w:t xml:space="preserve"> using the </w:t>
      </w:r>
      <w:r w:rsidR="00004764" w:rsidRPr="00833B68">
        <w:t>model</w:t>
      </w:r>
      <w:r w:rsidR="00004764">
        <w:t xml:space="preserve"> prediction</w:t>
      </w:r>
      <w:r w:rsidR="00940D94">
        <w:t>.</w:t>
      </w:r>
    </w:p>
    <w:p w14:paraId="6374DEA3" w14:textId="77777777" w:rsidR="0011295F" w:rsidRDefault="0011295F" w:rsidP="00833B68">
      <w:pPr>
        <w:pStyle w:val="ListBullet"/>
      </w:pPr>
      <w:r>
        <w:t>The model shows usage must be reduced by 25% or stock will run out before supply returns.</w:t>
      </w:r>
    </w:p>
    <w:p w14:paraId="158DF0F4" w14:textId="2D647CA5" w:rsidR="0011295F" w:rsidRDefault="0011295F" w:rsidP="00833B68">
      <w:pPr>
        <w:pStyle w:val="ListBullet"/>
      </w:pPr>
      <w:r>
        <w:t xml:space="preserve">The TGA convenes an MSAG and </w:t>
      </w:r>
      <w:r w:rsidRPr="00833B68">
        <w:t>works</w:t>
      </w:r>
      <w:r>
        <w:t xml:space="preserve"> with health professionals to create recommendations for clinicians to implement conservation measures. </w:t>
      </w:r>
      <w:r w:rsidR="004273A7">
        <w:t xml:space="preserve">TGA shares the </w:t>
      </w:r>
      <w:hyperlink w:anchor="_Example_de-identified_aggregated" w:history="1">
        <w:r w:rsidR="004273A7" w:rsidRPr="004273A7">
          <w:rPr>
            <w:rStyle w:val="Hyperlink"/>
          </w:rPr>
          <w:t>aggregated visuals</w:t>
        </w:r>
      </w:hyperlink>
      <w:r w:rsidR="004273A7">
        <w:t xml:space="preserve"> at the meeting. </w:t>
      </w:r>
      <w:r>
        <w:t xml:space="preserve">Recommendations are to prioritise the use in </w:t>
      </w:r>
      <w:r w:rsidR="004273A7">
        <w:t xml:space="preserve">a </w:t>
      </w:r>
      <w:r>
        <w:t>patient group and in the primary care setting.</w:t>
      </w:r>
    </w:p>
    <w:p w14:paraId="4171B587" w14:textId="7E3B3655" w:rsidR="00940D94" w:rsidRDefault="00940D94" w:rsidP="00833B68">
      <w:pPr>
        <w:pStyle w:val="ListBullet"/>
      </w:pPr>
      <w:r>
        <w:t xml:space="preserve">The TGA seeks MAWG </w:t>
      </w:r>
      <w:r w:rsidR="00004764">
        <w:t xml:space="preserve">(state and territory jurisdictions) </w:t>
      </w:r>
      <w:r>
        <w:t>endorsement of the management strategies.</w:t>
      </w:r>
      <w:r w:rsidR="004273A7">
        <w:t xml:space="preserve"> TGA shares the </w:t>
      </w:r>
      <w:hyperlink w:anchor="_Example_de-identified_aggregated" w:history="1">
        <w:r w:rsidR="004273A7" w:rsidRPr="004273A7">
          <w:rPr>
            <w:rStyle w:val="Hyperlink"/>
          </w:rPr>
          <w:t>aggregated visuals</w:t>
        </w:r>
      </w:hyperlink>
      <w:r w:rsidR="004273A7">
        <w:t xml:space="preserve"> at the meeting.</w:t>
      </w:r>
    </w:p>
    <w:p w14:paraId="01617D09" w14:textId="55115231" w:rsidR="0011295F" w:rsidRDefault="0011295F" w:rsidP="00833B68">
      <w:pPr>
        <w:pStyle w:val="ListBullet"/>
      </w:pPr>
      <w:r>
        <w:t>The TGA works with the MAWG to implement the shortage management strategies</w:t>
      </w:r>
      <w:r w:rsidR="00940D94">
        <w:t>.</w:t>
      </w:r>
    </w:p>
    <w:p w14:paraId="1406852F" w14:textId="493200BC" w:rsidR="0011295F" w:rsidRDefault="0011295F" w:rsidP="0011295F">
      <w:pPr>
        <w:pStyle w:val="ListBullet"/>
      </w:pPr>
      <w:r>
        <w:t xml:space="preserve">The TGA publishes </w:t>
      </w:r>
      <w:r w:rsidR="00381FF1">
        <w:t xml:space="preserve">a web statement advising of the shortage and </w:t>
      </w:r>
      <w:r>
        <w:t>the</w:t>
      </w:r>
      <w:r w:rsidR="00381FF1">
        <w:t xml:space="preserve"> developed</w:t>
      </w:r>
      <w:r>
        <w:t xml:space="preserve"> clinical recommendations</w:t>
      </w:r>
      <w:r w:rsidR="004273A7">
        <w:t xml:space="preserve"> (example web statement at </w:t>
      </w:r>
      <w:hyperlink w:anchor="_Example_of_public" w:history="1">
        <w:r w:rsidR="004273A7" w:rsidRPr="004273A7">
          <w:rPr>
            <w:rStyle w:val="Hyperlink"/>
          </w:rPr>
          <w:t>Attachment B</w:t>
        </w:r>
      </w:hyperlink>
      <w:proofErr w:type="gramStart"/>
      <w:r w:rsidR="004273A7">
        <w:t>)</w:t>
      </w:r>
      <w:r>
        <w:t xml:space="preserve"> </w:t>
      </w:r>
      <w:r w:rsidR="00940D94">
        <w:t>.</w:t>
      </w:r>
      <w:proofErr w:type="gramEnd"/>
    </w:p>
    <w:p w14:paraId="24FF43D2" w14:textId="60DE5471" w:rsidR="0011295F" w:rsidRDefault="0011295F" w:rsidP="00833B68">
      <w:pPr>
        <w:pStyle w:val="ListBullet"/>
      </w:pPr>
      <w:r>
        <w:t xml:space="preserve">The TGA approves </w:t>
      </w:r>
      <w:r w:rsidRPr="00833B68">
        <w:t>the</w:t>
      </w:r>
      <w:r w:rsidRPr="00D77E32">
        <w:t xml:space="preserve"> temporary supply of overseas-registered equivalent products under section 19A of the </w:t>
      </w:r>
      <w:r w:rsidRPr="004273A7">
        <w:rPr>
          <w:i/>
          <w:iCs/>
        </w:rPr>
        <w:t>Therapeutic Goods Act 1989</w:t>
      </w:r>
      <w:r w:rsidR="00940D94" w:rsidRPr="004273A7">
        <w:rPr>
          <w:i/>
          <w:iCs/>
        </w:rPr>
        <w:t>.</w:t>
      </w:r>
    </w:p>
    <w:p w14:paraId="6FD98649" w14:textId="4F7BFC3D" w:rsidR="0011295F" w:rsidRDefault="0011295F" w:rsidP="00833B68">
      <w:pPr>
        <w:pStyle w:val="ListBullet"/>
      </w:pPr>
      <w:r w:rsidRPr="0011295F">
        <w:t xml:space="preserve">TGA requests updated supply and demand data and re-runs the model. The model predicts that usage needs to be reduced by an </w:t>
      </w:r>
      <w:r w:rsidRPr="00833B68">
        <w:t>additional</w:t>
      </w:r>
      <w:r w:rsidRPr="0011295F">
        <w:t xml:space="preserve"> 10%</w:t>
      </w:r>
      <w:r w:rsidR="00940D94">
        <w:t>.</w:t>
      </w:r>
      <w:r w:rsidR="00603F0B">
        <w:t xml:space="preserve"> The TGA reconvene</w:t>
      </w:r>
      <w:r w:rsidR="002328C6">
        <w:t>s</w:t>
      </w:r>
      <w:r w:rsidR="00603F0B">
        <w:t xml:space="preserve"> </w:t>
      </w:r>
      <w:r w:rsidR="002328C6">
        <w:t>the MSAG and MAWG to review and update the recommendations. Health professionals are advised to reduce the medicine usage by 35% by prioritising usage in patient group A, in the primary care setting in certain geographical locations.</w:t>
      </w:r>
    </w:p>
    <w:p w14:paraId="567D372C" w14:textId="04FC4E6A" w:rsidR="002328C6" w:rsidRPr="0011295F" w:rsidRDefault="002328C6" w:rsidP="00833B68">
      <w:pPr>
        <w:pStyle w:val="ListBullet"/>
      </w:pPr>
      <w:r>
        <w:t>TGA works with MAWG and the medicine sponsor to implement the updated clinical recommendations.</w:t>
      </w:r>
      <w:r w:rsidR="004273A7">
        <w:t xml:space="preserve"> TGA shares the </w:t>
      </w:r>
      <w:hyperlink w:anchor="_Example_de-identified_aggregated" w:history="1">
        <w:r w:rsidR="004273A7" w:rsidRPr="004273A7">
          <w:rPr>
            <w:rStyle w:val="Hyperlink"/>
          </w:rPr>
          <w:t>aggregated visuals</w:t>
        </w:r>
      </w:hyperlink>
      <w:r w:rsidR="004273A7">
        <w:t xml:space="preserve"> at the meeting.</w:t>
      </w:r>
    </w:p>
    <w:p w14:paraId="070184CD" w14:textId="43427E1E" w:rsidR="0011295F" w:rsidRDefault="0011295F" w:rsidP="00833B68">
      <w:pPr>
        <w:pStyle w:val="ListBullet"/>
      </w:pPr>
      <w:r>
        <w:t xml:space="preserve">The </w:t>
      </w:r>
      <w:r w:rsidR="002328C6">
        <w:t xml:space="preserve">medicine </w:t>
      </w:r>
      <w:r>
        <w:t xml:space="preserve">sponsor has data on the shelf life of individual </w:t>
      </w:r>
      <w:r w:rsidRPr="00833B68">
        <w:t>batches</w:t>
      </w:r>
      <w:r>
        <w:t xml:space="preserve"> and TGA reviews and approves their submission to extend the shelf-life for specific batches.</w:t>
      </w:r>
    </w:p>
    <w:p w14:paraId="0115E701" w14:textId="6612B251" w:rsidR="003943A7" w:rsidRDefault="0011295F" w:rsidP="00833B68">
      <w:pPr>
        <w:pStyle w:val="ListBullet"/>
      </w:pPr>
      <w:r>
        <w:t xml:space="preserve">The TGA updates the web statement with </w:t>
      </w:r>
      <w:r w:rsidR="00004764">
        <w:t xml:space="preserve">the </w:t>
      </w:r>
      <w:r>
        <w:t>new management actions</w:t>
      </w:r>
      <w:r w:rsidR="004273A7">
        <w:t xml:space="preserve"> (example web statement at </w:t>
      </w:r>
      <w:hyperlink w:anchor="_Example_of_public" w:history="1">
        <w:r w:rsidR="004273A7" w:rsidRPr="004273A7">
          <w:rPr>
            <w:rStyle w:val="Hyperlink"/>
          </w:rPr>
          <w:t>Attachment B</w:t>
        </w:r>
      </w:hyperlink>
      <w:r w:rsidR="004273A7">
        <w:t>)</w:t>
      </w:r>
      <w:r w:rsidR="00940D94">
        <w:t>.</w:t>
      </w:r>
    </w:p>
    <w:p w14:paraId="332D8B8F" w14:textId="48EAC043" w:rsidR="00104E2D" w:rsidRDefault="001A340A" w:rsidP="00833B68">
      <w:pPr>
        <w:pStyle w:val="Heading2"/>
        <w:rPr>
          <w:rFonts w:eastAsia="Cambria"/>
        </w:rPr>
      </w:pPr>
      <w:bookmarkStart w:id="60" w:name="_Attachment_A"/>
      <w:bookmarkStart w:id="61" w:name="_Toc175574143"/>
      <w:bookmarkEnd w:id="60"/>
      <w:r w:rsidRPr="00833B68">
        <w:lastRenderedPageBreak/>
        <w:t>Attachment</w:t>
      </w:r>
      <w:r>
        <w:t xml:space="preserve"> </w:t>
      </w:r>
      <w:r w:rsidRPr="001A340A">
        <w:rPr>
          <w:rFonts w:eastAsia="Cambria"/>
        </w:rPr>
        <w:t>A</w:t>
      </w:r>
      <w:bookmarkEnd w:id="61"/>
    </w:p>
    <w:p w14:paraId="1B5CC420" w14:textId="663B3CB7" w:rsidR="001A340A" w:rsidRDefault="001A340A" w:rsidP="00833B68">
      <w:pPr>
        <w:pStyle w:val="Heading3"/>
      </w:pPr>
      <w:bookmarkStart w:id="62" w:name="_Example_de-identified_aggregated"/>
      <w:bookmarkStart w:id="63" w:name="_Toc175574144"/>
      <w:bookmarkEnd w:id="62"/>
      <w:r>
        <w:t xml:space="preserve">Example de-identified </w:t>
      </w:r>
      <w:r w:rsidRPr="00833B68">
        <w:t>aggregated</w:t>
      </w:r>
      <w:r>
        <w:t xml:space="preserve"> visual</w:t>
      </w:r>
      <w:bookmarkEnd w:id="63"/>
    </w:p>
    <w:p w14:paraId="19DAAC6C" w14:textId="1C66C957" w:rsidR="00974694" w:rsidRDefault="00974694" w:rsidP="00833B68">
      <w:r>
        <w:t xml:space="preserve">The </w:t>
      </w:r>
      <w:r w:rsidR="000F44D9">
        <w:t xml:space="preserve">example aggregated </w:t>
      </w:r>
      <w:r>
        <w:t>visual</w:t>
      </w:r>
      <w:r w:rsidR="000F44D9">
        <w:t xml:space="preserve"> below</w:t>
      </w:r>
      <w:r>
        <w:t xml:space="preserve"> shows stock over time. The medicine name is part of the visual. In this example there are two registered brands (</w:t>
      </w:r>
      <w:proofErr w:type="spellStart"/>
      <w:r>
        <w:t>ThatMedicine</w:t>
      </w:r>
      <w:proofErr w:type="spellEnd"/>
      <w:r>
        <w:t xml:space="preserve"> and </w:t>
      </w:r>
      <w:proofErr w:type="spellStart"/>
      <w:r>
        <w:t>OtherMedicine</w:t>
      </w:r>
      <w:proofErr w:type="spellEnd"/>
      <w:r>
        <w:t xml:space="preserve">, the active ingredient is </w:t>
      </w:r>
      <w:proofErr w:type="spellStart"/>
      <w:r>
        <w:t>activeMAB</w:t>
      </w:r>
      <w:proofErr w:type="spellEnd"/>
      <w:r>
        <w:t>).</w:t>
      </w:r>
    </w:p>
    <w:p w14:paraId="51F37548" w14:textId="219F1AFC" w:rsidR="000F44D9" w:rsidRDefault="000F44D9" w:rsidP="00833B68">
      <w:r>
        <w:t>The dose equivalence tab shows the available products expressed as a 15mg strength.</w:t>
      </w:r>
    </w:p>
    <w:p w14:paraId="3F7CEA3F" w14:textId="6102B262" w:rsidR="000F44D9" w:rsidRDefault="000F44D9" w:rsidP="00833B68">
      <w:r>
        <w:t>Information in the visual is de-identified as follows:</w:t>
      </w:r>
    </w:p>
    <w:p w14:paraId="421ADC0B" w14:textId="1B2EFF40" w:rsidR="00661630" w:rsidRDefault="00974694" w:rsidP="00833B68">
      <w:pPr>
        <w:pStyle w:val="ListBullet"/>
      </w:pPr>
      <w:r>
        <w:t>Stock is</w:t>
      </w:r>
      <w:r w:rsidR="00661630">
        <w:t xml:space="preserve"> shown </w:t>
      </w:r>
      <w:r w:rsidR="008B100F">
        <w:t>as</w:t>
      </w:r>
      <w:r w:rsidR="00661630">
        <w:t xml:space="preserve"> % of demand (not </w:t>
      </w:r>
      <w:r w:rsidR="00661630" w:rsidRPr="00833B68">
        <w:t>units</w:t>
      </w:r>
      <w:r w:rsidR="00661630">
        <w:t xml:space="preserve"> of stock)</w:t>
      </w:r>
    </w:p>
    <w:p w14:paraId="69A3A234" w14:textId="29CF19BC" w:rsidR="00661630" w:rsidRDefault="00661630" w:rsidP="00833B68">
      <w:pPr>
        <w:pStyle w:val="ListBullet"/>
      </w:pPr>
      <w:r>
        <w:t xml:space="preserve">Days are shown consecutively, from start of </w:t>
      </w:r>
      <w:r w:rsidRPr="00833B68">
        <w:t>modelling</w:t>
      </w:r>
      <w:r w:rsidR="00974694">
        <w:t xml:space="preserve"> (</w:t>
      </w:r>
      <w:r>
        <w:t>not calendar days</w:t>
      </w:r>
      <w:r w:rsidR="00974694">
        <w:t>).</w:t>
      </w:r>
    </w:p>
    <w:p w14:paraId="3C183C0F" w14:textId="35D86939" w:rsidR="00796425" w:rsidRPr="00796425" w:rsidRDefault="00796425" w:rsidP="00833B68">
      <w:pPr>
        <w:pStyle w:val="Tabletitle"/>
      </w:pPr>
      <w:r w:rsidRPr="00796425">
        <w:t xml:space="preserve">Figure </w:t>
      </w:r>
      <w:r w:rsidR="007764F1">
        <w:t>2</w:t>
      </w:r>
      <w:r w:rsidRPr="00796425">
        <w:t xml:space="preserve">: </w:t>
      </w:r>
      <w:r>
        <w:t>Example of an</w:t>
      </w:r>
      <w:r w:rsidRPr="00796425">
        <w:t xml:space="preserve"> </w:t>
      </w:r>
      <w:r w:rsidRPr="00833B68">
        <w:t>aggregated</w:t>
      </w:r>
      <w:r w:rsidRPr="00796425">
        <w:t xml:space="preserve"> visual</w:t>
      </w:r>
      <w:r w:rsidR="007764F1">
        <w:t>.</w:t>
      </w:r>
    </w:p>
    <w:p w14:paraId="53B9BDB7" w14:textId="77777777" w:rsidR="00944392" w:rsidRDefault="000F44D9" w:rsidP="00833B68">
      <w:r>
        <w:rPr>
          <w:noProof/>
        </w:rPr>
        <w:drawing>
          <wp:inline distT="0" distB="0" distL="0" distR="0" wp14:anchorId="7127834C" wp14:editId="4A143378">
            <wp:extent cx="5759450" cy="2838450"/>
            <wp:effectExtent l="0" t="0" r="0" b="0"/>
            <wp:docPr id="8" name="Picture 8" descr="Figure 2: A screen shot of a graph showing the aggregated visual for a fictitious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A screen shot of a graph showing the aggregated visual for a fictitious example."/>
                    <pic:cNvPicPr/>
                  </pic:nvPicPr>
                  <pic:blipFill>
                    <a:blip r:embed="rId27">
                      <a:extLst>
                        <a:ext uri="{28A0092B-C50C-407E-A947-70E740481C1C}">
                          <a14:useLocalDpi xmlns:a14="http://schemas.microsoft.com/office/drawing/2010/main" val="0"/>
                        </a:ext>
                      </a:extLst>
                    </a:blip>
                    <a:stretch>
                      <a:fillRect/>
                    </a:stretch>
                  </pic:blipFill>
                  <pic:spPr>
                    <a:xfrm>
                      <a:off x="0" y="0"/>
                      <a:ext cx="5759450" cy="2838450"/>
                    </a:xfrm>
                    <a:prstGeom prst="rect">
                      <a:avLst/>
                    </a:prstGeom>
                  </pic:spPr>
                </pic:pic>
              </a:graphicData>
            </a:graphic>
          </wp:inline>
        </w:drawing>
      </w:r>
    </w:p>
    <w:p w14:paraId="26573FCE" w14:textId="2429D79C" w:rsidR="001A340A" w:rsidRDefault="001A340A" w:rsidP="00833B68">
      <w:pPr>
        <w:pStyle w:val="Heading2"/>
        <w:pageBreakBefore/>
      </w:pPr>
      <w:bookmarkStart w:id="64" w:name="_Attachment_B"/>
      <w:bookmarkStart w:id="65" w:name="_Toc175574145"/>
      <w:bookmarkEnd w:id="64"/>
      <w:r w:rsidRPr="00833B68">
        <w:lastRenderedPageBreak/>
        <w:t>Attachment</w:t>
      </w:r>
      <w:r>
        <w:t xml:space="preserve"> B</w:t>
      </w:r>
      <w:bookmarkEnd w:id="65"/>
    </w:p>
    <w:p w14:paraId="550B2130" w14:textId="50B1186C" w:rsidR="001A340A" w:rsidRDefault="00AA4FE8" w:rsidP="00833B68">
      <w:pPr>
        <w:pStyle w:val="Heading3"/>
      </w:pPr>
      <w:bookmarkStart w:id="66" w:name="_Example_of_public"/>
      <w:bookmarkStart w:id="67" w:name="_Toc175574146"/>
      <w:bookmarkEnd w:id="66"/>
      <w:r>
        <w:t xml:space="preserve">Example of public </w:t>
      </w:r>
      <w:r w:rsidRPr="00833B68">
        <w:t>information</w:t>
      </w:r>
      <w:r>
        <w:t xml:space="preserve"> release</w:t>
      </w:r>
      <w:bookmarkEnd w:id="67"/>
    </w:p>
    <w:p w14:paraId="0DD3C5CB" w14:textId="1D4864A6" w:rsidR="00AA4FE8" w:rsidRDefault="000C6C2C" w:rsidP="00833B68">
      <w:r>
        <w:t xml:space="preserve">Public release of information </w:t>
      </w:r>
      <w:r w:rsidR="00AA4FE8">
        <w:t xml:space="preserve">is intended to be </w:t>
      </w:r>
      <w:proofErr w:type="gramStart"/>
      <w:r w:rsidR="00AA4FE8">
        <w:t>similar to</w:t>
      </w:r>
      <w:proofErr w:type="gramEnd"/>
      <w:r w:rsidR="00AA4FE8">
        <w:t xml:space="preserve"> the information we currently release. A difference would be that availability predictions would be based on our</w:t>
      </w:r>
      <w:r w:rsidR="007E24F9">
        <w:t xml:space="preserve"> model outputs.</w:t>
      </w:r>
      <w:r w:rsidR="00AA4FE8">
        <w:t xml:space="preserve"> </w:t>
      </w:r>
    </w:p>
    <w:p w14:paraId="100C47C7" w14:textId="4A42C6E3" w:rsidR="007E24F9" w:rsidRDefault="007E24F9" w:rsidP="00833B68">
      <w:r w:rsidRPr="00772FFF">
        <w:t xml:space="preserve">A recent example </w:t>
      </w:r>
      <w:r>
        <w:t xml:space="preserve">of the type of information we provide to the public as part of our management strategy </w:t>
      </w:r>
      <w:r w:rsidRPr="00772FFF">
        <w:t xml:space="preserve">can be found at </w:t>
      </w:r>
      <w:hyperlink r:id="rId28" w:history="1">
        <w:r w:rsidRPr="0009623A">
          <w:rPr>
            <w:rStyle w:val="Hyperlink"/>
          </w:rPr>
          <w:t>https://www.tga.gov.au/safety/shortages/medicine-shortage-alerts/joint-statement-shortage-tenecteplase-metalyse</w:t>
        </w:r>
      </w:hyperlink>
      <w:r>
        <w:t>. It includes the model output in terms of:</w:t>
      </w:r>
    </w:p>
    <w:p w14:paraId="422A54F7" w14:textId="77777777" w:rsidR="007E24F9" w:rsidRDefault="007E24F9" w:rsidP="00833B68">
      <w:pPr>
        <w:pStyle w:val="ListBullet"/>
      </w:pPr>
      <w:r>
        <w:t xml:space="preserve">estimated </w:t>
      </w:r>
      <w:r w:rsidRPr="00833B68">
        <w:t>reduction</w:t>
      </w:r>
      <w:r>
        <w:t xml:space="preserve"> in usage that is required to maintain supply and </w:t>
      </w:r>
    </w:p>
    <w:p w14:paraId="6D0A5FFE" w14:textId="5FC4C8E7" w:rsidR="007E24F9" w:rsidRDefault="007E24F9" w:rsidP="00833B68">
      <w:pPr>
        <w:pStyle w:val="ListBullet"/>
      </w:pPr>
      <w:r>
        <w:t xml:space="preserve">implementation of conservation </w:t>
      </w:r>
      <w:r w:rsidRPr="00833B68">
        <w:t>measures</w:t>
      </w:r>
      <w:r>
        <w:t>.</w:t>
      </w:r>
    </w:p>
    <w:p w14:paraId="4211926D" w14:textId="17AFEBE0" w:rsidR="007E24F9" w:rsidRDefault="007E24F9" w:rsidP="00833B68">
      <w:r>
        <w:t>An excerpt from the statement is shown below.</w:t>
      </w:r>
    </w:p>
    <w:p w14:paraId="53D66353" w14:textId="7FD8AC6D" w:rsidR="00AA4FE8" w:rsidRDefault="00796425" w:rsidP="00833B68">
      <w:pPr>
        <w:pStyle w:val="Tabletitle"/>
      </w:pPr>
      <w:r w:rsidRPr="00796425">
        <w:t xml:space="preserve">Figure </w:t>
      </w:r>
      <w:r w:rsidR="007764F1">
        <w:t>3</w:t>
      </w:r>
      <w:r w:rsidRPr="00796425">
        <w:t xml:space="preserve">: Example of </w:t>
      </w:r>
      <w:r w:rsidRPr="00833B68">
        <w:t>information</w:t>
      </w:r>
      <w:r w:rsidRPr="00796425">
        <w:t xml:space="preserve"> published on our website</w:t>
      </w:r>
      <w:r w:rsidR="007764F1">
        <w:t>.</w:t>
      </w:r>
    </w:p>
    <w:p w14:paraId="51590A83" w14:textId="4DBD2BCC" w:rsidR="007E24F9" w:rsidRPr="00796425" w:rsidRDefault="007E24F9" w:rsidP="00770379">
      <w:pPr>
        <w:rPr>
          <w:b/>
          <w:bCs/>
        </w:rPr>
      </w:pPr>
      <w:r>
        <w:rPr>
          <w:noProof/>
        </w:rPr>
        <w:drawing>
          <wp:inline distT="0" distB="0" distL="0" distR="0" wp14:anchorId="6D460720" wp14:editId="11A19DF6">
            <wp:extent cx="5731510" cy="5851525"/>
            <wp:effectExtent l="0" t="0" r="2540" b="0"/>
            <wp:docPr id="5" name="Picture 5" descr="Figure 3: An image of a current web statement. The statement shows an example of the type of medicine availability information that will be published on our webs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An image of a current web statement. The statement shows an example of the type of medicine availability information that will be published on our website. "/>
                    <pic:cNvPicPr/>
                  </pic:nvPicPr>
                  <pic:blipFill>
                    <a:blip r:embed="rId29"/>
                    <a:stretch>
                      <a:fillRect/>
                    </a:stretch>
                  </pic:blipFill>
                  <pic:spPr>
                    <a:xfrm>
                      <a:off x="0" y="0"/>
                      <a:ext cx="5731510" cy="5851525"/>
                    </a:xfrm>
                    <a:prstGeom prst="rect">
                      <a:avLst/>
                    </a:prstGeom>
                  </pic:spPr>
                </pic:pic>
              </a:graphicData>
            </a:graphic>
          </wp:inline>
        </w:drawing>
      </w:r>
    </w:p>
    <w:bookmarkEnd w:id="0"/>
    <w:bookmarkEnd w:id="1"/>
    <w:p w14:paraId="58E0551A" w14:textId="77777777" w:rsidR="00F02AEC" w:rsidRPr="00215D48" w:rsidRDefault="00F02AEC" w:rsidP="00CE6085">
      <w:pPr>
        <w:pStyle w:val="NonTOCheading2"/>
      </w:pPr>
      <w:r w:rsidRPr="00215D48">
        <w:lastRenderedPageBreak/>
        <w:t>Version history</w:t>
      </w:r>
    </w:p>
    <w:tbl>
      <w:tblPr>
        <w:tblStyle w:val="TGABlack2023"/>
        <w:tblW w:w="9038" w:type="dxa"/>
        <w:tblLayout w:type="fixed"/>
        <w:tblLook w:val="04A0" w:firstRow="1" w:lastRow="0" w:firstColumn="1" w:lastColumn="0" w:noHBand="0" w:noVBand="1"/>
      </w:tblPr>
      <w:tblGrid>
        <w:gridCol w:w="1276"/>
        <w:gridCol w:w="3242"/>
        <w:gridCol w:w="2712"/>
        <w:gridCol w:w="1808"/>
      </w:tblGrid>
      <w:tr w:rsidR="00F02AEC" w:rsidRPr="00215D48" w14:paraId="3B940F7A" w14:textId="77777777" w:rsidTr="00FA49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12DA083" w14:textId="77777777" w:rsidR="00F02AEC" w:rsidRPr="00215D48" w:rsidRDefault="00F02AEC" w:rsidP="00CE6085">
            <w:bookmarkStart w:id="68" w:name="ColumnTitle_4"/>
            <w:r w:rsidRPr="00215D48">
              <w:t>Version</w:t>
            </w:r>
          </w:p>
        </w:tc>
        <w:tc>
          <w:tcPr>
            <w:tcW w:w="3242" w:type="dxa"/>
          </w:tcPr>
          <w:p w14:paraId="3E7381CE" w14:textId="77777777" w:rsidR="00F02AEC" w:rsidRPr="00215D48" w:rsidRDefault="00F02AEC" w:rsidP="00CE6085">
            <w:pPr>
              <w:cnfStyle w:val="100000000000" w:firstRow="1" w:lastRow="0" w:firstColumn="0" w:lastColumn="0" w:oddVBand="0" w:evenVBand="0" w:oddHBand="0" w:evenHBand="0" w:firstRowFirstColumn="0" w:firstRowLastColumn="0" w:lastRowFirstColumn="0" w:lastRowLastColumn="0"/>
            </w:pPr>
            <w:r w:rsidRPr="00215D48">
              <w:t>Description of change</w:t>
            </w:r>
          </w:p>
        </w:tc>
        <w:tc>
          <w:tcPr>
            <w:tcW w:w="2712" w:type="dxa"/>
          </w:tcPr>
          <w:p w14:paraId="704788DC" w14:textId="77777777" w:rsidR="00F02AEC" w:rsidRPr="00215D48" w:rsidRDefault="00F02AEC" w:rsidP="00CE6085">
            <w:pPr>
              <w:cnfStyle w:val="100000000000" w:firstRow="1" w:lastRow="0" w:firstColumn="0" w:lastColumn="0" w:oddVBand="0" w:evenVBand="0" w:oddHBand="0" w:evenHBand="0" w:firstRowFirstColumn="0" w:firstRowLastColumn="0" w:lastRowFirstColumn="0" w:lastRowLastColumn="0"/>
            </w:pPr>
            <w:r w:rsidRPr="00215D48">
              <w:t>Author</w:t>
            </w:r>
          </w:p>
        </w:tc>
        <w:tc>
          <w:tcPr>
            <w:tcW w:w="1808" w:type="dxa"/>
          </w:tcPr>
          <w:p w14:paraId="035A55A3" w14:textId="77777777" w:rsidR="00F02AEC" w:rsidRPr="00215D48" w:rsidRDefault="00F02AEC" w:rsidP="00CE6085">
            <w:pPr>
              <w:cnfStyle w:val="100000000000" w:firstRow="1" w:lastRow="0" w:firstColumn="0" w:lastColumn="0" w:oddVBand="0" w:evenVBand="0" w:oddHBand="0" w:evenHBand="0" w:firstRowFirstColumn="0" w:firstRowLastColumn="0" w:lastRowFirstColumn="0" w:lastRowLastColumn="0"/>
            </w:pPr>
            <w:r w:rsidRPr="00215D48">
              <w:t>Effective date</w:t>
            </w:r>
          </w:p>
        </w:tc>
      </w:tr>
      <w:bookmarkEnd w:id="68"/>
      <w:tr w:rsidR="0085657E" w:rsidRPr="00215D48" w14:paraId="723C15B6" w14:textId="77777777" w:rsidTr="00FA49C3">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4D39DA65" w14:textId="4468CE23" w:rsidR="0085657E" w:rsidRDefault="0085657E" w:rsidP="005157BB">
            <w:r>
              <w:t>V1.</w:t>
            </w:r>
            <w:r w:rsidR="00944392">
              <w:t>0</w:t>
            </w:r>
          </w:p>
        </w:tc>
        <w:tc>
          <w:tcPr>
            <w:tcW w:w="3242" w:type="dxa"/>
          </w:tcPr>
          <w:p w14:paraId="3F7C3AE5" w14:textId="3EC82629" w:rsidR="0085657E" w:rsidRDefault="0085657E" w:rsidP="005157BB">
            <w:pPr>
              <w:cnfStyle w:val="000000000000" w:firstRow="0" w:lastRow="0" w:firstColumn="0" w:lastColumn="0" w:oddVBand="0" w:evenVBand="0" w:oddHBand="0" w:evenHBand="0" w:firstRowFirstColumn="0" w:firstRowLastColumn="0" w:lastRowFirstColumn="0" w:lastRowLastColumn="0"/>
            </w:pPr>
            <w:r>
              <w:t xml:space="preserve">Final </w:t>
            </w:r>
          </w:p>
        </w:tc>
        <w:tc>
          <w:tcPr>
            <w:tcW w:w="2712" w:type="dxa"/>
          </w:tcPr>
          <w:p w14:paraId="1BEC33BE" w14:textId="10A16279" w:rsidR="0085657E" w:rsidRDefault="0085657E" w:rsidP="005157BB">
            <w:pPr>
              <w:cnfStyle w:val="000000000000" w:firstRow="0" w:lastRow="0" w:firstColumn="0" w:lastColumn="0" w:oddVBand="0" w:evenVBand="0" w:oddHBand="0" w:evenHBand="0" w:firstRowFirstColumn="0" w:firstRowLastColumn="0" w:lastRowFirstColumn="0" w:lastRowLastColumn="0"/>
            </w:pPr>
            <w:r>
              <w:t>Pharmacovigilance Branch</w:t>
            </w:r>
          </w:p>
        </w:tc>
        <w:tc>
          <w:tcPr>
            <w:tcW w:w="1808" w:type="dxa"/>
          </w:tcPr>
          <w:p w14:paraId="4F89BD9D" w14:textId="163B0D01" w:rsidR="0085657E" w:rsidRDefault="00F90FE8" w:rsidP="005157BB">
            <w:pPr>
              <w:cnfStyle w:val="000000000000" w:firstRow="0" w:lastRow="0" w:firstColumn="0" w:lastColumn="0" w:oddVBand="0" w:evenVBand="0" w:oddHBand="0" w:evenHBand="0" w:firstRowFirstColumn="0" w:firstRowLastColumn="0" w:lastRowFirstColumn="0" w:lastRowLastColumn="0"/>
            </w:pPr>
            <w:r>
              <w:t>23</w:t>
            </w:r>
            <w:r w:rsidR="0085657E">
              <w:t>/0</w:t>
            </w:r>
            <w:r>
              <w:t>7</w:t>
            </w:r>
            <w:r w:rsidR="0085657E">
              <w:t>/2024</w:t>
            </w:r>
          </w:p>
        </w:tc>
      </w:tr>
    </w:tbl>
    <w:p w14:paraId="22861EF4" w14:textId="77777777" w:rsidR="00F02AEC" w:rsidRPr="00215D48" w:rsidRDefault="00F02AEC" w:rsidP="00CE6085">
      <w:pPr>
        <w:spacing w:after="0" w:line="240" w:lineRule="auto"/>
        <w:sectPr w:rsidR="00F02AEC" w:rsidRPr="00215D48" w:rsidSect="00CE6085">
          <w:headerReference w:type="even" r:id="rId30"/>
          <w:headerReference w:type="default" r:id="rId31"/>
          <w:footerReference w:type="default" r:id="rId32"/>
          <w:headerReference w:type="first" r:id="rId33"/>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4FDB578A" w14:textId="77777777" w:rsidTr="00CE6085">
        <w:trPr>
          <w:trHeight w:hRule="exact" w:val="565"/>
          <w:jc w:val="center"/>
        </w:trPr>
        <w:tc>
          <w:tcPr>
            <w:tcW w:w="9145" w:type="dxa"/>
          </w:tcPr>
          <w:p w14:paraId="0E5E39C8" w14:textId="77777777" w:rsidR="00F02AEC" w:rsidRPr="00215D48" w:rsidRDefault="00F02AEC" w:rsidP="00CE6085">
            <w:pPr>
              <w:pStyle w:val="TGASignoff"/>
            </w:pPr>
            <w:r w:rsidRPr="00215D48">
              <w:lastRenderedPageBreak/>
              <w:t>Therapeutic Goods Administration</w:t>
            </w:r>
          </w:p>
        </w:tc>
      </w:tr>
      <w:tr w:rsidR="00F02AEC" w:rsidRPr="00215D48" w14:paraId="2B579A3A" w14:textId="77777777" w:rsidTr="00CE6085">
        <w:trPr>
          <w:trHeight w:val="963"/>
          <w:jc w:val="center"/>
        </w:trPr>
        <w:tc>
          <w:tcPr>
            <w:tcW w:w="9145" w:type="dxa"/>
            <w:tcMar>
              <w:top w:w="28" w:type="dxa"/>
            </w:tcMar>
          </w:tcPr>
          <w:p w14:paraId="2CBA3794" w14:textId="77777777" w:rsidR="00F02AEC" w:rsidRPr="00215D48" w:rsidRDefault="00F02AEC" w:rsidP="00CE6085">
            <w:pPr>
              <w:pStyle w:val="Address"/>
              <w:jc w:val="center"/>
            </w:pPr>
            <w:r w:rsidRPr="00215D48">
              <w:t>PO Box 100 Woden ACT 2606 Australia</w:t>
            </w:r>
          </w:p>
          <w:p w14:paraId="7EF2F890" w14:textId="77777777" w:rsidR="00F02AEC" w:rsidRDefault="00F02AEC">
            <w:pPr>
              <w:pStyle w:val="Address"/>
              <w:jc w:val="center"/>
              <w:rPr>
                <w:sz w:val="22"/>
                <w:szCs w:val="22"/>
              </w:rPr>
            </w:pPr>
            <w:r w:rsidRPr="00215D48">
              <w:t xml:space="preserve">Email: </w:t>
            </w:r>
            <w:hyperlink r:id="rId34" w:history="1">
              <w:r w:rsidRPr="00215D48">
                <w:rPr>
                  <w:rStyle w:val="Hyperlink"/>
                </w:rPr>
                <w:t>info@tga.gov.au</w:t>
              </w:r>
            </w:hyperlink>
            <w:r w:rsidRPr="00215D48">
              <w:t xml:space="preserve">  Phone: 1800 020 </w:t>
            </w:r>
            <w:proofErr w:type="gramStart"/>
            <w:r w:rsidRPr="00215D48">
              <w:t>653  Fax</w:t>
            </w:r>
            <w:proofErr w:type="gramEnd"/>
            <w:r w:rsidRPr="00215D48">
              <w:t xml:space="preserve">: </w:t>
            </w:r>
            <w:r w:rsidRPr="00BA0DFC">
              <w:t>02 6203 1605</w:t>
            </w:r>
          </w:p>
          <w:p w14:paraId="4A36974F" w14:textId="77777777" w:rsidR="00F02AEC" w:rsidRPr="00215D48" w:rsidRDefault="008956C8">
            <w:pPr>
              <w:pStyle w:val="Address"/>
              <w:jc w:val="center"/>
              <w:rPr>
                <w:rStyle w:val="Hyperlink"/>
                <w:b/>
                <w:color w:val="auto"/>
                <w:sz w:val="22"/>
              </w:rPr>
            </w:pPr>
            <w:hyperlink r:id="rId35" w:history="1">
              <w:r w:rsidR="00F02AEC" w:rsidRPr="00C4721A">
                <w:rPr>
                  <w:rStyle w:val="Hyperlink"/>
                  <w:b/>
                </w:rPr>
                <w:t>https://www.tga.gov.au</w:t>
              </w:r>
            </w:hyperlink>
          </w:p>
        </w:tc>
      </w:tr>
      <w:tr w:rsidR="00F02AEC" w:rsidRPr="00215D48" w14:paraId="3B7510CC" w14:textId="77777777" w:rsidTr="00CE6085">
        <w:trPr>
          <w:trHeight w:val="251"/>
          <w:jc w:val="center"/>
        </w:trPr>
        <w:tc>
          <w:tcPr>
            <w:tcW w:w="9145" w:type="dxa"/>
            <w:tcMar>
              <w:top w:w="28" w:type="dxa"/>
            </w:tcMar>
          </w:tcPr>
          <w:p w14:paraId="5AC46575" w14:textId="34BA015E" w:rsidR="00F02AEC" w:rsidRPr="00215D48" w:rsidRDefault="00F02AEC" w:rsidP="00CE6085">
            <w:pPr>
              <w:pStyle w:val="Address"/>
              <w:jc w:val="center"/>
            </w:pPr>
            <w:r w:rsidRPr="00215D48">
              <w:t>Reference/Publication #</w:t>
            </w:r>
            <w:r w:rsidR="00705760">
              <w:t xml:space="preserve"> </w:t>
            </w:r>
            <w:r w:rsidR="007E0237" w:rsidRPr="007E0237">
              <w:t>D24-2847716</w:t>
            </w:r>
          </w:p>
        </w:tc>
      </w:tr>
    </w:tbl>
    <w:p w14:paraId="7556A4AF" w14:textId="77777777" w:rsidR="00CE6085" w:rsidRDefault="00CE6085" w:rsidP="00705760"/>
    <w:sectPr w:rsidR="00CE6085" w:rsidSect="00CE6085">
      <w:headerReference w:type="even" r:id="rId36"/>
      <w:headerReference w:type="default" r:id="rId37"/>
      <w:headerReference w:type="first" r:id="rId38"/>
      <w:footerReference w:type="first" r:id="rId39"/>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B5C7" w14:textId="77777777" w:rsidR="007A1EF5" w:rsidRDefault="007A1EF5" w:rsidP="00F02AEC">
      <w:pPr>
        <w:spacing w:after="0" w:line="240" w:lineRule="auto"/>
      </w:pPr>
      <w:r>
        <w:separator/>
      </w:r>
    </w:p>
  </w:endnote>
  <w:endnote w:type="continuationSeparator" w:id="0">
    <w:p w14:paraId="397D9AE0" w14:textId="77777777" w:rsidR="007A1EF5" w:rsidRDefault="007A1EF5"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A64C9" w:rsidRPr="00257138" w14:paraId="6F8D4B97" w14:textId="77777777" w:rsidTr="00CE6085">
      <w:trPr>
        <w:trHeight w:val="423"/>
      </w:trPr>
      <w:tc>
        <w:tcPr>
          <w:tcW w:w="4360" w:type="dxa"/>
          <w:tcBorders>
            <w:top w:val="single" w:sz="4" w:space="0" w:color="auto"/>
          </w:tcBorders>
        </w:tcPr>
        <w:p w14:paraId="6AC15790" w14:textId="77777777" w:rsidR="00FA64C9" w:rsidRDefault="00FA64C9" w:rsidP="00CE6085">
          <w:pPr>
            <w:pStyle w:val="Footer"/>
          </w:pPr>
        </w:p>
        <w:p w14:paraId="16492A7F" w14:textId="77777777" w:rsidR="00FA64C9" w:rsidRPr="00257138" w:rsidRDefault="00FA64C9" w:rsidP="00CE6085">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0FF0154B" w14:textId="77777777" w:rsidR="00FA64C9" w:rsidRDefault="00FA64C9" w:rsidP="00CE6085">
              <w:pPr>
                <w:pStyle w:val="Footer"/>
                <w:jc w:val="right"/>
              </w:pPr>
            </w:p>
            <w:p w14:paraId="086D98D8" w14:textId="77777777" w:rsidR="00FA64C9" w:rsidRPr="00257138" w:rsidRDefault="00FA64C9" w:rsidP="00CE6085">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fldChar w:fldCharType="begin"/>
              </w:r>
              <w:r>
                <w:instrText xml:space="preserve"> NUMPAGES  </w:instrText>
              </w:r>
              <w:r>
                <w:fldChar w:fldCharType="separate"/>
              </w:r>
              <w:r>
                <w:rPr>
                  <w:noProof/>
                </w:rPr>
                <w:t>2</w:t>
              </w:r>
              <w:r>
                <w:rPr>
                  <w:noProof/>
                </w:rPr>
                <w:fldChar w:fldCharType="end"/>
              </w:r>
            </w:p>
          </w:sdtContent>
        </w:sdt>
      </w:tc>
    </w:tr>
    <w:tr w:rsidR="00FA64C9" w:rsidRPr="00257138" w14:paraId="78B9A1C9" w14:textId="77777777" w:rsidTr="00CE6085">
      <w:trPr>
        <w:trHeight w:val="263"/>
      </w:trPr>
      <w:tc>
        <w:tcPr>
          <w:tcW w:w="4360" w:type="dxa"/>
        </w:tcPr>
        <w:p w14:paraId="1A99D7BE" w14:textId="77777777" w:rsidR="00FA64C9" w:rsidRPr="00257138" w:rsidRDefault="00FA64C9" w:rsidP="00CE6085">
          <w:pPr>
            <w:pStyle w:val="Footer"/>
          </w:pPr>
          <w:r w:rsidRPr="00257138">
            <w:t xml:space="preserve">V1.0 </w:t>
          </w:r>
          <w:r>
            <w:t>Month</w:t>
          </w:r>
          <w:r w:rsidRPr="00257138">
            <w:t xml:space="preserve"> 201</w:t>
          </w:r>
          <w:r>
            <w:t>2</w:t>
          </w:r>
        </w:p>
      </w:tc>
      <w:tc>
        <w:tcPr>
          <w:tcW w:w="4360" w:type="dxa"/>
        </w:tcPr>
        <w:p w14:paraId="1AF65F7B" w14:textId="77777777" w:rsidR="00FA64C9" w:rsidRPr="00257138" w:rsidRDefault="00FA64C9" w:rsidP="00CE6085">
          <w:pPr>
            <w:pStyle w:val="Footer"/>
            <w:jc w:val="right"/>
          </w:pPr>
        </w:p>
      </w:tc>
    </w:tr>
  </w:tbl>
  <w:p w14:paraId="04808D64" w14:textId="77777777" w:rsidR="00FA64C9" w:rsidRPr="00826007" w:rsidRDefault="00FA64C9" w:rsidP="00CE6085">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3E23" w14:textId="77777777" w:rsidR="00FA64C9" w:rsidRDefault="00FA64C9" w:rsidP="00CE6085">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FA64C9" w:rsidRPr="00D247F6" w14:paraId="67203675" w14:textId="77777777" w:rsidTr="00CE6085">
      <w:trPr>
        <w:trHeight w:val="423"/>
      </w:trPr>
      <w:tc>
        <w:tcPr>
          <w:tcW w:w="7338" w:type="dxa"/>
          <w:tcBorders>
            <w:top w:val="single" w:sz="4" w:space="0" w:color="auto"/>
          </w:tcBorders>
        </w:tcPr>
        <w:p w14:paraId="1CAA6E8D" w14:textId="36BB1D2D" w:rsidR="00FA64C9" w:rsidRPr="00D247F6" w:rsidRDefault="00FA64C9" w:rsidP="00F04ED1">
          <w:pPr>
            <w:rPr>
              <w:rFonts w:cs="Arial"/>
              <w:sz w:val="17"/>
              <w:szCs w:val="17"/>
            </w:rPr>
          </w:pPr>
          <w:r w:rsidRPr="00D247F6">
            <w:rPr>
              <w:rFonts w:cs="Arial"/>
              <w:sz w:val="17"/>
              <w:szCs w:val="17"/>
            </w:rPr>
            <w:t>Data</w:t>
          </w:r>
          <w:r w:rsidR="00153BDA">
            <w:rPr>
              <w:rFonts w:cs="Arial"/>
              <w:sz w:val="17"/>
              <w:szCs w:val="17"/>
            </w:rPr>
            <w:t>-</w:t>
          </w:r>
          <w:r w:rsidRPr="00D247F6">
            <w:rPr>
              <w:rFonts w:cs="Arial"/>
              <w:sz w:val="17"/>
              <w:szCs w:val="17"/>
            </w:rPr>
            <w:t xml:space="preserve">Sharing </w:t>
          </w:r>
          <w:r w:rsidR="00E733E5">
            <w:rPr>
              <w:rFonts w:cs="Arial"/>
              <w:sz w:val="17"/>
              <w:szCs w:val="17"/>
            </w:rPr>
            <w:t xml:space="preserve">Framework </w:t>
          </w:r>
          <w:r w:rsidRPr="00D247F6">
            <w:rPr>
              <w:rFonts w:cs="Arial"/>
              <w:sz w:val="17"/>
              <w:szCs w:val="17"/>
            </w:rPr>
            <w:t xml:space="preserve">- </w:t>
          </w:r>
          <w:r w:rsidR="004966F3" w:rsidRPr="004966F3">
            <w:rPr>
              <w:rFonts w:cs="Arial"/>
              <w:sz w:val="17"/>
              <w:szCs w:val="17"/>
            </w:rPr>
            <w:t>Dynamic Model of Medicine Availability (version 2.0)</w:t>
          </w:r>
          <w:r w:rsidRPr="00D247F6">
            <w:rPr>
              <w:rFonts w:cs="Arial"/>
              <w:sz w:val="17"/>
              <w:szCs w:val="17"/>
            </w:rPr>
            <w:br/>
            <w:t>V</w:t>
          </w:r>
          <w:r w:rsidR="003D5FDE">
            <w:rPr>
              <w:rFonts w:cs="Arial"/>
              <w:sz w:val="17"/>
              <w:szCs w:val="17"/>
            </w:rPr>
            <w:t>1.</w:t>
          </w:r>
          <w:r w:rsidR="00944392">
            <w:rPr>
              <w:rFonts w:cs="Arial"/>
              <w:sz w:val="17"/>
              <w:szCs w:val="17"/>
            </w:rPr>
            <w:t>0</w:t>
          </w:r>
          <w:r w:rsidR="00764864">
            <w:rPr>
              <w:rFonts w:cs="Arial"/>
              <w:sz w:val="17"/>
              <w:szCs w:val="17"/>
            </w:rPr>
            <w:t xml:space="preserve"> - </w:t>
          </w:r>
          <w:r w:rsidR="001B73FC">
            <w:rPr>
              <w:rFonts w:cs="Arial"/>
              <w:sz w:val="17"/>
              <w:szCs w:val="17"/>
            </w:rPr>
            <w:t>July</w:t>
          </w:r>
          <w:r w:rsidR="00CE7F76">
            <w:rPr>
              <w:rFonts w:cs="Arial"/>
              <w:sz w:val="17"/>
              <w:szCs w:val="17"/>
            </w:rPr>
            <w:t xml:space="preserve"> </w:t>
          </w:r>
          <w:r w:rsidR="006F544E">
            <w:rPr>
              <w:rFonts w:cs="Arial"/>
              <w:sz w:val="17"/>
              <w:szCs w:val="17"/>
            </w:rPr>
            <w:t>2024</w:t>
          </w:r>
        </w:p>
      </w:tc>
      <w:tc>
        <w:tcPr>
          <w:tcW w:w="1734" w:type="dxa"/>
          <w:tcBorders>
            <w:top w:val="single" w:sz="4" w:space="0" w:color="auto"/>
          </w:tcBorders>
        </w:tcPr>
        <w:sdt>
          <w:sdtPr>
            <w:rPr>
              <w:rFonts w:cs="Arial"/>
              <w:szCs w:val="17"/>
            </w:rPr>
            <w:id w:val="11571659"/>
            <w:docPartObj>
              <w:docPartGallery w:val="Page Numbers (Top of Page)"/>
              <w:docPartUnique/>
            </w:docPartObj>
          </w:sdtPr>
          <w:sdtEndPr/>
          <w:sdtContent>
            <w:p w14:paraId="515FE6A5" w14:textId="77777777" w:rsidR="00FA64C9" w:rsidRPr="00D247F6" w:rsidRDefault="00FA64C9" w:rsidP="00CE6085">
              <w:pPr>
                <w:pStyle w:val="Footer"/>
                <w:jc w:val="right"/>
                <w:rPr>
                  <w:rFonts w:cs="Arial"/>
                  <w:szCs w:val="17"/>
                </w:rPr>
              </w:pPr>
              <w:r w:rsidRPr="00D247F6">
                <w:rPr>
                  <w:rFonts w:cs="Arial"/>
                  <w:szCs w:val="17"/>
                </w:rPr>
                <w:t xml:space="preserve">Page </w:t>
              </w:r>
              <w:r w:rsidRPr="00D247F6">
                <w:rPr>
                  <w:rFonts w:cs="Arial"/>
                  <w:szCs w:val="17"/>
                </w:rPr>
                <w:fldChar w:fldCharType="begin"/>
              </w:r>
              <w:r w:rsidRPr="00D247F6">
                <w:rPr>
                  <w:rFonts w:cs="Arial"/>
                  <w:szCs w:val="17"/>
                </w:rPr>
                <w:instrText xml:space="preserve"> PAGE </w:instrText>
              </w:r>
              <w:r w:rsidRPr="00D247F6">
                <w:rPr>
                  <w:rFonts w:cs="Arial"/>
                  <w:szCs w:val="17"/>
                </w:rPr>
                <w:fldChar w:fldCharType="separate"/>
              </w:r>
              <w:r w:rsidRPr="00D247F6">
                <w:rPr>
                  <w:rFonts w:cs="Arial"/>
                  <w:noProof/>
                  <w:szCs w:val="17"/>
                </w:rPr>
                <w:t>6</w:t>
              </w:r>
              <w:r w:rsidRPr="00D247F6">
                <w:rPr>
                  <w:rFonts w:cs="Arial"/>
                  <w:noProof/>
                  <w:szCs w:val="17"/>
                </w:rPr>
                <w:fldChar w:fldCharType="end"/>
              </w:r>
              <w:r w:rsidRPr="00D247F6">
                <w:rPr>
                  <w:rFonts w:cs="Arial"/>
                  <w:szCs w:val="17"/>
                </w:rPr>
                <w:t xml:space="preserve"> of </w:t>
              </w:r>
              <w:r w:rsidRPr="00D247F6">
                <w:rPr>
                  <w:rFonts w:cs="Arial"/>
                  <w:szCs w:val="17"/>
                </w:rPr>
                <w:fldChar w:fldCharType="begin"/>
              </w:r>
              <w:r w:rsidRPr="00D247F6">
                <w:rPr>
                  <w:rFonts w:cs="Arial"/>
                  <w:szCs w:val="17"/>
                </w:rPr>
                <w:instrText xml:space="preserve"> NUMPAGES  </w:instrText>
              </w:r>
              <w:r w:rsidRPr="00D247F6">
                <w:rPr>
                  <w:rFonts w:cs="Arial"/>
                  <w:szCs w:val="17"/>
                </w:rPr>
                <w:fldChar w:fldCharType="separate"/>
              </w:r>
              <w:r w:rsidRPr="00D247F6">
                <w:rPr>
                  <w:rFonts w:cs="Arial"/>
                  <w:noProof/>
                  <w:szCs w:val="17"/>
                </w:rPr>
                <w:t>7</w:t>
              </w:r>
              <w:r w:rsidRPr="00D247F6">
                <w:rPr>
                  <w:rFonts w:cs="Arial"/>
                  <w:noProof/>
                  <w:szCs w:val="17"/>
                </w:rPr>
                <w:fldChar w:fldCharType="end"/>
              </w:r>
            </w:p>
          </w:sdtContent>
        </w:sdt>
      </w:tc>
    </w:tr>
  </w:tbl>
  <w:p w14:paraId="59D623A2" w14:textId="77777777" w:rsidR="00FA64C9" w:rsidRPr="00D247F6" w:rsidRDefault="00FA64C9" w:rsidP="00CE6085">
    <w:pPr>
      <w:pStyle w:val="Footer"/>
      <w:tabs>
        <w:tab w:val="left" w:pos="7620"/>
        <w:tab w:val="right" w:pos="8504"/>
      </w:tabs>
      <w:rPr>
        <w:rFonts w:cs="Arial"/>
        <w:szCs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3D57" w14:textId="77777777" w:rsidR="00FA64C9" w:rsidRPr="008E3C43" w:rsidRDefault="00FA64C9" w:rsidP="00CE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2CF9" w14:textId="77777777" w:rsidR="007A1EF5" w:rsidRDefault="007A1EF5" w:rsidP="00F02AEC">
      <w:pPr>
        <w:spacing w:after="0" w:line="240" w:lineRule="auto"/>
      </w:pPr>
      <w:r>
        <w:separator/>
      </w:r>
    </w:p>
  </w:footnote>
  <w:footnote w:type="continuationSeparator" w:id="0">
    <w:p w14:paraId="01BD1B15" w14:textId="77777777" w:rsidR="007A1EF5" w:rsidRDefault="007A1EF5" w:rsidP="00F02AEC">
      <w:pPr>
        <w:spacing w:after="0" w:line="240" w:lineRule="auto"/>
      </w:pPr>
      <w:r>
        <w:continuationSeparator/>
      </w:r>
    </w:p>
  </w:footnote>
  <w:footnote w:id="1">
    <w:p w14:paraId="67BED5AC" w14:textId="4EA83679" w:rsidR="00764864" w:rsidRPr="00E35E0F" w:rsidRDefault="00764864">
      <w:pPr>
        <w:pStyle w:val="FootnoteText"/>
        <w:rPr>
          <w:rFonts w:cs="Arial"/>
          <w:sz w:val="18"/>
          <w:szCs w:val="18"/>
        </w:rPr>
      </w:pPr>
      <w:r>
        <w:rPr>
          <w:rStyle w:val="FootnoteReference"/>
        </w:rPr>
        <w:footnoteRef/>
      </w:r>
      <w:r>
        <w:t xml:space="preserve"> </w:t>
      </w:r>
      <w:r w:rsidRPr="00E35E0F">
        <w:rPr>
          <w:rFonts w:cs="Arial"/>
          <w:sz w:val="18"/>
          <w:szCs w:val="18"/>
        </w:rPr>
        <w:t xml:space="preserve">Protocol for National Use </w:t>
      </w:r>
      <w:hyperlink r:id="rId1" w:history="1">
        <w:r w:rsidRPr="00E35E0F">
          <w:rPr>
            <w:rStyle w:val="Hyperlink"/>
            <w:rFonts w:cs="Arial"/>
            <w:sz w:val="18"/>
            <w:szCs w:val="18"/>
          </w:rPr>
          <w:t>D20-3043288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9A4E" w14:textId="33FCFA69" w:rsidR="00FA64C9" w:rsidRPr="00CB0550" w:rsidRDefault="00FA64C9"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A64C9" w:rsidRPr="002B29B2" w14:paraId="36F83275" w14:textId="77777777" w:rsidTr="00CE6085">
      <w:trPr>
        <w:trHeight w:hRule="exact" w:val="8845"/>
      </w:trPr>
      <w:tc>
        <w:tcPr>
          <w:tcW w:w="11964" w:type="dxa"/>
          <w:vAlign w:val="center"/>
        </w:tcPr>
        <w:p w14:paraId="33394426" w14:textId="77777777" w:rsidR="00FA64C9" w:rsidRPr="002B29B2" w:rsidRDefault="008956C8" w:rsidP="00CE6085">
          <w:pPr>
            <w:ind w:left="-57"/>
            <w:rPr>
              <w:noProof/>
            </w:rPr>
          </w:pPr>
          <w:sdt>
            <w:sdtPr>
              <w:rPr>
                <w:noProof/>
              </w:rPr>
              <w:id w:val="1926993388"/>
              <w:showingPlcHdr/>
              <w:picture/>
            </w:sdtPr>
            <w:sdtEndPr/>
            <w:sdtContent>
              <w:r w:rsidR="00FA64C9" w:rsidRPr="00F71E1E">
                <w:rPr>
                  <w:noProof/>
                </w:rPr>
                <w:drawing>
                  <wp:inline distT="0" distB="0" distL="0" distR="0" wp14:anchorId="20708369" wp14:editId="176E068C">
                    <wp:extent cx="7631430" cy="5523865"/>
                    <wp:effectExtent l="0" t="0" r="762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6AB4855F" w14:textId="35389706" w:rsidR="00FA64C9" w:rsidRDefault="00FA64C9" w:rsidP="00CE6085">
    <w:pPr>
      <w:rPr>
        <w:noProof/>
      </w:rPr>
    </w:pPr>
    <w:r>
      <w:rPr>
        <w:noProof/>
        <w:lang w:eastAsia="en-AU"/>
      </w:rPr>
      <w:drawing>
        <wp:anchor distT="0" distB="0" distL="114300" distR="114300" simplePos="0" relativeHeight="251661312" behindDoc="0" locked="0" layoutInCell="1" allowOverlap="1" wp14:anchorId="72FDF38F" wp14:editId="1375B8D3">
          <wp:simplePos x="0" y="0"/>
          <wp:positionH relativeFrom="column">
            <wp:posOffset>-400050</wp:posOffset>
          </wp:positionH>
          <wp:positionV relativeFrom="paragraph">
            <wp:posOffset>-116205</wp:posOffset>
          </wp:positionV>
          <wp:extent cx="2676525" cy="621665"/>
          <wp:effectExtent l="0" t="0" r="9525" b="698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29B2">
      <w:rPr>
        <w:noProof/>
        <w:lang w:eastAsia="en-AU"/>
      </w:rPr>
      <w:drawing>
        <wp:anchor distT="0" distB="0" distL="114300" distR="114300" simplePos="0" relativeHeight="251660288" behindDoc="0" locked="0" layoutInCell="0" allowOverlap="1" wp14:anchorId="26404481" wp14:editId="0A90D824">
          <wp:simplePos x="0" y="0"/>
          <wp:positionH relativeFrom="page">
            <wp:align>left</wp:align>
          </wp:positionH>
          <wp:positionV relativeFrom="page">
            <wp:posOffset>3239495</wp:posOffset>
          </wp:positionV>
          <wp:extent cx="7663815" cy="4323091"/>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7896" w14:textId="4E8BE43A" w:rsidR="00FA64C9" w:rsidRDefault="00FA64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0D39" w14:textId="67BF6B1F" w:rsidR="00FA64C9" w:rsidRDefault="00FA64C9" w:rsidP="00CE6085">
    <w:pPr>
      <w:pStyle w:val="Header"/>
    </w:pPr>
    <w:r w:rsidRPr="000F5176">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5CC4" w14:textId="0B1F65AA" w:rsidR="00FA64C9" w:rsidRDefault="00FA64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D401" w14:textId="27D482FF" w:rsidR="00FA64C9" w:rsidRDefault="00FA64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8A00" w14:textId="1EB22F34" w:rsidR="00FA64C9" w:rsidRDefault="00FA64C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9C78" w14:textId="357D6D3D" w:rsidR="00FA64C9" w:rsidRPr="00FE501F" w:rsidRDefault="00FA64C9" w:rsidP="00CE6085">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968"/>
    <w:multiLevelType w:val="hybridMultilevel"/>
    <w:tmpl w:val="B30EA4C0"/>
    <w:lvl w:ilvl="0" w:tplc="44CCB2BA">
      <w:start w:val="1"/>
      <w:numFmt w:val="bullet"/>
      <w:lvlText w:val=""/>
      <w:lvlJc w:val="left"/>
      <w:pPr>
        <w:ind w:left="360" w:hanging="360"/>
      </w:pPr>
      <w:rPr>
        <w:rFonts w:ascii="Symbol" w:hAnsi="Symbol" w:hint="default"/>
      </w:rPr>
    </w:lvl>
    <w:lvl w:ilvl="1" w:tplc="0D8E4434">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AA6521"/>
    <w:multiLevelType w:val="hybridMultilevel"/>
    <w:tmpl w:val="02942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6225D"/>
    <w:multiLevelType w:val="hybridMultilevel"/>
    <w:tmpl w:val="159EA72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AFA4276"/>
    <w:multiLevelType w:val="hybridMultilevel"/>
    <w:tmpl w:val="4B08E760"/>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68F13E9"/>
    <w:multiLevelType w:val="multilevel"/>
    <w:tmpl w:val="7C7C2336"/>
    <w:styleLink w:val="ListBullets"/>
    <w:lvl w:ilvl="0">
      <w:start w:val="4"/>
      <w:numFmt w:val="bullet"/>
      <w:pStyle w:val="ListBullet"/>
      <w:lvlText w:val="•"/>
      <w:lvlJc w:val="left"/>
      <w:pPr>
        <w:ind w:left="121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86D3765"/>
    <w:multiLevelType w:val="hybridMultilevel"/>
    <w:tmpl w:val="AB2C649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187E530A"/>
    <w:multiLevelType w:val="hybridMultilevel"/>
    <w:tmpl w:val="DF7AD530"/>
    <w:lvl w:ilvl="0" w:tplc="3B20AD34">
      <w:start w:val="1"/>
      <w:numFmt w:val="bullet"/>
      <w:lvlText w:val=""/>
      <w:lvlJc w:val="left"/>
      <w:pPr>
        <w:ind w:left="720" w:hanging="360"/>
      </w:pPr>
      <w:rPr>
        <w:rFonts w:ascii="Symbol" w:hAnsi="Symbol"/>
      </w:rPr>
    </w:lvl>
    <w:lvl w:ilvl="1" w:tplc="2CC6003C">
      <w:start w:val="1"/>
      <w:numFmt w:val="bullet"/>
      <w:lvlText w:val=""/>
      <w:lvlJc w:val="left"/>
      <w:pPr>
        <w:ind w:left="720" w:hanging="360"/>
      </w:pPr>
      <w:rPr>
        <w:rFonts w:ascii="Symbol" w:hAnsi="Symbol"/>
      </w:rPr>
    </w:lvl>
    <w:lvl w:ilvl="2" w:tplc="7C8C8588">
      <w:start w:val="1"/>
      <w:numFmt w:val="bullet"/>
      <w:lvlText w:val=""/>
      <w:lvlJc w:val="left"/>
      <w:pPr>
        <w:ind w:left="720" w:hanging="360"/>
      </w:pPr>
      <w:rPr>
        <w:rFonts w:ascii="Symbol" w:hAnsi="Symbol"/>
      </w:rPr>
    </w:lvl>
    <w:lvl w:ilvl="3" w:tplc="57BC2566">
      <w:start w:val="1"/>
      <w:numFmt w:val="bullet"/>
      <w:lvlText w:val=""/>
      <w:lvlJc w:val="left"/>
      <w:pPr>
        <w:ind w:left="720" w:hanging="360"/>
      </w:pPr>
      <w:rPr>
        <w:rFonts w:ascii="Symbol" w:hAnsi="Symbol"/>
      </w:rPr>
    </w:lvl>
    <w:lvl w:ilvl="4" w:tplc="3A647BCE">
      <w:start w:val="1"/>
      <w:numFmt w:val="bullet"/>
      <w:lvlText w:val=""/>
      <w:lvlJc w:val="left"/>
      <w:pPr>
        <w:ind w:left="720" w:hanging="360"/>
      </w:pPr>
      <w:rPr>
        <w:rFonts w:ascii="Symbol" w:hAnsi="Symbol"/>
      </w:rPr>
    </w:lvl>
    <w:lvl w:ilvl="5" w:tplc="0D8E6E74">
      <w:start w:val="1"/>
      <w:numFmt w:val="bullet"/>
      <w:lvlText w:val=""/>
      <w:lvlJc w:val="left"/>
      <w:pPr>
        <w:ind w:left="720" w:hanging="360"/>
      </w:pPr>
      <w:rPr>
        <w:rFonts w:ascii="Symbol" w:hAnsi="Symbol"/>
      </w:rPr>
    </w:lvl>
    <w:lvl w:ilvl="6" w:tplc="DF229F34">
      <w:start w:val="1"/>
      <w:numFmt w:val="bullet"/>
      <w:lvlText w:val=""/>
      <w:lvlJc w:val="left"/>
      <w:pPr>
        <w:ind w:left="720" w:hanging="360"/>
      </w:pPr>
      <w:rPr>
        <w:rFonts w:ascii="Symbol" w:hAnsi="Symbol"/>
      </w:rPr>
    </w:lvl>
    <w:lvl w:ilvl="7" w:tplc="3008E88C">
      <w:start w:val="1"/>
      <w:numFmt w:val="bullet"/>
      <w:lvlText w:val=""/>
      <w:lvlJc w:val="left"/>
      <w:pPr>
        <w:ind w:left="720" w:hanging="360"/>
      </w:pPr>
      <w:rPr>
        <w:rFonts w:ascii="Symbol" w:hAnsi="Symbol"/>
      </w:rPr>
    </w:lvl>
    <w:lvl w:ilvl="8" w:tplc="EA08EC9E">
      <w:start w:val="1"/>
      <w:numFmt w:val="bullet"/>
      <w:lvlText w:val=""/>
      <w:lvlJc w:val="left"/>
      <w:pPr>
        <w:ind w:left="720" w:hanging="360"/>
      </w:pPr>
      <w:rPr>
        <w:rFonts w:ascii="Symbol" w:hAnsi="Symbol"/>
      </w:rPr>
    </w:lvl>
  </w:abstractNum>
  <w:abstractNum w:abstractNumId="9" w15:restartNumberingAfterBreak="0">
    <w:nsid w:val="22456C9A"/>
    <w:multiLevelType w:val="hybridMultilevel"/>
    <w:tmpl w:val="321C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FB1C56"/>
    <w:multiLevelType w:val="multilevel"/>
    <w:tmpl w:val="563A6F24"/>
    <w:lvl w:ilvl="0">
      <w:start w:val="1"/>
      <w:numFmt w:val="bullet"/>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1" w15:restartNumberingAfterBreak="0">
    <w:nsid w:val="28661D1B"/>
    <w:multiLevelType w:val="hybridMultilevel"/>
    <w:tmpl w:val="28966AC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130793"/>
    <w:multiLevelType w:val="hybridMultilevel"/>
    <w:tmpl w:val="6AFCDE2E"/>
    <w:lvl w:ilvl="0" w:tplc="AED46BBC">
      <w:start w:val="1"/>
      <w:numFmt w:val="lowerLetter"/>
      <w:lvlText w:val="(%1)"/>
      <w:lvlJc w:val="left"/>
      <w:pPr>
        <w:ind w:left="723" w:hanging="61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3" w15:restartNumberingAfterBreak="0">
    <w:nsid w:val="2DE72D1F"/>
    <w:multiLevelType w:val="hybridMultilevel"/>
    <w:tmpl w:val="834C7FB2"/>
    <w:lvl w:ilvl="0" w:tplc="64884CA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401E36"/>
    <w:multiLevelType w:val="hybridMultilevel"/>
    <w:tmpl w:val="EF4E0D3A"/>
    <w:lvl w:ilvl="0" w:tplc="0C090017">
      <w:start w:val="1"/>
      <w:numFmt w:val="lowerLetter"/>
      <w:lvlText w:val="%1)"/>
      <w:lvlJc w:val="left"/>
      <w:pPr>
        <w:ind w:left="833" w:hanging="360"/>
      </w:pPr>
      <w:rPr>
        <w:rFonts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5" w15:restartNumberingAfterBreak="0">
    <w:nsid w:val="36FA466D"/>
    <w:multiLevelType w:val="hybridMultilevel"/>
    <w:tmpl w:val="13A02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735531"/>
    <w:multiLevelType w:val="hybridMultilevel"/>
    <w:tmpl w:val="3B0CA46A"/>
    <w:lvl w:ilvl="0" w:tplc="19CE43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6B3ED8"/>
    <w:multiLevelType w:val="hybridMultilevel"/>
    <w:tmpl w:val="CAEEB896"/>
    <w:lvl w:ilvl="0" w:tplc="E49E35E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F902573"/>
    <w:multiLevelType w:val="hybridMultilevel"/>
    <w:tmpl w:val="CF64A5F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9" w15:restartNumberingAfterBreak="0">
    <w:nsid w:val="40234AA5"/>
    <w:multiLevelType w:val="hybridMultilevel"/>
    <w:tmpl w:val="6A8E208C"/>
    <w:lvl w:ilvl="0" w:tplc="CA92D178">
      <w:start w:val="1"/>
      <w:numFmt w:val="lowerLetter"/>
      <w:lvlText w:val="(%1)"/>
      <w:lvlJc w:val="left"/>
      <w:pPr>
        <w:ind w:left="723" w:hanging="61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0" w15:restartNumberingAfterBreak="0">
    <w:nsid w:val="472B7696"/>
    <w:multiLevelType w:val="hybridMultilevel"/>
    <w:tmpl w:val="F19EDCCC"/>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492707"/>
    <w:multiLevelType w:val="hybridMultilevel"/>
    <w:tmpl w:val="78BA1524"/>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701D8E"/>
    <w:multiLevelType w:val="hybridMultilevel"/>
    <w:tmpl w:val="0896E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2E6EF7"/>
    <w:multiLevelType w:val="hybridMultilevel"/>
    <w:tmpl w:val="740C8B60"/>
    <w:lvl w:ilvl="0" w:tplc="5792D88C">
      <w:start w:val="1"/>
      <w:numFmt w:val="bullet"/>
      <w:lvlText w:val=""/>
      <w:lvlJc w:val="left"/>
      <w:pPr>
        <w:ind w:left="720" w:hanging="360"/>
      </w:pPr>
      <w:rPr>
        <w:rFonts w:ascii="Symbol" w:hAnsi="Symbol"/>
      </w:rPr>
    </w:lvl>
    <w:lvl w:ilvl="1" w:tplc="30E63594">
      <w:start w:val="1"/>
      <w:numFmt w:val="bullet"/>
      <w:lvlText w:val=""/>
      <w:lvlJc w:val="left"/>
      <w:pPr>
        <w:ind w:left="720" w:hanging="360"/>
      </w:pPr>
      <w:rPr>
        <w:rFonts w:ascii="Symbol" w:hAnsi="Symbol"/>
      </w:rPr>
    </w:lvl>
    <w:lvl w:ilvl="2" w:tplc="FBA451E8">
      <w:start w:val="1"/>
      <w:numFmt w:val="bullet"/>
      <w:lvlText w:val=""/>
      <w:lvlJc w:val="left"/>
      <w:pPr>
        <w:ind w:left="720" w:hanging="360"/>
      </w:pPr>
      <w:rPr>
        <w:rFonts w:ascii="Symbol" w:hAnsi="Symbol"/>
      </w:rPr>
    </w:lvl>
    <w:lvl w:ilvl="3" w:tplc="BBD0B9DC">
      <w:start w:val="1"/>
      <w:numFmt w:val="bullet"/>
      <w:lvlText w:val=""/>
      <w:lvlJc w:val="left"/>
      <w:pPr>
        <w:ind w:left="720" w:hanging="360"/>
      </w:pPr>
      <w:rPr>
        <w:rFonts w:ascii="Symbol" w:hAnsi="Symbol"/>
      </w:rPr>
    </w:lvl>
    <w:lvl w:ilvl="4" w:tplc="BC64EDB4">
      <w:start w:val="1"/>
      <w:numFmt w:val="bullet"/>
      <w:lvlText w:val=""/>
      <w:lvlJc w:val="left"/>
      <w:pPr>
        <w:ind w:left="720" w:hanging="360"/>
      </w:pPr>
      <w:rPr>
        <w:rFonts w:ascii="Symbol" w:hAnsi="Symbol"/>
      </w:rPr>
    </w:lvl>
    <w:lvl w:ilvl="5" w:tplc="91501994">
      <w:start w:val="1"/>
      <w:numFmt w:val="bullet"/>
      <w:lvlText w:val=""/>
      <w:lvlJc w:val="left"/>
      <w:pPr>
        <w:ind w:left="720" w:hanging="360"/>
      </w:pPr>
      <w:rPr>
        <w:rFonts w:ascii="Symbol" w:hAnsi="Symbol"/>
      </w:rPr>
    </w:lvl>
    <w:lvl w:ilvl="6" w:tplc="A4887B5E">
      <w:start w:val="1"/>
      <w:numFmt w:val="bullet"/>
      <w:lvlText w:val=""/>
      <w:lvlJc w:val="left"/>
      <w:pPr>
        <w:ind w:left="720" w:hanging="360"/>
      </w:pPr>
      <w:rPr>
        <w:rFonts w:ascii="Symbol" w:hAnsi="Symbol"/>
      </w:rPr>
    </w:lvl>
    <w:lvl w:ilvl="7" w:tplc="298C5EA0">
      <w:start w:val="1"/>
      <w:numFmt w:val="bullet"/>
      <w:lvlText w:val=""/>
      <w:lvlJc w:val="left"/>
      <w:pPr>
        <w:ind w:left="720" w:hanging="360"/>
      </w:pPr>
      <w:rPr>
        <w:rFonts w:ascii="Symbol" w:hAnsi="Symbol"/>
      </w:rPr>
    </w:lvl>
    <w:lvl w:ilvl="8" w:tplc="97D08216">
      <w:start w:val="1"/>
      <w:numFmt w:val="bullet"/>
      <w:lvlText w:val=""/>
      <w:lvlJc w:val="left"/>
      <w:pPr>
        <w:ind w:left="720" w:hanging="360"/>
      </w:pPr>
      <w:rPr>
        <w:rFonts w:ascii="Symbol" w:hAnsi="Symbol"/>
      </w:rPr>
    </w:lvl>
  </w:abstractNum>
  <w:abstractNum w:abstractNumId="24"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5"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D2B1F"/>
    <w:multiLevelType w:val="hybridMultilevel"/>
    <w:tmpl w:val="DDBCF4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65A0807"/>
    <w:multiLevelType w:val="hybridMultilevel"/>
    <w:tmpl w:val="E92255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9F01B6"/>
    <w:multiLevelType w:val="hybridMultilevel"/>
    <w:tmpl w:val="156AFC96"/>
    <w:lvl w:ilvl="0" w:tplc="C040CC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0237DF"/>
    <w:multiLevelType w:val="hybridMultilevel"/>
    <w:tmpl w:val="8D30CFFC"/>
    <w:lvl w:ilvl="0" w:tplc="8CFACA3A">
      <w:start w:val="1"/>
      <w:numFmt w:val="bullet"/>
      <w:lvlText w:val=""/>
      <w:lvlJc w:val="left"/>
      <w:pPr>
        <w:ind w:left="785" w:hanging="360"/>
      </w:pPr>
      <w:rPr>
        <w:rFonts w:ascii="Symbol" w:hAnsi="Symbol" w:hint="default"/>
      </w:rPr>
    </w:lvl>
    <w:lvl w:ilvl="1" w:tplc="D7F0923A">
      <w:start w:val="1"/>
      <w:numFmt w:val="bullet"/>
      <w:lvlText w:val=""/>
      <w:lvlJc w:val="left"/>
      <w:pPr>
        <w:ind w:left="1505" w:hanging="360"/>
      </w:pPr>
      <w:rPr>
        <w:rFonts w:ascii="Symbol" w:hAnsi="Symbol"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0" w15:restartNumberingAfterBreak="0">
    <w:nsid w:val="5C7A6E58"/>
    <w:multiLevelType w:val="hybridMultilevel"/>
    <w:tmpl w:val="0AB2B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4F6A05"/>
    <w:multiLevelType w:val="hybridMultilevel"/>
    <w:tmpl w:val="EDFC9E72"/>
    <w:lvl w:ilvl="0" w:tplc="5E72D21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6C090D"/>
    <w:multiLevelType w:val="hybridMultilevel"/>
    <w:tmpl w:val="3920EB1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434320B"/>
    <w:multiLevelType w:val="hybridMultilevel"/>
    <w:tmpl w:val="38C68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064586"/>
    <w:multiLevelType w:val="hybridMultilevel"/>
    <w:tmpl w:val="50D67B2C"/>
    <w:lvl w:ilvl="0" w:tplc="0C090017">
      <w:start w:val="1"/>
      <w:numFmt w:val="lowerLetter"/>
      <w:lvlText w:val="%1)"/>
      <w:lvlJc w:val="left"/>
      <w:pPr>
        <w:ind w:left="833" w:hanging="360"/>
      </w:pPr>
      <w:rPr>
        <w:rFonts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35" w15:restartNumberingAfterBreak="0">
    <w:nsid w:val="7AE32540"/>
    <w:multiLevelType w:val="hybridMultilevel"/>
    <w:tmpl w:val="9C26D5A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7C5B74E5"/>
    <w:multiLevelType w:val="hybridMultilevel"/>
    <w:tmpl w:val="A1A0173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16cid:durableId="1500316751">
    <w:abstractNumId w:val="6"/>
  </w:num>
  <w:num w:numId="2" w16cid:durableId="678116987">
    <w:abstractNumId w:val="4"/>
  </w:num>
  <w:num w:numId="3" w16cid:durableId="1788041508">
    <w:abstractNumId w:val="5"/>
  </w:num>
  <w:num w:numId="4" w16cid:durableId="1055929600">
    <w:abstractNumId w:val="25"/>
  </w:num>
  <w:num w:numId="5" w16cid:durableId="2146002908">
    <w:abstractNumId w:val="10"/>
  </w:num>
  <w:num w:numId="6" w16cid:durableId="1583028327">
    <w:abstractNumId w:val="24"/>
  </w:num>
  <w:num w:numId="7" w16cid:durableId="724378444">
    <w:abstractNumId w:val="13"/>
  </w:num>
  <w:num w:numId="8" w16cid:durableId="106396332">
    <w:abstractNumId w:val="36"/>
  </w:num>
  <w:num w:numId="9" w16cid:durableId="1083643691">
    <w:abstractNumId w:val="22"/>
  </w:num>
  <w:num w:numId="10" w16cid:durableId="1504928742">
    <w:abstractNumId w:val="18"/>
  </w:num>
  <w:num w:numId="11" w16cid:durableId="1865703292">
    <w:abstractNumId w:val="27"/>
  </w:num>
  <w:num w:numId="12" w16cid:durableId="811603330">
    <w:abstractNumId w:val="26"/>
  </w:num>
  <w:num w:numId="13" w16cid:durableId="1641112509">
    <w:abstractNumId w:val="32"/>
  </w:num>
  <w:num w:numId="14" w16cid:durableId="1997146116">
    <w:abstractNumId w:val="1"/>
  </w:num>
  <w:num w:numId="15" w16cid:durableId="219250098">
    <w:abstractNumId w:val="28"/>
  </w:num>
  <w:num w:numId="16" w16cid:durableId="2020157985">
    <w:abstractNumId w:val="0"/>
  </w:num>
  <w:num w:numId="17" w16cid:durableId="879365713">
    <w:abstractNumId w:val="29"/>
  </w:num>
  <w:num w:numId="18" w16cid:durableId="1095634099">
    <w:abstractNumId w:val="30"/>
  </w:num>
  <w:num w:numId="19" w16cid:durableId="1056735113">
    <w:abstractNumId w:val="17"/>
  </w:num>
  <w:num w:numId="20" w16cid:durableId="1158839155">
    <w:abstractNumId w:val="15"/>
  </w:num>
  <w:num w:numId="21" w16cid:durableId="1788767493">
    <w:abstractNumId w:val="31"/>
  </w:num>
  <w:num w:numId="22" w16cid:durableId="2132430759">
    <w:abstractNumId w:val="33"/>
  </w:num>
  <w:num w:numId="23" w16cid:durableId="1692416664">
    <w:abstractNumId w:val="16"/>
  </w:num>
  <w:num w:numId="24" w16cid:durableId="1967202686">
    <w:abstractNumId w:val="7"/>
  </w:num>
  <w:num w:numId="25" w16cid:durableId="1721708061">
    <w:abstractNumId w:val="12"/>
  </w:num>
  <w:num w:numId="26" w16cid:durableId="576014223">
    <w:abstractNumId w:val="2"/>
  </w:num>
  <w:num w:numId="27" w16cid:durableId="2003658697">
    <w:abstractNumId w:val="19"/>
  </w:num>
  <w:num w:numId="28" w16cid:durableId="1034574703">
    <w:abstractNumId w:val="14"/>
  </w:num>
  <w:num w:numId="29" w16cid:durableId="2040737879">
    <w:abstractNumId w:val="34"/>
  </w:num>
  <w:num w:numId="30" w16cid:durableId="1790733323">
    <w:abstractNumId w:val="21"/>
  </w:num>
  <w:num w:numId="31" w16cid:durableId="1584870213">
    <w:abstractNumId w:val="11"/>
  </w:num>
  <w:num w:numId="32" w16cid:durableId="1533957252">
    <w:abstractNumId w:val="3"/>
  </w:num>
  <w:num w:numId="33" w16cid:durableId="602421564">
    <w:abstractNumId w:val="20"/>
  </w:num>
  <w:num w:numId="34" w16cid:durableId="2056929577">
    <w:abstractNumId w:val="8"/>
  </w:num>
  <w:num w:numId="35" w16cid:durableId="199706009">
    <w:abstractNumId w:val="23"/>
  </w:num>
  <w:num w:numId="36" w16cid:durableId="1295478314">
    <w:abstractNumId w:val="9"/>
  </w:num>
  <w:num w:numId="37" w16cid:durableId="1347709541">
    <w:abstractNumId w:val="35"/>
  </w:num>
  <w:num w:numId="38" w16cid:durableId="2011172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52390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926C25C-9EEF-4657-9F3A-3AEC2586BDBB}"/>
    <w:docVar w:name="dgnword-eventsink" w:val="627050536"/>
  </w:docVars>
  <w:rsids>
    <w:rsidRoot w:val="003943A7"/>
    <w:rsid w:val="00001DD6"/>
    <w:rsid w:val="000035C1"/>
    <w:rsid w:val="00004764"/>
    <w:rsid w:val="00005AF6"/>
    <w:rsid w:val="000067D6"/>
    <w:rsid w:val="00013E36"/>
    <w:rsid w:val="00014053"/>
    <w:rsid w:val="00014DAC"/>
    <w:rsid w:val="00017B95"/>
    <w:rsid w:val="00017DE7"/>
    <w:rsid w:val="000206D8"/>
    <w:rsid w:val="000218BE"/>
    <w:rsid w:val="0002399A"/>
    <w:rsid w:val="00030E46"/>
    <w:rsid w:val="00032B48"/>
    <w:rsid w:val="00033B6D"/>
    <w:rsid w:val="00034CEC"/>
    <w:rsid w:val="00036487"/>
    <w:rsid w:val="00041797"/>
    <w:rsid w:val="0004253E"/>
    <w:rsid w:val="0004532D"/>
    <w:rsid w:val="000559AB"/>
    <w:rsid w:val="00056897"/>
    <w:rsid w:val="00057CD2"/>
    <w:rsid w:val="00062F64"/>
    <w:rsid w:val="00064461"/>
    <w:rsid w:val="00065B95"/>
    <w:rsid w:val="00065BED"/>
    <w:rsid w:val="00066587"/>
    <w:rsid w:val="00067F44"/>
    <w:rsid w:val="00073DB7"/>
    <w:rsid w:val="00075DC1"/>
    <w:rsid w:val="00080B8D"/>
    <w:rsid w:val="000837FA"/>
    <w:rsid w:val="00084746"/>
    <w:rsid w:val="00084B7B"/>
    <w:rsid w:val="000859F2"/>
    <w:rsid w:val="00087D04"/>
    <w:rsid w:val="00092BF5"/>
    <w:rsid w:val="00093D87"/>
    <w:rsid w:val="00094B81"/>
    <w:rsid w:val="00096787"/>
    <w:rsid w:val="00096E51"/>
    <w:rsid w:val="00097422"/>
    <w:rsid w:val="000A40CD"/>
    <w:rsid w:val="000A42D9"/>
    <w:rsid w:val="000A5C0C"/>
    <w:rsid w:val="000B06D3"/>
    <w:rsid w:val="000B3CE3"/>
    <w:rsid w:val="000B42CC"/>
    <w:rsid w:val="000C30BB"/>
    <w:rsid w:val="000C36F8"/>
    <w:rsid w:val="000C6C2C"/>
    <w:rsid w:val="000C77A1"/>
    <w:rsid w:val="000D0F24"/>
    <w:rsid w:val="000D1AC1"/>
    <w:rsid w:val="000D1F62"/>
    <w:rsid w:val="000D2EDD"/>
    <w:rsid w:val="000E0A0E"/>
    <w:rsid w:val="000E113F"/>
    <w:rsid w:val="000E1B05"/>
    <w:rsid w:val="000E1DFD"/>
    <w:rsid w:val="000E2349"/>
    <w:rsid w:val="000E3721"/>
    <w:rsid w:val="000E6F7F"/>
    <w:rsid w:val="000F15A0"/>
    <w:rsid w:val="000F20AE"/>
    <w:rsid w:val="000F44D9"/>
    <w:rsid w:val="000F52AD"/>
    <w:rsid w:val="000F59C6"/>
    <w:rsid w:val="00101350"/>
    <w:rsid w:val="0010269B"/>
    <w:rsid w:val="00104E2D"/>
    <w:rsid w:val="001058C6"/>
    <w:rsid w:val="001100CD"/>
    <w:rsid w:val="0011291C"/>
    <w:rsid w:val="0011295F"/>
    <w:rsid w:val="00115B62"/>
    <w:rsid w:val="0012053A"/>
    <w:rsid w:val="0012473C"/>
    <w:rsid w:val="00125913"/>
    <w:rsid w:val="00126095"/>
    <w:rsid w:val="001312D5"/>
    <w:rsid w:val="001323B8"/>
    <w:rsid w:val="00133B14"/>
    <w:rsid w:val="001414EF"/>
    <w:rsid w:val="0014172E"/>
    <w:rsid w:val="0014350A"/>
    <w:rsid w:val="00153BDA"/>
    <w:rsid w:val="001551D8"/>
    <w:rsid w:val="00155527"/>
    <w:rsid w:val="00163475"/>
    <w:rsid w:val="00163E78"/>
    <w:rsid w:val="001663BC"/>
    <w:rsid w:val="0016756D"/>
    <w:rsid w:val="00171932"/>
    <w:rsid w:val="001726B9"/>
    <w:rsid w:val="00175CD8"/>
    <w:rsid w:val="00182CB8"/>
    <w:rsid w:val="00184175"/>
    <w:rsid w:val="00184460"/>
    <w:rsid w:val="00185925"/>
    <w:rsid w:val="001920CD"/>
    <w:rsid w:val="00192D47"/>
    <w:rsid w:val="00196731"/>
    <w:rsid w:val="0019695F"/>
    <w:rsid w:val="00197CF6"/>
    <w:rsid w:val="001A0E10"/>
    <w:rsid w:val="001A14AD"/>
    <w:rsid w:val="001A20AF"/>
    <w:rsid w:val="001A340A"/>
    <w:rsid w:val="001B199A"/>
    <w:rsid w:val="001B717E"/>
    <w:rsid w:val="001B73FC"/>
    <w:rsid w:val="001C1717"/>
    <w:rsid w:val="001C3E25"/>
    <w:rsid w:val="001C51D0"/>
    <w:rsid w:val="001C5704"/>
    <w:rsid w:val="001C5A20"/>
    <w:rsid w:val="001D44FF"/>
    <w:rsid w:val="001D6B03"/>
    <w:rsid w:val="001D7695"/>
    <w:rsid w:val="001D7B7C"/>
    <w:rsid w:val="001E4C3B"/>
    <w:rsid w:val="001F0F33"/>
    <w:rsid w:val="001F3C3B"/>
    <w:rsid w:val="001F72D3"/>
    <w:rsid w:val="00200698"/>
    <w:rsid w:val="002010EF"/>
    <w:rsid w:val="00203AB2"/>
    <w:rsid w:val="00204098"/>
    <w:rsid w:val="00204DF0"/>
    <w:rsid w:val="00211115"/>
    <w:rsid w:val="00211AAE"/>
    <w:rsid w:val="00213691"/>
    <w:rsid w:val="002150B3"/>
    <w:rsid w:val="002164B5"/>
    <w:rsid w:val="00217871"/>
    <w:rsid w:val="00222102"/>
    <w:rsid w:val="00222F09"/>
    <w:rsid w:val="002248CE"/>
    <w:rsid w:val="00225583"/>
    <w:rsid w:val="00227BE0"/>
    <w:rsid w:val="00231533"/>
    <w:rsid w:val="00231A0A"/>
    <w:rsid w:val="002327F2"/>
    <w:rsid w:val="002328C6"/>
    <w:rsid w:val="00232A79"/>
    <w:rsid w:val="00235CD6"/>
    <w:rsid w:val="0023606D"/>
    <w:rsid w:val="00236A34"/>
    <w:rsid w:val="002402B6"/>
    <w:rsid w:val="002409F2"/>
    <w:rsid w:val="00243AD4"/>
    <w:rsid w:val="002440A3"/>
    <w:rsid w:val="0024448A"/>
    <w:rsid w:val="00244A59"/>
    <w:rsid w:val="00245558"/>
    <w:rsid w:val="00245FAE"/>
    <w:rsid w:val="00250867"/>
    <w:rsid w:val="0025627F"/>
    <w:rsid w:val="00260371"/>
    <w:rsid w:val="00261AE5"/>
    <w:rsid w:val="0027011C"/>
    <w:rsid w:val="00270B4C"/>
    <w:rsid w:val="00270E1C"/>
    <w:rsid w:val="00282F8E"/>
    <w:rsid w:val="00283E88"/>
    <w:rsid w:val="00284520"/>
    <w:rsid w:val="002857FB"/>
    <w:rsid w:val="002879E9"/>
    <w:rsid w:val="00290D74"/>
    <w:rsid w:val="002917CC"/>
    <w:rsid w:val="00293964"/>
    <w:rsid w:val="00295D67"/>
    <w:rsid w:val="002A1E42"/>
    <w:rsid w:val="002A22AC"/>
    <w:rsid w:val="002A3EFC"/>
    <w:rsid w:val="002A5512"/>
    <w:rsid w:val="002A6677"/>
    <w:rsid w:val="002B2E9D"/>
    <w:rsid w:val="002B48F7"/>
    <w:rsid w:val="002B67BA"/>
    <w:rsid w:val="002C3413"/>
    <w:rsid w:val="002C65E6"/>
    <w:rsid w:val="002D0DB0"/>
    <w:rsid w:val="002D101E"/>
    <w:rsid w:val="002D5536"/>
    <w:rsid w:val="002D6367"/>
    <w:rsid w:val="002D6BC3"/>
    <w:rsid w:val="002E00B1"/>
    <w:rsid w:val="002E54E2"/>
    <w:rsid w:val="002F00A0"/>
    <w:rsid w:val="002F124C"/>
    <w:rsid w:val="002F1F9B"/>
    <w:rsid w:val="003008D8"/>
    <w:rsid w:val="00300C8A"/>
    <w:rsid w:val="0030274C"/>
    <w:rsid w:val="0030468D"/>
    <w:rsid w:val="003066B3"/>
    <w:rsid w:val="00311369"/>
    <w:rsid w:val="00311F37"/>
    <w:rsid w:val="00315B22"/>
    <w:rsid w:val="003172F2"/>
    <w:rsid w:val="0032128D"/>
    <w:rsid w:val="00321290"/>
    <w:rsid w:val="0032245C"/>
    <w:rsid w:val="0032479F"/>
    <w:rsid w:val="00325D1F"/>
    <w:rsid w:val="00326DFD"/>
    <w:rsid w:val="00327E66"/>
    <w:rsid w:val="00335A8C"/>
    <w:rsid w:val="00340506"/>
    <w:rsid w:val="00343AB9"/>
    <w:rsid w:val="00345BEA"/>
    <w:rsid w:val="003466A8"/>
    <w:rsid w:val="00347E78"/>
    <w:rsid w:val="00347F21"/>
    <w:rsid w:val="0035061C"/>
    <w:rsid w:val="00350CFB"/>
    <w:rsid w:val="003536F9"/>
    <w:rsid w:val="0035444D"/>
    <w:rsid w:val="00361426"/>
    <w:rsid w:val="00361D79"/>
    <w:rsid w:val="0036362E"/>
    <w:rsid w:val="00364DFC"/>
    <w:rsid w:val="00371875"/>
    <w:rsid w:val="00373C77"/>
    <w:rsid w:val="00374719"/>
    <w:rsid w:val="00381C2A"/>
    <w:rsid w:val="00381FF1"/>
    <w:rsid w:val="003824F3"/>
    <w:rsid w:val="00382D54"/>
    <w:rsid w:val="00383E0E"/>
    <w:rsid w:val="00386354"/>
    <w:rsid w:val="00387787"/>
    <w:rsid w:val="00392065"/>
    <w:rsid w:val="003943A7"/>
    <w:rsid w:val="0039509C"/>
    <w:rsid w:val="003A2465"/>
    <w:rsid w:val="003B1E3F"/>
    <w:rsid w:val="003B516D"/>
    <w:rsid w:val="003B5A39"/>
    <w:rsid w:val="003B6920"/>
    <w:rsid w:val="003C09FD"/>
    <w:rsid w:val="003C0A30"/>
    <w:rsid w:val="003C1659"/>
    <w:rsid w:val="003C47C7"/>
    <w:rsid w:val="003C5B61"/>
    <w:rsid w:val="003C7E68"/>
    <w:rsid w:val="003D0115"/>
    <w:rsid w:val="003D030E"/>
    <w:rsid w:val="003D0BF9"/>
    <w:rsid w:val="003D1552"/>
    <w:rsid w:val="003D31EE"/>
    <w:rsid w:val="003D5FDE"/>
    <w:rsid w:val="003D634A"/>
    <w:rsid w:val="003E0203"/>
    <w:rsid w:val="003E0365"/>
    <w:rsid w:val="003E14C2"/>
    <w:rsid w:val="003E42FB"/>
    <w:rsid w:val="003F44C3"/>
    <w:rsid w:val="003F48F9"/>
    <w:rsid w:val="003F7659"/>
    <w:rsid w:val="0040089A"/>
    <w:rsid w:val="00404FF9"/>
    <w:rsid w:val="0040777B"/>
    <w:rsid w:val="00417A75"/>
    <w:rsid w:val="00421D10"/>
    <w:rsid w:val="004246B8"/>
    <w:rsid w:val="00426D65"/>
    <w:rsid w:val="004273A7"/>
    <w:rsid w:val="00433693"/>
    <w:rsid w:val="0044069E"/>
    <w:rsid w:val="0044165D"/>
    <w:rsid w:val="00446337"/>
    <w:rsid w:val="00456D57"/>
    <w:rsid w:val="0046200F"/>
    <w:rsid w:val="00463615"/>
    <w:rsid w:val="00463CC3"/>
    <w:rsid w:val="00464281"/>
    <w:rsid w:val="00470DD0"/>
    <w:rsid w:val="00472132"/>
    <w:rsid w:val="00472C43"/>
    <w:rsid w:val="004730DA"/>
    <w:rsid w:val="004732B4"/>
    <w:rsid w:val="00475684"/>
    <w:rsid w:val="004839D6"/>
    <w:rsid w:val="00492BF4"/>
    <w:rsid w:val="00494FF7"/>
    <w:rsid w:val="0049521F"/>
    <w:rsid w:val="004962A7"/>
    <w:rsid w:val="004966F3"/>
    <w:rsid w:val="004A119B"/>
    <w:rsid w:val="004A280E"/>
    <w:rsid w:val="004A46A3"/>
    <w:rsid w:val="004A77C4"/>
    <w:rsid w:val="004B04E8"/>
    <w:rsid w:val="004B0750"/>
    <w:rsid w:val="004B177D"/>
    <w:rsid w:val="004B1E6D"/>
    <w:rsid w:val="004B4E3B"/>
    <w:rsid w:val="004C5732"/>
    <w:rsid w:val="004C6996"/>
    <w:rsid w:val="004C6F70"/>
    <w:rsid w:val="004C7890"/>
    <w:rsid w:val="004C7E68"/>
    <w:rsid w:val="004D15E6"/>
    <w:rsid w:val="004D2167"/>
    <w:rsid w:val="004D21F3"/>
    <w:rsid w:val="004D2D12"/>
    <w:rsid w:val="004D4A50"/>
    <w:rsid w:val="004D4C0C"/>
    <w:rsid w:val="004D6437"/>
    <w:rsid w:val="004D68A7"/>
    <w:rsid w:val="004D7CF2"/>
    <w:rsid w:val="004E0536"/>
    <w:rsid w:val="004E0BE6"/>
    <w:rsid w:val="004E49F3"/>
    <w:rsid w:val="004E68B4"/>
    <w:rsid w:val="004E7886"/>
    <w:rsid w:val="004F40FC"/>
    <w:rsid w:val="004F5586"/>
    <w:rsid w:val="00500F77"/>
    <w:rsid w:val="00501361"/>
    <w:rsid w:val="005039D4"/>
    <w:rsid w:val="005079E3"/>
    <w:rsid w:val="00514478"/>
    <w:rsid w:val="005146FF"/>
    <w:rsid w:val="005157BB"/>
    <w:rsid w:val="00515F67"/>
    <w:rsid w:val="00517DC6"/>
    <w:rsid w:val="00522785"/>
    <w:rsid w:val="0052435E"/>
    <w:rsid w:val="00526247"/>
    <w:rsid w:val="00530669"/>
    <w:rsid w:val="00535D2E"/>
    <w:rsid w:val="00546CBF"/>
    <w:rsid w:val="00546DF7"/>
    <w:rsid w:val="005511CE"/>
    <w:rsid w:val="00551CF3"/>
    <w:rsid w:val="005525CA"/>
    <w:rsid w:val="005533FE"/>
    <w:rsid w:val="00554172"/>
    <w:rsid w:val="00554F7E"/>
    <w:rsid w:val="00557E0C"/>
    <w:rsid w:val="0056268E"/>
    <w:rsid w:val="005654FA"/>
    <w:rsid w:val="00570147"/>
    <w:rsid w:val="0057211C"/>
    <w:rsid w:val="00573474"/>
    <w:rsid w:val="00575784"/>
    <w:rsid w:val="0058575E"/>
    <w:rsid w:val="0058762C"/>
    <w:rsid w:val="005920E6"/>
    <w:rsid w:val="00595D8E"/>
    <w:rsid w:val="00596627"/>
    <w:rsid w:val="005A263F"/>
    <w:rsid w:val="005A3CBA"/>
    <w:rsid w:val="005A6DAE"/>
    <w:rsid w:val="005B3782"/>
    <w:rsid w:val="005B70AC"/>
    <w:rsid w:val="005B7EE7"/>
    <w:rsid w:val="005C07E8"/>
    <w:rsid w:val="005C0C4E"/>
    <w:rsid w:val="005C4180"/>
    <w:rsid w:val="005C5891"/>
    <w:rsid w:val="005C7255"/>
    <w:rsid w:val="005D2E5F"/>
    <w:rsid w:val="005D60F9"/>
    <w:rsid w:val="005E1C47"/>
    <w:rsid w:val="005E3BDE"/>
    <w:rsid w:val="005E670E"/>
    <w:rsid w:val="005E728C"/>
    <w:rsid w:val="005F212B"/>
    <w:rsid w:val="005F3580"/>
    <w:rsid w:val="005F36E6"/>
    <w:rsid w:val="005F3A35"/>
    <w:rsid w:val="005F74AE"/>
    <w:rsid w:val="00601CF3"/>
    <w:rsid w:val="00602D96"/>
    <w:rsid w:val="00603F0B"/>
    <w:rsid w:val="00604BF6"/>
    <w:rsid w:val="00605698"/>
    <w:rsid w:val="0061107C"/>
    <w:rsid w:val="00611719"/>
    <w:rsid w:val="006128F4"/>
    <w:rsid w:val="006137E4"/>
    <w:rsid w:val="006142B3"/>
    <w:rsid w:val="00614D43"/>
    <w:rsid w:val="006222A5"/>
    <w:rsid w:val="0062249D"/>
    <w:rsid w:val="006225B9"/>
    <w:rsid w:val="00622AFF"/>
    <w:rsid w:val="00636008"/>
    <w:rsid w:val="00642357"/>
    <w:rsid w:val="006446E1"/>
    <w:rsid w:val="00647591"/>
    <w:rsid w:val="00651792"/>
    <w:rsid w:val="0065418F"/>
    <w:rsid w:val="00655FCE"/>
    <w:rsid w:val="00657A3D"/>
    <w:rsid w:val="00661630"/>
    <w:rsid w:val="00664A3A"/>
    <w:rsid w:val="00671CF2"/>
    <w:rsid w:val="00672E59"/>
    <w:rsid w:val="00673DA1"/>
    <w:rsid w:val="00674BC8"/>
    <w:rsid w:val="00676896"/>
    <w:rsid w:val="006801D4"/>
    <w:rsid w:val="006948FC"/>
    <w:rsid w:val="006A0BE9"/>
    <w:rsid w:val="006A1BF2"/>
    <w:rsid w:val="006A1F0B"/>
    <w:rsid w:val="006A5CF7"/>
    <w:rsid w:val="006A606A"/>
    <w:rsid w:val="006A629B"/>
    <w:rsid w:val="006B7E09"/>
    <w:rsid w:val="006D04EC"/>
    <w:rsid w:val="006D6334"/>
    <w:rsid w:val="006E25A0"/>
    <w:rsid w:val="006E2A38"/>
    <w:rsid w:val="006E6C53"/>
    <w:rsid w:val="006F544E"/>
    <w:rsid w:val="006F660C"/>
    <w:rsid w:val="006F761F"/>
    <w:rsid w:val="00702AD9"/>
    <w:rsid w:val="00705760"/>
    <w:rsid w:val="00714B9D"/>
    <w:rsid w:val="00715C84"/>
    <w:rsid w:val="00720278"/>
    <w:rsid w:val="00722F8D"/>
    <w:rsid w:val="00727172"/>
    <w:rsid w:val="00732916"/>
    <w:rsid w:val="007344BF"/>
    <w:rsid w:val="007372C2"/>
    <w:rsid w:val="00737D0F"/>
    <w:rsid w:val="007406FE"/>
    <w:rsid w:val="00744D3B"/>
    <w:rsid w:val="00746990"/>
    <w:rsid w:val="00747122"/>
    <w:rsid w:val="00747752"/>
    <w:rsid w:val="007519C1"/>
    <w:rsid w:val="0075212E"/>
    <w:rsid w:val="00752207"/>
    <w:rsid w:val="0075626B"/>
    <w:rsid w:val="00757022"/>
    <w:rsid w:val="007579D5"/>
    <w:rsid w:val="007603A0"/>
    <w:rsid w:val="007606A2"/>
    <w:rsid w:val="00761A90"/>
    <w:rsid w:val="00762211"/>
    <w:rsid w:val="00763A68"/>
    <w:rsid w:val="00764864"/>
    <w:rsid w:val="00766E85"/>
    <w:rsid w:val="007677B3"/>
    <w:rsid w:val="00770379"/>
    <w:rsid w:val="007717A4"/>
    <w:rsid w:val="007764F1"/>
    <w:rsid w:val="007769BA"/>
    <w:rsid w:val="00780810"/>
    <w:rsid w:val="00780B58"/>
    <w:rsid w:val="0078458A"/>
    <w:rsid w:val="00787F49"/>
    <w:rsid w:val="007906DE"/>
    <w:rsid w:val="00793DA3"/>
    <w:rsid w:val="00796425"/>
    <w:rsid w:val="0079656C"/>
    <w:rsid w:val="007A18B2"/>
    <w:rsid w:val="007A1EF5"/>
    <w:rsid w:val="007A3D46"/>
    <w:rsid w:val="007A40FF"/>
    <w:rsid w:val="007A45F7"/>
    <w:rsid w:val="007A4A49"/>
    <w:rsid w:val="007A6B03"/>
    <w:rsid w:val="007B011C"/>
    <w:rsid w:val="007B175C"/>
    <w:rsid w:val="007B1B25"/>
    <w:rsid w:val="007B2F29"/>
    <w:rsid w:val="007B3B65"/>
    <w:rsid w:val="007B512A"/>
    <w:rsid w:val="007C367F"/>
    <w:rsid w:val="007C426A"/>
    <w:rsid w:val="007C6406"/>
    <w:rsid w:val="007C6ADB"/>
    <w:rsid w:val="007D4535"/>
    <w:rsid w:val="007D6F9F"/>
    <w:rsid w:val="007D760D"/>
    <w:rsid w:val="007D7B9A"/>
    <w:rsid w:val="007E0237"/>
    <w:rsid w:val="007E0695"/>
    <w:rsid w:val="007E15E8"/>
    <w:rsid w:val="007E24F9"/>
    <w:rsid w:val="007E69D6"/>
    <w:rsid w:val="007F0A77"/>
    <w:rsid w:val="007F1335"/>
    <w:rsid w:val="007F4B45"/>
    <w:rsid w:val="007F5A06"/>
    <w:rsid w:val="00801153"/>
    <w:rsid w:val="00802B8E"/>
    <w:rsid w:val="00811007"/>
    <w:rsid w:val="0081161D"/>
    <w:rsid w:val="00812E72"/>
    <w:rsid w:val="00814560"/>
    <w:rsid w:val="008170C4"/>
    <w:rsid w:val="008215FE"/>
    <w:rsid w:val="00823777"/>
    <w:rsid w:val="0082683F"/>
    <w:rsid w:val="00832386"/>
    <w:rsid w:val="008329DB"/>
    <w:rsid w:val="00833B68"/>
    <w:rsid w:val="008362D6"/>
    <w:rsid w:val="0083690E"/>
    <w:rsid w:val="00836EF0"/>
    <w:rsid w:val="00837B55"/>
    <w:rsid w:val="00850B5A"/>
    <w:rsid w:val="00853430"/>
    <w:rsid w:val="008563E1"/>
    <w:rsid w:val="0085657E"/>
    <w:rsid w:val="00862272"/>
    <w:rsid w:val="00867BF4"/>
    <w:rsid w:val="008720D5"/>
    <w:rsid w:val="008735F0"/>
    <w:rsid w:val="0087399B"/>
    <w:rsid w:val="00876F82"/>
    <w:rsid w:val="00877B27"/>
    <w:rsid w:val="00880352"/>
    <w:rsid w:val="008854CF"/>
    <w:rsid w:val="008855ED"/>
    <w:rsid w:val="008867EB"/>
    <w:rsid w:val="00887526"/>
    <w:rsid w:val="008910A4"/>
    <w:rsid w:val="00891733"/>
    <w:rsid w:val="00892A07"/>
    <w:rsid w:val="008956C8"/>
    <w:rsid w:val="008964E2"/>
    <w:rsid w:val="008A077B"/>
    <w:rsid w:val="008A3E71"/>
    <w:rsid w:val="008A7902"/>
    <w:rsid w:val="008B100F"/>
    <w:rsid w:val="008B481A"/>
    <w:rsid w:val="008C05D1"/>
    <w:rsid w:val="008C0BCB"/>
    <w:rsid w:val="008C0E96"/>
    <w:rsid w:val="008C21DA"/>
    <w:rsid w:val="008C54A0"/>
    <w:rsid w:val="008C7C8A"/>
    <w:rsid w:val="008D03F9"/>
    <w:rsid w:val="008D4FBE"/>
    <w:rsid w:val="008D5B98"/>
    <w:rsid w:val="008D7625"/>
    <w:rsid w:val="008E20F8"/>
    <w:rsid w:val="008E2577"/>
    <w:rsid w:val="008E679F"/>
    <w:rsid w:val="008F07BD"/>
    <w:rsid w:val="008F0D15"/>
    <w:rsid w:val="009019DE"/>
    <w:rsid w:val="009063D0"/>
    <w:rsid w:val="0090767E"/>
    <w:rsid w:val="00913A35"/>
    <w:rsid w:val="00924094"/>
    <w:rsid w:val="00930D58"/>
    <w:rsid w:val="00933057"/>
    <w:rsid w:val="009336DC"/>
    <w:rsid w:val="00935D61"/>
    <w:rsid w:val="00940D94"/>
    <w:rsid w:val="0094227F"/>
    <w:rsid w:val="00943647"/>
    <w:rsid w:val="00944392"/>
    <w:rsid w:val="00946AFD"/>
    <w:rsid w:val="00947B2D"/>
    <w:rsid w:val="00947CB5"/>
    <w:rsid w:val="009533EE"/>
    <w:rsid w:val="0095402E"/>
    <w:rsid w:val="00955FE3"/>
    <w:rsid w:val="00956DA6"/>
    <w:rsid w:val="00963C04"/>
    <w:rsid w:val="00970929"/>
    <w:rsid w:val="00970B1A"/>
    <w:rsid w:val="0097222B"/>
    <w:rsid w:val="00974694"/>
    <w:rsid w:val="00976303"/>
    <w:rsid w:val="0098132E"/>
    <w:rsid w:val="00987144"/>
    <w:rsid w:val="009903F1"/>
    <w:rsid w:val="0099338E"/>
    <w:rsid w:val="00993B11"/>
    <w:rsid w:val="009956BE"/>
    <w:rsid w:val="00996527"/>
    <w:rsid w:val="009A567A"/>
    <w:rsid w:val="009A583C"/>
    <w:rsid w:val="009B10F6"/>
    <w:rsid w:val="009B1D0F"/>
    <w:rsid w:val="009B2B5E"/>
    <w:rsid w:val="009B2EF8"/>
    <w:rsid w:val="009B3AD4"/>
    <w:rsid w:val="009B4DE6"/>
    <w:rsid w:val="009B6B4D"/>
    <w:rsid w:val="009B71B9"/>
    <w:rsid w:val="009C1653"/>
    <w:rsid w:val="009D0201"/>
    <w:rsid w:val="009D220F"/>
    <w:rsid w:val="009D53C1"/>
    <w:rsid w:val="009D6C26"/>
    <w:rsid w:val="009E23F5"/>
    <w:rsid w:val="009E37C2"/>
    <w:rsid w:val="009E45F4"/>
    <w:rsid w:val="009E6886"/>
    <w:rsid w:val="009F2D54"/>
    <w:rsid w:val="009F38A9"/>
    <w:rsid w:val="009F397D"/>
    <w:rsid w:val="009F4CEB"/>
    <w:rsid w:val="009F7D22"/>
    <w:rsid w:val="00A018FF"/>
    <w:rsid w:val="00A02214"/>
    <w:rsid w:val="00A02605"/>
    <w:rsid w:val="00A036DB"/>
    <w:rsid w:val="00A0727F"/>
    <w:rsid w:val="00A11C35"/>
    <w:rsid w:val="00A14F62"/>
    <w:rsid w:val="00A1788A"/>
    <w:rsid w:val="00A2041D"/>
    <w:rsid w:val="00A21A0C"/>
    <w:rsid w:val="00A25431"/>
    <w:rsid w:val="00A27724"/>
    <w:rsid w:val="00A27D66"/>
    <w:rsid w:val="00A31C72"/>
    <w:rsid w:val="00A37994"/>
    <w:rsid w:val="00A379CD"/>
    <w:rsid w:val="00A42C48"/>
    <w:rsid w:val="00A434A9"/>
    <w:rsid w:val="00A4490F"/>
    <w:rsid w:val="00A47AD5"/>
    <w:rsid w:val="00A50C51"/>
    <w:rsid w:val="00A51398"/>
    <w:rsid w:val="00A51875"/>
    <w:rsid w:val="00A52966"/>
    <w:rsid w:val="00A53B01"/>
    <w:rsid w:val="00A54199"/>
    <w:rsid w:val="00A55A4D"/>
    <w:rsid w:val="00A56223"/>
    <w:rsid w:val="00A575B4"/>
    <w:rsid w:val="00A62A92"/>
    <w:rsid w:val="00A649C4"/>
    <w:rsid w:val="00A70695"/>
    <w:rsid w:val="00A71352"/>
    <w:rsid w:val="00A73DC7"/>
    <w:rsid w:val="00A85B9D"/>
    <w:rsid w:val="00A915BA"/>
    <w:rsid w:val="00A943E2"/>
    <w:rsid w:val="00A96507"/>
    <w:rsid w:val="00A96C8F"/>
    <w:rsid w:val="00AA131F"/>
    <w:rsid w:val="00AA2C01"/>
    <w:rsid w:val="00AA4FE8"/>
    <w:rsid w:val="00AA5169"/>
    <w:rsid w:val="00AA5585"/>
    <w:rsid w:val="00AA5BB0"/>
    <w:rsid w:val="00AA5CA6"/>
    <w:rsid w:val="00AB0F33"/>
    <w:rsid w:val="00AB5937"/>
    <w:rsid w:val="00AB7CBF"/>
    <w:rsid w:val="00AC026F"/>
    <w:rsid w:val="00AC2A21"/>
    <w:rsid w:val="00AC39EE"/>
    <w:rsid w:val="00AC4DB7"/>
    <w:rsid w:val="00AC61B6"/>
    <w:rsid w:val="00AC710B"/>
    <w:rsid w:val="00AD0E74"/>
    <w:rsid w:val="00AD2737"/>
    <w:rsid w:val="00AD4574"/>
    <w:rsid w:val="00AE4359"/>
    <w:rsid w:val="00AF0156"/>
    <w:rsid w:val="00AF0E11"/>
    <w:rsid w:val="00AF33F9"/>
    <w:rsid w:val="00B018FA"/>
    <w:rsid w:val="00B022E0"/>
    <w:rsid w:val="00B0262E"/>
    <w:rsid w:val="00B02E9B"/>
    <w:rsid w:val="00B0325C"/>
    <w:rsid w:val="00B0615F"/>
    <w:rsid w:val="00B07374"/>
    <w:rsid w:val="00B077E8"/>
    <w:rsid w:val="00B07CEB"/>
    <w:rsid w:val="00B07E62"/>
    <w:rsid w:val="00B11B35"/>
    <w:rsid w:val="00B14587"/>
    <w:rsid w:val="00B16B62"/>
    <w:rsid w:val="00B219C2"/>
    <w:rsid w:val="00B23151"/>
    <w:rsid w:val="00B23DC0"/>
    <w:rsid w:val="00B23FBB"/>
    <w:rsid w:val="00B32381"/>
    <w:rsid w:val="00B33CAB"/>
    <w:rsid w:val="00B3689D"/>
    <w:rsid w:val="00B408F6"/>
    <w:rsid w:val="00B42332"/>
    <w:rsid w:val="00B443EE"/>
    <w:rsid w:val="00B46BC0"/>
    <w:rsid w:val="00B50462"/>
    <w:rsid w:val="00B51CC4"/>
    <w:rsid w:val="00B529DF"/>
    <w:rsid w:val="00B54FB5"/>
    <w:rsid w:val="00B557AF"/>
    <w:rsid w:val="00B63048"/>
    <w:rsid w:val="00B6514E"/>
    <w:rsid w:val="00B702D5"/>
    <w:rsid w:val="00B70F28"/>
    <w:rsid w:val="00B710F5"/>
    <w:rsid w:val="00B730D0"/>
    <w:rsid w:val="00B8194E"/>
    <w:rsid w:val="00B87C3D"/>
    <w:rsid w:val="00B903AC"/>
    <w:rsid w:val="00B90708"/>
    <w:rsid w:val="00B92823"/>
    <w:rsid w:val="00B943D7"/>
    <w:rsid w:val="00B9684D"/>
    <w:rsid w:val="00BA1B2F"/>
    <w:rsid w:val="00BA29FE"/>
    <w:rsid w:val="00BA396E"/>
    <w:rsid w:val="00BA68D8"/>
    <w:rsid w:val="00BB0EDB"/>
    <w:rsid w:val="00BB25D9"/>
    <w:rsid w:val="00BB59DC"/>
    <w:rsid w:val="00BC0442"/>
    <w:rsid w:val="00BC12DD"/>
    <w:rsid w:val="00BC69A0"/>
    <w:rsid w:val="00BC6EDC"/>
    <w:rsid w:val="00BC708F"/>
    <w:rsid w:val="00BD214D"/>
    <w:rsid w:val="00BD45BB"/>
    <w:rsid w:val="00BE20C9"/>
    <w:rsid w:val="00BE5F87"/>
    <w:rsid w:val="00BE7CD8"/>
    <w:rsid w:val="00BF5641"/>
    <w:rsid w:val="00BF5734"/>
    <w:rsid w:val="00C0028A"/>
    <w:rsid w:val="00C010FA"/>
    <w:rsid w:val="00C04CB6"/>
    <w:rsid w:val="00C055F0"/>
    <w:rsid w:val="00C117E0"/>
    <w:rsid w:val="00C12289"/>
    <w:rsid w:val="00C228C3"/>
    <w:rsid w:val="00C24357"/>
    <w:rsid w:val="00C31F95"/>
    <w:rsid w:val="00C35E88"/>
    <w:rsid w:val="00C40023"/>
    <w:rsid w:val="00C41AE2"/>
    <w:rsid w:val="00C43794"/>
    <w:rsid w:val="00C532D8"/>
    <w:rsid w:val="00C55B4B"/>
    <w:rsid w:val="00C55CC4"/>
    <w:rsid w:val="00C57E0A"/>
    <w:rsid w:val="00C60985"/>
    <w:rsid w:val="00C64ED4"/>
    <w:rsid w:val="00C653E8"/>
    <w:rsid w:val="00C67335"/>
    <w:rsid w:val="00C7146F"/>
    <w:rsid w:val="00C72715"/>
    <w:rsid w:val="00C734C7"/>
    <w:rsid w:val="00C73895"/>
    <w:rsid w:val="00C73D63"/>
    <w:rsid w:val="00C76239"/>
    <w:rsid w:val="00C76BE8"/>
    <w:rsid w:val="00C855DF"/>
    <w:rsid w:val="00C86280"/>
    <w:rsid w:val="00C86ECE"/>
    <w:rsid w:val="00C91551"/>
    <w:rsid w:val="00C935D9"/>
    <w:rsid w:val="00C945BD"/>
    <w:rsid w:val="00C95717"/>
    <w:rsid w:val="00CA4D10"/>
    <w:rsid w:val="00CA555B"/>
    <w:rsid w:val="00CB0550"/>
    <w:rsid w:val="00CB0E43"/>
    <w:rsid w:val="00CB16F5"/>
    <w:rsid w:val="00CB2DF3"/>
    <w:rsid w:val="00CB3670"/>
    <w:rsid w:val="00CB3E5D"/>
    <w:rsid w:val="00CB761D"/>
    <w:rsid w:val="00CC1021"/>
    <w:rsid w:val="00CC115D"/>
    <w:rsid w:val="00CC57E2"/>
    <w:rsid w:val="00CC5E57"/>
    <w:rsid w:val="00CD2074"/>
    <w:rsid w:val="00CD7838"/>
    <w:rsid w:val="00CE07F7"/>
    <w:rsid w:val="00CE1723"/>
    <w:rsid w:val="00CE3B89"/>
    <w:rsid w:val="00CE6049"/>
    <w:rsid w:val="00CE6085"/>
    <w:rsid w:val="00CE7F76"/>
    <w:rsid w:val="00CF1889"/>
    <w:rsid w:val="00CF375F"/>
    <w:rsid w:val="00CF6819"/>
    <w:rsid w:val="00CF6E5A"/>
    <w:rsid w:val="00D02295"/>
    <w:rsid w:val="00D024BC"/>
    <w:rsid w:val="00D07521"/>
    <w:rsid w:val="00D078BE"/>
    <w:rsid w:val="00D1199F"/>
    <w:rsid w:val="00D13141"/>
    <w:rsid w:val="00D13F8A"/>
    <w:rsid w:val="00D16077"/>
    <w:rsid w:val="00D16222"/>
    <w:rsid w:val="00D17664"/>
    <w:rsid w:val="00D21273"/>
    <w:rsid w:val="00D2478C"/>
    <w:rsid w:val="00D247A1"/>
    <w:rsid w:val="00D247F6"/>
    <w:rsid w:val="00D27B3E"/>
    <w:rsid w:val="00D30DEE"/>
    <w:rsid w:val="00D32631"/>
    <w:rsid w:val="00D3645D"/>
    <w:rsid w:val="00D447CA"/>
    <w:rsid w:val="00D50FC0"/>
    <w:rsid w:val="00D51FB9"/>
    <w:rsid w:val="00D5646C"/>
    <w:rsid w:val="00D56485"/>
    <w:rsid w:val="00D57381"/>
    <w:rsid w:val="00D6397D"/>
    <w:rsid w:val="00D652EE"/>
    <w:rsid w:val="00D65BF0"/>
    <w:rsid w:val="00D70BB0"/>
    <w:rsid w:val="00D72E46"/>
    <w:rsid w:val="00D74887"/>
    <w:rsid w:val="00D766E1"/>
    <w:rsid w:val="00D77512"/>
    <w:rsid w:val="00D77E32"/>
    <w:rsid w:val="00D85ADA"/>
    <w:rsid w:val="00D879C1"/>
    <w:rsid w:val="00D90356"/>
    <w:rsid w:val="00D918D5"/>
    <w:rsid w:val="00D94881"/>
    <w:rsid w:val="00DA15D4"/>
    <w:rsid w:val="00DA3876"/>
    <w:rsid w:val="00DA6247"/>
    <w:rsid w:val="00DB2D0A"/>
    <w:rsid w:val="00DB33A0"/>
    <w:rsid w:val="00DB3C97"/>
    <w:rsid w:val="00DB4A9E"/>
    <w:rsid w:val="00DB672E"/>
    <w:rsid w:val="00DB7893"/>
    <w:rsid w:val="00DB7B10"/>
    <w:rsid w:val="00DC5D6F"/>
    <w:rsid w:val="00DC6867"/>
    <w:rsid w:val="00DD0F22"/>
    <w:rsid w:val="00DD2818"/>
    <w:rsid w:val="00DD74C4"/>
    <w:rsid w:val="00DE209C"/>
    <w:rsid w:val="00DE40FB"/>
    <w:rsid w:val="00DF1E55"/>
    <w:rsid w:val="00DF3959"/>
    <w:rsid w:val="00DF785A"/>
    <w:rsid w:val="00E021C3"/>
    <w:rsid w:val="00E050E3"/>
    <w:rsid w:val="00E078FC"/>
    <w:rsid w:val="00E07E72"/>
    <w:rsid w:val="00E105ED"/>
    <w:rsid w:val="00E12E62"/>
    <w:rsid w:val="00E14DE7"/>
    <w:rsid w:val="00E2187B"/>
    <w:rsid w:val="00E21AAE"/>
    <w:rsid w:val="00E22366"/>
    <w:rsid w:val="00E256BA"/>
    <w:rsid w:val="00E258BA"/>
    <w:rsid w:val="00E344A9"/>
    <w:rsid w:val="00E35E0F"/>
    <w:rsid w:val="00E37607"/>
    <w:rsid w:val="00E41ABE"/>
    <w:rsid w:val="00E47E70"/>
    <w:rsid w:val="00E519A3"/>
    <w:rsid w:val="00E52F76"/>
    <w:rsid w:val="00E53D3F"/>
    <w:rsid w:val="00E577DD"/>
    <w:rsid w:val="00E60692"/>
    <w:rsid w:val="00E63299"/>
    <w:rsid w:val="00E632E6"/>
    <w:rsid w:val="00E634EF"/>
    <w:rsid w:val="00E66D01"/>
    <w:rsid w:val="00E70C5E"/>
    <w:rsid w:val="00E713EA"/>
    <w:rsid w:val="00E71BF9"/>
    <w:rsid w:val="00E723AB"/>
    <w:rsid w:val="00E733E5"/>
    <w:rsid w:val="00E735A8"/>
    <w:rsid w:val="00E7398B"/>
    <w:rsid w:val="00E747A9"/>
    <w:rsid w:val="00E74EC8"/>
    <w:rsid w:val="00E81697"/>
    <w:rsid w:val="00E817EC"/>
    <w:rsid w:val="00E84015"/>
    <w:rsid w:val="00E923EC"/>
    <w:rsid w:val="00E93F61"/>
    <w:rsid w:val="00E94F3D"/>
    <w:rsid w:val="00EA2532"/>
    <w:rsid w:val="00EA3CCB"/>
    <w:rsid w:val="00EA5133"/>
    <w:rsid w:val="00EA5936"/>
    <w:rsid w:val="00EB324D"/>
    <w:rsid w:val="00EB3D17"/>
    <w:rsid w:val="00EB50CD"/>
    <w:rsid w:val="00EB5D90"/>
    <w:rsid w:val="00EB6C2B"/>
    <w:rsid w:val="00EC0FEF"/>
    <w:rsid w:val="00EC6886"/>
    <w:rsid w:val="00ED00CB"/>
    <w:rsid w:val="00ED1A4B"/>
    <w:rsid w:val="00ED215F"/>
    <w:rsid w:val="00ED2A74"/>
    <w:rsid w:val="00ED7EEE"/>
    <w:rsid w:val="00EE171E"/>
    <w:rsid w:val="00EE312F"/>
    <w:rsid w:val="00EE4E9A"/>
    <w:rsid w:val="00EE5F79"/>
    <w:rsid w:val="00EE61CE"/>
    <w:rsid w:val="00EE65F2"/>
    <w:rsid w:val="00EF06D5"/>
    <w:rsid w:val="00EF2061"/>
    <w:rsid w:val="00EF34FB"/>
    <w:rsid w:val="00EF4EED"/>
    <w:rsid w:val="00F02AEC"/>
    <w:rsid w:val="00F04CC6"/>
    <w:rsid w:val="00F04ED1"/>
    <w:rsid w:val="00F12DF9"/>
    <w:rsid w:val="00F16EBC"/>
    <w:rsid w:val="00F21CB0"/>
    <w:rsid w:val="00F22CF3"/>
    <w:rsid w:val="00F23822"/>
    <w:rsid w:val="00F25099"/>
    <w:rsid w:val="00F27150"/>
    <w:rsid w:val="00F30860"/>
    <w:rsid w:val="00F309B3"/>
    <w:rsid w:val="00F30FFB"/>
    <w:rsid w:val="00F404F4"/>
    <w:rsid w:val="00F44D84"/>
    <w:rsid w:val="00F5042F"/>
    <w:rsid w:val="00F508AF"/>
    <w:rsid w:val="00F53A01"/>
    <w:rsid w:val="00F53A8A"/>
    <w:rsid w:val="00F53C17"/>
    <w:rsid w:val="00F54799"/>
    <w:rsid w:val="00F63088"/>
    <w:rsid w:val="00F723E3"/>
    <w:rsid w:val="00F75858"/>
    <w:rsid w:val="00F823D2"/>
    <w:rsid w:val="00F8425F"/>
    <w:rsid w:val="00F8506E"/>
    <w:rsid w:val="00F86CB2"/>
    <w:rsid w:val="00F8743F"/>
    <w:rsid w:val="00F878F7"/>
    <w:rsid w:val="00F90874"/>
    <w:rsid w:val="00F90FE8"/>
    <w:rsid w:val="00F91734"/>
    <w:rsid w:val="00F91A06"/>
    <w:rsid w:val="00F952FE"/>
    <w:rsid w:val="00F96AA8"/>
    <w:rsid w:val="00FA2ECE"/>
    <w:rsid w:val="00FA3C49"/>
    <w:rsid w:val="00FA49C3"/>
    <w:rsid w:val="00FA64C9"/>
    <w:rsid w:val="00FB31A8"/>
    <w:rsid w:val="00FB72F5"/>
    <w:rsid w:val="00FC16A6"/>
    <w:rsid w:val="00FC208E"/>
    <w:rsid w:val="00FC4D3C"/>
    <w:rsid w:val="00FC5828"/>
    <w:rsid w:val="00FC5E18"/>
    <w:rsid w:val="00FD11FD"/>
    <w:rsid w:val="00FD1264"/>
    <w:rsid w:val="00FD179A"/>
    <w:rsid w:val="00FD3F7D"/>
    <w:rsid w:val="00FE17FC"/>
    <w:rsid w:val="00FE3693"/>
    <w:rsid w:val="00FE51BA"/>
    <w:rsid w:val="00FE5CA5"/>
    <w:rsid w:val="00FF0D6D"/>
    <w:rsid w:val="00FF23A8"/>
    <w:rsid w:val="00FF4637"/>
    <w:rsid w:val="00FF53D7"/>
    <w:rsid w:val="00FF67DC"/>
    <w:rsid w:val="015387DA"/>
    <w:rsid w:val="03BBB4F2"/>
    <w:rsid w:val="040D2358"/>
    <w:rsid w:val="05D4BE71"/>
    <w:rsid w:val="05FCB647"/>
    <w:rsid w:val="063AE39B"/>
    <w:rsid w:val="0670DBD8"/>
    <w:rsid w:val="06B61C9C"/>
    <w:rsid w:val="07A0EA2D"/>
    <w:rsid w:val="0892DD2E"/>
    <w:rsid w:val="08FF7E54"/>
    <w:rsid w:val="09AB232A"/>
    <w:rsid w:val="0A479258"/>
    <w:rsid w:val="0B30E879"/>
    <w:rsid w:val="1022853F"/>
    <w:rsid w:val="104565DD"/>
    <w:rsid w:val="10E9B0CB"/>
    <w:rsid w:val="12028111"/>
    <w:rsid w:val="1528472E"/>
    <w:rsid w:val="157BE6FC"/>
    <w:rsid w:val="15A90CD3"/>
    <w:rsid w:val="1609AFA8"/>
    <w:rsid w:val="16D568CE"/>
    <w:rsid w:val="16D5F234"/>
    <w:rsid w:val="1717B75D"/>
    <w:rsid w:val="17530AA8"/>
    <w:rsid w:val="1810A454"/>
    <w:rsid w:val="1860EBFD"/>
    <w:rsid w:val="1871C295"/>
    <w:rsid w:val="1B156F64"/>
    <w:rsid w:val="1B57AA4A"/>
    <w:rsid w:val="1BA96357"/>
    <w:rsid w:val="1BEB2880"/>
    <w:rsid w:val="1BF1207A"/>
    <w:rsid w:val="1CFF8F34"/>
    <w:rsid w:val="1DB8EE91"/>
    <w:rsid w:val="1DCBA501"/>
    <w:rsid w:val="1E702F11"/>
    <w:rsid w:val="2069D88B"/>
    <w:rsid w:val="210B230E"/>
    <w:rsid w:val="22202DBA"/>
    <w:rsid w:val="229B547D"/>
    <w:rsid w:val="23BBFE1B"/>
    <w:rsid w:val="2557CE7C"/>
    <w:rsid w:val="25FE1582"/>
    <w:rsid w:val="27E7DC25"/>
    <w:rsid w:val="2A257554"/>
    <w:rsid w:val="2C7FF8B8"/>
    <w:rsid w:val="2CE0A62F"/>
    <w:rsid w:val="2D5B77BD"/>
    <w:rsid w:val="2E04B115"/>
    <w:rsid w:val="2E433F80"/>
    <w:rsid w:val="2F7A0225"/>
    <w:rsid w:val="2F8AD7D2"/>
    <w:rsid w:val="30991AF7"/>
    <w:rsid w:val="332A791E"/>
    <w:rsid w:val="33DA0E70"/>
    <w:rsid w:val="344F5CE0"/>
    <w:rsid w:val="37154065"/>
    <w:rsid w:val="37F7861B"/>
    <w:rsid w:val="393EFF06"/>
    <w:rsid w:val="39EA90AA"/>
    <w:rsid w:val="3C028274"/>
    <w:rsid w:val="3C49CFA4"/>
    <w:rsid w:val="418BA42A"/>
    <w:rsid w:val="42539790"/>
    <w:rsid w:val="42EB3470"/>
    <w:rsid w:val="4534C824"/>
    <w:rsid w:val="469D8E4D"/>
    <w:rsid w:val="47BED020"/>
    <w:rsid w:val="47C1670B"/>
    <w:rsid w:val="4876C722"/>
    <w:rsid w:val="4AAB2848"/>
    <w:rsid w:val="4ADC845B"/>
    <w:rsid w:val="4C04F7BE"/>
    <w:rsid w:val="4D98A817"/>
    <w:rsid w:val="4EDDE20B"/>
    <w:rsid w:val="51C94D61"/>
    <w:rsid w:val="51D8BC5F"/>
    <w:rsid w:val="53A8A9FE"/>
    <w:rsid w:val="53F70956"/>
    <w:rsid w:val="54376C57"/>
    <w:rsid w:val="545F16D2"/>
    <w:rsid w:val="55CBC4EA"/>
    <w:rsid w:val="5886AA3A"/>
    <w:rsid w:val="59D0BBE0"/>
    <w:rsid w:val="5E2CD557"/>
    <w:rsid w:val="5F34DF18"/>
    <w:rsid w:val="5FD748C8"/>
    <w:rsid w:val="61D4E8EB"/>
    <w:rsid w:val="62AC8943"/>
    <w:rsid w:val="6456F381"/>
    <w:rsid w:val="658D5633"/>
    <w:rsid w:val="65F2C3E2"/>
    <w:rsid w:val="6607869A"/>
    <w:rsid w:val="688EBB02"/>
    <w:rsid w:val="688EED85"/>
    <w:rsid w:val="68CA5A85"/>
    <w:rsid w:val="697582B1"/>
    <w:rsid w:val="69A8057D"/>
    <w:rsid w:val="6A3E236D"/>
    <w:rsid w:val="6B4B681E"/>
    <w:rsid w:val="6BC924D3"/>
    <w:rsid w:val="6E3D95FC"/>
    <w:rsid w:val="7078AA1E"/>
    <w:rsid w:val="70A3B603"/>
    <w:rsid w:val="721353CD"/>
    <w:rsid w:val="73E51EC3"/>
    <w:rsid w:val="75027F7E"/>
    <w:rsid w:val="750E0122"/>
    <w:rsid w:val="7532A0FC"/>
    <w:rsid w:val="75E83866"/>
    <w:rsid w:val="763357CD"/>
    <w:rsid w:val="783E4358"/>
    <w:rsid w:val="79974EAB"/>
    <w:rsid w:val="7ABCD77E"/>
    <w:rsid w:val="7B41BEC0"/>
    <w:rsid w:val="7BC1DFFD"/>
    <w:rsid w:val="7C3A23A8"/>
    <w:rsid w:val="7C3E518D"/>
    <w:rsid w:val="7C58A7DF"/>
    <w:rsid w:val="7D1E1799"/>
    <w:rsid w:val="7D766491"/>
    <w:rsid w:val="7DF47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D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79"/>
    <w:rPr>
      <w:rFonts w:ascii="Arial" w:hAnsi="Arial"/>
    </w:rPr>
  </w:style>
  <w:style w:type="paragraph" w:styleId="Heading2">
    <w:name w:val="heading 2"/>
    <w:basedOn w:val="Normal"/>
    <w:next w:val="Normal"/>
    <w:link w:val="Heading2Char"/>
    <w:qFormat/>
    <w:rsid w:val="00F02AEC"/>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eastAsia="Cambria"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eastAsia="Times New Roman"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eastAsia="Times New Roman" w:cs="Times New Roman"/>
      <w:b/>
      <w:bCs/>
      <w:i/>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F02AEC"/>
    <w:rPr>
      <w:rFonts w:ascii="Arial" w:hAnsi="Arial"/>
      <w:color w:val="0000FF"/>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uiPriority w:val="2"/>
    <w:qFormat/>
    <w:rsid w:val="00DC5D6F"/>
    <w:pPr>
      <w:numPr>
        <w:numId w:val="1"/>
      </w:numPr>
      <w:spacing w:before="120" w:after="180" w:line="240" w:lineRule="atLeast"/>
      <w:ind w:left="360"/>
    </w:pPr>
    <w:rPr>
      <w:rFonts w:eastAsia="Cambria" w:cs="Times New Roman"/>
    </w:rPr>
  </w:style>
  <w:style w:type="paragraph" w:styleId="ListBullet2">
    <w:name w:val="List Bullet 2"/>
    <w:basedOn w:val="Normal"/>
    <w:autoRedefine/>
    <w:uiPriority w:val="2"/>
    <w:qFormat/>
    <w:rsid w:val="009F7D22"/>
    <w:pPr>
      <w:numPr>
        <w:ilvl w:val="1"/>
        <w:numId w:val="1"/>
      </w:numPr>
      <w:spacing w:before="120" w:after="180" w:line="240" w:lineRule="atLeast"/>
      <w:ind w:left="850" w:hanging="425"/>
    </w:pPr>
    <w:rPr>
      <w:rFonts w:eastAsia="Cambria" w:cs="Times New Roman"/>
    </w:rPr>
  </w:style>
  <w:style w:type="paragraph" w:styleId="ListBullet3">
    <w:name w:val="List Bullet 3"/>
    <w:basedOn w:val="Normal"/>
    <w:uiPriority w:val="2"/>
    <w:qFormat/>
    <w:rsid w:val="009F7D22"/>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3"/>
    <w:qFormat/>
    <w:rsid w:val="00B46BC0"/>
    <w:pPr>
      <w:numPr>
        <w:numId w:val="2"/>
      </w:numPr>
    </w:pPr>
  </w:style>
  <w:style w:type="paragraph" w:customStyle="1" w:styleId="Numberbullet2">
    <w:name w:val="Number bullet 2"/>
    <w:basedOn w:val="ListBullet2"/>
    <w:uiPriority w:val="3"/>
    <w:qFormat/>
    <w:rsid w:val="00F02AEC"/>
    <w:pPr>
      <w:numPr>
        <w:numId w:val="2"/>
      </w:numPr>
      <w:ind w:left="850" w:hanging="425"/>
    </w:pPr>
  </w:style>
  <w:style w:type="paragraph" w:customStyle="1" w:styleId="Numberbullet3">
    <w:name w:val="Number bullet 3"/>
    <w:basedOn w:val="Normal"/>
    <w:uiPriority w:val="3"/>
    <w:qFormat/>
    <w:rsid w:val="00F02AEC"/>
    <w:pPr>
      <w:numPr>
        <w:numId w:val="4"/>
      </w:numPr>
      <w:spacing w:before="120" w:after="180" w:line="240" w:lineRule="atLeast"/>
      <w:ind w:left="1361" w:hanging="397"/>
    </w:pPr>
    <w:rPr>
      <w:rFonts w:eastAsia="Cambria"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eastAsia="Cambria"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eastAsia="Cambria"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eastAsia="Cambria"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eastAsia="Cambria" w:cs="Times New Roman"/>
      <w:b/>
      <w:color w:val="333F48"/>
    </w:rPr>
  </w:style>
  <w:style w:type="paragraph" w:styleId="FootnoteText">
    <w:name w:val="footnote text"/>
    <w:basedOn w:val="Normal"/>
    <w:link w:val="FootnoteTextChar"/>
    <w:rsid w:val="00F02AEC"/>
    <w:pPr>
      <w:keepLines/>
      <w:spacing w:after="0" w:line="240" w:lineRule="atLeast"/>
    </w:pPr>
    <w:rPr>
      <w:rFonts w:eastAsia="Cambria" w:cs="Times New Roman"/>
      <w:color w:val="333F48"/>
    </w:rPr>
  </w:style>
  <w:style w:type="character" w:customStyle="1" w:styleId="FootnoteTextChar">
    <w:name w:val="Footnote Text Char"/>
    <w:basedOn w:val="DefaultParagraphFont"/>
    <w:link w:val="FootnoteText"/>
    <w:rsid w:val="00F02AEC"/>
    <w:rPr>
      <w:rFonts w:ascii="Arial" w:eastAsia="Cambria" w:hAnsi="Arial" w:cs="Times New Roman"/>
      <w:color w:val="333F48"/>
      <w:sz w:val="20"/>
      <w:szCs w:val="20"/>
    </w:rPr>
  </w:style>
  <w:style w:type="character" w:styleId="FootnoteReference">
    <w:name w:val="footnote reference"/>
    <w:basedOn w:val="DefaultParagraphFont"/>
    <w:uiPriority w:val="99"/>
    <w:semiHidden/>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eastAsia="Cambria" w:cs="Times New Roman"/>
      <w:b/>
      <w:color w:val="333F48"/>
    </w:rPr>
  </w:style>
  <w:style w:type="paragraph" w:customStyle="1" w:styleId="Address">
    <w:name w:val="Address"/>
    <w:basedOn w:val="Normal"/>
    <w:rsid w:val="00F02AEC"/>
    <w:pPr>
      <w:spacing w:after="0" w:line="240" w:lineRule="auto"/>
    </w:pPr>
    <w:rPr>
      <w:rFonts w:eastAsia="Cambria" w:cs="Times New Roman"/>
      <w:color w:val="333F48"/>
      <w:sz w:val="21"/>
    </w:rPr>
  </w:style>
  <w:style w:type="paragraph" w:customStyle="1" w:styleId="ListBullet-dotick">
    <w:name w:val="List Bullet - do (tick)"/>
    <w:basedOn w:val="ListBullet"/>
    <w:autoRedefine/>
    <w:uiPriority w:val="1"/>
    <w:qFormat/>
    <w:rsid w:val="00ED7EEE"/>
    <w:pPr>
      <w:numPr>
        <w:numId w:val="0"/>
      </w:numPr>
      <w:tabs>
        <w:tab w:val="left" w:pos="425"/>
      </w:tabs>
    </w:pPr>
  </w:style>
  <w:style w:type="paragraph" w:customStyle="1" w:styleId="ListBullet-donotcross">
    <w:name w:val="List Bullet - do not (cross)"/>
    <w:basedOn w:val="ListBullet"/>
    <w:autoRedefine/>
    <w:uiPriority w:val="1"/>
    <w:qFormat/>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styleId="CommentReference">
    <w:name w:val="annotation reference"/>
    <w:basedOn w:val="DefaultParagraphFont"/>
    <w:uiPriority w:val="99"/>
    <w:semiHidden/>
    <w:unhideWhenUsed/>
    <w:rsid w:val="00CF1889"/>
    <w:rPr>
      <w:sz w:val="16"/>
      <w:szCs w:val="16"/>
    </w:rPr>
  </w:style>
  <w:style w:type="paragraph" w:styleId="CommentText">
    <w:name w:val="annotation text"/>
    <w:basedOn w:val="Normal"/>
    <w:link w:val="CommentTextChar"/>
    <w:uiPriority w:val="99"/>
    <w:unhideWhenUsed/>
    <w:rsid w:val="00CF1889"/>
    <w:pPr>
      <w:spacing w:line="240" w:lineRule="auto"/>
    </w:pPr>
  </w:style>
  <w:style w:type="character" w:customStyle="1" w:styleId="CommentTextChar">
    <w:name w:val="Comment Text Char"/>
    <w:basedOn w:val="DefaultParagraphFont"/>
    <w:link w:val="CommentText"/>
    <w:uiPriority w:val="99"/>
    <w:rsid w:val="00CF1889"/>
  </w:style>
  <w:style w:type="paragraph" w:styleId="CommentSubject">
    <w:name w:val="annotation subject"/>
    <w:basedOn w:val="CommentText"/>
    <w:next w:val="CommentText"/>
    <w:link w:val="CommentSubjectChar"/>
    <w:uiPriority w:val="99"/>
    <w:semiHidden/>
    <w:unhideWhenUsed/>
    <w:rsid w:val="00CF1889"/>
    <w:rPr>
      <w:b/>
      <w:bCs/>
    </w:rPr>
  </w:style>
  <w:style w:type="character" w:customStyle="1" w:styleId="CommentSubjectChar">
    <w:name w:val="Comment Subject Char"/>
    <w:basedOn w:val="CommentTextChar"/>
    <w:link w:val="CommentSubject"/>
    <w:uiPriority w:val="99"/>
    <w:semiHidden/>
    <w:rsid w:val="00CF1889"/>
    <w:rPr>
      <w:b/>
      <w:bCs/>
    </w:rPr>
  </w:style>
  <w:style w:type="paragraph" w:styleId="ListParagraph">
    <w:name w:val="List Paragraph"/>
    <w:basedOn w:val="Normal"/>
    <w:uiPriority w:val="34"/>
    <w:qFormat/>
    <w:rsid w:val="00C734C7"/>
    <w:pPr>
      <w:ind w:left="720"/>
      <w:contextualSpacing/>
    </w:pPr>
  </w:style>
  <w:style w:type="character" w:styleId="UnresolvedMention">
    <w:name w:val="Unresolved Mention"/>
    <w:basedOn w:val="DefaultParagraphFont"/>
    <w:uiPriority w:val="99"/>
    <w:semiHidden/>
    <w:unhideWhenUsed/>
    <w:rsid w:val="004F40FC"/>
    <w:rPr>
      <w:color w:val="605E5C"/>
      <w:shd w:val="clear" w:color="auto" w:fill="E1DFDD"/>
    </w:rPr>
  </w:style>
  <w:style w:type="table" w:styleId="GridTable6Colorful-Accent4">
    <w:name w:val="Grid Table 6 Colorful Accent 4"/>
    <w:basedOn w:val="TableNormal"/>
    <w:uiPriority w:val="51"/>
    <w:rsid w:val="004F40F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1312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36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008"/>
    <w:rPr>
      <w:rFonts w:ascii="Segoe UI" w:hAnsi="Segoe UI" w:cs="Segoe UI"/>
      <w:sz w:val="18"/>
      <w:szCs w:val="18"/>
    </w:rPr>
  </w:style>
  <w:style w:type="paragraph" w:styleId="Revision">
    <w:name w:val="Revision"/>
    <w:hidden/>
    <w:uiPriority w:val="99"/>
    <w:semiHidden/>
    <w:rsid w:val="00E577DD"/>
    <w:pPr>
      <w:spacing w:after="0" w:line="240" w:lineRule="auto"/>
    </w:pPr>
    <w:rPr>
      <w:rFonts w:ascii="Arial" w:hAnsi="Arial"/>
    </w:rPr>
  </w:style>
  <w:style w:type="character" w:styleId="FollowedHyperlink">
    <w:name w:val="FollowedHyperlink"/>
    <w:basedOn w:val="DefaultParagraphFont"/>
    <w:uiPriority w:val="99"/>
    <w:semiHidden/>
    <w:unhideWhenUsed/>
    <w:rsid w:val="00E577DD"/>
    <w:rPr>
      <w:color w:val="954F72" w:themeColor="followedHyperlink"/>
      <w:u w:val="single"/>
    </w:rPr>
  </w:style>
  <w:style w:type="paragraph" w:styleId="Index5">
    <w:name w:val="index 5"/>
    <w:basedOn w:val="Normal"/>
    <w:next w:val="Normal"/>
    <w:autoRedefine/>
    <w:uiPriority w:val="99"/>
    <w:unhideWhenUsed/>
    <w:rsid w:val="009F7D22"/>
    <w:pPr>
      <w:spacing w:after="0" w:line="240" w:lineRule="auto"/>
      <w:ind w:left="10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556">
      <w:bodyDiv w:val="1"/>
      <w:marLeft w:val="0"/>
      <w:marRight w:val="0"/>
      <w:marTop w:val="0"/>
      <w:marBottom w:val="0"/>
      <w:divBdr>
        <w:top w:val="none" w:sz="0" w:space="0" w:color="auto"/>
        <w:left w:val="none" w:sz="0" w:space="0" w:color="auto"/>
        <w:bottom w:val="none" w:sz="0" w:space="0" w:color="auto"/>
        <w:right w:val="none" w:sz="0" w:space="0" w:color="auto"/>
      </w:divBdr>
    </w:div>
    <w:div w:id="69929000">
      <w:bodyDiv w:val="1"/>
      <w:marLeft w:val="0"/>
      <w:marRight w:val="0"/>
      <w:marTop w:val="0"/>
      <w:marBottom w:val="0"/>
      <w:divBdr>
        <w:top w:val="none" w:sz="0" w:space="0" w:color="auto"/>
        <w:left w:val="none" w:sz="0" w:space="0" w:color="auto"/>
        <w:bottom w:val="none" w:sz="0" w:space="0" w:color="auto"/>
        <w:right w:val="none" w:sz="0" w:space="0" w:color="auto"/>
      </w:divBdr>
    </w:div>
    <w:div w:id="95442683">
      <w:bodyDiv w:val="1"/>
      <w:marLeft w:val="0"/>
      <w:marRight w:val="0"/>
      <w:marTop w:val="0"/>
      <w:marBottom w:val="0"/>
      <w:divBdr>
        <w:top w:val="none" w:sz="0" w:space="0" w:color="auto"/>
        <w:left w:val="none" w:sz="0" w:space="0" w:color="auto"/>
        <w:bottom w:val="none" w:sz="0" w:space="0" w:color="auto"/>
        <w:right w:val="none" w:sz="0" w:space="0" w:color="auto"/>
      </w:divBdr>
    </w:div>
    <w:div w:id="140773451">
      <w:bodyDiv w:val="1"/>
      <w:marLeft w:val="0"/>
      <w:marRight w:val="0"/>
      <w:marTop w:val="0"/>
      <w:marBottom w:val="0"/>
      <w:divBdr>
        <w:top w:val="none" w:sz="0" w:space="0" w:color="auto"/>
        <w:left w:val="none" w:sz="0" w:space="0" w:color="auto"/>
        <w:bottom w:val="none" w:sz="0" w:space="0" w:color="auto"/>
        <w:right w:val="none" w:sz="0" w:space="0" w:color="auto"/>
      </w:divBdr>
    </w:div>
    <w:div w:id="580407036">
      <w:bodyDiv w:val="1"/>
      <w:marLeft w:val="0"/>
      <w:marRight w:val="0"/>
      <w:marTop w:val="0"/>
      <w:marBottom w:val="0"/>
      <w:divBdr>
        <w:top w:val="none" w:sz="0" w:space="0" w:color="auto"/>
        <w:left w:val="none" w:sz="0" w:space="0" w:color="auto"/>
        <w:bottom w:val="none" w:sz="0" w:space="0" w:color="auto"/>
        <w:right w:val="none" w:sz="0" w:space="0" w:color="auto"/>
      </w:divBdr>
    </w:div>
    <w:div w:id="977103329">
      <w:bodyDiv w:val="1"/>
      <w:marLeft w:val="0"/>
      <w:marRight w:val="0"/>
      <w:marTop w:val="0"/>
      <w:marBottom w:val="0"/>
      <w:divBdr>
        <w:top w:val="none" w:sz="0" w:space="0" w:color="auto"/>
        <w:left w:val="none" w:sz="0" w:space="0" w:color="auto"/>
        <w:bottom w:val="none" w:sz="0" w:space="0" w:color="auto"/>
        <w:right w:val="none" w:sz="0" w:space="0" w:color="auto"/>
      </w:divBdr>
    </w:div>
    <w:div w:id="1014840831">
      <w:bodyDiv w:val="1"/>
      <w:marLeft w:val="0"/>
      <w:marRight w:val="0"/>
      <w:marTop w:val="0"/>
      <w:marBottom w:val="0"/>
      <w:divBdr>
        <w:top w:val="none" w:sz="0" w:space="0" w:color="auto"/>
        <w:left w:val="none" w:sz="0" w:space="0" w:color="auto"/>
        <w:bottom w:val="none" w:sz="0" w:space="0" w:color="auto"/>
        <w:right w:val="none" w:sz="0" w:space="0" w:color="auto"/>
      </w:divBdr>
    </w:div>
    <w:div w:id="1254708008">
      <w:bodyDiv w:val="1"/>
      <w:marLeft w:val="0"/>
      <w:marRight w:val="0"/>
      <w:marTop w:val="0"/>
      <w:marBottom w:val="0"/>
      <w:divBdr>
        <w:top w:val="none" w:sz="0" w:space="0" w:color="auto"/>
        <w:left w:val="none" w:sz="0" w:space="0" w:color="auto"/>
        <w:bottom w:val="none" w:sz="0" w:space="0" w:color="auto"/>
        <w:right w:val="none" w:sz="0" w:space="0" w:color="auto"/>
      </w:divBdr>
    </w:div>
    <w:div w:id="1338266779">
      <w:bodyDiv w:val="1"/>
      <w:marLeft w:val="0"/>
      <w:marRight w:val="0"/>
      <w:marTop w:val="0"/>
      <w:marBottom w:val="0"/>
      <w:divBdr>
        <w:top w:val="none" w:sz="0" w:space="0" w:color="auto"/>
        <w:left w:val="none" w:sz="0" w:space="0" w:color="auto"/>
        <w:bottom w:val="none" w:sz="0" w:space="0" w:color="auto"/>
        <w:right w:val="none" w:sz="0" w:space="0" w:color="auto"/>
      </w:divBdr>
    </w:div>
    <w:div w:id="1634484324">
      <w:bodyDiv w:val="1"/>
      <w:marLeft w:val="0"/>
      <w:marRight w:val="0"/>
      <w:marTop w:val="0"/>
      <w:marBottom w:val="0"/>
      <w:divBdr>
        <w:top w:val="none" w:sz="0" w:space="0" w:color="auto"/>
        <w:left w:val="none" w:sz="0" w:space="0" w:color="auto"/>
        <w:bottom w:val="none" w:sz="0" w:space="0" w:color="auto"/>
        <w:right w:val="none" w:sz="0" w:space="0" w:color="auto"/>
      </w:divBdr>
    </w:div>
    <w:div w:id="1721319040">
      <w:bodyDiv w:val="1"/>
      <w:marLeft w:val="0"/>
      <w:marRight w:val="0"/>
      <w:marTop w:val="0"/>
      <w:marBottom w:val="0"/>
      <w:divBdr>
        <w:top w:val="none" w:sz="0" w:space="0" w:color="auto"/>
        <w:left w:val="none" w:sz="0" w:space="0" w:color="auto"/>
        <w:bottom w:val="none" w:sz="0" w:space="0" w:color="auto"/>
        <w:right w:val="none" w:sz="0" w:space="0" w:color="auto"/>
      </w:divBdr>
      <w:divsChild>
        <w:div w:id="161749683">
          <w:marLeft w:val="446"/>
          <w:marRight w:val="0"/>
          <w:marTop w:val="200"/>
          <w:marBottom w:val="0"/>
          <w:divBdr>
            <w:top w:val="none" w:sz="0" w:space="0" w:color="auto"/>
            <w:left w:val="none" w:sz="0" w:space="0" w:color="auto"/>
            <w:bottom w:val="none" w:sz="0" w:space="0" w:color="auto"/>
            <w:right w:val="none" w:sz="0" w:space="0" w:color="auto"/>
          </w:divBdr>
        </w:div>
      </w:divsChild>
    </w:div>
    <w:div w:id="1860779597">
      <w:bodyDiv w:val="1"/>
      <w:marLeft w:val="0"/>
      <w:marRight w:val="0"/>
      <w:marTop w:val="0"/>
      <w:marBottom w:val="0"/>
      <w:divBdr>
        <w:top w:val="none" w:sz="0" w:space="0" w:color="auto"/>
        <w:left w:val="none" w:sz="0" w:space="0" w:color="auto"/>
        <w:bottom w:val="none" w:sz="0" w:space="0" w:color="auto"/>
        <w:right w:val="none" w:sz="0" w:space="0" w:color="auto"/>
      </w:divBdr>
    </w:div>
    <w:div w:id="1933926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au/F2024L00675/latest/text" TargetMode="External"/><Relationship Id="rId18" Type="http://schemas.openxmlformats.org/officeDocument/2006/relationships/hyperlink" Target="https://www.legislation.gov.au/F2024L00675/latest/text" TargetMode="External"/><Relationship Id="rId26" Type="http://schemas.openxmlformats.org/officeDocument/2006/relationships/hyperlink" Target="https://www.legislation.gov.au/Details/F2018L01746"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medicine.shortages@health.gov.au" TargetMode="External"/><Relationship Id="rId34" Type="http://schemas.openxmlformats.org/officeDocument/2006/relationships/hyperlink" Target="mailto:info@tga.gov.au" TargetMode="Externa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image" Target="media/image5.png"/><Relationship Id="rId25" Type="http://schemas.openxmlformats.org/officeDocument/2006/relationships/hyperlink" Target="https://www.legislation.gov.au/F2024L00675/latest/text" TargetMode="External"/><Relationship Id="rId33" Type="http://schemas.openxmlformats.org/officeDocument/2006/relationships/header" Target="header5.xm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tga.gov.au/resources/resource/guidance/medicine-shortages-information-sponsors-suppliers" TargetMode="External"/><Relationship Id="rId20" Type="http://schemas.openxmlformats.org/officeDocument/2006/relationships/hyperlink" Target="https://www.legislation.gov.au/F2024L00675/latest/text" TargetMode="External"/><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health.gov.au/resources/publications/department-of-health-and-aged-care-data-strategy-2022-25" TargetMode="External"/><Relationship Id="rId32" Type="http://schemas.openxmlformats.org/officeDocument/2006/relationships/footer" Target="footer3.xm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hyperlink" Target="https://www.protectivesecurity.gov.au/about/structure-protective-security-policy-framework" TargetMode="External"/><Relationship Id="rId28" Type="http://schemas.openxmlformats.org/officeDocument/2006/relationships/hyperlink" Target="https://www.tga.gov.au/safety/shortages/medicine-shortage-alerts/joint-statement-shortage-tenecteplase-metalyse"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legislation.gov.au/F2024L00675/latest/text"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s://www.legislation.gov.au/F2024L00675/latest/text" TargetMode="External"/><Relationship Id="rId27" Type="http://schemas.openxmlformats.org/officeDocument/2006/relationships/image" Target="media/image6.png"/><Relationship Id="rId30" Type="http://schemas.openxmlformats.org/officeDocument/2006/relationships/header" Target="header3.xml"/><Relationship Id="rId35" Type="http://schemas.openxmlformats.org/officeDocument/2006/relationships/hyperlink" Target="https://www.tg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el://D20-3043288?db=A7&amp;ope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2C0B-247F-49D9-801E-ECC5E40B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7068</Words>
  <Characters>40294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Medicine shortages data-sharing framework</vt:lpstr>
    </vt:vector>
  </TitlesOfParts>
  <Manager/>
  <Company/>
  <LinksUpToDate>false</LinksUpToDate>
  <CharactersWithSpaces>47268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 shortages data-sharing framework</dc:title>
  <dc:subject>medicine safety</dc:subject>
  <dc:creator/>
  <cp:keywords/>
  <dc:description/>
  <cp:lastModifiedBy/>
  <cp:revision>1</cp:revision>
  <dcterms:created xsi:type="dcterms:W3CDTF">2024-08-26T04:03:00Z</dcterms:created>
  <dcterms:modified xsi:type="dcterms:W3CDTF">2024-08-26T04:15:00Z</dcterms:modified>
</cp:coreProperties>
</file>