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CA59" w14:textId="77777777" w:rsidR="00D67706" w:rsidRDefault="00D67706" w:rsidP="00D67706"/>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F7414D">
        <w:trPr>
          <w:trHeight w:val="1558"/>
        </w:trPr>
        <w:tc>
          <w:tcPr>
            <w:tcW w:w="8720" w:type="dxa"/>
          </w:tcPr>
          <w:p w14:paraId="5784773E" w14:textId="7B5AD3DF" w:rsidR="00BE229E" w:rsidRPr="00F04640" w:rsidRDefault="00BE229E" w:rsidP="00F04640">
            <w:pPr>
              <w:pStyle w:val="Title"/>
            </w:pPr>
            <w:r w:rsidRPr="00F04640">
              <w:t xml:space="preserve">Australian Public Assessment Report for </w:t>
            </w:r>
            <w:r w:rsidR="00037D6A" w:rsidRPr="00F04640">
              <w:t>Opdivo</w:t>
            </w:r>
          </w:p>
        </w:tc>
      </w:tr>
      <w:tr w:rsidR="00BE229E" w:rsidRPr="00BE229E" w14:paraId="659E4907" w14:textId="77777777" w:rsidTr="00F7414D">
        <w:trPr>
          <w:trHeight w:val="995"/>
        </w:trPr>
        <w:tc>
          <w:tcPr>
            <w:tcW w:w="8720" w:type="dxa"/>
          </w:tcPr>
          <w:p w14:paraId="0A512252" w14:textId="25EE54A3" w:rsidR="00BE229E" w:rsidRPr="00BE229E" w:rsidRDefault="00BE229E" w:rsidP="00F04640">
            <w:pPr>
              <w:pStyle w:val="Subtitle"/>
              <w:rPr>
                <w:lang w:eastAsia="en-US"/>
              </w:rPr>
            </w:pPr>
            <w:r w:rsidRPr="00BE229E">
              <w:rPr>
                <w:lang w:eastAsia="en-US"/>
              </w:rPr>
              <w:t xml:space="preserve">Active ingredient: </w:t>
            </w:r>
            <w:r w:rsidR="00F04640">
              <w:rPr>
                <w:lang w:eastAsia="en-US"/>
              </w:rPr>
              <w:t>N</w:t>
            </w:r>
            <w:r w:rsidR="004340EE" w:rsidRPr="004340EE">
              <w:rPr>
                <w:lang w:eastAsia="en-US"/>
              </w:rPr>
              <w:t>ivolumab</w:t>
            </w:r>
          </w:p>
        </w:tc>
      </w:tr>
      <w:tr w:rsidR="00BE229E" w:rsidRPr="00BE229E" w14:paraId="1D0DAE0A" w14:textId="77777777" w:rsidTr="00F7414D">
        <w:trPr>
          <w:trHeight w:val="1916"/>
        </w:trPr>
        <w:tc>
          <w:tcPr>
            <w:tcW w:w="8720" w:type="dxa"/>
          </w:tcPr>
          <w:p w14:paraId="046475F3" w14:textId="67E2C6AA" w:rsidR="00BE229E" w:rsidRPr="00BE229E" w:rsidRDefault="00BE229E" w:rsidP="00F04640">
            <w:pPr>
              <w:pStyle w:val="Subtitle"/>
              <w:rPr>
                <w:lang w:eastAsia="en-US"/>
              </w:rPr>
            </w:pPr>
            <w:r w:rsidRPr="00BE229E">
              <w:rPr>
                <w:lang w:eastAsia="en-US"/>
              </w:rPr>
              <w:t xml:space="preserve">Sponsor: </w:t>
            </w:r>
            <w:r w:rsidR="004340EE">
              <w:t xml:space="preserve"> </w:t>
            </w:r>
            <w:bookmarkStart w:id="0" w:name="_Hlk177389011"/>
            <w:r w:rsidR="004340EE" w:rsidRPr="004340EE">
              <w:rPr>
                <w:lang w:eastAsia="en-US"/>
              </w:rPr>
              <w:t>Bristol-Myers Squibb Australia Pty Ltd</w:t>
            </w:r>
            <w:bookmarkEnd w:id="0"/>
          </w:p>
        </w:tc>
      </w:tr>
      <w:tr w:rsidR="00BE229E" w:rsidRPr="00BE229E" w14:paraId="4AD6111B" w14:textId="77777777" w:rsidTr="00F04640">
        <w:trPr>
          <w:trHeight w:val="636"/>
        </w:trPr>
        <w:tc>
          <w:tcPr>
            <w:tcW w:w="8720" w:type="dxa"/>
          </w:tcPr>
          <w:p w14:paraId="30DA8967" w14:textId="77777777" w:rsidR="00BE229E" w:rsidRPr="00BE229E" w:rsidRDefault="00BE229E" w:rsidP="00F04640">
            <w:pPr>
              <w:pStyle w:val="Date"/>
              <w:rPr>
                <w:lang w:eastAsia="en-US"/>
              </w:rPr>
            </w:pPr>
            <w:r w:rsidRPr="00BE229E">
              <w:rPr>
                <w:lang w:eastAsia="en-US"/>
              </w:rPr>
              <w:t>August 2024</w:t>
            </w:r>
          </w:p>
        </w:tc>
      </w:tr>
    </w:tbl>
    <w:p w14:paraId="73752706" w14:textId="77777777" w:rsidR="00D67706" w:rsidRPr="00D67706" w:rsidRDefault="00D67706" w:rsidP="00D67706">
      <w:pPr>
        <w:sectPr w:rsidR="00D67706" w:rsidRPr="00D67706"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4B0FF2B5" w14:textId="15AED555" w:rsidR="007E683C"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7389581" w:history="1">
            <w:r w:rsidR="007E683C" w:rsidRPr="00C71BF4">
              <w:rPr>
                <w:rStyle w:val="Hyperlink"/>
                <w:noProof/>
              </w:rPr>
              <w:t>List of abbreviations</w:t>
            </w:r>
            <w:r w:rsidR="007E683C">
              <w:rPr>
                <w:noProof/>
                <w:webHidden/>
              </w:rPr>
              <w:tab/>
            </w:r>
            <w:r w:rsidR="007E683C">
              <w:rPr>
                <w:noProof/>
                <w:webHidden/>
              </w:rPr>
              <w:fldChar w:fldCharType="begin"/>
            </w:r>
            <w:r w:rsidR="007E683C">
              <w:rPr>
                <w:noProof/>
                <w:webHidden/>
              </w:rPr>
              <w:instrText xml:space="preserve"> PAGEREF _Toc177389581 \h </w:instrText>
            </w:r>
            <w:r w:rsidR="007E683C">
              <w:rPr>
                <w:noProof/>
                <w:webHidden/>
              </w:rPr>
            </w:r>
            <w:r w:rsidR="007E683C">
              <w:rPr>
                <w:noProof/>
                <w:webHidden/>
              </w:rPr>
              <w:fldChar w:fldCharType="separate"/>
            </w:r>
            <w:r w:rsidR="007E683C">
              <w:rPr>
                <w:noProof/>
                <w:webHidden/>
              </w:rPr>
              <w:t>4</w:t>
            </w:r>
            <w:r w:rsidR="007E683C">
              <w:rPr>
                <w:noProof/>
                <w:webHidden/>
              </w:rPr>
              <w:fldChar w:fldCharType="end"/>
            </w:r>
          </w:hyperlink>
        </w:p>
        <w:p w14:paraId="3DDED821" w14:textId="0B46FBDB" w:rsidR="007E683C" w:rsidRDefault="007E683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389582" w:history="1">
            <w:r w:rsidRPr="00C71BF4">
              <w:rPr>
                <w:rStyle w:val="Hyperlink"/>
                <w:noProof/>
              </w:rPr>
              <w:t>Opdivo (nivolumab) submission</w:t>
            </w:r>
            <w:r>
              <w:rPr>
                <w:noProof/>
                <w:webHidden/>
              </w:rPr>
              <w:tab/>
            </w:r>
            <w:r>
              <w:rPr>
                <w:noProof/>
                <w:webHidden/>
              </w:rPr>
              <w:fldChar w:fldCharType="begin"/>
            </w:r>
            <w:r>
              <w:rPr>
                <w:noProof/>
                <w:webHidden/>
              </w:rPr>
              <w:instrText xml:space="preserve"> PAGEREF _Toc177389582 \h </w:instrText>
            </w:r>
            <w:r>
              <w:rPr>
                <w:noProof/>
                <w:webHidden/>
              </w:rPr>
            </w:r>
            <w:r>
              <w:rPr>
                <w:noProof/>
                <w:webHidden/>
              </w:rPr>
              <w:fldChar w:fldCharType="separate"/>
            </w:r>
            <w:r>
              <w:rPr>
                <w:noProof/>
                <w:webHidden/>
              </w:rPr>
              <w:t>5</w:t>
            </w:r>
            <w:r>
              <w:rPr>
                <w:noProof/>
                <w:webHidden/>
              </w:rPr>
              <w:fldChar w:fldCharType="end"/>
            </w:r>
          </w:hyperlink>
        </w:p>
        <w:p w14:paraId="291643AE" w14:textId="72B8F46F" w:rsidR="007E683C" w:rsidRDefault="007E683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389583" w:history="1">
            <w:r w:rsidRPr="00C71BF4">
              <w:rPr>
                <w:rStyle w:val="Hyperlink"/>
                <w:noProof/>
              </w:rPr>
              <w:t>Opdivo (nivolumab) – proposed indication</w:t>
            </w:r>
            <w:r>
              <w:rPr>
                <w:noProof/>
                <w:webHidden/>
              </w:rPr>
              <w:tab/>
            </w:r>
            <w:r>
              <w:rPr>
                <w:noProof/>
                <w:webHidden/>
              </w:rPr>
              <w:fldChar w:fldCharType="begin"/>
            </w:r>
            <w:r>
              <w:rPr>
                <w:noProof/>
                <w:webHidden/>
              </w:rPr>
              <w:instrText xml:space="preserve"> PAGEREF _Toc177389583 \h </w:instrText>
            </w:r>
            <w:r>
              <w:rPr>
                <w:noProof/>
                <w:webHidden/>
              </w:rPr>
            </w:r>
            <w:r>
              <w:rPr>
                <w:noProof/>
                <w:webHidden/>
              </w:rPr>
              <w:fldChar w:fldCharType="separate"/>
            </w:r>
            <w:r>
              <w:rPr>
                <w:noProof/>
                <w:webHidden/>
              </w:rPr>
              <w:t>6</w:t>
            </w:r>
            <w:r>
              <w:rPr>
                <w:noProof/>
                <w:webHidden/>
              </w:rPr>
              <w:fldChar w:fldCharType="end"/>
            </w:r>
          </w:hyperlink>
        </w:p>
        <w:p w14:paraId="562F2DF2" w14:textId="3DA5081B" w:rsidR="007E683C" w:rsidRDefault="007E683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389584" w:history="1">
            <w:r w:rsidRPr="00C71BF4">
              <w:rPr>
                <w:rStyle w:val="Hyperlink"/>
                <w:noProof/>
              </w:rPr>
              <w:t>Opdivo and non-small cell lung cancer (NSCLC)</w:t>
            </w:r>
            <w:r>
              <w:rPr>
                <w:noProof/>
                <w:webHidden/>
              </w:rPr>
              <w:tab/>
            </w:r>
            <w:r>
              <w:rPr>
                <w:noProof/>
                <w:webHidden/>
              </w:rPr>
              <w:fldChar w:fldCharType="begin"/>
            </w:r>
            <w:r>
              <w:rPr>
                <w:noProof/>
                <w:webHidden/>
              </w:rPr>
              <w:instrText xml:space="preserve"> PAGEREF _Toc177389584 \h </w:instrText>
            </w:r>
            <w:r>
              <w:rPr>
                <w:noProof/>
                <w:webHidden/>
              </w:rPr>
            </w:r>
            <w:r>
              <w:rPr>
                <w:noProof/>
                <w:webHidden/>
              </w:rPr>
              <w:fldChar w:fldCharType="separate"/>
            </w:r>
            <w:r>
              <w:rPr>
                <w:noProof/>
                <w:webHidden/>
              </w:rPr>
              <w:t>6</w:t>
            </w:r>
            <w:r>
              <w:rPr>
                <w:noProof/>
                <w:webHidden/>
              </w:rPr>
              <w:fldChar w:fldCharType="end"/>
            </w:r>
          </w:hyperlink>
        </w:p>
        <w:p w14:paraId="6B027E8B" w14:textId="0C0E576C" w:rsidR="007E683C" w:rsidRDefault="007E683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389585" w:history="1">
            <w:r w:rsidRPr="00C71BF4">
              <w:rPr>
                <w:rStyle w:val="Hyperlink"/>
                <w:noProof/>
              </w:rPr>
              <w:t>Regulatory status</w:t>
            </w:r>
            <w:r>
              <w:rPr>
                <w:noProof/>
                <w:webHidden/>
              </w:rPr>
              <w:tab/>
            </w:r>
            <w:r>
              <w:rPr>
                <w:noProof/>
                <w:webHidden/>
              </w:rPr>
              <w:fldChar w:fldCharType="begin"/>
            </w:r>
            <w:r>
              <w:rPr>
                <w:noProof/>
                <w:webHidden/>
              </w:rPr>
              <w:instrText xml:space="preserve"> PAGEREF _Toc177389585 \h </w:instrText>
            </w:r>
            <w:r>
              <w:rPr>
                <w:noProof/>
                <w:webHidden/>
              </w:rPr>
            </w:r>
            <w:r>
              <w:rPr>
                <w:noProof/>
                <w:webHidden/>
              </w:rPr>
              <w:fldChar w:fldCharType="separate"/>
            </w:r>
            <w:r>
              <w:rPr>
                <w:noProof/>
                <w:webHidden/>
              </w:rPr>
              <w:t>7</w:t>
            </w:r>
            <w:r>
              <w:rPr>
                <w:noProof/>
                <w:webHidden/>
              </w:rPr>
              <w:fldChar w:fldCharType="end"/>
            </w:r>
          </w:hyperlink>
        </w:p>
        <w:p w14:paraId="59BD8E56" w14:textId="3DC29694" w:rsidR="007E683C" w:rsidRDefault="007E683C">
          <w:pPr>
            <w:pStyle w:val="TOC3"/>
            <w:rPr>
              <w:rFonts w:asciiTheme="minorHAnsi" w:eastAsiaTheme="minorEastAsia" w:hAnsiTheme="minorHAnsi" w:cstheme="minorBidi"/>
              <w:b w:val="0"/>
              <w:noProof/>
              <w:color w:val="auto"/>
              <w:kern w:val="2"/>
              <w:szCs w:val="22"/>
              <w:lang w:eastAsia="en-AU"/>
              <w14:ligatures w14:val="standardContextual"/>
            </w:rPr>
          </w:pPr>
          <w:hyperlink w:anchor="_Toc177389586" w:history="1">
            <w:r w:rsidRPr="00C71BF4">
              <w:rPr>
                <w:rStyle w:val="Hyperlink"/>
                <w:noProof/>
              </w:rPr>
              <w:t>Australian regulatory status</w:t>
            </w:r>
            <w:r>
              <w:rPr>
                <w:noProof/>
                <w:webHidden/>
              </w:rPr>
              <w:tab/>
            </w:r>
            <w:r>
              <w:rPr>
                <w:noProof/>
                <w:webHidden/>
              </w:rPr>
              <w:fldChar w:fldCharType="begin"/>
            </w:r>
            <w:r>
              <w:rPr>
                <w:noProof/>
                <w:webHidden/>
              </w:rPr>
              <w:instrText xml:space="preserve"> PAGEREF _Toc177389586 \h </w:instrText>
            </w:r>
            <w:r>
              <w:rPr>
                <w:noProof/>
                <w:webHidden/>
              </w:rPr>
            </w:r>
            <w:r>
              <w:rPr>
                <w:noProof/>
                <w:webHidden/>
              </w:rPr>
              <w:fldChar w:fldCharType="separate"/>
            </w:r>
            <w:r>
              <w:rPr>
                <w:noProof/>
                <w:webHidden/>
              </w:rPr>
              <w:t>7</w:t>
            </w:r>
            <w:r>
              <w:rPr>
                <w:noProof/>
                <w:webHidden/>
              </w:rPr>
              <w:fldChar w:fldCharType="end"/>
            </w:r>
          </w:hyperlink>
        </w:p>
        <w:p w14:paraId="580A4C30" w14:textId="6B790CA7" w:rsidR="007E683C" w:rsidRDefault="007E683C">
          <w:pPr>
            <w:pStyle w:val="TOC3"/>
            <w:rPr>
              <w:rFonts w:asciiTheme="minorHAnsi" w:eastAsiaTheme="minorEastAsia" w:hAnsiTheme="minorHAnsi" w:cstheme="minorBidi"/>
              <w:b w:val="0"/>
              <w:noProof/>
              <w:color w:val="auto"/>
              <w:kern w:val="2"/>
              <w:szCs w:val="22"/>
              <w:lang w:eastAsia="en-AU"/>
              <w14:ligatures w14:val="standardContextual"/>
            </w:rPr>
          </w:pPr>
          <w:hyperlink w:anchor="_Toc177389587" w:history="1">
            <w:r w:rsidRPr="00C71BF4">
              <w:rPr>
                <w:rStyle w:val="Hyperlink"/>
                <w:noProof/>
              </w:rPr>
              <w:t>International regulatory status</w:t>
            </w:r>
            <w:r>
              <w:rPr>
                <w:noProof/>
                <w:webHidden/>
              </w:rPr>
              <w:tab/>
            </w:r>
            <w:r>
              <w:rPr>
                <w:noProof/>
                <w:webHidden/>
              </w:rPr>
              <w:fldChar w:fldCharType="begin"/>
            </w:r>
            <w:r>
              <w:rPr>
                <w:noProof/>
                <w:webHidden/>
              </w:rPr>
              <w:instrText xml:space="preserve"> PAGEREF _Toc177389587 \h </w:instrText>
            </w:r>
            <w:r>
              <w:rPr>
                <w:noProof/>
                <w:webHidden/>
              </w:rPr>
            </w:r>
            <w:r>
              <w:rPr>
                <w:noProof/>
                <w:webHidden/>
              </w:rPr>
              <w:fldChar w:fldCharType="separate"/>
            </w:r>
            <w:r>
              <w:rPr>
                <w:noProof/>
                <w:webHidden/>
              </w:rPr>
              <w:t>9</w:t>
            </w:r>
            <w:r>
              <w:rPr>
                <w:noProof/>
                <w:webHidden/>
              </w:rPr>
              <w:fldChar w:fldCharType="end"/>
            </w:r>
          </w:hyperlink>
        </w:p>
        <w:p w14:paraId="1E19AA33" w14:textId="71B5FCFD" w:rsidR="007E683C" w:rsidRDefault="007E683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389588" w:history="1">
            <w:r w:rsidRPr="00C71BF4">
              <w:rPr>
                <w:rStyle w:val="Hyperlink"/>
                <w:noProof/>
              </w:rPr>
              <w:t>Registration timeline</w:t>
            </w:r>
            <w:r>
              <w:rPr>
                <w:noProof/>
                <w:webHidden/>
              </w:rPr>
              <w:tab/>
            </w:r>
            <w:r>
              <w:rPr>
                <w:noProof/>
                <w:webHidden/>
              </w:rPr>
              <w:fldChar w:fldCharType="begin"/>
            </w:r>
            <w:r>
              <w:rPr>
                <w:noProof/>
                <w:webHidden/>
              </w:rPr>
              <w:instrText xml:space="preserve"> PAGEREF _Toc177389588 \h </w:instrText>
            </w:r>
            <w:r>
              <w:rPr>
                <w:noProof/>
                <w:webHidden/>
              </w:rPr>
            </w:r>
            <w:r>
              <w:rPr>
                <w:noProof/>
                <w:webHidden/>
              </w:rPr>
              <w:fldChar w:fldCharType="separate"/>
            </w:r>
            <w:r>
              <w:rPr>
                <w:noProof/>
                <w:webHidden/>
              </w:rPr>
              <w:t>9</w:t>
            </w:r>
            <w:r>
              <w:rPr>
                <w:noProof/>
                <w:webHidden/>
              </w:rPr>
              <w:fldChar w:fldCharType="end"/>
            </w:r>
          </w:hyperlink>
        </w:p>
        <w:p w14:paraId="59A33B6B" w14:textId="025E6B0F" w:rsidR="007E683C" w:rsidRDefault="007E683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389589" w:history="1">
            <w:r w:rsidRPr="00C71BF4">
              <w:rPr>
                <w:rStyle w:val="Hyperlink"/>
                <w:noProof/>
              </w:rPr>
              <w:t>Submission overview and risk/benefit assessment</w:t>
            </w:r>
            <w:r>
              <w:rPr>
                <w:noProof/>
                <w:webHidden/>
              </w:rPr>
              <w:tab/>
            </w:r>
            <w:r>
              <w:rPr>
                <w:noProof/>
                <w:webHidden/>
              </w:rPr>
              <w:fldChar w:fldCharType="begin"/>
            </w:r>
            <w:r>
              <w:rPr>
                <w:noProof/>
                <w:webHidden/>
              </w:rPr>
              <w:instrText xml:space="preserve"> PAGEREF _Toc177389589 \h </w:instrText>
            </w:r>
            <w:r>
              <w:rPr>
                <w:noProof/>
                <w:webHidden/>
              </w:rPr>
            </w:r>
            <w:r>
              <w:rPr>
                <w:noProof/>
                <w:webHidden/>
              </w:rPr>
              <w:fldChar w:fldCharType="separate"/>
            </w:r>
            <w:r>
              <w:rPr>
                <w:noProof/>
                <w:webHidden/>
              </w:rPr>
              <w:t>10</w:t>
            </w:r>
            <w:r>
              <w:rPr>
                <w:noProof/>
                <w:webHidden/>
              </w:rPr>
              <w:fldChar w:fldCharType="end"/>
            </w:r>
          </w:hyperlink>
        </w:p>
        <w:p w14:paraId="662B705B" w14:textId="1C0B0D18" w:rsidR="007E683C" w:rsidRDefault="007E683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389590" w:history="1">
            <w:r w:rsidRPr="00C71BF4">
              <w:rPr>
                <w:rStyle w:val="Hyperlink"/>
                <w:noProof/>
              </w:rPr>
              <w:t>Clinical evaluation summary</w:t>
            </w:r>
            <w:r>
              <w:rPr>
                <w:noProof/>
                <w:webHidden/>
              </w:rPr>
              <w:tab/>
            </w:r>
            <w:r>
              <w:rPr>
                <w:noProof/>
                <w:webHidden/>
              </w:rPr>
              <w:fldChar w:fldCharType="begin"/>
            </w:r>
            <w:r>
              <w:rPr>
                <w:noProof/>
                <w:webHidden/>
              </w:rPr>
              <w:instrText xml:space="preserve"> PAGEREF _Toc177389590 \h </w:instrText>
            </w:r>
            <w:r>
              <w:rPr>
                <w:noProof/>
                <w:webHidden/>
              </w:rPr>
            </w:r>
            <w:r>
              <w:rPr>
                <w:noProof/>
                <w:webHidden/>
              </w:rPr>
              <w:fldChar w:fldCharType="separate"/>
            </w:r>
            <w:r>
              <w:rPr>
                <w:noProof/>
                <w:webHidden/>
              </w:rPr>
              <w:t>10</w:t>
            </w:r>
            <w:r>
              <w:rPr>
                <w:noProof/>
                <w:webHidden/>
              </w:rPr>
              <w:fldChar w:fldCharType="end"/>
            </w:r>
          </w:hyperlink>
        </w:p>
        <w:p w14:paraId="2B822FE5" w14:textId="2E73CB1D" w:rsidR="007E683C" w:rsidRDefault="007E683C">
          <w:pPr>
            <w:pStyle w:val="TOC3"/>
            <w:rPr>
              <w:rFonts w:asciiTheme="minorHAnsi" w:eastAsiaTheme="minorEastAsia" w:hAnsiTheme="minorHAnsi" w:cstheme="minorBidi"/>
              <w:b w:val="0"/>
              <w:noProof/>
              <w:color w:val="auto"/>
              <w:kern w:val="2"/>
              <w:szCs w:val="22"/>
              <w:lang w:eastAsia="en-AU"/>
              <w14:ligatures w14:val="standardContextual"/>
            </w:rPr>
          </w:pPr>
          <w:hyperlink w:anchor="_Toc177389591" w:history="1">
            <w:r w:rsidRPr="00C71BF4">
              <w:rPr>
                <w:rStyle w:val="Hyperlink"/>
                <w:noProof/>
              </w:rPr>
              <w:t>Pharmacology</w:t>
            </w:r>
            <w:r>
              <w:rPr>
                <w:noProof/>
                <w:webHidden/>
              </w:rPr>
              <w:tab/>
            </w:r>
            <w:r>
              <w:rPr>
                <w:noProof/>
                <w:webHidden/>
              </w:rPr>
              <w:fldChar w:fldCharType="begin"/>
            </w:r>
            <w:r>
              <w:rPr>
                <w:noProof/>
                <w:webHidden/>
              </w:rPr>
              <w:instrText xml:space="preserve"> PAGEREF _Toc177389591 \h </w:instrText>
            </w:r>
            <w:r>
              <w:rPr>
                <w:noProof/>
                <w:webHidden/>
              </w:rPr>
            </w:r>
            <w:r>
              <w:rPr>
                <w:noProof/>
                <w:webHidden/>
              </w:rPr>
              <w:fldChar w:fldCharType="separate"/>
            </w:r>
            <w:r>
              <w:rPr>
                <w:noProof/>
                <w:webHidden/>
              </w:rPr>
              <w:t>10</w:t>
            </w:r>
            <w:r>
              <w:rPr>
                <w:noProof/>
                <w:webHidden/>
              </w:rPr>
              <w:fldChar w:fldCharType="end"/>
            </w:r>
          </w:hyperlink>
        </w:p>
        <w:p w14:paraId="3C74400E" w14:textId="3D1E6B7A" w:rsidR="007E683C" w:rsidRDefault="007E683C">
          <w:pPr>
            <w:pStyle w:val="TOC3"/>
            <w:rPr>
              <w:rFonts w:asciiTheme="minorHAnsi" w:eastAsiaTheme="minorEastAsia" w:hAnsiTheme="minorHAnsi" w:cstheme="minorBidi"/>
              <w:b w:val="0"/>
              <w:noProof/>
              <w:color w:val="auto"/>
              <w:kern w:val="2"/>
              <w:szCs w:val="22"/>
              <w:lang w:eastAsia="en-AU"/>
              <w14:ligatures w14:val="standardContextual"/>
            </w:rPr>
          </w:pPr>
          <w:hyperlink w:anchor="_Toc177389592" w:history="1">
            <w:r w:rsidRPr="00C71BF4">
              <w:rPr>
                <w:rStyle w:val="Hyperlink"/>
                <w:noProof/>
              </w:rPr>
              <w:t>Efficacy</w:t>
            </w:r>
            <w:r>
              <w:rPr>
                <w:noProof/>
                <w:webHidden/>
              </w:rPr>
              <w:tab/>
            </w:r>
            <w:r>
              <w:rPr>
                <w:noProof/>
                <w:webHidden/>
              </w:rPr>
              <w:fldChar w:fldCharType="begin"/>
            </w:r>
            <w:r>
              <w:rPr>
                <w:noProof/>
                <w:webHidden/>
              </w:rPr>
              <w:instrText xml:space="preserve"> PAGEREF _Toc177389592 \h </w:instrText>
            </w:r>
            <w:r>
              <w:rPr>
                <w:noProof/>
                <w:webHidden/>
              </w:rPr>
            </w:r>
            <w:r>
              <w:rPr>
                <w:noProof/>
                <w:webHidden/>
              </w:rPr>
              <w:fldChar w:fldCharType="separate"/>
            </w:r>
            <w:r>
              <w:rPr>
                <w:noProof/>
                <w:webHidden/>
              </w:rPr>
              <w:t>10</w:t>
            </w:r>
            <w:r>
              <w:rPr>
                <w:noProof/>
                <w:webHidden/>
              </w:rPr>
              <w:fldChar w:fldCharType="end"/>
            </w:r>
          </w:hyperlink>
        </w:p>
        <w:p w14:paraId="52CA2716" w14:textId="6DDE9130" w:rsidR="007E683C" w:rsidRDefault="007E683C">
          <w:pPr>
            <w:pStyle w:val="TOC3"/>
            <w:rPr>
              <w:rFonts w:asciiTheme="minorHAnsi" w:eastAsiaTheme="minorEastAsia" w:hAnsiTheme="minorHAnsi" w:cstheme="minorBidi"/>
              <w:b w:val="0"/>
              <w:noProof/>
              <w:color w:val="auto"/>
              <w:kern w:val="2"/>
              <w:szCs w:val="22"/>
              <w:lang w:eastAsia="en-AU"/>
              <w14:ligatures w14:val="standardContextual"/>
            </w:rPr>
          </w:pPr>
          <w:hyperlink w:anchor="_Toc177389593" w:history="1">
            <w:r w:rsidRPr="00C71BF4">
              <w:rPr>
                <w:rStyle w:val="Hyperlink"/>
                <w:noProof/>
              </w:rPr>
              <w:t>Safety</w:t>
            </w:r>
            <w:r>
              <w:rPr>
                <w:noProof/>
                <w:webHidden/>
              </w:rPr>
              <w:tab/>
            </w:r>
            <w:r>
              <w:rPr>
                <w:noProof/>
                <w:webHidden/>
              </w:rPr>
              <w:fldChar w:fldCharType="begin"/>
            </w:r>
            <w:r>
              <w:rPr>
                <w:noProof/>
                <w:webHidden/>
              </w:rPr>
              <w:instrText xml:space="preserve"> PAGEREF _Toc177389593 \h </w:instrText>
            </w:r>
            <w:r>
              <w:rPr>
                <w:noProof/>
                <w:webHidden/>
              </w:rPr>
            </w:r>
            <w:r>
              <w:rPr>
                <w:noProof/>
                <w:webHidden/>
              </w:rPr>
              <w:fldChar w:fldCharType="separate"/>
            </w:r>
            <w:r>
              <w:rPr>
                <w:noProof/>
                <w:webHidden/>
              </w:rPr>
              <w:t>16</w:t>
            </w:r>
            <w:r>
              <w:rPr>
                <w:noProof/>
                <w:webHidden/>
              </w:rPr>
              <w:fldChar w:fldCharType="end"/>
            </w:r>
          </w:hyperlink>
        </w:p>
        <w:p w14:paraId="304A5434" w14:textId="66AC8133" w:rsidR="007E683C" w:rsidRDefault="007E683C">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389594" w:history="1">
            <w:r w:rsidRPr="00C71BF4">
              <w:rPr>
                <w:rStyle w:val="Hyperlink"/>
                <w:noProof/>
              </w:rPr>
              <w:t>Discussion</w:t>
            </w:r>
            <w:r>
              <w:rPr>
                <w:noProof/>
                <w:webHidden/>
              </w:rPr>
              <w:tab/>
            </w:r>
            <w:r>
              <w:rPr>
                <w:noProof/>
                <w:webHidden/>
              </w:rPr>
              <w:fldChar w:fldCharType="begin"/>
            </w:r>
            <w:r>
              <w:rPr>
                <w:noProof/>
                <w:webHidden/>
              </w:rPr>
              <w:instrText xml:space="preserve"> PAGEREF _Toc177389594 \h </w:instrText>
            </w:r>
            <w:r>
              <w:rPr>
                <w:noProof/>
                <w:webHidden/>
              </w:rPr>
            </w:r>
            <w:r>
              <w:rPr>
                <w:noProof/>
                <w:webHidden/>
              </w:rPr>
              <w:fldChar w:fldCharType="separate"/>
            </w:r>
            <w:r>
              <w:rPr>
                <w:noProof/>
                <w:webHidden/>
              </w:rPr>
              <w:t>19</w:t>
            </w:r>
            <w:r>
              <w:rPr>
                <w:noProof/>
                <w:webHidden/>
              </w:rPr>
              <w:fldChar w:fldCharType="end"/>
            </w:r>
          </w:hyperlink>
        </w:p>
        <w:p w14:paraId="2E8D273C" w14:textId="04C2D28A" w:rsidR="007E683C" w:rsidRDefault="007E683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389595" w:history="1">
            <w:r w:rsidRPr="00C71BF4">
              <w:rPr>
                <w:rStyle w:val="Hyperlink"/>
                <w:noProof/>
              </w:rPr>
              <w:t>Outcome</w:t>
            </w:r>
            <w:r>
              <w:rPr>
                <w:noProof/>
                <w:webHidden/>
              </w:rPr>
              <w:tab/>
            </w:r>
            <w:r>
              <w:rPr>
                <w:noProof/>
                <w:webHidden/>
              </w:rPr>
              <w:fldChar w:fldCharType="begin"/>
            </w:r>
            <w:r>
              <w:rPr>
                <w:noProof/>
                <w:webHidden/>
              </w:rPr>
              <w:instrText xml:space="preserve"> PAGEREF _Toc177389595 \h </w:instrText>
            </w:r>
            <w:r>
              <w:rPr>
                <w:noProof/>
                <w:webHidden/>
              </w:rPr>
            </w:r>
            <w:r>
              <w:rPr>
                <w:noProof/>
                <w:webHidden/>
              </w:rPr>
              <w:fldChar w:fldCharType="separate"/>
            </w:r>
            <w:r>
              <w:rPr>
                <w:noProof/>
                <w:webHidden/>
              </w:rPr>
              <w:t>20</w:t>
            </w:r>
            <w:r>
              <w:rPr>
                <w:noProof/>
                <w:webHidden/>
              </w:rPr>
              <w:fldChar w:fldCharType="end"/>
            </w:r>
          </w:hyperlink>
        </w:p>
        <w:p w14:paraId="7826E230" w14:textId="3CFFABF2" w:rsidR="007E683C" w:rsidRDefault="007E683C">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389596" w:history="1">
            <w:r w:rsidRPr="00C71BF4">
              <w:rPr>
                <w:rStyle w:val="Hyperlink"/>
                <w:noProof/>
              </w:rPr>
              <w:t>Attachment 1. Product Information</w:t>
            </w:r>
            <w:r>
              <w:rPr>
                <w:noProof/>
                <w:webHidden/>
              </w:rPr>
              <w:tab/>
            </w:r>
            <w:r>
              <w:rPr>
                <w:noProof/>
                <w:webHidden/>
              </w:rPr>
              <w:fldChar w:fldCharType="begin"/>
            </w:r>
            <w:r>
              <w:rPr>
                <w:noProof/>
                <w:webHidden/>
              </w:rPr>
              <w:instrText xml:space="preserve"> PAGEREF _Toc177389596 \h </w:instrText>
            </w:r>
            <w:r>
              <w:rPr>
                <w:noProof/>
                <w:webHidden/>
              </w:rPr>
            </w:r>
            <w:r>
              <w:rPr>
                <w:noProof/>
                <w:webHidden/>
              </w:rPr>
              <w:fldChar w:fldCharType="separate"/>
            </w:r>
            <w:r>
              <w:rPr>
                <w:noProof/>
                <w:webHidden/>
              </w:rPr>
              <w:t>20</w:t>
            </w:r>
            <w:r>
              <w:rPr>
                <w:noProof/>
                <w:webHidden/>
              </w:rPr>
              <w:fldChar w:fldCharType="end"/>
            </w:r>
          </w:hyperlink>
        </w:p>
        <w:p w14:paraId="77659F2D" w14:textId="06C050E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1" w:name="_Toc98931917"/>
      <w:bookmarkStart w:id="2" w:name="_Toc103679287"/>
      <w:bookmarkStart w:id="3" w:name="_Toc323739589"/>
      <w:bookmarkStart w:id="4" w:name="_Toc356305216"/>
      <w:bookmarkStart w:id="5" w:name="_Toc177389581"/>
      <w:r>
        <w:t>List of abbreviations</w:t>
      </w:r>
      <w:bookmarkEnd w:id="1"/>
      <w:bookmarkEnd w:id="2"/>
      <w:bookmarkEnd w:id="5"/>
    </w:p>
    <w:tbl>
      <w:tblPr>
        <w:tblStyle w:val="TableTGAblue2023"/>
        <w:tblW w:w="5000" w:type="pct"/>
        <w:tblLook w:val="04A0" w:firstRow="1" w:lastRow="0" w:firstColumn="1" w:lastColumn="0" w:noHBand="0" w:noVBand="1"/>
      </w:tblPr>
      <w:tblGrid>
        <w:gridCol w:w="2174"/>
        <w:gridCol w:w="6886"/>
      </w:tblGrid>
      <w:tr w:rsidR="006C7735" w:rsidRPr="00D01DDB" w14:paraId="406148F8" w14:textId="77777777" w:rsidTr="001D6EAE">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677655A" w14:textId="77777777" w:rsidR="006C7735" w:rsidRPr="00D01DDB" w:rsidRDefault="006C7735" w:rsidP="001D6EAE">
            <w:pPr>
              <w:rPr>
                <w:szCs w:val="22"/>
              </w:rPr>
            </w:pPr>
            <w:r w:rsidRPr="00D01DDB">
              <w:rPr>
                <w:szCs w:val="22"/>
              </w:rPr>
              <w:t>Abbreviation</w:t>
            </w:r>
          </w:p>
        </w:tc>
        <w:tc>
          <w:tcPr>
            <w:tcW w:w="3800" w:type="pct"/>
          </w:tcPr>
          <w:p w14:paraId="3D7804EA" w14:textId="77777777" w:rsidR="006C7735" w:rsidRPr="00D01DDB" w:rsidRDefault="006C7735" w:rsidP="001D6EAE">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6C7735" w:rsidRPr="00D01DDB" w14:paraId="3FFD22B5"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392244" w14:textId="77777777" w:rsidR="006C7735" w:rsidRPr="00D01DDB" w:rsidRDefault="006C7735" w:rsidP="001D6EAE">
            <w:pPr>
              <w:rPr>
                <w:szCs w:val="22"/>
              </w:rPr>
            </w:pPr>
            <w:r w:rsidRPr="00D01DDB">
              <w:rPr>
                <w:szCs w:val="22"/>
              </w:rPr>
              <w:t>ACM</w:t>
            </w:r>
          </w:p>
        </w:tc>
        <w:tc>
          <w:tcPr>
            <w:tcW w:w="3800" w:type="pct"/>
          </w:tcPr>
          <w:p w14:paraId="7DE4722D" w14:textId="77777777"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6C7735" w:rsidRPr="00D01DDB" w14:paraId="530A286E"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29450E" w14:textId="77777777" w:rsidR="006C7735" w:rsidRPr="00D01DDB" w:rsidRDefault="006C7735" w:rsidP="001D6EAE">
            <w:pPr>
              <w:rPr>
                <w:szCs w:val="22"/>
              </w:rPr>
            </w:pPr>
            <w:r w:rsidRPr="00D01DDB">
              <w:rPr>
                <w:szCs w:val="22"/>
              </w:rPr>
              <w:t>ARTG</w:t>
            </w:r>
          </w:p>
        </w:tc>
        <w:tc>
          <w:tcPr>
            <w:tcW w:w="3800" w:type="pct"/>
          </w:tcPr>
          <w:p w14:paraId="634B18FA" w14:textId="77777777"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6C7735" w:rsidRPr="00D01DDB" w14:paraId="51D344E0"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BDD63B" w14:textId="77777777" w:rsidR="006C7735" w:rsidRPr="00D01DDB" w:rsidRDefault="006C7735" w:rsidP="001D6EAE">
            <w:pPr>
              <w:rPr>
                <w:szCs w:val="22"/>
              </w:rPr>
            </w:pPr>
            <w:r w:rsidRPr="005513FE">
              <w:rPr>
                <w:szCs w:val="22"/>
              </w:rPr>
              <w:t>BICR</w:t>
            </w:r>
          </w:p>
        </w:tc>
        <w:tc>
          <w:tcPr>
            <w:tcW w:w="3800" w:type="pct"/>
          </w:tcPr>
          <w:p w14:paraId="58D08035" w14:textId="2A7CF07E"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7B1D54">
              <w:rPr>
                <w:szCs w:val="22"/>
              </w:rPr>
              <w:t xml:space="preserve">Blinded </w:t>
            </w:r>
            <w:r w:rsidR="00CC1E23">
              <w:rPr>
                <w:szCs w:val="22"/>
              </w:rPr>
              <w:t>i</w:t>
            </w:r>
            <w:r w:rsidRPr="007B1D54">
              <w:rPr>
                <w:szCs w:val="22"/>
              </w:rPr>
              <w:t xml:space="preserve">ndependent </w:t>
            </w:r>
            <w:r w:rsidR="00CC1E23">
              <w:rPr>
                <w:szCs w:val="22"/>
              </w:rPr>
              <w:t>c</w:t>
            </w:r>
            <w:r w:rsidRPr="007B1D54">
              <w:rPr>
                <w:szCs w:val="22"/>
              </w:rPr>
              <w:t xml:space="preserve">entral </w:t>
            </w:r>
            <w:r w:rsidR="00CC1E23">
              <w:rPr>
                <w:szCs w:val="22"/>
              </w:rPr>
              <w:t>r</w:t>
            </w:r>
            <w:r w:rsidRPr="007B1D54">
              <w:rPr>
                <w:szCs w:val="22"/>
              </w:rPr>
              <w:t xml:space="preserve">eview </w:t>
            </w:r>
          </w:p>
        </w:tc>
      </w:tr>
      <w:tr w:rsidR="006C7735" w:rsidRPr="00D01DDB" w14:paraId="7502723D"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061420" w14:textId="77777777" w:rsidR="006C7735" w:rsidRPr="00D01DDB" w:rsidRDefault="006C7735" w:rsidP="001D6EAE">
            <w:pPr>
              <w:rPr>
                <w:szCs w:val="22"/>
              </w:rPr>
            </w:pPr>
            <w:r w:rsidRPr="00D01DDB">
              <w:rPr>
                <w:szCs w:val="22"/>
              </w:rPr>
              <w:t>CMI</w:t>
            </w:r>
          </w:p>
        </w:tc>
        <w:tc>
          <w:tcPr>
            <w:tcW w:w="3800" w:type="pct"/>
          </w:tcPr>
          <w:p w14:paraId="513EE5CB" w14:textId="77777777"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6C7735" w:rsidRPr="00D01DDB" w14:paraId="123690D9"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E571A9" w14:textId="77777777" w:rsidR="006C7735" w:rsidRPr="00D01DDB" w:rsidRDefault="006C7735" w:rsidP="001D6EAE">
            <w:pPr>
              <w:rPr>
                <w:szCs w:val="22"/>
              </w:rPr>
            </w:pPr>
            <w:r>
              <w:rPr>
                <w:szCs w:val="22"/>
              </w:rPr>
              <w:t>EFS</w:t>
            </w:r>
          </w:p>
        </w:tc>
        <w:tc>
          <w:tcPr>
            <w:tcW w:w="3800" w:type="pct"/>
          </w:tcPr>
          <w:p w14:paraId="724668FC" w14:textId="71D71EE5"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5A4DFF">
              <w:rPr>
                <w:szCs w:val="22"/>
              </w:rPr>
              <w:t>Event-</w:t>
            </w:r>
            <w:r w:rsidR="00CC1E23">
              <w:rPr>
                <w:szCs w:val="22"/>
              </w:rPr>
              <w:t>f</w:t>
            </w:r>
            <w:r w:rsidRPr="005A4DFF">
              <w:rPr>
                <w:szCs w:val="22"/>
              </w:rPr>
              <w:t xml:space="preserve">ree </w:t>
            </w:r>
            <w:r w:rsidR="00CC1E23">
              <w:rPr>
                <w:szCs w:val="22"/>
              </w:rPr>
              <w:t>s</w:t>
            </w:r>
            <w:r w:rsidRPr="005A4DFF">
              <w:rPr>
                <w:szCs w:val="22"/>
              </w:rPr>
              <w:t>urvival</w:t>
            </w:r>
          </w:p>
        </w:tc>
      </w:tr>
      <w:tr w:rsidR="006C7735" w:rsidRPr="00D01DDB" w14:paraId="4C37AE07"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5F8DB4" w14:textId="77777777" w:rsidR="006C7735" w:rsidRPr="00D01DDB" w:rsidRDefault="006C7735" w:rsidP="001D6EAE">
            <w:pPr>
              <w:rPr>
                <w:szCs w:val="22"/>
              </w:rPr>
            </w:pPr>
            <w:r w:rsidRPr="005A4DFF">
              <w:rPr>
                <w:szCs w:val="22"/>
              </w:rPr>
              <w:t>NSCLC</w:t>
            </w:r>
          </w:p>
        </w:tc>
        <w:tc>
          <w:tcPr>
            <w:tcW w:w="3800" w:type="pct"/>
          </w:tcPr>
          <w:p w14:paraId="36CC070F" w14:textId="77777777"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966667">
              <w:rPr>
                <w:szCs w:val="22"/>
              </w:rPr>
              <w:t>Non-small cell lung cancer</w:t>
            </w:r>
          </w:p>
        </w:tc>
      </w:tr>
      <w:tr w:rsidR="006C7735" w:rsidRPr="00D01DDB" w14:paraId="595BFB67"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1C2BBF" w14:textId="77777777" w:rsidR="006C7735" w:rsidRPr="005A4DFF" w:rsidRDefault="006C7735" w:rsidP="001D6EAE">
            <w:pPr>
              <w:rPr>
                <w:szCs w:val="22"/>
              </w:rPr>
            </w:pPr>
            <w:r>
              <w:rPr>
                <w:szCs w:val="22"/>
              </w:rPr>
              <w:t>OS</w:t>
            </w:r>
          </w:p>
        </w:tc>
        <w:tc>
          <w:tcPr>
            <w:tcW w:w="3800" w:type="pct"/>
          </w:tcPr>
          <w:p w14:paraId="46C6F2C3" w14:textId="77777777"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Pr>
                <w:szCs w:val="22"/>
              </w:rPr>
              <w:t>Overall survival</w:t>
            </w:r>
          </w:p>
        </w:tc>
      </w:tr>
      <w:tr w:rsidR="006C7735" w:rsidRPr="00D01DDB" w14:paraId="25B9C78E"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C89315" w14:textId="77777777" w:rsidR="006C7735" w:rsidRPr="005A4DFF" w:rsidRDefault="006C7735" w:rsidP="001D6EAE">
            <w:pPr>
              <w:rPr>
                <w:szCs w:val="22"/>
              </w:rPr>
            </w:pPr>
            <w:r w:rsidRPr="005A4DFF">
              <w:rPr>
                <w:szCs w:val="22"/>
              </w:rPr>
              <w:t>pCR</w:t>
            </w:r>
          </w:p>
        </w:tc>
        <w:tc>
          <w:tcPr>
            <w:tcW w:w="3800" w:type="pct"/>
          </w:tcPr>
          <w:p w14:paraId="01BF5F5B" w14:textId="4F2D066C"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5A4DFF">
              <w:rPr>
                <w:szCs w:val="22"/>
              </w:rPr>
              <w:t xml:space="preserve">Pathological </w:t>
            </w:r>
            <w:r w:rsidR="00CC1E23">
              <w:rPr>
                <w:szCs w:val="22"/>
              </w:rPr>
              <w:t>c</w:t>
            </w:r>
            <w:r w:rsidRPr="005A4DFF">
              <w:rPr>
                <w:szCs w:val="22"/>
              </w:rPr>
              <w:t xml:space="preserve">omplete </w:t>
            </w:r>
            <w:r w:rsidR="00CC1E23">
              <w:rPr>
                <w:szCs w:val="22"/>
              </w:rPr>
              <w:t>r</w:t>
            </w:r>
            <w:r w:rsidRPr="005A4DFF">
              <w:rPr>
                <w:szCs w:val="22"/>
              </w:rPr>
              <w:t>esponse</w:t>
            </w:r>
          </w:p>
        </w:tc>
      </w:tr>
      <w:tr w:rsidR="006C7735" w:rsidRPr="00D01DDB" w14:paraId="6893CAE8"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294D7B" w14:textId="77777777" w:rsidR="006C7735" w:rsidRPr="00D01DDB" w:rsidRDefault="006C7735" w:rsidP="001D6EAE">
            <w:pPr>
              <w:rPr>
                <w:szCs w:val="22"/>
              </w:rPr>
            </w:pPr>
            <w:r w:rsidRPr="00D01DDB">
              <w:rPr>
                <w:szCs w:val="22"/>
              </w:rPr>
              <w:t>PI</w:t>
            </w:r>
          </w:p>
        </w:tc>
        <w:tc>
          <w:tcPr>
            <w:tcW w:w="3800" w:type="pct"/>
          </w:tcPr>
          <w:p w14:paraId="428E4FAF" w14:textId="77777777"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6C7735" w:rsidRPr="00D01DDB" w14:paraId="1B53B7D7"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DC1A6C" w14:textId="77777777" w:rsidR="006C7735" w:rsidRPr="00D01DDB" w:rsidRDefault="006C7735" w:rsidP="001D6EAE">
            <w:pPr>
              <w:rPr>
                <w:szCs w:val="22"/>
              </w:rPr>
            </w:pPr>
            <w:r>
              <w:rPr>
                <w:szCs w:val="22"/>
              </w:rPr>
              <w:t>PK</w:t>
            </w:r>
          </w:p>
        </w:tc>
        <w:tc>
          <w:tcPr>
            <w:tcW w:w="3800" w:type="pct"/>
          </w:tcPr>
          <w:p w14:paraId="7EEE6989" w14:textId="77777777"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1929F5">
              <w:rPr>
                <w:szCs w:val="22"/>
              </w:rPr>
              <w:t>Pharmacokinetic</w:t>
            </w:r>
            <w:r>
              <w:rPr>
                <w:szCs w:val="22"/>
              </w:rPr>
              <w:t>(s)</w:t>
            </w:r>
          </w:p>
        </w:tc>
      </w:tr>
      <w:tr w:rsidR="006C7735" w:rsidRPr="00D01DDB" w14:paraId="59669203"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C06B60" w14:textId="77777777" w:rsidR="006C7735" w:rsidRPr="00D01DDB" w:rsidRDefault="006C7735" w:rsidP="001D6EAE">
            <w:pPr>
              <w:rPr>
                <w:szCs w:val="22"/>
              </w:rPr>
            </w:pPr>
            <w:r>
              <w:rPr>
                <w:szCs w:val="22"/>
              </w:rPr>
              <w:t>Q2W</w:t>
            </w:r>
          </w:p>
        </w:tc>
        <w:tc>
          <w:tcPr>
            <w:tcW w:w="3800" w:type="pct"/>
          </w:tcPr>
          <w:p w14:paraId="71E42B85" w14:textId="77777777"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Pr>
                <w:szCs w:val="22"/>
              </w:rPr>
              <w:t>Dosing every two weeks</w:t>
            </w:r>
          </w:p>
        </w:tc>
      </w:tr>
      <w:tr w:rsidR="006C7735" w:rsidRPr="00D01DDB" w14:paraId="48861D41"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FC714E" w14:textId="77777777" w:rsidR="006C7735" w:rsidRPr="00D01DDB" w:rsidRDefault="006C7735" w:rsidP="001D6EAE">
            <w:pPr>
              <w:rPr>
                <w:szCs w:val="22"/>
              </w:rPr>
            </w:pPr>
            <w:r>
              <w:rPr>
                <w:szCs w:val="22"/>
              </w:rPr>
              <w:t>Q3W</w:t>
            </w:r>
          </w:p>
        </w:tc>
        <w:tc>
          <w:tcPr>
            <w:tcW w:w="3800" w:type="pct"/>
          </w:tcPr>
          <w:p w14:paraId="45938C9C" w14:textId="77777777" w:rsidR="006C7735" w:rsidRPr="00D01DDB"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Pr>
                <w:szCs w:val="22"/>
              </w:rPr>
              <w:t>Dosing every three weeks</w:t>
            </w:r>
          </w:p>
        </w:tc>
      </w:tr>
      <w:tr w:rsidR="006C7735" w:rsidRPr="00D01DDB" w14:paraId="5D2F3668" w14:textId="77777777" w:rsidTr="001D6EA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1D259F" w14:textId="77777777" w:rsidR="006C7735" w:rsidRDefault="006C7735" w:rsidP="001D6EAE">
            <w:pPr>
              <w:rPr>
                <w:szCs w:val="22"/>
              </w:rPr>
            </w:pPr>
            <w:r w:rsidRPr="00D01DDB">
              <w:rPr>
                <w:szCs w:val="22"/>
              </w:rPr>
              <w:t>TGA</w:t>
            </w:r>
          </w:p>
        </w:tc>
        <w:tc>
          <w:tcPr>
            <w:tcW w:w="3800" w:type="pct"/>
          </w:tcPr>
          <w:p w14:paraId="65392AE3" w14:textId="77777777" w:rsidR="006C7735" w:rsidRDefault="006C7735" w:rsidP="001D6EA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21D559DF" w14:textId="3C657B68" w:rsidR="00324B33" w:rsidRDefault="006E7B18" w:rsidP="006E7B18">
      <w:pPr>
        <w:pStyle w:val="Heading2"/>
      </w:pPr>
      <w:bookmarkStart w:id="6" w:name="_Toc103679288"/>
      <w:bookmarkStart w:id="7" w:name="_Toc177389582"/>
      <w:r>
        <w:t>Opdivo (nivolumab)</w:t>
      </w:r>
      <w:r w:rsidR="00324B33">
        <w:t xml:space="preserve"> submission</w:t>
      </w:r>
      <w:bookmarkEnd w:id="6"/>
      <w:bookmarkEnd w:id="7"/>
    </w:p>
    <w:p w14:paraId="47B1FF7B" w14:textId="77777777" w:rsidR="006E7B18" w:rsidRPr="006E7B18" w:rsidRDefault="006E7B18" w:rsidP="006E7B18"/>
    <w:tbl>
      <w:tblPr>
        <w:tblW w:w="5000" w:type="pct"/>
        <w:tblLook w:val="01E0" w:firstRow="1" w:lastRow="1" w:firstColumn="1" w:lastColumn="1" w:noHBand="0" w:noVBand="0"/>
      </w:tblPr>
      <w:tblGrid>
        <w:gridCol w:w="3401"/>
        <w:gridCol w:w="5669"/>
      </w:tblGrid>
      <w:tr w:rsidR="00324B33" w:rsidRPr="00BD5DBD" w14:paraId="77D11C95" w14:textId="77777777" w:rsidTr="007E683C">
        <w:tc>
          <w:tcPr>
            <w:tcW w:w="1875" w:type="pct"/>
          </w:tcPr>
          <w:p w14:paraId="10E57D62" w14:textId="220482EA" w:rsidR="00324B33" w:rsidRPr="00BD5DBD" w:rsidRDefault="00324B33" w:rsidP="007452E8">
            <w:pPr>
              <w:rPr>
                <w:i/>
                <w:szCs w:val="22"/>
              </w:rPr>
            </w:pPr>
            <w:r w:rsidRPr="00BD5DBD">
              <w:rPr>
                <w:i/>
                <w:szCs w:val="22"/>
              </w:rPr>
              <w:t>Type of submission:</w:t>
            </w:r>
          </w:p>
        </w:tc>
        <w:tc>
          <w:tcPr>
            <w:tcW w:w="3125" w:type="pct"/>
          </w:tcPr>
          <w:p w14:paraId="4F07C303" w14:textId="76FEA070" w:rsidR="00324B33" w:rsidRPr="00BD5DBD" w:rsidRDefault="009016C2" w:rsidP="007452E8">
            <w:pPr>
              <w:rPr>
                <w:szCs w:val="22"/>
              </w:rPr>
            </w:pPr>
            <w:bookmarkStart w:id="8" w:name="_Hlk177389038"/>
            <w:r w:rsidRPr="009016C2">
              <w:rPr>
                <w:szCs w:val="22"/>
              </w:rPr>
              <w:t>Extension of indication</w:t>
            </w:r>
            <w:r w:rsidR="004340EE">
              <w:rPr>
                <w:szCs w:val="22"/>
              </w:rPr>
              <w:t>s</w:t>
            </w:r>
            <w:bookmarkEnd w:id="8"/>
          </w:p>
        </w:tc>
      </w:tr>
      <w:tr w:rsidR="00324B33" w:rsidRPr="00BD5DBD" w14:paraId="13482B61" w14:textId="77777777" w:rsidTr="007E683C">
        <w:tc>
          <w:tcPr>
            <w:tcW w:w="1875" w:type="pct"/>
          </w:tcPr>
          <w:p w14:paraId="2C427FCF" w14:textId="01211908" w:rsidR="00324B33" w:rsidRPr="00BD5DBD" w:rsidRDefault="00324B33" w:rsidP="007452E8">
            <w:pPr>
              <w:rPr>
                <w:i/>
                <w:szCs w:val="22"/>
              </w:rPr>
            </w:pPr>
            <w:r w:rsidRPr="00BD5DBD">
              <w:rPr>
                <w:i/>
                <w:szCs w:val="22"/>
              </w:rPr>
              <w:t>Product name:</w:t>
            </w:r>
          </w:p>
        </w:tc>
        <w:tc>
          <w:tcPr>
            <w:tcW w:w="3125" w:type="pct"/>
          </w:tcPr>
          <w:p w14:paraId="0E2DEF76" w14:textId="5B3083EB" w:rsidR="00324B33" w:rsidRPr="00BD5DBD" w:rsidRDefault="00037D6A" w:rsidP="007452E8">
            <w:pPr>
              <w:rPr>
                <w:szCs w:val="22"/>
              </w:rPr>
            </w:pPr>
            <w:r>
              <w:rPr>
                <w:szCs w:val="22"/>
              </w:rPr>
              <w:t>Opdivo</w:t>
            </w:r>
          </w:p>
        </w:tc>
      </w:tr>
      <w:tr w:rsidR="00324B33" w:rsidRPr="00BD5DBD" w14:paraId="01255B5B" w14:textId="77777777" w:rsidTr="007E683C">
        <w:tc>
          <w:tcPr>
            <w:tcW w:w="1875" w:type="pct"/>
          </w:tcPr>
          <w:p w14:paraId="52B4F3D7" w14:textId="2024E8F9" w:rsidR="00324B33" w:rsidRPr="00BD5DBD" w:rsidRDefault="00324B33" w:rsidP="007452E8">
            <w:pPr>
              <w:rPr>
                <w:i/>
                <w:szCs w:val="22"/>
              </w:rPr>
            </w:pPr>
            <w:r w:rsidRPr="00BD5DBD">
              <w:rPr>
                <w:i/>
                <w:szCs w:val="22"/>
              </w:rPr>
              <w:t>Active ingredient:</w:t>
            </w:r>
          </w:p>
        </w:tc>
        <w:tc>
          <w:tcPr>
            <w:tcW w:w="3125" w:type="pct"/>
          </w:tcPr>
          <w:p w14:paraId="02FB6383" w14:textId="1C4CB17B" w:rsidR="00324B33" w:rsidRPr="00BD5DBD" w:rsidRDefault="004340EE" w:rsidP="007452E8">
            <w:pPr>
              <w:rPr>
                <w:szCs w:val="22"/>
              </w:rPr>
            </w:pPr>
            <w:r>
              <w:rPr>
                <w:szCs w:val="22"/>
              </w:rPr>
              <w:t>Nivolumab</w:t>
            </w:r>
          </w:p>
        </w:tc>
      </w:tr>
      <w:tr w:rsidR="00324B33" w:rsidRPr="00BD5DBD" w14:paraId="219A281B" w14:textId="77777777" w:rsidTr="007E683C">
        <w:tc>
          <w:tcPr>
            <w:tcW w:w="1875" w:type="pct"/>
          </w:tcPr>
          <w:p w14:paraId="112E5F78" w14:textId="77777777" w:rsidR="00324B33" w:rsidRPr="00BD5DBD" w:rsidRDefault="00324B33" w:rsidP="007452E8">
            <w:pPr>
              <w:rPr>
                <w:i/>
                <w:szCs w:val="22"/>
              </w:rPr>
            </w:pPr>
            <w:r w:rsidRPr="00BD5DBD">
              <w:rPr>
                <w:i/>
                <w:szCs w:val="22"/>
              </w:rPr>
              <w:t>Decision:</w:t>
            </w:r>
          </w:p>
        </w:tc>
        <w:tc>
          <w:tcPr>
            <w:tcW w:w="3125" w:type="pct"/>
          </w:tcPr>
          <w:p w14:paraId="3B114BEA" w14:textId="45417C1F" w:rsidR="00324B33" w:rsidRPr="00BD5DBD" w:rsidRDefault="00324B33" w:rsidP="007452E8">
            <w:pPr>
              <w:rPr>
                <w:szCs w:val="22"/>
              </w:rPr>
            </w:pPr>
            <w:r w:rsidRPr="00BD5DBD">
              <w:rPr>
                <w:szCs w:val="22"/>
              </w:rPr>
              <w:t>Approved</w:t>
            </w:r>
          </w:p>
        </w:tc>
      </w:tr>
      <w:tr w:rsidR="00AE1947" w:rsidRPr="00BD5DBD" w14:paraId="32B72632" w14:textId="77777777" w:rsidTr="007E683C">
        <w:tc>
          <w:tcPr>
            <w:tcW w:w="1875" w:type="pct"/>
          </w:tcPr>
          <w:p w14:paraId="332A5CD5" w14:textId="65682B5F" w:rsidR="00AE1947" w:rsidRPr="00BD5DBD" w:rsidRDefault="00AE1947" w:rsidP="007F1E37">
            <w:r w:rsidRPr="00BD5DBD">
              <w:rPr>
                <w:i/>
                <w:szCs w:val="22"/>
              </w:rPr>
              <w:t>Date of decision:</w:t>
            </w:r>
          </w:p>
        </w:tc>
        <w:tc>
          <w:tcPr>
            <w:tcW w:w="3125" w:type="pct"/>
          </w:tcPr>
          <w:p w14:paraId="7B381CD6" w14:textId="29E2F772" w:rsidR="00AE1947" w:rsidRPr="00BD5DBD" w:rsidRDefault="004340EE" w:rsidP="00602658">
            <w:pPr>
              <w:rPr>
                <w:szCs w:val="22"/>
              </w:rPr>
            </w:pPr>
            <w:r w:rsidRPr="004340EE">
              <w:rPr>
                <w:szCs w:val="22"/>
              </w:rPr>
              <w:t>17 February 2023</w:t>
            </w:r>
          </w:p>
        </w:tc>
      </w:tr>
      <w:tr w:rsidR="00324B33" w:rsidRPr="00BD5DBD" w14:paraId="60A25F5A" w14:textId="77777777" w:rsidTr="007E683C">
        <w:tc>
          <w:tcPr>
            <w:tcW w:w="1875" w:type="pct"/>
          </w:tcPr>
          <w:p w14:paraId="5C5E4CBA" w14:textId="77777777" w:rsidR="00324B33" w:rsidRPr="00BD5DBD" w:rsidRDefault="00324B33" w:rsidP="007452E8">
            <w:pPr>
              <w:rPr>
                <w:i/>
                <w:szCs w:val="22"/>
              </w:rPr>
            </w:pPr>
            <w:r w:rsidRPr="00BD5DBD">
              <w:rPr>
                <w:i/>
                <w:szCs w:val="22"/>
              </w:rPr>
              <w:t>Date of entry onto ARTG:</w:t>
            </w:r>
          </w:p>
        </w:tc>
        <w:tc>
          <w:tcPr>
            <w:tcW w:w="3125" w:type="pct"/>
          </w:tcPr>
          <w:p w14:paraId="28B270E9" w14:textId="40D3A49D" w:rsidR="00324B33" w:rsidRPr="00BD5DBD" w:rsidRDefault="004340EE" w:rsidP="007452E8">
            <w:pPr>
              <w:rPr>
                <w:szCs w:val="22"/>
              </w:rPr>
            </w:pPr>
            <w:r>
              <w:rPr>
                <w:szCs w:val="22"/>
              </w:rPr>
              <w:t>20 February 2023</w:t>
            </w:r>
          </w:p>
        </w:tc>
      </w:tr>
      <w:tr w:rsidR="00324B33" w:rsidRPr="00BD5DBD" w14:paraId="547E08D7" w14:textId="77777777" w:rsidTr="007E683C">
        <w:tc>
          <w:tcPr>
            <w:tcW w:w="1875" w:type="pct"/>
          </w:tcPr>
          <w:p w14:paraId="5030EF30" w14:textId="41D631AE" w:rsidR="00324B33" w:rsidRPr="00BD5DBD" w:rsidRDefault="00324B33" w:rsidP="007452E8">
            <w:pPr>
              <w:rPr>
                <w:i/>
                <w:szCs w:val="22"/>
              </w:rPr>
            </w:pPr>
            <w:r w:rsidRPr="00BD5DBD">
              <w:rPr>
                <w:i/>
                <w:szCs w:val="22"/>
              </w:rPr>
              <w:t>ARTG numbe</w:t>
            </w:r>
            <w:r w:rsidR="007076FA">
              <w:rPr>
                <w:i/>
                <w:szCs w:val="22"/>
              </w:rPr>
              <w:t>r</w:t>
            </w:r>
            <w:r w:rsidR="004340EE">
              <w:rPr>
                <w:i/>
                <w:szCs w:val="22"/>
              </w:rPr>
              <w:t>s</w:t>
            </w:r>
            <w:r w:rsidRPr="00BD5DBD">
              <w:rPr>
                <w:i/>
                <w:szCs w:val="22"/>
              </w:rPr>
              <w:t>:</w:t>
            </w:r>
          </w:p>
        </w:tc>
        <w:tc>
          <w:tcPr>
            <w:tcW w:w="3125" w:type="pct"/>
          </w:tcPr>
          <w:p w14:paraId="0054E912" w14:textId="422C1422" w:rsidR="00324B33" w:rsidRPr="00BD5DBD" w:rsidRDefault="004340EE" w:rsidP="007452E8">
            <w:pPr>
              <w:rPr>
                <w:szCs w:val="22"/>
              </w:rPr>
            </w:pPr>
            <w:r w:rsidRPr="004340EE">
              <w:rPr>
                <w:szCs w:val="22"/>
              </w:rPr>
              <w:t>231867</w:t>
            </w:r>
            <w:r>
              <w:rPr>
                <w:szCs w:val="22"/>
              </w:rPr>
              <w:t xml:space="preserve">, </w:t>
            </w:r>
            <w:r w:rsidRPr="004340EE">
              <w:rPr>
                <w:szCs w:val="22"/>
              </w:rPr>
              <w:t>231868</w:t>
            </w:r>
            <w:r>
              <w:rPr>
                <w:szCs w:val="22"/>
              </w:rPr>
              <w:t xml:space="preserve">, </w:t>
            </w:r>
            <w:r w:rsidRPr="004340EE">
              <w:rPr>
                <w:szCs w:val="22"/>
              </w:rPr>
              <w:t>318057</w:t>
            </w:r>
          </w:p>
        </w:tc>
      </w:tr>
      <w:tr w:rsidR="00324B33" w:rsidRPr="00BD5DBD" w14:paraId="7618393F" w14:textId="77777777" w:rsidTr="007E683C">
        <w:tc>
          <w:tcPr>
            <w:tcW w:w="1875" w:type="pct"/>
          </w:tcPr>
          <w:p w14:paraId="02260DE2" w14:textId="20B5D24E" w:rsidR="00324B33" w:rsidRPr="007076FA" w:rsidRDefault="00324B33" w:rsidP="007452E8">
            <w:pPr>
              <w:rPr>
                <w:i/>
                <w:color w:val="0000FF"/>
                <w:szCs w:val="22"/>
                <w:u w:val="single"/>
              </w:rPr>
            </w:pPr>
            <w:r w:rsidRPr="00BD5DBD">
              <w:rPr>
                <w:rFonts w:ascii="Wingdings 3" w:hAnsi="Wingdings 3"/>
                <w:szCs w:val="22"/>
                <w:lang w:eastAsia="en-AU"/>
              </w:rPr>
              <w:t></w:t>
            </w:r>
            <w:hyperlink r:id="rId18" w:history="1">
              <w:r w:rsidRPr="00BD5DBD">
                <w:rPr>
                  <w:rStyle w:val="Hyperlink"/>
                  <w:i/>
                  <w:szCs w:val="22"/>
                </w:rPr>
                <w:t>Black Triangle Scheme</w:t>
              </w:r>
            </w:hyperlink>
          </w:p>
        </w:tc>
        <w:tc>
          <w:tcPr>
            <w:tcW w:w="3125" w:type="pct"/>
          </w:tcPr>
          <w:p w14:paraId="6FF3C6A2" w14:textId="000CA8AC" w:rsidR="00324B33" w:rsidRPr="00BD5DBD" w:rsidRDefault="00324B33" w:rsidP="007452E8">
            <w:pPr>
              <w:rPr>
                <w:szCs w:val="22"/>
              </w:rPr>
            </w:pPr>
            <w:r w:rsidRPr="00BD5DBD">
              <w:rPr>
                <w:szCs w:val="22"/>
              </w:rPr>
              <w:t>No</w:t>
            </w:r>
          </w:p>
        </w:tc>
      </w:tr>
      <w:tr w:rsidR="00324B33" w:rsidRPr="00BD5DBD" w14:paraId="179E09FE" w14:textId="77777777" w:rsidTr="007E683C">
        <w:tc>
          <w:tcPr>
            <w:tcW w:w="1875" w:type="pct"/>
          </w:tcPr>
          <w:p w14:paraId="1A592498" w14:textId="77777777" w:rsidR="00324B33" w:rsidRPr="00BD5DBD" w:rsidRDefault="00324B33" w:rsidP="007452E8">
            <w:pPr>
              <w:rPr>
                <w:i/>
                <w:szCs w:val="22"/>
              </w:rPr>
            </w:pPr>
            <w:r w:rsidRPr="00BD5DBD">
              <w:rPr>
                <w:i/>
                <w:szCs w:val="22"/>
              </w:rPr>
              <w:t>Sponsor’s name and address:</w:t>
            </w:r>
          </w:p>
        </w:tc>
        <w:tc>
          <w:tcPr>
            <w:tcW w:w="3125" w:type="pct"/>
          </w:tcPr>
          <w:p w14:paraId="68DD94B0" w14:textId="07146DEE" w:rsidR="00324B33" w:rsidRPr="00BD5DBD" w:rsidRDefault="00683229" w:rsidP="00683229">
            <w:pPr>
              <w:rPr>
                <w:szCs w:val="22"/>
              </w:rPr>
            </w:pPr>
            <w:r w:rsidRPr="00683229">
              <w:rPr>
                <w:szCs w:val="22"/>
              </w:rPr>
              <w:t>Bristol-Myers Squibb Australia Pty Ltd</w:t>
            </w:r>
            <w:r>
              <w:rPr>
                <w:szCs w:val="22"/>
              </w:rPr>
              <w:t xml:space="preserve">, </w:t>
            </w:r>
            <w:r w:rsidRPr="00683229">
              <w:rPr>
                <w:szCs w:val="22"/>
              </w:rPr>
              <w:t>Level 2, 4 Nexus Court</w:t>
            </w:r>
            <w:r>
              <w:rPr>
                <w:szCs w:val="22"/>
              </w:rPr>
              <w:t xml:space="preserve"> </w:t>
            </w:r>
            <w:r w:rsidRPr="00683229">
              <w:rPr>
                <w:szCs w:val="22"/>
              </w:rPr>
              <w:t>MULGRAVE VIC 3170.</w:t>
            </w:r>
          </w:p>
        </w:tc>
      </w:tr>
      <w:tr w:rsidR="00324B33" w:rsidRPr="00BD5DBD" w14:paraId="5322B989" w14:textId="77777777" w:rsidTr="007E683C">
        <w:tc>
          <w:tcPr>
            <w:tcW w:w="1875" w:type="pct"/>
          </w:tcPr>
          <w:p w14:paraId="24F217E3" w14:textId="04ECD8A9" w:rsidR="00324B33" w:rsidRPr="00BD5DBD" w:rsidRDefault="00324B33" w:rsidP="007452E8">
            <w:pPr>
              <w:rPr>
                <w:i/>
                <w:szCs w:val="22"/>
              </w:rPr>
            </w:pPr>
            <w:r w:rsidRPr="00BD5DBD">
              <w:rPr>
                <w:i/>
                <w:szCs w:val="22"/>
              </w:rPr>
              <w:t>Dose form:</w:t>
            </w:r>
          </w:p>
        </w:tc>
        <w:tc>
          <w:tcPr>
            <w:tcW w:w="3125" w:type="pct"/>
          </w:tcPr>
          <w:p w14:paraId="768B254C" w14:textId="4B00F809" w:rsidR="00324B33" w:rsidRPr="00BD5DBD" w:rsidRDefault="008C5499" w:rsidP="007452E8">
            <w:pPr>
              <w:rPr>
                <w:szCs w:val="22"/>
              </w:rPr>
            </w:pPr>
            <w:r w:rsidRPr="008C5499">
              <w:rPr>
                <w:szCs w:val="22"/>
              </w:rPr>
              <w:t>Concentrate for solution for infusion.</w:t>
            </w:r>
          </w:p>
        </w:tc>
      </w:tr>
      <w:tr w:rsidR="00324B33" w:rsidRPr="00BD5DBD" w14:paraId="115243E6" w14:textId="77777777" w:rsidTr="007E683C">
        <w:tc>
          <w:tcPr>
            <w:tcW w:w="1875" w:type="pct"/>
          </w:tcPr>
          <w:p w14:paraId="7634B062" w14:textId="19270146" w:rsidR="00324B33" w:rsidRPr="00BD5DBD" w:rsidRDefault="00324B33" w:rsidP="007452E8">
            <w:pPr>
              <w:rPr>
                <w:i/>
                <w:szCs w:val="22"/>
              </w:rPr>
            </w:pPr>
            <w:r w:rsidRPr="00BD5DBD">
              <w:rPr>
                <w:i/>
                <w:szCs w:val="22"/>
              </w:rPr>
              <w:t>Strength:</w:t>
            </w:r>
          </w:p>
        </w:tc>
        <w:tc>
          <w:tcPr>
            <w:tcW w:w="3125" w:type="pct"/>
          </w:tcPr>
          <w:p w14:paraId="5E5F83DB" w14:textId="6045F464" w:rsidR="00324B33" w:rsidRPr="00BD5DBD" w:rsidRDefault="008C5499" w:rsidP="008C5499">
            <w:pPr>
              <w:rPr>
                <w:szCs w:val="22"/>
              </w:rPr>
            </w:pPr>
            <w:r w:rsidRPr="008C5499">
              <w:rPr>
                <w:szCs w:val="22"/>
              </w:rPr>
              <w:t>10 mg/mL concentrate solution for infusion</w:t>
            </w:r>
            <w:r>
              <w:rPr>
                <w:szCs w:val="22"/>
              </w:rPr>
              <w:t xml:space="preserve"> </w:t>
            </w:r>
            <w:r w:rsidRPr="008C5499">
              <w:rPr>
                <w:szCs w:val="22"/>
              </w:rPr>
              <w:t>Each 1 mL of concentrate contains 10 mg of nivolumab</w:t>
            </w:r>
            <w:r>
              <w:rPr>
                <w:szCs w:val="22"/>
              </w:rPr>
              <w:t>.</w:t>
            </w:r>
          </w:p>
        </w:tc>
      </w:tr>
      <w:tr w:rsidR="00324B33" w:rsidRPr="00BD5DBD" w14:paraId="34B07BA6" w14:textId="77777777" w:rsidTr="007E683C">
        <w:tc>
          <w:tcPr>
            <w:tcW w:w="1875" w:type="pct"/>
          </w:tcPr>
          <w:p w14:paraId="1C039224" w14:textId="5167D49D" w:rsidR="00324B33" w:rsidRPr="00BD5DBD" w:rsidRDefault="00324B33" w:rsidP="007452E8">
            <w:pPr>
              <w:rPr>
                <w:i/>
                <w:szCs w:val="22"/>
              </w:rPr>
            </w:pPr>
            <w:r w:rsidRPr="00BD5DBD">
              <w:rPr>
                <w:i/>
                <w:szCs w:val="22"/>
              </w:rPr>
              <w:t>Container:</w:t>
            </w:r>
          </w:p>
        </w:tc>
        <w:tc>
          <w:tcPr>
            <w:tcW w:w="3125" w:type="pct"/>
          </w:tcPr>
          <w:p w14:paraId="500A42C6" w14:textId="59A3025F" w:rsidR="00324B33" w:rsidRPr="00BD5DBD" w:rsidRDefault="00683229" w:rsidP="007452E8">
            <w:pPr>
              <w:rPr>
                <w:szCs w:val="22"/>
              </w:rPr>
            </w:pPr>
            <w:r w:rsidRPr="00683229">
              <w:rPr>
                <w:szCs w:val="22"/>
              </w:rPr>
              <w:t>10 mL vial (Type I glass) with a stopper (coated butyl rubber) and an aluminium dark blue “flip off” seal</w:t>
            </w:r>
          </w:p>
        </w:tc>
      </w:tr>
      <w:tr w:rsidR="00324B33" w:rsidRPr="00BD5DBD" w14:paraId="176B6773" w14:textId="77777777" w:rsidTr="007E683C">
        <w:tc>
          <w:tcPr>
            <w:tcW w:w="1875" w:type="pct"/>
          </w:tcPr>
          <w:p w14:paraId="71846159" w14:textId="21E45C5E" w:rsidR="00324B33" w:rsidRPr="00BD5DBD" w:rsidRDefault="00324B33" w:rsidP="007452E8">
            <w:pPr>
              <w:rPr>
                <w:i/>
                <w:szCs w:val="22"/>
              </w:rPr>
            </w:pPr>
            <w:r w:rsidRPr="00BD5DBD">
              <w:rPr>
                <w:i/>
                <w:szCs w:val="22"/>
              </w:rPr>
              <w:t>Pack size:</w:t>
            </w:r>
          </w:p>
        </w:tc>
        <w:tc>
          <w:tcPr>
            <w:tcW w:w="3125" w:type="pct"/>
          </w:tcPr>
          <w:p w14:paraId="7E978F8F" w14:textId="47454C98" w:rsidR="00324B33" w:rsidRPr="00BD5DBD" w:rsidRDefault="008C5499" w:rsidP="007452E8">
            <w:pPr>
              <w:rPr>
                <w:szCs w:val="22"/>
              </w:rPr>
            </w:pPr>
            <w:r>
              <w:rPr>
                <w:szCs w:val="22"/>
              </w:rPr>
              <w:t>1 vial per pack</w:t>
            </w:r>
          </w:p>
        </w:tc>
      </w:tr>
      <w:tr w:rsidR="00324B33" w:rsidRPr="00BD5DBD" w14:paraId="19A2544A" w14:textId="77777777" w:rsidTr="007E683C">
        <w:tc>
          <w:tcPr>
            <w:tcW w:w="1875"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125" w:type="pct"/>
          </w:tcPr>
          <w:p w14:paraId="657B42C3" w14:textId="77777777" w:rsidR="008C5499" w:rsidRPr="008C5499" w:rsidRDefault="008C5499" w:rsidP="008C5499">
            <w:pPr>
              <w:rPr>
                <w:b/>
                <w:bCs/>
                <w:szCs w:val="22"/>
              </w:rPr>
            </w:pPr>
            <w:r w:rsidRPr="008C5499">
              <w:rPr>
                <w:b/>
                <w:bCs/>
                <w:szCs w:val="22"/>
              </w:rPr>
              <w:t>Non-Small Cell Lung Cancer (NSCLC)</w:t>
            </w:r>
          </w:p>
          <w:p w14:paraId="6E143E2E" w14:textId="47C1B00D" w:rsidR="00324B33" w:rsidRPr="00BD5DBD" w:rsidRDefault="00037D6A" w:rsidP="008C5499">
            <w:pPr>
              <w:rPr>
                <w:szCs w:val="22"/>
              </w:rPr>
            </w:pPr>
            <w:r>
              <w:rPr>
                <w:szCs w:val="22"/>
              </w:rPr>
              <w:t>Opdivo</w:t>
            </w:r>
            <w:r w:rsidR="008C5499" w:rsidRPr="008C5499">
              <w:rPr>
                <w:szCs w:val="22"/>
              </w:rPr>
              <w:t>, in combination with platinum-doublet chemotherapy, is indicated for the neoadjuvant treatment of patients with resectable non-small cell lung cancer (NSCLC).</w:t>
            </w:r>
          </w:p>
        </w:tc>
      </w:tr>
      <w:tr w:rsidR="00324B33" w:rsidRPr="00BD5DBD" w14:paraId="5AFDEED3" w14:textId="77777777" w:rsidTr="007E683C">
        <w:tc>
          <w:tcPr>
            <w:tcW w:w="1875" w:type="pct"/>
          </w:tcPr>
          <w:p w14:paraId="03884BD1" w14:textId="3A51F027" w:rsidR="00324B33" w:rsidRPr="00BD5DBD" w:rsidRDefault="00324B33" w:rsidP="007452E8">
            <w:pPr>
              <w:rPr>
                <w:i/>
                <w:szCs w:val="22"/>
              </w:rPr>
            </w:pPr>
            <w:r w:rsidRPr="00BD5DBD">
              <w:rPr>
                <w:i/>
                <w:szCs w:val="22"/>
              </w:rPr>
              <w:t>Route of administration:</w:t>
            </w:r>
          </w:p>
        </w:tc>
        <w:tc>
          <w:tcPr>
            <w:tcW w:w="3125" w:type="pct"/>
          </w:tcPr>
          <w:p w14:paraId="1ED1357E" w14:textId="30C70D94" w:rsidR="00324B33" w:rsidRPr="00BD5DBD" w:rsidRDefault="008C5499" w:rsidP="007452E8">
            <w:pPr>
              <w:rPr>
                <w:szCs w:val="22"/>
              </w:rPr>
            </w:pPr>
            <w:r>
              <w:rPr>
                <w:szCs w:val="22"/>
              </w:rPr>
              <w:t xml:space="preserve">Infusion (NOT </w:t>
            </w:r>
            <w:r w:rsidRPr="008C5499">
              <w:rPr>
                <w:szCs w:val="22"/>
              </w:rPr>
              <w:t>administered as an intravenous push or bolus injection</w:t>
            </w:r>
            <w:r>
              <w:rPr>
                <w:szCs w:val="22"/>
              </w:rPr>
              <w:t>)</w:t>
            </w:r>
          </w:p>
        </w:tc>
      </w:tr>
      <w:tr w:rsidR="00324B33" w:rsidRPr="00BD5DBD" w14:paraId="70D7E9FA" w14:textId="77777777" w:rsidTr="007E683C">
        <w:tc>
          <w:tcPr>
            <w:tcW w:w="1875" w:type="pct"/>
          </w:tcPr>
          <w:p w14:paraId="5ABFFC80" w14:textId="77777777" w:rsidR="00324B33" w:rsidRPr="00BD5DBD" w:rsidRDefault="00324B33" w:rsidP="007452E8">
            <w:pPr>
              <w:rPr>
                <w:i/>
                <w:szCs w:val="22"/>
              </w:rPr>
            </w:pPr>
            <w:r w:rsidRPr="00BD5DBD">
              <w:rPr>
                <w:i/>
                <w:szCs w:val="22"/>
              </w:rPr>
              <w:t>Dosage:</w:t>
            </w:r>
          </w:p>
        </w:tc>
        <w:tc>
          <w:tcPr>
            <w:tcW w:w="3125" w:type="pct"/>
          </w:tcPr>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7E683C">
        <w:tc>
          <w:tcPr>
            <w:tcW w:w="1875" w:type="pct"/>
          </w:tcPr>
          <w:p w14:paraId="3A76AFF7" w14:textId="7C436DD9" w:rsidR="0017005C" w:rsidRPr="00F8083B" w:rsidRDefault="0070330F" w:rsidP="0017005C">
            <w:r w:rsidRPr="00BD5DBD">
              <w:rPr>
                <w:i/>
                <w:szCs w:val="22"/>
              </w:rPr>
              <w:t>Pregnancy category:</w:t>
            </w:r>
          </w:p>
        </w:tc>
        <w:tc>
          <w:tcPr>
            <w:tcW w:w="3125" w:type="pct"/>
          </w:tcPr>
          <w:p w14:paraId="671CD99A" w14:textId="14EDC2E9" w:rsidR="008C5499" w:rsidRPr="008C5499" w:rsidRDefault="008C5499" w:rsidP="008C5499">
            <w:r w:rsidRPr="008C5499">
              <w:rPr>
                <w:b/>
                <w:bCs/>
              </w:rPr>
              <w:t>Category D</w:t>
            </w:r>
            <w:r>
              <w:rPr>
                <w:b/>
                <w:bCs/>
              </w:rPr>
              <w:t xml:space="preserve">: </w:t>
            </w:r>
            <w:r w:rsidRPr="008C5499">
              <w:t>Drugs which have caused, are suspected to have caused or may be expected to cause, an increased incidence of human fetal malformations or irreversible damage. These drugs may also have adverse pharmacological effects.</w:t>
            </w:r>
          </w:p>
          <w:p w14:paraId="58D4E22E" w14:textId="27F72063" w:rsidR="008C5499" w:rsidRPr="008C5499" w:rsidRDefault="00037D6A" w:rsidP="008C5499">
            <w:r>
              <w:t>Opdivo</w:t>
            </w:r>
            <w:r w:rsidR="008C5499" w:rsidRPr="008C5499">
              <w:t xml:space="preserve"> is not recommended during pregnancy or in women of childbearing potential not using effective contraception, unless the clinical benefit outweighs the potential risk. Advise females of reproductive potential to use effective contraception during treatment with </w:t>
            </w:r>
            <w:r>
              <w:t>Opdivo</w:t>
            </w:r>
            <w:r w:rsidR="008C5499" w:rsidRPr="008C5499">
              <w:t xml:space="preserve"> for at least 5 months following the last dose of </w:t>
            </w:r>
            <w:r>
              <w:t>Opdivo</w:t>
            </w:r>
            <w:r w:rsidR="008C5499" w:rsidRPr="008C5499">
              <w:t xml:space="preserve">. </w:t>
            </w:r>
          </w:p>
          <w:p w14:paraId="76497789" w14:textId="305D9F4D" w:rsidR="0017005C" w:rsidRPr="00BD5DBD" w:rsidRDefault="008C5499" w:rsidP="008C5499">
            <w:pPr>
              <w:rPr>
                <w:szCs w:val="22"/>
              </w:rPr>
            </w:pPr>
            <w:r w:rsidRPr="008C5499">
              <w:t xml:space="preserve">There are no data on the use of </w:t>
            </w:r>
            <w:r w:rsidR="00037D6A">
              <w:t>Opdivo</w:t>
            </w:r>
            <w:r w:rsidRPr="008C5499">
              <w:t xml:space="preserve"> in pregnant women. Human IgG4 is known to cross the placental barrier and </w:t>
            </w:r>
            <w:r w:rsidR="00037D6A">
              <w:t>Opdivo</w:t>
            </w:r>
            <w:r w:rsidRPr="008C5499">
              <w:t xml:space="preserve"> is an IgG4; therefore</w:t>
            </w:r>
            <w:r w:rsidR="00B36626">
              <w:t>,</w:t>
            </w:r>
            <w:r w:rsidRPr="008C5499">
              <w:t xml:space="preserve"> </w:t>
            </w:r>
            <w:r w:rsidR="00037D6A">
              <w:t>Opdivo</w:t>
            </w:r>
            <w:r w:rsidRPr="008C5499">
              <w:t xml:space="preserve"> has the potential to be transmitted from the mother to the developing foetus. It is not known whether nivolumab can cause foetal harm when administered to a pregnant woman </w:t>
            </w:r>
            <w:r w:rsidR="0070330F"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0070330F"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0070330F" w:rsidRPr="00C059D0">
                <w:rPr>
                  <w:rStyle w:val="Hyperlink"/>
                  <w:szCs w:val="22"/>
                </w:rPr>
                <w:t>obstetric drug information services</w:t>
              </w:r>
            </w:hyperlink>
            <w:r w:rsidR="0070330F" w:rsidRPr="00BD5DBD">
              <w:rPr>
                <w:szCs w:val="22"/>
              </w:rPr>
              <w:t xml:space="preserve"> in your </w:t>
            </w:r>
            <w:r w:rsidR="00306E72">
              <w:rPr>
                <w:szCs w:val="22"/>
              </w:rPr>
              <w:t>s</w:t>
            </w:r>
            <w:r w:rsidR="0070330F" w:rsidRPr="00BD5DBD">
              <w:rPr>
                <w:szCs w:val="22"/>
              </w:rPr>
              <w:t xml:space="preserve">tate or </w:t>
            </w:r>
            <w:r w:rsidR="00306E72">
              <w:rPr>
                <w:szCs w:val="22"/>
              </w:rPr>
              <w:t>t</w:t>
            </w:r>
            <w:r w:rsidR="0070330F" w:rsidRPr="00BD5DBD">
              <w:rPr>
                <w:szCs w:val="22"/>
              </w:rPr>
              <w:t>erritory.</w:t>
            </w:r>
          </w:p>
        </w:tc>
      </w:tr>
    </w:tbl>
    <w:p w14:paraId="51F2479F" w14:textId="62C04A47" w:rsidR="00324B33" w:rsidRDefault="006E7B18" w:rsidP="005850CF">
      <w:pPr>
        <w:pStyle w:val="Heading3"/>
      </w:pPr>
      <w:bookmarkStart w:id="9" w:name="_Toc247691503"/>
      <w:bookmarkStart w:id="10" w:name="_Toc314842484"/>
      <w:bookmarkStart w:id="11" w:name="_Toc103679290"/>
      <w:bookmarkStart w:id="12" w:name="_Toc177389583"/>
      <w:r w:rsidRPr="006E7B18">
        <w:t>Opdivo (nivolumab)</w:t>
      </w:r>
      <w:bookmarkEnd w:id="9"/>
      <w:bookmarkEnd w:id="10"/>
      <w:bookmarkEnd w:id="11"/>
      <w:r>
        <w:t xml:space="preserve"> – proposed indication</w:t>
      </w:r>
      <w:bookmarkEnd w:id="12"/>
    </w:p>
    <w:p w14:paraId="59BF31D1" w14:textId="469BA572" w:rsidR="001500A8" w:rsidRPr="00065839" w:rsidRDefault="00324B33" w:rsidP="00065839">
      <w:r w:rsidRPr="00065839">
        <w:t xml:space="preserve">This AusPAR describes the submission by </w:t>
      </w:r>
      <w:r w:rsidR="00B66A97" w:rsidRPr="00B66A97">
        <w:t xml:space="preserve">Bristol-Myers Squibb Australia Pty Ltd </w:t>
      </w:r>
      <w:r w:rsidRPr="00065839">
        <w:t xml:space="preserve">(the sponsor) to register </w:t>
      </w:r>
      <w:r w:rsidR="00037D6A">
        <w:t>Opdivo</w:t>
      </w:r>
      <w:r w:rsidR="00B66A97" w:rsidRPr="00B66A97">
        <w:t xml:space="preserve"> </w:t>
      </w:r>
      <w:r w:rsidRPr="00065839">
        <w:t>(</w:t>
      </w:r>
      <w:r w:rsidR="00B66A97">
        <w:t>nivolumab</w:t>
      </w:r>
      <w:r w:rsidRPr="00065839">
        <w:t>) for the following proposed</w:t>
      </w:r>
      <w:r w:rsidR="00B66A97">
        <w:t xml:space="preserve"> </w:t>
      </w:r>
      <w:r w:rsidRPr="00065839">
        <w:t>extension of indications:</w:t>
      </w:r>
    </w:p>
    <w:p w14:paraId="0840C9CF" w14:textId="4837E3AC" w:rsidR="00B66A97" w:rsidRPr="00B66A97" w:rsidRDefault="00037D6A" w:rsidP="00B66A97">
      <w:pPr>
        <w:ind w:left="720"/>
        <w:rPr>
          <w:b/>
          <w:bCs/>
          <w:i/>
          <w:iCs/>
        </w:rPr>
      </w:pPr>
      <w:bookmarkStart w:id="13" w:name="_Toc314842485"/>
      <w:bookmarkStart w:id="14" w:name="_Toc247691504"/>
      <w:r>
        <w:rPr>
          <w:i/>
          <w:iCs/>
        </w:rPr>
        <w:t>Opdivo</w:t>
      </w:r>
      <w:r w:rsidR="00B66A97" w:rsidRPr="00B66A97">
        <w:rPr>
          <w:i/>
          <w:iCs/>
        </w:rPr>
        <w:t xml:space="preserve">, in combination with platinum-doublet chemotherapy, is indicated for the neoadjuvant treatment of patients with resectable non-small cell lung cancer (NSCLC). </w:t>
      </w:r>
    </w:p>
    <w:p w14:paraId="1E63A2AE" w14:textId="06B2E454" w:rsidR="00CB6813" w:rsidRDefault="00037D6A" w:rsidP="005850CF">
      <w:pPr>
        <w:pStyle w:val="Heading3"/>
      </w:pPr>
      <w:bookmarkStart w:id="15" w:name="_Toc177389584"/>
      <w:r>
        <w:t>Opdivo</w:t>
      </w:r>
      <w:r w:rsidR="00B66A97">
        <w:t xml:space="preserve"> and </w:t>
      </w:r>
      <w:r w:rsidR="00B36626">
        <w:t>n</w:t>
      </w:r>
      <w:r w:rsidR="00B66A97" w:rsidRPr="00B66A97">
        <w:t>on-small cell lung cancer (NSCLC)</w:t>
      </w:r>
      <w:bookmarkEnd w:id="15"/>
    </w:p>
    <w:p w14:paraId="2085A333" w14:textId="420769B7" w:rsidR="00B66A97" w:rsidRPr="00B66A97" w:rsidRDefault="00B66A97" w:rsidP="00B66A97">
      <w:r w:rsidRPr="00B66A97">
        <w:t>Non-small cell lung cancer (NSCLC) represents about 85% of lung cancers. The main curative treatment for these tumours is surgical resection, although this is only possible in a minority of patients who are diagnosed early in the course of their disease</w:t>
      </w:r>
      <w:r w:rsidR="005D501F">
        <w:rPr>
          <w:rStyle w:val="FootnoteReference"/>
        </w:rPr>
        <w:footnoteReference w:id="1"/>
      </w:r>
      <w:r w:rsidRPr="00B66A97">
        <w:t xml:space="preserve">. </w:t>
      </w:r>
    </w:p>
    <w:p w14:paraId="41D2AFD2" w14:textId="562DEDFE" w:rsidR="00B66A97" w:rsidRPr="00B66A97" w:rsidRDefault="00B66A97" w:rsidP="00B66A97">
      <w:r w:rsidRPr="00B66A97">
        <w:t>Approximately 30-55% of patients will experience a recurrence after surgery. Neoadjuvant chemotherapy is often used after surgery to reduce this rate of recurrence, although the US FDA notes a lack of regulatory approval for specific regimens. Nivolumab represents a potential improvement to neoadjuvant regimens with an increased rate of response and can be used pre-operatively</w:t>
      </w:r>
      <w:r w:rsidR="005D501F">
        <w:rPr>
          <w:rStyle w:val="FootnoteReference"/>
        </w:rPr>
        <w:footnoteReference w:id="2"/>
      </w:r>
      <w:r w:rsidRPr="00B66A97">
        <w:t xml:space="preserve">. </w:t>
      </w:r>
    </w:p>
    <w:p w14:paraId="4AAFF264" w14:textId="65381748" w:rsidR="00B66A97" w:rsidRPr="00B66A97" w:rsidRDefault="00B66A97" w:rsidP="00B66A97">
      <w:r w:rsidRPr="00B66A97">
        <w:t xml:space="preserve">Nivolumab is a monoclonal antibody that binds to </w:t>
      </w:r>
      <w:r w:rsidR="00CB5CEE">
        <w:t>p</w:t>
      </w:r>
      <w:r w:rsidRPr="00B66A97">
        <w:t xml:space="preserve">rogrammed </w:t>
      </w:r>
      <w:r w:rsidR="00CB5CEE">
        <w:t>d</w:t>
      </w:r>
      <w:r w:rsidRPr="00B66A97">
        <w:t xml:space="preserve">eath-1 receptors (PD-1) on T-cells and so blocks them from binding to cells which express </w:t>
      </w:r>
      <w:r w:rsidR="00CB5CEE">
        <w:t>p</w:t>
      </w:r>
      <w:r w:rsidRPr="00B66A97">
        <w:t xml:space="preserve">rogrammed </w:t>
      </w:r>
      <w:r w:rsidR="00CB5CEE">
        <w:t>d</w:t>
      </w:r>
      <w:r w:rsidRPr="00B66A97">
        <w:t xml:space="preserve">eath </w:t>
      </w:r>
      <w:r w:rsidR="00CB5CEE">
        <w:t>l</w:t>
      </w:r>
      <w:r w:rsidRPr="00B66A97">
        <w:t>igand-1 and -2 (PD-L1, PD-L2). When T-cells bind to PD-L1 and PD-L2 this inhibits destruction of these cells and is usually a means for the immune system to recognise ‘self’ tissues. Tumour cells frequently express PD-L1 and PD-L2 to evade immune detection and blocking this receptor can enhance the immune mediated destruction of tumour cells</w:t>
      </w:r>
      <w:r w:rsidR="005D501F">
        <w:rPr>
          <w:rStyle w:val="FootnoteReference"/>
        </w:rPr>
        <w:footnoteReference w:id="3"/>
      </w:r>
      <w:r w:rsidRPr="00B66A97">
        <w:t xml:space="preserve">. </w:t>
      </w:r>
    </w:p>
    <w:p w14:paraId="0D615854" w14:textId="77777777" w:rsidR="00324B33" w:rsidRPr="003F31A2" w:rsidRDefault="00324B33" w:rsidP="005850CF">
      <w:pPr>
        <w:pStyle w:val="Heading3"/>
      </w:pPr>
      <w:bookmarkStart w:id="16" w:name="_Toc103679291"/>
      <w:bookmarkStart w:id="17" w:name="_Toc177389585"/>
      <w:r>
        <w:t>Regulatory status</w:t>
      </w:r>
      <w:bookmarkEnd w:id="13"/>
      <w:bookmarkEnd w:id="14"/>
      <w:bookmarkEnd w:id="16"/>
      <w:bookmarkEnd w:id="17"/>
    </w:p>
    <w:p w14:paraId="72C889D6" w14:textId="7E200950" w:rsidR="0017005C" w:rsidRPr="00BD5DBD" w:rsidRDefault="0017005C" w:rsidP="00741AB9">
      <w:pPr>
        <w:pStyle w:val="Heading4"/>
      </w:pPr>
      <w:bookmarkStart w:id="18" w:name="_Toc177389586"/>
      <w:r w:rsidRPr="00BD5DBD">
        <w:t>Australian regulatory</w:t>
      </w:r>
      <w:r>
        <w:t xml:space="preserve"> sta</w:t>
      </w:r>
      <w:r w:rsidR="0025785B">
        <w:t>t</w:t>
      </w:r>
      <w:r>
        <w:t>us</w:t>
      </w:r>
      <w:bookmarkEnd w:id="18"/>
    </w:p>
    <w:p w14:paraId="22950B69" w14:textId="4F4CE558" w:rsidR="00B66A97" w:rsidRDefault="00B66A97" w:rsidP="00324B33">
      <w:pPr>
        <w:rPr>
          <w:szCs w:val="22"/>
        </w:rPr>
      </w:pPr>
      <w:r w:rsidRPr="00B66A97">
        <w:rPr>
          <w:szCs w:val="22"/>
        </w:rPr>
        <w:t xml:space="preserve">The product received initial registration in the Australian Register of Therapeutic Goods (ARTG) on </w:t>
      </w:r>
      <w:r w:rsidR="00130C16">
        <w:rPr>
          <w:szCs w:val="22"/>
        </w:rPr>
        <w:t>11 January 2016</w:t>
      </w:r>
      <w:r w:rsidRPr="00B66A97">
        <w:rPr>
          <w:szCs w:val="22"/>
        </w:rPr>
        <w:t>. It was approved for the following indication:</w:t>
      </w:r>
    </w:p>
    <w:p w14:paraId="5A4CD10C" w14:textId="26435C76" w:rsidR="00130C16" w:rsidRDefault="00037D6A" w:rsidP="00130C16">
      <w:pPr>
        <w:ind w:left="720"/>
        <w:rPr>
          <w:i/>
          <w:iCs/>
          <w:szCs w:val="22"/>
        </w:rPr>
      </w:pPr>
      <w:r>
        <w:rPr>
          <w:i/>
          <w:iCs/>
          <w:szCs w:val="22"/>
        </w:rPr>
        <w:t>Opdivo</w:t>
      </w:r>
      <w:r w:rsidR="00130C16" w:rsidRPr="00130C16">
        <w:rPr>
          <w:i/>
          <w:iCs/>
          <w:szCs w:val="22"/>
        </w:rPr>
        <w:t xml:space="preserve"> is indicated for the treatment of patients with unresectable or metastatic melanoma.</w:t>
      </w:r>
    </w:p>
    <w:p w14:paraId="5795C1A4" w14:textId="3D25A953" w:rsidR="00130C16" w:rsidRPr="00130C16" w:rsidRDefault="00130C16" w:rsidP="00130C16">
      <w:pPr>
        <w:rPr>
          <w:szCs w:val="22"/>
        </w:rPr>
      </w:pPr>
      <w:r>
        <w:rPr>
          <w:szCs w:val="22"/>
        </w:rPr>
        <w:t xml:space="preserve">It has since been approved </w:t>
      </w:r>
      <w:r w:rsidR="00B36626">
        <w:rPr>
          <w:szCs w:val="22"/>
        </w:rPr>
        <w:t xml:space="preserve">to treat </w:t>
      </w:r>
      <w:r>
        <w:rPr>
          <w:szCs w:val="22"/>
        </w:rPr>
        <w:t>a range of cancers:</w:t>
      </w:r>
    </w:p>
    <w:p w14:paraId="3486C3F3" w14:textId="77777777" w:rsidR="00130C16" w:rsidRPr="00130C16" w:rsidRDefault="00130C16" w:rsidP="00130C16">
      <w:pPr>
        <w:ind w:left="720"/>
        <w:rPr>
          <w:szCs w:val="22"/>
        </w:rPr>
      </w:pPr>
      <w:r w:rsidRPr="00130C16">
        <w:rPr>
          <w:b/>
          <w:bCs/>
          <w:szCs w:val="22"/>
        </w:rPr>
        <w:t xml:space="preserve">Melanoma </w:t>
      </w:r>
    </w:p>
    <w:p w14:paraId="31181DE4" w14:textId="66FF5845" w:rsidR="00130C16" w:rsidRPr="00130C16" w:rsidRDefault="00037D6A" w:rsidP="00130C16">
      <w:pPr>
        <w:ind w:left="720"/>
        <w:rPr>
          <w:szCs w:val="22"/>
        </w:rPr>
      </w:pPr>
      <w:r>
        <w:rPr>
          <w:szCs w:val="22"/>
        </w:rPr>
        <w:t>Opdivo</w:t>
      </w:r>
      <w:r w:rsidR="00130C16" w:rsidRPr="00130C16">
        <w:rPr>
          <w:szCs w:val="22"/>
        </w:rPr>
        <w:t xml:space="preserve">, as monotherapy, is indicated for the adjuvant treatment of adults and adolescent patients 12 years and older with completely resected Stage IIB, IIC, III or IV melanoma. </w:t>
      </w:r>
    </w:p>
    <w:p w14:paraId="053F7ACA" w14:textId="70359223" w:rsidR="00130C16" w:rsidRPr="00130C16" w:rsidRDefault="00037D6A" w:rsidP="00130C16">
      <w:pPr>
        <w:ind w:left="720"/>
        <w:rPr>
          <w:szCs w:val="22"/>
        </w:rPr>
      </w:pPr>
      <w:r>
        <w:rPr>
          <w:szCs w:val="22"/>
        </w:rPr>
        <w:t>Opdivo</w:t>
      </w:r>
      <w:r w:rsidR="00130C16" w:rsidRPr="00130C16">
        <w:rPr>
          <w:szCs w:val="22"/>
        </w:rPr>
        <w:t xml:space="preserve">, as monotherapy, is indicated for the treatment of patients with unresectable or metastatic melanoma. </w:t>
      </w:r>
    </w:p>
    <w:p w14:paraId="6F564B61" w14:textId="37ADD5D9" w:rsidR="00130C16" w:rsidRPr="00130C16" w:rsidRDefault="00037D6A" w:rsidP="00130C16">
      <w:pPr>
        <w:ind w:left="720"/>
        <w:rPr>
          <w:szCs w:val="22"/>
        </w:rPr>
      </w:pPr>
      <w:r>
        <w:rPr>
          <w:szCs w:val="22"/>
        </w:rPr>
        <w:t>Opdivo</w:t>
      </w:r>
      <w:r w:rsidR="00130C16" w:rsidRPr="00130C16">
        <w:rPr>
          <w:szCs w:val="22"/>
        </w:rPr>
        <w:t xml:space="preserve">, in combination with ipilimumab, is indicated for the treatment of patients with unresectable or metastatic melanoma. The approval of this indication is based on a pre-specified comparison to ipilimumab monotherapy. All analyses comparing nivolumab monotherapy with the nivolumab/ipilimumab combination are descriptive. </w:t>
      </w:r>
    </w:p>
    <w:p w14:paraId="5C96CAB0" w14:textId="74D0FFDC" w:rsidR="00130C16" w:rsidRPr="00130C16" w:rsidRDefault="00130C16" w:rsidP="00130C16">
      <w:pPr>
        <w:ind w:left="720"/>
        <w:rPr>
          <w:szCs w:val="22"/>
        </w:rPr>
      </w:pPr>
      <w:r w:rsidRPr="00130C16">
        <w:rPr>
          <w:b/>
          <w:bCs/>
          <w:szCs w:val="22"/>
        </w:rPr>
        <w:t>Non-</w:t>
      </w:r>
      <w:r w:rsidR="007D1DAA">
        <w:rPr>
          <w:b/>
          <w:bCs/>
          <w:szCs w:val="22"/>
        </w:rPr>
        <w:t>s</w:t>
      </w:r>
      <w:r w:rsidRPr="00130C16">
        <w:rPr>
          <w:b/>
          <w:bCs/>
          <w:szCs w:val="22"/>
        </w:rPr>
        <w:t xml:space="preserve">mall </w:t>
      </w:r>
      <w:r w:rsidR="007D1DAA">
        <w:rPr>
          <w:b/>
          <w:bCs/>
          <w:szCs w:val="22"/>
        </w:rPr>
        <w:t>c</w:t>
      </w:r>
      <w:r w:rsidRPr="00130C16">
        <w:rPr>
          <w:b/>
          <w:bCs/>
          <w:szCs w:val="22"/>
        </w:rPr>
        <w:t>ell</w:t>
      </w:r>
      <w:r w:rsidR="007D1DAA">
        <w:rPr>
          <w:b/>
          <w:bCs/>
          <w:szCs w:val="22"/>
        </w:rPr>
        <w:t xml:space="preserve"> l</w:t>
      </w:r>
      <w:r w:rsidRPr="00130C16">
        <w:rPr>
          <w:b/>
          <w:bCs/>
          <w:szCs w:val="22"/>
        </w:rPr>
        <w:t xml:space="preserve">ung </w:t>
      </w:r>
      <w:r w:rsidR="007D1DAA">
        <w:rPr>
          <w:b/>
          <w:bCs/>
          <w:szCs w:val="22"/>
        </w:rPr>
        <w:t>c</w:t>
      </w:r>
      <w:r w:rsidRPr="00130C16">
        <w:rPr>
          <w:b/>
          <w:bCs/>
          <w:szCs w:val="22"/>
        </w:rPr>
        <w:t xml:space="preserve">ancer (NSCLC) </w:t>
      </w:r>
    </w:p>
    <w:p w14:paraId="07C5A331" w14:textId="2D78B07F" w:rsidR="00130C16" w:rsidRPr="00130C16" w:rsidRDefault="00037D6A" w:rsidP="00130C16">
      <w:pPr>
        <w:ind w:left="720"/>
        <w:rPr>
          <w:szCs w:val="22"/>
        </w:rPr>
      </w:pPr>
      <w:r>
        <w:rPr>
          <w:szCs w:val="22"/>
        </w:rPr>
        <w:t>Opdivo</w:t>
      </w:r>
      <w:r w:rsidR="00130C16" w:rsidRPr="00130C16">
        <w:rPr>
          <w:szCs w:val="22"/>
        </w:rPr>
        <w:t xml:space="preserve">, in combination with ipilimumab and 2 cycles of platinum-doublet chemotherapy, is indicated for the first-line treatment of patients with metastatic or recurrent non-small cell lung cancer (NSCLC) with no EGFR or ALK genomic tumour aberrations. </w:t>
      </w:r>
    </w:p>
    <w:p w14:paraId="44123DC8" w14:textId="4D38A881" w:rsidR="00130C16" w:rsidRPr="00130C16" w:rsidRDefault="00037D6A" w:rsidP="00130C16">
      <w:pPr>
        <w:ind w:left="720"/>
        <w:rPr>
          <w:szCs w:val="22"/>
        </w:rPr>
      </w:pPr>
      <w:r>
        <w:rPr>
          <w:szCs w:val="22"/>
        </w:rPr>
        <w:t>Opdivo</w:t>
      </w:r>
      <w:r w:rsidR="00130C16" w:rsidRPr="00130C16">
        <w:rPr>
          <w:szCs w:val="22"/>
        </w:rPr>
        <w:t xml:space="preserve">, as monotherapy, is indicated for the treatment of locally advanced or metastatic squamous non-small cell lung cancer (NSCLC) with progression on or after prior chemotherapy. </w:t>
      </w:r>
    </w:p>
    <w:p w14:paraId="0AD8F73A" w14:textId="52D08634" w:rsidR="00130C16" w:rsidRPr="00130C16" w:rsidRDefault="00037D6A" w:rsidP="00130C16">
      <w:pPr>
        <w:ind w:left="720"/>
        <w:rPr>
          <w:szCs w:val="22"/>
        </w:rPr>
      </w:pPr>
      <w:r>
        <w:rPr>
          <w:szCs w:val="22"/>
        </w:rPr>
        <w:t>Opdivo</w:t>
      </w:r>
      <w:r w:rsidR="00130C16" w:rsidRPr="00130C16">
        <w:rPr>
          <w:szCs w:val="22"/>
        </w:rPr>
        <w:t xml:space="preserve">, as monotherapy, is indicated for the treatment of locally advanced or metastatic non-squamous non-small cell lung cancer (NSCLC) with progression on or after prior chemotherapy. In patients with tumour EGFR or ALK genomic aberrations, </w:t>
      </w:r>
      <w:r>
        <w:rPr>
          <w:szCs w:val="22"/>
        </w:rPr>
        <w:t>Opdivo</w:t>
      </w:r>
      <w:r w:rsidR="00130C16" w:rsidRPr="00130C16">
        <w:rPr>
          <w:szCs w:val="22"/>
        </w:rPr>
        <w:t xml:space="preserve"> should be used after progression on or after targeted therapy. </w:t>
      </w:r>
    </w:p>
    <w:p w14:paraId="4091302E" w14:textId="12F8A50C" w:rsidR="00130C16" w:rsidRPr="00130C16" w:rsidRDefault="00130C16" w:rsidP="00130C16">
      <w:pPr>
        <w:ind w:left="720"/>
        <w:rPr>
          <w:szCs w:val="22"/>
        </w:rPr>
      </w:pPr>
      <w:r w:rsidRPr="00130C16">
        <w:rPr>
          <w:b/>
          <w:bCs/>
          <w:szCs w:val="22"/>
        </w:rPr>
        <w:t xml:space="preserve">Malignant </w:t>
      </w:r>
      <w:r w:rsidR="007D1DAA">
        <w:rPr>
          <w:b/>
          <w:bCs/>
          <w:szCs w:val="22"/>
        </w:rPr>
        <w:t>p</w:t>
      </w:r>
      <w:r w:rsidRPr="00130C16">
        <w:rPr>
          <w:b/>
          <w:bCs/>
          <w:szCs w:val="22"/>
        </w:rPr>
        <w:t xml:space="preserve">leural </w:t>
      </w:r>
      <w:r w:rsidR="007D1DAA">
        <w:rPr>
          <w:b/>
          <w:bCs/>
          <w:szCs w:val="22"/>
        </w:rPr>
        <w:t>m</w:t>
      </w:r>
      <w:r w:rsidRPr="00130C16">
        <w:rPr>
          <w:b/>
          <w:bCs/>
          <w:szCs w:val="22"/>
        </w:rPr>
        <w:t xml:space="preserve">esothelioma (MPM) </w:t>
      </w:r>
    </w:p>
    <w:p w14:paraId="1CF232D3" w14:textId="74B04137" w:rsidR="00130C16" w:rsidRPr="00130C16" w:rsidRDefault="00037D6A" w:rsidP="00130C16">
      <w:pPr>
        <w:ind w:left="720"/>
        <w:rPr>
          <w:szCs w:val="22"/>
        </w:rPr>
      </w:pPr>
      <w:r>
        <w:rPr>
          <w:szCs w:val="22"/>
        </w:rPr>
        <w:t>Opdivo</w:t>
      </w:r>
      <w:r w:rsidR="00130C16" w:rsidRPr="00130C16">
        <w:rPr>
          <w:szCs w:val="22"/>
        </w:rPr>
        <w:t xml:space="preserve">, in combination with ipilimumab, is indicated for the first-line treatment of patients with unresectable malignant pleural mesothelioma. </w:t>
      </w:r>
    </w:p>
    <w:p w14:paraId="12948187" w14:textId="017A8C52" w:rsidR="00130C16" w:rsidRPr="00130C16" w:rsidRDefault="00130C16" w:rsidP="00130C16">
      <w:pPr>
        <w:ind w:left="720"/>
        <w:rPr>
          <w:szCs w:val="22"/>
        </w:rPr>
      </w:pPr>
      <w:r w:rsidRPr="00130C16">
        <w:rPr>
          <w:b/>
          <w:bCs/>
          <w:szCs w:val="22"/>
        </w:rPr>
        <w:t xml:space="preserve">Renal </w:t>
      </w:r>
      <w:r w:rsidR="007D1DAA">
        <w:rPr>
          <w:b/>
          <w:bCs/>
          <w:szCs w:val="22"/>
        </w:rPr>
        <w:t>c</w:t>
      </w:r>
      <w:r w:rsidRPr="00130C16">
        <w:rPr>
          <w:b/>
          <w:bCs/>
          <w:szCs w:val="22"/>
        </w:rPr>
        <w:t xml:space="preserve">ell </w:t>
      </w:r>
      <w:r w:rsidR="007D1DAA">
        <w:rPr>
          <w:b/>
          <w:bCs/>
          <w:szCs w:val="22"/>
        </w:rPr>
        <w:t>c</w:t>
      </w:r>
      <w:r w:rsidRPr="00130C16">
        <w:rPr>
          <w:b/>
          <w:bCs/>
          <w:szCs w:val="22"/>
        </w:rPr>
        <w:t xml:space="preserve">arcinoma (RCC) </w:t>
      </w:r>
    </w:p>
    <w:p w14:paraId="6639C659" w14:textId="5473E1DC" w:rsidR="00130C16" w:rsidRPr="00130C16" w:rsidRDefault="00037D6A" w:rsidP="00130C16">
      <w:pPr>
        <w:ind w:left="720"/>
        <w:rPr>
          <w:szCs w:val="22"/>
        </w:rPr>
      </w:pPr>
      <w:r>
        <w:rPr>
          <w:szCs w:val="22"/>
        </w:rPr>
        <w:t>Opdivo</w:t>
      </w:r>
      <w:r w:rsidR="00130C16" w:rsidRPr="00130C16">
        <w:rPr>
          <w:szCs w:val="22"/>
        </w:rPr>
        <w:t xml:space="preserve">, in combination with ipilimumab, is indicated for the treatment of patients with intermediate/poor-risk, previously untreated advanced renal cell carcinoma. </w:t>
      </w:r>
    </w:p>
    <w:p w14:paraId="517B27E9" w14:textId="04FBA8D9" w:rsidR="00130C16" w:rsidRPr="00130C16" w:rsidRDefault="00037D6A" w:rsidP="00130C16">
      <w:pPr>
        <w:ind w:left="720"/>
        <w:rPr>
          <w:szCs w:val="22"/>
        </w:rPr>
      </w:pPr>
      <w:r>
        <w:rPr>
          <w:szCs w:val="22"/>
        </w:rPr>
        <w:t>Opdivo</w:t>
      </w:r>
      <w:r w:rsidR="00130C16" w:rsidRPr="00130C16">
        <w:rPr>
          <w:szCs w:val="22"/>
        </w:rPr>
        <w:t xml:space="preserve">, in combination with cabozantinib, is indicated for the first-line treatment of patients with advanced renal cell carcinoma. </w:t>
      </w:r>
    </w:p>
    <w:p w14:paraId="03456B3E" w14:textId="3F5D9263" w:rsidR="00130C16" w:rsidRDefault="00037D6A" w:rsidP="00130C16">
      <w:pPr>
        <w:ind w:left="720"/>
        <w:rPr>
          <w:szCs w:val="22"/>
        </w:rPr>
      </w:pPr>
      <w:r>
        <w:rPr>
          <w:szCs w:val="22"/>
        </w:rPr>
        <w:t>Opdivo</w:t>
      </w:r>
      <w:r w:rsidR="00130C16" w:rsidRPr="00130C16">
        <w:rPr>
          <w:szCs w:val="22"/>
        </w:rPr>
        <w:t>, as monotherapy, is indicated for the treatment of patients with advanced clear cell renal cell carcinoma after prior anti-angiogenic therapy.</w:t>
      </w:r>
    </w:p>
    <w:p w14:paraId="5A3F6F62" w14:textId="4F95BE8D" w:rsidR="00130C16" w:rsidRPr="00130C16" w:rsidRDefault="00130C16" w:rsidP="00130C16">
      <w:pPr>
        <w:ind w:left="720"/>
        <w:rPr>
          <w:szCs w:val="22"/>
        </w:rPr>
      </w:pPr>
      <w:r w:rsidRPr="00130C16">
        <w:rPr>
          <w:b/>
          <w:bCs/>
          <w:szCs w:val="22"/>
        </w:rPr>
        <w:t xml:space="preserve">Classical </w:t>
      </w:r>
      <w:r w:rsidR="007D1DAA">
        <w:rPr>
          <w:b/>
          <w:bCs/>
          <w:szCs w:val="22"/>
        </w:rPr>
        <w:t>H</w:t>
      </w:r>
      <w:r w:rsidRPr="00130C16">
        <w:rPr>
          <w:b/>
          <w:bCs/>
          <w:szCs w:val="22"/>
        </w:rPr>
        <w:t xml:space="preserve">odgkin </w:t>
      </w:r>
      <w:r w:rsidR="007D1DAA">
        <w:rPr>
          <w:b/>
          <w:bCs/>
          <w:szCs w:val="22"/>
        </w:rPr>
        <w:t>l</w:t>
      </w:r>
      <w:r w:rsidRPr="00130C16">
        <w:rPr>
          <w:b/>
          <w:bCs/>
          <w:szCs w:val="22"/>
        </w:rPr>
        <w:t xml:space="preserve">ymphoma (cHL) </w:t>
      </w:r>
    </w:p>
    <w:p w14:paraId="4EA0DD57" w14:textId="51E3779D" w:rsidR="00130C16" w:rsidRPr="00130C16" w:rsidRDefault="00037D6A" w:rsidP="00130C16">
      <w:pPr>
        <w:ind w:left="720"/>
        <w:rPr>
          <w:szCs w:val="22"/>
        </w:rPr>
      </w:pPr>
      <w:r>
        <w:rPr>
          <w:szCs w:val="22"/>
        </w:rPr>
        <w:t>Opdivo</w:t>
      </w:r>
      <w:r w:rsidR="00130C16" w:rsidRPr="00130C16">
        <w:rPr>
          <w:szCs w:val="22"/>
        </w:rPr>
        <w:t xml:space="preserve">, as monotherapy, is indicated for the treatment of patients with relapsed or refractory classical Hodgkin lymphoma (cHL) after autologous stem cell transplant and treatment with brentuximab vedotin. The approval of this indication is based on objective response rate in a single arm study. </w:t>
      </w:r>
    </w:p>
    <w:p w14:paraId="0C582B2D" w14:textId="5D331807" w:rsidR="00130C16" w:rsidRPr="00130C16" w:rsidRDefault="00130C16" w:rsidP="00130C16">
      <w:pPr>
        <w:ind w:left="720"/>
        <w:rPr>
          <w:szCs w:val="22"/>
        </w:rPr>
      </w:pPr>
      <w:r w:rsidRPr="00130C16">
        <w:rPr>
          <w:b/>
          <w:bCs/>
          <w:szCs w:val="22"/>
        </w:rPr>
        <w:t xml:space="preserve">Squamous </w:t>
      </w:r>
      <w:r w:rsidR="007D1DAA">
        <w:rPr>
          <w:b/>
          <w:bCs/>
          <w:szCs w:val="22"/>
        </w:rPr>
        <w:t>c</w:t>
      </w:r>
      <w:r w:rsidRPr="00130C16">
        <w:rPr>
          <w:b/>
          <w:bCs/>
          <w:szCs w:val="22"/>
        </w:rPr>
        <w:t xml:space="preserve">ell </w:t>
      </w:r>
      <w:r w:rsidR="007D1DAA">
        <w:rPr>
          <w:b/>
          <w:bCs/>
          <w:szCs w:val="22"/>
        </w:rPr>
        <w:t>c</w:t>
      </w:r>
      <w:r w:rsidRPr="00130C16">
        <w:rPr>
          <w:b/>
          <w:bCs/>
          <w:szCs w:val="22"/>
        </w:rPr>
        <w:t xml:space="preserve">arcinoma of the </w:t>
      </w:r>
      <w:r w:rsidR="007D1DAA">
        <w:rPr>
          <w:b/>
          <w:bCs/>
          <w:szCs w:val="22"/>
        </w:rPr>
        <w:t>h</w:t>
      </w:r>
      <w:r w:rsidRPr="00130C16">
        <w:rPr>
          <w:b/>
          <w:bCs/>
          <w:szCs w:val="22"/>
        </w:rPr>
        <w:t xml:space="preserve">ead and </w:t>
      </w:r>
      <w:r w:rsidR="007D1DAA">
        <w:rPr>
          <w:b/>
          <w:bCs/>
          <w:szCs w:val="22"/>
        </w:rPr>
        <w:t>n</w:t>
      </w:r>
      <w:r w:rsidRPr="00130C16">
        <w:rPr>
          <w:b/>
          <w:bCs/>
          <w:szCs w:val="22"/>
        </w:rPr>
        <w:t xml:space="preserve">eck (SCCHN) </w:t>
      </w:r>
    </w:p>
    <w:p w14:paraId="03AC3283" w14:textId="1D166EF5" w:rsidR="005850CF" w:rsidRDefault="00037D6A" w:rsidP="005D4331">
      <w:pPr>
        <w:ind w:left="720"/>
        <w:rPr>
          <w:szCs w:val="22"/>
        </w:rPr>
      </w:pPr>
      <w:r>
        <w:rPr>
          <w:szCs w:val="22"/>
        </w:rPr>
        <w:t>Opdivo</w:t>
      </w:r>
      <w:r w:rsidR="00130C16" w:rsidRPr="00130C16">
        <w:rPr>
          <w:szCs w:val="22"/>
        </w:rPr>
        <w:t xml:space="preserve">, as monotherapy, is indicated for the treatment of recurrent or metastatic squamous cell cancer of the head and neck in patients progressing on or after </w:t>
      </w:r>
      <w:proofErr w:type="gramStart"/>
      <w:r w:rsidR="00130C16" w:rsidRPr="00130C16">
        <w:rPr>
          <w:szCs w:val="22"/>
        </w:rPr>
        <w:t>platinum based</w:t>
      </w:r>
      <w:proofErr w:type="gramEnd"/>
      <w:r w:rsidR="00130C16" w:rsidRPr="00130C16">
        <w:rPr>
          <w:szCs w:val="22"/>
        </w:rPr>
        <w:t xml:space="preserve"> therapy. </w:t>
      </w:r>
    </w:p>
    <w:p w14:paraId="3040943E" w14:textId="50945F92" w:rsidR="00130C16" w:rsidRPr="00130C16" w:rsidRDefault="00130C16" w:rsidP="00130C16">
      <w:pPr>
        <w:ind w:left="720"/>
        <w:rPr>
          <w:szCs w:val="22"/>
        </w:rPr>
      </w:pPr>
      <w:r w:rsidRPr="00130C16">
        <w:rPr>
          <w:b/>
          <w:bCs/>
          <w:szCs w:val="22"/>
        </w:rPr>
        <w:t xml:space="preserve">Urothelial </w:t>
      </w:r>
      <w:r w:rsidR="007D1DAA">
        <w:rPr>
          <w:b/>
          <w:bCs/>
          <w:szCs w:val="22"/>
        </w:rPr>
        <w:t>c</w:t>
      </w:r>
      <w:r w:rsidRPr="00130C16">
        <w:rPr>
          <w:b/>
          <w:bCs/>
          <w:szCs w:val="22"/>
        </w:rPr>
        <w:t xml:space="preserve">arcinoma (UC) </w:t>
      </w:r>
    </w:p>
    <w:p w14:paraId="3883D661" w14:textId="0FF3A9D1" w:rsidR="00130C16" w:rsidRPr="00130C16" w:rsidRDefault="00037D6A" w:rsidP="00130C16">
      <w:pPr>
        <w:ind w:left="720"/>
        <w:rPr>
          <w:szCs w:val="22"/>
        </w:rPr>
      </w:pPr>
      <w:r>
        <w:rPr>
          <w:szCs w:val="22"/>
        </w:rPr>
        <w:t>Opdivo</w:t>
      </w:r>
      <w:r w:rsidR="00130C16" w:rsidRPr="00130C16">
        <w:rPr>
          <w:szCs w:val="22"/>
        </w:rPr>
        <w:t xml:space="preserve">, as monotherapy, is indicated for the adjuvant treatment of patients with muscle invasive urothelial carcinoma (MIUC) who are at high risk of recurrence after undergoing radical resection of MIUC. </w:t>
      </w:r>
    </w:p>
    <w:p w14:paraId="34C4287F" w14:textId="05EC6C13" w:rsidR="00130C16" w:rsidRPr="00130C16" w:rsidRDefault="00037D6A" w:rsidP="00130C16">
      <w:pPr>
        <w:ind w:left="720"/>
        <w:rPr>
          <w:szCs w:val="22"/>
        </w:rPr>
      </w:pPr>
      <w:r>
        <w:rPr>
          <w:szCs w:val="22"/>
        </w:rPr>
        <w:t>Opdivo</w:t>
      </w:r>
      <w:r w:rsidR="00130C16" w:rsidRPr="00130C16">
        <w:rPr>
          <w:szCs w:val="22"/>
        </w:rPr>
        <w:t xml:space="preserve">, as monotherapy, is indicated for the treatment of patients with locally advanced unresectable or metastatic urothelial carcinoma after prior platinum-containing therapy. The approval of this indication is based on objective response rate and duration of response in a single arm study. </w:t>
      </w:r>
    </w:p>
    <w:p w14:paraId="64526122" w14:textId="4E1811C3" w:rsidR="00130C16" w:rsidRPr="00130C16" w:rsidRDefault="00130C16" w:rsidP="00130C16">
      <w:pPr>
        <w:ind w:left="720"/>
        <w:rPr>
          <w:szCs w:val="22"/>
        </w:rPr>
      </w:pPr>
      <w:r w:rsidRPr="00130C16">
        <w:rPr>
          <w:b/>
          <w:bCs/>
          <w:szCs w:val="22"/>
        </w:rPr>
        <w:t xml:space="preserve">Hepatocellular </w:t>
      </w:r>
      <w:r w:rsidR="007D1DAA">
        <w:rPr>
          <w:b/>
          <w:bCs/>
          <w:szCs w:val="22"/>
        </w:rPr>
        <w:t>c</w:t>
      </w:r>
      <w:r w:rsidRPr="00130C16">
        <w:rPr>
          <w:b/>
          <w:bCs/>
          <w:szCs w:val="22"/>
        </w:rPr>
        <w:t xml:space="preserve">arcinoma (HCC) </w:t>
      </w:r>
    </w:p>
    <w:p w14:paraId="47653CC1" w14:textId="04228BB5" w:rsidR="00130C16" w:rsidRPr="00130C16" w:rsidRDefault="00037D6A" w:rsidP="00130C16">
      <w:pPr>
        <w:ind w:left="720"/>
        <w:rPr>
          <w:szCs w:val="22"/>
        </w:rPr>
      </w:pPr>
      <w:r>
        <w:rPr>
          <w:szCs w:val="22"/>
        </w:rPr>
        <w:t>Opdivo</w:t>
      </w:r>
      <w:r w:rsidR="00130C16" w:rsidRPr="00130C16">
        <w:rPr>
          <w:szCs w:val="22"/>
        </w:rPr>
        <w:t xml:space="preserve">, as monotherapy, is indicated for the treatment of patients with hepatocellular carcinoma after prior sorafenib therapy. This indication is approved based on objective response rate and duration of response in a single arm study. An improvement in survival or disease-related symptoms has not been established. </w:t>
      </w:r>
    </w:p>
    <w:p w14:paraId="11D88511" w14:textId="20BB107B" w:rsidR="00130C16" w:rsidRPr="00130C16" w:rsidRDefault="00130C16" w:rsidP="00130C16">
      <w:pPr>
        <w:ind w:left="720"/>
        <w:rPr>
          <w:szCs w:val="22"/>
        </w:rPr>
      </w:pPr>
      <w:r w:rsidRPr="00130C16">
        <w:rPr>
          <w:b/>
          <w:bCs/>
          <w:szCs w:val="22"/>
        </w:rPr>
        <w:t xml:space="preserve">Oesophageal </w:t>
      </w:r>
      <w:r w:rsidR="007D1DAA">
        <w:rPr>
          <w:b/>
          <w:bCs/>
          <w:szCs w:val="22"/>
        </w:rPr>
        <w:t>s</w:t>
      </w:r>
      <w:r w:rsidRPr="00130C16">
        <w:rPr>
          <w:b/>
          <w:bCs/>
          <w:szCs w:val="22"/>
        </w:rPr>
        <w:t xml:space="preserve">quamous </w:t>
      </w:r>
      <w:r w:rsidR="007D1DAA">
        <w:rPr>
          <w:b/>
          <w:bCs/>
          <w:szCs w:val="22"/>
        </w:rPr>
        <w:t>c</w:t>
      </w:r>
      <w:r w:rsidRPr="00130C16">
        <w:rPr>
          <w:b/>
          <w:bCs/>
          <w:szCs w:val="22"/>
        </w:rPr>
        <w:t xml:space="preserve">ell </w:t>
      </w:r>
      <w:r w:rsidR="007D1DAA">
        <w:rPr>
          <w:b/>
          <w:bCs/>
          <w:szCs w:val="22"/>
        </w:rPr>
        <w:t>c</w:t>
      </w:r>
      <w:r w:rsidRPr="00130C16">
        <w:rPr>
          <w:b/>
          <w:bCs/>
          <w:szCs w:val="22"/>
        </w:rPr>
        <w:t xml:space="preserve">arcinoma (OSCC) </w:t>
      </w:r>
    </w:p>
    <w:p w14:paraId="3A75A58F" w14:textId="584C9FB5" w:rsidR="00130C16" w:rsidRPr="00130C16" w:rsidRDefault="00037D6A" w:rsidP="00130C16">
      <w:pPr>
        <w:ind w:left="720"/>
        <w:rPr>
          <w:szCs w:val="22"/>
        </w:rPr>
      </w:pPr>
      <w:r>
        <w:rPr>
          <w:szCs w:val="22"/>
        </w:rPr>
        <w:t>Opdivo</w:t>
      </w:r>
      <w:r w:rsidR="00130C16" w:rsidRPr="00130C16">
        <w:rPr>
          <w:szCs w:val="22"/>
        </w:rPr>
        <w:t xml:space="preserve"> in combination with ipilimumab is indicated for the first-line treatment of patients with unresectable advanced, </w:t>
      </w:r>
      <w:proofErr w:type="gramStart"/>
      <w:r w:rsidR="00130C16" w:rsidRPr="00130C16">
        <w:rPr>
          <w:szCs w:val="22"/>
        </w:rPr>
        <w:t>recurrent</w:t>
      </w:r>
      <w:proofErr w:type="gramEnd"/>
      <w:r w:rsidR="00130C16" w:rsidRPr="00130C16">
        <w:rPr>
          <w:szCs w:val="22"/>
        </w:rPr>
        <w:t xml:space="preserve"> or metastatic oesophageal squamous cell carcinoma with tumour cell PD-L1 expression ≥ 1% as determined by a validated test. </w:t>
      </w:r>
    </w:p>
    <w:p w14:paraId="4E5D2442" w14:textId="6D72ED2A" w:rsidR="00130C16" w:rsidRPr="00130C16" w:rsidRDefault="00037D6A" w:rsidP="00130C16">
      <w:pPr>
        <w:ind w:left="720"/>
        <w:rPr>
          <w:szCs w:val="22"/>
        </w:rPr>
      </w:pPr>
      <w:r>
        <w:rPr>
          <w:szCs w:val="22"/>
        </w:rPr>
        <w:t>Opdivo</w:t>
      </w:r>
      <w:r w:rsidR="00130C16" w:rsidRPr="00130C16">
        <w:rPr>
          <w:szCs w:val="22"/>
        </w:rPr>
        <w:t xml:space="preserve"> in combination with fluoropyrimidine- and platinum-based combination chemotherapy is indicated for the first-line treatment of patients with unresectable advanced, </w:t>
      </w:r>
      <w:proofErr w:type="gramStart"/>
      <w:r w:rsidR="00130C16" w:rsidRPr="00130C16">
        <w:rPr>
          <w:szCs w:val="22"/>
        </w:rPr>
        <w:t>recurrent</w:t>
      </w:r>
      <w:proofErr w:type="gramEnd"/>
      <w:r w:rsidR="00130C16" w:rsidRPr="00130C16">
        <w:rPr>
          <w:szCs w:val="22"/>
        </w:rPr>
        <w:t xml:space="preserve"> or metastatic oesophageal squamous cell carcinoma with tumour cell PD-L1 expression ≥ 1% as determined by a validated test. </w:t>
      </w:r>
    </w:p>
    <w:p w14:paraId="6644D27D" w14:textId="68AE9DAA" w:rsidR="00130C16" w:rsidRPr="00130C16" w:rsidRDefault="00037D6A" w:rsidP="00130C16">
      <w:pPr>
        <w:ind w:left="720"/>
        <w:rPr>
          <w:szCs w:val="22"/>
        </w:rPr>
      </w:pPr>
      <w:r>
        <w:rPr>
          <w:szCs w:val="22"/>
        </w:rPr>
        <w:t>Opdivo</w:t>
      </w:r>
      <w:r w:rsidR="00130C16" w:rsidRPr="00130C16">
        <w:rPr>
          <w:szCs w:val="22"/>
        </w:rPr>
        <w:t xml:space="preserve">, as monotherapy, is indicated for the treatment of patients with unresectable advanced, recurrent or metastatic oesophageal squamous cell carcinoma after prior fluoropyrimidine and </w:t>
      </w:r>
      <w:proofErr w:type="gramStart"/>
      <w:r w:rsidR="00130C16" w:rsidRPr="00130C16">
        <w:rPr>
          <w:szCs w:val="22"/>
        </w:rPr>
        <w:t>platinum based</w:t>
      </w:r>
      <w:proofErr w:type="gramEnd"/>
      <w:r w:rsidR="00130C16" w:rsidRPr="00130C16">
        <w:rPr>
          <w:szCs w:val="22"/>
        </w:rPr>
        <w:t xml:space="preserve"> chemotherapy. </w:t>
      </w:r>
    </w:p>
    <w:p w14:paraId="794BEF6E" w14:textId="1C655AC4" w:rsidR="00130C16" w:rsidRPr="00130C16" w:rsidRDefault="00130C16" w:rsidP="00130C16">
      <w:pPr>
        <w:ind w:left="720"/>
        <w:rPr>
          <w:szCs w:val="22"/>
        </w:rPr>
      </w:pPr>
      <w:r w:rsidRPr="00130C16">
        <w:rPr>
          <w:b/>
          <w:bCs/>
          <w:szCs w:val="22"/>
        </w:rPr>
        <w:t xml:space="preserve">Adjuvant </w:t>
      </w:r>
      <w:r w:rsidR="007D1DAA">
        <w:rPr>
          <w:b/>
          <w:bCs/>
          <w:szCs w:val="22"/>
        </w:rPr>
        <w:t>o</w:t>
      </w:r>
      <w:r w:rsidRPr="00130C16">
        <w:rPr>
          <w:b/>
          <w:bCs/>
          <w:szCs w:val="22"/>
        </w:rPr>
        <w:t xml:space="preserve">esophageal </w:t>
      </w:r>
      <w:r w:rsidR="007D1DAA">
        <w:rPr>
          <w:b/>
          <w:bCs/>
          <w:szCs w:val="22"/>
        </w:rPr>
        <w:t>c</w:t>
      </w:r>
      <w:r w:rsidRPr="00130C16">
        <w:rPr>
          <w:b/>
          <w:bCs/>
          <w:szCs w:val="22"/>
        </w:rPr>
        <w:t xml:space="preserve">ancer (OC) or </w:t>
      </w:r>
      <w:r w:rsidR="007D1DAA">
        <w:rPr>
          <w:b/>
          <w:bCs/>
          <w:szCs w:val="22"/>
        </w:rPr>
        <w:t>g</w:t>
      </w:r>
      <w:r w:rsidRPr="00130C16">
        <w:rPr>
          <w:b/>
          <w:bCs/>
          <w:szCs w:val="22"/>
        </w:rPr>
        <w:t>astro-</w:t>
      </w:r>
      <w:r w:rsidR="007D1DAA">
        <w:rPr>
          <w:b/>
          <w:bCs/>
          <w:szCs w:val="22"/>
        </w:rPr>
        <w:t>o</w:t>
      </w:r>
      <w:r w:rsidRPr="00130C16">
        <w:rPr>
          <w:b/>
          <w:bCs/>
          <w:szCs w:val="22"/>
        </w:rPr>
        <w:t xml:space="preserve">esophageal </w:t>
      </w:r>
      <w:r w:rsidR="007D1DAA">
        <w:rPr>
          <w:b/>
          <w:bCs/>
          <w:szCs w:val="22"/>
        </w:rPr>
        <w:t>j</w:t>
      </w:r>
      <w:r w:rsidRPr="00130C16">
        <w:rPr>
          <w:b/>
          <w:bCs/>
          <w:szCs w:val="22"/>
        </w:rPr>
        <w:t xml:space="preserve">unction </w:t>
      </w:r>
      <w:r w:rsidR="007D1DAA">
        <w:rPr>
          <w:b/>
          <w:bCs/>
          <w:szCs w:val="22"/>
        </w:rPr>
        <w:t>c</w:t>
      </w:r>
      <w:r w:rsidRPr="00130C16">
        <w:rPr>
          <w:b/>
          <w:bCs/>
          <w:szCs w:val="22"/>
        </w:rPr>
        <w:t xml:space="preserve">ancer (GOJC) </w:t>
      </w:r>
    </w:p>
    <w:p w14:paraId="712D4FFC" w14:textId="6A5DBD78" w:rsidR="00130C16" w:rsidRPr="00130C16" w:rsidRDefault="00037D6A" w:rsidP="00130C16">
      <w:pPr>
        <w:ind w:left="720"/>
        <w:rPr>
          <w:szCs w:val="22"/>
        </w:rPr>
      </w:pPr>
      <w:r>
        <w:rPr>
          <w:szCs w:val="22"/>
        </w:rPr>
        <w:t>Opdivo</w:t>
      </w:r>
      <w:r w:rsidR="00130C16" w:rsidRPr="00130C16">
        <w:rPr>
          <w:szCs w:val="22"/>
        </w:rPr>
        <w:t xml:space="preserve">, as monotherapy, is indicated for the adjuvant treatment of resected oesophageal or gastro-oesophageal junction cancer in patients who have received neoadjuvant chemoradiotherapy. </w:t>
      </w:r>
    </w:p>
    <w:p w14:paraId="72626EA7" w14:textId="568E0138" w:rsidR="00130C16" w:rsidRPr="00130C16" w:rsidRDefault="00130C16" w:rsidP="00130C16">
      <w:pPr>
        <w:ind w:left="720"/>
        <w:rPr>
          <w:szCs w:val="22"/>
        </w:rPr>
      </w:pPr>
      <w:r w:rsidRPr="00130C16">
        <w:rPr>
          <w:b/>
          <w:bCs/>
          <w:szCs w:val="22"/>
        </w:rPr>
        <w:t xml:space="preserve">Gastric </w:t>
      </w:r>
      <w:r w:rsidR="007D1DAA">
        <w:rPr>
          <w:b/>
          <w:bCs/>
          <w:szCs w:val="22"/>
        </w:rPr>
        <w:t>c</w:t>
      </w:r>
      <w:r w:rsidRPr="00130C16">
        <w:rPr>
          <w:b/>
          <w:bCs/>
          <w:szCs w:val="22"/>
        </w:rPr>
        <w:t xml:space="preserve">ancer (GC), </w:t>
      </w:r>
      <w:r w:rsidR="007D1DAA">
        <w:rPr>
          <w:b/>
          <w:bCs/>
          <w:szCs w:val="22"/>
        </w:rPr>
        <w:t>g</w:t>
      </w:r>
      <w:r w:rsidRPr="00130C16">
        <w:rPr>
          <w:b/>
          <w:bCs/>
          <w:szCs w:val="22"/>
        </w:rPr>
        <w:t xml:space="preserve">astro-oesophageal </w:t>
      </w:r>
      <w:r w:rsidR="007D1DAA">
        <w:rPr>
          <w:b/>
          <w:bCs/>
          <w:szCs w:val="22"/>
        </w:rPr>
        <w:t>j</w:t>
      </w:r>
      <w:r w:rsidRPr="00130C16">
        <w:rPr>
          <w:b/>
          <w:bCs/>
          <w:szCs w:val="22"/>
        </w:rPr>
        <w:t xml:space="preserve">unction </w:t>
      </w:r>
      <w:r w:rsidR="007D1DAA">
        <w:rPr>
          <w:b/>
          <w:bCs/>
          <w:szCs w:val="22"/>
        </w:rPr>
        <w:t>c</w:t>
      </w:r>
      <w:r w:rsidRPr="00130C16">
        <w:rPr>
          <w:b/>
          <w:bCs/>
          <w:szCs w:val="22"/>
        </w:rPr>
        <w:t xml:space="preserve">ancer (GOJC), or </w:t>
      </w:r>
      <w:r w:rsidR="007D1DAA">
        <w:rPr>
          <w:b/>
          <w:bCs/>
          <w:szCs w:val="22"/>
        </w:rPr>
        <w:t>o</w:t>
      </w:r>
      <w:r w:rsidRPr="00130C16">
        <w:rPr>
          <w:b/>
          <w:bCs/>
          <w:szCs w:val="22"/>
        </w:rPr>
        <w:t xml:space="preserve">esophageal </w:t>
      </w:r>
      <w:r w:rsidR="007D1DAA">
        <w:rPr>
          <w:b/>
          <w:bCs/>
          <w:szCs w:val="22"/>
        </w:rPr>
        <w:t>a</w:t>
      </w:r>
      <w:r w:rsidRPr="00130C16">
        <w:rPr>
          <w:b/>
          <w:bCs/>
          <w:szCs w:val="22"/>
        </w:rPr>
        <w:t xml:space="preserve">denocarcinoma (OAC) </w:t>
      </w:r>
    </w:p>
    <w:p w14:paraId="7BA4BB8B" w14:textId="49977A5E" w:rsidR="00130C16" w:rsidRDefault="00037D6A" w:rsidP="00130C16">
      <w:pPr>
        <w:ind w:left="720"/>
        <w:rPr>
          <w:szCs w:val="22"/>
        </w:rPr>
      </w:pPr>
      <w:r>
        <w:rPr>
          <w:szCs w:val="22"/>
        </w:rPr>
        <w:t>Opdivo</w:t>
      </w:r>
      <w:r w:rsidR="00130C16" w:rsidRPr="00130C16">
        <w:rPr>
          <w:szCs w:val="22"/>
        </w:rPr>
        <w:t>, in combination with fluoropyrimidine- and platinum-based combination chemotherapy, is indicated for the first-line treatment of patients with HER2 negative advanced or metastatic gastric or gastro-oesophageal junction or oesophageal adenocarcinoma.</w:t>
      </w:r>
    </w:p>
    <w:p w14:paraId="3823F9C9" w14:textId="4A15468D" w:rsidR="00B66A97" w:rsidRDefault="00B66A97" w:rsidP="00324B33">
      <w:pPr>
        <w:rPr>
          <w:szCs w:val="22"/>
        </w:rPr>
      </w:pPr>
      <w:r w:rsidRPr="00B66A97">
        <w:rPr>
          <w:szCs w:val="22"/>
        </w:rPr>
        <w:t>Its current indication for the treatment of NSCLC is:</w:t>
      </w:r>
    </w:p>
    <w:p w14:paraId="4E9D6D2F" w14:textId="173F8F88" w:rsidR="00B66A97" w:rsidRPr="00B66A97" w:rsidRDefault="00037D6A" w:rsidP="00B66A97">
      <w:pPr>
        <w:ind w:left="720"/>
        <w:rPr>
          <w:i/>
          <w:iCs/>
          <w:szCs w:val="22"/>
        </w:rPr>
      </w:pPr>
      <w:r>
        <w:rPr>
          <w:i/>
          <w:iCs/>
          <w:szCs w:val="22"/>
        </w:rPr>
        <w:t>Opdivo</w:t>
      </w:r>
      <w:r w:rsidR="00B66A97" w:rsidRPr="00B66A97">
        <w:rPr>
          <w:i/>
          <w:iCs/>
          <w:szCs w:val="22"/>
        </w:rPr>
        <w:t xml:space="preserve">, in combination with ipilimumab and 2 cycles of platinum-doublet chemotherapy, is indicated for the first-line treatment of patients with metastatic or recurrent non-small cell lung cancer (NSCLC) with no EGFR or ALK genomic tumour aberrations. </w:t>
      </w:r>
    </w:p>
    <w:p w14:paraId="2BDC659A" w14:textId="40571BBC" w:rsidR="00B66A97" w:rsidRPr="00B66A97" w:rsidRDefault="00037D6A" w:rsidP="00B66A97">
      <w:pPr>
        <w:ind w:left="720"/>
        <w:rPr>
          <w:i/>
          <w:iCs/>
          <w:szCs w:val="22"/>
        </w:rPr>
      </w:pPr>
      <w:r>
        <w:rPr>
          <w:i/>
          <w:iCs/>
          <w:szCs w:val="22"/>
        </w:rPr>
        <w:t>Opdivo</w:t>
      </w:r>
      <w:r w:rsidR="00B66A97" w:rsidRPr="00B66A97">
        <w:rPr>
          <w:i/>
          <w:iCs/>
          <w:szCs w:val="22"/>
        </w:rPr>
        <w:t xml:space="preserve">, as monotherapy, is indicated for the treatment of locally advanced or metastatic squamous non-small cell lung cancer (NSCLC) with progression on or after prior chemotherapy. </w:t>
      </w:r>
    </w:p>
    <w:p w14:paraId="4FBA3BB4" w14:textId="74CA932E" w:rsidR="00B66A97" w:rsidRPr="00B66A97" w:rsidRDefault="00037D6A" w:rsidP="00B66A97">
      <w:pPr>
        <w:ind w:left="720"/>
        <w:rPr>
          <w:i/>
          <w:iCs/>
          <w:szCs w:val="22"/>
        </w:rPr>
      </w:pPr>
      <w:r>
        <w:rPr>
          <w:i/>
          <w:iCs/>
          <w:szCs w:val="22"/>
        </w:rPr>
        <w:t>Opdivo</w:t>
      </w:r>
      <w:r w:rsidR="00B66A97" w:rsidRPr="00B66A97">
        <w:rPr>
          <w:i/>
          <w:iCs/>
          <w:szCs w:val="22"/>
        </w:rPr>
        <w:t xml:space="preserve">, as monotherapy, is indicated for the treatment of locally advanced or metastatic nonsquamous non-small cell lung cancer (NSCLC) with progression on or after prior chemotherapy. In patients with tumour EGFR or ALK genomic aberrations, </w:t>
      </w:r>
      <w:r>
        <w:rPr>
          <w:i/>
          <w:iCs/>
          <w:szCs w:val="22"/>
        </w:rPr>
        <w:t>Opdivo</w:t>
      </w:r>
      <w:r w:rsidR="00B66A97" w:rsidRPr="00B66A97">
        <w:rPr>
          <w:i/>
          <w:iCs/>
          <w:szCs w:val="22"/>
        </w:rPr>
        <w:t xml:space="preserve"> should be used after progression on or after targeted therapy.</w:t>
      </w:r>
    </w:p>
    <w:p w14:paraId="546C1031" w14:textId="13AEC93A" w:rsidR="0017005C" w:rsidRDefault="0009070F" w:rsidP="0017005C">
      <w:pPr>
        <w:pStyle w:val="Heading4"/>
      </w:pPr>
      <w:bookmarkStart w:id="19" w:name="_Toc177389587"/>
      <w:r>
        <w:t>International</w:t>
      </w:r>
      <w:r w:rsidR="0017005C" w:rsidRPr="00BD5DBD">
        <w:t xml:space="preserve"> regulatory</w:t>
      </w:r>
      <w:r w:rsidR="0017005C">
        <w:t xml:space="preserve"> status</w:t>
      </w:r>
      <w:bookmarkEnd w:id="19"/>
    </w:p>
    <w:p w14:paraId="02DBE4EB" w14:textId="03D6FFAF" w:rsidR="00130C16" w:rsidRPr="00B66A97" w:rsidRDefault="00C133AB" w:rsidP="00130C16">
      <w:pPr>
        <w:rPr>
          <w:szCs w:val="22"/>
        </w:rPr>
      </w:pPr>
      <w:r w:rsidRPr="00BD5DBD">
        <w:rPr>
          <w:szCs w:val="22"/>
        </w:rPr>
        <w:t xml:space="preserve">This evaluation was facilitated through </w:t>
      </w:r>
      <w:hyperlink r:id="rId21" w:history="1">
        <w:r w:rsidRPr="00BD5DBD">
          <w:rPr>
            <w:rStyle w:val="Hyperlink"/>
            <w:szCs w:val="22"/>
          </w:rPr>
          <w:t>Project Orbis</w:t>
        </w:r>
      </w:hyperlink>
      <w:r w:rsidRPr="00BD5DBD">
        <w:rPr>
          <w:szCs w:val="22"/>
        </w:rPr>
        <w:t>, an initiative of the United States Food and Drug Administration (FDA) Oncology Center of Excellence</w:t>
      </w:r>
      <w:r w:rsidR="00130C16">
        <w:rPr>
          <w:szCs w:val="22"/>
        </w:rPr>
        <w:t>. T</w:t>
      </w:r>
      <w:r w:rsidR="00130C16" w:rsidRPr="00B66A97">
        <w:rPr>
          <w:szCs w:val="22"/>
        </w:rPr>
        <w:t>he Delegate has referred to a US FDA evaluation report on which to base their decision. This evaluation was performed with participation from TGA, Health Canada, the MHRA and ANVISA, but is a US FDA authored document.</w:t>
      </w:r>
    </w:p>
    <w:p w14:paraId="37458022" w14:textId="237F1061" w:rsidR="00130C16" w:rsidRPr="00130C16" w:rsidRDefault="00130C16" w:rsidP="00130C16">
      <w:pPr>
        <w:rPr>
          <w:szCs w:val="22"/>
        </w:rPr>
      </w:pPr>
      <w:r>
        <w:rPr>
          <w:szCs w:val="22"/>
        </w:rPr>
        <w:t xml:space="preserve">The </w:t>
      </w:r>
      <w:r w:rsidRPr="00130C16">
        <w:rPr>
          <w:szCs w:val="22"/>
        </w:rPr>
        <w:t xml:space="preserve">FDA approved the proposed neoadjuvant indication on 4 March 2022. </w:t>
      </w:r>
    </w:p>
    <w:p w14:paraId="00515A11" w14:textId="77777777" w:rsidR="00130C16" w:rsidRPr="00130C16" w:rsidRDefault="00130C16" w:rsidP="00130C16">
      <w:pPr>
        <w:rPr>
          <w:szCs w:val="22"/>
        </w:rPr>
      </w:pPr>
      <w:r w:rsidRPr="00130C16">
        <w:rPr>
          <w:szCs w:val="22"/>
        </w:rPr>
        <w:t xml:space="preserve">Health Canada approved the proposed neoadjuvant indication on 23 August 2022. </w:t>
      </w:r>
    </w:p>
    <w:p w14:paraId="549C02D0" w14:textId="4BF8FD1D" w:rsidR="00130C16" w:rsidRDefault="00130C16" w:rsidP="00130C16">
      <w:pPr>
        <w:rPr>
          <w:szCs w:val="22"/>
        </w:rPr>
      </w:pPr>
      <w:r w:rsidRPr="00130C16">
        <w:rPr>
          <w:szCs w:val="22"/>
        </w:rPr>
        <w:t xml:space="preserve">The EMA has validated an application for the neoadjuvant indication but has not yet </w:t>
      </w:r>
      <w:proofErr w:type="gramStart"/>
      <w:r w:rsidRPr="00130C16">
        <w:rPr>
          <w:szCs w:val="22"/>
        </w:rPr>
        <w:t>made a decision</w:t>
      </w:r>
      <w:proofErr w:type="gramEnd"/>
      <w:r w:rsidRPr="00130C16">
        <w:rPr>
          <w:szCs w:val="22"/>
        </w:rPr>
        <w:t>.</w:t>
      </w:r>
    </w:p>
    <w:p w14:paraId="6D92589C" w14:textId="09786CEF" w:rsidR="00324B33" w:rsidRDefault="00324B33" w:rsidP="005850CF">
      <w:pPr>
        <w:pStyle w:val="Heading3"/>
      </w:pPr>
      <w:bookmarkStart w:id="20" w:name="_Toc504480011"/>
      <w:bookmarkStart w:id="21" w:name="_Toc103679293"/>
      <w:bookmarkStart w:id="22" w:name="_Toc177389588"/>
      <w:r>
        <w:t>Registration timeline</w:t>
      </w:r>
      <w:bookmarkEnd w:id="20"/>
      <w:bookmarkEnd w:id="21"/>
      <w:bookmarkEnd w:id="22"/>
    </w:p>
    <w:p w14:paraId="225E3D87" w14:textId="155EC336" w:rsidR="00324B33" w:rsidRPr="00BD5DBD" w:rsidRDefault="004F5F72" w:rsidP="00324B33">
      <w:pPr>
        <w:rPr>
          <w:szCs w:val="22"/>
        </w:rPr>
      </w:pPr>
      <w:r>
        <w:rPr>
          <w:szCs w:val="22"/>
        </w:rPr>
        <w:t>T</w:t>
      </w:r>
      <w:r w:rsidR="00324B33" w:rsidRPr="00BD5DBD">
        <w:rPr>
          <w:szCs w:val="22"/>
        </w:rPr>
        <w:t>able</w:t>
      </w:r>
      <w:r>
        <w:rPr>
          <w:szCs w:val="22"/>
        </w:rPr>
        <w:t xml:space="preserve"> 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5263E729" w14:textId="52383460" w:rsidR="005B02A2" w:rsidRPr="004F5F72" w:rsidRDefault="00324B33" w:rsidP="004F5F7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Timeline for </w:t>
      </w:r>
      <w:r w:rsidR="00037D6A">
        <w:t>Opdivo</w:t>
      </w:r>
      <w:r w:rsidR="004F5F72">
        <w:t xml:space="preserve"> </w:t>
      </w:r>
      <w:r w:rsidRPr="002C1232">
        <w:t xml:space="preserve">Submission </w:t>
      </w:r>
      <w:r w:rsidR="004F5F72" w:rsidRPr="004F5F72">
        <w:t>PM-2022-00374-1-4</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14C7CA51" w:rsidR="00324B33" w:rsidRPr="00D01DDB" w:rsidRDefault="004F5F72" w:rsidP="00324B33">
            <w:pPr>
              <w:cnfStyle w:val="000000000000" w:firstRow="0" w:lastRow="0" w:firstColumn="0" w:lastColumn="0" w:oddVBand="0" w:evenVBand="0" w:oddHBand="0" w:evenHBand="0" w:firstRowFirstColumn="0" w:firstRowLastColumn="0" w:lastRowFirstColumn="0" w:lastRowLastColumn="0"/>
              <w:rPr>
                <w:szCs w:val="22"/>
              </w:rPr>
            </w:pPr>
            <w:r w:rsidRPr="004F5F72">
              <w:rPr>
                <w:szCs w:val="22"/>
              </w:rPr>
              <w:t>31 March 2022</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9496F7B" w:rsidR="00324B33" w:rsidRPr="00E679D1" w:rsidRDefault="004F5F72" w:rsidP="00E679D1">
            <w:r>
              <w:t>E</w:t>
            </w:r>
            <w:r w:rsidR="00324B33" w:rsidRPr="00E679D1">
              <w:t>valuation completed</w:t>
            </w:r>
          </w:p>
        </w:tc>
        <w:tc>
          <w:tcPr>
            <w:tcW w:w="2977" w:type="dxa"/>
          </w:tcPr>
          <w:p w14:paraId="4E47DF62" w14:textId="4B851A96" w:rsidR="00324B33" w:rsidRPr="00D01DDB" w:rsidRDefault="004F5F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July 2022</w:t>
            </w:r>
          </w:p>
        </w:tc>
      </w:tr>
      <w:tr w:rsidR="00324B33" w:rsidRPr="00D01DDB"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2E36B8BB" w:rsidR="00324B33" w:rsidRPr="00D01DDB" w:rsidRDefault="00324B33" w:rsidP="00324B33">
            <w:pPr>
              <w:rPr>
                <w:szCs w:val="22"/>
              </w:rPr>
            </w:pPr>
            <w:r w:rsidRPr="00D01DDB">
              <w:rPr>
                <w:szCs w:val="22"/>
              </w:rPr>
              <w:t>Delegate’s</w:t>
            </w:r>
            <w:r w:rsidR="00500D68">
              <w:rPr>
                <w:rStyle w:val="FootnoteReference"/>
                <w:szCs w:val="22"/>
              </w:rPr>
              <w:footnoteReference w:id="4"/>
            </w:r>
            <w:r w:rsidRPr="00D01DDB">
              <w:rPr>
                <w:szCs w:val="22"/>
              </w:rPr>
              <w:t xml:space="preserve"> Overall benefit-risk assessment</w:t>
            </w:r>
          </w:p>
        </w:tc>
        <w:tc>
          <w:tcPr>
            <w:tcW w:w="2977" w:type="dxa"/>
          </w:tcPr>
          <w:p w14:paraId="3BA6EF79" w14:textId="3E6BC62F" w:rsidR="00324B33" w:rsidRPr="00D01DDB" w:rsidRDefault="004F5F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January 2023</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E679D1">
            <w:r w:rsidRPr="00E679D1">
              <w:t>Registration decision (Outcome)</w:t>
            </w:r>
          </w:p>
        </w:tc>
        <w:tc>
          <w:tcPr>
            <w:tcW w:w="2977" w:type="dxa"/>
          </w:tcPr>
          <w:p w14:paraId="62987ABD" w14:textId="34152DED" w:rsidR="00324B33" w:rsidRPr="00D01DDB" w:rsidRDefault="004F5F7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17 February 2023</w:t>
            </w:r>
          </w:p>
        </w:tc>
      </w:tr>
      <w:tr w:rsidR="004F5F72"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8C0F35C" w:rsidR="004F5F72" w:rsidRPr="00E679D1" w:rsidRDefault="004F5F72" w:rsidP="004F5F72">
            <w:r w:rsidRPr="00B80D2A">
              <w:t>Registration in the ARTG</w:t>
            </w:r>
          </w:p>
        </w:tc>
        <w:tc>
          <w:tcPr>
            <w:tcW w:w="2977" w:type="dxa"/>
          </w:tcPr>
          <w:p w14:paraId="5A8923FD" w14:textId="3CE12CD9" w:rsidR="004F5F72" w:rsidRPr="00D01DDB" w:rsidRDefault="004F5F72" w:rsidP="004F5F72">
            <w:pPr>
              <w:cnfStyle w:val="000000000000" w:firstRow="0" w:lastRow="0" w:firstColumn="0" w:lastColumn="0" w:oddVBand="0" w:evenVBand="0" w:oddHBand="0" w:evenHBand="0" w:firstRowFirstColumn="0" w:firstRowLastColumn="0" w:lastRowFirstColumn="0" w:lastRowLastColumn="0"/>
              <w:rPr>
                <w:szCs w:val="22"/>
              </w:rPr>
            </w:pPr>
            <w:r>
              <w:rPr>
                <w:szCs w:val="22"/>
              </w:rPr>
              <w:t>20 February 2023</w:t>
            </w:r>
          </w:p>
        </w:tc>
      </w:tr>
      <w:tr w:rsidR="004F5F72"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4F5F72" w:rsidRPr="00E679D1" w:rsidRDefault="004F5F72" w:rsidP="004F5F72">
            <w:r w:rsidRPr="00E679D1">
              <w:t>Number of working days from submission dossier acceptance to registration decision*</w:t>
            </w:r>
          </w:p>
        </w:tc>
        <w:tc>
          <w:tcPr>
            <w:tcW w:w="2977" w:type="dxa"/>
          </w:tcPr>
          <w:p w14:paraId="5BAF9FA1" w14:textId="596A398D" w:rsidR="004F5F72" w:rsidRPr="00D01DDB" w:rsidRDefault="004F5F72" w:rsidP="004F5F72">
            <w:pPr>
              <w:cnfStyle w:val="000000000000" w:firstRow="0" w:lastRow="0" w:firstColumn="0" w:lastColumn="0" w:oddVBand="0" w:evenVBand="0" w:oddHBand="0" w:evenHBand="0" w:firstRowFirstColumn="0" w:firstRowLastColumn="0" w:lastRowFirstColumn="0" w:lastRowLastColumn="0"/>
              <w:rPr>
                <w:szCs w:val="22"/>
              </w:rPr>
            </w:pPr>
            <w:r>
              <w:rPr>
                <w:szCs w:val="22"/>
              </w:rPr>
              <w:t>226</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23" w:name="_Toc196046504"/>
      <w:bookmarkStart w:id="24" w:name="_Toc247691527"/>
      <w:bookmarkStart w:id="25" w:name="_Toc314842510"/>
      <w:bookmarkStart w:id="26" w:name="_Toc103679294"/>
      <w:bookmarkStart w:id="27" w:name="_Toc177389589"/>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3"/>
      <w:bookmarkEnd w:id="24"/>
      <w:bookmarkEnd w:id="25"/>
      <w:bookmarkEnd w:id="26"/>
      <w:bookmarkEnd w:id="27"/>
    </w:p>
    <w:p w14:paraId="35B580A5" w14:textId="51BD1550" w:rsidR="00C22214" w:rsidRDefault="00C22214" w:rsidP="008804CF">
      <w:pPr>
        <w:pStyle w:val="Heading3"/>
      </w:pPr>
      <w:bookmarkStart w:id="28" w:name="_Toc247691530"/>
      <w:bookmarkStart w:id="29" w:name="_Toc314842513"/>
      <w:bookmarkStart w:id="30" w:name="_Toc103679297"/>
      <w:bookmarkStart w:id="31" w:name="_Toc177389590"/>
      <w:r>
        <w:t>Clinical</w:t>
      </w:r>
      <w:bookmarkEnd w:id="28"/>
      <w:bookmarkEnd w:id="29"/>
      <w:bookmarkEnd w:id="30"/>
      <w:r w:rsidR="00115906">
        <w:t xml:space="preserve"> evaluation summary</w:t>
      </w:r>
      <w:bookmarkEnd w:id="31"/>
    </w:p>
    <w:p w14:paraId="58A787B1" w14:textId="77777777" w:rsidR="004F5F72" w:rsidRPr="002A0F96" w:rsidRDefault="004F5F72" w:rsidP="004F5F72">
      <w:pPr>
        <w:pStyle w:val="Instructions"/>
        <w:rPr>
          <w:i w:val="0"/>
          <w:iCs/>
          <w:color w:val="auto"/>
        </w:rPr>
      </w:pPr>
      <w:r w:rsidRPr="002A0F96">
        <w:rPr>
          <w:i w:val="0"/>
          <w:iCs/>
          <w:color w:val="auto"/>
        </w:rPr>
        <w:t xml:space="preserve">The pivotal data supporting this application was study CA209816 (CHECKMATE-816). </w:t>
      </w:r>
    </w:p>
    <w:p w14:paraId="2E0D7E53" w14:textId="64D73C52" w:rsidR="004F5F72" w:rsidRPr="002A0F96" w:rsidRDefault="004F5F72" w:rsidP="004F5F72">
      <w:pPr>
        <w:pStyle w:val="Instructions"/>
        <w:rPr>
          <w:i w:val="0"/>
          <w:iCs/>
          <w:color w:val="auto"/>
        </w:rPr>
      </w:pPr>
      <w:r w:rsidRPr="002A0F96">
        <w:rPr>
          <w:i w:val="0"/>
          <w:iCs/>
          <w:color w:val="auto"/>
        </w:rPr>
        <w:t xml:space="preserve">Pharmacokinetic </w:t>
      </w:r>
      <w:r w:rsidR="00B36626">
        <w:rPr>
          <w:i w:val="0"/>
          <w:iCs/>
          <w:color w:val="auto"/>
        </w:rPr>
        <w:t xml:space="preserve">(PK) </w:t>
      </w:r>
      <w:r w:rsidRPr="002A0F96">
        <w:rPr>
          <w:i w:val="0"/>
          <w:iCs/>
          <w:color w:val="auto"/>
        </w:rPr>
        <w:t>modelling was performed to support the proposed dosing regimen for the neoadjuvant indication.</w:t>
      </w:r>
    </w:p>
    <w:p w14:paraId="56B3F4A4" w14:textId="77777777" w:rsidR="004F5F72" w:rsidRPr="00F452B5" w:rsidRDefault="004F5F72" w:rsidP="004F5F72">
      <w:r>
        <w:t>There were no new module 3 or 4 data submitted for evaluation.</w:t>
      </w:r>
    </w:p>
    <w:p w14:paraId="50BD2426" w14:textId="77777777" w:rsidR="004F5F72" w:rsidRDefault="004F5F72" w:rsidP="004F5F72">
      <w:pPr>
        <w:pStyle w:val="Heading4"/>
        <w:rPr>
          <w:rFonts w:eastAsia="Times New Roman"/>
          <w:b w:val="0"/>
          <w:i/>
          <w:color w:val="7295D2" w:themeColor="accent1" w:themeTint="BF"/>
        </w:rPr>
      </w:pPr>
      <w:bookmarkStart w:id="32" w:name="_Toc177389591"/>
      <w:r w:rsidRPr="00AA53F4">
        <w:t>Pharmacology</w:t>
      </w:r>
      <w:bookmarkEnd w:id="32"/>
      <w:r w:rsidRPr="00901283">
        <w:rPr>
          <w:rFonts w:eastAsia="Times New Roman"/>
          <w:b w:val="0"/>
          <w:i/>
          <w:color w:val="7295D2" w:themeColor="accent1" w:themeTint="BF"/>
        </w:rPr>
        <w:t xml:space="preserve"> </w:t>
      </w:r>
    </w:p>
    <w:p w14:paraId="0320A737" w14:textId="6A1B8050" w:rsidR="004F5F72" w:rsidRDefault="004F5F72" w:rsidP="004F5F72">
      <w:r>
        <w:t xml:space="preserve">The pharmacology of </w:t>
      </w:r>
      <w:r w:rsidR="005850CF">
        <w:t>n</w:t>
      </w:r>
      <w:r>
        <w:t>ivolumab has been investigated in previous applications and a 2-compartment population PK model validated</w:t>
      </w:r>
      <w:r w:rsidR="00B36626">
        <w:rPr>
          <w:rStyle w:val="FootnoteReference"/>
        </w:rPr>
        <w:footnoteReference w:id="5"/>
      </w:r>
      <w:r>
        <w:t>.</w:t>
      </w:r>
    </w:p>
    <w:p w14:paraId="16BBA18E" w14:textId="5EE12259" w:rsidR="004F5F72" w:rsidRPr="00FF2F15" w:rsidRDefault="004F5F72" w:rsidP="004F5F72">
      <w:r>
        <w:t xml:space="preserve">The proposed 360mg Q3W flat dosing for this indication resulted in similar drug exposure to previously registered 3mg/kg Q2W dosing. No clinically meaningful impact of patient demographics or disease characteristics on </w:t>
      </w:r>
      <w:r w:rsidR="005850CF">
        <w:t>n</w:t>
      </w:r>
      <w:r>
        <w:t xml:space="preserve">ivolumab exposure was observed in patients for this indication. </w:t>
      </w:r>
    </w:p>
    <w:p w14:paraId="37317D63" w14:textId="77777777" w:rsidR="004F5F72" w:rsidRDefault="004F5F72" w:rsidP="004F5F72">
      <w:pPr>
        <w:pStyle w:val="Heading4"/>
      </w:pPr>
      <w:bookmarkStart w:id="33" w:name="_Toc177389592"/>
      <w:r w:rsidRPr="00AA53F4">
        <w:t>Efficacy</w:t>
      </w:r>
      <w:bookmarkEnd w:id="33"/>
    </w:p>
    <w:p w14:paraId="00A3FD4F" w14:textId="7528CE47" w:rsidR="004F5F72" w:rsidRDefault="004F5F72" w:rsidP="004F5F72">
      <w:r>
        <w:t xml:space="preserve">CA209816 was an </w:t>
      </w:r>
      <w:proofErr w:type="gramStart"/>
      <w:r>
        <w:t>open-label</w:t>
      </w:r>
      <w:proofErr w:type="gramEnd"/>
      <w:r>
        <w:t xml:space="preserve">, randomised, phase III trial comparing the effect of </w:t>
      </w:r>
      <w:r w:rsidR="005850CF">
        <w:t>n</w:t>
      </w:r>
      <w:r>
        <w:t>ivolumab</w:t>
      </w:r>
      <w:r w:rsidR="005850CF">
        <w:t xml:space="preserve"> </w:t>
      </w:r>
      <w:r>
        <w:t>+</w:t>
      </w:r>
      <w:r w:rsidR="005850CF">
        <w:t xml:space="preserve"> c</w:t>
      </w:r>
      <w:r>
        <w:t xml:space="preserve">hemotherapy or </w:t>
      </w:r>
      <w:r w:rsidR="00E26E4B">
        <w:t>c</w:t>
      </w:r>
      <w:r>
        <w:t xml:space="preserve">hemotherapy as neoadjuvant therapy in patients with resectable NSCLC. The study originally contained a </w:t>
      </w:r>
      <w:r w:rsidR="005850CF">
        <w:t>n</w:t>
      </w:r>
      <w:r>
        <w:t>ivolumab</w:t>
      </w:r>
      <w:r w:rsidR="005850CF">
        <w:t xml:space="preserve"> </w:t>
      </w:r>
      <w:r>
        <w:t>+</w:t>
      </w:r>
      <w:r w:rsidR="005850CF">
        <w:t xml:space="preserve"> i</w:t>
      </w:r>
      <w:r>
        <w:t xml:space="preserve">pilimumab arm but this was discontinued as a protocol amendment and patient randomised into the two remaining arms. </w:t>
      </w:r>
    </w:p>
    <w:p w14:paraId="6F8F3A94" w14:textId="77777777" w:rsidR="00F476EC" w:rsidRDefault="004F5F72" w:rsidP="00F476EC">
      <w:r>
        <w:t xml:space="preserve">The primary endpoints of the study were </w:t>
      </w:r>
      <w:r w:rsidR="00E26E4B">
        <w:t>e</w:t>
      </w:r>
      <w:r>
        <w:t>vent-</w:t>
      </w:r>
      <w:r w:rsidR="00E26E4B">
        <w:t>f</w:t>
      </w:r>
      <w:r>
        <w:t xml:space="preserve">ree </w:t>
      </w:r>
      <w:r w:rsidR="00E26E4B">
        <w:t>s</w:t>
      </w:r>
      <w:r>
        <w:t xml:space="preserve">urvival (EFS) and </w:t>
      </w:r>
      <w:r w:rsidR="00E26E4B">
        <w:t>p</w:t>
      </w:r>
      <w:r>
        <w:t xml:space="preserve">athological </w:t>
      </w:r>
      <w:r w:rsidR="00E26E4B">
        <w:t>c</w:t>
      </w:r>
      <w:r>
        <w:t xml:space="preserve">omplete </w:t>
      </w:r>
      <w:r w:rsidR="00E26E4B">
        <w:t>r</w:t>
      </w:r>
      <w:r>
        <w:t xml:space="preserve">esponse (pCR). </w:t>
      </w:r>
    </w:p>
    <w:p w14:paraId="6DBC4EBE" w14:textId="09968C40" w:rsidR="004F5F72" w:rsidRDefault="075C801E" w:rsidP="007E683C">
      <w:pPr>
        <w:pStyle w:val="ListBullet"/>
      </w:pPr>
      <w:r>
        <w:t>EFS was defined as the time from randomisation to progression precluding surgery, recurrence after surgery or death from any cause. Patients who did not undergo surgery for any reason other than progression were considered to have had an ‘event</w:t>
      </w:r>
      <w:r w:rsidR="67C4B0B8">
        <w:t>.</w:t>
      </w:r>
      <w:r>
        <w:t>’</w:t>
      </w:r>
    </w:p>
    <w:p w14:paraId="48CAD4A8" w14:textId="77777777" w:rsidR="000747C3" w:rsidRDefault="004F5F72" w:rsidP="007E683C">
      <w:pPr>
        <w:pStyle w:val="ListBullet"/>
      </w:pPr>
      <w:proofErr w:type="spellStart"/>
      <w:r>
        <w:t>pCR</w:t>
      </w:r>
      <w:proofErr w:type="spellEnd"/>
      <w:r>
        <w:t xml:space="preserve"> was defined was defined as the rate of patients having an absence of residual tumour in lung resected tissue and lymph nodes. </w:t>
      </w:r>
    </w:p>
    <w:p w14:paraId="07F5F196" w14:textId="377D409B" w:rsidR="004F5F72" w:rsidRDefault="2067C1E3" w:rsidP="00F476EC">
      <w:r>
        <w:t>T</w:t>
      </w:r>
      <w:r w:rsidR="075C801E">
        <w:t xml:space="preserve">he </w:t>
      </w:r>
      <w:r w:rsidR="6340205A">
        <w:t>evaluator</w:t>
      </w:r>
      <w:r w:rsidR="075C801E">
        <w:t xml:space="preserve"> has noted that there is limited experience with pCR as a primary efficacy outcome in supporting regulatory approval of treatment of early</w:t>
      </w:r>
      <w:r w:rsidR="4B981C2C">
        <w:t>-</w:t>
      </w:r>
      <w:r w:rsidR="075C801E">
        <w:t>stage NSCLC. It is not yet determined what difference in pCR would be required to predict an improvement in EF</w:t>
      </w:r>
      <w:r w:rsidR="006E7B18">
        <w:t>S</w:t>
      </w:r>
      <w:r w:rsidR="075C801E">
        <w:t xml:space="preserve"> or OS in early NSCLC.</w:t>
      </w:r>
    </w:p>
    <w:p w14:paraId="5374B955" w14:textId="7B95ECF1" w:rsidR="004F5F72" w:rsidRDefault="075C801E" w:rsidP="004F5F72">
      <w:r>
        <w:t>Included patients had histologically confirmed stages IB,</w:t>
      </w:r>
      <w:r w:rsidR="43CD6E14">
        <w:t xml:space="preserve"> </w:t>
      </w:r>
      <w:r>
        <w:t xml:space="preserve">II or IIIA NSCLC. </w:t>
      </w:r>
    </w:p>
    <w:p w14:paraId="6575A0CE" w14:textId="4D4F02FA" w:rsidR="004F5F72" w:rsidRDefault="004F5F72" w:rsidP="004F5F72">
      <w:pPr>
        <w:pStyle w:val="TableTitle"/>
      </w:pPr>
      <w:r w:rsidRPr="004F5F72">
        <w:t>Table 1: Key baseline characteristics of patients enrolled in Study CA209816</w:t>
      </w:r>
    </w:p>
    <w:p w14:paraId="3FF6CC52" w14:textId="3F1D0DAB" w:rsidR="004F5F72" w:rsidRDefault="00AC6A5C" w:rsidP="004F5F72">
      <w:r>
        <w:rPr>
          <w:noProof/>
        </w:rPr>
        <w:drawing>
          <wp:inline distT="0" distB="0" distL="0" distR="0" wp14:anchorId="58DAB330" wp14:editId="1946A401">
            <wp:extent cx="5646420" cy="5467350"/>
            <wp:effectExtent l="19050" t="19050" r="11430" b="19050"/>
            <wp:docPr id="1936076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332" t="1412" r="1349" b="2051"/>
                    <a:stretch/>
                  </pic:blipFill>
                  <pic:spPr bwMode="auto">
                    <a:xfrm>
                      <a:off x="0" y="0"/>
                      <a:ext cx="5646420" cy="54673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46C13C" w14:textId="4455EF8D" w:rsidR="004F5F72" w:rsidRDefault="004F5F72" w:rsidP="004F5F72">
      <w:r>
        <w:t xml:space="preserve">The treatment arms were well balanced for baseline measures of response to treatment. Only about 50% of patients in either arm had evidence of PD-L1 expression&gt;1% in their </w:t>
      </w:r>
      <w:r w:rsidR="00616BB0">
        <w:t>tumour</w:t>
      </w:r>
      <w:r>
        <w:t xml:space="preserve">. </w:t>
      </w:r>
    </w:p>
    <w:p w14:paraId="5D4A77D8" w14:textId="460E6E37" w:rsidR="004F5F72" w:rsidRDefault="004F5F72" w:rsidP="004F5F72">
      <w:r>
        <w:t>Patients were randomised 1:1 to received one of two neoadjuvant regimens:</w:t>
      </w:r>
    </w:p>
    <w:p w14:paraId="6F61A8D8" w14:textId="77777777" w:rsidR="00616BB0" w:rsidRPr="00616BB0" w:rsidRDefault="00616BB0" w:rsidP="00616BB0">
      <w:pPr>
        <w:rPr>
          <w:b/>
          <w:bCs/>
        </w:rPr>
      </w:pPr>
      <w:r w:rsidRPr="00616BB0">
        <w:rPr>
          <w:b/>
          <w:bCs/>
        </w:rPr>
        <w:t>Nivo+Chemo Arm (Arm C)</w:t>
      </w:r>
    </w:p>
    <w:p w14:paraId="10976673" w14:textId="2CBBF4CD" w:rsidR="00616BB0" w:rsidRPr="00616BB0" w:rsidRDefault="00616BB0" w:rsidP="007E683C">
      <w:r w:rsidRPr="00616BB0">
        <w:t>Nivolumab: nivolumab 360 mg IV every 3 weeks for up to 3 cycles</w:t>
      </w:r>
    </w:p>
    <w:p w14:paraId="1B42068C" w14:textId="3CFD8A20" w:rsidR="00616BB0" w:rsidRPr="00616BB0" w:rsidRDefault="00616BB0" w:rsidP="007E683C">
      <w:r w:rsidRPr="00616BB0">
        <w:t xml:space="preserve">Chemotherapy: </w:t>
      </w:r>
      <w:r w:rsidR="000747C3">
        <w:t>i</w:t>
      </w:r>
      <w:r w:rsidRPr="00616BB0">
        <w:t>nvestigator choice of platinum-based doublet chemotherapy (IV):</w:t>
      </w:r>
    </w:p>
    <w:p w14:paraId="4F01E840" w14:textId="5B245904" w:rsidR="00616BB0" w:rsidRPr="00616BB0" w:rsidRDefault="1472E8E4" w:rsidP="007E683C">
      <w:pPr>
        <w:pStyle w:val="ListBullet"/>
      </w:pPr>
      <w:r>
        <w:t>-</w:t>
      </w:r>
      <w:r w:rsidR="32EE1F87">
        <w:t>cisplatin (75 mg/m</w:t>
      </w:r>
      <w:r w:rsidR="32EE1F87" w:rsidRPr="57CBE12B">
        <w:rPr>
          <w:vertAlign w:val="superscript"/>
        </w:rPr>
        <w:t>2</w:t>
      </w:r>
      <w:r w:rsidR="32EE1F87">
        <w:t xml:space="preserve"> on Day 1 of a 3</w:t>
      </w:r>
      <w:r w:rsidR="449CF0D8">
        <w:t>-</w:t>
      </w:r>
      <w:r w:rsidR="32EE1F87">
        <w:t>week cycle for up to 3 cycles) and one of the following:</w:t>
      </w:r>
    </w:p>
    <w:p w14:paraId="4DDBCF03" w14:textId="5F6F5D35" w:rsidR="00616BB0" w:rsidRPr="00616BB0" w:rsidRDefault="00B660FE" w:rsidP="007E683C">
      <w:pPr>
        <w:pStyle w:val="ListBullet2"/>
      </w:pPr>
      <w:r>
        <w:t>-</w:t>
      </w:r>
      <w:r w:rsidR="00616BB0" w:rsidRPr="00616BB0">
        <w:t>gemcitabine (1000 mg/m</w:t>
      </w:r>
      <w:r w:rsidR="00616BB0" w:rsidRPr="00B660FE">
        <w:rPr>
          <w:vertAlign w:val="superscript"/>
        </w:rPr>
        <w:t>2</w:t>
      </w:r>
      <w:r w:rsidR="00616BB0" w:rsidRPr="00616BB0">
        <w:t xml:space="preserve"> or 1250 mg/m</w:t>
      </w:r>
      <w:r w:rsidR="00616BB0" w:rsidRPr="00B660FE">
        <w:rPr>
          <w:vertAlign w:val="superscript"/>
        </w:rPr>
        <w:t xml:space="preserve">2 </w:t>
      </w:r>
      <w:r w:rsidR="00616BB0" w:rsidRPr="00616BB0">
        <w:t>[per local prescribing information] on Days 1 and 8 of a</w:t>
      </w:r>
      <w:r w:rsidR="00616BB0">
        <w:t xml:space="preserve"> </w:t>
      </w:r>
      <w:r w:rsidR="00616BB0" w:rsidRPr="00616BB0">
        <w:t>3-week cycle for up to 3 cycles) (squamous histology)</w:t>
      </w:r>
    </w:p>
    <w:p w14:paraId="04A18986" w14:textId="4E57A686" w:rsidR="00616BB0" w:rsidRPr="00616BB0" w:rsidRDefault="00B660FE" w:rsidP="007E683C">
      <w:pPr>
        <w:pStyle w:val="ListBullet2"/>
      </w:pPr>
      <w:r>
        <w:t>-</w:t>
      </w:r>
      <w:r w:rsidR="00616BB0" w:rsidRPr="00616BB0">
        <w:t>pemetrexed (500 mg/m</w:t>
      </w:r>
      <w:r w:rsidR="00616BB0" w:rsidRPr="00B660FE">
        <w:rPr>
          <w:vertAlign w:val="superscript"/>
        </w:rPr>
        <w:t xml:space="preserve">2 </w:t>
      </w:r>
      <w:r w:rsidR="00616BB0" w:rsidRPr="00616BB0">
        <w:t>on Day 1 of a 3-week cycle for up to 3 cycles) (non-squamous histology)</w:t>
      </w:r>
    </w:p>
    <w:p w14:paraId="6FDBA6BE" w14:textId="139C4E94" w:rsidR="00616BB0" w:rsidRPr="00616BB0" w:rsidRDefault="00B660FE" w:rsidP="007E683C">
      <w:pPr>
        <w:pStyle w:val="ListBullet2"/>
      </w:pPr>
      <w:r>
        <w:t>-</w:t>
      </w:r>
      <w:r w:rsidR="00616BB0" w:rsidRPr="00616BB0">
        <w:t>carboplatin (area under the plasma drug concentration-time curve [AUC] 5 or 6 on Day 1 of a 3-week cycle</w:t>
      </w:r>
      <w:r w:rsidR="00616BB0">
        <w:t xml:space="preserve"> </w:t>
      </w:r>
      <w:r w:rsidR="00616BB0" w:rsidRPr="00616BB0">
        <w:t>for up to 3 cycles) and the following:</w:t>
      </w:r>
    </w:p>
    <w:p w14:paraId="48787A13" w14:textId="6E7F4CD1" w:rsidR="00616BB0" w:rsidRDefault="00B660FE" w:rsidP="007E683C">
      <w:pPr>
        <w:pStyle w:val="ListBullet3"/>
      </w:pPr>
      <w:r>
        <w:t>-</w:t>
      </w:r>
      <w:r w:rsidR="00616BB0" w:rsidRPr="00616BB0">
        <w:t>paclitaxel (175 or 200 mg/m</w:t>
      </w:r>
      <w:r w:rsidR="00616BB0" w:rsidRPr="00B660FE">
        <w:rPr>
          <w:vertAlign w:val="superscript"/>
        </w:rPr>
        <w:t>2</w:t>
      </w:r>
      <w:r w:rsidR="00616BB0" w:rsidRPr="00616BB0">
        <w:t xml:space="preserve"> on Day 1 of a 3-week cycle for up to 3 cycles) (any histology)</w:t>
      </w:r>
    </w:p>
    <w:p w14:paraId="4BF85552" w14:textId="77777777" w:rsidR="00616BB0" w:rsidRPr="00616BB0" w:rsidRDefault="00616BB0" w:rsidP="00616BB0">
      <w:pPr>
        <w:rPr>
          <w:b/>
          <w:bCs/>
        </w:rPr>
      </w:pPr>
      <w:r w:rsidRPr="00616BB0">
        <w:rPr>
          <w:b/>
          <w:bCs/>
        </w:rPr>
        <w:t>Chemo Arm (Arm B)</w:t>
      </w:r>
    </w:p>
    <w:p w14:paraId="10EE0156" w14:textId="77777777" w:rsidR="00616BB0" w:rsidRPr="00616BB0" w:rsidRDefault="00616BB0" w:rsidP="00616BB0">
      <w:r w:rsidRPr="00616BB0">
        <w:t>Investigator choice of platinum-based doublet chemotherapy (IV):</w:t>
      </w:r>
    </w:p>
    <w:p w14:paraId="15B5EBDA" w14:textId="53150FDB" w:rsidR="00616BB0" w:rsidRPr="00616BB0" w:rsidRDefault="00B660FE" w:rsidP="007E683C">
      <w:r>
        <w:t>C</w:t>
      </w:r>
      <w:r w:rsidR="00616BB0" w:rsidRPr="00616BB0">
        <w:t xml:space="preserve">isplatin (75 mg/m2 on Day 1 of a </w:t>
      </w:r>
      <w:proofErr w:type="gramStart"/>
      <w:r w:rsidR="00616BB0" w:rsidRPr="00616BB0">
        <w:t>3 week</w:t>
      </w:r>
      <w:proofErr w:type="gramEnd"/>
      <w:r w:rsidR="00616BB0" w:rsidRPr="00616BB0">
        <w:t xml:space="preserve"> cycle for up to 3 cycles) and one of the following:</w:t>
      </w:r>
    </w:p>
    <w:p w14:paraId="6A0651D2" w14:textId="1966E0DD" w:rsidR="00616BB0" w:rsidRPr="00616BB0" w:rsidRDefault="00B660FE" w:rsidP="007E683C">
      <w:pPr>
        <w:pStyle w:val="ListBullet"/>
      </w:pPr>
      <w:r>
        <w:t>-</w:t>
      </w:r>
      <w:r w:rsidR="00616BB0" w:rsidRPr="00616BB0">
        <w:t>gemcitabine (1000 mg/m</w:t>
      </w:r>
      <w:r w:rsidR="00616BB0" w:rsidRPr="00B660FE">
        <w:rPr>
          <w:vertAlign w:val="superscript"/>
        </w:rPr>
        <w:t>2</w:t>
      </w:r>
      <w:r w:rsidR="00616BB0" w:rsidRPr="00616BB0">
        <w:t xml:space="preserve"> or 1250 mg/m2 [per local prescribing information] on Days 1 and 8 of a 3-week</w:t>
      </w:r>
      <w:r w:rsidR="00616BB0">
        <w:t xml:space="preserve"> </w:t>
      </w:r>
      <w:r w:rsidR="00616BB0" w:rsidRPr="00616BB0">
        <w:t>cycle for up to 3 cycles) (squamous histology)</w:t>
      </w:r>
    </w:p>
    <w:p w14:paraId="0F7DD8E8" w14:textId="1ACD3104" w:rsidR="00616BB0" w:rsidRPr="00616BB0" w:rsidRDefault="00B660FE" w:rsidP="007E683C">
      <w:pPr>
        <w:pStyle w:val="ListBullet"/>
      </w:pPr>
      <w:r>
        <w:t>-</w:t>
      </w:r>
      <w:r w:rsidR="00616BB0" w:rsidRPr="00616BB0">
        <w:t>pemetrexed (500 mg/m</w:t>
      </w:r>
      <w:r w:rsidR="00616BB0" w:rsidRPr="00B660FE">
        <w:rPr>
          <w:vertAlign w:val="superscript"/>
        </w:rPr>
        <w:t xml:space="preserve">2 </w:t>
      </w:r>
      <w:r w:rsidR="00616BB0" w:rsidRPr="00616BB0">
        <w:t>on Day 1 of a 3-week cycle for up to 3 cycles) (non-squamous histology)</w:t>
      </w:r>
    </w:p>
    <w:p w14:paraId="42E8452C" w14:textId="4CDE18CE" w:rsidR="00616BB0" w:rsidRPr="00616BB0" w:rsidRDefault="00B660FE" w:rsidP="007E683C">
      <w:pPr>
        <w:pStyle w:val="ListBullet"/>
      </w:pPr>
      <w:r>
        <w:t>-</w:t>
      </w:r>
      <w:r w:rsidR="00616BB0" w:rsidRPr="00616BB0">
        <w:t>vinorelbine (25 mg/m</w:t>
      </w:r>
      <w:r w:rsidR="00616BB0" w:rsidRPr="00B660FE">
        <w:rPr>
          <w:vertAlign w:val="superscript"/>
        </w:rPr>
        <w:t>2</w:t>
      </w:r>
      <w:r w:rsidR="00616BB0" w:rsidRPr="00616BB0">
        <w:t xml:space="preserve"> or 30 mg/m2 [per local prescribing information] on Days 1 and 8 of a 3-week cycle</w:t>
      </w:r>
      <w:r w:rsidR="00616BB0">
        <w:t xml:space="preserve"> </w:t>
      </w:r>
      <w:r w:rsidR="00616BB0" w:rsidRPr="00616BB0">
        <w:t>for up to 3 cycles)</w:t>
      </w:r>
    </w:p>
    <w:p w14:paraId="52A50693" w14:textId="7F6A7312" w:rsidR="00616BB0" w:rsidRPr="00616BB0" w:rsidRDefault="00B660FE" w:rsidP="007E683C">
      <w:pPr>
        <w:pStyle w:val="ListBullet"/>
      </w:pPr>
      <w:r>
        <w:t>-</w:t>
      </w:r>
      <w:r w:rsidR="00616BB0" w:rsidRPr="00616BB0">
        <w:t>docetaxel (60 mg/m</w:t>
      </w:r>
      <w:r w:rsidR="00616BB0" w:rsidRPr="00B660FE">
        <w:rPr>
          <w:vertAlign w:val="superscript"/>
        </w:rPr>
        <w:t>2</w:t>
      </w:r>
      <w:r w:rsidR="00616BB0" w:rsidRPr="00616BB0">
        <w:t xml:space="preserve"> or 75 mg/m</w:t>
      </w:r>
      <w:r w:rsidR="00616BB0" w:rsidRPr="00B660FE">
        <w:rPr>
          <w:vertAlign w:val="superscript"/>
        </w:rPr>
        <w:t>2</w:t>
      </w:r>
      <w:r w:rsidR="00616BB0" w:rsidRPr="00616BB0">
        <w:t xml:space="preserve"> [per local prescribing information] on Day 1 of a 3-week cycle for up to</w:t>
      </w:r>
      <w:r w:rsidR="00616BB0">
        <w:t xml:space="preserve"> </w:t>
      </w:r>
      <w:r w:rsidR="00616BB0" w:rsidRPr="00616BB0">
        <w:t>3 cycles)</w:t>
      </w:r>
    </w:p>
    <w:p w14:paraId="1FFA0A60" w14:textId="07D53535" w:rsidR="00616BB0" w:rsidRPr="00616BB0" w:rsidRDefault="00B660FE" w:rsidP="007E683C">
      <w:r>
        <w:t>C</w:t>
      </w:r>
      <w:r w:rsidR="00616BB0" w:rsidRPr="00616BB0">
        <w:t>arboplatin (AUC 5 or 6 on Day 1 of a 3-week cycle for up to 3 cycles) and the following:</w:t>
      </w:r>
    </w:p>
    <w:p w14:paraId="29520925" w14:textId="31CD6A62" w:rsidR="00616BB0" w:rsidRDefault="00B660FE" w:rsidP="007E683C">
      <w:pPr>
        <w:pStyle w:val="ListBullet"/>
      </w:pPr>
      <w:r>
        <w:t>-</w:t>
      </w:r>
      <w:r w:rsidR="00616BB0" w:rsidRPr="00616BB0">
        <w:t>paclitaxel (175 or 200 mg/m</w:t>
      </w:r>
      <w:r w:rsidR="00616BB0" w:rsidRPr="00B660FE">
        <w:rPr>
          <w:vertAlign w:val="superscript"/>
        </w:rPr>
        <w:t>2</w:t>
      </w:r>
      <w:r w:rsidR="00616BB0" w:rsidRPr="00616BB0">
        <w:t xml:space="preserve"> on Day 1 of a </w:t>
      </w:r>
      <w:proofErr w:type="gramStart"/>
      <w:r w:rsidR="00616BB0" w:rsidRPr="00616BB0">
        <w:t>3 week</w:t>
      </w:r>
      <w:proofErr w:type="gramEnd"/>
      <w:r w:rsidR="00616BB0" w:rsidRPr="00616BB0">
        <w:t xml:space="preserve"> cycle for up to 3 cycles)</w:t>
      </w:r>
    </w:p>
    <w:p w14:paraId="353677B5" w14:textId="77777777" w:rsidR="004F5F72" w:rsidRDefault="004F5F72" w:rsidP="004F5F72">
      <w:r>
        <w:t>Following resection of their tumour, patients were allowed to receive up to 4 cycles of optional adjuvant chemotherapy and/or radiotherapy at the discretion of the investigator. This was classified as on-study adjuvant chemotherapy.</w:t>
      </w:r>
    </w:p>
    <w:p w14:paraId="059B1AE5" w14:textId="219A99D5" w:rsidR="004F5F72" w:rsidRDefault="004F5F72" w:rsidP="004F5F72">
      <w:r>
        <w:t xml:space="preserve">Patient disposition in the study </w:t>
      </w:r>
      <w:r w:rsidR="00B660FE">
        <w:t>is shown in Table 2</w:t>
      </w:r>
      <w:r w:rsidR="00C43645">
        <w:t>.</w:t>
      </w:r>
    </w:p>
    <w:p w14:paraId="2275E43A" w14:textId="5E704DEB" w:rsidR="00B660FE" w:rsidRDefault="00B660FE" w:rsidP="00B660FE">
      <w:pPr>
        <w:pStyle w:val="TableTitle"/>
      </w:pPr>
      <w:r w:rsidRPr="00B660FE">
        <w:t xml:space="preserve">Table 2: Disposition of patients enrolled in </w:t>
      </w:r>
      <w:r w:rsidR="00C43645">
        <w:t>s</w:t>
      </w:r>
      <w:r w:rsidRPr="00B660FE">
        <w:t xml:space="preserve">tudy </w:t>
      </w:r>
      <w:proofErr w:type="gramStart"/>
      <w:r w:rsidRPr="00B660FE">
        <w:t>CA209816</w:t>
      </w:r>
      <w:proofErr w:type="gramEnd"/>
    </w:p>
    <w:p w14:paraId="2A638940" w14:textId="67D58C4F" w:rsidR="004F5F72" w:rsidRDefault="00AC6A5C" w:rsidP="004F5F72">
      <w:pPr>
        <w:rPr>
          <w:b/>
          <w:bCs/>
        </w:rPr>
      </w:pPr>
      <w:r>
        <w:rPr>
          <w:b/>
          <w:bCs/>
          <w:noProof/>
        </w:rPr>
        <w:drawing>
          <wp:inline distT="0" distB="0" distL="0" distR="0" wp14:anchorId="54C0073B" wp14:editId="41237197">
            <wp:extent cx="5560060" cy="4017645"/>
            <wp:effectExtent l="0" t="0" r="2540" b="1905"/>
            <wp:docPr id="1167476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60060" cy="4017645"/>
                    </a:xfrm>
                    <a:prstGeom prst="rect">
                      <a:avLst/>
                    </a:prstGeom>
                    <a:noFill/>
                  </pic:spPr>
                </pic:pic>
              </a:graphicData>
            </a:graphic>
          </wp:inline>
        </w:drawing>
      </w:r>
    </w:p>
    <w:p w14:paraId="41548D05" w14:textId="20F35B20" w:rsidR="004F5F72" w:rsidRDefault="004F5F72" w:rsidP="004F5F72">
      <w:proofErr w:type="gramStart"/>
      <w:r>
        <w:t>The majority of</w:t>
      </w:r>
      <w:proofErr w:type="gramEnd"/>
      <w:r>
        <w:t xml:space="preserve"> patients had undergone resection at the time of the study reporting; 83.2% in the </w:t>
      </w:r>
      <w:r w:rsidR="000747C3">
        <w:t>n</w:t>
      </w:r>
      <w:r>
        <w:t>ivolumab</w:t>
      </w:r>
      <w:r w:rsidR="000747C3">
        <w:t xml:space="preserve"> </w:t>
      </w:r>
      <w:r>
        <w:t>+</w:t>
      </w:r>
      <w:r w:rsidR="000747C3">
        <w:t xml:space="preserve"> c</w:t>
      </w:r>
      <w:r>
        <w:t xml:space="preserve">hemotherapy and 75.4% in the </w:t>
      </w:r>
      <w:r w:rsidR="000747C3">
        <w:t>c</w:t>
      </w:r>
      <w:r>
        <w:t>hemotherapy</w:t>
      </w:r>
      <w:r w:rsidR="000747C3">
        <w:t>-</w:t>
      </w:r>
      <w:r>
        <w:t xml:space="preserve">only arm respectively. </w:t>
      </w:r>
    </w:p>
    <w:p w14:paraId="63B2D739" w14:textId="1C77DF13" w:rsidR="004F5F72" w:rsidRDefault="004F5F72" w:rsidP="004F5F72">
      <w:r>
        <w:t xml:space="preserve">Of those patients who had not undergone surgery in each arm, </w:t>
      </w:r>
      <w:proofErr w:type="gramStart"/>
      <w:r>
        <w:t>the majority of</w:t>
      </w:r>
      <w:proofErr w:type="gramEnd"/>
      <w:r>
        <w:t xml:space="preserve"> remaining patients (15.6% and 20.7% respectively) had had surgery cancelled. In about half of the cases in each arm the reason for surgery being cancelled was disease progression, with a higher rate of cancellation due to adverse events in the </w:t>
      </w:r>
      <w:r w:rsidR="000747C3">
        <w:t>n</w:t>
      </w:r>
      <w:r>
        <w:t>ivolumab</w:t>
      </w:r>
      <w:r w:rsidR="000747C3">
        <w:t xml:space="preserve"> </w:t>
      </w:r>
      <w:r>
        <w:t>+</w:t>
      </w:r>
      <w:r w:rsidR="000747C3">
        <w:t xml:space="preserve"> c</w:t>
      </w:r>
      <w:r>
        <w:t xml:space="preserve">hemotherapy arm (7.1% of cancellations) than the </w:t>
      </w:r>
      <w:r w:rsidR="000747C3">
        <w:t>c</w:t>
      </w:r>
      <w:r>
        <w:t xml:space="preserve">hemotherapy arm (2.7% of cancellations). Types of surgery, time to surgery, and completeness of resection margins were similar between the two treatment arms. </w:t>
      </w:r>
    </w:p>
    <w:p w14:paraId="67893EBF" w14:textId="426D4300" w:rsidR="00B660FE" w:rsidRDefault="1472E8E4" w:rsidP="00B660FE">
      <w:pPr>
        <w:pStyle w:val="FigureTitle"/>
      </w:pPr>
      <w:r>
        <w:t xml:space="preserve">Figure 1: Kaplan-Meier plot of </w:t>
      </w:r>
      <w:r w:rsidR="270CFD88">
        <w:t>e</w:t>
      </w:r>
      <w:r>
        <w:t xml:space="preserve">vent </w:t>
      </w:r>
      <w:r w:rsidR="270CFD88">
        <w:t>f</w:t>
      </w:r>
      <w:r>
        <w:t xml:space="preserve">ree </w:t>
      </w:r>
      <w:r w:rsidR="270CFD88">
        <w:t>s</w:t>
      </w:r>
      <w:r>
        <w:t>urvival (EF</w:t>
      </w:r>
      <w:r w:rsidR="006E7B18">
        <w:t>S</w:t>
      </w:r>
      <w:r>
        <w:t xml:space="preserve">) for all randomised patients receiving </w:t>
      </w:r>
      <w:r w:rsidR="2067C1E3">
        <w:t>n</w:t>
      </w:r>
      <w:r>
        <w:t>ivolumab</w:t>
      </w:r>
      <w:r w:rsidR="2067C1E3">
        <w:t xml:space="preserve"> </w:t>
      </w:r>
      <w:r>
        <w:t>+</w:t>
      </w:r>
      <w:r w:rsidR="2067C1E3">
        <w:t xml:space="preserve"> c</w:t>
      </w:r>
      <w:r>
        <w:t xml:space="preserve">hemotherapy (upper line) and </w:t>
      </w:r>
      <w:r w:rsidR="2067C1E3">
        <w:t>c</w:t>
      </w:r>
      <w:r>
        <w:t xml:space="preserve">hemotherapy (lower line) in study </w:t>
      </w:r>
      <w:proofErr w:type="gramStart"/>
      <w:r>
        <w:t>CA209816</w:t>
      </w:r>
      <w:proofErr w:type="gramEnd"/>
    </w:p>
    <w:p w14:paraId="5CE1361C" w14:textId="61FE66E9" w:rsidR="004F5F72" w:rsidRDefault="00B660FE" w:rsidP="004F5F72">
      <w:r>
        <w:rPr>
          <w:noProof/>
        </w:rPr>
        <w:drawing>
          <wp:inline distT="0" distB="0" distL="0" distR="0" wp14:anchorId="77BEEA88" wp14:editId="481634D8">
            <wp:extent cx="5759450" cy="5726430"/>
            <wp:effectExtent l="0" t="0" r="0" b="7620"/>
            <wp:docPr id="1835537585" name="Picture 1" descr="A graph of a number of su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37585" name="Picture 1" descr="A graph of a number of subjects&#10;&#10;Description automatically generated"/>
                    <pic:cNvPicPr/>
                  </pic:nvPicPr>
                  <pic:blipFill>
                    <a:blip r:embed="rId27"/>
                    <a:stretch>
                      <a:fillRect/>
                    </a:stretch>
                  </pic:blipFill>
                  <pic:spPr>
                    <a:xfrm>
                      <a:off x="0" y="0"/>
                      <a:ext cx="5759450" cy="5726430"/>
                    </a:xfrm>
                    <a:prstGeom prst="rect">
                      <a:avLst/>
                    </a:prstGeom>
                  </pic:spPr>
                </pic:pic>
              </a:graphicData>
            </a:graphic>
          </wp:inline>
        </w:drawing>
      </w:r>
    </w:p>
    <w:p w14:paraId="7567335C" w14:textId="57824C36" w:rsidR="004F5F72" w:rsidRDefault="004F5F72" w:rsidP="004F5F72">
      <w:r>
        <w:t xml:space="preserve">Overall, in study CA209816 the median EFS in the </w:t>
      </w:r>
      <w:r w:rsidR="000747C3">
        <w:t>nivolumab + chemotherapy</w:t>
      </w:r>
      <w:r>
        <w:t xml:space="preserve"> arm was 31.57 months </w:t>
      </w:r>
      <w:proofErr w:type="gramStart"/>
      <w:r>
        <w:t xml:space="preserve">and in the </w:t>
      </w:r>
      <w:r w:rsidR="00D13E27">
        <w:t>c</w:t>
      </w:r>
      <w:r>
        <w:t>hemotherapy</w:t>
      </w:r>
      <w:proofErr w:type="gramEnd"/>
      <w:r>
        <w:t xml:space="preserve"> arm it was 20.80 months. This equated to a </w:t>
      </w:r>
      <w:r w:rsidR="000747C3">
        <w:t>ha</w:t>
      </w:r>
      <w:r>
        <w:t xml:space="preserve">zard </w:t>
      </w:r>
      <w:r w:rsidR="000747C3">
        <w:t>r</w:t>
      </w:r>
      <w:r>
        <w:t xml:space="preserve">atio </w:t>
      </w:r>
      <w:r w:rsidR="000747C3">
        <w:t xml:space="preserve">(HR) </w:t>
      </w:r>
      <w:r>
        <w:t xml:space="preserve">of 0.63 (95%CI 0.43-0.91) in favour of </w:t>
      </w:r>
      <w:r w:rsidR="000747C3" w:rsidRPr="000747C3">
        <w:t>nivolumab + chemotherapy</w:t>
      </w:r>
      <w:r w:rsidR="000747C3">
        <w:t>.</w:t>
      </w:r>
    </w:p>
    <w:p w14:paraId="132A4BD5" w14:textId="7D6EFAB4" w:rsidR="004F5F72" w:rsidRDefault="075C801E" w:rsidP="004F5F72">
      <w:r>
        <w:t xml:space="preserve">The 12-month EFS was 76.1% and 63.4% in the </w:t>
      </w:r>
      <w:r w:rsidR="2067C1E3">
        <w:t>nivolumab + chemotherapy</w:t>
      </w:r>
      <w:r>
        <w:t xml:space="preserve"> and </w:t>
      </w:r>
      <w:r w:rsidR="2067C1E3">
        <w:t>c</w:t>
      </w:r>
      <w:r>
        <w:t>hemotherapy arms respective, and the 24</w:t>
      </w:r>
      <w:r w:rsidR="0C837D25">
        <w:t>-</w:t>
      </w:r>
      <w:r>
        <w:t xml:space="preserve">month EFS was 63.8% in the </w:t>
      </w:r>
      <w:r w:rsidR="2067C1E3">
        <w:t>nivolumab + chemotherapy</w:t>
      </w:r>
      <w:r>
        <w:t xml:space="preserve"> arm and 45.3% in the </w:t>
      </w:r>
      <w:r w:rsidR="2067C1E3">
        <w:t>c</w:t>
      </w:r>
      <w:r>
        <w:t xml:space="preserve">hemotherapy arm respectively. </w:t>
      </w:r>
    </w:p>
    <w:p w14:paraId="58ABE426" w14:textId="2594C11B" w:rsidR="004F5F72" w:rsidRDefault="004026B1" w:rsidP="004F5F72">
      <w:r>
        <w:t xml:space="preserve">The </w:t>
      </w:r>
      <w:r w:rsidR="004F5F72">
        <w:t xml:space="preserve">pCR rate was 24% in the </w:t>
      </w:r>
      <w:r w:rsidR="000747C3" w:rsidRPr="000747C3">
        <w:t>nivolumab + chemotherapy</w:t>
      </w:r>
      <w:r w:rsidR="004F5F72">
        <w:t xml:space="preserve"> arm compared to 2.2% in the </w:t>
      </w:r>
      <w:r w:rsidR="000747C3">
        <w:t>c</w:t>
      </w:r>
      <w:r w:rsidR="004F5F72">
        <w:t>hemotherapy arm.</w:t>
      </w:r>
    </w:p>
    <w:p w14:paraId="555C615E" w14:textId="2212D8A9" w:rsidR="004F5F72" w:rsidRDefault="004F5F72" w:rsidP="004F5F72">
      <w:r>
        <w:t xml:space="preserve">The </w:t>
      </w:r>
      <w:r w:rsidR="000747C3">
        <w:t>HR</w:t>
      </w:r>
      <w:r>
        <w:t xml:space="preserve"> for </w:t>
      </w:r>
      <w:r w:rsidR="000747C3">
        <w:t>o</w:t>
      </w:r>
      <w:r>
        <w:t xml:space="preserve">verall </w:t>
      </w:r>
      <w:r w:rsidR="000747C3">
        <w:t>s</w:t>
      </w:r>
      <w:r>
        <w:t xml:space="preserve">urvival was 0.57 (95%CI 0.30-1.07) in favour of the </w:t>
      </w:r>
      <w:r w:rsidR="000747C3" w:rsidRPr="000747C3">
        <w:t>nivolumab + chemotherapy</w:t>
      </w:r>
      <w:r>
        <w:t xml:space="preserve"> arm compared to the </w:t>
      </w:r>
      <w:r w:rsidR="000747C3">
        <w:t>c</w:t>
      </w:r>
      <w:r>
        <w:t xml:space="preserve">hemotherapy arm. </w:t>
      </w:r>
    </w:p>
    <w:p w14:paraId="62F023C7" w14:textId="4BE9971D" w:rsidR="00D13E27" w:rsidRDefault="00D13E27" w:rsidP="00D13E27">
      <w:pPr>
        <w:pStyle w:val="TableTitle"/>
      </w:pPr>
      <w:r w:rsidRPr="00D13E27">
        <w:t xml:space="preserve">Table 3: </w:t>
      </w:r>
      <w:r w:rsidRPr="00D13E27">
        <w:rPr>
          <w:bCs/>
        </w:rPr>
        <w:t xml:space="preserve">Treatment </w:t>
      </w:r>
      <w:r w:rsidR="00CB5CEE">
        <w:rPr>
          <w:bCs/>
        </w:rPr>
        <w:t>e</w:t>
      </w:r>
      <w:r w:rsidRPr="00D13E27">
        <w:rPr>
          <w:bCs/>
        </w:rPr>
        <w:t xml:space="preserve">ffect on </w:t>
      </w:r>
      <w:r w:rsidR="00CB5CEE">
        <w:rPr>
          <w:bCs/>
        </w:rPr>
        <w:t>e</w:t>
      </w:r>
      <w:r w:rsidRPr="00D13E27">
        <w:rPr>
          <w:bCs/>
        </w:rPr>
        <w:t xml:space="preserve">vent </w:t>
      </w:r>
      <w:r w:rsidR="00CB5CEE">
        <w:rPr>
          <w:bCs/>
        </w:rPr>
        <w:t>f</w:t>
      </w:r>
      <w:r w:rsidRPr="00D13E27">
        <w:rPr>
          <w:bCs/>
        </w:rPr>
        <w:t xml:space="preserve">ree </w:t>
      </w:r>
      <w:r w:rsidR="00CB5CEE">
        <w:rPr>
          <w:bCs/>
        </w:rPr>
        <w:t>s</w:t>
      </w:r>
      <w:r w:rsidRPr="00D13E27">
        <w:rPr>
          <w:bCs/>
        </w:rPr>
        <w:t xml:space="preserve">urvival per </w:t>
      </w:r>
      <w:r w:rsidR="00CB5CEE">
        <w:rPr>
          <w:bCs/>
        </w:rPr>
        <w:t>b</w:t>
      </w:r>
      <w:r w:rsidR="00CB5CEE" w:rsidRPr="00CB5CEE">
        <w:rPr>
          <w:bCs/>
        </w:rPr>
        <w:t xml:space="preserve">linded </w:t>
      </w:r>
      <w:r w:rsidR="00CB5CEE">
        <w:rPr>
          <w:bCs/>
        </w:rPr>
        <w:t>i</w:t>
      </w:r>
      <w:r w:rsidR="00CB5CEE" w:rsidRPr="00CB5CEE">
        <w:rPr>
          <w:bCs/>
        </w:rPr>
        <w:t xml:space="preserve">ndependent </w:t>
      </w:r>
      <w:r w:rsidR="00CB5CEE">
        <w:rPr>
          <w:bCs/>
        </w:rPr>
        <w:t>c</w:t>
      </w:r>
      <w:r w:rsidR="00CB5CEE" w:rsidRPr="00CB5CEE">
        <w:rPr>
          <w:bCs/>
        </w:rPr>
        <w:t xml:space="preserve">entral </w:t>
      </w:r>
      <w:r w:rsidR="00CB5CEE">
        <w:rPr>
          <w:bCs/>
        </w:rPr>
        <w:t>r</w:t>
      </w:r>
      <w:r w:rsidR="00CB5CEE" w:rsidRPr="00CB5CEE">
        <w:rPr>
          <w:bCs/>
        </w:rPr>
        <w:t>eview (BICR)</w:t>
      </w:r>
      <w:r w:rsidRPr="00D13E27">
        <w:rPr>
          <w:bCs/>
        </w:rPr>
        <w:t xml:space="preserve">, </w:t>
      </w:r>
      <w:r w:rsidR="00CB5CEE">
        <w:rPr>
          <w:bCs/>
        </w:rPr>
        <w:t>p</w:t>
      </w:r>
      <w:r w:rsidRPr="00D13E27">
        <w:rPr>
          <w:bCs/>
        </w:rPr>
        <w:t xml:space="preserve">rimary </w:t>
      </w:r>
      <w:r w:rsidR="00CB5CEE">
        <w:rPr>
          <w:bCs/>
        </w:rPr>
        <w:t>d</w:t>
      </w:r>
      <w:r w:rsidRPr="00D13E27">
        <w:rPr>
          <w:bCs/>
        </w:rPr>
        <w:t xml:space="preserve">efinition in </w:t>
      </w:r>
      <w:r w:rsidR="00CB5CEE">
        <w:rPr>
          <w:bCs/>
        </w:rPr>
        <w:t>p</w:t>
      </w:r>
      <w:r w:rsidRPr="00D13E27">
        <w:rPr>
          <w:bCs/>
        </w:rPr>
        <w:t>re-</w:t>
      </w:r>
      <w:r w:rsidR="00CB5CEE">
        <w:rPr>
          <w:bCs/>
        </w:rPr>
        <w:t>d</w:t>
      </w:r>
      <w:r w:rsidRPr="00D13E27">
        <w:rPr>
          <w:bCs/>
        </w:rPr>
        <w:t xml:space="preserve">efined </w:t>
      </w:r>
      <w:r w:rsidR="00CB5CEE">
        <w:rPr>
          <w:bCs/>
        </w:rPr>
        <w:t>s</w:t>
      </w:r>
      <w:r w:rsidRPr="00D13E27">
        <w:rPr>
          <w:bCs/>
        </w:rPr>
        <w:t xml:space="preserve">ubsets </w:t>
      </w:r>
      <w:r>
        <w:rPr>
          <w:bCs/>
        </w:rPr>
        <w:t>–</w:t>
      </w:r>
      <w:r w:rsidRPr="00D13E27">
        <w:rPr>
          <w:bCs/>
        </w:rPr>
        <w:t xml:space="preserve"> </w:t>
      </w:r>
      <w:r w:rsidR="00CB5CEE">
        <w:rPr>
          <w:bCs/>
        </w:rPr>
        <w:t>a</w:t>
      </w:r>
      <w:r w:rsidRPr="00D13E27">
        <w:rPr>
          <w:bCs/>
        </w:rPr>
        <w:t>ll</w:t>
      </w:r>
      <w:r>
        <w:rPr>
          <w:bCs/>
        </w:rPr>
        <w:t xml:space="preserve"> </w:t>
      </w:r>
      <w:r w:rsidR="00CB5CEE">
        <w:rPr>
          <w:bCs/>
        </w:rPr>
        <w:t>c</w:t>
      </w:r>
      <w:r w:rsidRPr="00D13E27">
        <w:rPr>
          <w:bCs/>
        </w:rPr>
        <w:t xml:space="preserve">oncurrently </w:t>
      </w:r>
      <w:r w:rsidR="00CB5CEE">
        <w:rPr>
          <w:bCs/>
        </w:rPr>
        <w:t>r</w:t>
      </w:r>
      <w:r w:rsidRPr="00D13E27">
        <w:rPr>
          <w:bCs/>
        </w:rPr>
        <w:t xml:space="preserve">andomized </w:t>
      </w:r>
      <w:r w:rsidR="00CB5CEE">
        <w:rPr>
          <w:bCs/>
        </w:rPr>
        <w:t>s</w:t>
      </w:r>
      <w:r w:rsidRPr="00D13E27">
        <w:rPr>
          <w:bCs/>
        </w:rPr>
        <w:t>ubjects in Arm C (Nivo+Chemo) and Arm B (Chemo</w:t>
      </w:r>
      <w:r w:rsidR="00CB5CEE">
        <w:rPr>
          <w:bCs/>
        </w:rPr>
        <w:t>)</w:t>
      </w:r>
      <w:r w:rsidR="00C5770E">
        <w:rPr>
          <w:bCs/>
        </w:rPr>
        <w:t xml:space="preserve"> </w:t>
      </w:r>
      <w:r w:rsidRPr="00D13E27">
        <w:t>Study CA209816</w:t>
      </w:r>
    </w:p>
    <w:p w14:paraId="5ECD063B" w14:textId="49144BAA" w:rsidR="00D13E27" w:rsidRDefault="00D13E27" w:rsidP="007E683C">
      <w:r>
        <w:rPr>
          <w:noProof/>
        </w:rPr>
        <w:drawing>
          <wp:inline distT="0" distB="0" distL="0" distR="0" wp14:anchorId="2AA79645" wp14:editId="0A0CE05C">
            <wp:extent cx="7468387" cy="4113789"/>
            <wp:effectExtent l="953" t="0" r="317" b="318"/>
            <wp:docPr id="1035986963"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86963" name="Picture 1" descr="A black and white text&#10;&#10;Description automatically generated"/>
                    <pic:cNvPicPr/>
                  </pic:nvPicPr>
                  <pic:blipFill>
                    <a:blip r:embed="rId28"/>
                    <a:stretch>
                      <a:fillRect/>
                    </a:stretch>
                  </pic:blipFill>
                  <pic:spPr>
                    <a:xfrm rot="16200000">
                      <a:off x="0" y="0"/>
                      <a:ext cx="7514468" cy="4139172"/>
                    </a:xfrm>
                    <a:prstGeom prst="rect">
                      <a:avLst/>
                    </a:prstGeom>
                  </pic:spPr>
                </pic:pic>
              </a:graphicData>
            </a:graphic>
          </wp:inline>
        </w:drawing>
      </w:r>
    </w:p>
    <w:p w14:paraId="4570C618" w14:textId="04168364" w:rsidR="00284BDE" w:rsidRDefault="00284BDE" w:rsidP="00284BDE">
      <w:pPr>
        <w:pStyle w:val="TableTitle"/>
      </w:pPr>
      <w:r>
        <w:t xml:space="preserve">Table 4. Treatment Effect on Event Free Survival per BICR, Primary Definition in Pre-Defined Subsets – All Concurrently Randomized Subjects in Arm C (Nivo+Chemo) and Arm B (Chemo); </w:t>
      </w:r>
      <w:r w:rsidRPr="00284BDE">
        <w:t>Study CA209816</w:t>
      </w:r>
      <w:r>
        <w:t xml:space="preserve">. </w:t>
      </w:r>
    </w:p>
    <w:p w14:paraId="7ED072CC" w14:textId="3C74CF50" w:rsidR="00284BDE" w:rsidRDefault="00284BDE" w:rsidP="007E683C">
      <w:r>
        <w:rPr>
          <w:noProof/>
        </w:rPr>
        <w:drawing>
          <wp:inline distT="0" distB="0" distL="0" distR="0" wp14:anchorId="6841FD50" wp14:editId="64AD80B7">
            <wp:extent cx="8231829" cy="4567893"/>
            <wp:effectExtent l="3175" t="0" r="1270" b="1270"/>
            <wp:docPr id="15242725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72579" name="Picture 1" descr="A screenshot of a computer&#10;&#10;Description automatically generated"/>
                    <pic:cNvPicPr/>
                  </pic:nvPicPr>
                  <pic:blipFill>
                    <a:blip r:embed="rId29"/>
                    <a:stretch>
                      <a:fillRect/>
                    </a:stretch>
                  </pic:blipFill>
                  <pic:spPr>
                    <a:xfrm rot="16200000">
                      <a:off x="0" y="0"/>
                      <a:ext cx="8258731" cy="4582821"/>
                    </a:xfrm>
                    <a:prstGeom prst="rect">
                      <a:avLst/>
                    </a:prstGeom>
                  </pic:spPr>
                </pic:pic>
              </a:graphicData>
            </a:graphic>
          </wp:inline>
        </w:drawing>
      </w:r>
    </w:p>
    <w:p w14:paraId="52CD20E4" w14:textId="3C8400E0" w:rsidR="004F5F72" w:rsidRDefault="004F5F72" w:rsidP="004F5F72">
      <w:r>
        <w:t xml:space="preserve">The </w:t>
      </w:r>
      <w:r w:rsidR="007D1DAA">
        <w:t>evaluator</w:t>
      </w:r>
      <w:r>
        <w:t xml:space="preserve"> noted that the EFS was better in Asian than </w:t>
      </w:r>
      <w:r w:rsidR="000747C3">
        <w:t>w</w:t>
      </w:r>
      <w:r>
        <w:t>hite patients, with an HR of 1.05 and 0.44</w:t>
      </w:r>
      <w:r w:rsidR="000747C3">
        <w:t>,</w:t>
      </w:r>
      <w:r>
        <w:t xml:space="preserve"> respectively. The reason for this difference is not certain but may reflect racial differences in PD-L1 expression. </w:t>
      </w:r>
      <w:r w:rsidR="000747C3">
        <w:t>However,</w:t>
      </w:r>
      <w:r>
        <w:t xml:space="preserve"> </w:t>
      </w:r>
      <w:r w:rsidR="000747C3">
        <w:t>a</w:t>
      </w:r>
      <w:r>
        <w:t xml:space="preserve"> marked difference in response was also observed when comparing Asian and </w:t>
      </w:r>
      <w:r w:rsidR="00F83B76">
        <w:t>w</w:t>
      </w:r>
      <w:r>
        <w:t xml:space="preserve">hite patients with PD-L1 expression rates &lt;1%. The </w:t>
      </w:r>
      <w:r w:rsidR="007D1DAA">
        <w:t>evaluator</w:t>
      </w:r>
      <w:r>
        <w:t xml:space="preserve"> has noted some differences in the type of chemotherapy used in addition to </w:t>
      </w:r>
      <w:r w:rsidR="000747C3">
        <w:t>n</w:t>
      </w:r>
      <w:r>
        <w:t xml:space="preserve">ivolumab with 34% of Asian patients receiving </w:t>
      </w:r>
      <w:r w:rsidR="000747C3">
        <w:t>c</w:t>
      </w:r>
      <w:r>
        <w:t xml:space="preserve">arboplatin compared to 10% of </w:t>
      </w:r>
      <w:r w:rsidR="000747C3">
        <w:t>w</w:t>
      </w:r>
      <w:r>
        <w:t xml:space="preserve">hite patients in the </w:t>
      </w:r>
      <w:r w:rsidR="000747C3" w:rsidRPr="000747C3">
        <w:t>nivolumab + chemotherapy</w:t>
      </w:r>
      <w:r>
        <w:t xml:space="preserve"> arm. </w:t>
      </w:r>
    </w:p>
    <w:p w14:paraId="4B24B2E9" w14:textId="1AFC2730" w:rsidR="004F5F72" w:rsidRDefault="004F5F72" w:rsidP="004F5F72">
      <w:r>
        <w:t xml:space="preserve">Patients with PD-L1 expression &gt;50% appear to benefit most from </w:t>
      </w:r>
      <w:r w:rsidR="000747C3">
        <w:t>n</w:t>
      </w:r>
      <w:r>
        <w:t xml:space="preserve">ivolumab, with a HR for EFS of 0.24 (95% 0.10-0.61) compared to </w:t>
      </w:r>
      <w:r w:rsidR="000747C3">
        <w:t>c</w:t>
      </w:r>
      <w:r>
        <w:t xml:space="preserve">hemotherapy alone. Patients with PD-L1 expression &lt;1% derive a marginal benefit from </w:t>
      </w:r>
      <w:r w:rsidR="000747C3">
        <w:t>n</w:t>
      </w:r>
      <w:r>
        <w:t xml:space="preserve">ivolumab, with a HR of 0.85 (95%CI 0.54-1.32) compared to </w:t>
      </w:r>
      <w:r w:rsidR="000747C3">
        <w:t>c</w:t>
      </w:r>
      <w:r>
        <w:t xml:space="preserve">hemotherapy alone. </w:t>
      </w:r>
    </w:p>
    <w:p w14:paraId="59F07A2C" w14:textId="77777777" w:rsidR="004F5F72" w:rsidRDefault="004F5F72" w:rsidP="005850CF">
      <w:pPr>
        <w:pStyle w:val="Heading4"/>
      </w:pPr>
      <w:bookmarkStart w:id="34" w:name="_Toc177389593"/>
      <w:r w:rsidRPr="00AA53F4">
        <w:t>Safety</w:t>
      </w:r>
      <w:bookmarkEnd w:id="34"/>
    </w:p>
    <w:p w14:paraId="798BC88A" w14:textId="2EA960D7" w:rsidR="004F5F72" w:rsidRDefault="004F5F72" w:rsidP="00E91E66">
      <w:r>
        <w:t xml:space="preserve">The safety profile of </w:t>
      </w:r>
      <w:r w:rsidR="000747C3">
        <w:t>n</w:t>
      </w:r>
      <w:r>
        <w:t>ivolumab has been extensively investigated in other trials, as well as in clinical usage for NSCLC and other solid tumours. Overa</w:t>
      </w:r>
      <w:r w:rsidR="00902162">
        <w:t>ll,</w:t>
      </w:r>
      <w:r>
        <w:t xml:space="preserve"> no new safety signals were detected in CA219816</w:t>
      </w:r>
      <w:r w:rsidR="00E91E66">
        <w:t xml:space="preserve"> (Table </w:t>
      </w:r>
      <w:r w:rsidR="000747C3">
        <w:t>5</w:t>
      </w:r>
      <w:r w:rsidR="00117C63">
        <w:t xml:space="preserve"> and Table 6)</w:t>
      </w:r>
      <w:r>
        <w:t>.</w:t>
      </w:r>
    </w:p>
    <w:p w14:paraId="76B2DAD9" w14:textId="7078A223" w:rsidR="00284BDE" w:rsidRDefault="00E91E66" w:rsidP="00E91E66">
      <w:pPr>
        <w:pStyle w:val="TableTitle"/>
      </w:pPr>
      <w:r>
        <w:t xml:space="preserve">Table 5. Summary of </w:t>
      </w:r>
      <w:r w:rsidR="00C43645">
        <w:t>s</w:t>
      </w:r>
      <w:r>
        <w:t xml:space="preserve">afety - </w:t>
      </w:r>
      <w:r w:rsidR="00C43645">
        <w:t>a</w:t>
      </w:r>
      <w:r>
        <w:t xml:space="preserve">ll </w:t>
      </w:r>
      <w:r w:rsidR="00C43645">
        <w:t>t</w:t>
      </w:r>
      <w:r>
        <w:t>reated Subjects in Randomized Arms C (Nivo+Chemo) and B (Chemo)</w:t>
      </w:r>
    </w:p>
    <w:p w14:paraId="0198835F" w14:textId="234B57E3" w:rsidR="004F5F72" w:rsidRDefault="00284BDE" w:rsidP="004F29E9">
      <w:r>
        <w:rPr>
          <w:noProof/>
        </w:rPr>
        <w:drawing>
          <wp:inline distT="0" distB="0" distL="0" distR="0" wp14:anchorId="4334573D" wp14:editId="3D283B04">
            <wp:extent cx="5102893" cy="3955727"/>
            <wp:effectExtent l="0" t="0" r="2540" b="6985"/>
            <wp:docPr id="128305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50366" name=""/>
                    <pic:cNvPicPr/>
                  </pic:nvPicPr>
                  <pic:blipFill>
                    <a:blip r:embed="rId30"/>
                    <a:stretch>
                      <a:fillRect/>
                    </a:stretch>
                  </pic:blipFill>
                  <pic:spPr>
                    <a:xfrm>
                      <a:off x="0" y="0"/>
                      <a:ext cx="5107245" cy="3959100"/>
                    </a:xfrm>
                    <a:prstGeom prst="rect">
                      <a:avLst/>
                    </a:prstGeom>
                  </pic:spPr>
                </pic:pic>
              </a:graphicData>
            </a:graphic>
          </wp:inline>
        </w:drawing>
      </w:r>
      <w:r>
        <w:rPr>
          <w:noProof/>
        </w:rPr>
        <w:drawing>
          <wp:inline distT="0" distB="0" distL="0" distR="0" wp14:anchorId="3F86FFFC" wp14:editId="6A5C6502">
            <wp:extent cx="5058815" cy="3612563"/>
            <wp:effectExtent l="0" t="0" r="8890" b="6985"/>
            <wp:docPr id="203086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69620" name=""/>
                    <pic:cNvPicPr/>
                  </pic:nvPicPr>
                  <pic:blipFill>
                    <a:blip r:embed="rId31"/>
                    <a:stretch>
                      <a:fillRect/>
                    </a:stretch>
                  </pic:blipFill>
                  <pic:spPr>
                    <a:xfrm>
                      <a:off x="0" y="0"/>
                      <a:ext cx="5121592" cy="3657393"/>
                    </a:xfrm>
                    <a:prstGeom prst="rect">
                      <a:avLst/>
                    </a:prstGeom>
                  </pic:spPr>
                </pic:pic>
              </a:graphicData>
            </a:graphic>
          </wp:inline>
        </w:drawing>
      </w:r>
      <w:r w:rsidR="004F29E9">
        <w:rPr>
          <w:noProof/>
        </w:rPr>
        <w:drawing>
          <wp:inline distT="0" distB="0" distL="0" distR="0" wp14:anchorId="4E07C7AE" wp14:editId="18B53EA4">
            <wp:extent cx="4925683" cy="3424083"/>
            <wp:effectExtent l="0" t="0" r="8890" b="5080"/>
            <wp:docPr id="1625098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98446" name=""/>
                    <pic:cNvPicPr/>
                  </pic:nvPicPr>
                  <pic:blipFill>
                    <a:blip r:embed="rId32"/>
                    <a:stretch>
                      <a:fillRect/>
                    </a:stretch>
                  </pic:blipFill>
                  <pic:spPr>
                    <a:xfrm>
                      <a:off x="0" y="0"/>
                      <a:ext cx="4938615" cy="3433072"/>
                    </a:xfrm>
                    <a:prstGeom prst="rect">
                      <a:avLst/>
                    </a:prstGeom>
                  </pic:spPr>
                </pic:pic>
              </a:graphicData>
            </a:graphic>
          </wp:inline>
        </w:drawing>
      </w:r>
      <w:r w:rsidR="004F29E9">
        <w:rPr>
          <w:noProof/>
        </w:rPr>
        <w:drawing>
          <wp:inline distT="0" distB="0" distL="0" distR="0" wp14:anchorId="33ABEC84" wp14:editId="4928A6E9">
            <wp:extent cx="4856672" cy="1447542"/>
            <wp:effectExtent l="0" t="0" r="1270" b="635"/>
            <wp:docPr id="1522645679" name="Picture 1" descr="A table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45679" name="Picture 1" descr="A table with numbers and letters&#10;&#10;Description automatically generated with medium confidence"/>
                    <pic:cNvPicPr/>
                  </pic:nvPicPr>
                  <pic:blipFill rotWithShape="1">
                    <a:blip r:embed="rId33"/>
                    <a:srcRect t="5939"/>
                    <a:stretch/>
                  </pic:blipFill>
                  <pic:spPr bwMode="auto">
                    <a:xfrm>
                      <a:off x="0" y="0"/>
                      <a:ext cx="4906210" cy="1462307"/>
                    </a:xfrm>
                    <a:prstGeom prst="rect">
                      <a:avLst/>
                    </a:prstGeom>
                    <a:ln>
                      <a:noFill/>
                    </a:ln>
                    <a:extLst>
                      <a:ext uri="{53640926-AAD7-44D8-BBD7-CCE9431645EC}">
                        <a14:shadowObscured xmlns:a14="http://schemas.microsoft.com/office/drawing/2010/main"/>
                      </a:ext>
                    </a:extLst>
                  </pic:spPr>
                </pic:pic>
              </a:graphicData>
            </a:graphic>
          </wp:inline>
        </w:drawing>
      </w:r>
      <w:r w:rsidR="004F29E9">
        <w:rPr>
          <w:noProof/>
        </w:rPr>
        <w:drawing>
          <wp:inline distT="0" distB="0" distL="0" distR="0" wp14:anchorId="70198C5E" wp14:editId="112E0DB6">
            <wp:extent cx="4856480" cy="2215133"/>
            <wp:effectExtent l="0" t="0" r="1270" b="0"/>
            <wp:docPr id="85834999"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4999" name="Picture 1" descr="A screenshot of a medical report&#10;&#10;Description automatically generated"/>
                    <pic:cNvPicPr/>
                  </pic:nvPicPr>
                  <pic:blipFill rotWithShape="1">
                    <a:blip r:embed="rId34"/>
                    <a:srcRect t="37930"/>
                    <a:stretch/>
                  </pic:blipFill>
                  <pic:spPr bwMode="auto">
                    <a:xfrm>
                      <a:off x="0" y="0"/>
                      <a:ext cx="4880496" cy="2226087"/>
                    </a:xfrm>
                    <a:prstGeom prst="rect">
                      <a:avLst/>
                    </a:prstGeom>
                    <a:ln>
                      <a:noFill/>
                    </a:ln>
                    <a:extLst>
                      <a:ext uri="{53640926-AAD7-44D8-BBD7-CCE9431645EC}">
                        <a14:shadowObscured xmlns:a14="http://schemas.microsoft.com/office/drawing/2010/main"/>
                      </a:ext>
                    </a:extLst>
                  </pic:spPr>
                </pic:pic>
              </a:graphicData>
            </a:graphic>
          </wp:inline>
        </w:drawing>
      </w:r>
    </w:p>
    <w:p w14:paraId="56413F93" w14:textId="1313C638" w:rsidR="004F29E9" w:rsidRDefault="004F29E9" w:rsidP="004F5F72">
      <w:pPr>
        <w:ind w:left="-284" w:firstLine="284"/>
      </w:pPr>
      <w:r>
        <w:rPr>
          <w:noProof/>
        </w:rPr>
        <w:drawing>
          <wp:inline distT="0" distB="0" distL="0" distR="0" wp14:anchorId="78A810AE" wp14:editId="0C4CF8E3">
            <wp:extent cx="4856480" cy="746409"/>
            <wp:effectExtent l="0" t="0" r="1270" b="0"/>
            <wp:docPr id="195298449" name="Picture 1" descr="A number and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8449" name="Picture 1" descr="A number and numbers on a white background&#10;&#10;Description automatically generated"/>
                    <pic:cNvPicPr/>
                  </pic:nvPicPr>
                  <pic:blipFill>
                    <a:blip r:embed="rId35"/>
                    <a:stretch>
                      <a:fillRect/>
                    </a:stretch>
                  </pic:blipFill>
                  <pic:spPr>
                    <a:xfrm>
                      <a:off x="0" y="0"/>
                      <a:ext cx="4874100" cy="749117"/>
                    </a:xfrm>
                    <a:prstGeom prst="rect">
                      <a:avLst/>
                    </a:prstGeom>
                  </pic:spPr>
                </pic:pic>
              </a:graphicData>
            </a:graphic>
          </wp:inline>
        </w:drawing>
      </w:r>
    </w:p>
    <w:p w14:paraId="5FD3263D" w14:textId="791492DD" w:rsidR="004F5F72" w:rsidRDefault="004F5F72" w:rsidP="004F5F72">
      <w:proofErr w:type="gramStart"/>
      <w:r>
        <w:t>The majority of</w:t>
      </w:r>
      <w:proofErr w:type="gramEnd"/>
      <w:r>
        <w:t xml:space="preserve"> deaths in either arm resulted from disease progression, with 3 (1.7%) of patients in the </w:t>
      </w:r>
      <w:r w:rsidR="000747C3">
        <w:t>c</w:t>
      </w:r>
      <w:r>
        <w:t xml:space="preserve">hemotherapy arm dying of drug toxicity. </w:t>
      </w:r>
    </w:p>
    <w:p w14:paraId="426ED118" w14:textId="56C0EA12" w:rsidR="004F5F72" w:rsidRDefault="004F5F72" w:rsidP="004F5F72">
      <w:r>
        <w:t>Rates of adverse events (</w:t>
      </w:r>
      <w:r w:rsidR="006C7735">
        <w:t xml:space="preserve">serious adverse events </w:t>
      </w:r>
      <w:r>
        <w:t xml:space="preserve">and severe </w:t>
      </w:r>
      <w:r w:rsidR="006C7735">
        <w:t>treatment-emergent adverse events</w:t>
      </w:r>
      <w:r>
        <w:t xml:space="preserve">) were similar between the two treatment arms. There was an increased in low-grade hypothyroidism in the </w:t>
      </w:r>
      <w:r w:rsidR="000747C3">
        <w:t>n</w:t>
      </w:r>
      <w:r>
        <w:t>ivolumab</w:t>
      </w:r>
      <w:r w:rsidR="000747C3">
        <w:t xml:space="preserve"> </w:t>
      </w:r>
      <w:r>
        <w:t>+</w:t>
      </w:r>
      <w:r w:rsidR="000747C3">
        <w:t xml:space="preserve"> c</w:t>
      </w:r>
      <w:r>
        <w:t xml:space="preserve">hemotherapy arm (2.3%) compared to the </w:t>
      </w:r>
      <w:r w:rsidR="000747C3">
        <w:t>c</w:t>
      </w:r>
      <w:r>
        <w:t xml:space="preserve">hemotherapy arm (0%), and this is consistent with one of the known adverse events of </w:t>
      </w:r>
      <w:r w:rsidR="000747C3">
        <w:t>n</w:t>
      </w:r>
      <w:r>
        <w:t>ivolumab.</w:t>
      </w:r>
    </w:p>
    <w:p w14:paraId="4A22D970" w14:textId="41E09665" w:rsidR="004F5F72" w:rsidRDefault="004F5F72" w:rsidP="00F21B54">
      <w:r>
        <w:t xml:space="preserve">The frequency of adverse events leading to delayed or cancelled surgery was low; 3.4% in the </w:t>
      </w:r>
      <w:r w:rsidR="000747C3">
        <w:t>n</w:t>
      </w:r>
      <w:r>
        <w:t>ivolumab</w:t>
      </w:r>
      <w:r w:rsidR="000747C3">
        <w:t xml:space="preserve"> </w:t>
      </w:r>
      <w:r>
        <w:t>+</w:t>
      </w:r>
      <w:r w:rsidR="000747C3">
        <w:t xml:space="preserve"> c</w:t>
      </w:r>
      <w:r>
        <w:t xml:space="preserve">hemotherapy and 5.1% in the </w:t>
      </w:r>
      <w:r w:rsidR="000747C3">
        <w:t>c</w:t>
      </w:r>
      <w:r>
        <w:t>hemotherapy arm respectively.</w:t>
      </w:r>
    </w:p>
    <w:p w14:paraId="35FC8564" w14:textId="6EF1A7F1" w:rsidR="004F5F72" w:rsidRDefault="004F5F72" w:rsidP="007E683C">
      <w:pPr>
        <w:pStyle w:val="TableTitle"/>
      </w:pPr>
      <w:r w:rsidRPr="008A40D2">
        <w:t xml:space="preserve">Table </w:t>
      </w:r>
      <w:r w:rsidR="007C7289">
        <w:t>6</w:t>
      </w:r>
      <w:r w:rsidRPr="008A40D2">
        <w:t xml:space="preserve">: Causality of deaths </w:t>
      </w:r>
      <w:proofErr w:type="gramStart"/>
      <w:r w:rsidRPr="008A40D2">
        <w:t>30 and 90 days</w:t>
      </w:r>
      <w:proofErr w:type="gramEnd"/>
      <w:r w:rsidRPr="008A40D2">
        <w:t xml:space="preserve"> post-surgery in Study CA209816</w:t>
      </w:r>
    </w:p>
    <w:p w14:paraId="09A03878" w14:textId="342A59C6" w:rsidR="00F21B54" w:rsidRPr="008A40D2" w:rsidRDefault="00F21B54" w:rsidP="00F21B54">
      <w:pPr>
        <w:rPr>
          <w:b/>
          <w:bCs/>
        </w:rPr>
      </w:pPr>
      <w:r>
        <w:rPr>
          <w:noProof/>
        </w:rPr>
        <w:drawing>
          <wp:inline distT="0" distB="0" distL="0" distR="0" wp14:anchorId="57C2C351" wp14:editId="574AFE29">
            <wp:extent cx="4321834" cy="3335007"/>
            <wp:effectExtent l="0" t="0" r="2540" b="0"/>
            <wp:docPr id="1323747891"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47891" name="Picture 1" descr="A white sheet with black text&#10;&#10;Description automatically generated"/>
                    <pic:cNvPicPr/>
                  </pic:nvPicPr>
                  <pic:blipFill>
                    <a:blip r:embed="rId36">
                      <a:extLst>
                        <a:ext uri="{BEBA8EAE-BF5A-486C-A8C5-ECC9F3942E4B}">
                          <a14:imgProps xmlns:a14="http://schemas.microsoft.com/office/drawing/2010/main">
                            <a14:imgLayer r:embed="rId37">
                              <a14:imgEffect>
                                <a14:sharpenSoften amount="25000"/>
                              </a14:imgEffect>
                              <a14:imgEffect>
                                <a14:brightnessContrast contrast="-40000"/>
                              </a14:imgEffect>
                            </a14:imgLayer>
                          </a14:imgProps>
                        </a:ext>
                      </a:extLst>
                    </a:blip>
                    <a:stretch>
                      <a:fillRect/>
                    </a:stretch>
                  </pic:blipFill>
                  <pic:spPr>
                    <a:xfrm>
                      <a:off x="0" y="0"/>
                      <a:ext cx="4331059" cy="3342125"/>
                    </a:xfrm>
                    <a:prstGeom prst="rect">
                      <a:avLst/>
                    </a:prstGeom>
                  </pic:spPr>
                </pic:pic>
              </a:graphicData>
            </a:graphic>
          </wp:inline>
        </w:drawing>
      </w:r>
    </w:p>
    <w:p w14:paraId="33960FCA" w14:textId="1A32A753" w:rsidR="004F5F72" w:rsidRPr="004946D7" w:rsidRDefault="004F5F72" w:rsidP="004F5F72">
      <w:r>
        <w:t xml:space="preserve">Of the deaths that occurred within 30 or 90 days of surgery that were not due to disease progression, all in the </w:t>
      </w:r>
      <w:r w:rsidR="000747C3">
        <w:t>n</w:t>
      </w:r>
      <w:r>
        <w:t>ivolumab</w:t>
      </w:r>
      <w:r w:rsidR="000747C3">
        <w:t xml:space="preserve"> </w:t>
      </w:r>
      <w:r>
        <w:t>+</w:t>
      </w:r>
      <w:r w:rsidR="000747C3">
        <w:t xml:space="preserve"> c</w:t>
      </w:r>
      <w:r>
        <w:t xml:space="preserve">hemotherapy </w:t>
      </w:r>
      <w:r w:rsidR="000747C3">
        <w:t>a</w:t>
      </w:r>
      <w:r>
        <w:t xml:space="preserve">rm </w:t>
      </w:r>
      <w:proofErr w:type="gramStart"/>
      <w:r>
        <w:t>were</w:t>
      </w:r>
      <w:proofErr w:type="gramEnd"/>
      <w:r>
        <w:t xml:space="preserve"> assessed as being due to known surgical complications of resection and not pharmaceutical treatment.</w:t>
      </w:r>
    </w:p>
    <w:p w14:paraId="1EE896A5" w14:textId="77777777" w:rsidR="004F5F72" w:rsidRDefault="004F5F72" w:rsidP="004F5F72">
      <w:pPr>
        <w:pStyle w:val="Heading3"/>
      </w:pPr>
      <w:bookmarkStart w:id="35" w:name="_Toc12019957"/>
      <w:bookmarkStart w:id="36" w:name="_Toc177389594"/>
      <w:r>
        <w:t>Discussion</w:t>
      </w:r>
      <w:bookmarkEnd w:id="35"/>
      <w:bookmarkEnd w:id="36"/>
    </w:p>
    <w:p w14:paraId="5BE7FEBF" w14:textId="082E828E" w:rsidR="004F5F72" w:rsidRDefault="004F5F72" w:rsidP="004F5F72">
      <w:r>
        <w:t xml:space="preserve">CA209816 provides evidence of a generally significant therapeutic benefit when </w:t>
      </w:r>
      <w:r w:rsidR="000747C3">
        <w:t>n</w:t>
      </w:r>
      <w:r>
        <w:t xml:space="preserve">ivolumab is added to </w:t>
      </w:r>
      <w:r w:rsidR="000747C3">
        <w:t>c</w:t>
      </w:r>
      <w:r>
        <w:t>hemotherapy as neoadjuvant therapy compared to chemotherapy alone. An increase in overall survival of patients has not been establishe</w:t>
      </w:r>
      <w:r w:rsidR="006C7735">
        <w:t>d</w:t>
      </w:r>
      <w:r>
        <w:t xml:space="preserve"> but there is a significant increase in median </w:t>
      </w:r>
      <w:r w:rsidR="000747C3">
        <w:t xml:space="preserve">EFS </w:t>
      </w:r>
      <w:r>
        <w:t xml:space="preserve">of </w:t>
      </w:r>
      <w:r w:rsidR="000747C3">
        <w:t>approximately</w:t>
      </w:r>
      <w:r>
        <w:t xml:space="preserve"> 11 months. This correlates with an approximate </w:t>
      </w:r>
      <w:r w:rsidR="000747C3">
        <w:t>n</w:t>
      </w:r>
      <w:r>
        <w:t xml:space="preserve">umber </w:t>
      </w:r>
      <w:r w:rsidR="000747C3">
        <w:t>n</w:t>
      </w:r>
      <w:r>
        <w:t xml:space="preserve">eeded to </w:t>
      </w:r>
      <w:r w:rsidR="000747C3">
        <w:t>t</w:t>
      </w:r>
      <w:r>
        <w:t xml:space="preserve">reat of 5 to achieve one patient having </w:t>
      </w:r>
      <w:r w:rsidR="00AC5773">
        <w:t>EFS</w:t>
      </w:r>
      <w:r>
        <w:t xml:space="preserve"> at 24 months. </w:t>
      </w:r>
    </w:p>
    <w:p w14:paraId="6E24D82D" w14:textId="64BC5206" w:rsidR="004F5F72" w:rsidRDefault="004F5F72" w:rsidP="004F5F72">
      <w:r>
        <w:t xml:space="preserve">The additional toxicity from adding </w:t>
      </w:r>
      <w:r w:rsidR="00AC5773">
        <w:t>n</w:t>
      </w:r>
      <w:r>
        <w:t>ivolumab to the adjuvant regimen is not severe in the clinical context of NSCLC</w:t>
      </w:r>
      <w:r w:rsidR="00AC5773">
        <w:t xml:space="preserve"> </w:t>
      </w:r>
      <w:r>
        <w:t>and medication</w:t>
      </w:r>
      <w:r w:rsidR="00AC5773">
        <w:t>-</w:t>
      </w:r>
      <w:r>
        <w:t xml:space="preserve">related adverse events did not generally interfere with the performance or outcome of surgery. The Delegate notes that the toxicity of </w:t>
      </w:r>
      <w:r w:rsidR="00AC5773">
        <w:t>n</w:t>
      </w:r>
      <w:r>
        <w:t>ivolumab is likely to be partly mitigated by patient’s hav</w:t>
      </w:r>
      <w:r w:rsidR="007D1DAA">
        <w:t>ing</w:t>
      </w:r>
      <w:r>
        <w:t xml:space="preserve"> an exposure of only 3 cycles compared to the long</w:t>
      </w:r>
      <w:r w:rsidR="007D1DAA">
        <w:t>-</w:t>
      </w:r>
      <w:r>
        <w:t xml:space="preserve">term administration that may occur in advanced disease. </w:t>
      </w:r>
    </w:p>
    <w:p w14:paraId="16861AAE" w14:textId="0E3ABE8E" w:rsidR="004F5F72" w:rsidRPr="00A02D8B" w:rsidRDefault="004F5F72" w:rsidP="004F5F72">
      <w:r>
        <w:t xml:space="preserve">The Delegate notes that, as might be expected from the mechanism of action of </w:t>
      </w:r>
      <w:r w:rsidR="00AC5773">
        <w:t>n</w:t>
      </w:r>
      <w:r>
        <w:t xml:space="preserve">ivolumab, there is substantially greater benefit from </w:t>
      </w:r>
      <w:r w:rsidR="00AC5773">
        <w:t>n</w:t>
      </w:r>
      <w:r>
        <w:t>ivolumab</w:t>
      </w:r>
      <w:r w:rsidR="00AC5773">
        <w:t xml:space="preserve"> </w:t>
      </w:r>
      <w:r>
        <w:t>+</w:t>
      </w:r>
      <w:r w:rsidR="00AC5773">
        <w:t xml:space="preserve"> c</w:t>
      </w:r>
      <w:r>
        <w:t>hemotherapy observed in patients with high PD-L1 expression. While this is a sub-analysis, the observed differen</w:t>
      </w:r>
      <w:r w:rsidR="00AC5773">
        <w:t>ce</w:t>
      </w:r>
      <w:r>
        <w:t xml:space="preserve"> between an HR of 0.24 and HR of 0.85 is very large. The Delegate therefore is of the view that this information should be included in the </w:t>
      </w:r>
      <w:r w:rsidR="007D1DAA">
        <w:t>p</w:t>
      </w:r>
      <w:r>
        <w:t xml:space="preserve">rescribing </w:t>
      </w:r>
      <w:r w:rsidR="007D1DAA">
        <w:t>i</w:t>
      </w:r>
      <w:r>
        <w:t xml:space="preserve">nformation for the </w:t>
      </w:r>
      <w:r w:rsidR="007D1DAA">
        <w:t>i</w:t>
      </w:r>
      <w:r>
        <w:t>ndication.</w:t>
      </w:r>
    </w:p>
    <w:p w14:paraId="307F236C" w14:textId="77777777" w:rsidR="00C22214" w:rsidRPr="002E238E" w:rsidRDefault="00C22214" w:rsidP="00C22214">
      <w:pPr>
        <w:pStyle w:val="Heading2"/>
      </w:pPr>
      <w:bookmarkStart w:id="37" w:name="_Toc247691532"/>
      <w:bookmarkStart w:id="38" w:name="_Toc314842516"/>
      <w:bookmarkStart w:id="39" w:name="_Toc103679300"/>
      <w:bookmarkStart w:id="40" w:name="_Toc177389595"/>
      <w:r>
        <w:t>Outcome</w:t>
      </w:r>
      <w:bookmarkEnd w:id="37"/>
      <w:bookmarkEnd w:id="38"/>
      <w:bookmarkEnd w:id="39"/>
      <w:bookmarkEnd w:id="40"/>
    </w:p>
    <w:p w14:paraId="4EF22939" w14:textId="124BF0F0" w:rsidR="00C22214" w:rsidRDefault="00C22214" w:rsidP="0006104E">
      <w:r w:rsidRPr="0017005C">
        <w:t>Based on a review of safety</w:t>
      </w:r>
      <w:r w:rsidR="00AC5773">
        <w:t xml:space="preserve"> </w:t>
      </w:r>
      <w:r w:rsidRPr="0017005C">
        <w:t xml:space="preserve">and efficacy, the TGA </w:t>
      </w:r>
      <w:r w:rsidR="00B46DFB">
        <w:t>decided to</w:t>
      </w:r>
      <w:r w:rsidRPr="0017005C">
        <w:t xml:space="preserve"> regist</w:t>
      </w:r>
      <w:r w:rsidR="00B46DFB">
        <w:t>er</w:t>
      </w:r>
      <w:r w:rsidRPr="0017005C">
        <w:t xml:space="preserve"> </w:t>
      </w:r>
      <w:r w:rsidR="00037D6A">
        <w:t>Opdivo</w:t>
      </w:r>
      <w:r w:rsidRPr="0017005C">
        <w:t xml:space="preserve"> (</w:t>
      </w:r>
      <w:r w:rsidR="00F21B54">
        <w:t>nivolumab</w:t>
      </w:r>
      <w:r w:rsidRPr="0017005C">
        <w:t>) for</w:t>
      </w:r>
      <w:r w:rsidR="00F21B54">
        <w:t xml:space="preserve"> </w:t>
      </w:r>
      <w:r w:rsidRPr="0017005C">
        <w:t>the indication</w:t>
      </w:r>
      <w:r w:rsidR="006C7735">
        <w:t>:</w:t>
      </w:r>
    </w:p>
    <w:p w14:paraId="26302257" w14:textId="0A7C504F" w:rsidR="006C7735" w:rsidRPr="006C7735" w:rsidRDefault="006C7735" w:rsidP="006C7735">
      <w:pPr>
        <w:ind w:left="720"/>
        <w:rPr>
          <w:i/>
          <w:iCs/>
        </w:rPr>
      </w:pPr>
      <w:r w:rsidRPr="006C7735">
        <w:rPr>
          <w:i/>
          <w:iCs/>
        </w:rPr>
        <w:t>Opdivo, in combination with platinum-doublet chemotherapy, is indicated for the neoadjuvant treatment of patients with resectable non-small cell lung cancer (NSCLC).</w:t>
      </w:r>
    </w:p>
    <w:p w14:paraId="451DC3FC" w14:textId="2D1EC6E2" w:rsidR="00C22214" w:rsidRDefault="00C22214" w:rsidP="007E683C">
      <w:pPr>
        <w:pStyle w:val="Heading2"/>
      </w:pPr>
      <w:bookmarkStart w:id="41" w:name="_Toc103679303"/>
      <w:bookmarkStart w:id="42" w:name="_Toc177389596"/>
      <w:r>
        <w:t>Attachment 1. Product Information</w:t>
      </w:r>
      <w:bookmarkEnd w:id="41"/>
      <w:bookmarkEnd w:id="42"/>
    </w:p>
    <w:p w14:paraId="74F59983" w14:textId="0BB4D3C3" w:rsidR="00675F81" w:rsidRPr="00BD5DBD" w:rsidRDefault="00675F81" w:rsidP="00675F81">
      <w:pPr>
        <w:rPr>
          <w:szCs w:val="22"/>
        </w:rPr>
      </w:pPr>
      <w:r w:rsidRPr="00BD5DBD">
        <w:rPr>
          <w:szCs w:val="22"/>
        </w:rPr>
        <w:t xml:space="preserve">The </w:t>
      </w:r>
      <w:hyperlink r:id="rId38" w:history="1">
        <w:r w:rsidRPr="00BD5DBD">
          <w:rPr>
            <w:rStyle w:val="Hyperlink"/>
            <w:szCs w:val="22"/>
          </w:rPr>
          <w:t>Product Information</w:t>
        </w:r>
      </w:hyperlink>
      <w:r w:rsidRPr="00BD5DBD">
        <w:rPr>
          <w:szCs w:val="22"/>
        </w:rPr>
        <w:t xml:space="preserve"> (</w:t>
      </w:r>
      <w:hyperlink r:id="rId39"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037D6A">
        <w:t>Opdivo</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0" w:history="1">
        <w:r w:rsidRPr="00BD5DBD">
          <w:rPr>
            <w:rStyle w:val="Hyperlink"/>
            <w:szCs w:val="22"/>
          </w:rPr>
          <w:t>Consumer Medicines Information</w:t>
        </w:r>
      </w:hyperlink>
      <w:r w:rsidRPr="00BD5DBD">
        <w:rPr>
          <w:szCs w:val="22"/>
        </w:rPr>
        <w:t xml:space="preserve"> (CMI), please refer to the TGA </w:t>
      </w:r>
      <w:hyperlink r:id="rId41"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2"/>
          <w:footerReference w:type="default" r:id="rId4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4"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7E683C">
            <w:pPr>
              <w:pStyle w:val="Address"/>
              <w:jc w:val="center"/>
              <w:rPr>
                <w:rStyle w:val="Hyperlink"/>
                <w:b/>
                <w:color w:val="auto"/>
                <w:sz w:val="22"/>
              </w:rPr>
            </w:pPr>
            <w:hyperlink r:id="rId45"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4B03901"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46"/>
      <w:footerReference w:type="first" r:id="rId4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992FF" w14:textId="77777777" w:rsidR="0086273C" w:rsidRDefault="0086273C" w:rsidP="00F02AEC">
      <w:pPr>
        <w:spacing w:after="0" w:line="240" w:lineRule="auto"/>
      </w:pPr>
      <w:r>
        <w:separator/>
      </w:r>
    </w:p>
  </w:endnote>
  <w:endnote w:type="continuationSeparator" w:id="0">
    <w:p w14:paraId="59FE9531" w14:textId="77777777" w:rsidR="0086273C" w:rsidRDefault="0086273C"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560"/>
      <w:gridCol w:w="1734"/>
    </w:tblGrid>
    <w:tr w:rsidR="007452E8" w:rsidRPr="004A3084" w14:paraId="6266BC33" w14:textId="77777777" w:rsidTr="00B36626">
      <w:trPr>
        <w:trHeight w:val="423"/>
      </w:trPr>
      <w:tc>
        <w:tcPr>
          <w:tcW w:w="7560" w:type="dxa"/>
          <w:tcBorders>
            <w:top w:val="single" w:sz="4" w:space="0" w:color="auto"/>
          </w:tcBorders>
        </w:tcPr>
        <w:p w14:paraId="3C421323" w14:textId="2984B4E2" w:rsidR="007452E8" w:rsidRPr="004A3084" w:rsidRDefault="00B36626" w:rsidP="007452E8">
          <w:pPr>
            <w:pStyle w:val="Footer"/>
          </w:pPr>
          <w:r w:rsidRPr="00B36626">
            <w:t xml:space="preserve">Auspar - </w:t>
          </w:r>
          <w:r w:rsidR="00037D6A">
            <w:t>Opdivo</w:t>
          </w:r>
          <w:r w:rsidRPr="00B36626">
            <w:t xml:space="preserve"> - nivolumab - Bristol-Myers Squibb Australia Pty Ltd - Type C - PM-2022-00374-1-4</w:t>
          </w:r>
          <w:r w:rsidR="007452E8">
            <w:br/>
          </w:r>
          <w:r w:rsidR="006E7B18">
            <w:t>D</w:t>
          </w:r>
          <w:r w:rsidR="007452E8" w:rsidRPr="00487162">
            <w:t>ate of Finalisation</w:t>
          </w:r>
          <w:r w:rsidR="006E7B18">
            <w:t xml:space="preserve"> 3 September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C2E29" w14:textId="77777777" w:rsidR="0086273C" w:rsidRDefault="0086273C" w:rsidP="00F02AEC">
      <w:pPr>
        <w:spacing w:after="0" w:line="240" w:lineRule="auto"/>
      </w:pPr>
      <w:r>
        <w:separator/>
      </w:r>
    </w:p>
  </w:footnote>
  <w:footnote w:type="continuationSeparator" w:id="0">
    <w:p w14:paraId="5E065BD3" w14:textId="77777777" w:rsidR="0086273C" w:rsidRDefault="0086273C" w:rsidP="00F02AEC">
      <w:pPr>
        <w:spacing w:after="0" w:line="240" w:lineRule="auto"/>
      </w:pPr>
      <w:r>
        <w:continuationSeparator/>
      </w:r>
    </w:p>
  </w:footnote>
  <w:footnote w:id="1">
    <w:p w14:paraId="316F7A4E" w14:textId="2D05E4F9" w:rsidR="005D501F" w:rsidRDefault="005D501F">
      <w:pPr>
        <w:pStyle w:val="FootnoteText"/>
      </w:pPr>
      <w:r>
        <w:rPr>
          <w:rStyle w:val="FootnoteReference"/>
        </w:rPr>
        <w:footnoteRef/>
      </w:r>
      <w:r>
        <w:t xml:space="preserve"> </w:t>
      </w:r>
      <w:r w:rsidRPr="005D501F">
        <w:t>Thai AA, Solomon BJ, Sequist LV, Gainor JF, Heist RS. Lung cancer. Lancet. 2021 Aug 7;398(10299):535-554. doi: 10.1016/S0140-6736(21)00312-3. Epub 2021 Jul 21. PMID: 34273294.</w:t>
      </w:r>
    </w:p>
  </w:footnote>
  <w:footnote w:id="2">
    <w:p w14:paraId="3B101967" w14:textId="793E4709" w:rsidR="005D501F" w:rsidRDefault="005D501F">
      <w:pPr>
        <w:pStyle w:val="FootnoteText"/>
      </w:pPr>
      <w:r>
        <w:rPr>
          <w:rStyle w:val="FootnoteReference"/>
        </w:rPr>
        <w:footnoteRef/>
      </w:r>
      <w:r>
        <w:t xml:space="preserve"> </w:t>
      </w:r>
      <w:r w:rsidRPr="005D501F">
        <w:t>West HJ, Kim JY. Rapid Advances in Resectable Non-Small Cell Lung Cancer: A Narrative Review. JAMA Oncol. 2024 Feb 1;10(2):249-255. doi: 10.1001/jamaoncol.2023.5276. Erratum in: JAMA Oncol. 2024 Mar 1;10(3):412. doi: 10.1001/jamaoncol.2024.0049. PMID: 38153722.</w:t>
      </w:r>
    </w:p>
  </w:footnote>
  <w:footnote w:id="3">
    <w:p w14:paraId="33E21E77" w14:textId="41AF9E29" w:rsidR="005D501F" w:rsidRDefault="005D501F">
      <w:pPr>
        <w:pStyle w:val="FootnoteText"/>
      </w:pPr>
      <w:r>
        <w:rPr>
          <w:rStyle w:val="FootnoteReference"/>
        </w:rPr>
        <w:footnoteRef/>
      </w:r>
      <w:r>
        <w:t xml:space="preserve"> Ibid. </w:t>
      </w:r>
    </w:p>
  </w:footnote>
  <w:footnote w:id="4">
    <w:p w14:paraId="224CD836" w14:textId="3E3D94D5" w:rsidR="00500D68" w:rsidRDefault="00500D68">
      <w:pPr>
        <w:pStyle w:val="FootnoteText"/>
      </w:pPr>
      <w:r>
        <w:rPr>
          <w:rStyle w:val="FootnoteReference"/>
        </w:rPr>
        <w:footnoteRef/>
      </w:r>
      <w:r>
        <w:t xml:space="preserve"> </w:t>
      </w:r>
      <w:r w:rsidR="00AD0111" w:rsidRPr="00AD0111">
        <w:t xml:space="preserve"> </w:t>
      </w:r>
      <w:r w:rsidR="00A25E6E" w:rsidRPr="00A25E6E">
        <w:t>The ‘Delegate’ is the Delegate of the Secretary of the Department of Health and Aged Care who made the final decision to either include the new medicine/indication on the ARTG or reject the submission, under section 25 of the Therapeutic Goods Act</w:t>
      </w:r>
    </w:p>
  </w:footnote>
  <w:footnote w:id="5">
    <w:p w14:paraId="3C166F8E" w14:textId="5B25D3DD" w:rsidR="00B36626" w:rsidRDefault="00B36626">
      <w:pPr>
        <w:pStyle w:val="FootnoteText"/>
      </w:pPr>
      <w:r>
        <w:rPr>
          <w:rStyle w:val="FootnoteReference"/>
        </w:rPr>
        <w:footnoteRef/>
      </w:r>
      <w:r>
        <w:t xml:space="preserve"> AusPAR for New Biological Entity, </w:t>
      </w:r>
      <w:r w:rsidR="00037D6A">
        <w:t>Opdivo</w:t>
      </w:r>
      <w:r>
        <w:t xml:space="preserve">, 2016. </w:t>
      </w:r>
      <w:hyperlink r:id="rId1" w:history="1">
        <w:r w:rsidRPr="0051069A">
          <w:rPr>
            <w:rStyle w:val="Hyperlink"/>
          </w:rPr>
          <w:t>https://www.tga.gov.au/sites/default/files/auspar-nivolumab-160823.pdf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7E683C"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50CE"/>
    <w:multiLevelType w:val="hybridMultilevel"/>
    <w:tmpl w:val="07885250"/>
    <w:lvl w:ilvl="0" w:tplc="3B98AFC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44C3D58">
      <w:start w:val="1"/>
      <w:numFmt w:val="bullet"/>
      <w:lvlText w:val=""/>
      <w:lvlJc w:val="left"/>
      <w:pPr>
        <w:ind w:left="522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18801E94"/>
    <w:multiLevelType w:val="hybridMultilevel"/>
    <w:tmpl w:val="73E473F2"/>
    <w:lvl w:ilvl="0" w:tplc="8760D1AA">
      <w:start w:val="1"/>
      <w:numFmt w:val="bullet"/>
      <w:lvlText w:val=""/>
      <w:lvlJc w:val="left"/>
      <w:pPr>
        <w:ind w:left="1440" w:hanging="360"/>
      </w:pPr>
      <w:rPr>
        <w:rFonts w:ascii="Symbol" w:hAnsi="Symbol"/>
      </w:rPr>
    </w:lvl>
    <w:lvl w:ilvl="1" w:tplc="07F82B14">
      <w:start w:val="1"/>
      <w:numFmt w:val="bullet"/>
      <w:lvlText w:val=""/>
      <w:lvlJc w:val="left"/>
      <w:pPr>
        <w:ind w:left="1440" w:hanging="360"/>
      </w:pPr>
      <w:rPr>
        <w:rFonts w:ascii="Symbol" w:hAnsi="Symbol"/>
      </w:rPr>
    </w:lvl>
    <w:lvl w:ilvl="2" w:tplc="069C12F0">
      <w:start w:val="1"/>
      <w:numFmt w:val="bullet"/>
      <w:lvlText w:val=""/>
      <w:lvlJc w:val="left"/>
      <w:pPr>
        <w:ind w:left="1440" w:hanging="360"/>
      </w:pPr>
      <w:rPr>
        <w:rFonts w:ascii="Symbol" w:hAnsi="Symbol"/>
      </w:rPr>
    </w:lvl>
    <w:lvl w:ilvl="3" w:tplc="E59666F0">
      <w:start w:val="1"/>
      <w:numFmt w:val="bullet"/>
      <w:lvlText w:val=""/>
      <w:lvlJc w:val="left"/>
      <w:pPr>
        <w:ind w:left="1440" w:hanging="360"/>
      </w:pPr>
      <w:rPr>
        <w:rFonts w:ascii="Symbol" w:hAnsi="Symbol"/>
      </w:rPr>
    </w:lvl>
    <w:lvl w:ilvl="4" w:tplc="7AF2FE8E">
      <w:start w:val="1"/>
      <w:numFmt w:val="bullet"/>
      <w:lvlText w:val=""/>
      <w:lvlJc w:val="left"/>
      <w:pPr>
        <w:ind w:left="1440" w:hanging="360"/>
      </w:pPr>
      <w:rPr>
        <w:rFonts w:ascii="Symbol" w:hAnsi="Symbol"/>
      </w:rPr>
    </w:lvl>
    <w:lvl w:ilvl="5" w:tplc="3BD495F4">
      <w:start w:val="1"/>
      <w:numFmt w:val="bullet"/>
      <w:lvlText w:val=""/>
      <w:lvlJc w:val="left"/>
      <w:pPr>
        <w:ind w:left="1440" w:hanging="360"/>
      </w:pPr>
      <w:rPr>
        <w:rFonts w:ascii="Symbol" w:hAnsi="Symbol"/>
      </w:rPr>
    </w:lvl>
    <w:lvl w:ilvl="6" w:tplc="5C6C2BBC">
      <w:start w:val="1"/>
      <w:numFmt w:val="bullet"/>
      <w:lvlText w:val=""/>
      <w:lvlJc w:val="left"/>
      <w:pPr>
        <w:ind w:left="1440" w:hanging="360"/>
      </w:pPr>
      <w:rPr>
        <w:rFonts w:ascii="Symbol" w:hAnsi="Symbol"/>
      </w:rPr>
    </w:lvl>
    <w:lvl w:ilvl="7" w:tplc="11D6881E">
      <w:start w:val="1"/>
      <w:numFmt w:val="bullet"/>
      <w:lvlText w:val=""/>
      <w:lvlJc w:val="left"/>
      <w:pPr>
        <w:ind w:left="1440" w:hanging="360"/>
      </w:pPr>
      <w:rPr>
        <w:rFonts w:ascii="Symbol" w:hAnsi="Symbol"/>
      </w:rPr>
    </w:lvl>
    <w:lvl w:ilvl="8" w:tplc="5B26183A">
      <w:start w:val="1"/>
      <w:numFmt w:val="bullet"/>
      <w:lvlText w:val=""/>
      <w:lvlJc w:val="left"/>
      <w:pPr>
        <w:ind w:left="1440" w:hanging="360"/>
      </w:pPr>
      <w:rPr>
        <w:rFonts w:ascii="Symbol" w:hAnsi="Symbol"/>
      </w:rPr>
    </w:lvl>
  </w:abstractNum>
  <w:abstractNum w:abstractNumId="7" w15:restartNumberingAfterBreak="0">
    <w:nsid w:val="1DE93A28"/>
    <w:multiLevelType w:val="hybridMultilevel"/>
    <w:tmpl w:val="D54A0ADE"/>
    <w:lvl w:ilvl="0" w:tplc="C598FE7E">
      <w:start w:val="1"/>
      <w:numFmt w:val="bullet"/>
      <w:lvlText w:val=""/>
      <w:lvlJc w:val="left"/>
      <w:pPr>
        <w:ind w:left="1080" w:hanging="360"/>
      </w:pPr>
      <w:rPr>
        <w:rFonts w:ascii="Symbol" w:eastAsia="Cambria" w:hAnsi="Symbol"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5586902"/>
    <w:multiLevelType w:val="hybridMultilevel"/>
    <w:tmpl w:val="3B34AC82"/>
    <w:lvl w:ilvl="0" w:tplc="971A3D6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3"/>
  </w:num>
  <w:num w:numId="5" w16cid:durableId="1652950129">
    <w:abstractNumId w:val="8"/>
  </w:num>
  <w:num w:numId="6" w16cid:durableId="1053193207">
    <w:abstractNumId w:val="11"/>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2"/>
  </w:num>
  <w:num w:numId="9" w16cid:durableId="173421270">
    <w:abstractNumId w:val="2"/>
  </w:num>
  <w:num w:numId="10" w16cid:durableId="2108043357">
    <w:abstractNumId w:val="5"/>
  </w:num>
  <w:num w:numId="11" w16cid:durableId="1725904230">
    <w:abstractNumId w:val="10"/>
  </w:num>
  <w:num w:numId="12" w16cid:durableId="141579354">
    <w:abstractNumId w:val="14"/>
  </w:num>
  <w:num w:numId="13" w16cid:durableId="283735081">
    <w:abstractNumId w:val="15"/>
  </w:num>
  <w:num w:numId="14" w16cid:durableId="354772443">
    <w:abstractNumId w:val="7"/>
  </w:num>
  <w:num w:numId="15" w16cid:durableId="1064642318">
    <w:abstractNumId w:val="0"/>
  </w:num>
  <w:num w:numId="16" w16cid:durableId="1621916179">
    <w:abstractNumId w:val="6"/>
  </w:num>
  <w:num w:numId="17" w16cid:durableId="18031163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32A0F"/>
    <w:rsid w:val="00037D6A"/>
    <w:rsid w:val="00040D8D"/>
    <w:rsid w:val="00046423"/>
    <w:rsid w:val="0006104E"/>
    <w:rsid w:val="000640BD"/>
    <w:rsid w:val="00065839"/>
    <w:rsid w:val="00065FDF"/>
    <w:rsid w:val="000747C3"/>
    <w:rsid w:val="00077844"/>
    <w:rsid w:val="00090510"/>
    <w:rsid w:val="0009070F"/>
    <w:rsid w:val="000917AE"/>
    <w:rsid w:val="00094B81"/>
    <w:rsid w:val="000975AA"/>
    <w:rsid w:val="000B6B15"/>
    <w:rsid w:val="000C25A7"/>
    <w:rsid w:val="000C6207"/>
    <w:rsid w:val="000D3FEF"/>
    <w:rsid w:val="000D78EC"/>
    <w:rsid w:val="000D7934"/>
    <w:rsid w:val="000E2597"/>
    <w:rsid w:val="000E6746"/>
    <w:rsid w:val="000F7B51"/>
    <w:rsid w:val="00101BEE"/>
    <w:rsid w:val="00101CE6"/>
    <w:rsid w:val="00101FB1"/>
    <w:rsid w:val="0010558A"/>
    <w:rsid w:val="001101FF"/>
    <w:rsid w:val="00113F9F"/>
    <w:rsid w:val="00115906"/>
    <w:rsid w:val="00117C63"/>
    <w:rsid w:val="0012473C"/>
    <w:rsid w:val="00127A74"/>
    <w:rsid w:val="00130C16"/>
    <w:rsid w:val="0013132F"/>
    <w:rsid w:val="0013306D"/>
    <w:rsid w:val="0013528C"/>
    <w:rsid w:val="001442A2"/>
    <w:rsid w:val="001468CA"/>
    <w:rsid w:val="001500A8"/>
    <w:rsid w:val="00155D85"/>
    <w:rsid w:val="00165D28"/>
    <w:rsid w:val="0017005C"/>
    <w:rsid w:val="00175CD8"/>
    <w:rsid w:val="00182BD8"/>
    <w:rsid w:val="001A26EE"/>
    <w:rsid w:val="001A76F9"/>
    <w:rsid w:val="001B06FF"/>
    <w:rsid w:val="001B1703"/>
    <w:rsid w:val="001C1C2E"/>
    <w:rsid w:val="001C31A1"/>
    <w:rsid w:val="001C3FA2"/>
    <w:rsid w:val="001C5EE2"/>
    <w:rsid w:val="001D0077"/>
    <w:rsid w:val="001E407B"/>
    <w:rsid w:val="001E7FC6"/>
    <w:rsid w:val="001F2502"/>
    <w:rsid w:val="001F5B03"/>
    <w:rsid w:val="001F70A5"/>
    <w:rsid w:val="0020235D"/>
    <w:rsid w:val="0020369B"/>
    <w:rsid w:val="00207B4D"/>
    <w:rsid w:val="002117B1"/>
    <w:rsid w:val="00217CCE"/>
    <w:rsid w:val="002203B1"/>
    <w:rsid w:val="00226F39"/>
    <w:rsid w:val="002334AD"/>
    <w:rsid w:val="00241B60"/>
    <w:rsid w:val="0025785B"/>
    <w:rsid w:val="00257969"/>
    <w:rsid w:val="0026743A"/>
    <w:rsid w:val="00280048"/>
    <w:rsid w:val="0028489E"/>
    <w:rsid w:val="002848DE"/>
    <w:rsid w:val="00284BDE"/>
    <w:rsid w:val="00284E9F"/>
    <w:rsid w:val="0028794E"/>
    <w:rsid w:val="002A5841"/>
    <w:rsid w:val="002B1EDF"/>
    <w:rsid w:val="002B2061"/>
    <w:rsid w:val="002C1232"/>
    <w:rsid w:val="002C1E44"/>
    <w:rsid w:val="002C5C92"/>
    <w:rsid w:val="002C5E29"/>
    <w:rsid w:val="002D0478"/>
    <w:rsid w:val="002D7127"/>
    <w:rsid w:val="002F599E"/>
    <w:rsid w:val="003008D8"/>
    <w:rsid w:val="00301D9A"/>
    <w:rsid w:val="00303959"/>
    <w:rsid w:val="00306E72"/>
    <w:rsid w:val="00312AC3"/>
    <w:rsid w:val="00314430"/>
    <w:rsid w:val="003163BC"/>
    <w:rsid w:val="0032351A"/>
    <w:rsid w:val="00324B33"/>
    <w:rsid w:val="00327488"/>
    <w:rsid w:val="00334EA1"/>
    <w:rsid w:val="00336FE1"/>
    <w:rsid w:val="00340E78"/>
    <w:rsid w:val="00342D56"/>
    <w:rsid w:val="003456E7"/>
    <w:rsid w:val="00346EC2"/>
    <w:rsid w:val="003477F9"/>
    <w:rsid w:val="0035444D"/>
    <w:rsid w:val="00356D62"/>
    <w:rsid w:val="00363EE3"/>
    <w:rsid w:val="003735F3"/>
    <w:rsid w:val="00374729"/>
    <w:rsid w:val="00383143"/>
    <w:rsid w:val="00387298"/>
    <w:rsid w:val="00387631"/>
    <w:rsid w:val="00387984"/>
    <w:rsid w:val="00395140"/>
    <w:rsid w:val="003A04E7"/>
    <w:rsid w:val="003A2422"/>
    <w:rsid w:val="003A5CBD"/>
    <w:rsid w:val="003B149C"/>
    <w:rsid w:val="003C0FDB"/>
    <w:rsid w:val="003C1192"/>
    <w:rsid w:val="003C55E2"/>
    <w:rsid w:val="003C63D5"/>
    <w:rsid w:val="003C7AA8"/>
    <w:rsid w:val="003D71A1"/>
    <w:rsid w:val="003F26B1"/>
    <w:rsid w:val="004026B1"/>
    <w:rsid w:val="0041688F"/>
    <w:rsid w:val="0042376F"/>
    <w:rsid w:val="004246B8"/>
    <w:rsid w:val="004248F1"/>
    <w:rsid w:val="00433318"/>
    <w:rsid w:val="004340EE"/>
    <w:rsid w:val="00442A56"/>
    <w:rsid w:val="004444B0"/>
    <w:rsid w:val="0045060B"/>
    <w:rsid w:val="00450FDA"/>
    <w:rsid w:val="004626FF"/>
    <w:rsid w:val="00470A52"/>
    <w:rsid w:val="00471BD5"/>
    <w:rsid w:val="00477C4E"/>
    <w:rsid w:val="00477F07"/>
    <w:rsid w:val="00481503"/>
    <w:rsid w:val="00481D12"/>
    <w:rsid w:val="004854A6"/>
    <w:rsid w:val="00491A55"/>
    <w:rsid w:val="00494C3E"/>
    <w:rsid w:val="00497DF1"/>
    <w:rsid w:val="004A1D3E"/>
    <w:rsid w:val="004A318E"/>
    <w:rsid w:val="004A57E8"/>
    <w:rsid w:val="004B3081"/>
    <w:rsid w:val="004B4A09"/>
    <w:rsid w:val="004C41CE"/>
    <w:rsid w:val="004C631B"/>
    <w:rsid w:val="004D1330"/>
    <w:rsid w:val="004D2F00"/>
    <w:rsid w:val="004D31D8"/>
    <w:rsid w:val="004D5388"/>
    <w:rsid w:val="004E2269"/>
    <w:rsid w:val="004E7F16"/>
    <w:rsid w:val="004F18EC"/>
    <w:rsid w:val="004F29E9"/>
    <w:rsid w:val="004F5F72"/>
    <w:rsid w:val="00500D68"/>
    <w:rsid w:val="00503340"/>
    <w:rsid w:val="0053377D"/>
    <w:rsid w:val="00535DFE"/>
    <w:rsid w:val="005373B5"/>
    <w:rsid w:val="00537AB7"/>
    <w:rsid w:val="0054669B"/>
    <w:rsid w:val="0055316D"/>
    <w:rsid w:val="005610D1"/>
    <w:rsid w:val="00562F42"/>
    <w:rsid w:val="00565739"/>
    <w:rsid w:val="0056766D"/>
    <w:rsid w:val="00575215"/>
    <w:rsid w:val="005850CF"/>
    <w:rsid w:val="0058575E"/>
    <w:rsid w:val="0058783C"/>
    <w:rsid w:val="005911AE"/>
    <w:rsid w:val="005926E2"/>
    <w:rsid w:val="0059313A"/>
    <w:rsid w:val="0059413F"/>
    <w:rsid w:val="005A54EA"/>
    <w:rsid w:val="005B023F"/>
    <w:rsid w:val="005B02A2"/>
    <w:rsid w:val="005B1417"/>
    <w:rsid w:val="005B69CF"/>
    <w:rsid w:val="005C3F07"/>
    <w:rsid w:val="005C45DB"/>
    <w:rsid w:val="005C4B46"/>
    <w:rsid w:val="005C5DC5"/>
    <w:rsid w:val="005D2089"/>
    <w:rsid w:val="005D4331"/>
    <w:rsid w:val="005D501F"/>
    <w:rsid w:val="005D7514"/>
    <w:rsid w:val="005E0FC6"/>
    <w:rsid w:val="005E1A7B"/>
    <w:rsid w:val="005E231F"/>
    <w:rsid w:val="00602D6E"/>
    <w:rsid w:val="00605C05"/>
    <w:rsid w:val="00611351"/>
    <w:rsid w:val="0061217D"/>
    <w:rsid w:val="00616BB0"/>
    <w:rsid w:val="006277A1"/>
    <w:rsid w:val="00633BD7"/>
    <w:rsid w:val="00634580"/>
    <w:rsid w:val="00634884"/>
    <w:rsid w:val="006351D9"/>
    <w:rsid w:val="00635AB3"/>
    <w:rsid w:val="00637130"/>
    <w:rsid w:val="00637F0E"/>
    <w:rsid w:val="006423F2"/>
    <w:rsid w:val="00650234"/>
    <w:rsid w:val="0066044B"/>
    <w:rsid w:val="006630AA"/>
    <w:rsid w:val="00663544"/>
    <w:rsid w:val="00666539"/>
    <w:rsid w:val="00666911"/>
    <w:rsid w:val="00675F81"/>
    <w:rsid w:val="0067671A"/>
    <w:rsid w:val="0068143E"/>
    <w:rsid w:val="00683229"/>
    <w:rsid w:val="0068507D"/>
    <w:rsid w:val="00691AF2"/>
    <w:rsid w:val="00692B80"/>
    <w:rsid w:val="00692CCD"/>
    <w:rsid w:val="00692D51"/>
    <w:rsid w:val="00694DD7"/>
    <w:rsid w:val="0069636B"/>
    <w:rsid w:val="006A1762"/>
    <w:rsid w:val="006A1F0B"/>
    <w:rsid w:val="006A277A"/>
    <w:rsid w:val="006A5973"/>
    <w:rsid w:val="006B7126"/>
    <w:rsid w:val="006B7659"/>
    <w:rsid w:val="006C6B86"/>
    <w:rsid w:val="006C7735"/>
    <w:rsid w:val="006D4553"/>
    <w:rsid w:val="006D4A35"/>
    <w:rsid w:val="006D6B44"/>
    <w:rsid w:val="006E27FE"/>
    <w:rsid w:val="006E7B18"/>
    <w:rsid w:val="00701110"/>
    <w:rsid w:val="00702E91"/>
    <w:rsid w:val="0070330F"/>
    <w:rsid w:val="00703624"/>
    <w:rsid w:val="007046ED"/>
    <w:rsid w:val="007072A1"/>
    <w:rsid w:val="007076FA"/>
    <w:rsid w:val="00710BC5"/>
    <w:rsid w:val="007121CA"/>
    <w:rsid w:val="0072003B"/>
    <w:rsid w:val="00721059"/>
    <w:rsid w:val="007211E6"/>
    <w:rsid w:val="007220C4"/>
    <w:rsid w:val="00732361"/>
    <w:rsid w:val="007357B9"/>
    <w:rsid w:val="00741AB9"/>
    <w:rsid w:val="00742D03"/>
    <w:rsid w:val="00744216"/>
    <w:rsid w:val="007452E8"/>
    <w:rsid w:val="00746990"/>
    <w:rsid w:val="00747093"/>
    <w:rsid w:val="00750D70"/>
    <w:rsid w:val="007575D0"/>
    <w:rsid w:val="007662E0"/>
    <w:rsid w:val="00776E9C"/>
    <w:rsid w:val="007816D8"/>
    <w:rsid w:val="00784150"/>
    <w:rsid w:val="00793272"/>
    <w:rsid w:val="0079499A"/>
    <w:rsid w:val="00794B64"/>
    <w:rsid w:val="007967C3"/>
    <w:rsid w:val="007A0A33"/>
    <w:rsid w:val="007B04DE"/>
    <w:rsid w:val="007B0AE6"/>
    <w:rsid w:val="007C0F0B"/>
    <w:rsid w:val="007C57BC"/>
    <w:rsid w:val="007C7289"/>
    <w:rsid w:val="007D04CA"/>
    <w:rsid w:val="007D0A2B"/>
    <w:rsid w:val="007D12A1"/>
    <w:rsid w:val="007D1DAA"/>
    <w:rsid w:val="007D40E5"/>
    <w:rsid w:val="007D4138"/>
    <w:rsid w:val="007E4178"/>
    <w:rsid w:val="007E683C"/>
    <w:rsid w:val="007F0A77"/>
    <w:rsid w:val="007F1E37"/>
    <w:rsid w:val="007F50D3"/>
    <w:rsid w:val="007F6B1F"/>
    <w:rsid w:val="00804897"/>
    <w:rsid w:val="008329DB"/>
    <w:rsid w:val="008361C5"/>
    <w:rsid w:val="0083628F"/>
    <w:rsid w:val="00837553"/>
    <w:rsid w:val="00837AB9"/>
    <w:rsid w:val="00850637"/>
    <w:rsid w:val="00854D98"/>
    <w:rsid w:val="0085751E"/>
    <w:rsid w:val="00860B29"/>
    <w:rsid w:val="008622E8"/>
    <w:rsid w:val="0086273C"/>
    <w:rsid w:val="008645EE"/>
    <w:rsid w:val="00870144"/>
    <w:rsid w:val="00873D7A"/>
    <w:rsid w:val="00877CB3"/>
    <w:rsid w:val="008804CF"/>
    <w:rsid w:val="00882D58"/>
    <w:rsid w:val="00882F19"/>
    <w:rsid w:val="0088360C"/>
    <w:rsid w:val="00883D35"/>
    <w:rsid w:val="00884569"/>
    <w:rsid w:val="00887A51"/>
    <w:rsid w:val="008901F9"/>
    <w:rsid w:val="00890D9B"/>
    <w:rsid w:val="00891C6C"/>
    <w:rsid w:val="00893CCD"/>
    <w:rsid w:val="008964B3"/>
    <w:rsid w:val="008B1A31"/>
    <w:rsid w:val="008B1CB5"/>
    <w:rsid w:val="008C2D69"/>
    <w:rsid w:val="008C49C6"/>
    <w:rsid w:val="008C5499"/>
    <w:rsid w:val="008C754C"/>
    <w:rsid w:val="008D56C9"/>
    <w:rsid w:val="008D6A54"/>
    <w:rsid w:val="008E2585"/>
    <w:rsid w:val="008E2D7A"/>
    <w:rsid w:val="008E4C7D"/>
    <w:rsid w:val="008F3215"/>
    <w:rsid w:val="008F4A62"/>
    <w:rsid w:val="008F668B"/>
    <w:rsid w:val="008F7256"/>
    <w:rsid w:val="0090054A"/>
    <w:rsid w:val="009016C2"/>
    <w:rsid w:val="00902162"/>
    <w:rsid w:val="0090424C"/>
    <w:rsid w:val="0090605E"/>
    <w:rsid w:val="009108CE"/>
    <w:rsid w:val="00912940"/>
    <w:rsid w:val="00915A9F"/>
    <w:rsid w:val="00927A28"/>
    <w:rsid w:val="00930D58"/>
    <w:rsid w:val="00935AAA"/>
    <w:rsid w:val="0095031E"/>
    <w:rsid w:val="00954297"/>
    <w:rsid w:val="00960A56"/>
    <w:rsid w:val="00966EF1"/>
    <w:rsid w:val="00967223"/>
    <w:rsid w:val="009751F7"/>
    <w:rsid w:val="0098350E"/>
    <w:rsid w:val="0099404F"/>
    <w:rsid w:val="00996FA5"/>
    <w:rsid w:val="009B5662"/>
    <w:rsid w:val="009B6F65"/>
    <w:rsid w:val="009C2211"/>
    <w:rsid w:val="009C40E8"/>
    <w:rsid w:val="009C45C5"/>
    <w:rsid w:val="009E6858"/>
    <w:rsid w:val="009E6F8C"/>
    <w:rsid w:val="009F405F"/>
    <w:rsid w:val="00A01C56"/>
    <w:rsid w:val="00A05B61"/>
    <w:rsid w:val="00A25E6E"/>
    <w:rsid w:val="00A32C50"/>
    <w:rsid w:val="00A358E7"/>
    <w:rsid w:val="00A4380B"/>
    <w:rsid w:val="00A51A2D"/>
    <w:rsid w:val="00A5596B"/>
    <w:rsid w:val="00A63C07"/>
    <w:rsid w:val="00A63D9B"/>
    <w:rsid w:val="00A704DC"/>
    <w:rsid w:val="00A93DC6"/>
    <w:rsid w:val="00A9411A"/>
    <w:rsid w:val="00AA20F3"/>
    <w:rsid w:val="00AA4A4B"/>
    <w:rsid w:val="00AA6682"/>
    <w:rsid w:val="00AA6A42"/>
    <w:rsid w:val="00AB0613"/>
    <w:rsid w:val="00AB7C5C"/>
    <w:rsid w:val="00AB7CBF"/>
    <w:rsid w:val="00AC3F28"/>
    <w:rsid w:val="00AC5773"/>
    <w:rsid w:val="00AC6A5C"/>
    <w:rsid w:val="00AD0111"/>
    <w:rsid w:val="00AD4C72"/>
    <w:rsid w:val="00AD5451"/>
    <w:rsid w:val="00AE1947"/>
    <w:rsid w:val="00AF1C8B"/>
    <w:rsid w:val="00AF299B"/>
    <w:rsid w:val="00AF7E43"/>
    <w:rsid w:val="00B02AE0"/>
    <w:rsid w:val="00B05326"/>
    <w:rsid w:val="00B14545"/>
    <w:rsid w:val="00B14E60"/>
    <w:rsid w:val="00B17BA2"/>
    <w:rsid w:val="00B26DC3"/>
    <w:rsid w:val="00B30B9D"/>
    <w:rsid w:val="00B36626"/>
    <w:rsid w:val="00B37FB4"/>
    <w:rsid w:val="00B4574D"/>
    <w:rsid w:val="00B468E1"/>
    <w:rsid w:val="00B46BC0"/>
    <w:rsid w:val="00B46DFB"/>
    <w:rsid w:val="00B5141B"/>
    <w:rsid w:val="00B53679"/>
    <w:rsid w:val="00B544BB"/>
    <w:rsid w:val="00B55681"/>
    <w:rsid w:val="00B57AAD"/>
    <w:rsid w:val="00B660FE"/>
    <w:rsid w:val="00B66A97"/>
    <w:rsid w:val="00B72B16"/>
    <w:rsid w:val="00B80408"/>
    <w:rsid w:val="00B80D2A"/>
    <w:rsid w:val="00B81397"/>
    <w:rsid w:val="00B925DB"/>
    <w:rsid w:val="00B967FF"/>
    <w:rsid w:val="00B974B9"/>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229E"/>
    <w:rsid w:val="00BE640F"/>
    <w:rsid w:val="00BF4638"/>
    <w:rsid w:val="00C059D0"/>
    <w:rsid w:val="00C07551"/>
    <w:rsid w:val="00C1109F"/>
    <w:rsid w:val="00C12D65"/>
    <w:rsid w:val="00C133AB"/>
    <w:rsid w:val="00C20B56"/>
    <w:rsid w:val="00C22214"/>
    <w:rsid w:val="00C26F72"/>
    <w:rsid w:val="00C309A7"/>
    <w:rsid w:val="00C335AB"/>
    <w:rsid w:val="00C407AB"/>
    <w:rsid w:val="00C43645"/>
    <w:rsid w:val="00C466C3"/>
    <w:rsid w:val="00C52B7B"/>
    <w:rsid w:val="00C547CD"/>
    <w:rsid w:val="00C570FF"/>
    <w:rsid w:val="00C5770E"/>
    <w:rsid w:val="00C57CEA"/>
    <w:rsid w:val="00C60FEC"/>
    <w:rsid w:val="00C6574E"/>
    <w:rsid w:val="00C707FD"/>
    <w:rsid w:val="00C76DEB"/>
    <w:rsid w:val="00C816C6"/>
    <w:rsid w:val="00C863A7"/>
    <w:rsid w:val="00C912F4"/>
    <w:rsid w:val="00C9153D"/>
    <w:rsid w:val="00C9156F"/>
    <w:rsid w:val="00C9581A"/>
    <w:rsid w:val="00C97D29"/>
    <w:rsid w:val="00CB0550"/>
    <w:rsid w:val="00CB5CEE"/>
    <w:rsid w:val="00CB6813"/>
    <w:rsid w:val="00CC1E23"/>
    <w:rsid w:val="00CC2887"/>
    <w:rsid w:val="00CC393D"/>
    <w:rsid w:val="00CF6A55"/>
    <w:rsid w:val="00CF6DC6"/>
    <w:rsid w:val="00CF6DCF"/>
    <w:rsid w:val="00D01DDB"/>
    <w:rsid w:val="00D078BE"/>
    <w:rsid w:val="00D13E27"/>
    <w:rsid w:val="00D13F8A"/>
    <w:rsid w:val="00D16F60"/>
    <w:rsid w:val="00D22981"/>
    <w:rsid w:val="00D32DFD"/>
    <w:rsid w:val="00D3349B"/>
    <w:rsid w:val="00D424A8"/>
    <w:rsid w:val="00D439F7"/>
    <w:rsid w:val="00D45319"/>
    <w:rsid w:val="00D6036F"/>
    <w:rsid w:val="00D62877"/>
    <w:rsid w:val="00D63760"/>
    <w:rsid w:val="00D6703F"/>
    <w:rsid w:val="00D67706"/>
    <w:rsid w:val="00D734EB"/>
    <w:rsid w:val="00D82713"/>
    <w:rsid w:val="00D82EA6"/>
    <w:rsid w:val="00D86F00"/>
    <w:rsid w:val="00D87654"/>
    <w:rsid w:val="00D918D5"/>
    <w:rsid w:val="00D94C8E"/>
    <w:rsid w:val="00DA1BB4"/>
    <w:rsid w:val="00DA48E1"/>
    <w:rsid w:val="00DB1372"/>
    <w:rsid w:val="00DB192C"/>
    <w:rsid w:val="00DB1CF3"/>
    <w:rsid w:val="00DB5425"/>
    <w:rsid w:val="00DB72A6"/>
    <w:rsid w:val="00DC6611"/>
    <w:rsid w:val="00DE1344"/>
    <w:rsid w:val="00DF011B"/>
    <w:rsid w:val="00DF5BFE"/>
    <w:rsid w:val="00E0523F"/>
    <w:rsid w:val="00E22C04"/>
    <w:rsid w:val="00E23E50"/>
    <w:rsid w:val="00E26213"/>
    <w:rsid w:val="00E26E4B"/>
    <w:rsid w:val="00E274DF"/>
    <w:rsid w:val="00E34D66"/>
    <w:rsid w:val="00E362C4"/>
    <w:rsid w:val="00E4338B"/>
    <w:rsid w:val="00E46CC2"/>
    <w:rsid w:val="00E47E0C"/>
    <w:rsid w:val="00E51813"/>
    <w:rsid w:val="00E52C0B"/>
    <w:rsid w:val="00E53D3F"/>
    <w:rsid w:val="00E5579B"/>
    <w:rsid w:val="00E57FF4"/>
    <w:rsid w:val="00E679D1"/>
    <w:rsid w:val="00E67C1C"/>
    <w:rsid w:val="00E85FA8"/>
    <w:rsid w:val="00E91E66"/>
    <w:rsid w:val="00E91F11"/>
    <w:rsid w:val="00E9706D"/>
    <w:rsid w:val="00EA328A"/>
    <w:rsid w:val="00EA3AF4"/>
    <w:rsid w:val="00EA4266"/>
    <w:rsid w:val="00EF3F0B"/>
    <w:rsid w:val="00EF5583"/>
    <w:rsid w:val="00F0289D"/>
    <w:rsid w:val="00F02AEC"/>
    <w:rsid w:val="00F04640"/>
    <w:rsid w:val="00F06569"/>
    <w:rsid w:val="00F07572"/>
    <w:rsid w:val="00F157FC"/>
    <w:rsid w:val="00F21B54"/>
    <w:rsid w:val="00F30AF3"/>
    <w:rsid w:val="00F40079"/>
    <w:rsid w:val="00F43CD1"/>
    <w:rsid w:val="00F45AE0"/>
    <w:rsid w:val="00F476EC"/>
    <w:rsid w:val="00F60CF2"/>
    <w:rsid w:val="00F657B4"/>
    <w:rsid w:val="00F7649F"/>
    <w:rsid w:val="00F8083B"/>
    <w:rsid w:val="00F83B76"/>
    <w:rsid w:val="00F865A7"/>
    <w:rsid w:val="00FA0754"/>
    <w:rsid w:val="00FA1BC9"/>
    <w:rsid w:val="00FA49C3"/>
    <w:rsid w:val="00FB236E"/>
    <w:rsid w:val="00FB3F7B"/>
    <w:rsid w:val="00FB4C2A"/>
    <w:rsid w:val="00FC2107"/>
    <w:rsid w:val="00FC48FE"/>
    <w:rsid w:val="00FC6F56"/>
    <w:rsid w:val="00FE087C"/>
    <w:rsid w:val="00FE79A0"/>
    <w:rsid w:val="00FF0939"/>
    <w:rsid w:val="075C801E"/>
    <w:rsid w:val="0C0D743B"/>
    <w:rsid w:val="0C837D25"/>
    <w:rsid w:val="1472E8E4"/>
    <w:rsid w:val="2067C1E3"/>
    <w:rsid w:val="270CFD88"/>
    <w:rsid w:val="32EE1F87"/>
    <w:rsid w:val="43CD6E14"/>
    <w:rsid w:val="449CF0D8"/>
    <w:rsid w:val="4B981C2C"/>
    <w:rsid w:val="5118902C"/>
    <w:rsid w:val="57CBE12B"/>
    <w:rsid w:val="6340205A"/>
    <w:rsid w:val="67C4B0B8"/>
    <w:rsid w:val="773942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640"/>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F476EC"/>
    <w:pPr>
      <w:numPr>
        <w:numId w:val="17"/>
      </w:numPr>
      <w:spacing w:after="160"/>
      <w:contextualSpacing/>
    </w:pPr>
    <w:rPr>
      <w:rFonts w:cs="Times New Roman"/>
      <w:szCs w:val="24"/>
    </w:rPr>
  </w:style>
  <w:style w:type="character" w:customStyle="1" w:styleId="ListParagraphChar">
    <w:name w:val="List Paragraph Char"/>
    <w:basedOn w:val="DefaultParagraphFont"/>
    <w:link w:val="ListParagraph"/>
    <w:uiPriority w:val="34"/>
    <w:locked/>
    <w:rsid w:val="00F476EC"/>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82854672">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microsoft.com/office/2007/relationships/hdphoto" Target="media/hdphoto2.wdp"/><Relationship Id="rId39" Type="http://schemas.openxmlformats.org/officeDocument/2006/relationships/hyperlink" Target="https://www.tga.gov.au/products/australian-register-therapeutic-goods-artg/product-information-one" TargetMode="External"/><Relationship Id="rId3" Type="http://schemas.openxmlformats.org/officeDocument/2006/relationships/customXml" Target="../customXml/item3.xml"/><Relationship Id="rId21" Type="http://schemas.openxmlformats.org/officeDocument/2006/relationships/hyperlink" Target="https://www.tga.gov.au/project-orbis" TargetMode="External"/><Relationship Id="rId34"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tga.gov.au/products/australian-register-therapeutic-goods-artg/product-information-one"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obstetric-drug-information-services" TargetMode="External"/><Relationship Id="rId29" Type="http://schemas.openxmlformats.org/officeDocument/2006/relationships/image" Target="media/image8.png"/><Relationship Id="rId41" Type="http://schemas.openxmlformats.org/officeDocument/2006/relationships/hyperlink" Target="https://www.tga.gov.au/picmi-search-fac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image" Target="media/image11.png"/><Relationship Id="rId37" Type="http://schemas.microsoft.com/office/2007/relationships/hdphoto" Target="media/hdphoto3.wdp"/><Relationship Id="rId40" Type="http://schemas.openxmlformats.org/officeDocument/2006/relationships/hyperlink" Target="https://www.tga.gov.au/products/australian-register-therapeutic-goods-artg/consumer-medicines-information-cmi" TargetMode="External"/><Relationship Id="rId45"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image" Target="media/image10.png"/><Relationship Id="rId44"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sites/default/files/auspar-nivolumab-160823.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78E1642ACF814DAE5C915C9F90BBB2" ma:contentTypeVersion="17" ma:contentTypeDescription="Create a new document." ma:contentTypeScope="" ma:versionID="d2d9d5e7c85f0037f699b96d2c7400f6">
  <xsd:schema xmlns:xsd="http://www.w3.org/2001/XMLSchema" xmlns:xs="http://www.w3.org/2001/XMLSchema" xmlns:p="http://schemas.microsoft.com/office/2006/metadata/properties" xmlns:ns2="8a46b709-8ecf-42fd-81b0-d282e67de71a" xmlns:ns3="4212292e-fee3-4e58-b645-17c47387aa0e" targetNamespace="http://schemas.microsoft.com/office/2006/metadata/properties" ma:root="true" ma:fieldsID="519cae3187f22150e1be8f6fe2c312fd" ns2:_="" ns3:_="">
    <xsd:import namespace="8a46b709-8ecf-42fd-81b0-d282e67de71a"/>
    <xsd:import namespace="4212292e-fee3-4e58-b645-17c47387aa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6b709-8ecf-42fd-81b0-d282e67de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2292e-fee3-4e58-b645-17c47387aa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3151a9-9420-42c1-97d3-0cfd098718a8}" ma:internalName="TaxCatchAll" ma:showField="CatchAllData" ma:web="4212292e-fee3-4e58-b645-17c47387a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46b709-8ecf-42fd-81b0-d282e67de71a">
      <Terms xmlns="http://schemas.microsoft.com/office/infopath/2007/PartnerControls"/>
    </lcf76f155ced4ddcb4097134ff3c332f>
    <TaxCatchAll xmlns="4212292e-fee3-4e58-b645-17c47387aa0e" xsi:nil="true"/>
  </documentManagement>
</p:properties>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F6A19DFE-4A4F-45BA-AD33-27E018706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6b709-8ecf-42fd-81b0-d282e67de71a"/>
    <ds:schemaRef ds:uri="4212292e-fee3-4e58-b645-17c47387a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07944C-2703-46C3-9B98-1B5EC5834236}">
  <ds:schemaRefs>
    <ds:schemaRef ds:uri="http://schemas.microsoft.com/sharepoint/v3/contenttype/forms"/>
  </ds:schemaRefs>
</ds:datastoreItem>
</file>

<file path=customXml/itemProps4.xml><?xml version="1.0" encoding="utf-8"?>
<ds:datastoreItem xmlns:ds="http://schemas.openxmlformats.org/officeDocument/2006/customXml" ds:itemID="{C129F880-6C3F-401A-841B-19721D362FCF}">
  <ds:schemaRefs>
    <ds:schemaRef ds:uri="4212292e-fee3-4e58-b645-17c47387aa0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a46b709-8ecf-42fd-81b0-d282e67de71a"/>
    <ds:schemaRef ds:uri="http://www.w3.org/XML/1998/namespace"/>
    <ds:schemaRef ds:uri="http://purl.org/dc/dcmitype/"/>
  </ds:schemaRefs>
</ds:datastoreItem>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21</Pages>
  <Words>4198</Words>
  <Characters>23935</Characters>
  <Application>Microsoft Office Word</Application>
  <DocSecurity>0</DocSecurity>
  <Lines>199</Lines>
  <Paragraphs>56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Australian public assessment report for Opdivo</vt:lpstr>
      <vt:lpstr>    About the Therapeutic Goods Administration (TGA)</vt:lpstr>
      <vt:lpstr>    About AusPARs</vt:lpstr>
      <vt:lpstr>    Copyright</vt:lpstr>
      <vt:lpstr>    &lt;Contents</vt:lpstr>
      <vt:lpstr>    List of abbreviations</vt:lpstr>
      <vt:lpstr>    Opdivo (nivolumab) submission</vt:lpstr>
      <vt:lpstr>        Opdivo (nivolumab) – proposed indication</vt:lpstr>
      <vt:lpstr>        Opdivo and non-small cell lung cancer (NSCLC)</vt:lpstr>
      <vt:lpstr>        Regulatory status</vt:lpstr>
      <vt:lpstr>        Registration timeline</vt:lpstr>
      <vt:lpstr>    Submission overview and risk/benefit assessment</vt:lpstr>
      <vt:lpstr>        Clinical evaluation summary</vt:lpstr>
      <vt:lpstr>        Discussion</vt:lpstr>
      <vt:lpstr>    Outcome</vt:lpstr>
    </vt:vector>
  </TitlesOfParts>
  <Company>Department of Health and Aged Care</Company>
  <LinksUpToDate>false</LinksUpToDate>
  <CharactersWithSpaces>28077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Opdivo</dc:title>
  <dc:subject>Prescription medicines</dc:subject>
  <dc:creator>Therapeutic Goods Administration</dc:creator>
  <cp:keywords/>
  <dc:description/>
  <cp:lastModifiedBy>LACK, Janet</cp:lastModifiedBy>
  <cp:revision>3</cp:revision>
  <dcterms:created xsi:type="dcterms:W3CDTF">2024-09-16T04:24:00Z</dcterms:created>
  <dcterms:modified xsi:type="dcterms:W3CDTF">2024-09-16T04:32:00Z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0x010100F678E1642ACF814DAE5C915C9F90BBB2</vt:lpwstr>
  </property>
  <property fmtid="{D5CDD505-2E9C-101B-9397-08002B2CF9AE}" pid="3" name="MediaServiceImageTags">
    <vt:lpwstr/>
  </property>
</Properties>
</file>