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0309A" w14:textId="77777777" w:rsidR="001825E2" w:rsidRDefault="000839A5" w:rsidP="00CB00A7">
      <w:pPr>
        <w:pStyle w:val="BodyText"/>
        <w:spacing w:before="61" w:line="211" w:lineRule="auto"/>
        <w:ind w:left="220" w:right="212"/>
        <w:jc w:val="left"/>
      </w:pPr>
      <w:bookmarkStart w:id="0" w:name="AUSTRALIAN_PRODUCT_INFORMATION"/>
      <w:bookmarkStart w:id="1" w:name="1_NAME_OF_THE_MEDICINE"/>
      <w:bookmarkStart w:id="2" w:name="2_QUALITATIVE_AND_QUANTITATIVE_COMPOSITI"/>
      <w:bookmarkEnd w:id="0"/>
      <w:bookmarkEnd w:id="1"/>
      <w:bookmarkEnd w:id="2"/>
      <w:r>
        <w:rPr>
          <w:rFonts w:ascii="SimSun" w:hAnsi="SimSun"/>
          <w:sz w:val="40"/>
        </w:rPr>
        <w:t>▼</w:t>
      </w:r>
      <w:r>
        <w:t xml:space="preserve">This medicinal product is subject to additional monitoring in Australia. This will allow quick identification of new safety information. Healthcare professionals are asked to report any suspected adverse events at </w:t>
      </w:r>
      <w:hyperlink r:id="rId7">
        <w:r>
          <w:rPr>
            <w:u w:val="single"/>
          </w:rPr>
          <w:t>www.tga.gov.au/reporting-problems</w:t>
        </w:r>
        <w:r>
          <w:t>.</w:t>
        </w:r>
      </w:hyperlink>
    </w:p>
    <w:p w14:paraId="23F54D61" w14:textId="77777777" w:rsidR="001825E2" w:rsidRDefault="000839A5" w:rsidP="00CB00A7">
      <w:pPr>
        <w:pStyle w:val="Title"/>
        <w:spacing w:before="257"/>
        <w:jc w:val="left"/>
      </w:pPr>
      <w:r>
        <w:t>AUSTRALIAN</w:t>
      </w:r>
      <w:r>
        <w:rPr>
          <w:spacing w:val="-15"/>
        </w:rPr>
        <w:t xml:space="preserve"> </w:t>
      </w:r>
      <w:r>
        <w:t>PRODUCT</w:t>
      </w:r>
      <w:r>
        <w:rPr>
          <w:spacing w:val="-1"/>
        </w:rPr>
        <w:t xml:space="preserve"> </w:t>
      </w:r>
      <w:r>
        <w:rPr>
          <w:spacing w:val="-2"/>
        </w:rPr>
        <w:t>INFORMATION</w:t>
      </w:r>
    </w:p>
    <w:p w14:paraId="14A63604" w14:textId="77777777" w:rsidR="001825E2" w:rsidRDefault="000839A5" w:rsidP="00CB00A7">
      <w:pPr>
        <w:pStyle w:val="Title"/>
        <w:jc w:val="left"/>
      </w:pPr>
      <w:r>
        <w:t>XELJANZ</w:t>
      </w:r>
      <w:r>
        <w:rPr>
          <w:rFonts w:ascii="Symbol" w:hAnsi="Symbol"/>
          <w:vertAlign w:val="superscript"/>
        </w:rPr>
        <w:t></w:t>
      </w:r>
      <w:r>
        <w:t>,</w:t>
      </w:r>
      <w:r>
        <w:rPr>
          <w:spacing w:val="-14"/>
        </w:rPr>
        <w:t xml:space="preserve"> </w:t>
      </w:r>
      <w:r>
        <w:t>XELJANZ</w:t>
      </w:r>
      <w:r>
        <w:rPr>
          <w:spacing w:val="-20"/>
        </w:rPr>
        <w:t xml:space="preserve"> </w:t>
      </w:r>
      <w:r>
        <w:t>XR</w:t>
      </w:r>
      <w:r>
        <w:rPr>
          <w:spacing w:val="12"/>
        </w:rPr>
        <w:t xml:space="preserve"> </w:t>
      </w:r>
      <w:r>
        <w:t>tofacitinib</w:t>
      </w:r>
      <w:r>
        <w:rPr>
          <w:spacing w:val="-19"/>
        </w:rPr>
        <w:t xml:space="preserve"> </w:t>
      </w:r>
      <w:r>
        <w:t>(as</w:t>
      </w:r>
      <w:r>
        <w:rPr>
          <w:spacing w:val="12"/>
        </w:rPr>
        <w:t xml:space="preserve"> </w:t>
      </w:r>
      <w:r>
        <w:rPr>
          <w:spacing w:val="-2"/>
        </w:rPr>
        <w:t>citrate)</w:t>
      </w:r>
    </w:p>
    <w:p w14:paraId="4772FEA3" w14:textId="77777777" w:rsidR="001825E2" w:rsidRDefault="000839A5" w:rsidP="00CB00A7">
      <w:pPr>
        <w:pStyle w:val="Heading1"/>
        <w:numPr>
          <w:ilvl w:val="0"/>
          <w:numId w:val="11"/>
        </w:numPr>
        <w:tabs>
          <w:tab w:val="left" w:pos="939"/>
        </w:tabs>
        <w:spacing w:before="356"/>
        <w:ind w:hanging="719"/>
      </w:pPr>
      <w:r>
        <w:t>NAME</w:t>
      </w:r>
      <w:r>
        <w:rPr>
          <w:spacing w:val="-9"/>
        </w:rPr>
        <w:t xml:space="preserve"> </w:t>
      </w:r>
      <w:r>
        <w:t>OF</w:t>
      </w:r>
      <w:r>
        <w:rPr>
          <w:spacing w:val="-8"/>
        </w:rPr>
        <w:t xml:space="preserve"> </w:t>
      </w:r>
      <w:r>
        <w:t>THE</w:t>
      </w:r>
      <w:r>
        <w:rPr>
          <w:spacing w:val="-9"/>
        </w:rPr>
        <w:t xml:space="preserve"> </w:t>
      </w:r>
      <w:r>
        <w:rPr>
          <w:spacing w:val="-2"/>
        </w:rPr>
        <w:t>MEDICINE</w:t>
      </w:r>
    </w:p>
    <w:p w14:paraId="219F7C1F" w14:textId="77777777" w:rsidR="001825E2" w:rsidRDefault="000839A5" w:rsidP="00CB00A7">
      <w:pPr>
        <w:pStyle w:val="BodyText"/>
        <w:spacing w:before="255"/>
        <w:ind w:left="220"/>
        <w:jc w:val="left"/>
      </w:pPr>
      <w:r>
        <w:t>tofacitinib</w:t>
      </w:r>
      <w:r>
        <w:rPr>
          <w:spacing w:val="-4"/>
        </w:rPr>
        <w:t xml:space="preserve"> </w:t>
      </w:r>
      <w:r>
        <w:t>(as</w:t>
      </w:r>
      <w:r>
        <w:rPr>
          <w:spacing w:val="-6"/>
        </w:rPr>
        <w:t xml:space="preserve"> </w:t>
      </w:r>
      <w:r>
        <w:rPr>
          <w:spacing w:val="-2"/>
        </w:rPr>
        <w:t>citrate)</w:t>
      </w:r>
    </w:p>
    <w:p w14:paraId="7E6980FB" w14:textId="77777777" w:rsidR="001825E2" w:rsidRDefault="001825E2" w:rsidP="00CB00A7">
      <w:pPr>
        <w:pStyle w:val="BodyText"/>
        <w:spacing w:before="71"/>
        <w:jc w:val="left"/>
      </w:pPr>
    </w:p>
    <w:p w14:paraId="30862794" w14:textId="77777777" w:rsidR="001825E2" w:rsidRDefault="000839A5" w:rsidP="00CB00A7">
      <w:pPr>
        <w:pStyle w:val="Heading1"/>
        <w:numPr>
          <w:ilvl w:val="0"/>
          <w:numId w:val="11"/>
        </w:numPr>
        <w:tabs>
          <w:tab w:val="left" w:pos="939"/>
        </w:tabs>
        <w:ind w:hanging="719"/>
      </w:pPr>
      <w:r>
        <w:t>QUALITATIVE</w:t>
      </w:r>
      <w:r>
        <w:rPr>
          <w:spacing w:val="-2"/>
        </w:rPr>
        <w:t xml:space="preserve"> </w:t>
      </w:r>
      <w:r>
        <w:t>AND</w:t>
      </w:r>
      <w:r>
        <w:rPr>
          <w:spacing w:val="-1"/>
        </w:rPr>
        <w:t xml:space="preserve"> </w:t>
      </w:r>
      <w:r>
        <w:t>QUANTITATIVE</w:t>
      </w:r>
      <w:r>
        <w:rPr>
          <w:spacing w:val="-23"/>
        </w:rPr>
        <w:t xml:space="preserve"> </w:t>
      </w:r>
      <w:r>
        <w:rPr>
          <w:spacing w:val="-2"/>
        </w:rPr>
        <w:t>COMPOSITION</w:t>
      </w:r>
    </w:p>
    <w:p w14:paraId="25A91F20" w14:textId="77777777" w:rsidR="001825E2" w:rsidRDefault="000839A5" w:rsidP="00CB00A7">
      <w:pPr>
        <w:pStyle w:val="BodyText"/>
        <w:spacing w:before="240"/>
        <w:ind w:left="220"/>
        <w:jc w:val="left"/>
      </w:pPr>
      <w:r>
        <w:rPr>
          <w:u w:val="single"/>
        </w:rPr>
        <w:t>XELJANZ</w:t>
      </w:r>
      <w:r>
        <w:rPr>
          <w:spacing w:val="-13"/>
          <w:u w:val="single"/>
        </w:rPr>
        <w:t xml:space="preserve"> </w:t>
      </w:r>
      <w:r>
        <w:rPr>
          <w:u w:val="single"/>
        </w:rPr>
        <w:t>5</w:t>
      </w:r>
      <w:r>
        <w:rPr>
          <w:spacing w:val="-16"/>
          <w:u w:val="single"/>
        </w:rPr>
        <w:t xml:space="preserve"> </w:t>
      </w:r>
      <w:r>
        <w:rPr>
          <w:u w:val="single"/>
        </w:rPr>
        <w:t>mg</w:t>
      </w:r>
      <w:r>
        <w:rPr>
          <w:spacing w:val="15"/>
          <w:u w:val="single"/>
        </w:rPr>
        <w:t xml:space="preserve"> </w:t>
      </w:r>
      <w:r>
        <w:rPr>
          <w:u w:val="single"/>
        </w:rPr>
        <w:t xml:space="preserve">film-coated </w:t>
      </w:r>
      <w:r>
        <w:rPr>
          <w:spacing w:val="-2"/>
          <w:u w:val="single"/>
        </w:rPr>
        <w:t>tablet</w:t>
      </w:r>
    </w:p>
    <w:p w14:paraId="641BD79A" w14:textId="77777777" w:rsidR="001825E2" w:rsidRDefault="000839A5" w:rsidP="00CB00A7">
      <w:pPr>
        <w:pStyle w:val="BodyText"/>
        <w:spacing w:before="134" w:line="235" w:lineRule="auto"/>
        <w:ind w:left="220" w:right="216"/>
        <w:jc w:val="left"/>
      </w:pPr>
      <w:r>
        <w:t>Each</w:t>
      </w:r>
      <w:r>
        <w:rPr>
          <w:spacing w:val="-3"/>
        </w:rPr>
        <w:t xml:space="preserve"> </w:t>
      </w:r>
      <w:r>
        <w:t>5</w:t>
      </w:r>
      <w:r>
        <w:rPr>
          <w:spacing w:val="-3"/>
        </w:rPr>
        <w:t xml:space="preserve"> </w:t>
      </w:r>
      <w:r>
        <w:t>mg</w:t>
      </w:r>
      <w:r>
        <w:rPr>
          <w:spacing w:val="-3"/>
        </w:rPr>
        <w:t xml:space="preserve"> </w:t>
      </w:r>
      <w:r>
        <w:t>tablet contains</w:t>
      </w:r>
      <w:r>
        <w:rPr>
          <w:spacing w:val="-7"/>
        </w:rPr>
        <w:t xml:space="preserve"> </w:t>
      </w:r>
      <w:r>
        <w:t>8.078</w:t>
      </w:r>
      <w:r>
        <w:rPr>
          <w:spacing w:val="-3"/>
        </w:rPr>
        <w:t xml:space="preserve"> </w:t>
      </w:r>
      <w:r>
        <w:t>mg</w:t>
      </w:r>
      <w:r>
        <w:rPr>
          <w:spacing w:val="-3"/>
        </w:rPr>
        <w:t xml:space="preserve"> </w:t>
      </w:r>
      <w:r>
        <w:t>of tofacitinib</w:t>
      </w:r>
      <w:r>
        <w:rPr>
          <w:spacing w:val="-3"/>
        </w:rPr>
        <w:t xml:space="preserve"> </w:t>
      </w:r>
      <w:r>
        <w:t>citrate</w:t>
      </w:r>
      <w:r>
        <w:rPr>
          <w:spacing w:val="-5"/>
        </w:rPr>
        <w:t xml:space="preserve"> </w:t>
      </w:r>
      <w:r>
        <w:t>equivalent to</w:t>
      </w:r>
      <w:r>
        <w:rPr>
          <w:spacing w:val="-3"/>
        </w:rPr>
        <w:t xml:space="preserve"> </w:t>
      </w:r>
      <w:r>
        <w:t>5</w:t>
      </w:r>
      <w:r>
        <w:rPr>
          <w:spacing w:val="-3"/>
        </w:rPr>
        <w:t xml:space="preserve"> </w:t>
      </w:r>
      <w:r>
        <w:t>mg</w:t>
      </w:r>
      <w:r>
        <w:rPr>
          <w:spacing w:val="-3"/>
        </w:rPr>
        <w:t xml:space="preserve"> </w:t>
      </w:r>
      <w:r>
        <w:t>of tofacitinib</w:t>
      </w:r>
      <w:r>
        <w:rPr>
          <w:spacing w:val="-3"/>
        </w:rPr>
        <w:t xml:space="preserve"> </w:t>
      </w:r>
      <w:r>
        <w:t>free base active pharmaceutical ingredient.</w:t>
      </w:r>
    </w:p>
    <w:p w14:paraId="1B2B2C01" w14:textId="77777777" w:rsidR="001825E2" w:rsidRDefault="000839A5" w:rsidP="00CB00A7">
      <w:pPr>
        <w:spacing w:before="250"/>
        <w:ind w:left="220"/>
        <w:rPr>
          <w:i/>
          <w:sz w:val="24"/>
        </w:rPr>
      </w:pPr>
      <w:r>
        <w:rPr>
          <w:i/>
          <w:sz w:val="24"/>
        </w:rPr>
        <w:t>Excipients</w:t>
      </w:r>
      <w:r>
        <w:rPr>
          <w:i/>
          <w:spacing w:val="12"/>
          <w:sz w:val="24"/>
        </w:rPr>
        <w:t xml:space="preserve"> </w:t>
      </w:r>
      <w:r>
        <w:rPr>
          <w:i/>
          <w:sz w:val="24"/>
        </w:rPr>
        <w:t>with</w:t>
      </w:r>
      <w:r>
        <w:rPr>
          <w:i/>
          <w:spacing w:val="-9"/>
          <w:sz w:val="24"/>
        </w:rPr>
        <w:t xml:space="preserve"> </w:t>
      </w:r>
      <w:r>
        <w:rPr>
          <w:i/>
          <w:sz w:val="24"/>
        </w:rPr>
        <w:t>known</w:t>
      </w:r>
      <w:r>
        <w:rPr>
          <w:i/>
          <w:spacing w:val="-9"/>
          <w:sz w:val="24"/>
        </w:rPr>
        <w:t xml:space="preserve"> </w:t>
      </w:r>
      <w:r>
        <w:rPr>
          <w:i/>
          <w:spacing w:val="-2"/>
          <w:sz w:val="24"/>
        </w:rPr>
        <w:t>effect</w:t>
      </w:r>
    </w:p>
    <w:p w14:paraId="6243DBE8" w14:textId="77777777" w:rsidR="001825E2" w:rsidRDefault="000839A5" w:rsidP="00CB00A7">
      <w:pPr>
        <w:pStyle w:val="BodyText"/>
        <w:spacing w:before="114"/>
        <w:ind w:left="220"/>
        <w:jc w:val="left"/>
      </w:pPr>
      <w:r>
        <w:t>Contains</w:t>
      </w:r>
      <w:r>
        <w:rPr>
          <w:spacing w:val="-10"/>
        </w:rPr>
        <w:t xml:space="preserve"> </w:t>
      </w:r>
      <w:r>
        <w:t>sugars</w:t>
      </w:r>
      <w:r>
        <w:rPr>
          <w:spacing w:val="4"/>
        </w:rPr>
        <w:t xml:space="preserve"> </w:t>
      </w:r>
      <w:r>
        <w:t>(lactose</w:t>
      </w:r>
      <w:r>
        <w:rPr>
          <w:spacing w:val="6"/>
        </w:rPr>
        <w:t xml:space="preserve"> </w:t>
      </w:r>
      <w:r>
        <w:rPr>
          <w:spacing w:val="-2"/>
        </w:rPr>
        <w:t>monohydrate).</w:t>
      </w:r>
    </w:p>
    <w:p w14:paraId="6058404D" w14:textId="77777777" w:rsidR="001825E2" w:rsidRDefault="000839A5" w:rsidP="00CB00A7">
      <w:pPr>
        <w:pStyle w:val="BodyText"/>
        <w:spacing w:before="234"/>
        <w:ind w:left="220"/>
        <w:jc w:val="left"/>
      </w:pPr>
      <w:r>
        <w:rPr>
          <w:u w:val="single"/>
        </w:rPr>
        <w:t>XELJANZ</w:t>
      </w:r>
      <w:r>
        <w:rPr>
          <w:spacing w:val="-13"/>
          <w:u w:val="single"/>
        </w:rPr>
        <w:t xml:space="preserve"> </w:t>
      </w:r>
      <w:r>
        <w:rPr>
          <w:u w:val="single"/>
        </w:rPr>
        <w:t>10</w:t>
      </w:r>
      <w:r>
        <w:rPr>
          <w:spacing w:val="-16"/>
          <w:u w:val="single"/>
        </w:rPr>
        <w:t xml:space="preserve"> </w:t>
      </w:r>
      <w:r>
        <w:rPr>
          <w:u w:val="single"/>
        </w:rPr>
        <w:t>mg</w:t>
      </w:r>
      <w:r>
        <w:rPr>
          <w:spacing w:val="15"/>
          <w:u w:val="single"/>
        </w:rPr>
        <w:t xml:space="preserve"> </w:t>
      </w:r>
      <w:r>
        <w:rPr>
          <w:u w:val="single"/>
        </w:rPr>
        <w:t xml:space="preserve">film-coated </w:t>
      </w:r>
      <w:r>
        <w:rPr>
          <w:spacing w:val="-2"/>
          <w:u w:val="single"/>
        </w:rPr>
        <w:t>tablet</w:t>
      </w:r>
    </w:p>
    <w:p w14:paraId="34A7AED4" w14:textId="77777777" w:rsidR="001825E2" w:rsidRDefault="000839A5" w:rsidP="00CB00A7">
      <w:pPr>
        <w:pStyle w:val="BodyText"/>
        <w:spacing w:before="133" w:line="235" w:lineRule="auto"/>
        <w:ind w:left="219" w:right="234"/>
        <w:jc w:val="left"/>
      </w:pPr>
      <w:r>
        <w:t>Each</w:t>
      </w:r>
      <w:r>
        <w:rPr>
          <w:spacing w:val="-2"/>
        </w:rPr>
        <w:t xml:space="preserve"> </w:t>
      </w:r>
      <w:r>
        <w:t>10</w:t>
      </w:r>
      <w:r>
        <w:rPr>
          <w:spacing w:val="-2"/>
        </w:rPr>
        <w:t xml:space="preserve"> </w:t>
      </w:r>
      <w:r>
        <w:t>mg tablet contains</w:t>
      </w:r>
      <w:r>
        <w:rPr>
          <w:spacing w:val="-6"/>
        </w:rPr>
        <w:t xml:space="preserve"> </w:t>
      </w:r>
      <w:r>
        <w:t>16.155</w:t>
      </w:r>
      <w:r>
        <w:rPr>
          <w:spacing w:val="-2"/>
        </w:rPr>
        <w:t xml:space="preserve"> </w:t>
      </w:r>
      <w:r>
        <w:t>mg of tofacitinib</w:t>
      </w:r>
      <w:r>
        <w:rPr>
          <w:spacing w:val="-2"/>
        </w:rPr>
        <w:t xml:space="preserve"> </w:t>
      </w:r>
      <w:r>
        <w:t>citrate</w:t>
      </w:r>
      <w:r>
        <w:rPr>
          <w:spacing w:val="-4"/>
        </w:rPr>
        <w:t xml:space="preserve"> </w:t>
      </w:r>
      <w:r>
        <w:t>equivalent to</w:t>
      </w:r>
      <w:r>
        <w:rPr>
          <w:spacing w:val="-2"/>
        </w:rPr>
        <w:t xml:space="preserve"> </w:t>
      </w:r>
      <w:r>
        <w:t>10 mg</w:t>
      </w:r>
      <w:r>
        <w:rPr>
          <w:spacing w:val="-2"/>
        </w:rPr>
        <w:t xml:space="preserve"> </w:t>
      </w:r>
      <w:r>
        <w:t>of tofacitinib free base active pharmaceutical ingredient.</w:t>
      </w:r>
    </w:p>
    <w:p w14:paraId="1FEAC13A" w14:textId="77777777" w:rsidR="001825E2" w:rsidRDefault="000839A5" w:rsidP="00CB00A7">
      <w:pPr>
        <w:spacing w:before="250"/>
        <w:ind w:left="219"/>
        <w:rPr>
          <w:i/>
          <w:sz w:val="24"/>
        </w:rPr>
      </w:pPr>
      <w:r>
        <w:rPr>
          <w:i/>
          <w:sz w:val="24"/>
        </w:rPr>
        <w:t>Excipients</w:t>
      </w:r>
      <w:r>
        <w:rPr>
          <w:i/>
          <w:spacing w:val="12"/>
          <w:sz w:val="24"/>
        </w:rPr>
        <w:t xml:space="preserve"> </w:t>
      </w:r>
      <w:r>
        <w:rPr>
          <w:i/>
          <w:sz w:val="24"/>
        </w:rPr>
        <w:t>with</w:t>
      </w:r>
      <w:r>
        <w:rPr>
          <w:i/>
          <w:spacing w:val="-9"/>
          <w:sz w:val="24"/>
        </w:rPr>
        <w:t xml:space="preserve"> </w:t>
      </w:r>
      <w:r>
        <w:rPr>
          <w:i/>
          <w:sz w:val="24"/>
        </w:rPr>
        <w:t>known</w:t>
      </w:r>
      <w:r>
        <w:rPr>
          <w:i/>
          <w:spacing w:val="-9"/>
          <w:sz w:val="24"/>
        </w:rPr>
        <w:t xml:space="preserve"> </w:t>
      </w:r>
      <w:r>
        <w:rPr>
          <w:i/>
          <w:spacing w:val="-2"/>
          <w:sz w:val="24"/>
        </w:rPr>
        <w:t>effect</w:t>
      </w:r>
    </w:p>
    <w:p w14:paraId="0C03891E" w14:textId="77777777" w:rsidR="001825E2" w:rsidRDefault="000839A5" w:rsidP="00CB00A7">
      <w:pPr>
        <w:pStyle w:val="BodyText"/>
        <w:spacing w:before="114"/>
        <w:ind w:left="219"/>
        <w:jc w:val="left"/>
      </w:pPr>
      <w:r>
        <w:t>Contains</w:t>
      </w:r>
      <w:r>
        <w:rPr>
          <w:spacing w:val="-10"/>
        </w:rPr>
        <w:t xml:space="preserve"> </w:t>
      </w:r>
      <w:r>
        <w:t>sugars</w:t>
      </w:r>
      <w:r>
        <w:rPr>
          <w:spacing w:val="4"/>
        </w:rPr>
        <w:t xml:space="preserve"> </w:t>
      </w:r>
      <w:r>
        <w:t>(lactose</w:t>
      </w:r>
      <w:r>
        <w:rPr>
          <w:spacing w:val="6"/>
        </w:rPr>
        <w:t xml:space="preserve"> </w:t>
      </w:r>
      <w:r>
        <w:rPr>
          <w:spacing w:val="-2"/>
        </w:rPr>
        <w:t>monohydrate).</w:t>
      </w:r>
    </w:p>
    <w:p w14:paraId="7EAFFC77" w14:textId="77777777" w:rsidR="001825E2" w:rsidRDefault="000839A5" w:rsidP="00CB00A7">
      <w:pPr>
        <w:pStyle w:val="BodyText"/>
        <w:spacing w:before="234"/>
        <w:ind w:left="220"/>
        <w:jc w:val="left"/>
      </w:pPr>
      <w:r>
        <w:rPr>
          <w:u w:val="single"/>
        </w:rPr>
        <w:t>XELJANZ</w:t>
      </w:r>
      <w:r>
        <w:rPr>
          <w:spacing w:val="-12"/>
          <w:u w:val="single"/>
        </w:rPr>
        <w:t xml:space="preserve"> </w:t>
      </w:r>
      <w:r>
        <w:rPr>
          <w:u w:val="single"/>
        </w:rPr>
        <w:t>XR</w:t>
      </w:r>
      <w:r>
        <w:rPr>
          <w:spacing w:val="-11"/>
          <w:u w:val="single"/>
        </w:rPr>
        <w:t xml:space="preserve"> </w:t>
      </w:r>
      <w:r>
        <w:rPr>
          <w:u w:val="single"/>
        </w:rPr>
        <w:t>11</w:t>
      </w:r>
      <w:r>
        <w:rPr>
          <w:spacing w:val="-16"/>
          <w:u w:val="single"/>
        </w:rPr>
        <w:t xml:space="preserve"> </w:t>
      </w:r>
      <w:r>
        <w:rPr>
          <w:u w:val="single"/>
        </w:rPr>
        <w:t>mg</w:t>
      </w:r>
      <w:r>
        <w:rPr>
          <w:spacing w:val="14"/>
          <w:u w:val="single"/>
        </w:rPr>
        <w:t xml:space="preserve"> </w:t>
      </w:r>
      <w:proofErr w:type="gramStart"/>
      <w:r>
        <w:rPr>
          <w:u w:val="single"/>
        </w:rPr>
        <w:t>extended release</w:t>
      </w:r>
      <w:proofErr w:type="gramEnd"/>
      <w:r>
        <w:rPr>
          <w:spacing w:val="-2"/>
          <w:u w:val="single"/>
        </w:rPr>
        <w:t xml:space="preserve"> </w:t>
      </w:r>
      <w:r>
        <w:rPr>
          <w:u w:val="single"/>
        </w:rPr>
        <w:t>film-coated</w:t>
      </w:r>
      <w:r>
        <w:rPr>
          <w:spacing w:val="15"/>
          <w:u w:val="single"/>
        </w:rPr>
        <w:t xml:space="preserve"> </w:t>
      </w:r>
      <w:r>
        <w:rPr>
          <w:spacing w:val="-2"/>
          <w:u w:val="single"/>
        </w:rPr>
        <w:t>tablet</w:t>
      </w:r>
    </w:p>
    <w:p w14:paraId="407566C1" w14:textId="77777777" w:rsidR="001825E2" w:rsidRDefault="000839A5" w:rsidP="00CB00A7">
      <w:pPr>
        <w:pStyle w:val="BodyText"/>
        <w:spacing w:before="133" w:line="235" w:lineRule="auto"/>
        <w:ind w:left="219" w:right="240"/>
        <w:jc w:val="left"/>
      </w:pPr>
      <w:r>
        <w:t>Each</w:t>
      </w:r>
      <w:r>
        <w:rPr>
          <w:spacing w:val="-3"/>
        </w:rPr>
        <w:t xml:space="preserve"> </w:t>
      </w:r>
      <w:r>
        <w:t>11</w:t>
      </w:r>
      <w:r>
        <w:rPr>
          <w:spacing w:val="-3"/>
        </w:rPr>
        <w:t xml:space="preserve"> </w:t>
      </w:r>
      <w:r>
        <w:t>mg tablet contains</w:t>
      </w:r>
      <w:r>
        <w:rPr>
          <w:spacing w:val="-6"/>
        </w:rPr>
        <w:t xml:space="preserve"> </w:t>
      </w:r>
      <w:r>
        <w:t>17.771</w:t>
      </w:r>
      <w:r>
        <w:rPr>
          <w:spacing w:val="-3"/>
        </w:rPr>
        <w:t xml:space="preserve"> </w:t>
      </w:r>
      <w:r>
        <w:t>mg of tofacitinib</w:t>
      </w:r>
      <w:r>
        <w:rPr>
          <w:spacing w:val="-3"/>
        </w:rPr>
        <w:t xml:space="preserve"> </w:t>
      </w:r>
      <w:r>
        <w:t>citrate</w:t>
      </w:r>
      <w:r>
        <w:rPr>
          <w:spacing w:val="-5"/>
        </w:rPr>
        <w:t xml:space="preserve"> </w:t>
      </w:r>
      <w:r>
        <w:t>equivalent to</w:t>
      </w:r>
      <w:r>
        <w:rPr>
          <w:spacing w:val="-3"/>
        </w:rPr>
        <w:t xml:space="preserve"> </w:t>
      </w:r>
      <w:r>
        <w:t>11 mg</w:t>
      </w:r>
      <w:r>
        <w:rPr>
          <w:spacing w:val="-3"/>
        </w:rPr>
        <w:t xml:space="preserve"> </w:t>
      </w:r>
      <w:r>
        <w:t>of tofacitinib free base active pharmaceutical ingredient.</w:t>
      </w:r>
    </w:p>
    <w:p w14:paraId="72F3C7F6" w14:textId="77777777" w:rsidR="001825E2" w:rsidRDefault="000839A5" w:rsidP="00CB00A7">
      <w:pPr>
        <w:pStyle w:val="BodyText"/>
        <w:spacing w:before="250"/>
        <w:ind w:left="220"/>
        <w:jc w:val="left"/>
      </w:pPr>
      <w:r>
        <w:rPr>
          <w:u w:val="single"/>
        </w:rPr>
        <w:t>XELJANZ</w:t>
      </w:r>
      <w:r>
        <w:rPr>
          <w:spacing w:val="-15"/>
          <w:u w:val="single"/>
        </w:rPr>
        <w:t xml:space="preserve"> </w:t>
      </w:r>
      <w:r>
        <w:rPr>
          <w:u w:val="single"/>
        </w:rPr>
        <w:t>1</w:t>
      </w:r>
      <w:r>
        <w:rPr>
          <w:spacing w:val="-16"/>
          <w:u w:val="single"/>
        </w:rPr>
        <w:t xml:space="preserve"> </w:t>
      </w:r>
      <w:r>
        <w:rPr>
          <w:u w:val="single"/>
        </w:rPr>
        <w:t>mg/mL</w:t>
      </w:r>
      <w:r>
        <w:rPr>
          <w:spacing w:val="15"/>
          <w:u w:val="single"/>
        </w:rPr>
        <w:t xml:space="preserve"> </w:t>
      </w:r>
      <w:r>
        <w:rPr>
          <w:u w:val="single"/>
        </w:rPr>
        <w:t>oral</w:t>
      </w:r>
      <w:r>
        <w:rPr>
          <w:spacing w:val="6"/>
          <w:u w:val="single"/>
        </w:rPr>
        <w:t xml:space="preserve"> </w:t>
      </w:r>
      <w:r>
        <w:rPr>
          <w:spacing w:val="-2"/>
          <w:u w:val="single"/>
        </w:rPr>
        <w:t>solution</w:t>
      </w:r>
    </w:p>
    <w:p w14:paraId="0D4B1E02" w14:textId="77777777" w:rsidR="001825E2" w:rsidRDefault="000839A5" w:rsidP="00CB00A7">
      <w:pPr>
        <w:pStyle w:val="BodyText"/>
        <w:spacing w:before="118" w:line="235" w:lineRule="auto"/>
        <w:ind w:left="220" w:right="228"/>
        <w:jc w:val="left"/>
      </w:pPr>
      <w:r>
        <w:t>Each 1</w:t>
      </w:r>
      <w:r>
        <w:rPr>
          <w:spacing w:val="-2"/>
        </w:rPr>
        <w:t xml:space="preserve"> </w:t>
      </w:r>
      <w:r>
        <w:t>mL of oral solution contains 1.62</w:t>
      </w:r>
      <w:r>
        <w:rPr>
          <w:spacing w:val="-2"/>
        </w:rPr>
        <w:t xml:space="preserve"> </w:t>
      </w:r>
      <w:r>
        <w:t>mg of tofacitinib citrate equivalent to 1</w:t>
      </w:r>
      <w:r>
        <w:rPr>
          <w:spacing w:val="-2"/>
        </w:rPr>
        <w:t xml:space="preserve"> </w:t>
      </w:r>
      <w:r>
        <w:t>mg of tofacitinib free base active pharmaceutical</w:t>
      </w:r>
      <w:r>
        <w:rPr>
          <w:spacing w:val="40"/>
        </w:rPr>
        <w:t xml:space="preserve"> </w:t>
      </w:r>
      <w:r>
        <w:t>ingredient.</w:t>
      </w:r>
    </w:p>
    <w:p w14:paraId="15CAED19" w14:textId="77777777" w:rsidR="001825E2" w:rsidRDefault="000839A5" w:rsidP="00CB00A7">
      <w:pPr>
        <w:spacing w:before="250"/>
        <w:ind w:left="220"/>
        <w:rPr>
          <w:i/>
          <w:sz w:val="24"/>
        </w:rPr>
      </w:pPr>
      <w:r>
        <w:rPr>
          <w:i/>
          <w:sz w:val="24"/>
        </w:rPr>
        <w:t>Excipients</w:t>
      </w:r>
      <w:r>
        <w:rPr>
          <w:i/>
          <w:spacing w:val="12"/>
          <w:sz w:val="24"/>
        </w:rPr>
        <w:t xml:space="preserve"> </w:t>
      </w:r>
      <w:r>
        <w:rPr>
          <w:i/>
          <w:sz w:val="24"/>
        </w:rPr>
        <w:t>with</w:t>
      </w:r>
      <w:r>
        <w:rPr>
          <w:i/>
          <w:spacing w:val="-9"/>
          <w:sz w:val="24"/>
        </w:rPr>
        <w:t xml:space="preserve"> </w:t>
      </w:r>
      <w:r>
        <w:rPr>
          <w:i/>
          <w:sz w:val="24"/>
        </w:rPr>
        <w:t>known</w:t>
      </w:r>
      <w:r>
        <w:rPr>
          <w:i/>
          <w:spacing w:val="-9"/>
          <w:sz w:val="24"/>
        </w:rPr>
        <w:t xml:space="preserve"> </w:t>
      </w:r>
      <w:r>
        <w:rPr>
          <w:i/>
          <w:spacing w:val="-2"/>
          <w:sz w:val="24"/>
        </w:rPr>
        <w:t>effect</w:t>
      </w:r>
    </w:p>
    <w:p w14:paraId="24F69EAB" w14:textId="77777777" w:rsidR="001825E2" w:rsidRDefault="000839A5" w:rsidP="00CB00A7">
      <w:pPr>
        <w:pStyle w:val="BodyText"/>
        <w:spacing w:before="114"/>
        <w:ind w:left="220"/>
        <w:jc w:val="left"/>
      </w:pPr>
      <w:r>
        <w:t>Contains</w:t>
      </w:r>
      <w:r>
        <w:rPr>
          <w:spacing w:val="-11"/>
        </w:rPr>
        <w:t xml:space="preserve"> </w:t>
      </w:r>
      <w:r>
        <w:t>sucralose</w:t>
      </w:r>
      <w:r>
        <w:rPr>
          <w:spacing w:val="5"/>
        </w:rPr>
        <w:t xml:space="preserve"> </w:t>
      </w:r>
      <w:r>
        <w:t>and</w:t>
      </w:r>
      <w:r>
        <w:rPr>
          <w:spacing w:val="7"/>
        </w:rPr>
        <w:t xml:space="preserve"> </w:t>
      </w:r>
      <w:r>
        <w:rPr>
          <w:spacing w:val="-2"/>
        </w:rPr>
        <w:t>benzoates.</w:t>
      </w:r>
    </w:p>
    <w:p w14:paraId="2431BDA5" w14:textId="77777777" w:rsidR="001825E2" w:rsidRDefault="000839A5" w:rsidP="00CB00A7">
      <w:pPr>
        <w:pStyle w:val="BodyText"/>
        <w:spacing w:before="249"/>
        <w:ind w:left="220"/>
        <w:jc w:val="left"/>
      </w:pPr>
      <w:r>
        <w:t>For</w:t>
      </w:r>
      <w:r>
        <w:rPr>
          <w:spacing w:val="-8"/>
        </w:rPr>
        <w:t xml:space="preserve"> </w:t>
      </w:r>
      <w:r>
        <w:t>the</w:t>
      </w:r>
      <w:r>
        <w:rPr>
          <w:spacing w:val="-6"/>
        </w:rPr>
        <w:t xml:space="preserve"> </w:t>
      </w:r>
      <w:r>
        <w:t>full</w:t>
      </w:r>
      <w:r>
        <w:rPr>
          <w:spacing w:val="-10"/>
        </w:rPr>
        <w:t xml:space="preserve"> </w:t>
      </w:r>
      <w:r>
        <w:t>list</w:t>
      </w:r>
      <w:r>
        <w:rPr>
          <w:spacing w:val="19"/>
        </w:rPr>
        <w:t xml:space="preserve"> </w:t>
      </w:r>
      <w:r>
        <w:t>of</w:t>
      </w:r>
      <w:r>
        <w:rPr>
          <w:spacing w:val="-8"/>
        </w:rPr>
        <w:t xml:space="preserve"> </w:t>
      </w:r>
      <w:r>
        <w:t>excipients,</w:t>
      </w:r>
      <w:r>
        <w:rPr>
          <w:spacing w:val="11"/>
        </w:rPr>
        <w:t xml:space="preserve"> </w:t>
      </w:r>
      <w:r>
        <w:t>see</w:t>
      </w:r>
      <w:r>
        <w:rPr>
          <w:spacing w:val="-5"/>
        </w:rPr>
        <w:t xml:space="preserve"> </w:t>
      </w:r>
      <w:r>
        <w:t>Section</w:t>
      </w:r>
      <w:r>
        <w:rPr>
          <w:spacing w:val="-4"/>
        </w:rPr>
        <w:t xml:space="preserve"> </w:t>
      </w:r>
      <w:r>
        <w:t>6.1</w:t>
      </w:r>
      <w:r>
        <w:rPr>
          <w:spacing w:val="-3"/>
        </w:rPr>
        <w:t xml:space="preserve"> </w:t>
      </w:r>
      <w:r>
        <w:t>List</w:t>
      </w:r>
      <w:r>
        <w:rPr>
          <w:spacing w:val="4"/>
        </w:rPr>
        <w:t xml:space="preserve"> </w:t>
      </w:r>
      <w:r>
        <w:t>of</w:t>
      </w:r>
      <w:r>
        <w:rPr>
          <w:spacing w:val="7"/>
        </w:rPr>
        <w:t xml:space="preserve"> </w:t>
      </w:r>
      <w:r>
        <w:rPr>
          <w:spacing w:val="-2"/>
        </w:rPr>
        <w:t>excipients.</w:t>
      </w:r>
    </w:p>
    <w:p w14:paraId="23452D46" w14:textId="77777777" w:rsidR="001825E2" w:rsidRDefault="001825E2" w:rsidP="00CB00A7">
      <w:pPr>
        <w:sectPr w:rsidR="001825E2">
          <w:headerReference w:type="default" r:id="rId8"/>
          <w:footerReference w:type="default" r:id="rId9"/>
          <w:type w:val="continuous"/>
          <w:pgSz w:w="11910" w:h="16850"/>
          <w:pgMar w:top="1420" w:right="1220" w:bottom="980" w:left="1220" w:header="0" w:footer="785" w:gutter="0"/>
          <w:pgNumType w:start="1"/>
          <w:cols w:space="720"/>
        </w:sectPr>
      </w:pPr>
    </w:p>
    <w:p w14:paraId="2FE6911A" w14:textId="77777777" w:rsidR="001825E2" w:rsidRDefault="000839A5" w:rsidP="00CB00A7">
      <w:pPr>
        <w:pStyle w:val="Heading1"/>
        <w:numPr>
          <w:ilvl w:val="0"/>
          <w:numId w:val="11"/>
        </w:numPr>
        <w:tabs>
          <w:tab w:val="left" w:pos="939"/>
        </w:tabs>
        <w:spacing w:before="68"/>
        <w:ind w:hanging="719"/>
      </w:pPr>
      <w:bookmarkStart w:id="5" w:name="3_PHARMACEUTICAL_FORM_"/>
      <w:bookmarkStart w:id="6" w:name="4_CLINICAL_PARTICULARS_"/>
      <w:bookmarkEnd w:id="5"/>
      <w:bookmarkEnd w:id="6"/>
      <w:r>
        <w:lastRenderedPageBreak/>
        <w:t>PHARMACEUTICAL</w:t>
      </w:r>
      <w:r>
        <w:rPr>
          <w:spacing w:val="-1"/>
        </w:rPr>
        <w:t xml:space="preserve"> </w:t>
      </w:r>
      <w:r>
        <w:rPr>
          <w:spacing w:val="-4"/>
        </w:rPr>
        <w:t>FORM</w:t>
      </w:r>
    </w:p>
    <w:p w14:paraId="3B594E8A" w14:textId="77777777" w:rsidR="001825E2" w:rsidRDefault="000839A5" w:rsidP="00CB00A7">
      <w:pPr>
        <w:pStyle w:val="BodyText"/>
        <w:spacing w:before="241"/>
        <w:ind w:left="220"/>
        <w:jc w:val="left"/>
      </w:pPr>
      <w:r>
        <w:rPr>
          <w:u w:val="single"/>
        </w:rPr>
        <w:t>XELJANZ</w:t>
      </w:r>
      <w:r>
        <w:rPr>
          <w:spacing w:val="-13"/>
          <w:u w:val="single"/>
        </w:rPr>
        <w:t xml:space="preserve"> </w:t>
      </w:r>
      <w:r>
        <w:rPr>
          <w:u w:val="single"/>
        </w:rPr>
        <w:t>5</w:t>
      </w:r>
      <w:r>
        <w:rPr>
          <w:spacing w:val="-16"/>
          <w:u w:val="single"/>
        </w:rPr>
        <w:t xml:space="preserve"> </w:t>
      </w:r>
      <w:r>
        <w:rPr>
          <w:u w:val="single"/>
        </w:rPr>
        <w:t>mg</w:t>
      </w:r>
      <w:r>
        <w:rPr>
          <w:spacing w:val="14"/>
          <w:u w:val="single"/>
        </w:rPr>
        <w:t xml:space="preserve"> </w:t>
      </w:r>
      <w:r>
        <w:rPr>
          <w:u w:val="single"/>
        </w:rPr>
        <w:t xml:space="preserve">film-coated </w:t>
      </w:r>
      <w:r>
        <w:rPr>
          <w:spacing w:val="-2"/>
          <w:u w:val="single"/>
        </w:rPr>
        <w:t>tablet</w:t>
      </w:r>
    </w:p>
    <w:p w14:paraId="6C26D188" w14:textId="77777777" w:rsidR="001825E2" w:rsidRDefault="000839A5" w:rsidP="00CB00A7">
      <w:pPr>
        <w:pStyle w:val="BodyText"/>
        <w:spacing w:before="253" w:line="235" w:lineRule="auto"/>
        <w:ind w:left="220" w:right="218"/>
        <w:jc w:val="left"/>
      </w:pPr>
      <w:r>
        <w:t>White, round, immediate release, tablet debossed with “Pfizer” on one side, and “JKI 5” on the other side.</w:t>
      </w:r>
    </w:p>
    <w:p w14:paraId="28414099" w14:textId="77777777" w:rsidR="001825E2" w:rsidRDefault="000839A5" w:rsidP="00CB00A7">
      <w:pPr>
        <w:pStyle w:val="BodyText"/>
        <w:spacing w:before="250"/>
        <w:ind w:left="220"/>
        <w:jc w:val="left"/>
      </w:pPr>
      <w:bookmarkStart w:id="7" w:name="4.1_THERAPEUTIC_INDICATIONS"/>
      <w:bookmarkEnd w:id="7"/>
      <w:r>
        <w:rPr>
          <w:u w:val="single"/>
        </w:rPr>
        <w:t>XELJANZ</w:t>
      </w:r>
      <w:r>
        <w:rPr>
          <w:spacing w:val="-13"/>
          <w:u w:val="single"/>
        </w:rPr>
        <w:t xml:space="preserve"> </w:t>
      </w:r>
      <w:r>
        <w:rPr>
          <w:u w:val="single"/>
        </w:rPr>
        <w:t>10</w:t>
      </w:r>
      <w:r>
        <w:rPr>
          <w:spacing w:val="-15"/>
          <w:u w:val="single"/>
        </w:rPr>
        <w:t xml:space="preserve"> </w:t>
      </w:r>
      <w:r>
        <w:rPr>
          <w:u w:val="single"/>
        </w:rPr>
        <w:t>mg</w:t>
      </w:r>
      <w:r>
        <w:rPr>
          <w:spacing w:val="14"/>
          <w:u w:val="single"/>
        </w:rPr>
        <w:t xml:space="preserve"> </w:t>
      </w:r>
      <w:r>
        <w:rPr>
          <w:u w:val="single"/>
        </w:rPr>
        <w:t xml:space="preserve">film-coated </w:t>
      </w:r>
      <w:r>
        <w:rPr>
          <w:spacing w:val="-2"/>
          <w:u w:val="single"/>
        </w:rPr>
        <w:t>tablet</w:t>
      </w:r>
    </w:p>
    <w:p w14:paraId="6A580087" w14:textId="77777777" w:rsidR="001825E2" w:rsidRDefault="000839A5" w:rsidP="00CB00A7">
      <w:pPr>
        <w:pStyle w:val="BodyText"/>
        <w:spacing w:before="118" w:line="235" w:lineRule="auto"/>
        <w:ind w:left="220" w:right="219"/>
        <w:jc w:val="left"/>
      </w:pPr>
      <w:r>
        <w:t>Blue, round, immediate release, tablet debossed with “Pfizer” on one side, and “JKI 10” on the other side.</w:t>
      </w:r>
    </w:p>
    <w:p w14:paraId="4D1917CE" w14:textId="77777777" w:rsidR="001825E2" w:rsidRDefault="000839A5" w:rsidP="00CB00A7">
      <w:pPr>
        <w:pStyle w:val="BodyText"/>
        <w:spacing w:before="250"/>
        <w:ind w:left="220"/>
        <w:jc w:val="left"/>
      </w:pPr>
      <w:r>
        <w:rPr>
          <w:u w:val="single"/>
        </w:rPr>
        <w:t>XELJANZ</w:t>
      </w:r>
      <w:r>
        <w:rPr>
          <w:spacing w:val="-12"/>
          <w:u w:val="single"/>
        </w:rPr>
        <w:t xml:space="preserve"> </w:t>
      </w:r>
      <w:r>
        <w:rPr>
          <w:u w:val="single"/>
        </w:rPr>
        <w:t>XR</w:t>
      </w:r>
      <w:r>
        <w:rPr>
          <w:spacing w:val="-11"/>
          <w:u w:val="single"/>
        </w:rPr>
        <w:t xml:space="preserve"> </w:t>
      </w:r>
      <w:r>
        <w:rPr>
          <w:u w:val="single"/>
        </w:rPr>
        <w:t>11</w:t>
      </w:r>
      <w:r>
        <w:rPr>
          <w:spacing w:val="-16"/>
          <w:u w:val="single"/>
        </w:rPr>
        <w:t xml:space="preserve"> </w:t>
      </w:r>
      <w:r>
        <w:rPr>
          <w:u w:val="single"/>
        </w:rPr>
        <w:t>mg</w:t>
      </w:r>
      <w:r>
        <w:rPr>
          <w:spacing w:val="14"/>
          <w:u w:val="single"/>
        </w:rPr>
        <w:t xml:space="preserve"> </w:t>
      </w:r>
      <w:proofErr w:type="gramStart"/>
      <w:r>
        <w:rPr>
          <w:u w:val="single"/>
        </w:rPr>
        <w:t>extended release</w:t>
      </w:r>
      <w:proofErr w:type="gramEnd"/>
      <w:r>
        <w:rPr>
          <w:spacing w:val="-2"/>
          <w:u w:val="single"/>
        </w:rPr>
        <w:t xml:space="preserve"> </w:t>
      </w:r>
      <w:r>
        <w:rPr>
          <w:u w:val="single"/>
        </w:rPr>
        <w:t>film-coated</w:t>
      </w:r>
      <w:r>
        <w:rPr>
          <w:spacing w:val="15"/>
          <w:u w:val="single"/>
        </w:rPr>
        <w:t xml:space="preserve"> </w:t>
      </w:r>
      <w:r>
        <w:rPr>
          <w:spacing w:val="-2"/>
          <w:u w:val="single"/>
        </w:rPr>
        <w:t>tablet</w:t>
      </w:r>
    </w:p>
    <w:p w14:paraId="56B30EBB" w14:textId="77777777" w:rsidR="001825E2" w:rsidRDefault="000839A5" w:rsidP="00CB00A7">
      <w:pPr>
        <w:pStyle w:val="BodyText"/>
        <w:spacing w:before="114" w:line="247" w:lineRule="auto"/>
        <w:ind w:left="219" w:right="216"/>
        <w:jc w:val="left"/>
      </w:pPr>
      <w:r>
        <w:t>Pink,</w:t>
      </w:r>
      <w:r>
        <w:rPr>
          <w:spacing w:val="-3"/>
        </w:rPr>
        <w:t xml:space="preserve"> </w:t>
      </w:r>
      <w:r>
        <w:t>oval tablet with</w:t>
      </w:r>
      <w:r>
        <w:rPr>
          <w:spacing w:val="-3"/>
        </w:rPr>
        <w:t xml:space="preserve"> </w:t>
      </w:r>
      <w:r>
        <w:t>a</w:t>
      </w:r>
      <w:r>
        <w:rPr>
          <w:spacing w:val="-5"/>
        </w:rPr>
        <w:t xml:space="preserve"> </w:t>
      </w:r>
      <w:r>
        <w:t>drilled hole</w:t>
      </w:r>
      <w:r>
        <w:rPr>
          <w:spacing w:val="-5"/>
        </w:rPr>
        <w:t xml:space="preserve"> </w:t>
      </w:r>
      <w:r>
        <w:t>at one</w:t>
      </w:r>
      <w:r>
        <w:rPr>
          <w:spacing w:val="-5"/>
        </w:rPr>
        <w:t xml:space="preserve"> </w:t>
      </w:r>
      <w:r>
        <w:t>end of the</w:t>
      </w:r>
      <w:r>
        <w:rPr>
          <w:spacing w:val="-5"/>
        </w:rPr>
        <w:t xml:space="preserve"> </w:t>
      </w:r>
      <w:r>
        <w:t>tablet band and “JKI 11”</w:t>
      </w:r>
      <w:r>
        <w:rPr>
          <w:spacing w:val="-5"/>
        </w:rPr>
        <w:t xml:space="preserve"> </w:t>
      </w:r>
      <w:r>
        <w:t>printed on</w:t>
      </w:r>
      <w:r>
        <w:rPr>
          <w:spacing w:val="-3"/>
        </w:rPr>
        <w:t xml:space="preserve"> </w:t>
      </w:r>
      <w:r>
        <w:t>one side of the tablet.</w:t>
      </w:r>
    </w:p>
    <w:p w14:paraId="2E48EE0E" w14:textId="77777777" w:rsidR="001825E2" w:rsidRDefault="000839A5" w:rsidP="00CB00A7">
      <w:pPr>
        <w:pStyle w:val="BodyText"/>
        <w:spacing w:before="226" w:line="338" w:lineRule="auto"/>
        <w:ind w:left="220" w:right="5993"/>
        <w:jc w:val="left"/>
      </w:pPr>
      <w:r>
        <w:rPr>
          <w:u w:val="single"/>
        </w:rPr>
        <w:t>XELJANZ</w:t>
      </w:r>
      <w:r>
        <w:rPr>
          <w:spacing w:val="-15"/>
          <w:u w:val="single"/>
        </w:rPr>
        <w:t xml:space="preserve"> </w:t>
      </w:r>
      <w:r>
        <w:rPr>
          <w:u w:val="single"/>
        </w:rPr>
        <w:t>1</w:t>
      </w:r>
      <w:r>
        <w:rPr>
          <w:spacing w:val="-15"/>
          <w:u w:val="single"/>
        </w:rPr>
        <w:t xml:space="preserve"> </w:t>
      </w:r>
      <w:r>
        <w:rPr>
          <w:u w:val="single"/>
        </w:rPr>
        <w:t>mg/mL</w:t>
      </w:r>
      <w:r>
        <w:rPr>
          <w:spacing w:val="-14"/>
          <w:u w:val="single"/>
        </w:rPr>
        <w:t xml:space="preserve"> </w:t>
      </w:r>
      <w:r>
        <w:rPr>
          <w:u w:val="single"/>
        </w:rPr>
        <w:t>oral</w:t>
      </w:r>
      <w:r>
        <w:rPr>
          <w:spacing w:val="-6"/>
          <w:u w:val="single"/>
        </w:rPr>
        <w:t xml:space="preserve"> </w:t>
      </w:r>
      <w:r>
        <w:rPr>
          <w:u w:val="single"/>
        </w:rPr>
        <w:t>solution</w:t>
      </w:r>
      <w:r>
        <w:t xml:space="preserve"> </w:t>
      </w:r>
      <w:bookmarkStart w:id="8" w:name="Ulcerative_Colitis_"/>
      <w:bookmarkEnd w:id="8"/>
      <w:r>
        <w:t xml:space="preserve">Clear, </w:t>
      </w:r>
      <w:proofErr w:type="spellStart"/>
      <w:r>
        <w:t>colourless</w:t>
      </w:r>
      <w:proofErr w:type="spellEnd"/>
      <w:r>
        <w:t xml:space="preserve"> solution</w:t>
      </w:r>
    </w:p>
    <w:p w14:paraId="3EE16BEC" w14:textId="77777777" w:rsidR="001825E2" w:rsidRDefault="000839A5" w:rsidP="00CB00A7">
      <w:pPr>
        <w:pStyle w:val="Heading1"/>
        <w:numPr>
          <w:ilvl w:val="0"/>
          <w:numId w:val="11"/>
        </w:numPr>
        <w:tabs>
          <w:tab w:val="left" w:pos="939"/>
        </w:tabs>
        <w:spacing w:before="250"/>
        <w:ind w:hanging="719"/>
      </w:pPr>
      <w:r>
        <w:t xml:space="preserve">CLINICAL </w:t>
      </w:r>
      <w:r>
        <w:rPr>
          <w:spacing w:val="-2"/>
        </w:rPr>
        <w:t>PARTICULARS</w:t>
      </w:r>
    </w:p>
    <w:p w14:paraId="68F61898" w14:textId="77777777" w:rsidR="001825E2" w:rsidRDefault="000839A5" w:rsidP="00CB00A7">
      <w:pPr>
        <w:pStyle w:val="BodyText"/>
        <w:spacing w:before="240" w:line="242" w:lineRule="auto"/>
        <w:ind w:left="218" w:right="234" w:firstLine="1"/>
        <w:jc w:val="left"/>
      </w:pPr>
      <w:r>
        <w:t>Information in this section for the rheumatoid arthritis and psoriatic arthritis indications is applicable to XELJANZ 5 mg twice daily and XELJANZ XR 11 mg once daily as they contain the same active ingredient (tofacitinib).</w:t>
      </w:r>
    </w:p>
    <w:p w14:paraId="441A7395" w14:textId="77777777" w:rsidR="001825E2" w:rsidRDefault="000839A5" w:rsidP="00CB00A7">
      <w:pPr>
        <w:pStyle w:val="Heading2"/>
        <w:numPr>
          <w:ilvl w:val="1"/>
          <w:numId w:val="11"/>
        </w:numPr>
        <w:tabs>
          <w:tab w:val="left" w:pos="638"/>
        </w:tabs>
        <w:spacing w:before="237"/>
        <w:ind w:left="638" w:hanging="418"/>
      </w:pPr>
      <w:r>
        <w:t>Therapeutic</w:t>
      </w:r>
      <w:r>
        <w:rPr>
          <w:spacing w:val="-20"/>
        </w:rPr>
        <w:t xml:space="preserve"> </w:t>
      </w:r>
      <w:r>
        <w:rPr>
          <w:spacing w:val="-2"/>
        </w:rPr>
        <w:t>Indications</w:t>
      </w:r>
    </w:p>
    <w:p w14:paraId="45D0F857" w14:textId="77777777" w:rsidR="001825E2" w:rsidRDefault="000839A5" w:rsidP="00CB00A7">
      <w:pPr>
        <w:pStyle w:val="Heading4"/>
        <w:spacing w:before="240"/>
        <w:jc w:val="left"/>
      </w:pPr>
      <w:r>
        <w:t>Rheumatoid</w:t>
      </w:r>
      <w:r>
        <w:rPr>
          <w:spacing w:val="-14"/>
        </w:rPr>
        <w:t xml:space="preserve"> </w:t>
      </w:r>
      <w:r>
        <w:t>Arthritis</w:t>
      </w:r>
      <w:r>
        <w:rPr>
          <w:spacing w:val="7"/>
        </w:rPr>
        <w:t xml:space="preserve"> </w:t>
      </w:r>
      <w:r>
        <w:rPr>
          <w:spacing w:val="-4"/>
        </w:rPr>
        <w:t>(RA)</w:t>
      </w:r>
    </w:p>
    <w:p w14:paraId="7CD3F9F1" w14:textId="77777777" w:rsidR="001825E2" w:rsidRDefault="000839A5" w:rsidP="00CB00A7">
      <w:pPr>
        <w:pStyle w:val="BodyText"/>
        <w:spacing w:before="114" w:line="242" w:lineRule="auto"/>
        <w:ind w:left="219" w:right="216"/>
        <w:jc w:val="left"/>
      </w:pPr>
      <w:r>
        <w:t xml:space="preserve">XELJANZ and XELJANZ XR are indicated for the treatment of moderate to severe active </w:t>
      </w:r>
      <w:bookmarkStart w:id="9" w:name="Ankylosing_Spondylitis_"/>
      <w:bookmarkEnd w:id="9"/>
      <w:r>
        <w:t xml:space="preserve">rheumatoid arthritis in adults who have had an inadequate response or are intolerant to methotrexate. XELJANZ and XELJANZ XR can be used alone or in combination with conventional synthetic disease-modifying antirheumatic drugs (DMARDs), including </w:t>
      </w:r>
      <w:r>
        <w:rPr>
          <w:spacing w:val="-2"/>
        </w:rPr>
        <w:t>methotrexate.</w:t>
      </w:r>
    </w:p>
    <w:p w14:paraId="6B2898AC" w14:textId="77777777" w:rsidR="001825E2" w:rsidRDefault="000839A5" w:rsidP="00CB00A7">
      <w:pPr>
        <w:pStyle w:val="Heading4"/>
        <w:spacing w:before="226"/>
        <w:ind w:left="219"/>
        <w:jc w:val="left"/>
      </w:pPr>
      <w:r>
        <w:t>Psoriatic</w:t>
      </w:r>
      <w:r>
        <w:rPr>
          <w:spacing w:val="-3"/>
        </w:rPr>
        <w:t xml:space="preserve"> </w:t>
      </w:r>
      <w:r>
        <w:t>Arthritis</w:t>
      </w:r>
      <w:r>
        <w:rPr>
          <w:spacing w:val="-2"/>
        </w:rPr>
        <w:t xml:space="preserve"> </w:t>
      </w:r>
      <w:r>
        <w:rPr>
          <w:spacing w:val="-4"/>
        </w:rPr>
        <w:t>(PsA)</w:t>
      </w:r>
    </w:p>
    <w:p w14:paraId="0F75DDB9" w14:textId="77777777" w:rsidR="001825E2" w:rsidRDefault="000839A5" w:rsidP="00CB00A7">
      <w:pPr>
        <w:pStyle w:val="BodyText"/>
        <w:spacing w:before="129" w:line="242" w:lineRule="auto"/>
        <w:ind w:left="218" w:right="204"/>
        <w:jc w:val="left"/>
      </w:pPr>
      <w:r>
        <w:t>XELJANZ and XELJANZ XR in combination with conventional synthetic DMARDs are indicated for the treatment of active psoriatic arthritis in adult patients who have had an inadequate response to a prior DMARD therapy.</w:t>
      </w:r>
    </w:p>
    <w:p w14:paraId="37C7B097" w14:textId="77777777" w:rsidR="001825E2" w:rsidRDefault="000839A5" w:rsidP="00CB00A7">
      <w:pPr>
        <w:pStyle w:val="Heading4"/>
        <w:spacing w:before="229"/>
        <w:ind w:left="218"/>
        <w:jc w:val="left"/>
      </w:pPr>
      <w:r>
        <w:t>Ulcerative</w:t>
      </w:r>
      <w:r>
        <w:rPr>
          <w:spacing w:val="-2"/>
        </w:rPr>
        <w:t xml:space="preserve"> </w:t>
      </w:r>
      <w:r>
        <w:t>Colitis</w:t>
      </w:r>
      <w:r>
        <w:rPr>
          <w:spacing w:val="-10"/>
        </w:rPr>
        <w:t xml:space="preserve"> </w:t>
      </w:r>
      <w:r>
        <w:rPr>
          <w:spacing w:val="-4"/>
        </w:rPr>
        <w:t>(UC)</w:t>
      </w:r>
    </w:p>
    <w:p w14:paraId="02CE550B" w14:textId="77777777" w:rsidR="001825E2" w:rsidRDefault="000839A5" w:rsidP="00CB00A7">
      <w:pPr>
        <w:pStyle w:val="BodyText"/>
        <w:spacing w:before="114" w:line="242" w:lineRule="auto"/>
        <w:ind w:left="218" w:right="205"/>
        <w:jc w:val="left"/>
      </w:pPr>
      <w:r>
        <w:t>XELJANZ is indicated for</w:t>
      </w:r>
      <w:r>
        <w:rPr>
          <w:spacing w:val="-7"/>
        </w:rPr>
        <w:t xml:space="preserve"> </w:t>
      </w:r>
      <w:r>
        <w:t>the treatment of adult patients</w:t>
      </w:r>
      <w:r>
        <w:rPr>
          <w:spacing w:val="-5"/>
        </w:rPr>
        <w:t xml:space="preserve"> </w:t>
      </w:r>
      <w:r>
        <w:t>with moderately to severely active ulcerative colitis who have had an inadequate response, lost response, or were intolerant to either conventional therapy or a biological therapy.</w:t>
      </w:r>
    </w:p>
    <w:p w14:paraId="40A145B6" w14:textId="77777777" w:rsidR="001825E2" w:rsidRDefault="000839A5" w:rsidP="00CB00A7">
      <w:pPr>
        <w:pStyle w:val="Heading4"/>
        <w:spacing w:before="244"/>
        <w:ind w:left="218"/>
        <w:jc w:val="left"/>
      </w:pPr>
      <w:r>
        <w:t>Ankylosing</w:t>
      </w:r>
      <w:r>
        <w:rPr>
          <w:spacing w:val="-7"/>
        </w:rPr>
        <w:t xml:space="preserve"> </w:t>
      </w:r>
      <w:r>
        <w:t>Spondylitis</w:t>
      </w:r>
      <w:r>
        <w:rPr>
          <w:spacing w:val="4"/>
        </w:rPr>
        <w:t xml:space="preserve"> </w:t>
      </w:r>
      <w:r>
        <w:rPr>
          <w:spacing w:val="-4"/>
        </w:rPr>
        <w:t>(AS)</w:t>
      </w:r>
    </w:p>
    <w:p w14:paraId="05FC323C" w14:textId="77777777" w:rsidR="001825E2" w:rsidRDefault="000839A5" w:rsidP="00CB00A7">
      <w:pPr>
        <w:pStyle w:val="BodyText"/>
        <w:spacing w:before="118" w:line="235" w:lineRule="auto"/>
        <w:ind w:left="218" w:right="231"/>
        <w:jc w:val="left"/>
      </w:pPr>
      <w:r>
        <w:t>XELJANZ is indicated for the treatment of adult patients with active ankylosing spondylitis who have responded inadequately to conventional therapy.</w:t>
      </w:r>
    </w:p>
    <w:p w14:paraId="371FED7B" w14:textId="77777777" w:rsidR="001825E2" w:rsidRDefault="001825E2" w:rsidP="00CB00A7">
      <w:pPr>
        <w:spacing w:line="235" w:lineRule="auto"/>
        <w:sectPr w:rsidR="001825E2">
          <w:pgSz w:w="11910" w:h="16850"/>
          <w:pgMar w:top="1360" w:right="1220" w:bottom="980" w:left="1220" w:header="0" w:footer="785" w:gutter="0"/>
          <w:cols w:space="720"/>
        </w:sectPr>
      </w:pPr>
    </w:p>
    <w:p w14:paraId="5EE65EAC" w14:textId="77777777" w:rsidR="001825E2" w:rsidRDefault="000839A5" w:rsidP="00CB00A7">
      <w:pPr>
        <w:pStyle w:val="Heading4"/>
        <w:spacing w:before="76"/>
        <w:jc w:val="left"/>
      </w:pPr>
      <w:bookmarkStart w:id="10" w:name="4.2_Dose_and_Method_of_Administration"/>
      <w:bookmarkStart w:id="11" w:name="Important_Administration_Instructions"/>
      <w:bookmarkStart w:id="12" w:name="Method_of_Administration"/>
      <w:bookmarkStart w:id="13" w:name="Dosage"/>
      <w:bookmarkStart w:id="14" w:name="Recommended_Dosage_in_Rheumatoid_Arthrit"/>
      <w:bookmarkEnd w:id="10"/>
      <w:bookmarkEnd w:id="11"/>
      <w:bookmarkEnd w:id="12"/>
      <w:bookmarkEnd w:id="13"/>
      <w:bookmarkEnd w:id="14"/>
      <w:r>
        <w:lastRenderedPageBreak/>
        <w:t>Juvenile</w:t>
      </w:r>
      <w:r>
        <w:rPr>
          <w:spacing w:val="-9"/>
        </w:rPr>
        <w:t xml:space="preserve"> </w:t>
      </w:r>
      <w:r>
        <w:t>Idiopathic</w:t>
      </w:r>
      <w:r>
        <w:rPr>
          <w:spacing w:val="3"/>
        </w:rPr>
        <w:t xml:space="preserve"> </w:t>
      </w:r>
      <w:r>
        <w:t>Arthritis</w:t>
      </w:r>
      <w:r>
        <w:rPr>
          <w:spacing w:val="1"/>
        </w:rPr>
        <w:t xml:space="preserve"> </w:t>
      </w:r>
      <w:r>
        <w:rPr>
          <w:spacing w:val="-4"/>
        </w:rPr>
        <w:t>(JIA)</w:t>
      </w:r>
    </w:p>
    <w:p w14:paraId="46CAE844" w14:textId="77777777" w:rsidR="001825E2" w:rsidRDefault="000839A5" w:rsidP="00CB00A7">
      <w:pPr>
        <w:pStyle w:val="BodyText"/>
        <w:spacing w:before="114" w:line="242" w:lineRule="auto"/>
        <w:ind w:left="219" w:right="218"/>
        <w:jc w:val="left"/>
      </w:pPr>
      <w:r>
        <w:t xml:space="preserve">XELJANZ is indicated for the treatment of active polyarticular course juvenile idiopathic arthritis (rheumatoid factor positive [RF+] or negative [RF-] polyarthritis, extended </w:t>
      </w:r>
      <w:proofErr w:type="spellStart"/>
      <w:r>
        <w:t>oligoarthritis</w:t>
      </w:r>
      <w:proofErr w:type="spellEnd"/>
      <w:r>
        <w:t xml:space="preserve"> and systemic juvenile arthritis without systemic features for six months) and juvenile psoriatic arthritis in patients 2</w:t>
      </w:r>
      <w:r>
        <w:rPr>
          <w:spacing w:val="-3"/>
        </w:rPr>
        <w:t xml:space="preserve"> </w:t>
      </w:r>
      <w:r>
        <w:t>years of age and older, who have responded inadequately to previous therapy with DMARDs.</w:t>
      </w:r>
    </w:p>
    <w:p w14:paraId="713D553D" w14:textId="77777777" w:rsidR="001825E2" w:rsidRDefault="000839A5" w:rsidP="00CB00A7">
      <w:pPr>
        <w:pStyle w:val="Heading2"/>
        <w:numPr>
          <w:ilvl w:val="1"/>
          <w:numId w:val="11"/>
        </w:numPr>
        <w:tabs>
          <w:tab w:val="left" w:pos="638"/>
        </w:tabs>
        <w:spacing w:before="219"/>
        <w:ind w:left="638" w:hanging="418"/>
      </w:pPr>
      <w:r>
        <w:t>Dose</w:t>
      </w:r>
      <w:r>
        <w:rPr>
          <w:spacing w:val="-5"/>
        </w:rPr>
        <w:t xml:space="preserve"> </w:t>
      </w:r>
      <w:r>
        <w:t>and</w:t>
      </w:r>
      <w:r>
        <w:rPr>
          <w:spacing w:val="-8"/>
        </w:rPr>
        <w:t xml:space="preserve"> </w:t>
      </w:r>
      <w:r>
        <w:t>Method</w:t>
      </w:r>
      <w:r>
        <w:rPr>
          <w:spacing w:val="-7"/>
        </w:rPr>
        <w:t xml:space="preserve"> </w:t>
      </w:r>
      <w:r>
        <w:t>of</w:t>
      </w:r>
      <w:r>
        <w:rPr>
          <w:spacing w:val="-3"/>
        </w:rPr>
        <w:t xml:space="preserve"> </w:t>
      </w:r>
      <w:r>
        <w:rPr>
          <w:spacing w:val="-2"/>
        </w:rPr>
        <w:t>Administration</w:t>
      </w:r>
    </w:p>
    <w:p w14:paraId="58FBEB83" w14:textId="77777777" w:rsidR="001825E2" w:rsidRDefault="000839A5" w:rsidP="00CB00A7">
      <w:pPr>
        <w:pStyle w:val="BodyText"/>
        <w:spacing w:before="255" w:line="242" w:lineRule="auto"/>
        <w:ind w:left="219" w:right="207"/>
        <w:jc w:val="left"/>
      </w:pPr>
      <w:r>
        <w:t>Therapy with XELJANZ</w:t>
      </w:r>
      <w:r>
        <w:rPr>
          <w:spacing w:val="-2"/>
        </w:rPr>
        <w:t xml:space="preserve"> </w:t>
      </w:r>
      <w:r>
        <w:t>or XELJANZ</w:t>
      </w:r>
      <w:r>
        <w:rPr>
          <w:spacing w:val="-2"/>
        </w:rPr>
        <w:t xml:space="preserve"> </w:t>
      </w:r>
      <w:r>
        <w:t>XR should be initiated and monitored by a</w:t>
      </w:r>
      <w:r>
        <w:rPr>
          <w:spacing w:val="-7"/>
        </w:rPr>
        <w:t xml:space="preserve"> </w:t>
      </w:r>
      <w:r>
        <w:t>specialist physician</w:t>
      </w:r>
      <w:r>
        <w:rPr>
          <w:spacing w:val="-1"/>
        </w:rPr>
        <w:t xml:space="preserve"> </w:t>
      </w:r>
      <w:r>
        <w:t>with</w:t>
      </w:r>
      <w:r>
        <w:rPr>
          <w:spacing w:val="-1"/>
        </w:rPr>
        <w:t xml:space="preserve"> </w:t>
      </w:r>
      <w:r>
        <w:t>expertise</w:t>
      </w:r>
      <w:r>
        <w:rPr>
          <w:spacing w:val="-3"/>
        </w:rPr>
        <w:t xml:space="preserve"> </w:t>
      </w:r>
      <w:r>
        <w:t>in</w:t>
      </w:r>
      <w:r>
        <w:rPr>
          <w:spacing w:val="-1"/>
        </w:rPr>
        <w:t xml:space="preserve"> </w:t>
      </w:r>
      <w:r>
        <w:t>the</w:t>
      </w:r>
      <w:r>
        <w:rPr>
          <w:spacing w:val="-3"/>
        </w:rPr>
        <w:t xml:space="preserve"> </w:t>
      </w:r>
      <w:r>
        <w:t>management of conditions</w:t>
      </w:r>
      <w:r>
        <w:rPr>
          <w:spacing w:val="-5"/>
        </w:rPr>
        <w:t xml:space="preserve"> </w:t>
      </w:r>
      <w:r>
        <w:t>for</w:t>
      </w:r>
      <w:r>
        <w:rPr>
          <w:spacing w:val="-6"/>
        </w:rPr>
        <w:t xml:space="preserve"> </w:t>
      </w:r>
      <w:r>
        <w:t>which</w:t>
      </w:r>
      <w:r>
        <w:rPr>
          <w:spacing w:val="-1"/>
        </w:rPr>
        <w:t xml:space="preserve"> </w:t>
      </w:r>
      <w:r>
        <w:t>XELJANZ or</w:t>
      </w:r>
      <w:r>
        <w:rPr>
          <w:spacing w:val="-6"/>
        </w:rPr>
        <w:t xml:space="preserve"> </w:t>
      </w:r>
      <w:r>
        <w:t>XELJANZ XR are indicated (e.g., rheumatologist</w:t>
      </w:r>
      <w:r>
        <w:rPr>
          <w:spacing w:val="40"/>
        </w:rPr>
        <w:t xml:space="preserve"> </w:t>
      </w:r>
      <w:r>
        <w:t>or gastroenterologist).</w:t>
      </w:r>
    </w:p>
    <w:p w14:paraId="5386DF39" w14:textId="77777777" w:rsidR="001825E2" w:rsidRDefault="000839A5" w:rsidP="00CB00A7">
      <w:pPr>
        <w:pStyle w:val="Heading4"/>
        <w:spacing w:before="229"/>
        <w:ind w:left="218"/>
        <w:jc w:val="left"/>
      </w:pPr>
      <w:r>
        <w:t>Important</w:t>
      </w:r>
      <w:r>
        <w:rPr>
          <w:spacing w:val="-9"/>
        </w:rPr>
        <w:t xml:space="preserve"> </w:t>
      </w:r>
      <w:r>
        <w:t>Administration</w:t>
      </w:r>
      <w:r>
        <w:rPr>
          <w:spacing w:val="-3"/>
        </w:rPr>
        <w:t xml:space="preserve"> </w:t>
      </w:r>
      <w:r>
        <w:rPr>
          <w:spacing w:val="-2"/>
        </w:rPr>
        <w:t>Instructions</w:t>
      </w:r>
    </w:p>
    <w:p w14:paraId="782E775A" w14:textId="77777777" w:rsidR="001825E2" w:rsidRDefault="000839A5" w:rsidP="00CB00A7">
      <w:pPr>
        <w:pStyle w:val="ListParagraph"/>
        <w:numPr>
          <w:ilvl w:val="2"/>
          <w:numId w:val="11"/>
        </w:numPr>
        <w:tabs>
          <w:tab w:val="left" w:pos="638"/>
        </w:tabs>
        <w:spacing w:before="131" w:line="235" w:lineRule="auto"/>
        <w:ind w:right="218"/>
        <w:jc w:val="left"/>
        <w:rPr>
          <w:sz w:val="24"/>
        </w:rPr>
      </w:pPr>
      <w:r>
        <w:rPr>
          <w:sz w:val="24"/>
        </w:rPr>
        <w:t>Do not initiate XELJANZ or XELJANZ XR in patients with an absolute lymphocyte count (ALC)</w:t>
      </w:r>
      <w:r>
        <w:rPr>
          <w:spacing w:val="-6"/>
          <w:sz w:val="24"/>
        </w:rPr>
        <w:t xml:space="preserve"> </w:t>
      </w:r>
      <w:r>
        <w:rPr>
          <w:sz w:val="24"/>
        </w:rPr>
        <w:t>less</w:t>
      </w:r>
      <w:r>
        <w:rPr>
          <w:spacing w:val="-5"/>
          <w:sz w:val="24"/>
        </w:rPr>
        <w:t xml:space="preserve"> </w:t>
      </w:r>
      <w:r>
        <w:rPr>
          <w:sz w:val="24"/>
        </w:rPr>
        <w:t>than</w:t>
      </w:r>
      <w:r>
        <w:rPr>
          <w:spacing w:val="-1"/>
          <w:sz w:val="24"/>
        </w:rPr>
        <w:t xml:space="preserve"> </w:t>
      </w:r>
      <w:r>
        <w:rPr>
          <w:sz w:val="24"/>
        </w:rPr>
        <w:t>0.75 x</w:t>
      </w:r>
      <w:r>
        <w:rPr>
          <w:spacing w:val="-1"/>
          <w:sz w:val="24"/>
        </w:rPr>
        <w:t xml:space="preserve"> </w:t>
      </w:r>
      <w:r>
        <w:rPr>
          <w:sz w:val="24"/>
        </w:rPr>
        <w:t>10</w:t>
      </w:r>
      <w:r>
        <w:rPr>
          <w:position w:val="7"/>
          <w:sz w:val="16"/>
        </w:rPr>
        <w:t>9</w:t>
      </w:r>
      <w:r>
        <w:rPr>
          <w:spacing w:val="26"/>
          <w:position w:val="7"/>
          <w:sz w:val="16"/>
        </w:rPr>
        <w:t xml:space="preserve"> </w:t>
      </w:r>
      <w:r>
        <w:rPr>
          <w:sz w:val="24"/>
        </w:rPr>
        <w:t>cells/L, an</w:t>
      </w:r>
      <w:r>
        <w:rPr>
          <w:spacing w:val="-1"/>
          <w:sz w:val="24"/>
        </w:rPr>
        <w:t xml:space="preserve"> </w:t>
      </w:r>
      <w:r>
        <w:rPr>
          <w:sz w:val="24"/>
        </w:rPr>
        <w:t>absolute</w:t>
      </w:r>
      <w:r>
        <w:rPr>
          <w:spacing w:val="-3"/>
          <w:sz w:val="24"/>
        </w:rPr>
        <w:t xml:space="preserve"> </w:t>
      </w:r>
      <w:r>
        <w:rPr>
          <w:sz w:val="24"/>
        </w:rPr>
        <w:t>neutrophil count (ANC)</w:t>
      </w:r>
      <w:r>
        <w:rPr>
          <w:spacing w:val="-7"/>
          <w:sz w:val="24"/>
        </w:rPr>
        <w:t xml:space="preserve"> </w:t>
      </w:r>
      <w:r>
        <w:rPr>
          <w:sz w:val="24"/>
        </w:rPr>
        <w:t>less than</w:t>
      </w:r>
      <w:r>
        <w:rPr>
          <w:spacing w:val="-1"/>
          <w:sz w:val="24"/>
        </w:rPr>
        <w:t xml:space="preserve"> </w:t>
      </w:r>
      <w:r>
        <w:rPr>
          <w:sz w:val="24"/>
        </w:rPr>
        <w:t>1 x 10</w:t>
      </w:r>
      <w:r>
        <w:rPr>
          <w:position w:val="7"/>
          <w:sz w:val="16"/>
        </w:rPr>
        <w:t xml:space="preserve">9 </w:t>
      </w:r>
      <w:r>
        <w:rPr>
          <w:sz w:val="24"/>
        </w:rPr>
        <w:t>cells/L</w:t>
      </w:r>
      <w:r>
        <w:rPr>
          <w:spacing w:val="40"/>
          <w:sz w:val="24"/>
        </w:rPr>
        <w:t xml:space="preserve"> </w:t>
      </w:r>
      <w:r>
        <w:rPr>
          <w:sz w:val="24"/>
        </w:rPr>
        <w:t xml:space="preserve">or who have </w:t>
      </w:r>
      <w:proofErr w:type="spellStart"/>
      <w:r>
        <w:rPr>
          <w:sz w:val="24"/>
        </w:rPr>
        <w:t>haemoglobin</w:t>
      </w:r>
      <w:proofErr w:type="spellEnd"/>
      <w:r>
        <w:rPr>
          <w:spacing w:val="40"/>
          <w:sz w:val="24"/>
        </w:rPr>
        <w:t xml:space="preserve"> </w:t>
      </w:r>
      <w:r>
        <w:rPr>
          <w:sz w:val="24"/>
        </w:rPr>
        <w:t>levels less than 90 g/L.</w:t>
      </w:r>
    </w:p>
    <w:p w14:paraId="29A5BC3F" w14:textId="77777777" w:rsidR="001825E2" w:rsidRDefault="000839A5" w:rsidP="00CB00A7">
      <w:pPr>
        <w:pStyle w:val="ListParagraph"/>
        <w:numPr>
          <w:ilvl w:val="2"/>
          <w:numId w:val="11"/>
        </w:numPr>
        <w:tabs>
          <w:tab w:val="left" w:pos="639"/>
        </w:tabs>
        <w:spacing w:before="131" w:line="235" w:lineRule="auto"/>
        <w:ind w:left="639" w:right="234"/>
        <w:jc w:val="left"/>
        <w:rPr>
          <w:sz w:val="24"/>
        </w:rPr>
      </w:pPr>
      <w:r>
        <w:rPr>
          <w:sz w:val="24"/>
        </w:rPr>
        <w:t xml:space="preserve">Dose adjustment or interruption is recommended for management of lymphopenia, neutropenia, and </w:t>
      </w:r>
      <w:proofErr w:type="spellStart"/>
      <w:r>
        <w:rPr>
          <w:sz w:val="24"/>
        </w:rPr>
        <w:t>anaemia</w:t>
      </w:r>
      <w:proofErr w:type="spellEnd"/>
      <w:r>
        <w:rPr>
          <w:sz w:val="24"/>
        </w:rPr>
        <w:t xml:space="preserve"> (see Section 4.4 Special Warnings and Precautions </w:t>
      </w:r>
      <w:proofErr w:type="gramStart"/>
      <w:r>
        <w:rPr>
          <w:sz w:val="24"/>
        </w:rPr>
        <w:t>For</w:t>
      </w:r>
      <w:proofErr w:type="gramEnd"/>
      <w:r>
        <w:rPr>
          <w:sz w:val="24"/>
        </w:rPr>
        <w:t xml:space="preserve"> Use)</w:t>
      </w:r>
    </w:p>
    <w:p w14:paraId="56337CCD" w14:textId="77777777" w:rsidR="001825E2" w:rsidRDefault="000839A5" w:rsidP="00CB00A7">
      <w:pPr>
        <w:pStyle w:val="ListParagraph"/>
        <w:numPr>
          <w:ilvl w:val="2"/>
          <w:numId w:val="11"/>
        </w:numPr>
        <w:tabs>
          <w:tab w:val="left" w:pos="638"/>
        </w:tabs>
        <w:spacing w:before="132" w:line="235" w:lineRule="auto"/>
        <w:ind w:right="234"/>
        <w:jc w:val="left"/>
        <w:rPr>
          <w:sz w:val="24"/>
        </w:rPr>
      </w:pPr>
      <w:r>
        <w:rPr>
          <w:sz w:val="24"/>
        </w:rPr>
        <w:t>Interrupt use of XELJANZ or XELJANZ XR if a patient develops a serious infection until the infection is controlled.</w:t>
      </w:r>
    </w:p>
    <w:p w14:paraId="10479BFE" w14:textId="77777777" w:rsidR="001825E2" w:rsidRDefault="000839A5" w:rsidP="00CB00A7">
      <w:pPr>
        <w:pStyle w:val="ListParagraph"/>
        <w:numPr>
          <w:ilvl w:val="2"/>
          <w:numId w:val="11"/>
        </w:numPr>
        <w:tabs>
          <w:tab w:val="left" w:pos="636"/>
        </w:tabs>
        <w:spacing w:before="129" w:line="237" w:lineRule="auto"/>
        <w:ind w:left="636" w:right="216" w:hanging="419"/>
        <w:jc w:val="left"/>
        <w:rPr>
          <w:sz w:val="24"/>
        </w:rPr>
      </w:pPr>
      <w:r>
        <w:rPr>
          <w:sz w:val="24"/>
        </w:rPr>
        <w:t xml:space="preserve">Assess patients for thrombotic risk factors before starting treatment and periodically during treatment. Avoid XELJANZ or XELJANZ XR in patients at risk. Discontinue XELJANZ and promptly evaluate patients with signs and symptoms of thrombosis, regardless of dose or indication (see Section 4.4 Special Warnings and Precautions for </w:t>
      </w:r>
      <w:r>
        <w:rPr>
          <w:spacing w:val="-2"/>
          <w:sz w:val="24"/>
        </w:rPr>
        <w:t>Use).</w:t>
      </w:r>
    </w:p>
    <w:p w14:paraId="263818BF" w14:textId="77777777" w:rsidR="001825E2" w:rsidRDefault="000839A5" w:rsidP="00CB00A7">
      <w:pPr>
        <w:pStyle w:val="Heading4"/>
        <w:spacing w:before="251"/>
        <w:ind w:left="216"/>
        <w:jc w:val="left"/>
      </w:pPr>
      <w:r>
        <w:t>Method</w:t>
      </w:r>
      <w:r>
        <w:rPr>
          <w:spacing w:val="8"/>
        </w:rPr>
        <w:t xml:space="preserve"> </w:t>
      </w:r>
      <w:r>
        <w:t>of</w:t>
      </w:r>
      <w:r>
        <w:rPr>
          <w:spacing w:val="-10"/>
        </w:rPr>
        <w:t xml:space="preserve"> </w:t>
      </w:r>
      <w:r>
        <w:rPr>
          <w:spacing w:val="-2"/>
        </w:rPr>
        <w:t>Administration</w:t>
      </w:r>
    </w:p>
    <w:p w14:paraId="511A1713" w14:textId="77777777" w:rsidR="001825E2" w:rsidRDefault="000839A5" w:rsidP="00CB00A7">
      <w:pPr>
        <w:pStyle w:val="BodyText"/>
        <w:spacing w:before="114"/>
        <w:ind w:left="216"/>
        <w:jc w:val="left"/>
      </w:pPr>
      <w:r>
        <w:t>XELJANZ</w:t>
      </w:r>
      <w:r>
        <w:rPr>
          <w:spacing w:val="-11"/>
        </w:rPr>
        <w:t xml:space="preserve"> </w:t>
      </w:r>
      <w:r>
        <w:t>and</w:t>
      </w:r>
      <w:r>
        <w:rPr>
          <w:spacing w:val="1"/>
        </w:rPr>
        <w:t xml:space="preserve"> </w:t>
      </w:r>
      <w:r>
        <w:t>XELJANZ</w:t>
      </w:r>
      <w:r>
        <w:rPr>
          <w:spacing w:val="-10"/>
        </w:rPr>
        <w:t xml:space="preserve"> </w:t>
      </w:r>
      <w:r>
        <w:t>XR</w:t>
      </w:r>
      <w:r>
        <w:rPr>
          <w:spacing w:val="-9"/>
        </w:rPr>
        <w:t xml:space="preserve"> </w:t>
      </w:r>
      <w:r>
        <w:t>are</w:t>
      </w:r>
      <w:r>
        <w:rPr>
          <w:spacing w:val="-15"/>
        </w:rPr>
        <w:t xml:space="preserve"> </w:t>
      </w:r>
      <w:r>
        <w:t>given</w:t>
      </w:r>
      <w:r>
        <w:rPr>
          <w:spacing w:val="17"/>
        </w:rPr>
        <w:t xml:space="preserve"> </w:t>
      </w:r>
      <w:r>
        <w:t>orally</w:t>
      </w:r>
      <w:r>
        <w:rPr>
          <w:spacing w:val="18"/>
        </w:rPr>
        <w:t xml:space="preserve"> </w:t>
      </w:r>
      <w:r>
        <w:t>with</w:t>
      </w:r>
      <w:r>
        <w:rPr>
          <w:spacing w:val="2"/>
        </w:rPr>
        <w:t xml:space="preserve"> </w:t>
      </w:r>
      <w:r>
        <w:t>or</w:t>
      </w:r>
      <w:r>
        <w:rPr>
          <w:spacing w:val="-2"/>
        </w:rPr>
        <w:t xml:space="preserve"> </w:t>
      </w:r>
      <w:r>
        <w:t>without</w:t>
      </w:r>
      <w:r>
        <w:rPr>
          <w:spacing w:val="-5"/>
        </w:rPr>
        <w:t xml:space="preserve"> </w:t>
      </w:r>
      <w:r>
        <w:rPr>
          <w:spacing w:val="-2"/>
        </w:rPr>
        <w:t>food.</w:t>
      </w:r>
    </w:p>
    <w:p w14:paraId="70F41CE0" w14:textId="77777777" w:rsidR="001825E2" w:rsidRDefault="000839A5" w:rsidP="00CB00A7">
      <w:pPr>
        <w:pStyle w:val="BodyText"/>
        <w:spacing w:before="249"/>
        <w:ind w:left="216"/>
        <w:jc w:val="left"/>
      </w:pPr>
      <w:r>
        <w:t>Swallow</w:t>
      </w:r>
      <w:r>
        <w:rPr>
          <w:spacing w:val="6"/>
        </w:rPr>
        <w:t xml:space="preserve"> </w:t>
      </w:r>
      <w:r>
        <w:t>XELJANZ</w:t>
      </w:r>
      <w:r>
        <w:rPr>
          <w:spacing w:val="-12"/>
        </w:rPr>
        <w:t xml:space="preserve"> </w:t>
      </w:r>
      <w:r>
        <w:t>XR</w:t>
      </w:r>
      <w:r>
        <w:rPr>
          <w:spacing w:val="-11"/>
        </w:rPr>
        <w:t xml:space="preserve"> </w:t>
      </w:r>
      <w:r>
        <w:t>tablets</w:t>
      </w:r>
      <w:r>
        <w:rPr>
          <w:spacing w:val="-19"/>
        </w:rPr>
        <w:t xml:space="preserve"> </w:t>
      </w:r>
      <w:r>
        <w:t>whole</w:t>
      </w:r>
      <w:r>
        <w:rPr>
          <w:spacing w:val="-2"/>
        </w:rPr>
        <w:t xml:space="preserve"> </w:t>
      </w:r>
      <w:r>
        <w:t>and</w:t>
      </w:r>
      <w:r>
        <w:rPr>
          <w:spacing w:val="15"/>
        </w:rPr>
        <w:t xml:space="preserve"> </w:t>
      </w:r>
      <w:r>
        <w:t>intact.</w:t>
      </w:r>
      <w:r>
        <w:rPr>
          <w:spacing w:val="-15"/>
        </w:rPr>
        <w:t xml:space="preserve"> </w:t>
      </w:r>
      <w:r>
        <w:t>Do not</w:t>
      </w:r>
      <w:r>
        <w:rPr>
          <w:spacing w:val="-7"/>
        </w:rPr>
        <w:t xml:space="preserve"> </w:t>
      </w:r>
      <w:r>
        <w:t>crush,</w:t>
      </w:r>
      <w:r>
        <w:rPr>
          <w:spacing w:val="15"/>
        </w:rPr>
        <w:t xml:space="preserve"> </w:t>
      </w:r>
      <w:proofErr w:type="gramStart"/>
      <w:r>
        <w:t>split</w:t>
      </w:r>
      <w:proofErr w:type="gramEnd"/>
      <w:r>
        <w:rPr>
          <w:spacing w:val="8"/>
        </w:rPr>
        <w:t xml:space="preserve"> </w:t>
      </w:r>
      <w:r>
        <w:t>or</w:t>
      </w:r>
      <w:r>
        <w:rPr>
          <w:spacing w:val="11"/>
        </w:rPr>
        <w:t xml:space="preserve"> </w:t>
      </w:r>
      <w:r>
        <w:rPr>
          <w:spacing w:val="-2"/>
        </w:rPr>
        <w:t>chew.</w:t>
      </w:r>
    </w:p>
    <w:p w14:paraId="6004A992" w14:textId="77777777" w:rsidR="001825E2" w:rsidRDefault="000839A5" w:rsidP="00CB00A7">
      <w:pPr>
        <w:pStyle w:val="Heading4"/>
        <w:spacing w:before="234"/>
        <w:ind w:left="216"/>
        <w:jc w:val="left"/>
      </w:pPr>
      <w:r>
        <w:rPr>
          <w:spacing w:val="-2"/>
        </w:rPr>
        <w:t>Dosage</w:t>
      </w:r>
    </w:p>
    <w:p w14:paraId="2DEA2AF8" w14:textId="77777777" w:rsidR="001825E2" w:rsidRDefault="000839A5" w:rsidP="00CB00A7">
      <w:pPr>
        <w:spacing w:before="114" w:line="247" w:lineRule="auto"/>
        <w:ind w:left="220"/>
        <w:rPr>
          <w:i/>
          <w:sz w:val="24"/>
        </w:rPr>
      </w:pPr>
      <w:r>
        <w:rPr>
          <w:i/>
          <w:sz w:val="24"/>
          <w:u w:val="single"/>
        </w:rPr>
        <w:t>Recommended</w:t>
      </w:r>
      <w:r>
        <w:rPr>
          <w:i/>
          <w:spacing w:val="80"/>
          <w:w w:val="150"/>
          <w:sz w:val="24"/>
          <w:u w:val="single"/>
        </w:rPr>
        <w:t xml:space="preserve"> </w:t>
      </w:r>
      <w:r>
        <w:rPr>
          <w:i/>
          <w:sz w:val="24"/>
          <w:u w:val="single"/>
        </w:rPr>
        <w:t>Dosage</w:t>
      </w:r>
      <w:r>
        <w:rPr>
          <w:i/>
          <w:spacing w:val="80"/>
          <w:w w:val="150"/>
          <w:sz w:val="24"/>
          <w:u w:val="single"/>
        </w:rPr>
        <w:t xml:space="preserve"> </w:t>
      </w:r>
      <w:r>
        <w:rPr>
          <w:i/>
          <w:sz w:val="24"/>
          <w:u w:val="single"/>
        </w:rPr>
        <w:t>in</w:t>
      </w:r>
      <w:r>
        <w:rPr>
          <w:i/>
          <w:spacing w:val="80"/>
          <w:w w:val="150"/>
          <w:sz w:val="24"/>
          <w:u w:val="single"/>
        </w:rPr>
        <w:t xml:space="preserve"> </w:t>
      </w:r>
      <w:r>
        <w:rPr>
          <w:i/>
          <w:sz w:val="24"/>
          <w:u w:val="single"/>
        </w:rPr>
        <w:t>Rheumatoid</w:t>
      </w:r>
      <w:r>
        <w:rPr>
          <w:i/>
          <w:spacing w:val="80"/>
          <w:w w:val="150"/>
          <w:sz w:val="24"/>
          <w:u w:val="single"/>
        </w:rPr>
        <w:t xml:space="preserve"> </w:t>
      </w:r>
      <w:r>
        <w:rPr>
          <w:i/>
          <w:sz w:val="24"/>
          <w:u w:val="single"/>
        </w:rPr>
        <w:t>Arthritis,</w:t>
      </w:r>
      <w:r>
        <w:rPr>
          <w:i/>
          <w:spacing w:val="80"/>
          <w:w w:val="150"/>
          <w:sz w:val="24"/>
          <w:u w:val="single"/>
        </w:rPr>
        <w:t xml:space="preserve"> </w:t>
      </w:r>
      <w:r>
        <w:rPr>
          <w:i/>
          <w:sz w:val="24"/>
          <w:u w:val="single"/>
        </w:rPr>
        <w:t>Psoriatic</w:t>
      </w:r>
      <w:r>
        <w:rPr>
          <w:i/>
          <w:spacing w:val="80"/>
          <w:w w:val="150"/>
          <w:sz w:val="24"/>
          <w:u w:val="single"/>
        </w:rPr>
        <w:t xml:space="preserve"> </w:t>
      </w:r>
      <w:r>
        <w:rPr>
          <w:i/>
          <w:sz w:val="24"/>
          <w:u w:val="single"/>
        </w:rPr>
        <w:t>Arthritis</w:t>
      </w:r>
      <w:r>
        <w:rPr>
          <w:i/>
          <w:spacing w:val="80"/>
          <w:w w:val="150"/>
          <w:sz w:val="24"/>
          <w:u w:val="single"/>
        </w:rPr>
        <w:t xml:space="preserve"> </w:t>
      </w:r>
      <w:r>
        <w:rPr>
          <w:i/>
          <w:sz w:val="24"/>
          <w:u w:val="single"/>
        </w:rPr>
        <w:t>and</w:t>
      </w:r>
      <w:r>
        <w:rPr>
          <w:i/>
          <w:spacing w:val="80"/>
          <w:w w:val="150"/>
          <w:sz w:val="24"/>
          <w:u w:val="single"/>
        </w:rPr>
        <w:t xml:space="preserve"> </w:t>
      </w:r>
      <w:r>
        <w:rPr>
          <w:i/>
          <w:sz w:val="24"/>
          <w:u w:val="single"/>
        </w:rPr>
        <w:t>Ankylosing</w:t>
      </w:r>
      <w:r>
        <w:rPr>
          <w:i/>
          <w:sz w:val="24"/>
        </w:rPr>
        <w:t xml:space="preserve"> </w:t>
      </w:r>
      <w:r>
        <w:rPr>
          <w:i/>
          <w:spacing w:val="-2"/>
          <w:sz w:val="24"/>
          <w:u w:val="single"/>
        </w:rPr>
        <w:t>Spondylitis</w:t>
      </w:r>
    </w:p>
    <w:p w14:paraId="0B7F3946" w14:textId="77777777" w:rsidR="001825E2" w:rsidRDefault="000839A5" w:rsidP="00CB00A7">
      <w:pPr>
        <w:pStyle w:val="BodyText"/>
        <w:spacing w:before="106" w:line="247" w:lineRule="auto"/>
        <w:ind w:left="219"/>
        <w:jc w:val="left"/>
      </w:pPr>
      <w:r>
        <w:t>The</w:t>
      </w:r>
      <w:r>
        <w:rPr>
          <w:spacing w:val="-9"/>
        </w:rPr>
        <w:t xml:space="preserve"> </w:t>
      </w:r>
      <w:r>
        <w:t>recommended adult</w:t>
      </w:r>
      <w:r>
        <w:rPr>
          <w:spacing w:val="-12"/>
        </w:rPr>
        <w:t xml:space="preserve"> </w:t>
      </w:r>
      <w:r>
        <w:t>daily</w:t>
      </w:r>
      <w:r>
        <w:rPr>
          <w:spacing w:val="-6"/>
        </w:rPr>
        <w:t xml:space="preserve"> </w:t>
      </w:r>
      <w:r>
        <w:t>dosage</w:t>
      </w:r>
      <w:r>
        <w:rPr>
          <w:spacing w:val="-8"/>
        </w:rPr>
        <w:t xml:space="preserve"> </w:t>
      </w:r>
      <w:r>
        <w:t>of XELJANZ</w:t>
      </w:r>
      <w:r>
        <w:rPr>
          <w:spacing w:val="-15"/>
        </w:rPr>
        <w:t xml:space="preserve"> </w:t>
      </w:r>
      <w:r>
        <w:t>for</w:t>
      </w:r>
      <w:r>
        <w:rPr>
          <w:spacing w:val="-10"/>
        </w:rPr>
        <w:t xml:space="preserve"> </w:t>
      </w:r>
      <w:r>
        <w:t>rheumatoid arthritis,</w:t>
      </w:r>
      <w:r>
        <w:rPr>
          <w:spacing w:val="-6"/>
        </w:rPr>
        <w:t xml:space="preserve"> </w:t>
      </w:r>
      <w:r>
        <w:t>psoriatic</w:t>
      </w:r>
      <w:r>
        <w:rPr>
          <w:spacing w:val="-8"/>
        </w:rPr>
        <w:t xml:space="preserve"> </w:t>
      </w:r>
      <w:r>
        <w:t>arthritis and ankylosing spondylitis is 5 mg twice</w:t>
      </w:r>
      <w:r>
        <w:rPr>
          <w:spacing w:val="-5"/>
        </w:rPr>
        <w:t xml:space="preserve"> </w:t>
      </w:r>
      <w:r>
        <w:t>daily.</w:t>
      </w:r>
    </w:p>
    <w:p w14:paraId="2AC4E95B" w14:textId="77777777" w:rsidR="001825E2" w:rsidRDefault="000839A5" w:rsidP="00CB00A7">
      <w:pPr>
        <w:pStyle w:val="BodyText"/>
        <w:spacing w:before="227" w:line="242" w:lineRule="auto"/>
        <w:ind w:left="218" w:right="214"/>
        <w:jc w:val="left"/>
      </w:pPr>
      <w:r>
        <w:t xml:space="preserve">A dosage of XELJANZ 10 mg twice daily is not recommended for the treatment of rheumatoid arthritis, psoriatic </w:t>
      </w:r>
      <w:proofErr w:type="gramStart"/>
      <w:r>
        <w:t>arthritis</w:t>
      </w:r>
      <w:proofErr w:type="gramEnd"/>
      <w:r>
        <w:t xml:space="preserve"> or ankylosing spondylitis (see Section 4.4 Special Warnings and Precautions for Use).</w:t>
      </w:r>
    </w:p>
    <w:p w14:paraId="5F390101" w14:textId="77777777" w:rsidR="001825E2" w:rsidRDefault="000839A5" w:rsidP="00CB00A7">
      <w:pPr>
        <w:pStyle w:val="BodyText"/>
        <w:spacing w:before="228" w:line="247" w:lineRule="auto"/>
        <w:ind w:left="217"/>
        <w:jc w:val="left"/>
      </w:pPr>
      <w:r>
        <w:t>The recommended adult daily</w:t>
      </w:r>
      <w:r>
        <w:rPr>
          <w:spacing w:val="-5"/>
        </w:rPr>
        <w:t xml:space="preserve"> </w:t>
      </w:r>
      <w:r>
        <w:t>dosage</w:t>
      </w:r>
      <w:r>
        <w:rPr>
          <w:spacing w:val="-7"/>
        </w:rPr>
        <w:t xml:space="preserve"> </w:t>
      </w:r>
      <w:r>
        <w:t>of XELJANZ</w:t>
      </w:r>
      <w:r>
        <w:rPr>
          <w:spacing w:val="-2"/>
        </w:rPr>
        <w:t xml:space="preserve"> </w:t>
      </w:r>
      <w:r>
        <w:t>XR</w:t>
      </w:r>
      <w:r>
        <w:rPr>
          <w:spacing w:val="-15"/>
        </w:rPr>
        <w:t xml:space="preserve"> </w:t>
      </w:r>
      <w:r>
        <w:t>for</w:t>
      </w:r>
      <w:r>
        <w:rPr>
          <w:spacing w:val="-9"/>
        </w:rPr>
        <w:t xml:space="preserve"> </w:t>
      </w:r>
      <w:r>
        <w:t>rheumatoid arthritis and psoriatic arthritis is 11 mg once daily.</w:t>
      </w:r>
    </w:p>
    <w:p w14:paraId="28E85F01" w14:textId="77777777" w:rsidR="001825E2" w:rsidRDefault="001825E2" w:rsidP="00CB00A7">
      <w:pPr>
        <w:spacing w:line="247" w:lineRule="auto"/>
        <w:sectPr w:rsidR="001825E2">
          <w:pgSz w:w="11910" w:h="16850"/>
          <w:pgMar w:top="1360" w:right="1220" w:bottom="980" w:left="1220" w:header="0" w:footer="785" w:gutter="0"/>
          <w:cols w:space="720"/>
        </w:sectPr>
      </w:pPr>
    </w:p>
    <w:p w14:paraId="75916275" w14:textId="77777777" w:rsidR="001825E2" w:rsidRDefault="000839A5" w:rsidP="00CB00A7">
      <w:pPr>
        <w:pStyle w:val="BodyText"/>
        <w:spacing w:before="76" w:line="242" w:lineRule="auto"/>
        <w:ind w:left="218" w:right="218" w:firstLine="1"/>
        <w:jc w:val="left"/>
      </w:pPr>
      <w:bookmarkStart w:id="15" w:name="Switching_between_XELJANZ_tablets_and_XE"/>
      <w:bookmarkStart w:id="16" w:name="Dose_Discontinuation_in_AS"/>
      <w:bookmarkStart w:id="17" w:name="Recommended_Dosage_in_Ulcerative_Colitis"/>
      <w:bookmarkEnd w:id="15"/>
      <w:bookmarkEnd w:id="16"/>
      <w:bookmarkEnd w:id="17"/>
      <w:r>
        <w:lastRenderedPageBreak/>
        <w:t>XELJANZ and XELJANZ XR may be used as monotherapy or in combination with methotrexate (MTX) or other conventional synthetic DMARDs (</w:t>
      </w:r>
      <w:proofErr w:type="spellStart"/>
      <w:r>
        <w:t>csDMARDs</w:t>
      </w:r>
      <w:proofErr w:type="spellEnd"/>
      <w:r>
        <w:t xml:space="preserve">) in rheumatoid </w:t>
      </w:r>
      <w:r>
        <w:rPr>
          <w:spacing w:val="-2"/>
        </w:rPr>
        <w:t>arthritis.</w:t>
      </w:r>
    </w:p>
    <w:p w14:paraId="657B0C13" w14:textId="77777777" w:rsidR="001825E2" w:rsidRDefault="000839A5" w:rsidP="00CB00A7">
      <w:pPr>
        <w:pStyle w:val="BodyText"/>
        <w:spacing w:before="229" w:line="242" w:lineRule="auto"/>
        <w:ind w:left="217" w:right="205"/>
        <w:jc w:val="left"/>
      </w:pPr>
      <w:r>
        <w:t xml:space="preserve">XELJANZ and XELJANZ XR are used in combination with </w:t>
      </w:r>
      <w:proofErr w:type="spellStart"/>
      <w:r>
        <w:t>csDMARDs</w:t>
      </w:r>
      <w:proofErr w:type="spellEnd"/>
      <w:r>
        <w:t xml:space="preserve"> in psoriatic</w:t>
      </w:r>
      <w:r>
        <w:rPr>
          <w:spacing w:val="40"/>
        </w:rPr>
        <w:t xml:space="preserve"> </w:t>
      </w:r>
      <w:r>
        <w:t>arthritis. The efficacy of XELJANZ as monotherapy has not been studied in patients with psoriatic arthritis.</w:t>
      </w:r>
    </w:p>
    <w:p w14:paraId="3C8B328F" w14:textId="77777777" w:rsidR="001825E2" w:rsidRDefault="000839A5" w:rsidP="00CB00A7">
      <w:pPr>
        <w:spacing w:before="228"/>
        <w:ind w:left="220"/>
        <w:rPr>
          <w:i/>
          <w:sz w:val="24"/>
        </w:rPr>
      </w:pPr>
      <w:r>
        <w:rPr>
          <w:i/>
          <w:sz w:val="24"/>
          <w:u w:val="single"/>
        </w:rPr>
        <w:t>Switching</w:t>
      </w:r>
      <w:r>
        <w:rPr>
          <w:i/>
          <w:spacing w:val="-3"/>
          <w:sz w:val="24"/>
          <w:u w:val="single"/>
        </w:rPr>
        <w:t xml:space="preserve"> </w:t>
      </w:r>
      <w:r>
        <w:rPr>
          <w:i/>
          <w:sz w:val="24"/>
          <w:u w:val="single"/>
        </w:rPr>
        <w:t>between</w:t>
      </w:r>
      <w:r>
        <w:rPr>
          <w:i/>
          <w:spacing w:val="8"/>
          <w:sz w:val="24"/>
          <w:u w:val="single"/>
        </w:rPr>
        <w:t xml:space="preserve"> </w:t>
      </w:r>
      <w:r>
        <w:rPr>
          <w:i/>
          <w:sz w:val="24"/>
          <w:u w:val="single"/>
        </w:rPr>
        <w:t>XELJANZ</w:t>
      </w:r>
      <w:r>
        <w:rPr>
          <w:i/>
          <w:spacing w:val="-15"/>
          <w:sz w:val="24"/>
          <w:u w:val="single"/>
        </w:rPr>
        <w:t xml:space="preserve"> </w:t>
      </w:r>
      <w:r>
        <w:rPr>
          <w:i/>
          <w:sz w:val="24"/>
          <w:u w:val="single"/>
        </w:rPr>
        <w:t>tablets</w:t>
      </w:r>
      <w:r>
        <w:rPr>
          <w:i/>
          <w:spacing w:val="3"/>
          <w:sz w:val="24"/>
          <w:u w:val="single"/>
        </w:rPr>
        <w:t xml:space="preserve"> </w:t>
      </w:r>
      <w:r>
        <w:rPr>
          <w:i/>
          <w:sz w:val="24"/>
          <w:u w:val="single"/>
        </w:rPr>
        <w:t>and</w:t>
      </w:r>
      <w:r>
        <w:rPr>
          <w:i/>
          <w:spacing w:val="-6"/>
          <w:sz w:val="24"/>
          <w:u w:val="single"/>
        </w:rPr>
        <w:t xml:space="preserve"> </w:t>
      </w:r>
      <w:r>
        <w:rPr>
          <w:i/>
          <w:sz w:val="24"/>
          <w:u w:val="single"/>
        </w:rPr>
        <w:t>XELJANZ</w:t>
      </w:r>
      <w:r>
        <w:rPr>
          <w:i/>
          <w:spacing w:val="-15"/>
          <w:sz w:val="24"/>
          <w:u w:val="single"/>
        </w:rPr>
        <w:t xml:space="preserve"> </w:t>
      </w:r>
      <w:r>
        <w:rPr>
          <w:i/>
          <w:sz w:val="24"/>
          <w:u w:val="single"/>
        </w:rPr>
        <w:t>XR</w:t>
      </w:r>
      <w:r>
        <w:rPr>
          <w:i/>
          <w:spacing w:val="-3"/>
          <w:sz w:val="24"/>
          <w:u w:val="single"/>
        </w:rPr>
        <w:t xml:space="preserve"> </w:t>
      </w:r>
      <w:r>
        <w:rPr>
          <w:i/>
          <w:sz w:val="24"/>
          <w:u w:val="single"/>
        </w:rPr>
        <w:t>extended</w:t>
      </w:r>
      <w:r>
        <w:rPr>
          <w:i/>
          <w:spacing w:val="7"/>
          <w:sz w:val="24"/>
          <w:u w:val="single"/>
        </w:rPr>
        <w:t xml:space="preserve"> </w:t>
      </w:r>
      <w:r>
        <w:rPr>
          <w:i/>
          <w:sz w:val="24"/>
          <w:u w:val="single"/>
        </w:rPr>
        <w:t>release</w:t>
      </w:r>
      <w:r>
        <w:rPr>
          <w:i/>
          <w:spacing w:val="6"/>
          <w:sz w:val="24"/>
          <w:u w:val="single"/>
        </w:rPr>
        <w:t xml:space="preserve"> </w:t>
      </w:r>
      <w:proofErr w:type="gramStart"/>
      <w:r>
        <w:rPr>
          <w:i/>
          <w:spacing w:val="-2"/>
          <w:sz w:val="24"/>
          <w:u w:val="single"/>
        </w:rPr>
        <w:t>tablets</w:t>
      </w:r>
      <w:proofErr w:type="gramEnd"/>
    </w:p>
    <w:p w14:paraId="431F62E1" w14:textId="77777777" w:rsidR="001825E2" w:rsidRDefault="000839A5" w:rsidP="00CB00A7">
      <w:pPr>
        <w:pStyle w:val="BodyText"/>
        <w:spacing w:before="129"/>
        <w:ind w:left="219" w:right="218"/>
        <w:jc w:val="left"/>
      </w:pPr>
      <w:r>
        <w:t>XELJANZ XR 11</w:t>
      </w:r>
      <w:r>
        <w:rPr>
          <w:spacing w:val="-4"/>
        </w:rPr>
        <w:t xml:space="preserve"> </w:t>
      </w:r>
      <w:r>
        <w:t xml:space="preserve">mg once daily has demonstrated pharmacokinetic equivalence (AUC and </w:t>
      </w:r>
      <w:r>
        <w:rPr>
          <w:position w:val="1"/>
        </w:rPr>
        <w:t>C</w:t>
      </w:r>
      <w:r>
        <w:rPr>
          <w:sz w:val="16"/>
        </w:rPr>
        <w:t>max</w:t>
      </w:r>
      <w:r>
        <w:rPr>
          <w:position w:val="1"/>
        </w:rPr>
        <w:t>) to XELJANZ 5 mg</w:t>
      </w:r>
      <w:r>
        <w:rPr>
          <w:spacing w:val="40"/>
          <w:position w:val="1"/>
        </w:rPr>
        <w:t xml:space="preserve"> </w:t>
      </w:r>
      <w:r>
        <w:rPr>
          <w:position w:val="1"/>
        </w:rPr>
        <w:t>twice daily.</w:t>
      </w:r>
    </w:p>
    <w:p w14:paraId="26211DCB" w14:textId="77777777" w:rsidR="001825E2" w:rsidRDefault="000839A5" w:rsidP="00CB00A7">
      <w:pPr>
        <w:pStyle w:val="BodyText"/>
        <w:spacing w:before="248" w:line="235" w:lineRule="auto"/>
        <w:ind w:left="219" w:right="217"/>
        <w:jc w:val="left"/>
      </w:pPr>
      <w:r>
        <w:t>Treatment with XELJANZ 5</w:t>
      </w:r>
      <w:r>
        <w:rPr>
          <w:spacing w:val="-2"/>
        </w:rPr>
        <w:t xml:space="preserve"> </w:t>
      </w:r>
      <w:r>
        <w:t>mg tablets twice daily and XELJANZ XR once daily may be switched between</w:t>
      </w:r>
      <w:r>
        <w:rPr>
          <w:spacing w:val="-4"/>
        </w:rPr>
        <w:t xml:space="preserve"> </w:t>
      </w:r>
      <w:r>
        <w:t>each other</w:t>
      </w:r>
      <w:r>
        <w:rPr>
          <w:spacing w:val="-10"/>
        </w:rPr>
        <w:t xml:space="preserve"> </w:t>
      </w:r>
      <w:r>
        <w:t>on the day</w:t>
      </w:r>
      <w:r>
        <w:rPr>
          <w:spacing w:val="-4"/>
        </w:rPr>
        <w:t xml:space="preserve"> </w:t>
      </w:r>
      <w:r>
        <w:t>following the last dose of either tablet.</w:t>
      </w:r>
    </w:p>
    <w:p w14:paraId="5F80B63B" w14:textId="77777777" w:rsidR="001825E2" w:rsidRDefault="000839A5" w:rsidP="00CB00A7">
      <w:pPr>
        <w:spacing w:before="234"/>
        <w:ind w:left="220"/>
        <w:rPr>
          <w:i/>
          <w:sz w:val="24"/>
        </w:rPr>
      </w:pPr>
      <w:r>
        <w:rPr>
          <w:i/>
          <w:sz w:val="24"/>
          <w:u w:val="single"/>
        </w:rPr>
        <w:t>Dose</w:t>
      </w:r>
      <w:r>
        <w:rPr>
          <w:i/>
          <w:spacing w:val="-15"/>
          <w:sz w:val="24"/>
          <w:u w:val="single"/>
        </w:rPr>
        <w:t xml:space="preserve"> </w:t>
      </w:r>
      <w:r>
        <w:rPr>
          <w:i/>
          <w:sz w:val="24"/>
          <w:u w:val="single"/>
        </w:rPr>
        <w:t>Discontinuation</w:t>
      </w:r>
      <w:r>
        <w:rPr>
          <w:i/>
          <w:spacing w:val="14"/>
          <w:sz w:val="24"/>
          <w:u w:val="single"/>
        </w:rPr>
        <w:t xml:space="preserve"> </w:t>
      </w:r>
      <w:r>
        <w:rPr>
          <w:i/>
          <w:sz w:val="24"/>
          <w:u w:val="single"/>
        </w:rPr>
        <w:t>in</w:t>
      </w:r>
      <w:r>
        <w:rPr>
          <w:i/>
          <w:spacing w:val="1"/>
          <w:sz w:val="24"/>
          <w:u w:val="single"/>
        </w:rPr>
        <w:t xml:space="preserve"> </w:t>
      </w:r>
      <w:r>
        <w:rPr>
          <w:i/>
          <w:spacing w:val="-5"/>
          <w:sz w:val="24"/>
          <w:u w:val="single"/>
        </w:rPr>
        <w:t>AS</w:t>
      </w:r>
    </w:p>
    <w:p w14:paraId="67DBEC31" w14:textId="77777777" w:rsidR="001825E2" w:rsidRDefault="000839A5" w:rsidP="00CB00A7">
      <w:pPr>
        <w:pStyle w:val="BodyText"/>
        <w:spacing w:before="129" w:line="242" w:lineRule="auto"/>
        <w:ind w:left="219" w:right="218"/>
        <w:jc w:val="left"/>
      </w:pPr>
      <w:r>
        <w:t>Available data suggest that clinical improvement in AS is observed within 16 weeks of initiation</w:t>
      </w:r>
      <w:r>
        <w:rPr>
          <w:spacing w:val="-4"/>
        </w:rPr>
        <w:t xml:space="preserve"> </w:t>
      </w:r>
      <w:r>
        <w:t>of treatment with</w:t>
      </w:r>
      <w:r>
        <w:rPr>
          <w:spacing w:val="-4"/>
        </w:rPr>
        <w:t xml:space="preserve"> </w:t>
      </w:r>
      <w:r>
        <w:t>tofacitinib.</w:t>
      </w:r>
      <w:r>
        <w:rPr>
          <w:spacing w:val="-4"/>
        </w:rPr>
        <w:t xml:space="preserve"> </w:t>
      </w:r>
      <w:r>
        <w:t>Continued therapy</w:t>
      </w:r>
      <w:r>
        <w:rPr>
          <w:spacing w:val="-4"/>
        </w:rPr>
        <w:t xml:space="preserve"> </w:t>
      </w:r>
      <w:r>
        <w:t>should be</w:t>
      </w:r>
      <w:r>
        <w:rPr>
          <w:spacing w:val="-6"/>
        </w:rPr>
        <w:t xml:space="preserve"> </w:t>
      </w:r>
      <w:r>
        <w:t>carefully reconsidered in a patient exhibiting no clinical improvement within this timeframe.</w:t>
      </w:r>
    </w:p>
    <w:p w14:paraId="7B01102E" w14:textId="77777777" w:rsidR="001825E2" w:rsidRDefault="000839A5" w:rsidP="00CB00A7">
      <w:pPr>
        <w:spacing w:before="229"/>
        <w:ind w:left="220"/>
        <w:rPr>
          <w:i/>
          <w:sz w:val="24"/>
        </w:rPr>
      </w:pPr>
      <w:r>
        <w:rPr>
          <w:i/>
          <w:sz w:val="24"/>
          <w:u w:val="single"/>
        </w:rPr>
        <w:t>Recommended</w:t>
      </w:r>
      <w:r>
        <w:rPr>
          <w:i/>
          <w:spacing w:val="-15"/>
          <w:sz w:val="24"/>
          <w:u w:val="single"/>
        </w:rPr>
        <w:t xml:space="preserve"> </w:t>
      </w:r>
      <w:r>
        <w:rPr>
          <w:i/>
          <w:sz w:val="24"/>
          <w:u w:val="single"/>
        </w:rPr>
        <w:t>Dosage</w:t>
      </w:r>
      <w:r>
        <w:rPr>
          <w:i/>
          <w:spacing w:val="-12"/>
          <w:sz w:val="24"/>
          <w:u w:val="single"/>
        </w:rPr>
        <w:t xml:space="preserve"> </w:t>
      </w:r>
      <w:r>
        <w:rPr>
          <w:i/>
          <w:sz w:val="24"/>
          <w:u w:val="single"/>
        </w:rPr>
        <w:t>in</w:t>
      </w:r>
      <w:r>
        <w:rPr>
          <w:i/>
          <w:spacing w:val="8"/>
          <w:sz w:val="24"/>
          <w:u w:val="single"/>
        </w:rPr>
        <w:t xml:space="preserve"> </w:t>
      </w:r>
      <w:r>
        <w:rPr>
          <w:i/>
          <w:sz w:val="24"/>
          <w:u w:val="single"/>
        </w:rPr>
        <w:t>Ulcerative</w:t>
      </w:r>
      <w:r>
        <w:rPr>
          <w:i/>
          <w:spacing w:val="7"/>
          <w:sz w:val="24"/>
          <w:u w:val="single"/>
        </w:rPr>
        <w:t xml:space="preserve"> </w:t>
      </w:r>
      <w:r>
        <w:rPr>
          <w:i/>
          <w:spacing w:val="-2"/>
          <w:sz w:val="24"/>
          <w:u w:val="single"/>
        </w:rPr>
        <w:t>Colitis</w:t>
      </w:r>
    </w:p>
    <w:p w14:paraId="72D6A2A1" w14:textId="77777777" w:rsidR="001825E2" w:rsidRDefault="000839A5" w:rsidP="00CB00A7">
      <w:pPr>
        <w:pStyle w:val="BodyText"/>
        <w:spacing w:before="114" w:line="247" w:lineRule="auto"/>
        <w:ind w:left="220" w:right="239"/>
        <w:jc w:val="left"/>
      </w:pPr>
      <w:r>
        <w:t>The recommended adult</w:t>
      </w:r>
      <w:r>
        <w:rPr>
          <w:spacing w:val="-10"/>
        </w:rPr>
        <w:t xml:space="preserve"> </w:t>
      </w:r>
      <w:r>
        <w:t>daily</w:t>
      </w:r>
      <w:r>
        <w:rPr>
          <w:spacing w:val="-3"/>
        </w:rPr>
        <w:t xml:space="preserve"> </w:t>
      </w:r>
      <w:r>
        <w:t>dosage</w:t>
      </w:r>
      <w:r>
        <w:rPr>
          <w:spacing w:val="-5"/>
        </w:rPr>
        <w:t xml:space="preserve"> </w:t>
      </w:r>
      <w:r>
        <w:t>of XELJANZ</w:t>
      </w:r>
      <w:r>
        <w:rPr>
          <w:spacing w:val="-1"/>
        </w:rPr>
        <w:t xml:space="preserve"> </w:t>
      </w:r>
      <w:r>
        <w:t>for</w:t>
      </w:r>
      <w:r>
        <w:rPr>
          <w:spacing w:val="-8"/>
        </w:rPr>
        <w:t xml:space="preserve"> </w:t>
      </w:r>
      <w:r>
        <w:t>ulcerative</w:t>
      </w:r>
      <w:r>
        <w:rPr>
          <w:spacing w:val="-5"/>
        </w:rPr>
        <w:t xml:space="preserve"> </w:t>
      </w:r>
      <w:r>
        <w:t>colitis is</w:t>
      </w:r>
      <w:r>
        <w:rPr>
          <w:spacing w:val="-7"/>
        </w:rPr>
        <w:t xml:space="preserve"> </w:t>
      </w:r>
      <w:r>
        <w:t>10 mg</w:t>
      </w:r>
      <w:r>
        <w:rPr>
          <w:spacing w:val="-3"/>
        </w:rPr>
        <w:t xml:space="preserve"> </w:t>
      </w:r>
      <w:r>
        <w:t>twice</w:t>
      </w:r>
      <w:r>
        <w:rPr>
          <w:spacing w:val="-5"/>
        </w:rPr>
        <w:t xml:space="preserve"> </w:t>
      </w:r>
      <w:r>
        <w:t>daily for induction</w:t>
      </w:r>
      <w:r>
        <w:rPr>
          <w:spacing w:val="-3"/>
        </w:rPr>
        <w:t xml:space="preserve"> </w:t>
      </w:r>
      <w:r>
        <w:t>for 8 weeks and 5 mg twice daily for maintenance.</w:t>
      </w:r>
    </w:p>
    <w:p w14:paraId="2F29E650" w14:textId="77777777" w:rsidR="001825E2" w:rsidRDefault="000839A5" w:rsidP="00CB00A7">
      <w:pPr>
        <w:pStyle w:val="BodyText"/>
        <w:spacing w:before="227" w:line="247" w:lineRule="auto"/>
        <w:ind w:left="219" w:right="202"/>
        <w:jc w:val="left"/>
      </w:pPr>
      <w:r>
        <w:t>Two XELJANZ 5</w:t>
      </w:r>
      <w:r>
        <w:rPr>
          <w:spacing w:val="-4"/>
        </w:rPr>
        <w:t xml:space="preserve"> </w:t>
      </w:r>
      <w:r>
        <w:t>mg tablets are bioequivalent to one XELJANZ 10</w:t>
      </w:r>
      <w:r>
        <w:rPr>
          <w:spacing w:val="-5"/>
        </w:rPr>
        <w:t xml:space="preserve"> </w:t>
      </w:r>
      <w:r>
        <w:t>mg tablet and may be used as an alternative to one XELJANZ 10</w:t>
      </w:r>
      <w:r>
        <w:rPr>
          <w:spacing w:val="-3"/>
        </w:rPr>
        <w:t xml:space="preserve"> </w:t>
      </w:r>
      <w:r>
        <w:t>mg tablet.</w:t>
      </w:r>
    </w:p>
    <w:p w14:paraId="75754D39" w14:textId="77777777" w:rsidR="001825E2" w:rsidRDefault="000839A5" w:rsidP="00CB00A7">
      <w:pPr>
        <w:pStyle w:val="BodyText"/>
        <w:spacing w:before="226"/>
        <w:ind w:left="217" w:right="203" w:firstLine="1"/>
        <w:jc w:val="left"/>
      </w:pPr>
      <w:r>
        <w:t>For patients who do not achieve adequate</w:t>
      </w:r>
      <w:r>
        <w:rPr>
          <w:spacing w:val="-2"/>
        </w:rPr>
        <w:t xml:space="preserve"> </w:t>
      </w:r>
      <w:r>
        <w:t xml:space="preserve">therapeutic benefit by week 8 (e.g., those with the greatest disease activity or those refractory to </w:t>
      </w:r>
      <w:proofErr w:type="spellStart"/>
      <w:r>
        <w:t>tumour</w:t>
      </w:r>
      <w:proofErr w:type="spellEnd"/>
      <w:r>
        <w:t xml:space="preserve"> necrosis factor (TNF)-inhibitors), the induction dose of 10 mg twice daily can be extended for an additional 8 weeks (16 weeks total), followed by 5</w:t>
      </w:r>
      <w:r>
        <w:rPr>
          <w:spacing w:val="-1"/>
        </w:rPr>
        <w:t xml:space="preserve"> </w:t>
      </w:r>
      <w:r>
        <w:t>mg twice daily for maintenance. Continued treatment is not recommended</w:t>
      </w:r>
      <w:r>
        <w:rPr>
          <w:spacing w:val="40"/>
        </w:rPr>
        <w:t xml:space="preserve"> </w:t>
      </w:r>
      <w:r>
        <w:t>for</w:t>
      </w:r>
      <w:r>
        <w:rPr>
          <w:spacing w:val="40"/>
        </w:rPr>
        <w:t xml:space="preserve"> </w:t>
      </w:r>
      <w:r>
        <w:t>patients</w:t>
      </w:r>
      <w:r>
        <w:rPr>
          <w:spacing w:val="40"/>
        </w:rPr>
        <w:t xml:space="preserve"> </w:t>
      </w:r>
      <w:r>
        <w:t>who</w:t>
      </w:r>
      <w:r>
        <w:rPr>
          <w:spacing w:val="40"/>
        </w:rPr>
        <w:t xml:space="preserve"> </w:t>
      </w:r>
      <w:r>
        <w:t>have</w:t>
      </w:r>
      <w:r>
        <w:rPr>
          <w:spacing w:val="40"/>
        </w:rPr>
        <w:t xml:space="preserve"> </w:t>
      </w:r>
      <w:r>
        <w:t>not</w:t>
      </w:r>
      <w:r>
        <w:rPr>
          <w:spacing w:val="40"/>
        </w:rPr>
        <w:t xml:space="preserve"> </w:t>
      </w:r>
      <w:r>
        <w:t>shown</w:t>
      </w:r>
      <w:r>
        <w:rPr>
          <w:spacing w:val="40"/>
        </w:rPr>
        <w:t xml:space="preserve"> </w:t>
      </w:r>
      <w:r>
        <w:t>a</w:t>
      </w:r>
      <w:r>
        <w:rPr>
          <w:spacing w:val="40"/>
        </w:rPr>
        <w:t xml:space="preserve"> </w:t>
      </w:r>
      <w:r>
        <w:t>clinical</w:t>
      </w:r>
      <w:r>
        <w:rPr>
          <w:spacing w:val="40"/>
        </w:rPr>
        <w:t xml:space="preserve"> </w:t>
      </w:r>
      <w:r>
        <w:t>response</w:t>
      </w:r>
      <w:r>
        <w:rPr>
          <w:spacing w:val="40"/>
        </w:rPr>
        <w:t xml:space="preserve"> </w:t>
      </w:r>
      <w:r>
        <w:t>by</w:t>
      </w:r>
      <w:r>
        <w:rPr>
          <w:spacing w:val="40"/>
        </w:rPr>
        <w:t xml:space="preserve"> </w:t>
      </w:r>
      <w:r>
        <w:t>Week</w:t>
      </w:r>
      <w:r>
        <w:rPr>
          <w:spacing w:val="40"/>
        </w:rPr>
        <w:t xml:space="preserve"> </w:t>
      </w:r>
      <w:r>
        <w:t>16</w:t>
      </w:r>
      <w:r>
        <w:rPr>
          <w:spacing w:val="40"/>
        </w:rPr>
        <w:t xml:space="preserve"> </w:t>
      </w:r>
      <w:r>
        <w:t>(see Section 5.1 Pharmacodynamic Properties, Clinical trials, Ulcerative Colitis).</w:t>
      </w:r>
    </w:p>
    <w:p w14:paraId="30206C75" w14:textId="77777777" w:rsidR="001825E2" w:rsidRDefault="000839A5" w:rsidP="00CB00A7">
      <w:pPr>
        <w:pStyle w:val="BodyText"/>
        <w:spacing w:before="235" w:line="242" w:lineRule="auto"/>
        <w:ind w:left="214" w:right="202" w:firstLine="2"/>
        <w:jc w:val="left"/>
      </w:pPr>
      <w:r>
        <w:t>Following end of induction therapy, the choice of maintenance therapy should be based on individual consideration of the patient’s clinical response and treatment history. For</w:t>
      </w:r>
      <w:r>
        <w:rPr>
          <w:spacing w:val="80"/>
        </w:rPr>
        <w:t xml:space="preserve"> </w:t>
      </w:r>
      <w:r>
        <w:t>refractory patients, such as those who have failed prior TNF inhibitor therapy, consideration may be given to continuation of the 10</w:t>
      </w:r>
      <w:r>
        <w:rPr>
          <w:spacing w:val="-1"/>
        </w:rPr>
        <w:t xml:space="preserve"> </w:t>
      </w:r>
      <w:r>
        <w:t xml:space="preserve">mg twice daily dose for maintenance </w:t>
      </w:r>
      <w:proofErr w:type="gramStart"/>
      <w:r>
        <w:t>in order to</w:t>
      </w:r>
      <w:proofErr w:type="gramEnd"/>
      <w:r>
        <w:t xml:space="preserve"> maintain therapeutic benefit.</w:t>
      </w:r>
    </w:p>
    <w:p w14:paraId="66ED9BF1" w14:textId="77777777" w:rsidR="001825E2" w:rsidRDefault="000839A5" w:rsidP="00CB00A7">
      <w:pPr>
        <w:pStyle w:val="BodyText"/>
        <w:spacing w:before="226" w:line="247" w:lineRule="auto"/>
        <w:ind w:left="213" w:right="217"/>
        <w:jc w:val="left"/>
      </w:pPr>
      <w:r>
        <w:t>Patients who</w:t>
      </w:r>
      <w:r>
        <w:rPr>
          <w:spacing w:val="-4"/>
        </w:rPr>
        <w:t xml:space="preserve"> </w:t>
      </w:r>
      <w:r>
        <w:t>fail to maintain therapeutic benefit on XELJANZ 5</w:t>
      </w:r>
      <w:r>
        <w:rPr>
          <w:spacing w:val="-4"/>
        </w:rPr>
        <w:t xml:space="preserve"> </w:t>
      </w:r>
      <w:r>
        <w:t>mg twice daily may benefit from an increase</w:t>
      </w:r>
      <w:r>
        <w:rPr>
          <w:spacing w:val="40"/>
        </w:rPr>
        <w:t xml:space="preserve"> </w:t>
      </w:r>
      <w:r>
        <w:t>to</w:t>
      </w:r>
      <w:r>
        <w:rPr>
          <w:spacing w:val="-5"/>
        </w:rPr>
        <w:t xml:space="preserve"> </w:t>
      </w:r>
      <w:r>
        <w:t>XELJANZ</w:t>
      </w:r>
      <w:r>
        <w:rPr>
          <w:spacing w:val="-2"/>
        </w:rPr>
        <w:t xml:space="preserve"> </w:t>
      </w:r>
      <w:r>
        <w:t>10</w:t>
      </w:r>
      <w:r>
        <w:rPr>
          <w:spacing w:val="-5"/>
        </w:rPr>
        <w:t xml:space="preserve"> </w:t>
      </w:r>
      <w:r>
        <w:t>mg administered twice</w:t>
      </w:r>
      <w:r>
        <w:rPr>
          <w:spacing w:val="-8"/>
        </w:rPr>
        <w:t xml:space="preserve"> </w:t>
      </w:r>
      <w:r>
        <w:t>daily for maintenance.</w:t>
      </w:r>
    </w:p>
    <w:p w14:paraId="44846BC7" w14:textId="77777777" w:rsidR="001825E2" w:rsidRDefault="000839A5" w:rsidP="00CB00A7">
      <w:pPr>
        <w:pStyle w:val="BodyText"/>
        <w:spacing w:before="227" w:line="247" w:lineRule="auto"/>
        <w:ind w:left="213" w:right="221"/>
        <w:jc w:val="left"/>
      </w:pPr>
      <w:r>
        <w:t>XELJANZ 10 mg twice daily for maintenance treatment should be used for the shortest duration</w:t>
      </w:r>
      <w:r>
        <w:rPr>
          <w:spacing w:val="-7"/>
        </w:rPr>
        <w:t xml:space="preserve"> </w:t>
      </w:r>
      <w:r>
        <w:t>possible.</w:t>
      </w:r>
      <w:r>
        <w:rPr>
          <w:spacing w:val="40"/>
        </w:rPr>
        <w:t xml:space="preserve"> </w:t>
      </w:r>
      <w:r>
        <w:t>The lowest effective</w:t>
      </w:r>
      <w:r>
        <w:rPr>
          <w:spacing w:val="-10"/>
        </w:rPr>
        <w:t xml:space="preserve"> </w:t>
      </w:r>
      <w:r>
        <w:t>dose</w:t>
      </w:r>
      <w:r>
        <w:rPr>
          <w:spacing w:val="-10"/>
        </w:rPr>
        <w:t xml:space="preserve"> </w:t>
      </w:r>
      <w:r>
        <w:t>needed to</w:t>
      </w:r>
      <w:r>
        <w:rPr>
          <w:spacing w:val="-7"/>
        </w:rPr>
        <w:t xml:space="preserve"> </w:t>
      </w:r>
      <w:r>
        <w:t>maintain response should be used.</w:t>
      </w:r>
    </w:p>
    <w:p w14:paraId="27279B78" w14:textId="77777777" w:rsidR="001825E2" w:rsidRDefault="000839A5" w:rsidP="00CB00A7">
      <w:pPr>
        <w:pStyle w:val="BodyText"/>
        <w:spacing w:before="231" w:line="235" w:lineRule="auto"/>
        <w:ind w:left="213" w:right="224"/>
        <w:jc w:val="left"/>
      </w:pPr>
      <w:r>
        <w:t>In patients</w:t>
      </w:r>
      <w:r>
        <w:rPr>
          <w:spacing w:val="-4"/>
        </w:rPr>
        <w:t xml:space="preserve"> </w:t>
      </w:r>
      <w:r>
        <w:t>who have</w:t>
      </w:r>
      <w:r>
        <w:rPr>
          <w:spacing w:val="-2"/>
        </w:rPr>
        <w:t xml:space="preserve"> </w:t>
      </w:r>
      <w:r>
        <w:t>responded to treatment with XELJANZ, corticosteroids</w:t>
      </w:r>
      <w:r>
        <w:rPr>
          <w:spacing w:val="-4"/>
        </w:rPr>
        <w:t xml:space="preserve"> </w:t>
      </w:r>
      <w:r>
        <w:t>may be reduced and/or discontinued in accordance with standard of care.</w:t>
      </w:r>
    </w:p>
    <w:p w14:paraId="35840CD5" w14:textId="77777777" w:rsidR="001825E2" w:rsidRDefault="001825E2" w:rsidP="00CB00A7">
      <w:pPr>
        <w:spacing w:line="235" w:lineRule="auto"/>
        <w:sectPr w:rsidR="001825E2">
          <w:pgSz w:w="11910" w:h="16850"/>
          <w:pgMar w:top="1360" w:right="1220" w:bottom="980" w:left="1220" w:header="0" w:footer="785" w:gutter="0"/>
          <w:cols w:space="720"/>
        </w:sectPr>
      </w:pPr>
    </w:p>
    <w:p w14:paraId="25ED10BC" w14:textId="77777777" w:rsidR="001825E2" w:rsidRDefault="000839A5" w:rsidP="00CB00A7">
      <w:pPr>
        <w:spacing w:before="76" w:line="273" w:lineRule="exact"/>
        <w:ind w:left="220"/>
        <w:rPr>
          <w:i/>
          <w:sz w:val="24"/>
        </w:rPr>
      </w:pPr>
      <w:bookmarkStart w:id="18" w:name="Recommended_dosage_in_polyarticular_cour"/>
      <w:bookmarkStart w:id="19" w:name="How_to_use_XELJANZ_Oral_Solution"/>
      <w:bookmarkEnd w:id="18"/>
      <w:bookmarkEnd w:id="19"/>
      <w:r>
        <w:rPr>
          <w:i/>
          <w:sz w:val="24"/>
        </w:rPr>
        <w:lastRenderedPageBreak/>
        <w:t>Retreatment</w:t>
      </w:r>
      <w:r>
        <w:rPr>
          <w:i/>
          <w:spacing w:val="-3"/>
          <w:sz w:val="24"/>
        </w:rPr>
        <w:t xml:space="preserve"> </w:t>
      </w:r>
      <w:r>
        <w:rPr>
          <w:i/>
          <w:sz w:val="24"/>
        </w:rPr>
        <w:t>in</w:t>
      </w:r>
      <w:r>
        <w:rPr>
          <w:i/>
          <w:spacing w:val="4"/>
          <w:sz w:val="24"/>
        </w:rPr>
        <w:t xml:space="preserve"> </w:t>
      </w:r>
      <w:r>
        <w:rPr>
          <w:i/>
          <w:spacing w:val="-5"/>
          <w:sz w:val="24"/>
        </w:rPr>
        <w:t>UC</w:t>
      </w:r>
    </w:p>
    <w:p w14:paraId="12A7CF78" w14:textId="77777777" w:rsidR="001825E2" w:rsidRDefault="000839A5" w:rsidP="00CB00A7">
      <w:pPr>
        <w:pStyle w:val="BodyText"/>
        <w:spacing w:line="242" w:lineRule="auto"/>
        <w:ind w:left="218" w:right="204" w:firstLine="1"/>
        <w:jc w:val="left"/>
      </w:pPr>
      <w:r>
        <w:t>If therapy is interrupted, restarting treatment with XELJANZ can be considered. If there has been a loss of response, reinduction with XELJANZ 10</w:t>
      </w:r>
      <w:r>
        <w:rPr>
          <w:spacing w:val="-3"/>
        </w:rPr>
        <w:t xml:space="preserve"> </w:t>
      </w:r>
      <w:r>
        <w:t>mg twice daily may be considered. The treatment interruption period in clinical studies extended up to 1 year. Efficacy may be regained by 8</w:t>
      </w:r>
      <w:r>
        <w:rPr>
          <w:spacing w:val="-3"/>
        </w:rPr>
        <w:t xml:space="preserve"> </w:t>
      </w:r>
      <w:r>
        <w:t>weeks of 10</w:t>
      </w:r>
      <w:r>
        <w:rPr>
          <w:spacing w:val="-3"/>
        </w:rPr>
        <w:t xml:space="preserve"> </w:t>
      </w:r>
      <w:r>
        <w:t>mg twice daily therapy (see Section 5.1 Pharmacodynamic Properties, Clinical trials).</w:t>
      </w:r>
    </w:p>
    <w:p w14:paraId="4ACEF9E5" w14:textId="77777777" w:rsidR="001825E2" w:rsidRDefault="000839A5" w:rsidP="00CB00A7">
      <w:pPr>
        <w:spacing w:before="223" w:line="247" w:lineRule="auto"/>
        <w:ind w:left="220" w:right="234"/>
        <w:rPr>
          <w:i/>
          <w:sz w:val="24"/>
        </w:rPr>
      </w:pPr>
      <w:r>
        <w:rPr>
          <w:i/>
          <w:sz w:val="24"/>
          <w:u w:val="single"/>
        </w:rPr>
        <w:t>Recommended dosage in polyarticular course Juvenile Idiopathic Arthritis (</w:t>
      </w:r>
      <w:proofErr w:type="spellStart"/>
      <w:r>
        <w:rPr>
          <w:i/>
          <w:sz w:val="24"/>
          <w:u w:val="single"/>
        </w:rPr>
        <w:t>pcJIA</w:t>
      </w:r>
      <w:proofErr w:type="spellEnd"/>
      <w:r>
        <w:rPr>
          <w:i/>
          <w:sz w:val="24"/>
          <w:u w:val="single"/>
        </w:rPr>
        <w:t>) and</w:t>
      </w:r>
      <w:r>
        <w:rPr>
          <w:i/>
          <w:sz w:val="24"/>
        </w:rPr>
        <w:t xml:space="preserve"> </w:t>
      </w:r>
      <w:r>
        <w:rPr>
          <w:i/>
          <w:sz w:val="24"/>
          <w:u w:val="single"/>
        </w:rPr>
        <w:t>Juvenile Psoriatic Arthritis (</w:t>
      </w:r>
      <w:proofErr w:type="spellStart"/>
      <w:r>
        <w:rPr>
          <w:i/>
          <w:sz w:val="24"/>
          <w:u w:val="single"/>
        </w:rPr>
        <w:t>jPsA</w:t>
      </w:r>
      <w:proofErr w:type="spellEnd"/>
      <w:r>
        <w:rPr>
          <w:i/>
          <w:sz w:val="24"/>
          <w:u w:val="single"/>
        </w:rPr>
        <w:t>)</w:t>
      </w:r>
    </w:p>
    <w:p w14:paraId="0155B517" w14:textId="77777777" w:rsidR="001825E2" w:rsidRDefault="000839A5" w:rsidP="00CB00A7">
      <w:pPr>
        <w:pStyle w:val="BodyText"/>
        <w:spacing w:before="106"/>
        <w:ind w:left="220"/>
        <w:jc w:val="left"/>
      </w:pPr>
      <w:r>
        <w:t>XELJANZ</w:t>
      </w:r>
      <w:r>
        <w:rPr>
          <w:spacing w:val="-15"/>
        </w:rPr>
        <w:t xml:space="preserve"> </w:t>
      </w:r>
      <w:r>
        <w:t>may</w:t>
      </w:r>
      <w:r>
        <w:rPr>
          <w:spacing w:val="-3"/>
        </w:rPr>
        <w:t xml:space="preserve"> </w:t>
      </w:r>
      <w:r>
        <w:t>be</w:t>
      </w:r>
      <w:r>
        <w:rPr>
          <w:spacing w:val="-4"/>
        </w:rPr>
        <w:t xml:space="preserve"> </w:t>
      </w:r>
      <w:r>
        <w:t>used</w:t>
      </w:r>
      <w:r>
        <w:rPr>
          <w:spacing w:val="-2"/>
        </w:rPr>
        <w:t xml:space="preserve"> </w:t>
      </w:r>
      <w:r>
        <w:t>as</w:t>
      </w:r>
      <w:r>
        <w:rPr>
          <w:spacing w:val="8"/>
        </w:rPr>
        <w:t xml:space="preserve"> </w:t>
      </w:r>
      <w:r>
        <w:t>monotherapy</w:t>
      </w:r>
      <w:r>
        <w:rPr>
          <w:spacing w:val="-2"/>
        </w:rPr>
        <w:t xml:space="preserve"> </w:t>
      </w:r>
      <w:r>
        <w:t>or</w:t>
      </w:r>
      <w:r>
        <w:rPr>
          <w:spacing w:val="-7"/>
        </w:rPr>
        <w:t xml:space="preserve"> </w:t>
      </w:r>
      <w:r>
        <w:t>in</w:t>
      </w:r>
      <w:r>
        <w:rPr>
          <w:spacing w:val="12"/>
        </w:rPr>
        <w:t xml:space="preserve"> </w:t>
      </w:r>
      <w:r>
        <w:t>combination</w:t>
      </w:r>
      <w:r>
        <w:rPr>
          <w:spacing w:val="13"/>
        </w:rPr>
        <w:t xml:space="preserve"> </w:t>
      </w:r>
      <w:r>
        <w:t>with</w:t>
      </w:r>
      <w:r>
        <w:rPr>
          <w:spacing w:val="-15"/>
        </w:rPr>
        <w:t xml:space="preserve"> </w:t>
      </w:r>
      <w:r>
        <w:rPr>
          <w:spacing w:val="-4"/>
        </w:rPr>
        <w:t>MTX.</w:t>
      </w:r>
    </w:p>
    <w:p w14:paraId="5010E03D" w14:textId="77777777" w:rsidR="001825E2" w:rsidRDefault="000839A5" w:rsidP="00CB00A7">
      <w:pPr>
        <w:pStyle w:val="BodyText"/>
        <w:spacing w:before="254" w:line="235" w:lineRule="auto"/>
        <w:ind w:left="220" w:right="217"/>
        <w:jc w:val="left"/>
      </w:pPr>
      <w:r>
        <w:t>The recommended dose in patients 2</w:t>
      </w:r>
      <w:r>
        <w:rPr>
          <w:spacing w:val="-3"/>
        </w:rPr>
        <w:t xml:space="preserve"> </w:t>
      </w:r>
      <w:r>
        <w:t>years of age and older is based upon the following weight categories as indicated in Table 1:</w:t>
      </w:r>
    </w:p>
    <w:p w14:paraId="3277566F" w14:textId="77777777" w:rsidR="001825E2" w:rsidRDefault="001825E2" w:rsidP="00CB00A7">
      <w:pPr>
        <w:pStyle w:val="BodyText"/>
        <w:spacing w:before="3" w:after="1"/>
        <w:jc w:val="left"/>
        <w:rPr>
          <w:sz w:val="20"/>
        </w:rPr>
      </w:pPr>
    </w:p>
    <w:tbl>
      <w:tblPr>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10"/>
        <w:gridCol w:w="7140"/>
      </w:tblGrid>
      <w:tr w:rsidR="001825E2" w14:paraId="37E36021" w14:textId="77777777">
        <w:trPr>
          <w:trHeight w:val="675"/>
        </w:trPr>
        <w:tc>
          <w:tcPr>
            <w:tcW w:w="9150" w:type="dxa"/>
            <w:gridSpan w:val="2"/>
          </w:tcPr>
          <w:p w14:paraId="273BB033" w14:textId="77777777" w:rsidR="001825E2" w:rsidRDefault="000839A5" w:rsidP="00CB00A7">
            <w:pPr>
              <w:pStyle w:val="TableParagraph"/>
              <w:spacing w:before="5" w:line="235" w:lineRule="auto"/>
              <w:ind w:left="1132" w:right="353" w:hanging="1020"/>
              <w:jc w:val="left"/>
              <w:rPr>
                <w:b/>
                <w:sz w:val="24"/>
              </w:rPr>
            </w:pPr>
            <w:r>
              <w:rPr>
                <w:b/>
                <w:sz w:val="24"/>
              </w:rPr>
              <w:t>Table</w:t>
            </w:r>
            <w:r>
              <w:rPr>
                <w:b/>
                <w:spacing w:val="-15"/>
                <w:sz w:val="24"/>
              </w:rPr>
              <w:t xml:space="preserve"> </w:t>
            </w:r>
            <w:r>
              <w:rPr>
                <w:b/>
                <w:sz w:val="24"/>
              </w:rPr>
              <w:t>1:</w:t>
            </w:r>
            <w:r>
              <w:rPr>
                <w:b/>
                <w:spacing w:val="76"/>
                <w:sz w:val="24"/>
              </w:rPr>
              <w:t xml:space="preserve"> </w:t>
            </w:r>
            <w:r>
              <w:rPr>
                <w:b/>
                <w:sz w:val="24"/>
              </w:rPr>
              <w:t>Tofacitinib dose</w:t>
            </w:r>
            <w:r>
              <w:rPr>
                <w:b/>
                <w:spacing w:val="-13"/>
                <w:sz w:val="24"/>
              </w:rPr>
              <w:t xml:space="preserve"> </w:t>
            </w:r>
            <w:r>
              <w:rPr>
                <w:b/>
                <w:sz w:val="24"/>
              </w:rPr>
              <w:t>for</w:t>
            </w:r>
            <w:r>
              <w:rPr>
                <w:b/>
                <w:spacing w:val="-17"/>
                <w:sz w:val="24"/>
              </w:rPr>
              <w:t xml:space="preserve"> </w:t>
            </w:r>
            <w:r>
              <w:rPr>
                <w:b/>
                <w:sz w:val="24"/>
              </w:rPr>
              <w:t>patients with</w:t>
            </w:r>
            <w:r>
              <w:rPr>
                <w:b/>
                <w:spacing w:val="-11"/>
                <w:sz w:val="24"/>
              </w:rPr>
              <w:t xml:space="preserve"> </w:t>
            </w:r>
            <w:r>
              <w:rPr>
                <w:b/>
                <w:sz w:val="24"/>
              </w:rPr>
              <w:t>polyarticular</w:t>
            </w:r>
            <w:r>
              <w:rPr>
                <w:b/>
                <w:spacing w:val="11"/>
                <w:sz w:val="24"/>
              </w:rPr>
              <w:t xml:space="preserve"> </w:t>
            </w:r>
            <w:r>
              <w:rPr>
                <w:b/>
                <w:sz w:val="24"/>
              </w:rPr>
              <w:t>juvenile</w:t>
            </w:r>
            <w:r>
              <w:rPr>
                <w:b/>
                <w:spacing w:val="-1"/>
                <w:sz w:val="24"/>
              </w:rPr>
              <w:t xml:space="preserve"> </w:t>
            </w:r>
            <w:r>
              <w:rPr>
                <w:b/>
                <w:sz w:val="24"/>
              </w:rPr>
              <w:t>idiopathic</w:t>
            </w:r>
            <w:r>
              <w:rPr>
                <w:b/>
                <w:spacing w:val="-1"/>
                <w:sz w:val="24"/>
              </w:rPr>
              <w:t xml:space="preserve"> </w:t>
            </w:r>
            <w:r>
              <w:rPr>
                <w:b/>
                <w:sz w:val="24"/>
              </w:rPr>
              <w:t>arthritis and juvenile PsA two years of age and older</w:t>
            </w:r>
          </w:p>
        </w:tc>
      </w:tr>
      <w:tr w:rsidR="001825E2" w14:paraId="08AE4CEA" w14:textId="77777777">
        <w:trPr>
          <w:trHeight w:val="345"/>
        </w:trPr>
        <w:tc>
          <w:tcPr>
            <w:tcW w:w="2010" w:type="dxa"/>
          </w:tcPr>
          <w:p w14:paraId="28EBB665" w14:textId="77777777" w:rsidR="001825E2" w:rsidRDefault="000839A5" w:rsidP="00CB00A7">
            <w:pPr>
              <w:pStyle w:val="TableParagraph"/>
              <w:spacing w:before="46"/>
              <w:ind w:left="44" w:right="10"/>
              <w:jc w:val="left"/>
              <w:rPr>
                <w:b/>
                <w:sz w:val="24"/>
              </w:rPr>
            </w:pPr>
            <w:r>
              <w:rPr>
                <w:b/>
                <w:sz w:val="24"/>
              </w:rPr>
              <w:t>Body</w:t>
            </w:r>
            <w:r>
              <w:rPr>
                <w:b/>
                <w:spacing w:val="-1"/>
                <w:sz w:val="24"/>
              </w:rPr>
              <w:t xml:space="preserve"> </w:t>
            </w:r>
            <w:r>
              <w:rPr>
                <w:b/>
                <w:sz w:val="24"/>
              </w:rPr>
              <w:t>weight</w:t>
            </w:r>
            <w:r>
              <w:rPr>
                <w:b/>
                <w:spacing w:val="-3"/>
                <w:sz w:val="24"/>
              </w:rPr>
              <w:t xml:space="preserve"> </w:t>
            </w:r>
            <w:r>
              <w:rPr>
                <w:b/>
                <w:spacing w:val="-4"/>
                <w:sz w:val="24"/>
              </w:rPr>
              <w:t>(kg)</w:t>
            </w:r>
          </w:p>
        </w:tc>
        <w:tc>
          <w:tcPr>
            <w:tcW w:w="7140" w:type="dxa"/>
          </w:tcPr>
          <w:p w14:paraId="75C10373" w14:textId="77777777" w:rsidR="001825E2" w:rsidRDefault="000839A5" w:rsidP="00CB00A7">
            <w:pPr>
              <w:pStyle w:val="TableParagraph"/>
              <w:spacing w:before="46"/>
              <w:ind w:left="28"/>
              <w:jc w:val="left"/>
              <w:rPr>
                <w:b/>
                <w:sz w:val="24"/>
              </w:rPr>
            </w:pPr>
            <w:r>
              <w:rPr>
                <w:b/>
                <w:sz w:val="24"/>
              </w:rPr>
              <w:t xml:space="preserve">Dose </w:t>
            </w:r>
            <w:r>
              <w:rPr>
                <w:b/>
                <w:spacing w:val="-2"/>
                <w:sz w:val="24"/>
              </w:rPr>
              <w:t>regimen</w:t>
            </w:r>
          </w:p>
        </w:tc>
      </w:tr>
      <w:tr w:rsidR="001825E2" w14:paraId="2CB165DC" w14:textId="77777777">
        <w:trPr>
          <w:trHeight w:val="359"/>
        </w:trPr>
        <w:tc>
          <w:tcPr>
            <w:tcW w:w="2010" w:type="dxa"/>
          </w:tcPr>
          <w:p w14:paraId="21C9637C" w14:textId="77777777" w:rsidR="001825E2" w:rsidRDefault="000839A5" w:rsidP="00CB00A7">
            <w:pPr>
              <w:pStyle w:val="TableParagraph"/>
              <w:spacing w:before="46"/>
              <w:ind w:left="44" w:right="15"/>
              <w:jc w:val="left"/>
              <w:rPr>
                <w:sz w:val="24"/>
              </w:rPr>
            </w:pPr>
            <w:r>
              <w:rPr>
                <w:sz w:val="24"/>
              </w:rPr>
              <w:t>10 -</w:t>
            </w:r>
            <w:r>
              <w:rPr>
                <w:spacing w:val="-6"/>
                <w:sz w:val="24"/>
              </w:rPr>
              <w:t xml:space="preserve"> </w:t>
            </w:r>
            <w:r>
              <w:rPr>
                <w:sz w:val="24"/>
              </w:rPr>
              <w:t>&lt;</w:t>
            </w:r>
            <w:r>
              <w:rPr>
                <w:spacing w:val="-1"/>
                <w:sz w:val="24"/>
              </w:rPr>
              <w:t xml:space="preserve"> </w:t>
            </w:r>
            <w:r>
              <w:rPr>
                <w:spacing w:val="-5"/>
                <w:sz w:val="24"/>
              </w:rPr>
              <w:t>20</w:t>
            </w:r>
          </w:p>
        </w:tc>
        <w:tc>
          <w:tcPr>
            <w:tcW w:w="7140" w:type="dxa"/>
          </w:tcPr>
          <w:p w14:paraId="45FA418C" w14:textId="77777777" w:rsidR="001825E2" w:rsidRDefault="000839A5" w:rsidP="00CB00A7">
            <w:pPr>
              <w:pStyle w:val="TableParagraph"/>
              <w:spacing w:before="46"/>
              <w:ind w:left="1462"/>
              <w:jc w:val="left"/>
              <w:rPr>
                <w:sz w:val="24"/>
              </w:rPr>
            </w:pPr>
            <w:r>
              <w:rPr>
                <w:sz w:val="24"/>
              </w:rPr>
              <w:t>3.2</w:t>
            </w:r>
            <w:r>
              <w:rPr>
                <w:spacing w:val="-4"/>
                <w:sz w:val="24"/>
              </w:rPr>
              <w:t xml:space="preserve"> </w:t>
            </w:r>
            <w:r>
              <w:rPr>
                <w:sz w:val="24"/>
              </w:rPr>
              <w:t>mg</w:t>
            </w:r>
            <w:r>
              <w:rPr>
                <w:spacing w:val="-4"/>
                <w:sz w:val="24"/>
              </w:rPr>
              <w:t xml:space="preserve"> </w:t>
            </w:r>
            <w:r>
              <w:rPr>
                <w:sz w:val="24"/>
              </w:rPr>
              <w:t>(3.2</w:t>
            </w:r>
            <w:r>
              <w:rPr>
                <w:spacing w:val="11"/>
                <w:sz w:val="24"/>
              </w:rPr>
              <w:t xml:space="preserve"> </w:t>
            </w:r>
            <w:r>
              <w:rPr>
                <w:sz w:val="24"/>
              </w:rPr>
              <w:t>mL</w:t>
            </w:r>
            <w:r>
              <w:rPr>
                <w:spacing w:val="-1"/>
                <w:sz w:val="24"/>
              </w:rPr>
              <w:t xml:space="preserve"> </w:t>
            </w:r>
            <w:r>
              <w:rPr>
                <w:sz w:val="24"/>
              </w:rPr>
              <w:t>of</w:t>
            </w:r>
            <w:r>
              <w:rPr>
                <w:spacing w:val="-9"/>
                <w:sz w:val="24"/>
              </w:rPr>
              <w:t xml:space="preserve"> </w:t>
            </w:r>
            <w:r>
              <w:rPr>
                <w:sz w:val="24"/>
              </w:rPr>
              <w:t>oral</w:t>
            </w:r>
            <w:r>
              <w:rPr>
                <w:spacing w:val="4"/>
                <w:sz w:val="24"/>
              </w:rPr>
              <w:t xml:space="preserve"> </w:t>
            </w:r>
            <w:r>
              <w:rPr>
                <w:sz w:val="24"/>
              </w:rPr>
              <w:t>solution)</w:t>
            </w:r>
            <w:r>
              <w:rPr>
                <w:spacing w:val="6"/>
                <w:sz w:val="24"/>
              </w:rPr>
              <w:t xml:space="preserve"> </w:t>
            </w:r>
            <w:r>
              <w:rPr>
                <w:sz w:val="24"/>
              </w:rPr>
              <w:t>twice</w:t>
            </w:r>
            <w:r>
              <w:rPr>
                <w:spacing w:val="-5"/>
                <w:sz w:val="24"/>
              </w:rPr>
              <w:t xml:space="preserve"> </w:t>
            </w:r>
            <w:r>
              <w:rPr>
                <w:spacing w:val="-2"/>
                <w:sz w:val="24"/>
              </w:rPr>
              <w:t>daily</w:t>
            </w:r>
          </w:p>
        </w:tc>
      </w:tr>
      <w:tr w:rsidR="001825E2" w14:paraId="67E7CC0F" w14:textId="77777777">
        <w:trPr>
          <w:trHeight w:val="345"/>
        </w:trPr>
        <w:tc>
          <w:tcPr>
            <w:tcW w:w="2010" w:type="dxa"/>
          </w:tcPr>
          <w:p w14:paraId="2C9D8622" w14:textId="77777777" w:rsidR="001825E2" w:rsidRDefault="000839A5" w:rsidP="00CB00A7">
            <w:pPr>
              <w:pStyle w:val="TableParagraph"/>
              <w:spacing w:before="31"/>
              <w:ind w:left="44" w:right="15"/>
              <w:jc w:val="left"/>
              <w:rPr>
                <w:sz w:val="24"/>
              </w:rPr>
            </w:pPr>
            <w:r>
              <w:rPr>
                <w:sz w:val="24"/>
              </w:rPr>
              <w:t>20 -</w:t>
            </w:r>
            <w:r>
              <w:rPr>
                <w:spacing w:val="-6"/>
                <w:sz w:val="24"/>
              </w:rPr>
              <w:t xml:space="preserve"> </w:t>
            </w:r>
            <w:r>
              <w:rPr>
                <w:sz w:val="24"/>
              </w:rPr>
              <w:t>&lt;</w:t>
            </w:r>
            <w:r>
              <w:rPr>
                <w:spacing w:val="-1"/>
                <w:sz w:val="24"/>
              </w:rPr>
              <w:t xml:space="preserve"> </w:t>
            </w:r>
            <w:r>
              <w:rPr>
                <w:spacing w:val="-5"/>
                <w:sz w:val="24"/>
              </w:rPr>
              <w:t>40</w:t>
            </w:r>
          </w:p>
        </w:tc>
        <w:tc>
          <w:tcPr>
            <w:tcW w:w="7140" w:type="dxa"/>
          </w:tcPr>
          <w:p w14:paraId="322F9EB1" w14:textId="77777777" w:rsidR="001825E2" w:rsidRDefault="000839A5" w:rsidP="00CB00A7">
            <w:pPr>
              <w:pStyle w:val="TableParagraph"/>
              <w:spacing w:before="31"/>
              <w:ind w:left="28" w:right="6"/>
              <w:jc w:val="left"/>
              <w:rPr>
                <w:sz w:val="24"/>
              </w:rPr>
            </w:pPr>
            <w:r>
              <w:rPr>
                <w:sz w:val="24"/>
              </w:rPr>
              <w:t>4</w:t>
            </w:r>
            <w:r>
              <w:rPr>
                <w:spacing w:val="-4"/>
                <w:sz w:val="24"/>
              </w:rPr>
              <w:t xml:space="preserve"> </w:t>
            </w:r>
            <w:r>
              <w:rPr>
                <w:sz w:val="24"/>
              </w:rPr>
              <w:t>mg</w:t>
            </w:r>
            <w:r>
              <w:rPr>
                <w:spacing w:val="-4"/>
                <w:sz w:val="24"/>
              </w:rPr>
              <w:t xml:space="preserve"> </w:t>
            </w:r>
            <w:r>
              <w:rPr>
                <w:sz w:val="24"/>
              </w:rPr>
              <w:t>(4</w:t>
            </w:r>
            <w:r>
              <w:rPr>
                <w:spacing w:val="9"/>
                <w:sz w:val="24"/>
              </w:rPr>
              <w:t xml:space="preserve"> </w:t>
            </w:r>
            <w:r>
              <w:rPr>
                <w:sz w:val="24"/>
              </w:rPr>
              <w:t>mL</w:t>
            </w:r>
            <w:r>
              <w:rPr>
                <w:spacing w:val="-1"/>
                <w:sz w:val="24"/>
              </w:rPr>
              <w:t xml:space="preserve"> </w:t>
            </w:r>
            <w:r>
              <w:rPr>
                <w:sz w:val="24"/>
              </w:rPr>
              <w:t>of</w:t>
            </w:r>
            <w:r>
              <w:rPr>
                <w:spacing w:val="-8"/>
                <w:sz w:val="24"/>
              </w:rPr>
              <w:t xml:space="preserve"> </w:t>
            </w:r>
            <w:r>
              <w:rPr>
                <w:sz w:val="24"/>
              </w:rPr>
              <w:t>oral</w:t>
            </w:r>
            <w:r>
              <w:rPr>
                <w:spacing w:val="4"/>
                <w:sz w:val="24"/>
              </w:rPr>
              <w:t xml:space="preserve"> </w:t>
            </w:r>
            <w:r>
              <w:rPr>
                <w:sz w:val="24"/>
              </w:rPr>
              <w:t>solution)</w:t>
            </w:r>
            <w:r>
              <w:rPr>
                <w:spacing w:val="5"/>
                <w:sz w:val="24"/>
              </w:rPr>
              <w:t xml:space="preserve"> </w:t>
            </w:r>
            <w:r>
              <w:rPr>
                <w:sz w:val="24"/>
              </w:rPr>
              <w:t>twice</w:t>
            </w:r>
            <w:r>
              <w:rPr>
                <w:spacing w:val="-5"/>
                <w:sz w:val="24"/>
              </w:rPr>
              <w:t xml:space="preserve"> </w:t>
            </w:r>
            <w:r>
              <w:rPr>
                <w:spacing w:val="-2"/>
                <w:sz w:val="24"/>
              </w:rPr>
              <w:t>daily</w:t>
            </w:r>
          </w:p>
        </w:tc>
      </w:tr>
      <w:tr w:rsidR="001825E2" w14:paraId="74B8FA52" w14:textId="77777777">
        <w:trPr>
          <w:trHeight w:val="345"/>
        </w:trPr>
        <w:tc>
          <w:tcPr>
            <w:tcW w:w="2010" w:type="dxa"/>
          </w:tcPr>
          <w:p w14:paraId="428C3A89" w14:textId="77777777" w:rsidR="001825E2" w:rsidRDefault="000839A5" w:rsidP="00CB00A7">
            <w:pPr>
              <w:pStyle w:val="TableParagraph"/>
              <w:spacing w:before="46"/>
              <w:ind w:left="44" w:right="29"/>
              <w:jc w:val="left"/>
              <w:rPr>
                <w:sz w:val="24"/>
              </w:rPr>
            </w:pPr>
            <w:r>
              <w:rPr>
                <w:sz w:val="24"/>
              </w:rPr>
              <w:t>≥</w:t>
            </w:r>
            <w:r>
              <w:rPr>
                <w:spacing w:val="3"/>
                <w:sz w:val="24"/>
              </w:rPr>
              <w:t xml:space="preserve"> </w:t>
            </w:r>
            <w:r>
              <w:rPr>
                <w:spacing w:val="-5"/>
                <w:sz w:val="24"/>
              </w:rPr>
              <w:t>40</w:t>
            </w:r>
          </w:p>
        </w:tc>
        <w:tc>
          <w:tcPr>
            <w:tcW w:w="7140" w:type="dxa"/>
          </w:tcPr>
          <w:p w14:paraId="18AE6081" w14:textId="77777777" w:rsidR="001825E2" w:rsidRDefault="000839A5" w:rsidP="00CB00A7">
            <w:pPr>
              <w:pStyle w:val="TableParagraph"/>
              <w:spacing w:before="46"/>
              <w:ind w:left="28" w:right="5"/>
              <w:jc w:val="left"/>
              <w:rPr>
                <w:sz w:val="24"/>
              </w:rPr>
            </w:pPr>
            <w:r>
              <w:rPr>
                <w:sz w:val="24"/>
              </w:rPr>
              <w:t>5</w:t>
            </w:r>
            <w:r>
              <w:rPr>
                <w:spacing w:val="-8"/>
                <w:sz w:val="24"/>
              </w:rPr>
              <w:t xml:space="preserve"> </w:t>
            </w:r>
            <w:r>
              <w:rPr>
                <w:sz w:val="24"/>
              </w:rPr>
              <w:t>mg</w:t>
            </w:r>
            <w:r>
              <w:rPr>
                <w:spacing w:val="-3"/>
                <w:sz w:val="24"/>
              </w:rPr>
              <w:t xml:space="preserve"> </w:t>
            </w:r>
            <w:r>
              <w:rPr>
                <w:sz w:val="24"/>
              </w:rPr>
              <w:t>(5</w:t>
            </w:r>
            <w:r>
              <w:rPr>
                <w:spacing w:val="11"/>
                <w:sz w:val="24"/>
              </w:rPr>
              <w:t xml:space="preserve"> </w:t>
            </w:r>
            <w:r>
              <w:rPr>
                <w:sz w:val="24"/>
              </w:rPr>
              <w:t>mL of</w:t>
            </w:r>
            <w:r>
              <w:rPr>
                <w:spacing w:val="-8"/>
                <w:sz w:val="24"/>
              </w:rPr>
              <w:t xml:space="preserve"> </w:t>
            </w:r>
            <w:r>
              <w:rPr>
                <w:sz w:val="24"/>
              </w:rPr>
              <w:t>oral</w:t>
            </w:r>
            <w:r>
              <w:rPr>
                <w:spacing w:val="4"/>
                <w:sz w:val="24"/>
              </w:rPr>
              <w:t xml:space="preserve"> </w:t>
            </w:r>
            <w:r>
              <w:rPr>
                <w:sz w:val="24"/>
              </w:rPr>
              <w:t>solution</w:t>
            </w:r>
            <w:r>
              <w:rPr>
                <w:spacing w:val="11"/>
                <w:sz w:val="24"/>
              </w:rPr>
              <w:t xml:space="preserve"> </w:t>
            </w:r>
            <w:r>
              <w:rPr>
                <w:sz w:val="24"/>
              </w:rPr>
              <w:t>or</w:t>
            </w:r>
            <w:r>
              <w:rPr>
                <w:spacing w:val="-8"/>
                <w:sz w:val="24"/>
              </w:rPr>
              <w:t xml:space="preserve"> </w:t>
            </w:r>
            <w:r>
              <w:rPr>
                <w:sz w:val="24"/>
              </w:rPr>
              <w:t>one</w:t>
            </w:r>
            <w:r>
              <w:rPr>
                <w:spacing w:val="-5"/>
                <w:sz w:val="24"/>
              </w:rPr>
              <w:t xml:space="preserve"> </w:t>
            </w:r>
            <w:r>
              <w:rPr>
                <w:sz w:val="24"/>
              </w:rPr>
              <w:t>5</w:t>
            </w:r>
            <w:r>
              <w:rPr>
                <w:spacing w:val="-3"/>
                <w:sz w:val="24"/>
              </w:rPr>
              <w:t xml:space="preserve"> </w:t>
            </w:r>
            <w:r>
              <w:rPr>
                <w:sz w:val="24"/>
              </w:rPr>
              <w:t>mg</w:t>
            </w:r>
            <w:r>
              <w:rPr>
                <w:spacing w:val="11"/>
                <w:sz w:val="24"/>
              </w:rPr>
              <w:t xml:space="preserve"> </w:t>
            </w:r>
            <w:r>
              <w:rPr>
                <w:sz w:val="24"/>
              </w:rPr>
              <w:t>film-coated</w:t>
            </w:r>
            <w:r>
              <w:rPr>
                <w:spacing w:val="11"/>
                <w:sz w:val="24"/>
              </w:rPr>
              <w:t xml:space="preserve"> </w:t>
            </w:r>
            <w:r>
              <w:rPr>
                <w:sz w:val="24"/>
              </w:rPr>
              <w:t>tablet)</w:t>
            </w:r>
            <w:r>
              <w:rPr>
                <w:spacing w:val="-20"/>
                <w:sz w:val="24"/>
              </w:rPr>
              <w:t xml:space="preserve"> </w:t>
            </w:r>
            <w:r>
              <w:rPr>
                <w:sz w:val="24"/>
              </w:rPr>
              <w:t>twice</w:t>
            </w:r>
            <w:r>
              <w:rPr>
                <w:spacing w:val="-5"/>
                <w:sz w:val="24"/>
              </w:rPr>
              <w:t xml:space="preserve"> </w:t>
            </w:r>
            <w:r>
              <w:rPr>
                <w:spacing w:val="-2"/>
                <w:sz w:val="24"/>
              </w:rPr>
              <w:t>daily</w:t>
            </w:r>
          </w:p>
        </w:tc>
      </w:tr>
    </w:tbl>
    <w:p w14:paraId="7768043C" w14:textId="77777777" w:rsidR="001825E2" w:rsidRDefault="000839A5" w:rsidP="00CB00A7">
      <w:pPr>
        <w:pStyle w:val="BodyText"/>
        <w:spacing w:before="254"/>
        <w:ind w:left="219" w:right="203"/>
        <w:jc w:val="left"/>
      </w:pPr>
      <w:r>
        <w:t>Patients</w:t>
      </w:r>
      <w:r>
        <w:rPr>
          <w:spacing w:val="-4"/>
        </w:rPr>
        <w:t xml:space="preserve"> </w:t>
      </w:r>
      <w:r>
        <w:rPr>
          <w:rFonts w:ascii="Symbol" w:hAnsi="Symbol"/>
        </w:rPr>
        <w:t></w:t>
      </w:r>
      <w:r>
        <w:t>40 kg treated with 5 mL of XELJANZ oral</w:t>
      </w:r>
      <w:r>
        <w:rPr>
          <w:spacing w:val="-7"/>
        </w:rPr>
        <w:t xml:space="preserve"> </w:t>
      </w:r>
      <w:r>
        <w:t>solution twice</w:t>
      </w:r>
      <w:r>
        <w:rPr>
          <w:spacing w:val="-2"/>
        </w:rPr>
        <w:t xml:space="preserve"> </w:t>
      </w:r>
      <w:r>
        <w:t>daily may be switched to XELJANZ 5 mg film-coated tablets twice daily. Patients &lt;40 kg cannot be switched from XELJANZ oral solution.</w:t>
      </w:r>
    </w:p>
    <w:p w14:paraId="6C777A17" w14:textId="77777777" w:rsidR="001825E2" w:rsidRDefault="000839A5" w:rsidP="00CB00A7">
      <w:pPr>
        <w:pStyle w:val="BodyText"/>
        <w:spacing w:before="237" w:line="242" w:lineRule="auto"/>
        <w:ind w:left="219" w:right="213"/>
        <w:jc w:val="left"/>
      </w:pPr>
      <w:r>
        <w:t>Available data suggest that clinical improvement is observed within 18</w:t>
      </w:r>
      <w:r>
        <w:rPr>
          <w:spacing w:val="-15"/>
        </w:rPr>
        <w:t xml:space="preserve"> </w:t>
      </w:r>
      <w:r>
        <w:t>weeks of initiation of treatment with tofacitinib. Continued therapy should be carefully reconsidered in a patient exhibiting no improvement within this timeframe.</w:t>
      </w:r>
    </w:p>
    <w:p w14:paraId="3E93ADC8" w14:textId="77777777" w:rsidR="001825E2" w:rsidRDefault="000839A5" w:rsidP="00CB00A7">
      <w:pPr>
        <w:spacing w:before="244"/>
        <w:ind w:left="219"/>
        <w:rPr>
          <w:i/>
          <w:sz w:val="24"/>
        </w:rPr>
      </w:pPr>
      <w:r>
        <w:rPr>
          <w:i/>
          <w:sz w:val="24"/>
        </w:rPr>
        <w:t>How</w:t>
      </w:r>
      <w:r>
        <w:rPr>
          <w:i/>
          <w:spacing w:val="-10"/>
          <w:sz w:val="24"/>
        </w:rPr>
        <w:t xml:space="preserve"> </w:t>
      </w:r>
      <w:r>
        <w:rPr>
          <w:i/>
          <w:sz w:val="24"/>
        </w:rPr>
        <w:t>to</w:t>
      </w:r>
      <w:r>
        <w:rPr>
          <w:i/>
          <w:spacing w:val="17"/>
          <w:sz w:val="24"/>
        </w:rPr>
        <w:t xml:space="preserve"> </w:t>
      </w:r>
      <w:r>
        <w:rPr>
          <w:i/>
          <w:sz w:val="24"/>
        </w:rPr>
        <w:t>use XELJANZ</w:t>
      </w:r>
      <w:r>
        <w:rPr>
          <w:i/>
          <w:spacing w:val="-12"/>
          <w:sz w:val="24"/>
        </w:rPr>
        <w:t xml:space="preserve"> </w:t>
      </w:r>
      <w:r>
        <w:rPr>
          <w:i/>
          <w:sz w:val="24"/>
        </w:rPr>
        <w:t>Oral</w:t>
      </w:r>
      <w:r>
        <w:rPr>
          <w:i/>
          <w:spacing w:val="-5"/>
          <w:sz w:val="24"/>
        </w:rPr>
        <w:t xml:space="preserve"> </w:t>
      </w:r>
      <w:r>
        <w:rPr>
          <w:i/>
          <w:spacing w:val="-2"/>
          <w:sz w:val="24"/>
        </w:rPr>
        <w:t>Solution</w:t>
      </w:r>
    </w:p>
    <w:p w14:paraId="427E9B03" w14:textId="77777777" w:rsidR="001825E2" w:rsidRDefault="000839A5" w:rsidP="00CB00A7">
      <w:pPr>
        <w:pStyle w:val="BodyText"/>
        <w:spacing w:before="238" w:line="235" w:lineRule="auto"/>
        <w:ind w:left="218" w:right="204"/>
        <w:jc w:val="left"/>
      </w:pPr>
      <w:r>
        <w:t>XELJANZ Oral Solution is presented</w:t>
      </w:r>
      <w:r>
        <w:rPr>
          <w:spacing w:val="40"/>
        </w:rPr>
        <w:t xml:space="preserve"> </w:t>
      </w:r>
      <w:r>
        <w:t>in a carton with a press-in bottle adaptor (PIBA), an oral dosing syringe and an “Instructions for</w:t>
      </w:r>
      <w:r>
        <w:rPr>
          <w:spacing w:val="-13"/>
        </w:rPr>
        <w:t xml:space="preserve"> </w:t>
      </w:r>
      <w:r>
        <w:t>use” leaflet, which contains diagrams.</w:t>
      </w:r>
    </w:p>
    <w:p w14:paraId="0E0D9543" w14:textId="77777777" w:rsidR="001825E2" w:rsidRDefault="000839A5" w:rsidP="00CB00A7">
      <w:pPr>
        <w:pStyle w:val="BodyText"/>
        <w:spacing w:before="250"/>
        <w:ind w:left="220"/>
        <w:jc w:val="left"/>
      </w:pPr>
      <w:r>
        <w:rPr>
          <w:u w:val="single"/>
        </w:rPr>
        <w:t>Instructions</w:t>
      </w:r>
      <w:r>
        <w:rPr>
          <w:spacing w:val="4"/>
          <w:u w:val="single"/>
        </w:rPr>
        <w:t xml:space="preserve"> </w:t>
      </w:r>
      <w:r>
        <w:rPr>
          <w:u w:val="single"/>
        </w:rPr>
        <w:t>for</w:t>
      </w:r>
      <w:r>
        <w:rPr>
          <w:spacing w:val="-12"/>
          <w:u w:val="single"/>
        </w:rPr>
        <w:t xml:space="preserve"> </w:t>
      </w:r>
      <w:r>
        <w:rPr>
          <w:spacing w:val="-5"/>
          <w:u w:val="single"/>
        </w:rPr>
        <w:t>use</w:t>
      </w:r>
    </w:p>
    <w:p w14:paraId="3A23F6A5" w14:textId="77777777" w:rsidR="001825E2" w:rsidRDefault="000839A5" w:rsidP="00CB00A7">
      <w:pPr>
        <w:pStyle w:val="ListParagraph"/>
        <w:numPr>
          <w:ilvl w:val="0"/>
          <w:numId w:val="10"/>
        </w:numPr>
        <w:tabs>
          <w:tab w:val="left" w:pos="563"/>
          <w:tab w:val="left" w:pos="565"/>
        </w:tabs>
        <w:spacing w:before="114" w:line="247" w:lineRule="auto"/>
        <w:ind w:right="211" w:hanging="346"/>
        <w:rPr>
          <w:sz w:val="24"/>
        </w:rPr>
      </w:pPr>
      <w:r>
        <w:rPr>
          <w:sz w:val="24"/>
        </w:rPr>
        <w:t>Wash</w:t>
      </w:r>
      <w:r>
        <w:rPr>
          <w:spacing w:val="40"/>
          <w:sz w:val="24"/>
        </w:rPr>
        <w:t xml:space="preserve"> </w:t>
      </w:r>
      <w:r>
        <w:rPr>
          <w:sz w:val="24"/>
        </w:rPr>
        <w:t>hands</w:t>
      </w:r>
      <w:r>
        <w:rPr>
          <w:spacing w:val="38"/>
          <w:sz w:val="24"/>
        </w:rPr>
        <w:t xml:space="preserve"> </w:t>
      </w:r>
      <w:r>
        <w:rPr>
          <w:sz w:val="24"/>
        </w:rPr>
        <w:t>with</w:t>
      </w:r>
      <w:r>
        <w:rPr>
          <w:spacing w:val="40"/>
          <w:sz w:val="24"/>
        </w:rPr>
        <w:t xml:space="preserve"> </w:t>
      </w:r>
      <w:r>
        <w:rPr>
          <w:sz w:val="24"/>
        </w:rPr>
        <w:t>soap</w:t>
      </w:r>
      <w:r>
        <w:rPr>
          <w:spacing w:val="40"/>
          <w:sz w:val="24"/>
        </w:rPr>
        <w:t xml:space="preserve"> </w:t>
      </w:r>
      <w:r>
        <w:rPr>
          <w:sz w:val="24"/>
        </w:rPr>
        <w:t>and</w:t>
      </w:r>
      <w:r>
        <w:rPr>
          <w:spacing w:val="40"/>
          <w:sz w:val="24"/>
        </w:rPr>
        <w:t xml:space="preserve"> </w:t>
      </w:r>
      <w:r>
        <w:rPr>
          <w:sz w:val="24"/>
        </w:rPr>
        <w:t>water</w:t>
      </w:r>
      <w:r>
        <w:rPr>
          <w:spacing w:val="37"/>
          <w:sz w:val="24"/>
        </w:rPr>
        <w:t xml:space="preserve"> </w:t>
      </w:r>
      <w:r>
        <w:rPr>
          <w:sz w:val="24"/>
        </w:rPr>
        <w:t>and</w:t>
      </w:r>
      <w:r>
        <w:rPr>
          <w:spacing w:val="40"/>
          <w:sz w:val="24"/>
        </w:rPr>
        <w:t xml:space="preserve"> </w:t>
      </w:r>
      <w:r>
        <w:rPr>
          <w:sz w:val="24"/>
        </w:rPr>
        <w:t>place</w:t>
      </w:r>
      <w:r>
        <w:rPr>
          <w:spacing w:val="40"/>
          <w:sz w:val="24"/>
        </w:rPr>
        <w:t xml:space="preserve"> </w:t>
      </w:r>
      <w:r>
        <w:rPr>
          <w:sz w:val="24"/>
        </w:rPr>
        <w:t>the</w:t>
      </w:r>
      <w:r>
        <w:rPr>
          <w:spacing w:val="40"/>
          <w:sz w:val="24"/>
        </w:rPr>
        <w:t xml:space="preserve"> </w:t>
      </w:r>
      <w:r>
        <w:rPr>
          <w:sz w:val="24"/>
        </w:rPr>
        <w:t>items</w:t>
      </w:r>
      <w:r>
        <w:rPr>
          <w:spacing w:val="38"/>
          <w:sz w:val="24"/>
        </w:rPr>
        <w:t xml:space="preserve"> </w:t>
      </w:r>
      <w:r>
        <w:rPr>
          <w:sz w:val="24"/>
        </w:rPr>
        <w:t>from</w:t>
      </w:r>
      <w:r>
        <w:rPr>
          <w:spacing w:val="35"/>
          <w:sz w:val="24"/>
        </w:rPr>
        <w:t xml:space="preserve"> </w:t>
      </w:r>
      <w:r>
        <w:rPr>
          <w:sz w:val="24"/>
        </w:rPr>
        <w:t>the</w:t>
      </w:r>
      <w:r>
        <w:rPr>
          <w:spacing w:val="40"/>
          <w:sz w:val="24"/>
        </w:rPr>
        <w:t xml:space="preserve"> </w:t>
      </w:r>
      <w:r>
        <w:rPr>
          <w:sz w:val="24"/>
        </w:rPr>
        <w:t>carton</w:t>
      </w:r>
      <w:r>
        <w:rPr>
          <w:spacing w:val="40"/>
          <w:sz w:val="24"/>
        </w:rPr>
        <w:t xml:space="preserve"> </w:t>
      </w:r>
      <w:r>
        <w:rPr>
          <w:sz w:val="24"/>
        </w:rPr>
        <w:t>on</w:t>
      </w:r>
      <w:r>
        <w:rPr>
          <w:spacing w:val="40"/>
          <w:sz w:val="24"/>
        </w:rPr>
        <w:t xml:space="preserve"> </w:t>
      </w:r>
      <w:r>
        <w:rPr>
          <w:sz w:val="24"/>
        </w:rPr>
        <w:t>a</w:t>
      </w:r>
      <w:r>
        <w:rPr>
          <w:spacing w:val="25"/>
          <w:sz w:val="24"/>
        </w:rPr>
        <w:t xml:space="preserve"> </w:t>
      </w:r>
      <w:r>
        <w:rPr>
          <w:sz w:val="24"/>
        </w:rPr>
        <w:t>clean</w:t>
      </w:r>
      <w:r>
        <w:rPr>
          <w:spacing w:val="40"/>
          <w:sz w:val="24"/>
        </w:rPr>
        <w:t xml:space="preserve"> </w:t>
      </w:r>
      <w:r>
        <w:rPr>
          <w:sz w:val="24"/>
        </w:rPr>
        <w:t xml:space="preserve">flat </w:t>
      </w:r>
      <w:r>
        <w:rPr>
          <w:spacing w:val="-2"/>
          <w:sz w:val="24"/>
        </w:rPr>
        <w:t>surface.</w:t>
      </w:r>
    </w:p>
    <w:p w14:paraId="10B9E07A" w14:textId="77777777" w:rsidR="001825E2" w:rsidRDefault="000839A5" w:rsidP="00CB00A7">
      <w:pPr>
        <w:pStyle w:val="ListParagraph"/>
        <w:numPr>
          <w:ilvl w:val="0"/>
          <w:numId w:val="10"/>
        </w:numPr>
        <w:tabs>
          <w:tab w:val="left" w:pos="564"/>
        </w:tabs>
        <w:spacing w:line="260" w:lineRule="exact"/>
        <w:ind w:left="564" w:hanging="344"/>
        <w:rPr>
          <w:sz w:val="24"/>
        </w:rPr>
      </w:pPr>
      <w:r>
        <w:rPr>
          <w:sz w:val="24"/>
        </w:rPr>
        <w:t>Open</w:t>
      </w:r>
      <w:r>
        <w:rPr>
          <w:spacing w:val="1"/>
          <w:sz w:val="24"/>
        </w:rPr>
        <w:t xml:space="preserve"> </w:t>
      </w:r>
      <w:r>
        <w:rPr>
          <w:sz w:val="24"/>
        </w:rPr>
        <w:t>the</w:t>
      </w:r>
      <w:r>
        <w:rPr>
          <w:spacing w:val="-15"/>
          <w:sz w:val="24"/>
        </w:rPr>
        <w:t xml:space="preserve"> </w:t>
      </w:r>
      <w:r>
        <w:rPr>
          <w:sz w:val="24"/>
        </w:rPr>
        <w:t>bottle.</w:t>
      </w:r>
      <w:r>
        <w:rPr>
          <w:spacing w:val="3"/>
          <w:sz w:val="24"/>
        </w:rPr>
        <w:t xml:space="preserve"> </w:t>
      </w:r>
      <w:r>
        <w:rPr>
          <w:sz w:val="24"/>
        </w:rPr>
        <w:t>Remove</w:t>
      </w:r>
      <w:r>
        <w:rPr>
          <w:spacing w:val="1"/>
          <w:sz w:val="24"/>
        </w:rPr>
        <w:t xml:space="preserve"> </w:t>
      </w:r>
      <w:r>
        <w:rPr>
          <w:sz w:val="24"/>
        </w:rPr>
        <w:t>the</w:t>
      </w:r>
      <w:r>
        <w:rPr>
          <w:spacing w:val="1"/>
          <w:sz w:val="24"/>
        </w:rPr>
        <w:t xml:space="preserve"> </w:t>
      </w:r>
      <w:r>
        <w:rPr>
          <w:sz w:val="24"/>
        </w:rPr>
        <w:t>seal</w:t>
      </w:r>
      <w:r>
        <w:rPr>
          <w:spacing w:val="-5"/>
          <w:sz w:val="24"/>
        </w:rPr>
        <w:t xml:space="preserve"> </w:t>
      </w:r>
      <w:r>
        <w:rPr>
          <w:sz w:val="24"/>
        </w:rPr>
        <w:t>off</w:t>
      </w:r>
      <w:r>
        <w:rPr>
          <w:spacing w:val="-2"/>
          <w:sz w:val="24"/>
        </w:rPr>
        <w:t xml:space="preserve"> </w:t>
      </w:r>
      <w:r>
        <w:rPr>
          <w:sz w:val="24"/>
        </w:rPr>
        <w:t>the</w:t>
      </w:r>
      <w:r>
        <w:rPr>
          <w:spacing w:val="1"/>
          <w:sz w:val="24"/>
        </w:rPr>
        <w:t xml:space="preserve"> </w:t>
      </w:r>
      <w:r>
        <w:rPr>
          <w:sz w:val="24"/>
        </w:rPr>
        <w:t>top</w:t>
      </w:r>
      <w:r>
        <w:rPr>
          <w:spacing w:val="-13"/>
          <w:sz w:val="24"/>
        </w:rPr>
        <w:t xml:space="preserve"> </w:t>
      </w:r>
      <w:r>
        <w:rPr>
          <w:sz w:val="24"/>
        </w:rPr>
        <w:t>of</w:t>
      </w:r>
      <w:r>
        <w:rPr>
          <w:spacing w:val="14"/>
          <w:sz w:val="24"/>
        </w:rPr>
        <w:t xml:space="preserve"> </w:t>
      </w:r>
      <w:r>
        <w:rPr>
          <w:sz w:val="24"/>
        </w:rPr>
        <w:t>the</w:t>
      </w:r>
      <w:r>
        <w:rPr>
          <w:spacing w:val="-15"/>
          <w:sz w:val="24"/>
        </w:rPr>
        <w:t xml:space="preserve"> </w:t>
      </w:r>
      <w:r>
        <w:rPr>
          <w:sz w:val="24"/>
        </w:rPr>
        <w:t>bottle</w:t>
      </w:r>
      <w:r>
        <w:rPr>
          <w:spacing w:val="1"/>
          <w:sz w:val="24"/>
        </w:rPr>
        <w:t xml:space="preserve"> </w:t>
      </w:r>
      <w:r>
        <w:rPr>
          <w:sz w:val="24"/>
        </w:rPr>
        <w:t>(first</w:t>
      </w:r>
      <w:r>
        <w:rPr>
          <w:spacing w:val="12"/>
          <w:sz w:val="24"/>
        </w:rPr>
        <w:t xml:space="preserve"> </w:t>
      </w:r>
      <w:r>
        <w:rPr>
          <w:sz w:val="24"/>
        </w:rPr>
        <w:t>time</w:t>
      </w:r>
      <w:r>
        <w:rPr>
          <w:spacing w:val="1"/>
          <w:sz w:val="24"/>
        </w:rPr>
        <w:t xml:space="preserve"> </w:t>
      </w:r>
      <w:r>
        <w:rPr>
          <w:spacing w:val="-2"/>
          <w:sz w:val="24"/>
        </w:rPr>
        <w:t>only).</w:t>
      </w:r>
    </w:p>
    <w:p w14:paraId="45E55534" w14:textId="77777777" w:rsidR="001825E2" w:rsidRDefault="000839A5" w:rsidP="00CB00A7">
      <w:pPr>
        <w:spacing w:line="247" w:lineRule="auto"/>
        <w:ind w:left="564"/>
        <w:rPr>
          <w:sz w:val="24"/>
        </w:rPr>
      </w:pPr>
      <w:r>
        <w:rPr>
          <w:b/>
          <w:sz w:val="24"/>
        </w:rPr>
        <w:t>Do</w:t>
      </w:r>
      <w:r>
        <w:rPr>
          <w:b/>
          <w:spacing w:val="-2"/>
          <w:sz w:val="24"/>
        </w:rPr>
        <w:t xml:space="preserve"> </w:t>
      </w:r>
      <w:r>
        <w:rPr>
          <w:b/>
          <w:sz w:val="24"/>
        </w:rPr>
        <w:t>not</w:t>
      </w:r>
      <w:r>
        <w:rPr>
          <w:b/>
          <w:spacing w:val="-7"/>
          <w:sz w:val="24"/>
        </w:rPr>
        <w:t xml:space="preserve"> </w:t>
      </w:r>
      <w:r>
        <w:rPr>
          <w:b/>
          <w:sz w:val="24"/>
        </w:rPr>
        <w:t>throw away</w:t>
      </w:r>
      <w:r>
        <w:rPr>
          <w:b/>
          <w:spacing w:val="-2"/>
          <w:sz w:val="24"/>
        </w:rPr>
        <w:t xml:space="preserve"> </w:t>
      </w:r>
      <w:r>
        <w:rPr>
          <w:b/>
          <w:sz w:val="24"/>
        </w:rPr>
        <w:t>the</w:t>
      </w:r>
      <w:r>
        <w:rPr>
          <w:b/>
          <w:spacing w:val="-4"/>
          <w:sz w:val="24"/>
        </w:rPr>
        <w:t xml:space="preserve"> </w:t>
      </w:r>
      <w:r>
        <w:rPr>
          <w:b/>
          <w:sz w:val="24"/>
        </w:rPr>
        <w:t>child-resistant</w:t>
      </w:r>
      <w:r>
        <w:rPr>
          <w:b/>
          <w:spacing w:val="-7"/>
          <w:sz w:val="24"/>
        </w:rPr>
        <w:t xml:space="preserve"> </w:t>
      </w:r>
      <w:r>
        <w:rPr>
          <w:b/>
          <w:sz w:val="24"/>
        </w:rPr>
        <w:t xml:space="preserve">cap. Note: </w:t>
      </w:r>
      <w:r>
        <w:rPr>
          <w:sz w:val="24"/>
        </w:rPr>
        <w:t>The</w:t>
      </w:r>
      <w:r>
        <w:rPr>
          <w:spacing w:val="-4"/>
          <w:sz w:val="24"/>
        </w:rPr>
        <w:t xml:space="preserve"> </w:t>
      </w:r>
      <w:r>
        <w:rPr>
          <w:sz w:val="24"/>
        </w:rPr>
        <w:t>bottle</w:t>
      </w:r>
      <w:r>
        <w:rPr>
          <w:spacing w:val="-4"/>
          <w:sz w:val="24"/>
        </w:rPr>
        <w:t xml:space="preserve"> </w:t>
      </w:r>
      <w:r>
        <w:rPr>
          <w:sz w:val="24"/>
        </w:rPr>
        <w:t>does</w:t>
      </w:r>
      <w:r>
        <w:rPr>
          <w:spacing w:val="-6"/>
          <w:sz w:val="24"/>
        </w:rPr>
        <w:t xml:space="preserve"> </w:t>
      </w:r>
      <w:r>
        <w:rPr>
          <w:b/>
          <w:sz w:val="24"/>
        </w:rPr>
        <w:t>not</w:t>
      </w:r>
      <w:r>
        <w:rPr>
          <w:b/>
          <w:spacing w:val="-7"/>
          <w:sz w:val="24"/>
        </w:rPr>
        <w:t xml:space="preserve"> </w:t>
      </w:r>
      <w:r>
        <w:rPr>
          <w:sz w:val="24"/>
        </w:rPr>
        <w:t>need to</w:t>
      </w:r>
      <w:r>
        <w:rPr>
          <w:spacing w:val="-2"/>
          <w:sz w:val="24"/>
        </w:rPr>
        <w:t xml:space="preserve"> </w:t>
      </w:r>
      <w:r>
        <w:rPr>
          <w:sz w:val="24"/>
        </w:rPr>
        <w:t>be</w:t>
      </w:r>
      <w:r>
        <w:rPr>
          <w:spacing w:val="-4"/>
          <w:sz w:val="24"/>
        </w:rPr>
        <w:t xml:space="preserve"> </w:t>
      </w:r>
      <w:r>
        <w:rPr>
          <w:sz w:val="24"/>
        </w:rPr>
        <w:t>shaken before use.</w:t>
      </w:r>
    </w:p>
    <w:p w14:paraId="0A027E2A" w14:textId="77777777" w:rsidR="001825E2" w:rsidRDefault="000839A5" w:rsidP="00CB00A7">
      <w:pPr>
        <w:pStyle w:val="ListParagraph"/>
        <w:numPr>
          <w:ilvl w:val="0"/>
          <w:numId w:val="10"/>
        </w:numPr>
        <w:tabs>
          <w:tab w:val="left" w:pos="563"/>
        </w:tabs>
        <w:ind w:left="563" w:right="203" w:hanging="344"/>
        <w:rPr>
          <w:sz w:val="24"/>
        </w:rPr>
      </w:pPr>
      <w:r>
        <w:rPr>
          <w:sz w:val="24"/>
        </w:rPr>
        <w:t>Remove the press-in bottle adaptor and oral dosing syringe from the plastic overwrap. With the bottle on a</w:t>
      </w:r>
      <w:r>
        <w:rPr>
          <w:spacing w:val="-6"/>
          <w:sz w:val="24"/>
        </w:rPr>
        <w:t xml:space="preserve"> </w:t>
      </w:r>
      <w:r>
        <w:rPr>
          <w:sz w:val="24"/>
        </w:rPr>
        <w:t>flat surface, push the</w:t>
      </w:r>
      <w:r>
        <w:rPr>
          <w:spacing w:val="-6"/>
          <w:sz w:val="24"/>
        </w:rPr>
        <w:t xml:space="preserve"> </w:t>
      </w:r>
      <w:r>
        <w:rPr>
          <w:sz w:val="24"/>
        </w:rPr>
        <w:t>ribbed end of the press-in bottle adaptor all the way into the neck of</w:t>
      </w:r>
      <w:r>
        <w:rPr>
          <w:spacing w:val="40"/>
          <w:sz w:val="24"/>
        </w:rPr>
        <w:t xml:space="preserve"> </w:t>
      </w:r>
      <w:r>
        <w:rPr>
          <w:sz w:val="24"/>
        </w:rPr>
        <w:t>the bottle pressing down with thumbs while</w:t>
      </w:r>
      <w:r>
        <w:rPr>
          <w:spacing w:val="40"/>
          <w:sz w:val="24"/>
        </w:rPr>
        <w:t xml:space="preserve"> </w:t>
      </w:r>
      <w:r>
        <w:rPr>
          <w:sz w:val="24"/>
        </w:rPr>
        <w:t xml:space="preserve">holding the bottle </w:t>
      </w:r>
      <w:r>
        <w:rPr>
          <w:spacing w:val="-2"/>
          <w:sz w:val="24"/>
        </w:rPr>
        <w:t>firmly.</w:t>
      </w:r>
    </w:p>
    <w:p w14:paraId="1CAED5AB" w14:textId="77777777" w:rsidR="001825E2" w:rsidRDefault="000839A5" w:rsidP="00CB00A7">
      <w:pPr>
        <w:pStyle w:val="Heading3"/>
        <w:spacing w:before="0" w:line="273" w:lineRule="exact"/>
        <w:ind w:left="563"/>
      </w:pPr>
      <w:r>
        <w:t>Do</w:t>
      </w:r>
      <w:r>
        <w:rPr>
          <w:spacing w:val="-8"/>
        </w:rPr>
        <w:t xml:space="preserve"> </w:t>
      </w:r>
      <w:r>
        <w:t>not</w:t>
      </w:r>
      <w:r>
        <w:rPr>
          <w:spacing w:val="-9"/>
        </w:rPr>
        <w:t xml:space="preserve"> </w:t>
      </w:r>
      <w:r>
        <w:t>remove</w:t>
      </w:r>
      <w:r>
        <w:rPr>
          <w:spacing w:val="-7"/>
        </w:rPr>
        <w:t xml:space="preserve"> </w:t>
      </w:r>
      <w:r>
        <w:t>the</w:t>
      </w:r>
      <w:r>
        <w:rPr>
          <w:spacing w:val="6"/>
        </w:rPr>
        <w:t xml:space="preserve"> </w:t>
      </w:r>
      <w:r>
        <w:t>press-in</w:t>
      </w:r>
      <w:r>
        <w:rPr>
          <w:spacing w:val="10"/>
        </w:rPr>
        <w:t xml:space="preserve"> </w:t>
      </w:r>
      <w:r>
        <w:t>bottle</w:t>
      </w:r>
      <w:r>
        <w:rPr>
          <w:spacing w:val="7"/>
        </w:rPr>
        <w:t xml:space="preserve"> </w:t>
      </w:r>
      <w:r>
        <w:t>adaptor</w:t>
      </w:r>
      <w:r>
        <w:rPr>
          <w:spacing w:val="-7"/>
        </w:rPr>
        <w:t xml:space="preserve"> </w:t>
      </w:r>
      <w:r>
        <w:t>from</w:t>
      </w:r>
      <w:r>
        <w:rPr>
          <w:spacing w:val="-10"/>
        </w:rPr>
        <w:t xml:space="preserve"> </w:t>
      </w:r>
      <w:r>
        <w:t>the</w:t>
      </w:r>
      <w:r>
        <w:rPr>
          <w:spacing w:val="7"/>
        </w:rPr>
        <w:t xml:space="preserve"> </w:t>
      </w:r>
      <w:r>
        <w:t>bottle</w:t>
      </w:r>
      <w:r>
        <w:rPr>
          <w:spacing w:val="6"/>
        </w:rPr>
        <w:t xml:space="preserve"> </w:t>
      </w:r>
      <w:r>
        <w:t>after</w:t>
      </w:r>
      <w:r>
        <w:rPr>
          <w:spacing w:val="-7"/>
        </w:rPr>
        <w:t xml:space="preserve"> </w:t>
      </w:r>
      <w:r>
        <w:t>it</w:t>
      </w:r>
      <w:r>
        <w:rPr>
          <w:spacing w:val="-9"/>
        </w:rPr>
        <w:t xml:space="preserve"> </w:t>
      </w:r>
      <w:r>
        <w:t>is</w:t>
      </w:r>
      <w:r>
        <w:rPr>
          <w:spacing w:val="5"/>
        </w:rPr>
        <w:t xml:space="preserve"> </w:t>
      </w:r>
      <w:r>
        <w:rPr>
          <w:spacing w:val="-2"/>
        </w:rPr>
        <w:t>inserted.</w:t>
      </w:r>
    </w:p>
    <w:p w14:paraId="7A47D4BD" w14:textId="77777777" w:rsidR="001825E2" w:rsidRDefault="000839A5" w:rsidP="00CB00A7">
      <w:pPr>
        <w:pStyle w:val="ListParagraph"/>
        <w:numPr>
          <w:ilvl w:val="0"/>
          <w:numId w:val="10"/>
        </w:numPr>
        <w:tabs>
          <w:tab w:val="left" w:pos="561"/>
          <w:tab w:val="left" w:pos="563"/>
        </w:tabs>
        <w:spacing w:line="247" w:lineRule="auto"/>
        <w:ind w:left="563" w:right="217" w:hanging="346"/>
        <w:rPr>
          <w:sz w:val="24"/>
        </w:rPr>
      </w:pPr>
      <w:r>
        <w:rPr>
          <w:sz w:val="24"/>
        </w:rPr>
        <w:t>Remove air from oral dosing syringe by pushing the oral dosing syringe plunger all the way to the tip of the</w:t>
      </w:r>
      <w:r>
        <w:rPr>
          <w:spacing w:val="-1"/>
          <w:sz w:val="24"/>
        </w:rPr>
        <w:t xml:space="preserve"> </w:t>
      </w:r>
      <w:r>
        <w:rPr>
          <w:sz w:val="24"/>
        </w:rPr>
        <w:t>syringe</w:t>
      </w:r>
      <w:r>
        <w:rPr>
          <w:spacing w:val="40"/>
          <w:sz w:val="24"/>
        </w:rPr>
        <w:t xml:space="preserve"> </w:t>
      </w:r>
      <w:r>
        <w:rPr>
          <w:sz w:val="24"/>
        </w:rPr>
        <w:t>barrel.</w:t>
      </w:r>
    </w:p>
    <w:p w14:paraId="30B94BC6" w14:textId="77777777" w:rsidR="001825E2" w:rsidRDefault="001825E2" w:rsidP="00CB00A7">
      <w:pPr>
        <w:spacing w:line="247" w:lineRule="auto"/>
        <w:rPr>
          <w:sz w:val="24"/>
        </w:rPr>
        <w:sectPr w:rsidR="001825E2">
          <w:pgSz w:w="11910" w:h="16850"/>
          <w:pgMar w:top="1360" w:right="1220" w:bottom="980" w:left="1220" w:header="0" w:footer="785" w:gutter="0"/>
          <w:cols w:space="720"/>
        </w:sectPr>
      </w:pPr>
    </w:p>
    <w:p w14:paraId="4F9CC12C" w14:textId="77777777" w:rsidR="001825E2" w:rsidRDefault="000839A5" w:rsidP="00CB00A7">
      <w:pPr>
        <w:pStyle w:val="ListParagraph"/>
        <w:numPr>
          <w:ilvl w:val="0"/>
          <w:numId w:val="10"/>
        </w:numPr>
        <w:tabs>
          <w:tab w:val="left" w:pos="564"/>
        </w:tabs>
        <w:spacing w:before="80" w:line="235" w:lineRule="auto"/>
        <w:ind w:left="564" w:right="233"/>
        <w:rPr>
          <w:sz w:val="24"/>
        </w:rPr>
      </w:pPr>
      <w:bookmarkStart w:id="20" w:name="Dosage_Adjustments_-_Interactions_with_O"/>
      <w:bookmarkEnd w:id="20"/>
      <w:r>
        <w:rPr>
          <w:sz w:val="24"/>
        </w:rPr>
        <w:lastRenderedPageBreak/>
        <w:t>Insert the oral dosing</w:t>
      </w:r>
      <w:r>
        <w:rPr>
          <w:spacing w:val="28"/>
          <w:sz w:val="24"/>
        </w:rPr>
        <w:t xml:space="preserve"> </w:t>
      </w:r>
      <w:r>
        <w:rPr>
          <w:sz w:val="24"/>
        </w:rPr>
        <w:t>syringe</w:t>
      </w:r>
      <w:r>
        <w:rPr>
          <w:spacing w:val="26"/>
          <w:sz w:val="24"/>
        </w:rPr>
        <w:t xml:space="preserve"> </w:t>
      </w:r>
      <w:r>
        <w:rPr>
          <w:sz w:val="24"/>
        </w:rPr>
        <w:t>into the upright bottle through</w:t>
      </w:r>
      <w:r>
        <w:rPr>
          <w:spacing w:val="28"/>
          <w:sz w:val="24"/>
        </w:rPr>
        <w:t xml:space="preserve"> </w:t>
      </w:r>
      <w:r>
        <w:rPr>
          <w:sz w:val="24"/>
        </w:rPr>
        <w:t>the opening</w:t>
      </w:r>
      <w:r>
        <w:rPr>
          <w:spacing w:val="28"/>
          <w:sz w:val="24"/>
        </w:rPr>
        <w:t xml:space="preserve"> </w:t>
      </w:r>
      <w:r>
        <w:rPr>
          <w:sz w:val="24"/>
        </w:rPr>
        <w:t>of</w:t>
      </w:r>
      <w:r>
        <w:rPr>
          <w:spacing w:val="23"/>
          <w:sz w:val="24"/>
        </w:rPr>
        <w:t xml:space="preserve"> </w:t>
      </w:r>
      <w:r>
        <w:rPr>
          <w:sz w:val="24"/>
        </w:rPr>
        <w:t>the press-in bottle</w:t>
      </w:r>
      <w:r>
        <w:rPr>
          <w:spacing w:val="-3"/>
          <w:sz w:val="24"/>
        </w:rPr>
        <w:t xml:space="preserve"> </w:t>
      </w:r>
      <w:r>
        <w:rPr>
          <w:sz w:val="24"/>
        </w:rPr>
        <w:t>adaptor</w:t>
      </w:r>
      <w:r>
        <w:rPr>
          <w:spacing w:val="-7"/>
          <w:sz w:val="24"/>
        </w:rPr>
        <w:t xml:space="preserve"> </w:t>
      </w:r>
      <w:r>
        <w:rPr>
          <w:sz w:val="24"/>
        </w:rPr>
        <w:t>until it is firmly in place.</w:t>
      </w:r>
    </w:p>
    <w:p w14:paraId="4BAB9172" w14:textId="77777777" w:rsidR="001825E2" w:rsidRDefault="000839A5" w:rsidP="00CB00A7">
      <w:pPr>
        <w:pStyle w:val="ListParagraph"/>
        <w:numPr>
          <w:ilvl w:val="0"/>
          <w:numId w:val="10"/>
        </w:numPr>
        <w:tabs>
          <w:tab w:val="left" w:pos="564"/>
        </w:tabs>
        <w:spacing w:before="10" w:line="242" w:lineRule="auto"/>
        <w:ind w:left="564" w:right="217"/>
        <w:rPr>
          <w:sz w:val="24"/>
        </w:rPr>
      </w:pPr>
      <w:r>
        <w:rPr>
          <w:sz w:val="24"/>
        </w:rPr>
        <w:t>With the oral dosing syringe</w:t>
      </w:r>
      <w:r>
        <w:rPr>
          <w:spacing w:val="26"/>
          <w:sz w:val="24"/>
        </w:rPr>
        <w:t xml:space="preserve"> </w:t>
      </w:r>
      <w:r>
        <w:rPr>
          <w:sz w:val="24"/>
        </w:rPr>
        <w:t>in</w:t>
      </w:r>
      <w:r>
        <w:rPr>
          <w:spacing w:val="28"/>
          <w:sz w:val="24"/>
        </w:rPr>
        <w:t xml:space="preserve"> </w:t>
      </w:r>
      <w:r>
        <w:rPr>
          <w:sz w:val="24"/>
        </w:rPr>
        <w:t>place,</w:t>
      </w:r>
      <w:r>
        <w:rPr>
          <w:spacing w:val="28"/>
          <w:sz w:val="24"/>
        </w:rPr>
        <w:t xml:space="preserve"> </w:t>
      </w:r>
      <w:r>
        <w:rPr>
          <w:sz w:val="24"/>
        </w:rPr>
        <w:t>turn</w:t>
      </w:r>
      <w:r>
        <w:rPr>
          <w:spacing w:val="-7"/>
          <w:sz w:val="24"/>
        </w:rPr>
        <w:t xml:space="preserve"> </w:t>
      </w:r>
      <w:r>
        <w:rPr>
          <w:sz w:val="24"/>
        </w:rPr>
        <w:t>the bottle</w:t>
      </w:r>
      <w:r>
        <w:rPr>
          <w:spacing w:val="-10"/>
          <w:sz w:val="24"/>
        </w:rPr>
        <w:t xml:space="preserve"> </w:t>
      </w:r>
      <w:r>
        <w:rPr>
          <w:sz w:val="24"/>
        </w:rPr>
        <w:t>upside down.</w:t>
      </w:r>
      <w:r>
        <w:rPr>
          <w:spacing w:val="-7"/>
          <w:sz w:val="24"/>
        </w:rPr>
        <w:t xml:space="preserve"> </w:t>
      </w:r>
      <w:r>
        <w:rPr>
          <w:sz w:val="24"/>
        </w:rPr>
        <w:t>Pull back</w:t>
      </w:r>
      <w:r>
        <w:rPr>
          <w:spacing w:val="28"/>
          <w:sz w:val="24"/>
        </w:rPr>
        <w:t xml:space="preserve"> </w:t>
      </w:r>
      <w:r>
        <w:rPr>
          <w:sz w:val="24"/>
        </w:rPr>
        <w:t>the</w:t>
      </w:r>
      <w:r>
        <w:rPr>
          <w:spacing w:val="-10"/>
          <w:sz w:val="24"/>
        </w:rPr>
        <w:t xml:space="preserve"> </w:t>
      </w:r>
      <w:r>
        <w:rPr>
          <w:sz w:val="24"/>
        </w:rPr>
        <w:t>plunger. If there are air bubbles</w:t>
      </w:r>
      <w:r>
        <w:rPr>
          <w:spacing w:val="26"/>
          <w:sz w:val="24"/>
        </w:rPr>
        <w:t xml:space="preserve"> </w:t>
      </w:r>
      <w:r>
        <w:rPr>
          <w:sz w:val="24"/>
        </w:rPr>
        <w:t>in the oral dosing syringe, fully push the plunger in to empty the</w:t>
      </w:r>
      <w:r>
        <w:rPr>
          <w:spacing w:val="40"/>
          <w:sz w:val="24"/>
        </w:rPr>
        <w:t xml:space="preserve"> </w:t>
      </w:r>
      <w:r>
        <w:rPr>
          <w:sz w:val="24"/>
        </w:rPr>
        <w:t>solution back into the</w:t>
      </w:r>
      <w:r>
        <w:rPr>
          <w:spacing w:val="-8"/>
          <w:sz w:val="24"/>
        </w:rPr>
        <w:t xml:space="preserve"> </w:t>
      </w:r>
      <w:r>
        <w:rPr>
          <w:sz w:val="24"/>
        </w:rPr>
        <w:t>bottle. Then withdraw the</w:t>
      </w:r>
      <w:r>
        <w:rPr>
          <w:spacing w:val="-8"/>
          <w:sz w:val="24"/>
        </w:rPr>
        <w:t xml:space="preserve"> </w:t>
      </w:r>
      <w:r>
        <w:rPr>
          <w:sz w:val="24"/>
        </w:rPr>
        <w:t>prescribed dose of solution.</w:t>
      </w:r>
    </w:p>
    <w:p w14:paraId="0FF7A1CD" w14:textId="77777777" w:rsidR="001825E2" w:rsidRDefault="000839A5" w:rsidP="00CB00A7">
      <w:pPr>
        <w:pStyle w:val="ListParagraph"/>
        <w:numPr>
          <w:ilvl w:val="0"/>
          <w:numId w:val="10"/>
        </w:numPr>
        <w:tabs>
          <w:tab w:val="left" w:pos="564"/>
        </w:tabs>
        <w:spacing w:line="242" w:lineRule="auto"/>
        <w:ind w:left="564" w:right="204"/>
        <w:rPr>
          <w:sz w:val="24"/>
        </w:rPr>
      </w:pPr>
      <w:r>
        <w:rPr>
          <w:sz w:val="24"/>
        </w:rPr>
        <w:t>Turn the bottle upright and place the bottle on a flat surface. Remove the oral dosing syringe</w:t>
      </w:r>
      <w:r>
        <w:rPr>
          <w:spacing w:val="-3"/>
          <w:sz w:val="24"/>
        </w:rPr>
        <w:t xml:space="preserve"> </w:t>
      </w:r>
      <w:r>
        <w:rPr>
          <w:sz w:val="24"/>
        </w:rPr>
        <w:t>from</w:t>
      </w:r>
      <w:r>
        <w:rPr>
          <w:spacing w:val="-8"/>
          <w:sz w:val="24"/>
        </w:rPr>
        <w:t xml:space="preserve"> </w:t>
      </w:r>
      <w:r>
        <w:rPr>
          <w:sz w:val="24"/>
        </w:rPr>
        <w:t>the</w:t>
      </w:r>
      <w:r>
        <w:rPr>
          <w:spacing w:val="-3"/>
          <w:sz w:val="24"/>
        </w:rPr>
        <w:t xml:space="preserve"> </w:t>
      </w:r>
      <w:r>
        <w:rPr>
          <w:sz w:val="24"/>
        </w:rPr>
        <w:t>bottle</w:t>
      </w:r>
      <w:r>
        <w:rPr>
          <w:spacing w:val="-3"/>
          <w:sz w:val="24"/>
        </w:rPr>
        <w:t xml:space="preserve"> </w:t>
      </w:r>
      <w:r>
        <w:rPr>
          <w:sz w:val="24"/>
        </w:rPr>
        <w:t>adaptor</w:t>
      </w:r>
      <w:r>
        <w:rPr>
          <w:spacing w:val="-6"/>
          <w:sz w:val="24"/>
        </w:rPr>
        <w:t xml:space="preserve"> </w:t>
      </w:r>
      <w:r>
        <w:rPr>
          <w:sz w:val="24"/>
        </w:rPr>
        <w:t>and bottle</w:t>
      </w:r>
      <w:r>
        <w:rPr>
          <w:spacing w:val="-3"/>
          <w:sz w:val="24"/>
        </w:rPr>
        <w:t xml:space="preserve"> </w:t>
      </w:r>
      <w:r>
        <w:rPr>
          <w:sz w:val="24"/>
        </w:rPr>
        <w:t>by</w:t>
      </w:r>
      <w:r>
        <w:rPr>
          <w:spacing w:val="-1"/>
          <w:sz w:val="24"/>
        </w:rPr>
        <w:t xml:space="preserve"> </w:t>
      </w:r>
      <w:r>
        <w:rPr>
          <w:sz w:val="24"/>
        </w:rPr>
        <w:t>pulling straight up</w:t>
      </w:r>
      <w:r>
        <w:rPr>
          <w:spacing w:val="-1"/>
          <w:sz w:val="24"/>
        </w:rPr>
        <w:t xml:space="preserve"> </w:t>
      </w:r>
      <w:r>
        <w:rPr>
          <w:sz w:val="24"/>
        </w:rPr>
        <w:t>on</w:t>
      </w:r>
      <w:r>
        <w:rPr>
          <w:spacing w:val="-1"/>
          <w:sz w:val="24"/>
        </w:rPr>
        <w:t xml:space="preserve"> </w:t>
      </w:r>
      <w:r>
        <w:rPr>
          <w:sz w:val="24"/>
        </w:rPr>
        <w:t>the</w:t>
      </w:r>
      <w:r>
        <w:rPr>
          <w:spacing w:val="-3"/>
          <w:sz w:val="24"/>
        </w:rPr>
        <w:t xml:space="preserve"> </w:t>
      </w:r>
      <w:r>
        <w:rPr>
          <w:sz w:val="24"/>
        </w:rPr>
        <w:t>oral</w:t>
      </w:r>
      <w:r>
        <w:rPr>
          <w:spacing w:val="-8"/>
          <w:sz w:val="24"/>
        </w:rPr>
        <w:t xml:space="preserve"> </w:t>
      </w:r>
      <w:r>
        <w:rPr>
          <w:sz w:val="24"/>
        </w:rPr>
        <w:t>dosing</w:t>
      </w:r>
      <w:r>
        <w:rPr>
          <w:spacing w:val="-1"/>
          <w:sz w:val="24"/>
        </w:rPr>
        <w:t xml:space="preserve"> </w:t>
      </w:r>
      <w:r>
        <w:rPr>
          <w:sz w:val="24"/>
        </w:rPr>
        <w:t xml:space="preserve">syringe </w:t>
      </w:r>
      <w:r>
        <w:rPr>
          <w:spacing w:val="-2"/>
          <w:sz w:val="24"/>
        </w:rPr>
        <w:t>barrel.</w:t>
      </w:r>
    </w:p>
    <w:p w14:paraId="2A06F1B7" w14:textId="77777777" w:rsidR="001825E2" w:rsidRDefault="000839A5" w:rsidP="00CB00A7">
      <w:pPr>
        <w:pStyle w:val="ListParagraph"/>
        <w:numPr>
          <w:ilvl w:val="0"/>
          <w:numId w:val="10"/>
        </w:numPr>
        <w:tabs>
          <w:tab w:val="left" w:pos="564"/>
        </w:tabs>
        <w:spacing w:line="242" w:lineRule="auto"/>
        <w:ind w:left="564" w:right="212"/>
        <w:rPr>
          <w:sz w:val="24"/>
        </w:rPr>
      </w:pPr>
      <w:r>
        <w:rPr>
          <w:sz w:val="24"/>
        </w:rPr>
        <w:t>Check the correct dose was drawn up into the oral dosing syringe. If the dose is not correct, insert the oral dosing syringe tip firmly into the bottle adaptor. Fully push in the plunger so that the solution flows back into the bottle.</w:t>
      </w:r>
      <w:r>
        <w:rPr>
          <w:spacing w:val="-6"/>
          <w:sz w:val="24"/>
        </w:rPr>
        <w:t xml:space="preserve"> </w:t>
      </w:r>
      <w:r>
        <w:rPr>
          <w:sz w:val="24"/>
        </w:rPr>
        <w:t>Repeat Steps 6 and 7.</w:t>
      </w:r>
    </w:p>
    <w:p w14:paraId="6773D4D1" w14:textId="77777777" w:rsidR="001825E2" w:rsidRDefault="000839A5" w:rsidP="00CB00A7">
      <w:pPr>
        <w:pStyle w:val="ListParagraph"/>
        <w:numPr>
          <w:ilvl w:val="0"/>
          <w:numId w:val="10"/>
        </w:numPr>
        <w:tabs>
          <w:tab w:val="left" w:pos="563"/>
        </w:tabs>
        <w:spacing w:line="242" w:lineRule="auto"/>
        <w:ind w:left="563" w:right="204"/>
        <w:rPr>
          <w:sz w:val="24"/>
        </w:rPr>
      </w:pPr>
      <w:r>
        <w:rPr>
          <w:sz w:val="24"/>
        </w:rPr>
        <w:t>Place the tip of the oral</w:t>
      </w:r>
      <w:r>
        <w:rPr>
          <w:spacing w:val="-11"/>
          <w:sz w:val="24"/>
        </w:rPr>
        <w:t xml:space="preserve"> </w:t>
      </w:r>
      <w:r>
        <w:rPr>
          <w:sz w:val="24"/>
        </w:rPr>
        <w:t>dosing syringe into the inside of the patient’s cheek. Slowly push the plunger all the way down to give all the medicine in the oral dosing syringe. Make</w:t>
      </w:r>
      <w:r>
        <w:rPr>
          <w:spacing w:val="40"/>
          <w:sz w:val="24"/>
        </w:rPr>
        <w:t xml:space="preserve"> </w:t>
      </w:r>
      <w:r>
        <w:rPr>
          <w:sz w:val="24"/>
        </w:rPr>
        <w:t>sure the</w:t>
      </w:r>
      <w:r>
        <w:rPr>
          <w:spacing w:val="-5"/>
          <w:sz w:val="24"/>
        </w:rPr>
        <w:t xml:space="preserve"> </w:t>
      </w:r>
      <w:r>
        <w:rPr>
          <w:sz w:val="24"/>
        </w:rPr>
        <w:t>patient has time to</w:t>
      </w:r>
      <w:r>
        <w:rPr>
          <w:spacing w:val="-3"/>
          <w:sz w:val="24"/>
        </w:rPr>
        <w:t xml:space="preserve"> </w:t>
      </w:r>
      <w:r>
        <w:rPr>
          <w:sz w:val="24"/>
        </w:rPr>
        <w:t>swallow the medicine.</w:t>
      </w:r>
    </w:p>
    <w:p w14:paraId="61B83FDF" w14:textId="77777777" w:rsidR="001825E2" w:rsidRDefault="000839A5" w:rsidP="00CB00A7">
      <w:pPr>
        <w:pStyle w:val="ListParagraph"/>
        <w:numPr>
          <w:ilvl w:val="0"/>
          <w:numId w:val="10"/>
        </w:numPr>
        <w:tabs>
          <w:tab w:val="left" w:pos="562"/>
        </w:tabs>
        <w:spacing w:line="235" w:lineRule="auto"/>
        <w:ind w:left="562" w:right="214"/>
        <w:rPr>
          <w:sz w:val="24"/>
        </w:rPr>
      </w:pPr>
      <w:r>
        <w:rPr>
          <w:sz w:val="24"/>
        </w:rPr>
        <w:t>Close the bottle tightly by turning the child-resistant cap clockwise, leaving the press-in bottle</w:t>
      </w:r>
      <w:r>
        <w:rPr>
          <w:spacing w:val="-2"/>
          <w:sz w:val="24"/>
        </w:rPr>
        <w:t xml:space="preserve"> </w:t>
      </w:r>
      <w:r>
        <w:rPr>
          <w:sz w:val="24"/>
        </w:rPr>
        <w:t>adaptor</w:t>
      </w:r>
      <w:r>
        <w:rPr>
          <w:spacing w:val="-5"/>
          <w:sz w:val="24"/>
        </w:rPr>
        <w:t xml:space="preserve"> </w:t>
      </w:r>
      <w:r>
        <w:rPr>
          <w:sz w:val="24"/>
        </w:rPr>
        <w:t>in place. Place</w:t>
      </w:r>
      <w:r>
        <w:rPr>
          <w:spacing w:val="-2"/>
          <w:sz w:val="24"/>
        </w:rPr>
        <w:t xml:space="preserve"> </w:t>
      </w:r>
      <w:r>
        <w:rPr>
          <w:sz w:val="24"/>
        </w:rPr>
        <w:t>the</w:t>
      </w:r>
      <w:r>
        <w:rPr>
          <w:spacing w:val="-2"/>
          <w:sz w:val="24"/>
        </w:rPr>
        <w:t xml:space="preserve"> </w:t>
      </w:r>
      <w:r>
        <w:rPr>
          <w:sz w:val="24"/>
        </w:rPr>
        <w:t>bottle</w:t>
      </w:r>
      <w:r>
        <w:rPr>
          <w:spacing w:val="-2"/>
          <w:sz w:val="24"/>
        </w:rPr>
        <w:t xml:space="preserve"> </w:t>
      </w:r>
      <w:r>
        <w:rPr>
          <w:sz w:val="24"/>
        </w:rPr>
        <w:t>back into the</w:t>
      </w:r>
      <w:r>
        <w:rPr>
          <w:spacing w:val="-2"/>
          <w:sz w:val="24"/>
        </w:rPr>
        <w:t xml:space="preserve"> </w:t>
      </w:r>
      <w:r>
        <w:rPr>
          <w:sz w:val="24"/>
        </w:rPr>
        <w:t>carton and close</w:t>
      </w:r>
      <w:r>
        <w:rPr>
          <w:spacing w:val="-2"/>
          <w:sz w:val="24"/>
        </w:rPr>
        <w:t xml:space="preserve"> </w:t>
      </w:r>
      <w:r>
        <w:rPr>
          <w:sz w:val="24"/>
        </w:rPr>
        <w:t>the</w:t>
      </w:r>
      <w:r>
        <w:rPr>
          <w:spacing w:val="-2"/>
          <w:sz w:val="24"/>
        </w:rPr>
        <w:t xml:space="preserve"> </w:t>
      </w:r>
      <w:r>
        <w:rPr>
          <w:sz w:val="24"/>
        </w:rPr>
        <w:t>carton to protect the solution from light.</w:t>
      </w:r>
    </w:p>
    <w:p w14:paraId="74774811" w14:textId="77777777" w:rsidR="001825E2" w:rsidRDefault="000839A5" w:rsidP="00CB00A7">
      <w:pPr>
        <w:pStyle w:val="ListParagraph"/>
        <w:numPr>
          <w:ilvl w:val="0"/>
          <w:numId w:val="10"/>
        </w:numPr>
        <w:tabs>
          <w:tab w:val="left" w:pos="560"/>
          <w:tab w:val="left" w:pos="562"/>
        </w:tabs>
        <w:ind w:left="562" w:right="213" w:hanging="346"/>
        <w:rPr>
          <w:b/>
          <w:sz w:val="24"/>
        </w:rPr>
      </w:pPr>
      <w:r>
        <w:rPr>
          <w:sz w:val="24"/>
        </w:rPr>
        <w:t>Remove the plunger</w:t>
      </w:r>
      <w:r>
        <w:rPr>
          <w:spacing w:val="-1"/>
          <w:sz w:val="24"/>
        </w:rPr>
        <w:t xml:space="preserve"> </w:t>
      </w:r>
      <w:r>
        <w:rPr>
          <w:sz w:val="24"/>
        </w:rPr>
        <w:t>from</w:t>
      </w:r>
      <w:r>
        <w:rPr>
          <w:spacing w:val="-3"/>
          <w:sz w:val="24"/>
        </w:rPr>
        <w:t xml:space="preserve"> </w:t>
      </w:r>
      <w:r>
        <w:rPr>
          <w:sz w:val="24"/>
        </w:rPr>
        <w:t>the barrel</w:t>
      </w:r>
      <w:r>
        <w:rPr>
          <w:spacing w:val="-3"/>
          <w:sz w:val="24"/>
        </w:rPr>
        <w:t xml:space="preserve"> </w:t>
      </w:r>
      <w:r>
        <w:rPr>
          <w:sz w:val="24"/>
        </w:rPr>
        <w:t>by pulling the plunger</w:t>
      </w:r>
      <w:r>
        <w:rPr>
          <w:spacing w:val="-1"/>
          <w:sz w:val="24"/>
        </w:rPr>
        <w:t xml:space="preserve"> </w:t>
      </w:r>
      <w:r>
        <w:rPr>
          <w:sz w:val="24"/>
        </w:rPr>
        <w:t>and the barrel away from</w:t>
      </w:r>
      <w:r>
        <w:rPr>
          <w:spacing w:val="-3"/>
          <w:sz w:val="24"/>
        </w:rPr>
        <w:t xml:space="preserve"> </w:t>
      </w:r>
      <w:r>
        <w:rPr>
          <w:sz w:val="24"/>
        </w:rPr>
        <w:t>each other. Rinse both with water after each use. Allow to air dry, then put the oral dosing syringe</w:t>
      </w:r>
      <w:r>
        <w:rPr>
          <w:spacing w:val="-1"/>
          <w:sz w:val="24"/>
        </w:rPr>
        <w:t xml:space="preserve"> </w:t>
      </w:r>
      <w:r>
        <w:rPr>
          <w:sz w:val="24"/>
        </w:rPr>
        <w:t>back together. Store</w:t>
      </w:r>
      <w:r>
        <w:rPr>
          <w:spacing w:val="-1"/>
          <w:sz w:val="24"/>
        </w:rPr>
        <w:t xml:space="preserve"> </w:t>
      </w:r>
      <w:r>
        <w:rPr>
          <w:sz w:val="24"/>
        </w:rPr>
        <w:t>the</w:t>
      </w:r>
      <w:r>
        <w:rPr>
          <w:spacing w:val="-1"/>
          <w:sz w:val="24"/>
        </w:rPr>
        <w:t xml:space="preserve"> </w:t>
      </w:r>
      <w:r>
        <w:rPr>
          <w:sz w:val="24"/>
        </w:rPr>
        <w:t>oral</w:t>
      </w:r>
      <w:r>
        <w:rPr>
          <w:spacing w:val="-6"/>
          <w:sz w:val="24"/>
        </w:rPr>
        <w:t xml:space="preserve"> </w:t>
      </w:r>
      <w:r>
        <w:rPr>
          <w:sz w:val="24"/>
        </w:rPr>
        <w:t>dosing syringe in the</w:t>
      </w:r>
      <w:r>
        <w:rPr>
          <w:spacing w:val="-1"/>
          <w:sz w:val="24"/>
        </w:rPr>
        <w:t xml:space="preserve"> </w:t>
      </w:r>
      <w:r>
        <w:rPr>
          <w:sz w:val="24"/>
        </w:rPr>
        <w:t>carton with the</w:t>
      </w:r>
      <w:r>
        <w:rPr>
          <w:spacing w:val="-1"/>
          <w:sz w:val="24"/>
        </w:rPr>
        <w:t xml:space="preserve"> </w:t>
      </w:r>
      <w:r>
        <w:rPr>
          <w:sz w:val="24"/>
        </w:rPr>
        <w:t>XELJANZ</w:t>
      </w:r>
      <w:r>
        <w:rPr>
          <w:spacing w:val="-11"/>
          <w:sz w:val="24"/>
        </w:rPr>
        <w:t xml:space="preserve"> </w:t>
      </w:r>
      <w:r>
        <w:rPr>
          <w:sz w:val="24"/>
        </w:rPr>
        <w:t xml:space="preserve">Oral Solution. </w:t>
      </w:r>
      <w:r>
        <w:rPr>
          <w:b/>
          <w:sz w:val="24"/>
        </w:rPr>
        <w:t>Do not throw away the oral</w:t>
      </w:r>
      <w:r>
        <w:rPr>
          <w:b/>
          <w:spacing w:val="-2"/>
          <w:sz w:val="24"/>
        </w:rPr>
        <w:t xml:space="preserve"> </w:t>
      </w:r>
      <w:r>
        <w:rPr>
          <w:b/>
          <w:sz w:val="24"/>
        </w:rPr>
        <w:t>dosing syringe until the medicine is finished.</w:t>
      </w:r>
    </w:p>
    <w:p w14:paraId="1F14B042" w14:textId="77777777" w:rsidR="001825E2" w:rsidRDefault="000839A5" w:rsidP="00CB00A7">
      <w:pPr>
        <w:pStyle w:val="BodyText"/>
        <w:spacing w:before="230" w:line="247" w:lineRule="auto"/>
        <w:ind w:left="219" w:right="211"/>
        <w:jc w:val="left"/>
      </w:pPr>
      <w:r>
        <w:t>Discard any remaining XELJANZ Oral Solution 60</w:t>
      </w:r>
      <w:r>
        <w:rPr>
          <w:spacing w:val="-2"/>
        </w:rPr>
        <w:t xml:space="preserve"> </w:t>
      </w:r>
      <w:r>
        <w:t>days after opening the</w:t>
      </w:r>
      <w:r>
        <w:rPr>
          <w:spacing w:val="-4"/>
        </w:rPr>
        <w:t xml:space="preserve"> </w:t>
      </w:r>
      <w:r>
        <w:t>bottle for</w:t>
      </w:r>
      <w:r>
        <w:rPr>
          <w:spacing w:val="-7"/>
        </w:rPr>
        <w:t xml:space="preserve"> </w:t>
      </w:r>
      <w:r>
        <w:t xml:space="preserve">the first </w:t>
      </w:r>
      <w:r>
        <w:rPr>
          <w:spacing w:val="-2"/>
        </w:rPr>
        <w:t>time.</w:t>
      </w:r>
    </w:p>
    <w:p w14:paraId="77BAA605" w14:textId="77777777" w:rsidR="001825E2" w:rsidRDefault="000839A5" w:rsidP="00CB00A7">
      <w:pPr>
        <w:pStyle w:val="Heading4"/>
        <w:spacing w:before="231" w:line="235" w:lineRule="auto"/>
        <w:ind w:left="219" w:right="239"/>
        <w:jc w:val="left"/>
      </w:pPr>
      <w:r>
        <w:t>Dosage Adjustments - Interactions with Other Medicines, Renal Impairment, Hepatic</w:t>
      </w:r>
      <w:r>
        <w:t xml:space="preserve"> Impairment, Lymphopenia, Neutropenia or </w:t>
      </w:r>
      <w:proofErr w:type="spellStart"/>
      <w:r>
        <w:t>Anaemia</w:t>
      </w:r>
      <w:proofErr w:type="spellEnd"/>
    </w:p>
    <w:p w14:paraId="4E800A0C" w14:textId="77777777" w:rsidR="001825E2" w:rsidRDefault="000839A5" w:rsidP="00CB00A7">
      <w:pPr>
        <w:pStyle w:val="BodyText"/>
        <w:spacing w:before="129" w:line="242" w:lineRule="auto"/>
        <w:ind w:left="217" w:right="201"/>
        <w:jc w:val="left"/>
      </w:pPr>
      <w:r>
        <w:t xml:space="preserve">Dosage adjustments for patients receiving CYP2C19 and/or CYP3A4 inhibitors and patients with renal or hepatic impairment, lymphopenia, </w:t>
      </w:r>
      <w:proofErr w:type="gramStart"/>
      <w:r>
        <w:t>neutropenia</w:t>
      </w:r>
      <w:proofErr w:type="gramEnd"/>
      <w:r>
        <w:t xml:space="preserve"> or </w:t>
      </w:r>
      <w:proofErr w:type="spellStart"/>
      <w:r>
        <w:t>anaemia</w:t>
      </w:r>
      <w:proofErr w:type="spellEnd"/>
      <w:r>
        <w:t xml:space="preserve"> are provided</w:t>
      </w:r>
      <w:r>
        <w:rPr>
          <w:spacing w:val="40"/>
        </w:rPr>
        <w:t xml:space="preserve"> </w:t>
      </w:r>
      <w:r>
        <w:t>in</w:t>
      </w:r>
      <w:r>
        <w:rPr>
          <w:spacing w:val="80"/>
        </w:rPr>
        <w:t xml:space="preserve"> </w:t>
      </w:r>
      <w:r>
        <w:t>Table 2.</w:t>
      </w:r>
    </w:p>
    <w:p w14:paraId="210E4E7F" w14:textId="77777777" w:rsidR="001825E2" w:rsidRDefault="001825E2" w:rsidP="00CB00A7">
      <w:pPr>
        <w:pStyle w:val="BodyText"/>
        <w:spacing w:before="9" w:after="1"/>
        <w:jc w:val="left"/>
        <w:rPr>
          <w:sz w:val="19"/>
        </w:rPr>
      </w:pPr>
    </w:p>
    <w:tbl>
      <w:tblPr>
        <w:tblW w:w="0" w:type="auto"/>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45"/>
        <w:gridCol w:w="4230"/>
      </w:tblGrid>
      <w:tr w:rsidR="001825E2" w14:paraId="6180A2BB" w14:textId="77777777">
        <w:trPr>
          <w:trHeight w:val="390"/>
        </w:trPr>
        <w:tc>
          <w:tcPr>
            <w:tcW w:w="9075" w:type="dxa"/>
            <w:gridSpan w:val="2"/>
          </w:tcPr>
          <w:p w14:paraId="3CE61356" w14:textId="77777777" w:rsidR="001825E2" w:rsidRDefault="000839A5" w:rsidP="00CB00A7">
            <w:pPr>
              <w:pStyle w:val="TableParagraph"/>
              <w:spacing w:before="1"/>
              <w:jc w:val="left"/>
              <w:rPr>
                <w:b/>
                <w:sz w:val="24"/>
              </w:rPr>
            </w:pPr>
            <w:r>
              <w:rPr>
                <w:b/>
                <w:sz w:val="24"/>
              </w:rPr>
              <w:t>Table</w:t>
            </w:r>
            <w:r>
              <w:rPr>
                <w:b/>
                <w:spacing w:val="-4"/>
                <w:sz w:val="24"/>
              </w:rPr>
              <w:t xml:space="preserve"> </w:t>
            </w:r>
            <w:r>
              <w:rPr>
                <w:b/>
                <w:sz w:val="24"/>
              </w:rPr>
              <w:t>2:</w:t>
            </w:r>
            <w:r>
              <w:rPr>
                <w:b/>
                <w:spacing w:val="25"/>
                <w:sz w:val="24"/>
              </w:rPr>
              <w:t xml:space="preserve">  </w:t>
            </w:r>
            <w:r>
              <w:rPr>
                <w:b/>
                <w:sz w:val="24"/>
              </w:rPr>
              <w:t>Recommended</w:t>
            </w:r>
            <w:r>
              <w:rPr>
                <w:b/>
                <w:spacing w:val="-1"/>
                <w:sz w:val="24"/>
              </w:rPr>
              <w:t xml:space="preserve"> </w:t>
            </w:r>
            <w:r>
              <w:rPr>
                <w:b/>
                <w:sz w:val="24"/>
              </w:rPr>
              <w:t>Dosage</w:t>
            </w:r>
            <w:r>
              <w:rPr>
                <w:b/>
                <w:spacing w:val="-3"/>
                <w:sz w:val="24"/>
              </w:rPr>
              <w:t xml:space="preserve"> </w:t>
            </w:r>
            <w:r>
              <w:rPr>
                <w:b/>
                <w:spacing w:val="-2"/>
                <w:sz w:val="24"/>
              </w:rPr>
              <w:t>Adjustments</w:t>
            </w:r>
          </w:p>
        </w:tc>
      </w:tr>
      <w:tr w:rsidR="001825E2" w14:paraId="70B07054" w14:textId="77777777">
        <w:trPr>
          <w:trHeight w:val="315"/>
        </w:trPr>
        <w:tc>
          <w:tcPr>
            <w:tcW w:w="9075" w:type="dxa"/>
            <w:gridSpan w:val="2"/>
          </w:tcPr>
          <w:p w14:paraId="1EEFCDA2" w14:textId="77777777" w:rsidR="001825E2" w:rsidRDefault="000839A5" w:rsidP="00CB00A7">
            <w:pPr>
              <w:pStyle w:val="TableParagraph"/>
              <w:spacing w:before="31" w:line="264" w:lineRule="exact"/>
              <w:ind w:left="15" w:right="20"/>
              <w:jc w:val="left"/>
              <w:rPr>
                <w:b/>
                <w:i/>
                <w:sz w:val="16"/>
              </w:rPr>
            </w:pPr>
            <w:r>
              <w:rPr>
                <w:b/>
                <w:i/>
                <w:sz w:val="24"/>
              </w:rPr>
              <w:t>Interactions</w:t>
            </w:r>
            <w:r>
              <w:rPr>
                <w:b/>
                <w:i/>
                <w:spacing w:val="9"/>
                <w:sz w:val="24"/>
              </w:rPr>
              <w:t xml:space="preserve"> </w:t>
            </w:r>
            <w:r>
              <w:rPr>
                <w:b/>
                <w:i/>
                <w:sz w:val="24"/>
              </w:rPr>
              <w:t>with</w:t>
            </w:r>
            <w:r>
              <w:rPr>
                <w:b/>
                <w:i/>
                <w:spacing w:val="1"/>
                <w:sz w:val="24"/>
              </w:rPr>
              <w:t xml:space="preserve"> </w:t>
            </w:r>
            <w:r>
              <w:rPr>
                <w:b/>
                <w:i/>
                <w:sz w:val="24"/>
              </w:rPr>
              <w:t>Other</w:t>
            </w:r>
            <w:r>
              <w:rPr>
                <w:b/>
                <w:i/>
                <w:spacing w:val="-15"/>
                <w:sz w:val="24"/>
              </w:rPr>
              <w:t xml:space="preserve"> </w:t>
            </w:r>
            <w:r>
              <w:rPr>
                <w:b/>
                <w:i/>
                <w:spacing w:val="-2"/>
                <w:sz w:val="24"/>
              </w:rPr>
              <w:t>Medicines</w:t>
            </w:r>
            <w:r>
              <w:rPr>
                <w:b/>
                <w:i/>
                <w:spacing w:val="-2"/>
                <w:position w:val="7"/>
                <w:sz w:val="16"/>
              </w:rPr>
              <w:t>1</w:t>
            </w:r>
          </w:p>
        </w:tc>
      </w:tr>
      <w:tr w:rsidR="001825E2" w14:paraId="1A2BC4A7" w14:textId="77777777">
        <w:trPr>
          <w:trHeight w:val="2138"/>
        </w:trPr>
        <w:tc>
          <w:tcPr>
            <w:tcW w:w="4845" w:type="dxa"/>
            <w:tcBorders>
              <w:bottom w:val="nil"/>
            </w:tcBorders>
          </w:tcPr>
          <w:p w14:paraId="3BD2345C" w14:textId="77777777" w:rsidR="001825E2" w:rsidRDefault="000839A5" w:rsidP="00CB00A7">
            <w:pPr>
              <w:pStyle w:val="TableParagraph"/>
              <w:spacing w:before="16"/>
              <w:jc w:val="left"/>
              <w:rPr>
                <w:sz w:val="24"/>
              </w:rPr>
            </w:pPr>
            <w:r>
              <w:rPr>
                <w:sz w:val="24"/>
              </w:rPr>
              <w:t>Patients</w:t>
            </w:r>
            <w:r>
              <w:rPr>
                <w:spacing w:val="2"/>
                <w:sz w:val="24"/>
              </w:rPr>
              <w:t xml:space="preserve"> </w:t>
            </w:r>
            <w:r>
              <w:rPr>
                <w:spacing w:val="-2"/>
                <w:sz w:val="24"/>
              </w:rPr>
              <w:t>receiving:</w:t>
            </w:r>
          </w:p>
          <w:p w14:paraId="0A2F925B" w14:textId="77777777" w:rsidR="001825E2" w:rsidRDefault="000839A5" w:rsidP="00CB00A7">
            <w:pPr>
              <w:pStyle w:val="TableParagraph"/>
              <w:numPr>
                <w:ilvl w:val="0"/>
                <w:numId w:val="9"/>
              </w:numPr>
              <w:tabs>
                <w:tab w:val="left" w:pos="276"/>
              </w:tabs>
              <w:spacing w:before="21" w:line="247" w:lineRule="auto"/>
              <w:ind w:right="2027"/>
              <w:jc w:val="left"/>
              <w:rPr>
                <w:sz w:val="24"/>
              </w:rPr>
            </w:pPr>
            <w:r>
              <w:rPr>
                <w:sz w:val="24"/>
              </w:rPr>
              <w:t>Potent</w:t>
            </w:r>
            <w:r>
              <w:rPr>
                <w:spacing w:val="-15"/>
                <w:sz w:val="24"/>
              </w:rPr>
              <w:t xml:space="preserve"> </w:t>
            </w:r>
            <w:r>
              <w:rPr>
                <w:sz w:val="24"/>
              </w:rPr>
              <w:t>CYP3A4</w:t>
            </w:r>
            <w:r>
              <w:rPr>
                <w:spacing w:val="-15"/>
                <w:sz w:val="24"/>
              </w:rPr>
              <w:t xml:space="preserve"> </w:t>
            </w:r>
            <w:r>
              <w:rPr>
                <w:sz w:val="24"/>
              </w:rPr>
              <w:t>inhibitors (e.g., ketoconazole) or</w:t>
            </w:r>
          </w:p>
          <w:p w14:paraId="5E0E53DF" w14:textId="77777777" w:rsidR="001825E2" w:rsidRDefault="000839A5" w:rsidP="00CB00A7">
            <w:pPr>
              <w:pStyle w:val="TableParagraph"/>
              <w:numPr>
                <w:ilvl w:val="0"/>
                <w:numId w:val="9"/>
              </w:numPr>
              <w:tabs>
                <w:tab w:val="left" w:pos="276"/>
              </w:tabs>
              <w:spacing w:line="247" w:lineRule="auto"/>
              <w:ind w:right="90"/>
              <w:jc w:val="left"/>
              <w:rPr>
                <w:sz w:val="24"/>
              </w:rPr>
            </w:pPr>
            <w:r>
              <w:rPr>
                <w:sz w:val="24"/>
              </w:rPr>
              <w:t>a</w:t>
            </w:r>
            <w:r>
              <w:rPr>
                <w:spacing w:val="-8"/>
                <w:sz w:val="24"/>
              </w:rPr>
              <w:t xml:space="preserve"> </w:t>
            </w:r>
            <w:r>
              <w:rPr>
                <w:sz w:val="24"/>
              </w:rPr>
              <w:t>moderate</w:t>
            </w:r>
            <w:r>
              <w:rPr>
                <w:spacing w:val="-5"/>
                <w:sz w:val="24"/>
              </w:rPr>
              <w:t xml:space="preserve"> </w:t>
            </w:r>
            <w:r>
              <w:rPr>
                <w:sz w:val="24"/>
              </w:rPr>
              <w:t>CYP3A4</w:t>
            </w:r>
            <w:r>
              <w:rPr>
                <w:spacing w:val="-15"/>
                <w:sz w:val="24"/>
              </w:rPr>
              <w:t xml:space="preserve"> </w:t>
            </w:r>
            <w:r>
              <w:rPr>
                <w:sz w:val="24"/>
              </w:rPr>
              <w:t>inhibitor(s) with</w:t>
            </w:r>
            <w:r>
              <w:rPr>
                <w:spacing w:val="-4"/>
                <w:sz w:val="24"/>
              </w:rPr>
              <w:t xml:space="preserve"> </w:t>
            </w:r>
            <w:r>
              <w:rPr>
                <w:sz w:val="24"/>
              </w:rPr>
              <w:t>a</w:t>
            </w:r>
            <w:r>
              <w:rPr>
                <w:spacing w:val="-5"/>
                <w:sz w:val="24"/>
              </w:rPr>
              <w:t xml:space="preserve"> </w:t>
            </w:r>
            <w:r>
              <w:rPr>
                <w:sz w:val="24"/>
              </w:rPr>
              <w:t>potent CYP2C19 inhibitor(s)</w:t>
            </w:r>
            <w:r>
              <w:rPr>
                <w:spacing w:val="40"/>
                <w:sz w:val="24"/>
              </w:rPr>
              <w:t xml:space="preserve"> </w:t>
            </w:r>
            <w:r>
              <w:rPr>
                <w:sz w:val="24"/>
              </w:rPr>
              <w:t>(e.g., fluconazole)</w:t>
            </w:r>
          </w:p>
          <w:p w14:paraId="66B46F4C" w14:textId="77777777" w:rsidR="001825E2" w:rsidRDefault="000839A5" w:rsidP="00CB00A7">
            <w:pPr>
              <w:pStyle w:val="TableParagraph"/>
              <w:spacing w:line="261" w:lineRule="auto"/>
              <w:ind w:left="110"/>
              <w:jc w:val="left"/>
              <w:rPr>
                <w:sz w:val="24"/>
              </w:rPr>
            </w:pPr>
            <w:r>
              <w:rPr>
                <w:sz w:val="24"/>
              </w:rPr>
              <w:t xml:space="preserve">(see Section 4.5 Interactions </w:t>
            </w:r>
            <w:proofErr w:type="gramStart"/>
            <w:r>
              <w:rPr>
                <w:sz w:val="24"/>
              </w:rPr>
              <w:t>With</w:t>
            </w:r>
            <w:proofErr w:type="gramEnd"/>
            <w:r>
              <w:rPr>
                <w:sz w:val="24"/>
              </w:rPr>
              <w:t xml:space="preserve"> Other Medicines</w:t>
            </w:r>
            <w:r>
              <w:rPr>
                <w:spacing w:val="-3"/>
                <w:sz w:val="24"/>
              </w:rPr>
              <w:t xml:space="preserve"> </w:t>
            </w:r>
            <w:r>
              <w:rPr>
                <w:sz w:val="24"/>
              </w:rPr>
              <w:t>and</w:t>
            </w:r>
            <w:r>
              <w:rPr>
                <w:spacing w:val="-8"/>
                <w:sz w:val="24"/>
              </w:rPr>
              <w:t xml:space="preserve"> </w:t>
            </w:r>
            <w:r>
              <w:rPr>
                <w:sz w:val="24"/>
              </w:rPr>
              <w:t>Other</w:t>
            </w:r>
            <w:r>
              <w:rPr>
                <w:spacing w:val="-20"/>
                <w:sz w:val="24"/>
              </w:rPr>
              <w:t xml:space="preserve"> </w:t>
            </w:r>
            <w:r>
              <w:rPr>
                <w:sz w:val="24"/>
              </w:rPr>
              <w:t>Forms of Interactions).</w:t>
            </w:r>
          </w:p>
        </w:tc>
        <w:tc>
          <w:tcPr>
            <w:tcW w:w="4230" w:type="dxa"/>
            <w:tcBorders>
              <w:bottom w:val="nil"/>
            </w:tcBorders>
          </w:tcPr>
          <w:p w14:paraId="331E95EB" w14:textId="77777777" w:rsidR="001825E2" w:rsidRDefault="000839A5" w:rsidP="00CB00A7">
            <w:pPr>
              <w:pStyle w:val="TableParagraph"/>
              <w:spacing w:before="16" w:line="247" w:lineRule="auto"/>
              <w:ind w:left="1312" w:right="262" w:hanging="1005"/>
              <w:jc w:val="left"/>
              <w:rPr>
                <w:sz w:val="24"/>
              </w:rPr>
            </w:pPr>
            <w:r>
              <w:rPr>
                <w:sz w:val="24"/>
              </w:rPr>
              <w:t>If</w:t>
            </w:r>
            <w:r>
              <w:rPr>
                <w:spacing w:val="-8"/>
                <w:sz w:val="24"/>
              </w:rPr>
              <w:t xml:space="preserve"> </w:t>
            </w:r>
            <w:r>
              <w:rPr>
                <w:sz w:val="24"/>
              </w:rPr>
              <w:t>taking</w:t>
            </w:r>
            <w:r>
              <w:rPr>
                <w:spacing w:val="-2"/>
                <w:sz w:val="24"/>
              </w:rPr>
              <w:t xml:space="preserve"> </w:t>
            </w:r>
            <w:r>
              <w:rPr>
                <w:sz w:val="24"/>
              </w:rPr>
              <w:t>10</w:t>
            </w:r>
            <w:r>
              <w:rPr>
                <w:spacing w:val="-2"/>
                <w:sz w:val="24"/>
              </w:rPr>
              <w:t xml:space="preserve"> </w:t>
            </w:r>
            <w:r>
              <w:rPr>
                <w:sz w:val="24"/>
              </w:rPr>
              <w:t>mg</w:t>
            </w:r>
            <w:r>
              <w:rPr>
                <w:spacing w:val="-2"/>
                <w:sz w:val="24"/>
              </w:rPr>
              <w:t xml:space="preserve"> </w:t>
            </w:r>
            <w:r>
              <w:rPr>
                <w:sz w:val="24"/>
              </w:rPr>
              <w:t>twice</w:t>
            </w:r>
            <w:r>
              <w:rPr>
                <w:spacing w:val="-4"/>
                <w:sz w:val="24"/>
              </w:rPr>
              <w:t xml:space="preserve"> </w:t>
            </w:r>
            <w:r>
              <w:rPr>
                <w:sz w:val="24"/>
              </w:rPr>
              <w:t>daily,</w:t>
            </w:r>
            <w:r>
              <w:rPr>
                <w:spacing w:val="-2"/>
                <w:sz w:val="24"/>
              </w:rPr>
              <w:t xml:space="preserve"> </w:t>
            </w:r>
            <w:r>
              <w:rPr>
                <w:sz w:val="24"/>
              </w:rPr>
              <w:t>reduce</w:t>
            </w:r>
            <w:r>
              <w:rPr>
                <w:spacing w:val="-17"/>
                <w:sz w:val="24"/>
              </w:rPr>
              <w:t xml:space="preserve"> </w:t>
            </w:r>
            <w:r>
              <w:rPr>
                <w:sz w:val="24"/>
              </w:rPr>
              <w:t xml:space="preserve">to 5 mg twice </w:t>
            </w:r>
            <w:proofErr w:type="gramStart"/>
            <w:r>
              <w:rPr>
                <w:sz w:val="24"/>
              </w:rPr>
              <w:t>daily</w:t>
            </w:r>
            <w:proofErr w:type="gramEnd"/>
          </w:p>
          <w:p w14:paraId="376A3402" w14:textId="77777777" w:rsidR="001825E2" w:rsidRDefault="000839A5" w:rsidP="00CB00A7">
            <w:pPr>
              <w:pStyle w:val="TableParagraph"/>
              <w:spacing w:before="151" w:line="261" w:lineRule="auto"/>
              <w:ind w:left="1342" w:right="293" w:hanging="975"/>
              <w:jc w:val="left"/>
              <w:rPr>
                <w:sz w:val="24"/>
              </w:rPr>
            </w:pPr>
            <w:r>
              <w:rPr>
                <w:sz w:val="24"/>
              </w:rPr>
              <w:t>If</w:t>
            </w:r>
            <w:r>
              <w:rPr>
                <w:spacing w:val="-8"/>
                <w:sz w:val="24"/>
              </w:rPr>
              <w:t xml:space="preserve"> </w:t>
            </w:r>
            <w:r>
              <w:rPr>
                <w:sz w:val="24"/>
              </w:rPr>
              <w:t>taking</w:t>
            </w:r>
            <w:r>
              <w:rPr>
                <w:spacing w:val="-2"/>
                <w:sz w:val="24"/>
              </w:rPr>
              <w:t xml:space="preserve"> </w:t>
            </w:r>
            <w:r>
              <w:rPr>
                <w:sz w:val="24"/>
              </w:rPr>
              <w:t>5</w:t>
            </w:r>
            <w:r>
              <w:rPr>
                <w:spacing w:val="-2"/>
                <w:sz w:val="24"/>
              </w:rPr>
              <w:t xml:space="preserve"> </w:t>
            </w:r>
            <w:r>
              <w:rPr>
                <w:sz w:val="24"/>
              </w:rPr>
              <w:t>mg</w:t>
            </w:r>
            <w:r>
              <w:rPr>
                <w:spacing w:val="-2"/>
                <w:sz w:val="24"/>
              </w:rPr>
              <w:t xml:space="preserve"> </w:t>
            </w:r>
            <w:r>
              <w:rPr>
                <w:sz w:val="24"/>
              </w:rPr>
              <w:t>twice</w:t>
            </w:r>
            <w:r>
              <w:rPr>
                <w:spacing w:val="-4"/>
                <w:sz w:val="24"/>
              </w:rPr>
              <w:t xml:space="preserve"> </w:t>
            </w:r>
            <w:r>
              <w:rPr>
                <w:sz w:val="24"/>
              </w:rPr>
              <w:t>daily,</w:t>
            </w:r>
            <w:r>
              <w:rPr>
                <w:spacing w:val="-2"/>
                <w:sz w:val="24"/>
              </w:rPr>
              <w:t xml:space="preserve"> </w:t>
            </w:r>
            <w:r>
              <w:rPr>
                <w:sz w:val="24"/>
              </w:rPr>
              <w:t>reduce</w:t>
            </w:r>
            <w:r>
              <w:rPr>
                <w:spacing w:val="-17"/>
                <w:sz w:val="24"/>
              </w:rPr>
              <w:t xml:space="preserve"> </w:t>
            </w:r>
            <w:r>
              <w:rPr>
                <w:sz w:val="24"/>
              </w:rPr>
              <w:t xml:space="preserve">to 5 mg once </w:t>
            </w:r>
            <w:proofErr w:type="gramStart"/>
            <w:r>
              <w:rPr>
                <w:sz w:val="24"/>
              </w:rPr>
              <w:t>daily</w:t>
            </w:r>
            <w:proofErr w:type="gramEnd"/>
          </w:p>
          <w:p w14:paraId="005A1030" w14:textId="77777777" w:rsidR="001825E2" w:rsidRDefault="000839A5" w:rsidP="00CB00A7">
            <w:pPr>
              <w:pStyle w:val="TableParagraph"/>
              <w:spacing w:before="133" w:line="247" w:lineRule="auto"/>
              <w:ind w:left="1342" w:right="262" w:hanging="1005"/>
              <w:jc w:val="left"/>
              <w:rPr>
                <w:sz w:val="24"/>
              </w:rPr>
            </w:pPr>
            <w:r>
              <w:rPr>
                <w:sz w:val="24"/>
              </w:rPr>
              <w:t>If</w:t>
            </w:r>
            <w:r>
              <w:rPr>
                <w:spacing w:val="-8"/>
                <w:sz w:val="24"/>
              </w:rPr>
              <w:t xml:space="preserve"> </w:t>
            </w:r>
            <w:r>
              <w:rPr>
                <w:sz w:val="24"/>
              </w:rPr>
              <w:t>taking</w:t>
            </w:r>
            <w:r>
              <w:rPr>
                <w:spacing w:val="-3"/>
                <w:sz w:val="24"/>
              </w:rPr>
              <w:t xml:space="preserve"> </w:t>
            </w:r>
            <w:r>
              <w:rPr>
                <w:sz w:val="24"/>
              </w:rPr>
              <w:t>11</w:t>
            </w:r>
            <w:r>
              <w:rPr>
                <w:spacing w:val="-3"/>
                <w:sz w:val="24"/>
              </w:rPr>
              <w:t xml:space="preserve"> </w:t>
            </w:r>
            <w:r>
              <w:rPr>
                <w:sz w:val="24"/>
              </w:rPr>
              <w:t>mg</w:t>
            </w:r>
            <w:r>
              <w:rPr>
                <w:spacing w:val="-3"/>
                <w:sz w:val="24"/>
              </w:rPr>
              <w:t xml:space="preserve"> </w:t>
            </w:r>
            <w:r>
              <w:rPr>
                <w:sz w:val="24"/>
              </w:rPr>
              <w:t>once</w:t>
            </w:r>
            <w:r>
              <w:rPr>
                <w:spacing w:val="-5"/>
                <w:sz w:val="24"/>
              </w:rPr>
              <w:t xml:space="preserve"> </w:t>
            </w:r>
            <w:r>
              <w:rPr>
                <w:sz w:val="24"/>
              </w:rPr>
              <w:t>daily,</w:t>
            </w:r>
            <w:r>
              <w:rPr>
                <w:spacing w:val="-3"/>
                <w:sz w:val="24"/>
              </w:rPr>
              <w:t xml:space="preserve"> </w:t>
            </w:r>
            <w:r>
              <w:rPr>
                <w:sz w:val="24"/>
              </w:rPr>
              <w:t>reduce</w:t>
            </w:r>
            <w:r>
              <w:rPr>
                <w:spacing w:val="-5"/>
                <w:sz w:val="24"/>
              </w:rPr>
              <w:t xml:space="preserve"> </w:t>
            </w:r>
            <w:r>
              <w:rPr>
                <w:sz w:val="24"/>
              </w:rPr>
              <w:t>to 5 mg once daily</w:t>
            </w:r>
          </w:p>
        </w:tc>
      </w:tr>
      <w:tr w:rsidR="001825E2" w14:paraId="6997D957" w14:textId="77777777">
        <w:trPr>
          <w:trHeight w:val="1176"/>
        </w:trPr>
        <w:tc>
          <w:tcPr>
            <w:tcW w:w="4845" w:type="dxa"/>
            <w:tcBorders>
              <w:top w:val="nil"/>
            </w:tcBorders>
          </w:tcPr>
          <w:p w14:paraId="1C23EB86" w14:textId="77777777" w:rsidR="001825E2" w:rsidRDefault="001825E2" w:rsidP="00CB00A7">
            <w:pPr>
              <w:pStyle w:val="TableParagraph"/>
              <w:ind w:left="0"/>
              <w:jc w:val="left"/>
            </w:pPr>
          </w:p>
        </w:tc>
        <w:tc>
          <w:tcPr>
            <w:tcW w:w="4230" w:type="dxa"/>
            <w:tcBorders>
              <w:top w:val="nil"/>
            </w:tcBorders>
          </w:tcPr>
          <w:p w14:paraId="290F4602" w14:textId="77777777" w:rsidR="001825E2" w:rsidRDefault="000839A5" w:rsidP="00CB00A7">
            <w:pPr>
              <w:pStyle w:val="TableParagraph"/>
              <w:spacing w:before="67" w:line="273" w:lineRule="exact"/>
              <w:ind w:left="247"/>
              <w:jc w:val="left"/>
              <w:rPr>
                <w:sz w:val="24"/>
              </w:rPr>
            </w:pPr>
            <w:r>
              <w:rPr>
                <w:sz w:val="24"/>
              </w:rPr>
              <w:t>For</w:t>
            </w:r>
            <w:r>
              <w:rPr>
                <w:spacing w:val="-4"/>
                <w:sz w:val="24"/>
              </w:rPr>
              <w:t xml:space="preserve"> </w:t>
            </w:r>
            <w:r>
              <w:rPr>
                <w:sz w:val="24"/>
              </w:rPr>
              <w:t>XELJANZ</w:t>
            </w:r>
            <w:r>
              <w:rPr>
                <w:spacing w:val="-11"/>
                <w:sz w:val="24"/>
              </w:rPr>
              <w:t xml:space="preserve"> </w:t>
            </w:r>
            <w:r>
              <w:rPr>
                <w:sz w:val="24"/>
              </w:rPr>
              <w:t>Oral</w:t>
            </w:r>
            <w:r>
              <w:rPr>
                <w:spacing w:val="-5"/>
                <w:sz w:val="24"/>
              </w:rPr>
              <w:t xml:space="preserve"> </w:t>
            </w:r>
            <w:r>
              <w:rPr>
                <w:sz w:val="24"/>
              </w:rPr>
              <w:t>Solution,</w:t>
            </w:r>
            <w:r>
              <w:rPr>
                <w:spacing w:val="2"/>
                <w:sz w:val="24"/>
              </w:rPr>
              <w:t xml:space="preserve"> </w:t>
            </w:r>
            <w:r>
              <w:rPr>
                <w:sz w:val="24"/>
              </w:rPr>
              <w:t>if</w:t>
            </w:r>
            <w:r>
              <w:rPr>
                <w:spacing w:val="12"/>
                <w:sz w:val="24"/>
              </w:rPr>
              <w:t xml:space="preserve"> </w:t>
            </w:r>
            <w:r>
              <w:rPr>
                <w:spacing w:val="-2"/>
                <w:sz w:val="24"/>
              </w:rPr>
              <w:t>taking</w:t>
            </w:r>
          </w:p>
          <w:p w14:paraId="49FD8DF9" w14:textId="77777777" w:rsidR="001825E2" w:rsidRDefault="000839A5" w:rsidP="00CB00A7">
            <w:pPr>
              <w:pStyle w:val="TableParagraph"/>
              <w:spacing w:line="247" w:lineRule="auto"/>
              <w:ind w:left="396" w:right="19" w:hanging="270"/>
              <w:jc w:val="left"/>
              <w:rPr>
                <w:sz w:val="24"/>
              </w:rPr>
            </w:pPr>
            <w:r>
              <w:rPr>
                <w:sz w:val="24"/>
              </w:rPr>
              <w:t>3.2</w:t>
            </w:r>
            <w:r>
              <w:rPr>
                <w:spacing w:val="-8"/>
                <w:sz w:val="24"/>
              </w:rPr>
              <w:t xml:space="preserve"> </w:t>
            </w:r>
            <w:r>
              <w:rPr>
                <w:sz w:val="24"/>
              </w:rPr>
              <w:t>mg,</w:t>
            </w:r>
            <w:r>
              <w:rPr>
                <w:spacing w:val="-5"/>
                <w:sz w:val="24"/>
              </w:rPr>
              <w:t xml:space="preserve"> </w:t>
            </w:r>
            <w:r>
              <w:rPr>
                <w:sz w:val="24"/>
              </w:rPr>
              <w:t>4</w:t>
            </w:r>
            <w:r>
              <w:rPr>
                <w:spacing w:val="-5"/>
                <w:sz w:val="24"/>
              </w:rPr>
              <w:t xml:space="preserve"> </w:t>
            </w:r>
            <w:proofErr w:type="gramStart"/>
            <w:r>
              <w:rPr>
                <w:sz w:val="24"/>
              </w:rPr>
              <w:t>mg</w:t>
            </w:r>
            <w:proofErr w:type="gramEnd"/>
            <w:r>
              <w:rPr>
                <w:sz w:val="24"/>
              </w:rPr>
              <w:t xml:space="preserve"> or</w:t>
            </w:r>
            <w:r>
              <w:rPr>
                <w:spacing w:val="-10"/>
                <w:sz w:val="24"/>
              </w:rPr>
              <w:t xml:space="preserve"> </w:t>
            </w:r>
            <w:r>
              <w:rPr>
                <w:sz w:val="24"/>
              </w:rPr>
              <w:t>5</w:t>
            </w:r>
            <w:r>
              <w:rPr>
                <w:spacing w:val="-5"/>
                <w:sz w:val="24"/>
              </w:rPr>
              <w:t xml:space="preserve"> </w:t>
            </w:r>
            <w:r>
              <w:rPr>
                <w:sz w:val="24"/>
              </w:rPr>
              <w:t>mg twice</w:t>
            </w:r>
            <w:r>
              <w:rPr>
                <w:spacing w:val="-17"/>
                <w:sz w:val="24"/>
              </w:rPr>
              <w:t xml:space="preserve"> </w:t>
            </w:r>
            <w:r>
              <w:rPr>
                <w:sz w:val="24"/>
              </w:rPr>
              <w:t>daily,</w:t>
            </w:r>
            <w:r>
              <w:rPr>
                <w:spacing w:val="-5"/>
                <w:sz w:val="24"/>
              </w:rPr>
              <w:t xml:space="preserve"> </w:t>
            </w:r>
            <w:r>
              <w:rPr>
                <w:sz w:val="24"/>
              </w:rPr>
              <w:t>reduce to</w:t>
            </w:r>
            <w:r>
              <w:rPr>
                <w:spacing w:val="-5"/>
                <w:sz w:val="24"/>
              </w:rPr>
              <w:t xml:space="preserve"> </w:t>
            </w:r>
            <w:r>
              <w:rPr>
                <w:sz w:val="24"/>
              </w:rPr>
              <w:t>3.2 mg, 4 mg or 5 mg once daily,</w:t>
            </w:r>
          </w:p>
          <w:p w14:paraId="1F3C5BBB" w14:textId="77777777" w:rsidR="001825E2" w:rsidRDefault="000839A5" w:rsidP="00CB00A7">
            <w:pPr>
              <w:pStyle w:val="TableParagraph"/>
              <w:spacing w:line="249" w:lineRule="exact"/>
              <w:ind w:left="1537"/>
              <w:jc w:val="left"/>
              <w:rPr>
                <w:sz w:val="24"/>
              </w:rPr>
            </w:pPr>
            <w:r>
              <w:rPr>
                <w:spacing w:val="-2"/>
                <w:sz w:val="24"/>
              </w:rPr>
              <w:t>respectively</w:t>
            </w:r>
          </w:p>
        </w:tc>
      </w:tr>
    </w:tbl>
    <w:p w14:paraId="0179D898" w14:textId="77777777" w:rsidR="001825E2" w:rsidRDefault="001825E2" w:rsidP="00CB00A7">
      <w:pPr>
        <w:spacing w:line="249" w:lineRule="exact"/>
        <w:rPr>
          <w:sz w:val="24"/>
        </w:rPr>
        <w:sectPr w:rsidR="001825E2">
          <w:pgSz w:w="11910" w:h="16850"/>
          <w:pgMar w:top="1360" w:right="1220" w:bottom="2599" w:left="1220" w:header="0" w:footer="785" w:gutter="0"/>
          <w:cols w:space="720"/>
        </w:sectPr>
      </w:pPr>
    </w:p>
    <w:tbl>
      <w:tblPr>
        <w:tblW w:w="0" w:type="auto"/>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45"/>
        <w:gridCol w:w="4230"/>
      </w:tblGrid>
      <w:tr w:rsidR="001825E2" w14:paraId="7E9FFB79" w14:textId="77777777">
        <w:trPr>
          <w:trHeight w:val="315"/>
        </w:trPr>
        <w:tc>
          <w:tcPr>
            <w:tcW w:w="9075" w:type="dxa"/>
            <w:gridSpan w:val="2"/>
          </w:tcPr>
          <w:p w14:paraId="3A76E79B" w14:textId="77777777" w:rsidR="001825E2" w:rsidRDefault="000839A5" w:rsidP="00CB00A7">
            <w:pPr>
              <w:pStyle w:val="TableParagraph"/>
              <w:spacing w:before="31" w:line="264" w:lineRule="exact"/>
              <w:ind w:left="15" w:right="20"/>
              <w:jc w:val="left"/>
              <w:rPr>
                <w:b/>
                <w:i/>
                <w:sz w:val="16"/>
              </w:rPr>
            </w:pPr>
            <w:r>
              <w:rPr>
                <w:b/>
                <w:i/>
                <w:sz w:val="24"/>
              </w:rPr>
              <w:lastRenderedPageBreak/>
              <w:t>Renal</w:t>
            </w:r>
            <w:r>
              <w:rPr>
                <w:b/>
                <w:i/>
                <w:spacing w:val="-4"/>
                <w:sz w:val="24"/>
              </w:rPr>
              <w:t xml:space="preserve"> </w:t>
            </w:r>
            <w:r>
              <w:rPr>
                <w:b/>
                <w:i/>
                <w:spacing w:val="-2"/>
                <w:sz w:val="24"/>
              </w:rPr>
              <w:t>Impairment</w:t>
            </w:r>
            <w:r>
              <w:rPr>
                <w:b/>
                <w:i/>
                <w:spacing w:val="-2"/>
                <w:position w:val="7"/>
                <w:sz w:val="16"/>
              </w:rPr>
              <w:t>2</w:t>
            </w:r>
          </w:p>
        </w:tc>
      </w:tr>
      <w:tr w:rsidR="001825E2" w14:paraId="137107DA" w14:textId="77777777">
        <w:trPr>
          <w:trHeight w:val="3329"/>
        </w:trPr>
        <w:tc>
          <w:tcPr>
            <w:tcW w:w="4845" w:type="dxa"/>
          </w:tcPr>
          <w:p w14:paraId="5A7F5847" w14:textId="77777777" w:rsidR="001825E2" w:rsidRDefault="000839A5" w:rsidP="00CB00A7">
            <w:pPr>
              <w:pStyle w:val="TableParagraph"/>
              <w:spacing w:before="16"/>
              <w:ind w:left="111" w:right="109"/>
              <w:jc w:val="left"/>
              <w:rPr>
                <w:sz w:val="24"/>
              </w:rPr>
            </w:pPr>
            <w:r>
              <w:rPr>
                <w:sz w:val="24"/>
              </w:rPr>
              <w:t>Patients with</w:t>
            </w:r>
            <w:r>
              <w:rPr>
                <w:spacing w:val="-6"/>
                <w:sz w:val="24"/>
              </w:rPr>
              <w:t xml:space="preserve"> </w:t>
            </w:r>
            <w:r>
              <w:rPr>
                <w:sz w:val="24"/>
              </w:rPr>
              <w:t>estimated GFR less than</w:t>
            </w:r>
            <w:r>
              <w:rPr>
                <w:spacing w:val="-6"/>
                <w:sz w:val="24"/>
              </w:rPr>
              <w:t xml:space="preserve"> </w:t>
            </w:r>
            <w:r>
              <w:rPr>
                <w:sz w:val="24"/>
              </w:rPr>
              <w:t>or equal to</w:t>
            </w:r>
            <w:r>
              <w:rPr>
                <w:spacing w:val="-4"/>
                <w:sz w:val="24"/>
              </w:rPr>
              <w:t xml:space="preserve"> </w:t>
            </w:r>
            <w:r>
              <w:rPr>
                <w:sz w:val="24"/>
              </w:rPr>
              <w:t>50 mL/min</w:t>
            </w:r>
            <w:r>
              <w:rPr>
                <w:spacing w:val="40"/>
                <w:sz w:val="24"/>
              </w:rPr>
              <w:t xml:space="preserve"> </w:t>
            </w:r>
            <w:r>
              <w:rPr>
                <w:sz w:val="24"/>
              </w:rPr>
              <w:t>(including but not limited to those with</w:t>
            </w:r>
            <w:r>
              <w:rPr>
                <w:spacing w:val="-4"/>
                <w:sz w:val="24"/>
              </w:rPr>
              <w:t xml:space="preserve"> </w:t>
            </w:r>
            <w:r>
              <w:rPr>
                <w:sz w:val="24"/>
              </w:rPr>
              <w:t>severe renal impairment</w:t>
            </w:r>
            <w:r>
              <w:rPr>
                <w:spacing w:val="40"/>
                <w:sz w:val="24"/>
              </w:rPr>
              <w:t xml:space="preserve"> </w:t>
            </w:r>
            <w:r>
              <w:rPr>
                <w:sz w:val="24"/>
              </w:rPr>
              <w:t>who</w:t>
            </w:r>
            <w:r>
              <w:rPr>
                <w:spacing w:val="-3"/>
                <w:sz w:val="24"/>
              </w:rPr>
              <w:t xml:space="preserve"> </w:t>
            </w:r>
            <w:r>
              <w:rPr>
                <w:sz w:val="24"/>
              </w:rPr>
              <w:t xml:space="preserve">are undergoing </w:t>
            </w:r>
            <w:proofErr w:type="spellStart"/>
            <w:r>
              <w:rPr>
                <w:sz w:val="24"/>
              </w:rPr>
              <w:t>haemodialysis</w:t>
            </w:r>
            <w:proofErr w:type="spellEnd"/>
            <w:r>
              <w:rPr>
                <w:sz w:val="24"/>
              </w:rPr>
              <w:t>),</w:t>
            </w:r>
            <w:r>
              <w:rPr>
                <w:spacing w:val="40"/>
                <w:sz w:val="24"/>
              </w:rPr>
              <w:t xml:space="preserve"> </w:t>
            </w:r>
            <w:r>
              <w:rPr>
                <w:sz w:val="24"/>
              </w:rPr>
              <w:t>the recommended dose is half the total daily dose indicated for patients</w:t>
            </w:r>
            <w:r>
              <w:rPr>
                <w:spacing w:val="-15"/>
                <w:sz w:val="24"/>
              </w:rPr>
              <w:t xml:space="preserve"> </w:t>
            </w:r>
            <w:r>
              <w:rPr>
                <w:sz w:val="24"/>
              </w:rPr>
              <w:t>with</w:t>
            </w:r>
            <w:r>
              <w:rPr>
                <w:spacing w:val="-15"/>
                <w:sz w:val="24"/>
              </w:rPr>
              <w:t xml:space="preserve"> </w:t>
            </w:r>
            <w:r>
              <w:rPr>
                <w:sz w:val="24"/>
              </w:rPr>
              <w:t>normal</w:t>
            </w:r>
            <w:r>
              <w:rPr>
                <w:spacing w:val="8"/>
                <w:sz w:val="24"/>
              </w:rPr>
              <w:t xml:space="preserve"> </w:t>
            </w:r>
            <w:r>
              <w:rPr>
                <w:sz w:val="24"/>
              </w:rPr>
              <w:t>renal function</w:t>
            </w:r>
            <w:r>
              <w:rPr>
                <w:spacing w:val="-15"/>
                <w:sz w:val="24"/>
              </w:rPr>
              <w:t xml:space="preserve"> </w:t>
            </w:r>
            <w:r>
              <w:rPr>
                <w:sz w:val="24"/>
              </w:rPr>
              <w:t>(see Section</w:t>
            </w:r>
          </w:p>
          <w:p w14:paraId="626A776E" w14:textId="77777777" w:rsidR="001825E2" w:rsidRDefault="000839A5" w:rsidP="00CB00A7">
            <w:pPr>
              <w:pStyle w:val="TableParagraph"/>
              <w:spacing w:line="261" w:lineRule="auto"/>
              <w:ind w:left="111" w:hanging="1"/>
              <w:jc w:val="left"/>
              <w:rPr>
                <w:sz w:val="24"/>
              </w:rPr>
            </w:pPr>
            <w:r>
              <w:rPr>
                <w:sz w:val="24"/>
              </w:rPr>
              <w:t>4.4</w:t>
            </w:r>
            <w:r>
              <w:rPr>
                <w:spacing w:val="-10"/>
                <w:sz w:val="24"/>
              </w:rPr>
              <w:t xml:space="preserve"> </w:t>
            </w:r>
            <w:r>
              <w:rPr>
                <w:sz w:val="24"/>
              </w:rPr>
              <w:t>Special</w:t>
            </w:r>
            <w:r>
              <w:rPr>
                <w:spacing w:val="-3"/>
                <w:sz w:val="24"/>
              </w:rPr>
              <w:t xml:space="preserve"> </w:t>
            </w:r>
            <w:r>
              <w:rPr>
                <w:sz w:val="24"/>
              </w:rPr>
              <w:t>Warnings</w:t>
            </w:r>
            <w:r>
              <w:rPr>
                <w:spacing w:val="-1"/>
                <w:sz w:val="24"/>
              </w:rPr>
              <w:t xml:space="preserve"> </w:t>
            </w:r>
            <w:r>
              <w:rPr>
                <w:sz w:val="24"/>
              </w:rPr>
              <w:t>and</w:t>
            </w:r>
            <w:r>
              <w:rPr>
                <w:spacing w:val="-10"/>
                <w:sz w:val="24"/>
              </w:rPr>
              <w:t xml:space="preserve"> </w:t>
            </w:r>
            <w:r>
              <w:rPr>
                <w:sz w:val="24"/>
              </w:rPr>
              <w:t>Precautions</w:t>
            </w:r>
            <w:r>
              <w:rPr>
                <w:spacing w:val="-1"/>
                <w:sz w:val="24"/>
              </w:rPr>
              <w:t xml:space="preserve"> </w:t>
            </w:r>
            <w:proofErr w:type="gramStart"/>
            <w:r>
              <w:rPr>
                <w:sz w:val="24"/>
              </w:rPr>
              <w:t>For</w:t>
            </w:r>
            <w:proofErr w:type="gramEnd"/>
            <w:r>
              <w:rPr>
                <w:spacing w:val="-14"/>
                <w:sz w:val="24"/>
              </w:rPr>
              <w:t xml:space="preserve"> </w:t>
            </w:r>
            <w:r>
              <w:rPr>
                <w:sz w:val="24"/>
              </w:rPr>
              <w:t>Use and Section 5.2 Pharmacokinetic</w:t>
            </w:r>
            <w:r>
              <w:rPr>
                <w:spacing w:val="40"/>
                <w:sz w:val="24"/>
              </w:rPr>
              <w:t xml:space="preserve"> </w:t>
            </w:r>
            <w:r>
              <w:rPr>
                <w:sz w:val="24"/>
              </w:rPr>
              <w:t>Properties).</w:t>
            </w:r>
          </w:p>
        </w:tc>
        <w:tc>
          <w:tcPr>
            <w:tcW w:w="4230" w:type="dxa"/>
          </w:tcPr>
          <w:p w14:paraId="2974966C" w14:textId="77777777" w:rsidR="001825E2" w:rsidRDefault="000839A5" w:rsidP="00CB00A7">
            <w:pPr>
              <w:pStyle w:val="TableParagraph"/>
              <w:spacing w:before="16" w:line="247" w:lineRule="auto"/>
              <w:ind w:left="1312" w:right="262" w:hanging="1005"/>
              <w:jc w:val="left"/>
              <w:rPr>
                <w:sz w:val="24"/>
              </w:rPr>
            </w:pPr>
            <w:r>
              <w:rPr>
                <w:sz w:val="24"/>
              </w:rPr>
              <w:t>If</w:t>
            </w:r>
            <w:r>
              <w:rPr>
                <w:spacing w:val="-8"/>
                <w:sz w:val="24"/>
              </w:rPr>
              <w:t xml:space="preserve"> </w:t>
            </w:r>
            <w:r>
              <w:rPr>
                <w:sz w:val="24"/>
              </w:rPr>
              <w:t>taking</w:t>
            </w:r>
            <w:r>
              <w:rPr>
                <w:spacing w:val="-2"/>
                <w:sz w:val="24"/>
              </w:rPr>
              <w:t xml:space="preserve"> </w:t>
            </w:r>
            <w:r>
              <w:rPr>
                <w:sz w:val="24"/>
              </w:rPr>
              <w:t>10</w:t>
            </w:r>
            <w:r>
              <w:rPr>
                <w:spacing w:val="-2"/>
                <w:sz w:val="24"/>
              </w:rPr>
              <w:t xml:space="preserve"> </w:t>
            </w:r>
            <w:r>
              <w:rPr>
                <w:sz w:val="24"/>
              </w:rPr>
              <w:t>mg</w:t>
            </w:r>
            <w:r>
              <w:rPr>
                <w:spacing w:val="-2"/>
                <w:sz w:val="24"/>
              </w:rPr>
              <w:t xml:space="preserve"> </w:t>
            </w:r>
            <w:r>
              <w:rPr>
                <w:sz w:val="24"/>
              </w:rPr>
              <w:t>twice</w:t>
            </w:r>
            <w:r>
              <w:rPr>
                <w:spacing w:val="-4"/>
                <w:sz w:val="24"/>
              </w:rPr>
              <w:t xml:space="preserve"> </w:t>
            </w:r>
            <w:r>
              <w:rPr>
                <w:sz w:val="24"/>
              </w:rPr>
              <w:t>daily,</w:t>
            </w:r>
            <w:r>
              <w:rPr>
                <w:spacing w:val="-2"/>
                <w:sz w:val="24"/>
              </w:rPr>
              <w:t xml:space="preserve"> </w:t>
            </w:r>
            <w:r>
              <w:rPr>
                <w:sz w:val="24"/>
              </w:rPr>
              <w:t>reduce</w:t>
            </w:r>
            <w:r>
              <w:rPr>
                <w:spacing w:val="-17"/>
                <w:sz w:val="24"/>
              </w:rPr>
              <w:t xml:space="preserve"> </w:t>
            </w:r>
            <w:r>
              <w:rPr>
                <w:sz w:val="24"/>
              </w:rPr>
              <w:t xml:space="preserve">to 5 mg twice </w:t>
            </w:r>
            <w:proofErr w:type="gramStart"/>
            <w:r>
              <w:rPr>
                <w:sz w:val="24"/>
              </w:rPr>
              <w:t>daily</w:t>
            </w:r>
            <w:proofErr w:type="gramEnd"/>
          </w:p>
          <w:p w14:paraId="78BB7071" w14:textId="77777777" w:rsidR="001825E2" w:rsidRDefault="000839A5" w:rsidP="00CB00A7">
            <w:pPr>
              <w:pStyle w:val="TableParagraph"/>
              <w:spacing w:before="151" w:line="261" w:lineRule="auto"/>
              <w:ind w:left="1342" w:right="350" w:hanging="976"/>
              <w:jc w:val="left"/>
              <w:rPr>
                <w:sz w:val="24"/>
              </w:rPr>
            </w:pPr>
            <w:r>
              <w:rPr>
                <w:sz w:val="24"/>
              </w:rPr>
              <w:t>If</w:t>
            </w:r>
            <w:r>
              <w:rPr>
                <w:spacing w:val="-8"/>
                <w:sz w:val="24"/>
              </w:rPr>
              <w:t xml:space="preserve"> </w:t>
            </w:r>
            <w:r>
              <w:rPr>
                <w:sz w:val="24"/>
              </w:rPr>
              <w:t>taking</w:t>
            </w:r>
            <w:r>
              <w:rPr>
                <w:spacing w:val="-2"/>
                <w:sz w:val="24"/>
              </w:rPr>
              <w:t xml:space="preserve"> </w:t>
            </w:r>
            <w:r>
              <w:rPr>
                <w:sz w:val="24"/>
              </w:rPr>
              <w:t>5</w:t>
            </w:r>
            <w:r>
              <w:rPr>
                <w:spacing w:val="-2"/>
                <w:sz w:val="24"/>
              </w:rPr>
              <w:t xml:space="preserve"> </w:t>
            </w:r>
            <w:r>
              <w:rPr>
                <w:sz w:val="24"/>
              </w:rPr>
              <w:t>mg</w:t>
            </w:r>
            <w:r>
              <w:rPr>
                <w:spacing w:val="-2"/>
                <w:sz w:val="24"/>
              </w:rPr>
              <w:t xml:space="preserve"> </w:t>
            </w:r>
            <w:r>
              <w:rPr>
                <w:sz w:val="24"/>
              </w:rPr>
              <w:t>twice</w:t>
            </w:r>
            <w:r>
              <w:rPr>
                <w:spacing w:val="-4"/>
                <w:sz w:val="24"/>
              </w:rPr>
              <w:t xml:space="preserve"> </w:t>
            </w:r>
            <w:r>
              <w:rPr>
                <w:sz w:val="24"/>
              </w:rPr>
              <w:t>daily,</w:t>
            </w:r>
            <w:r>
              <w:rPr>
                <w:spacing w:val="-2"/>
                <w:sz w:val="24"/>
              </w:rPr>
              <w:t xml:space="preserve"> </w:t>
            </w:r>
            <w:r>
              <w:rPr>
                <w:sz w:val="24"/>
              </w:rPr>
              <w:t>reduce</w:t>
            </w:r>
            <w:r>
              <w:rPr>
                <w:spacing w:val="-17"/>
                <w:sz w:val="24"/>
              </w:rPr>
              <w:t xml:space="preserve"> </w:t>
            </w:r>
            <w:r>
              <w:rPr>
                <w:sz w:val="24"/>
              </w:rPr>
              <w:t xml:space="preserve">to 5 mg once </w:t>
            </w:r>
            <w:proofErr w:type="gramStart"/>
            <w:r>
              <w:rPr>
                <w:sz w:val="24"/>
              </w:rPr>
              <w:t>daily</w:t>
            </w:r>
            <w:proofErr w:type="gramEnd"/>
          </w:p>
          <w:p w14:paraId="49D59CA1" w14:textId="77777777" w:rsidR="001825E2" w:rsidRDefault="000839A5" w:rsidP="00CB00A7">
            <w:pPr>
              <w:pStyle w:val="TableParagraph"/>
              <w:spacing w:before="138" w:line="235" w:lineRule="auto"/>
              <w:ind w:left="1342" w:right="262" w:hanging="1005"/>
              <w:jc w:val="left"/>
              <w:rPr>
                <w:sz w:val="24"/>
              </w:rPr>
            </w:pPr>
            <w:r>
              <w:rPr>
                <w:sz w:val="24"/>
              </w:rPr>
              <w:t>If</w:t>
            </w:r>
            <w:r>
              <w:rPr>
                <w:spacing w:val="-8"/>
                <w:sz w:val="24"/>
              </w:rPr>
              <w:t xml:space="preserve"> </w:t>
            </w:r>
            <w:r>
              <w:rPr>
                <w:sz w:val="24"/>
              </w:rPr>
              <w:t>taking</w:t>
            </w:r>
            <w:r>
              <w:rPr>
                <w:spacing w:val="-3"/>
                <w:sz w:val="24"/>
              </w:rPr>
              <w:t xml:space="preserve"> </w:t>
            </w:r>
            <w:r>
              <w:rPr>
                <w:sz w:val="24"/>
              </w:rPr>
              <w:t>11</w:t>
            </w:r>
            <w:r>
              <w:rPr>
                <w:spacing w:val="-3"/>
                <w:sz w:val="24"/>
              </w:rPr>
              <w:t xml:space="preserve"> </w:t>
            </w:r>
            <w:r>
              <w:rPr>
                <w:sz w:val="24"/>
              </w:rPr>
              <w:t>mg</w:t>
            </w:r>
            <w:r>
              <w:rPr>
                <w:spacing w:val="-3"/>
                <w:sz w:val="24"/>
              </w:rPr>
              <w:t xml:space="preserve"> </w:t>
            </w:r>
            <w:r>
              <w:rPr>
                <w:sz w:val="24"/>
              </w:rPr>
              <w:t>once</w:t>
            </w:r>
            <w:r>
              <w:rPr>
                <w:spacing w:val="-5"/>
                <w:sz w:val="24"/>
              </w:rPr>
              <w:t xml:space="preserve"> </w:t>
            </w:r>
            <w:r>
              <w:rPr>
                <w:sz w:val="24"/>
              </w:rPr>
              <w:t>daily,</w:t>
            </w:r>
            <w:r>
              <w:rPr>
                <w:spacing w:val="-3"/>
                <w:sz w:val="24"/>
              </w:rPr>
              <w:t xml:space="preserve"> </w:t>
            </w:r>
            <w:r>
              <w:rPr>
                <w:sz w:val="24"/>
              </w:rPr>
              <w:t>reduce</w:t>
            </w:r>
            <w:r>
              <w:rPr>
                <w:spacing w:val="-5"/>
                <w:sz w:val="24"/>
              </w:rPr>
              <w:t xml:space="preserve"> </w:t>
            </w:r>
            <w:r>
              <w:rPr>
                <w:sz w:val="24"/>
              </w:rPr>
              <w:t xml:space="preserve">to 5 mg once </w:t>
            </w:r>
            <w:proofErr w:type="gramStart"/>
            <w:r>
              <w:rPr>
                <w:sz w:val="24"/>
              </w:rPr>
              <w:t>daily</w:t>
            </w:r>
            <w:proofErr w:type="gramEnd"/>
          </w:p>
          <w:p w14:paraId="22E6B6D0" w14:textId="77777777" w:rsidR="001825E2" w:rsidRDefault="000839A5" w:rsidP="00CB00A7">
            <w:pPr>
              <w:pStyle w:val="TableParagraph"/>
              <w:spacing w:before="190" w:line="273" w:lineRule="exact"/>
              <w:ind w:left="247"/>
              <w:jc w:val="left"/>
              <w:rPr>
                <w:sz w:val="24"/>
              </w:rPr>
            </w:pPr>
            <w:r>
              <w:rPr>
                <w:sz w:val="24"/>
              </w:rPr>
              <w:t>For</w:t>
            </w:r>
            <w:r>
              <w:rPr>
                <w:spacing w:val="-4"/>
                <w:sz w:val="24"/>
              </w:rPr>
              <w:t xml:space="preserve"> </w:t>
            </w:r>
            <w:r>
              <w:rPr>
                <w:sz w:val="24"/>
              </w:rPr>
              <w:t>XELJANZ</w:t>
            </w:r>
            <w:r>
              <w:rPr>
                <w:spacing w:val="-11"/>
                <w:sz w:val="24"/>
              </w:rPr>
              <w:t xml:space="preserve"> </w:t>
            </w:r>
            <w:r>
              <w:rPr>
                <w:sz w:val="24"/>
              </w:rPr>
              <w:t>Oral</w:t>
            </w:r>
            <w:r>
              <w:rPr>
                <w:spacing w:val="-6"/>
                <w:sz w:val="24"/>
              </w:rPr>
              <w:t xml:space="preserve"> </w:t>
            </w:r>
            <w:r>
              <w:rPr>
                <w:sz w:val="24"/>
              </w:rPr>
              <w:t>Solution,</w:t>
            </w:r>
            <w:r>
              <w:rPr>
                <w:spacing w:val="2"/>
                <w:sz w:val="24"/>
              </w:rPr>
              <w:t xml:space="preserve"> </w:t>
            </w:r>
            <w:r>
              <w:rPr>
                <w:sz w:val="24"/>
              </w:rPr>
              <w:t>if</w:t>
            </w:r>
            <w:r>
              <w:rPr>
                <w:spacing w:val="12"/>
                <w:sz w:val="24"/>
              </w:rPr>
              <w:t xml:space="preserve"> </w:t>
            </w:r>
            <w:r>
              <w:rPr>
                <w:spacing w:val="-2"/>
                <w:sz w:val="24"/>
              </w:rPr>
              <w:t>taking</w:t>
            </w:r>
          </w:p>
          <w:p w14:paraId="080019BD" w14:textId="77777777" w:rsidR="001825E2" w:rsidRDefault="000839A5" w:rsidP="00CB00A7">
            <w:pPr>
              <w:pStyle w:val="TableParagraph"/>
              <w:spacing w:line="247" w:lineRule="auto"/>
              <w:ind w:left="396" w:right="19" w:hanging="270"/>
              <w:jc w:val="left"/>
              <w:rPr>
                <w:sz w:val="24"/>
              </w:rPr>
            </w:pPr>
            <w:r>
              <w:rPr>
                <w:sz w:val="24"/>
              </w:rPr>
              <w:t>3.2</w:t>
            </w:r>
            <w:r>
              <w:rPr>
                <w:spacing w:val="-8"/>
                <w:sz w:val="24"/>
              </w:rPr>
              <w:t xml:space="preserve"> </w:t>
            </w:r>
            <w:r>
              <w:rPr>
                <w:sz w:val="24"/>
              </w:rPr>
              <w:t>mg,</w:t>
            </w:r>
            <w:r>
              <w:rPr>
                <w:spacing w:val="-5"/>
                <w:sz w:val="24"/>
              </w:rPr>
              <w:t xml:space="preserve"> </w:t>
            </w:r>
            <w:r>
              <w:rPr>
                <w:sz w:val="24"/>
              </w:rPr>
              <w:t>4</w:t>
            </w:r>
            <w:r>
              <w:rPr>
                <w:spacing w:val="-5"/>
                <w:sz w:val="24"/>
              </w:rPr>
              <w:t xml:space="preserve"> </w:t>
            </w:r>
            <w:proofErr w:type="gramStart"/>
            <w:r>
              <w:rPr>
                <w:sz w:val="24"/>
              </w:rPr>
              <w:t>mg</w:t>
            </w:r>
            <w:proofErr w:type="gramEnd"/>
            <w:r>
              <w:rPr>
                <w:sz w:val="24"/>
              </w:rPr>
              <w:t xml:space="preserve"> or</w:t>
            </w:r>
            <w:r>
              <w:rPr>
                <w:spacing w:val="-10"/>
                <w:sz w:val="24"/>
              </w:rPr>
              <w:t xml:space="preserve"> </w:t>
            </w:r>
            <w:r>
              <w:rPr>
                <w:sz w:val="24"/>
              </w:rPr>
              <w:t>5</w:t>
            </w:r>
            <w:r>
              <w:rPr>
                <w:spacing w:val="-6"/>
                <w:sz w:val="24"/>
              </w:rPr>
              <w:t xml:space="preserve"> </w:t>
            </w:r>
            <w:r>
              <w:rPr>
                <w:sz w:val="24"/>
              </w:rPr>
              <w:t>mg twice</w:t>
            </w:r>
            <w:r>
              <w:rPr>
                <w:spacing w:val="-17"/>
                <w:sz w:val="24"/>
              </w:rPr>
              <w:t xml:space="preserve"> </w:t>
            </w:r>
            <w:r>
              <w:rPr>
                <w:sz w:val="24"/>
              </w:rPr>
              <w:t>daily,</w:t>
            </w:r>
            <w:r>
              <w:rPr>
                <w:spacing w:val="-5"/>
                <w:sz w:val="24"/>
              </w:rPr>
              <w:t xml:space="preserve"> </w:t>
            </w:r>
            <w:r>
              <w:rPr>
                <w:sz w:val="24"/>
              </w:rPr>
              <w:t>reduce to</w:t>
            </w:r>
            <w:r>
              <w:rPr>
                <w:spacing w:val="-5"/>
                <w:sz w:val="24"/>
              </w:rPr>
              <w:t xml:space="preserve"> </w:t>
            </w:r>
            <w:r>
              <w:rPr>
                <w:sz w:val="24"/>
              </w:rPr>
              <w:t>3.2 mg, 4 mg or 5 mg once daily,</w:t>
            </w:r>
          </w:p>
          <w:p w14:paraId="06E828C7" w14:textId="77777777" w:rsidR="001825E2" w:rsidRDefault="000839A5" w:rsidP="00CB00A7">
            <w:pPr>
              <w:pStyle w:val="TableParagraph"/>
              <w:spacing w:line="264" w:lineRule="exact"/>
              <w:ind w:left="1537"/>
              <w:jc w:val="left"/>
              <w:rPr>
                <w:sz w:val="24"/>
              </w:rPr>
            </w:pPr>
            <w:r>
              <w:rPr>
                <w:spacing w:val="-2"/>
                <w:sz w:val="24"/>
              </w:rPr>
              <w:t>respectively</w:t>
            </w:r>
          </w:p>
        </w:tc>
      </w:tr>
      <w:tr w:rsidR="001825E2" w14:paraId="28032030" w14:textId="77777777">
        <w:trPr>
          <w:trHeight w:val="300"/>
        </w:trPr>
        <w:tc>
          <w:tcPr>
            <w:tcW w:w="9075" w:type="dxa"/>
            <w:gridSpan w:val="2"/>
          </w:tcPr>
          <w:p w14:paraId="7246FA74" w14:textId="77777777" w:rsidR="001825E2" w:rsidRDefault="000839A5" w:rsidP="00CB00A7">
            <w:pPr>
              <w:pStyle w:val="TableParagraph"/>
              <w:spacing w:before="16" w:line="264" w:lineRule="exact"/>
              <w:ind w:left="15" w:right="8"/>
              <w:jc w:val="left"/>
              <w:rPr>
                <w:b/>
                <w:i/>
                <w:sz w:val="16"/>
              </w:rPr>
            </w:pPr>
            <w:r>
              <w:rPr>
                <w:b/>
                <w:i/>
                <w:sz w:val="24"/>
              </w:rPr>
              <w:t>Hepatic</w:t>
            </w:r>
            <w:r>
              <w:rPr>
                <w:b/>
                <w:i/>
                <w:spacing w:val="5"/>
                <w:sz w:val="24"/>
              </w:rPr>
              <w:t xml:space="preserve"> </w:t>
            </w:r>
            <w:r>
              <w:rPr>
                <w:b/>
                <w:i/>
                <w:spacing w:val="-2"/>
                <w:sz w:val="24"/>
              </w:rPr>
              <w:t>Impairment</w:t>
            </w:r>
            <w:r>
              <w:rPr>
                <w:b/>
                <w:i/>
                <w:spacing w:val="-2"/>
                <w:position w:val="7"/>
                <w:sz w:val="16"/>
              </w:rPr>
              <w:t>3</w:t>
            </w:r>
          </w:p>
        </w:tc>
      </w:tr>
      <w:tr w:rsidR="001825E2" w14:paraId="3B4F135B" w14:textId="77777777">
        <w:trPr>
          <w:trHeight w:val="3330"/>
        </w:trPr>
        <w:tc>
          <w:tcPr>
            <w:tcW w:w="4845" w:type="dxa"/>
          </w:tcPr>
          <w:p w14:paraId="1AF6A895" w14:textId="77777777" w:rsidR="001825E2" w:rsidRDefault="000839A5" w:rsidP="00CB00A7">
            <w:pPr>
              <w:pStyle w:val="TableParagraph"/>
              <w:spacing w:before="31" w:line="242" w:lineRule="auto"/>
              <w:ind w:left="111"/>
              <w:jc w:val="left"/>
              <w:rPr>
                <w:sz w:val="24"/>
              </w:rPr>
            </w:pPr>
            <w:r>
              <w:rPr>
                <w:sz w:val="24"/>
              </w:rPr>
              <w:t>Patients</w:t>
            </w:r>
            <w:r>
              <w:rPr>
                <w:spacing w:val="-14"/>
                <w:sz w:val="24"/>
              </w:rPr>
              <w:t xml:space="preserve"> </w:t>
            </w:r>
            <w:r>
              <w:rPr>
                <w:sz w:val="24"/>
              </w:rPr>
              <w:t>with</w:t>
            </w:r>
            <w:r>
              <w:rPr>
                <w:spacing w:val="-15"/>
                <w:sz w:val="24"/>
              </w:rPr>
              <w:t xml:space="preserve"> </w:t>
            </w:r>
            <w:r>
              <w:rPr>
                <w:sz w:val="24"/>
              </w:rPr>
              <w:t>moderate</w:t>
            </w:r>
            <w:r>
              <w:rPr>
                <w:spacing w:val="-8"/>
                <w:sz w:val="24"/>
              </w:rPr>
              <w:t xml:space="preserve"> </w:t>
            </w:r>
            <w:r>
              <w:rPr>
                <w:sz w:val="24"/>
              </w:rPr>
              <w:t>hepatic</w:t>
            </w:r>
            <w:r>
              <w:rPr>
                <w:spacing w:val="-8"/>
                <w:sz w:val="24"/>
              </w:rPr>
              <w:t xml:space="preserve"> </w:t>
            </w:r>
            <w:r>
              <w:rPr>
                <w:sz w:val="24"/>
              </w:rPr>
              <w:t>impairment,</w:t>
            </w:r>
            <w:r>
              <w:rPr>
                <w:spacing w:val="21"/>
                <w:sz w:val="24"/>
              </w:rPr>
              <w:t xml:space="preserve"> </w:t>
            </w:r>
            <w:r>
              <w:rPr>
                <w:sz w:val="24"/>
              </w:rPr>
              <w:t>the recommended dose</w:t>
            </w:r>
            <w:r>
              <w:rPr>
                <w:spacing w:val="-5"/>
                <w:sz w:val="24"/>
              </w:rPr>
              <w:t xml:space="preserve"> </w:t>
            </w:r>
            <w:r>
              <w:rPr>
                <w:sz w:val="24"/>
              </w:rPr>
              <w:t>is half the</w:t>
            </w:r>
            <w:r>
              <w:rPr>
                <w:spacing w:val="-5"/>
                <w:sz w:val="24"/>
              </w:rPr>
              <w:t xml:space="preserve"> </w:t>
            </w:r>
            <w:r>
              <w:rPr>
                <w:sz w:val="24"/>
              </w:rPr>
              <w:t xml:space="preserve">total daily dose indicated for patients with normal hepatic </w:t>
            </w:r>
            <w:proofErr w:type="gramStart"/>
            <w:r>
              <w:rPr>
                <w:spacing w:val="-2"/>
                <w:sz w:val="24"/>
              </w:rPr>
              <w:t>function</w:t>
            </w:r>
            <w:proofErr w:type="gramEnd"/>
          </w:p>
          <w:p w14:paraId="03AE1920" w14:textId="77777777" w:rsidR="001825E2" w:rsidRDefault="000839A5" w:rsidP="00CB00A7">
            <w:pPr>
              <w:pStyle w:val="TableParagraph"/>
              <w:spacing w:line="247" w:lineRule="auto"/>
              <w:ind w:left="111"/>
              <w:jc w:val="left"/>
              <w:rPr>
                <w:sz w:val="24"/>
              </w:rPr>
            </w:pPr>
            <w:r>
              <w:rPr>
                <w:sz w:val="24"/>
              </w:rPr>
              <w:t>(see</w:t>
            </w:r>
            <w:r>
              <w:rPr>
                <w:spacing w:val="-3"/>
                <w:sz w:val="24"/>
              </w:rPr>
              <w:t xml:space="preserve"> </w:t>
            </w:r>
            <w:r>
              <w:rPr>
                <w:sz w:val="24"/>
              </w:rPr>
              <w:t>Section</w:t>
            </w:r>
            <w:r>
              <w:rPr>
                <w:spacing w:val="-13"/>
                <w:sz w:val="24"/>
              </w:rPr>
              <w:t xml:space="preserve"> </w:t>
            </w:r>
            <w:r>
              <w:rPr>
                <w:sz w:val="24"/>
              </w:rPr>
              <w:t>4.4</w:t>
            </w:r>
            <w:r>
              <w:rPr>
                <w:spacing w:val="-13"/>
                <w:sz w:val="24"/>
              </w:rPr>
              <w:t xml:space="preserve"> </w:t>
            </w:r>
            <w:r>
              <w:rPr>
                <w:sz w:val="24"/>
              </w:rPr>
              <w:t>Special</w:t>
            </w:r>
            <w:r>
              <w:rPr>
                <w:spacing w:val="-7"/>
                <w:sz w:val="24"/>
              </w:rPr>
              <w:t xml:space="preserve"> </w:t>
            </w:r>
            <w:r>
              <w:rPr>
                <w:sz w:val="24"/>
              </w:rPr>
              <w:t>Warnings</w:t>
            </w:r>
            <w:r>
              <w:rPr>
                <w:spacing w:val="-5"/>
                <w:sz w:val="24"/>
              </w:rPr>
              <w:t xml:space="preserve"> </w:t>
            </w:r>
            <w:r>
              <w:rPr>
                <w:sz w:val="24"/>
              </w:rPr>
              <w:t xml:space="preserve">and Precautions </w:t>
            </w:r>
            <w:proofErr w:type="gramStart"/>
            <w:r>
              <w:rPr>
                <w:sz w:val="24"/>
              </w:rPr>
              <w:t>For</w:t>
            </w:r>
            <w:proofErr w:type="gramEnd"/>
            <w:r>
              <w:rPr>
                <w:sz w:val="24"/>
              </w:rPr>
              <w:t xml:space="preserve"> Use and Section 5.2 Pharmacokinetic Properties).</w:t>
            </w:r>
          </w:p>
        </w:tc>
        <w:tc>
          <w:tcPr>
            <w:tcW w:w="4230" w:type="dxa"/>
          </w:tcPr>
          <w:p w14:paraId="49068E8E" w14:textId="77777777" w:rsidR="001825E2" w:rsidRDefault="000839A5" w:rsidP="00CB00A7">
            <w:pPr>
              <w:pStyle w:val="TableParagraph"/>
              <w:spacing w:before="31" w:line="247" w:lineRule="auto"/>
              <w:ind w:left="1312" w:right="262" w:hanging="1005"/>
              <w:jc w:val="left"/>
              <w:rPr>
                <w:sz w:val="24"/>
              </w:rPr>
            </w:pPr>
            <w:r>
              <w:rPr>
                <w:sz w:val="24"/>
              </w:rPr>
              <w:t>If</w:t>
            </w:r>
            <w:r>
              <w:rPr>
                <w:spacing w:val="-8"/>
                <w:sz w:val="24"/>
              </w:rPr>
              <w:t xml:space="preserve"> </w:t>
            </w:r>
            <w:r>
              <w:rPr>
                <w:sz w:val="24"/>
              </w:rPr>
              <w:t>taking</w:t>
            </w:r>
            <w:r>
              <w:rPr>
                <w:spacing w:val="-2"/>
                <w:sz w:val="24"/>
              </w:rPr>
              <w:t xml:space="preserve"> </w:t>
            </w:r>
            <w:r>
              <w:rPr>
                <w:sz w:val="24"/>
              </w:rPr>
              <w:t>10</w:t>
            </w:r>
            <w:r>
              <w:rPr>
                <w:spacing w:val="-2"/>
                <w:sz w:val="24"/>
              </w:rPr>
              <w:t xml:space="preserve"> </w:t>
            </w:r>
            <w:r>
              <w:rPr>
                <w:sz w:val="24"/>
              </w:rPr>
              <w:t>mg</w:t>
            </w:r>
            <w:r>
              <w:rPr>
                <w:spacing w:val="-2"/>
                <w:sz w:val="24"/>
              </w:rPr>
              <w:t xml:space="preserve"> </w:t>
            </w:r>
            <w:r>
              <w:rPr>
                <w:sz w:val="24"/>
              </w:rPr>
              <w:t>twice</w:t>
            </w:r>
            <w:r>
              <w:rPr>
                <w:spacing w:val="-4"/>
                <w:sz w:val="24"/>
              </w:rPr>
              <w:t xml:space="preserve"> </w:t>
            </w:r>
            <w:r>
              <w:rPr>
                <w:sz w:val="24"/>
              </w:rPr>
              <w:t>daily,</w:t>
            </w:r>
            <w:r>
              <w:rPr>
                <w:spacing w:val="-2"/>
                <w:sz w:val="24"/>
              </w:rPr>
              <w:t xml:space="preserve"> </w:t>
            </w:r>
            <w:r>
              <w:rPr>
                <w:sz w:val="24"/>
              </w:rPr>
              <w:t>reduce</w:t>
            </w:r>
            <w:r>
              <w:rPr>
                <w:spacing w:val="-17"/>
                <w:sz w:val="24"/>
              </w:rPr>
              <w:t xml:space="preserve"> </w:t>
            </w:r>
            <w:r>
              <w:rPr>
                <w:sz w:val="24"/>
              </w:rPr>
              <w:t xml:space="preserve">to 5 mg twice </w:t>
            </w:r>
            <w:proofErr w:type="gramStart"/>
            <w:r>
              <w:rPr>
                <w:sz w:val="24"/>
              </w:rPr>
              <w:t>daily</w:t>
            </w:r>
            <w:proofErr w:type="gramEnd"/>
          </w:p>
          <w:p w14:paraId="1B97C4B1" w14:textId="77777777" w:rsidR="001825E2" w:rsidRDefault="000839A5" w:rsidP="00CB00A7">
            <w:pPr>
              <w:pStyle w:val="TableParagraph"/>
              <w:spacing w:before="151" w:line="247" w:lineRule="auto"/>
              <w:ind w:left="1342" w:right="293" w:hanging="975"/>
              <w:jc w:val="left"/>
              <w:rPr>
                <w:sz w:val="24"/>
              </w:rPr>
            </w:pPr>
            <w:r>
              <w:rPr>
                <w:sz w:val="24"/>
              </w:rPr>
              <w:t>If</w:t>
            </w:r>
            <w:r>
              <w:rPr>
                <w:spacing w:val="-9"/>
                <w:sz w:val="24"/>
              </w:rPr>
              <w:t xml:space="preserve"> </w:t>
            </w:r>
            <w:r>
              <w:rPr>
                <w:sz w:val="24"/>
              </w:rPr>
              <w:t>taking</w:t>
            </w:r>
            <w:r>
              <w:rPr>
                <w:spacing w:val="-2"/>
                <w:sz w:val="24"/>
              </w:rPr>
              <w:t xml:space="preserve"> </w:t>
            </w:r>
            <w:r>
              <w:rPr>
                <w:sz w:val="24"/>
              </w:rPr>
              <w:t>5</w:t>
            </w:r>
            <w:r>
              <w:rPr>
                <w:spacing w:val="-2"/>
                <w:sz w:val="24"/>
              </w:rPr>
              <w:t xml:space="preserve"> </w:t>
            </w:r>
            <w:r>
              <w:rPr>
                <w:sz w:val="24"/>
              </w:rPr>
              <w:t>mg</w:t>
            </w:r>
            <w:r>
              <w:rPr>
                <w:spacing w:val="-2"/>
                <w:sz w:val="24"/>
              </w:rPr>
              <w:t xml:space="preserve"> </w:t>
            </w:r>
            <w:r>
              <w:rPr>
                <w:sz w:val="24"/>
              </w:rPr>
              <w:t>twice</w:t>
            </w:r>
            <w:r>
              <w:rPr>
                <w:spacing w:val="-4"/>
                <w:sz w:val="24"/>
              </w:rPr>
              <w:t xml:space="preserve"> </w:t>
            </w:r>
            <w:r>
              <w:rPr>
                <w:sz w:val="24"/>
              </w:rPr>
              <w:t>daily,</w:t>
            </w:r>
            <w:r>
              <w:rPr>
                <w:spacing w:val="-2"/>
                <w:sz w:val="24"/>
              </w:rPr>
              <w:t xml:space="preserve"> </w:t>
            </w:r>
            <w:r>
              <w:rPr>
                <w:sz w:val="24"/>
              </w:rPr>
              <w:t>reduce</w:t>
            </w:r>
            <w:r>
              <w:rPr>
                <w:spacing w:val="-17"/>
                <w:sz w:val="24"/>
              </w:rPr>
              <w:t xml:space="preserve"> </w:t>
            </w:r>
            <w:r>
              <w:rPr>
                <w:sz w:val="24"/>
              </w:rPr>
              <w:t xml:space="preserve">to 5 mg once </w:t>
            </w:r>
            <w:proofErr w:type="gramStart"/>
            <w:r>
              <w:rPr>
                <w:sz w:val="24"/>
              </w:rPr>
              <w:t>daily</w:t>
            </w:r>
            <w:proofErr w:type="gramEnd"/>
          </w:p>
          <w:p w14:paraId="28616B61" w14:textId="77777777" w:rsidR="001825E2" w:rsidRDefault="000839A5" w:rsidP="00CB00A7">
            <w:pPr>
              <w:pStyle w:val="TableParagraph"/>
              <w:spacing w:before="171" w:line="235" w:lineRule="auto"/>
              <w:ind w:left="1342" w:right="262" w:hanging="1005"/>
              <w:jc w:val="left"/>
              <w:rPr>
                <w:sz w:val="24"/>
              </w:rPr>
            </w:pPr>
            <w:r>
              <w:rPr>
                <w:sz w:val="24"/>
              </w:rPr>
              <w:t>If</w:t>
            </w:r>
            <w:r>
              <w:rPr>
                <w:spacing w:val="-8"/>
                <w:sz w:val="24"/>
              </w:rPr>
              <w:t xml:space="preserve"> </w:t>
            </w:r>
            <w:r>
              <w:rPr>
                <w:sz w:val="24"/>
              </w:rPr>
              <w:t>taking</w:t>
            </w:r>
            <w:r>
              <w:rPr>
                <w:spacing w:val="-3"/>
                <w:sz w:val="24"/>
              </w:rPr>
              <w:t xml:space="preserve"> </w:t>
            </w:r>
            <w:r>
              <w:rPr>
                <w:sz w:val="24"/>
              </w:rPr>
              <w:t>11</w:t>
            </w:r>
            <w:r>
              <w:rPr>
                <w:spacing w:val="-3"/>
                <w:sz w:val="24"/>
              </w:rPr>
              <w:t xml:space="preserve"> </w:t>
            </w:r>
            <w:r>
              <w:rPr>
                <w:sz w:val="24"/>
              </w:rPr>
              <w:t>mg</w:t>
            </w:r>
            <w:r>
              <w:rPr>
                <w:spacing w:val="-3"/>
                <w:sz w:val="24"/>
              </w:rPr>
              <w:t xml:space="preserve"> </w:t>
            </w:r>
            <w:r>
              <w:rPr>
                <w:sz w:val="24"/>
              </w:rPr>
              <w:t>once</w:t>
            </w:r>
            <w:r>
              <w:rPr>
                <w:spacing w:val="-5"/>
                <w:sz w:val="24"/>
              </w:rPr>
              <w:t xml:space="preserve"> </w:t>
            </w:r>
            <w:r>
              <w:rPr>
                <w:sz w:val="24"/>
              </w:rPr>
              <w:t>daily,</w:t>
            </w:r>
            <w:r>
              <w:rPr>
                <w:spacing w:val="-3"/>
                <w:sz w:val="24"/>
              </w:rPr>
              <w:t xml:space="preserve"> </w:t>
            </w:r>
            <w:r>
              <w:rPr>
                <w:sz w:val="24"/>
              </w:rPr>
              <w:t>reduce</w:t>
            </w:r>
            <w:r>
              <w:rPr>
                <w:spacing w:val="-5"/>
                <w:sz w:val="24"/>
              </w:rPr>
              <w:t xml:space="preserve"> </w:t>
            </w:r>
            <w:r>
              <w:rPr>
                <w:sz w:val="24"/>
              </w:rPr>
              <w:t xml:space="preserve">to 5 mg once </w:t>
            </w:r>
            <w:proofErr w:type="gramStart"/>
            <w:r>
              <w:rPr>
                <w:sz w:val="24"/>
              </w:rPr>
              <w:t>daily</w:t>
            </w:r>
            <w:proofErr w:type="gramEnd"/>
          </w:p>
          <w:p w14:paraId="3C61411B" w14:textId="77777777" w:rsidR="001825E2" w:rsidRDefault="000839A5" w:rsidP="00CB00A7">
            <w:pPr>
              <w:pStyle w:val="TableParagraph"/>
              <w:spacing w:before="175"/>
              <w:ind w:left="247"/>
              <w:jc w:val="left"/>
              <w:rPr>
                <w:sz w:val="24"/>
              </w:rPr>
            </w:pPr>
            <w:r>
              <w:rPr>
                <w:sz w:val="24"/>
              </w:rPr>
              <w:t>For</w:t>
            </w:r>
            <w:r>
              <w:rPr>
                <w:spacing w:val="-4"/>
                <w:sz w:val="24"/>
              </w:rPr>
              <w:t xml:space="preserve"> </w:t>
            </w:r>
            <w:r>
              <w:rPr>
                <w:sz w:val="24"/>
              </w:rPr>
              <w:t>XELJANZ</w:t>
            </w:r>
            <w:r>
              <w:rPr>
                <w:spacing w:val="-11"/>
                <w:sz w:val="24"/>
              </w:rPr>
              <w:t xml:space="preserve"> </w:t>
            </w:r>
            <w:r>
              <w:rPr>
                <w:sz w:val="24"/>
              </w:rPr>
              <w:t>Oral</w:t>
            </w:r>
            <w:r>
              <w:rPr>
                <w:spacing w:val="-6"/>
                <w:sz w:val="24"/>
              </w:rPr>
              <w:t xml:space="preserve"> </w:t>
            </w:r>
            <w:r>
              <w:rPr>
                <w:sz w:val="24"/>
              </w:rPr>
              <w:t>Solution,</w:t>
            </w:r>
            <w:r>
              <w:rPr>
                <w:spacing w:val="2"/>
                <w:sz w:val="24"/>
              </w:rPr>
              <w:t xml:space="preserve"> </w:t>
            </w:r>
            <w:r>
              <w:rPr>
                <w:sz w:val="24"/>
              </w:rPr>
              <w:t>if</w:t>
            </w:r>
            <w:r>
              <w:rPr>
                <w:spacing w:val="12"/>
                <w:sz w:val="24"/>
              </w:rPr>
              <w:t xml:space="preserve"> </w:t>
            </w:r>
            <w:r>
              <w:rPr>
                <w:spacing w:val="-2"/>
                <w:sz w:val="24"/>
              </w:rPr>
              <w:t>taking</w:t>
            </w:r>
          </w:p>
          <w:p w14:paraId="7A0B6C9E" w14:textId="77777777" w:rsidR="001825E2" w:rsidRDefault="000839A5" w:rsidP="00CB00A7">
            <w:pPr>
              <w:pStyle w:val="TableParagraph"/>
              <w:spacing w:before="13" w:line="235" w:lineRule="auto"/>
              <w:ind w:left="396" w:right="19" w:hanging="270"/>
              <w:jc w:val="left"/>
              <w:rPr>
                <w:sz w:val="24"/>
              </w:rPr>
            </w:pPr>
            <w:r>
              <w:rPr>
                <w:sz w:val="24"/>
              </w:rPr>
              <w:t>3.2</w:t>
            </w:r>
            <w:r>
              <w:rPr>
                <w:spacing w:val="-8"/>
                <w:sz w:val="24"/>
              </w:rPr>
              <w:t xml:space="preserve"> </w:t>
            </w:r>
            <w:r>
              <w:rPr>
                <w:sz w:val="24"/>
              </w:rPr>
              <w:t>mg,</w:t>
            </w:r>
            <w:r>
              <w:rPr>
                <w:spacing w:val="-5"/>
                <w:sz w:val="24"/>
              </w:rPr>
              <w:t xml:space="preserve"> </w:t>
            </w:r>
            <w:r>
              <w:rPr>
                <w:sz w:val="24"/>
              </w:rPr>
              <w:t>4</w:t>
            </w:r>
            <w:r>
              <w:rPr>
                <w:spacing w:val="-5"/>
                <w:sz w:val="24"/>
              </w:rPr>
              <w:t xml:space="preserve"> </w:t>
            </w:r>
            <w:proofErr w:type="gramStart"/>
            <w:r>
              <w:rPr>
                <w:sz w:val="24"/>
              </w:rPr>
              <w:t>mg</w:t>
            </w:r>
            <w:proofErr w:type="gramEnd"/>
            <w:r>
              <w:rPr>
                <w:sz w:val="24"/>
              </w:rPr>
              <w:t xml:space="preserve"> or</w:t>
            </w:r>
            <w:r>
              <w:rPr>
                <w:spacing w:val="-9"/>
                <w:sz w:val="24"/>
              </w:rPr>
              <w:t xml:space="preserve"> </w:t>
            </w:r>
            <w:r>
              <w:rPr>
                <w:sz w:val="24"/>
              </w:rPr>
              <w:t>5</w:t>
            </w:r>
            <w:r>
              <w:rPr>
                <w:spacing w:val="-6"/>
                <w:sz w:val="24"/>
              </w:rPr>
              <w:t xml:space="preserve"> </w:t>
            </w:r>
            <w:r>
              <w:rPr>
                <w:sz w:val="24"/>
              </w:rPr>
              <w:t>mg twice</w:t>
            </w:r>
            <w:r>
              <w:rPr>
                <w:spacing w:val="-17"/>
                <w:sz w:val="24"/>
              </w:rPr>
              <w:t xml:space="preserve"> </w:t>
            </w:r>
            <w:r>
              <w:rPr>
                <w:sz w:val="24"/>
              </w:rPr>
              <w:t>daily,</w:t>
            </w:r>
            <w:r>
              <w:rPr>
                <w:spacing w:val="-5"/>
                <w:sz w:val="24"/>
              </w:rPr>
              <w:t xml:space="preserve"> </w:t>
            </w:r>
            <w:r>
              <w:rPr>
                <w:sz w:val="24"/>
              </w:rPr>
              <w:t>reduce to</w:t>
            </w:r>
            <w:r>
              <w:rPr>
                <w:spacing w:val="-5"/>
                <w:sz w:val="24"/>
              </w:rPr>
              <w:t xml:space="preserve"> </w:t>
            </w:r>
            <w:r>
              <w:rPr>
                <w:sz w:val="24"/>
              </w:rPr>
              <w:t>3.2 mg, 4 mg or 5 mg once daily,</w:t>
            </w:r>
          </w:p>
          <w:p w14:paraId="2352D200" w14:textId="77777777" w:rsidR="001825E2" w:rsidRDefault="000839A5" w:rsidP="00CB00A7">
            <w:pPr>
              <w:pStyle w:val="TableParagraph"/>
              <w:spacing w:before="25" w:line="249" w:lineRule="exact"/>
              <w:ind w:left="1537"/>
              <w:jc w:val="left"/>
              <w:rPr>
                <w:sz w:val="24"/>
              </w:rPr>
            </w:pPr>
            <w:r>
              <w:rPr>
                <w:spacing w:val="-2"/>
                <w:sz w:val="24"/>
              </w:rPr>
              <w:t>respectively</w:t>
            </w:r>
          </w:p>
        </w:tc>
      </w:tr>
      <w:tr w:rsidR="001825E2" w14:paraId="00536BBE" w14:textId="77777777">
        <w:trPr>
          <w:trHeight w:val="315"/>
        </w:trPr>
        <w:tc>
          <w:tcPr>
            <w:tcW w:w="9075" w:type="dxa"/>
            <w:gridSpan w:val="2"/>
          </w:tcPr>
          <w:p w14:paraId="63A65D3A" w14:textId="77777777" w:rsidR="001825E2" w:rsidRDefault="000839A5" w:rsidP="00CB00A7">
            <w:pPr>
              <w:pStyle w:val="TableParagraph"/>
              <w:spacing w:before="31" w:line="264" w:lineRule="exact"/>
              <w:ind w:left="15" w:right="19"/>
              <w:jc w:val="left"/>
              <w:rPr>
                <w:b/>
                <w:i/>
                <w:sz w:val="24"/>
              </w:rPr>
            </w:pPr>
            <w:r>
              <w:rPr>
                <w:b/>
                <w:i/>
                <w:spacing w:val="-2"/>
                <w:sz w:val="24"/>
              </w:rPr>
              <w:t>Lymphopenia</w:t>
            </w:r>
          </w:p>
        </w:tc>
      </w:tr>
      <w:tr w:rsidR="001825E2" w14:paraId="1F329605" w14:textId="77777777">
        <w:trPr>
          <w:trHeight w:val="314"/>
        </w:trPr>
        <w:tc>
          <w:tcPr>
            <w:tcW w:w="4845" w:type="dxa"/>
          </w:tcPr>
          <w:p w14:paraId="1B58FA31" w14:textId="77777777" w:rsidR="001825E2" w:rsidRDefault="000839A5" w:rsidP="00CB00A7">
            <w:pPr>
              <w:pStyle w:val="TableParagraph"/>
              <w:spacing w:before="31" w:line="264" w:lineRule="exact"/>
              <w:jc w:val="left"/>
              <w:rPr>
                <w:sz w:val="24"/>
              </w:rPr>
            </w:pPr>
            <w:r>
              <w:rPr>
                <w:sz w:val="24"/>
              </w:rPr>
              <w:t>Patients with</w:t>
            </w:r>
            <w:r>
              <w:rPr>
                <w:spacing w:val="-11"/>
                <w:sz w:val="24"/>
              </w:rPr>
              <w:t xml:space="preserve"> </w:t>
            </w:r>
            <w:r>
              <w:rPr>
                <w:sz w:val="24"/>
              </w:rPr>
              <w:t>ALC</w:t>
            </w:r>
            <w:r>
              <w:rPr>
                <w:spacing w:val="-7"/>
                <w:sz w:val="24"/>
              </w:rPr>
              <w:t xml:space="preserve"> </w:t>
            </w:r>
            <w:r>
              <w:rPr>
                <w:sz w:val="24"/>
              </w:rPr>
              <w:t>≥0.75</w:t>
            </w:r>
            <w:r>
              <w:rPr>
                <w:spacing w:val="5"/>
                <w:sz w:val="24"/>
              </w:rPr>
              <w:t xml:space="preserve"> </w:t>
            </w:r>
            <w:r>
              <w:rPr>
                <w:sz w:val="24"/>
              </w:rPr>
              <w:t>x</w:t>
            </w:r>
            <w:r>
              <w:rPr>
                <w:spacing w:val="5"/>
                <w:sz w:val="24"/>
              </w:rPr>
              <w:t xml:space="preserve"> </w:t>
            </w:r>
            <w:r>
              <w:rPr>
                <w:sz w:val="24"/>
              </w:rPr>
              <w:t>10</w:t>
            </w:r>
            <w:r>
              <w:rPr>
                <w:position w:val="7"/>
                <w:sz w:val="16"/>
              </w:rPr>
              <w:t>9</w:t>
            </w:r>
            <w:r>
              <w:rPr>
                <w:spacing w:val="17"/>
                <w:position w:val="7"/>
                <w:sz w:val="16"/>
              </w:rPr>
              <w:t xml:space="preserve"> </w:t>
            </w:r>
            <w:r>
              <w:rPr>
                <w:spacing w:val="-2"/>
                <w:sz w:val="24"/>
              </w:rPr>
              <w:t>cells/L.</w:t>
            </w:r>
          </w:p>
        </w:tc>
        <w:tc>
          <w:tcPr>
            <w:tcW w:w="4230" w:type="dxa"/>
          </w:tcPr>
          <w:p w14:paraId="3F82FD0C" w14:textId="77777777" w:rsidR="001825E2" w:rsidRDefault="000839A5" w:rsidP="00CB00A7">
            <w:pPr>
              <w:pStyle w:val="TableParagraph"/>
              <w:spacing w:before="31" w:line="264" w:lineRule="exact"/>
              <w:ind w:left="1"/>
              <w:jc w:val="left"/>
              <w:rPr>
                <w:sz w:val="24"/>
              </w:rPr>
            </w:pPr>
            <w:r>
              <w:rPr>
                <w:sz w:val="24"/>
              </w:rPr>
              <w:t>Maintain</w:t>
            </w:r>
            <w:r>
              <w:rPr>
                <w:spacing w:val="-1"/>
                <w:sz w:val="24"/>
              </w:rPr>
              <w:t xml:space="preserve"> </w:t>
            </w:r>
            <w:r>
              <w:rPr>
                <w:spacing w:val="-4"/>
                <w:sz w:val="24"/>
              </w:rPr>
              <w:t>dose</w:t>
            </w:r>
          </w:p>
        </w:tc>
      </w:tr>
      <w:tr w:rsidR="001825E2" w14:paraId="546A8B1A" w14:textId="77777777">
        <w:trPr>
          <w:trHeight w:val="3510"/>
        </w:trPr>
        <w:tc>
          <w:tcPr>
            <w:tcW w:w="4845" w:type="dxa"/>
          </w:tcPr>
          <w:p w14:paraId="72B1FD6E" w14:textId="77777777" w:rsidR="001825E2" w:rsidRDefault="000839A5" w:rsidP="00CB00A7">
            <w:pPr>
              <w:pStyle w:val="TableParagraph"/>
              <w:spacing w:before="16" w:line="247" w:lineRule="auto"/>
              <w:ind w:right="304"/>
              <w:jc w:val="left"/>
              <w:rPr>
                <w:sz w:val="24"/>
              </w:rPr>
            </w:pPr>
            <w:r>
              <w:rPr>
                <w:sz w:val="24"/>
              </w:rPr>
              <w:t>Patients</w:t>
            </w:r>
            <w:r>
              <w:rPr>
                <w:spacing w:val="-15"/>
                <w:sz w:val="24"/>
              </w:rPr>
              <w:t xml:space="preserve"> </w:t>
            </w:r>
            <w:r>
              <w:rPr>
                <w:sz w:val="24"/>
              </w:rPr>
              <w:t>with</w:t>
            </w:r>
            <w:r>
              <w:rPr>
                <w:spacing w:val="-15"/>
                <w:sz w:val="24"/>
              </w:rPr>
              <w:t xml:space="preserve"> </w:t>
            </w:r>
            <w:r>
              <w:rPr>
                <w:sz w:val="24"/>
              </w:rPr>
              <w:t>persistent</w:t>
            </w:r>
            <w:r>
              <w:rPr>
                <w:spacing w:val="13"/>
                <w:sz w:val="24"/>
              </w:rPr>
              <w:t xml:space="preserve"> </w:t>
            </w:r>
            <w:r>
              <w:rPr>
                <w:sz w:val="24"/>
              </w:rPr>
              <w:t>decrease</w:t>
            </w:r>
            <w:r>
              <w:rPr>
                <w:spacing w:val="-9"/>
                <w:sz w:val="24"/>
              </w:rPr>
              <w:t xml:space="preserve"> </w:t>
            </w:r>
            <w:r>
              <w:rPr>
                <w:sz w:val="24"/>
              </w:rPr>
              <w:t>(2</w:t>
            </w:r>
            <w:r>
              <w:rPr>
                <w:spacing w:val="-7"/>
                <w:sz w:val="24"/>
              </w:rPr>
              <w:t xml:space="preserve"> </w:t>
            </w:r>
            <w:r>
              <w:rPr>
                <w:sz w:val="24"/>
              </w:rPr>
              <w:t>sequential values on</w:t>
            </w:r>
            <w:r>
              <w:rPr>
                <w:spacing w:val="-6"/>
                <w:sz w:val="24"/>
              </w:rPr>
              <w:t xml:space="preserve"> </w:t>
            </w:r>
            <w:r>
              <w:rPr>
                <w:sz w:val="24"/>
              </w:rPr>
              <w:t>routine</w:t>
            </w:r>
            <w:r>
              <w:rPr>
                <w:spacing w:val="-8"/>
                <w:sz w:val="24"/>
              </w:rPr>
              <w:t xml:space="preserve"> </w:t>
            </w:r>
            <w:r>
              <w:rPr>
                <w:sz w:val="24"/>
              </w:rPr>
              <w:t>testing)</w:t>
            </w:r>
            <w:r>
              <w:rPr>
                <w:spacing w:val="-11"/>
                <w:sz w:val="24"/>
              </w:rPr>
              <w:t xml:space="preserve"> </w:t>
            </w:r>
            <w:r>
              <w:rPr>
                <w:sz w:val="24"/>
              </w:rPr>
              <w:t>in ALC</w:t>
            </w:r>
            <w:r>
              <w:rPr>
                <w:spacing w:val="-15"/>
                <w:sz w:val="24"/>
              </w:rPr>
              <w:t xml:space="preserve"> </w:t>
            </w:r>
            <w:r>
              <w:rPr>
                <w:sz w:val="24"/>
              </w:rPr>
              <w:t>in</w:t>
            </w:r>
            <w:r>
              <w:rPr>
                <w:spacing w:val="-6"/>
                <w:sz w:val="24"/>
              </w:rPr>
              <w:t xml:space="preserve"> </w:t>
            </w:r>
            <w:r>
              <w:rPr>
                <w:sz w:val="24"/>
              </w:rPr>
              <w:t>the</w:t>
            </w:r>
            <w:r>
              <w:rPr>
                <w:spacing w:val="-8"/>
                <w:sz w:val="24"/>
              </w:rPr>
              <w:t xml:space="preserve"> </w:t>
            </w:r>
            <w:r>
              <w:rPr>
                <w:sz w:val="24"/>
              </w:rPr>
              <w:t>range of 0.5 – &lt;0.75 x 10</w:t>
            </w:r>
            <w:r>
              <w:rPr>
                <w:position w:val="7"/>
                <w:sz w:val="16"/>
              </w:rPr>
              <w:t>9</w:t>
            </w:r>
            <w:r>
              <w:rPr>
                <w:spacing w:val="40"/>
                <w:position w:val="7"/>
                <w:sz w:val="16"/>
              </w:rPr>
              <w:t xml:space="preserve"> </w:t>
            </w:r>
            <w:r>
              <w:rPr>
                <w:sz w:val="24"/>
              </w:rPr>
              <w:t>cells/L.</w:t>
            </w:r>
          </w:p>
        </w:tc>
        <w:tc>
          <w:tcPr>
            <w:tcW w:w="4230" w:type="dxa"/>
          </w:tcPr>
          <w:p w14:paraId="315446F8" w14:textId="77777777" w:rsidR="001825E2" w:rsidRDefault="000839A5" w:rsidP="00CB00A7">
            <w:pPr>
              <w:pStyle w:val="TableParagraph"/>
              <w:spacing w:before="16"/>
              <w:ind w:left="288" w:right="274"/>
              <w:jc w:val="left"/>
              <w:rPr>
                <w:sz w:val="24"/>
              </w:rPr>
            </w:pPr>
            <w:r>
              <w:rPr>
                <w:sz w:val="24"/>
              </w:rPr>
              <w:t>Reduce</w:t>
            </w:r>
            <w:r>
              <w:rPr>
                <w:spacing w:val="-16"/>
                <w:sz w:val="24"/>
              </w:rPr>
              <w:t xml:space="preserve"> </w:t>
            </w:r>
            <w:r>
              <w:rPr>
                <w:sz w:val="24"/>
              </w:rPr>
              <w:t>or</w:t>
            </w:r>
            <w:r>
              <w:rPr>
                <w:spacing w:val="-4"/>
                <w:sz w:val="24"/>
              </w:rPr>
              <w:t xml:space="preserve"> </w:t>
            </w:r>
            <w:r>
              <w:rPr>
                <w:sz w:val="24"/>
              </w:rPr>
              <w:t>interrupt</w:t>
            </w:r>
            <w:r>
              <w:rPr>
                <w:spacing w:val="10"/>
                <w:sz w:val="24"/>
              </w:rPr>
              <w:t xml:space="preserve"> </w:t>
            </w:r>
            <w:r>
              <w:rPr>
                <w:spacing w:val="-2"/>
                <w:sz w:val="24"/>
              </w:rPr>
              <w:t>dosing.</w:t>
            </w:r>
          </w:p>
          <w:p w14:paraId="0933620D" w14:textId="77777777" w:rsidR="001825E2" w:rsidRDefault="000839A5" w:rsidP="00CB00A7">
            <w:pPr>
              <w:pStyle w:val="TableParagraph"/>
              <w:spacing w:before="174" w:line="247" w:lineRule="auto"/>
              <w:ind w:left="288" w:right="271"/>
              <w:jc w:val="left"/>
              <w:rPr>
                <w:sz w:val="24"/>
              </w:rPr>
            </w:pPr>
            <w:r>
              <w:rPr>
                <w:sz w:val="24"/>
              </w:rPr>
              <w:t>If</w:t>
            </w:r>
            <w:r>
              <w:rPr>
                <w:spacing w:val="-8"/>
                <w:sz w:val="24"/>
              </w:rPr>
              <w:t xml:space="preserve"> </w:t>
            </w:r>
            <w:r>
              <w:rPr>
                <w:sz w:val="24"/>
              </w:rPr>
              <w:t>taking</w:t>
            </w:r>
            <w:r>
              <w:rPr>
                <w:spacing w:val="-2"/>
                <w:sz w:val="24"/>
              </w:rPr>
              <w:t xml:space="preserve"> </w:t>
            </w:r>
            <w:r>
              <w:rPr>
                <w:sz w:val="24"/>
              </w:rPr>
              <w:t>10</w:t>
            </w:r>
            <w:r>
              <w:rPr>
                <w:spacing w:val="-2"/>
                <w:sz w:val="24"/>
              </w:rPr>
              <w:t xml:space="preserve"> </w:t>
            </w:r>
            <w:r>
              <w:rPr>
                <w:sz w:val="24"/>
              </w:rPr>
              <w:t>mg</w:t>
            </w:r>
            <w:r>
              <w:rPr>
                <w:spacing w:val="-2"/>
                <w:sz w:val="24"/>
              </w:rPr>
              <w:t xml:space="preserve"> </w:t>
            </w:r>
            <w:r>
              <w:rPr>
                <w:sz w:val="24"/>
              </w:rPr>
              <w:t>twice</w:t>
            </w:r>
            <w:r>
              <w:rPr>
                <w:spacing w:val="-4"/>
                <w:sz w:val="24"/>
              </w:rPr>
              <w:t xml:space="preserve"> </w:t>
            </w:r>
            <w:r>
              <w:rPr>
                <w:sz w:val="24"/>
              </w:rPr>
              <w:t>daily,</w:t>
            </w:r>
            <w:r>
              <w:rPr>
                <w:spacing w:val="-2"/>
                <w:sz w:val="24"/>
              </w:rPr>
              <w:t xml:space="preserve"> </w:t>
            </w:r>
            <w:r>
              <w:rPr>
                <w:sz w:val="24"/>
              </w:rPr>
              <w:t>reduce</w:t>
            </w:r>
            <w:r>
              <w:rPr>
                <w:spacing w:val="-17"/>
                <w:sz w:val="24"/>
              </w:rPr>
              <w:t xml:space="preserve"> </w:t>
            </w:r>
            <w:r>
              <w:rPr>
                <w:sz w:val="24"/>
              </w:rPr>
              <w:t>to 5 mg twice daily.</w:t>
            </w:r>
          </w:p>
          <w:p w14:paraId="13454AEB" w14:textId="77777777" w:rsidR="001825E2" w:rsidRDefault="000839A5" w:rsidP="00CB00A7">
            <w:pPr>
              <w:pStyle w:val="TableParagraph"/>
              <w:spacing w:before="166" w:line="247" w:lineRule="auto"/>
              <w:ind w:left="288" w:right="280"/>
              <w:jc w:val="left"/>
              <w:rPr>
                <w:sz w:val="24"/>
              </w:rPr>
            </w:pPr>
            <w:r>
              <w:rPr>
                <w:sz w:val="24"/>
              </w:rPr>
              <w:t>If</w:t>
            </w:r>
            <w:r>
              <w:rPr>
                <w:spacing w:val="-11"/>
                <w:sz w:val="24"/>
              </w:rPr>
              <w:t xml:space="preserve"> </w:t>
            </w:r>
            <w:r>
              <w:rPr>
                <w:sz w:val="24"/>
              </w:rPr>
              <w:t>taking</w:t>
            </w:r>
            <w:r>
              <w:rPr>
                <w:spacing w:val="-7"/>
                <w:sz w:val="24"/>
              </w:rPr>
              <w:t xml:space="preserve"> </w:t>
            </w:r>
            <w:r>
              <w:rPr>
                <w:sz w:val="24"/>
              </w:rPr>
              <w:t>5</w:t>
            </w:r>
            <w:r>
              <w:rPr>
                <w:spacing w:val="-7"/>
                <w:sz w:val="24"/>
              </w:rPr>
              <w:t xml:space="preserve"> </w:t>
            </w:r>
            <w:r>
              <w:rPr>
                <w:sz w:val="24"/>
              </w:rPr>
              <w:t>mg</w:t>
            </w:r>
            <w:r>
              <w:rPr>
                <w:spacing w:val="-7"/>
                <w:sz w:val="24"/>
              </w:rPr>
              <w:t xml:space="preserve"> </w:t>
            </w:r>
            <w:r>
              <w:rPr>
                <w:sz w:val="24"/>
              </w:rPr>
              <w:t>twice</w:t>
            </w:r>
            <w:r>
              <w:rPr>
                <w:spacing w:val="-9"/>
                <w:sz w:val="24"/>
              </w:rPr>
              <w:t xml:space="preserve"> </w:t>
            </w:r>
            <w:r>
              <w:rPr>
                <w:sz w:val="24"/>
              </w:rPr>
              <w:t>daily,</w:t>
            </w:r>
            <w:r>
              <w:rPr>
                <w:spacing w:val="-7"/>
                <w:sz w:val="24"/>
              </w:rPr>
              <w:t xml:space="preserve"> </w:t>
            </w:r>
            <w:r>
              <w:rPr>
                <w:sz w:val="24"/>
              </w:rPr>
              <w:t xml:space="preserve">interrupt </w:t>
            </w:r>
            <w:r>
              <w:rPr>
                <w:spacing w:val="-2"/>
                <w:sz w:val="24"/>
              </w:rPr>
              <w:t>dosing.</w:t>
            </w:r>
          </w:p>
          <w:p w14:paraId="6457C3B4" w14:textId="77777777" w:rsidR="001825E2" w:rsidRDefault="000839A5" w:rsidP="00CB00A7">
            <w:pPr>
              <w:pStyle w:val="TableParagraph"/>
              <w:spacing w:before="152" w:line="261" w:lineRule="auto"/>
              <w:ind w:left="367" w:right="373"/>
              <w:jc w:val="left"/>
              <w:rPr>
                <w:sz w:val="24"/>
              </w:rPr>
            </w:pPr>
            <w:r>
              <w:rPr>
                <w:sz w:val="24"/>
              </w:rPr>
              <w:t>If</w:t>
            </w:r>
            <w:r>
              <w:rPr>
                <w:spacing w:val="-12"/>
                <w:sz w:val="24"/>
              </w:rPr>
              <w:t xml:space="preserve"> </w:t>
            </w:r>
            <w:r>
              <w:rPr>
                <w:sz w:val="24"/>
              </w:rPr>
              <w:t>taking</w:t>
            </w:r>
            <w:r>
              <w:rPr>
                <w:spacing w:val="-8"/>
                <w:sz w:val="24"/>
              </w:rPr>
              <w:t xml:space="preserve"> </w:t>
            </w:r>
            <w:r>
              <w:rPr>
                <w:sz w:val="24"/>
              </w:rPr>
              <w:t>11</w:t>
            </w:r>
            <w:r>
              <w:rPr>
                <w:spacing w:val="-8"/>
                <w:sz w:val="24"/>
              </w:rPr>
              <w:t xml:space="preserve"> </w:t>
            </w:r>
            <w:r>
              <w:rPr>
                <w:sz w:val="24"/>
              </w:rPr>
              <w:t>mg</w:t>
            </w:r>
            <w:r>
              <w:rPr>
                <w:spacing w:val="-8"/>
                <w:sz w:val="24"/>
              </w:rPr>
              <w:t xml:space="preserve"> </w:t>
            </w:r>
            <w:r>
              <w:rPr>
                <w:sz w:val="24"/>
              </w:rPr>
              <w:t>once</w:t>
            </w:r>
            <w:r>
              <w:rPr>
                <w:spacing w:val="-10"/>
                <w:sz w:val="24"/>
              </w:rPr>
              <w:t xml:space="preserve"> </w:t>
            </w:r>
            <w:r>
              <w:rPr>
                <w:sz w:val="24"/>
              </w:rPr>
              <w:t>daily,</w:t>
            </w:r>
            <w:r>
              <w:rPr>
                <w:spacing w:val="-8"/>
                <w:sz w:val="24"/>
              </w:rPr>
              <w:t xml:space="preserve"> </w:t>
            </w:r>
            <w:r>
              <w:rPr>
                <w:sz w:val="24"/>
              </w:rPr>
              <w:t xml:space="preserve">interrupt </w:t>
            </w:r>
            <w:r>
              <w:rPr>
                <w:spacing w:val="-2"/>
                <w:sz w:val="24"/>
              </w:rPr>
              <w:t>dosing.</w:t>
            </w:r>
          </w:p>
          <w:p w14:paraId="15FBC249" w14:textId="77777777" w:rsidR="001825E2" w:rsidRDefault="000839A5" w:rsidP="00CB00A7">
            <w:pPr>
              <w:pStyle w:val="TableParagraph"/>
              <w:spacing w:before="137" w:line="235" w:lineRule="auto"/>
              <w:ind w:left="288" w:right="271"/>
              <w:jc w:val="left"/>
              <w:rPr>
                <w:sz w:val="24"/>
              </w:rPr>
            </w:pPr>
            <w:r>
              <w:rPr>
                <w:sz w:val="24"/>
              </w:rPr>
              <w:t>When</w:t>
            </w:r>
            <w:r>
              <w:rPr>
                <w:spacing w:val="-13"/>
                <w:sz w:val="24"/>
              </w:rPr>
              <w:t xml:space="preserve"> </w:t>
            </w:r>
            <w:r>
              <w:rPr>
                <w:sz w:val="24"/>
              </w:rPr>
              <w:t>ALC</w:t>
            </w:r>
            <w:r>
              <w:rPr>
                <w:spacing w:val="-15"/>
                <w:sz w:val="24"/>
              </w:rPr>
              <w:t xml:space="preserve"> </w:t>
            </w:r>
            <w:r>
              <w:rPr>
                <w:sz w:val="24"/>
              </w:rPr>
              <w:t>is ≥0.75</w:t>
            </w:r>
            <w:r>
              <w:rPr>
                <w:spacing w:val="-9"/>
                <w:sz w:val="24"/>
              </w:rPr>
              <w:t xml:space="preserve"> </w:t>
            </w:r>
            <w:r>
              <w:rPr>
                <w:sz w:val="24"/>
              </w:rPr>
              <w:t>x</w:t>
            </w:r>
            <w:r>
              <w:rPr>
                <w:spacing w:val="-9"/>
                <w:sz w:val="24"/>
              </w:rPr>
              <w:t xml:space="preserve"> </w:t>
            </w:r>
            <w:r>
              <w:rPr>
                <w:sz w:val="24"/>
              </w:rPr>
              <w:t>10</w:t>
            </w:r>
            <w:r>
              <w:rPr>
                <w:position w:val="7"/>
                <w:sz w:val="16"/>
              </w:rPr>
              <w:t xml:space="preserve">9 </w:t>
            </w:r>
            <w:r>
              <w:rPr>
                <w:sz w:val="24"/>
              </w:rPr>
              <w:t xml:space="preserve">cells/L, resume treatment as </w:t>
            </w:r>
            <w:proofErr w:type="gramStart"/>
            <w:r>
              <w:rPr>
                <w:sz w:val="24"/>
              </w:rPr>
              <w:t>clinically</w:t>
            </w:r>
            <w:proofErr w:type="gramEnd"/>
          </w:p>
          <w:p w14:paraId="76592197" w14:textId="77777777" w:rsidR="001825E2" w:rsidRDefault="000839A5" w:rsidP="00CB00A7">
            <w:pPr>
              <w:pStyle w:val="TableParagraph"/>
              <w:spacing w:before="25" w:line="264" w:lineRule="exact"/>
              <w:ind w:left="0"/>
              <w:jc w:val="left"/>
              <w:rPr>
                <w:sz w:val="24"/>
              </w:rPr>
            </w:pPr>
            <w:r>
              <w:rPr>
                <w:spacing w:val="-2"/>
                <w:sz w:val="24"/>
              </w:rPr>
              <w:t>appropriate.</w:t>
            </w:r>
          </w:p>
        </w:tc>
      </w:tr>
      <w:tr w:rsidR="001825E2" w14:paraId="5C3C9A60" w14:textId="77777777">
        <w:trPr>
          <w:trHeight w:val="585"/>
        </w:trPr>
        <w:tc>
          <w:tcPr>
            <w:tcW w:w="4845" w:type="dxa"/>
          </w:tcPr>
          <w:p w14:paraId="166737FE" w14:textId="77777777" w:rsidR="001825E2" w:rsidRDefault="000839A5" w:rsidP="00CB00A7">
            <w:pPr>
              <w:pStyle w:val="TableParagraph"/>
              <w:spacing w:before="5" w:line="280" w:lineRule="atLeast"/>
              <w:jc w:val="left"/>
              <w:rPr>
                <w:sz w:val="24"/>
              </w:rPr>
            </w:pPr>
            <w:r>
              <w:rPr>
                <w:sz w:val="24"/>
              </w:rPr>
              <w:t>Patients</w:t>
            </w:r>
            <w:r>
              <w:rPr>
                <w:spacing w:val="-15"/>
                <w:sz w:val="24"/>
              </w:rPr>
              <w:t xml:space="preserve"> </w:t>
            </w:r>
            <w:r>
              <w:rPr>
                <w:sz w:val="24"/>
              </w:rPr>
              <w:t>with</w:t>
            </w:r>
            <w:r>
              <w:rPr>
                <w:spacing w:val="-15"/>
                <w:sz w:val="24"/>
              </w:rPr>
              <w:t xml:space="preserve"> </w:t>
            </w:r>
            <w:r>
              <w:rPr>
                <w:sz w:val="24"/>
              </w:rPr>
              <w:t>ALC</w:t>
            </w:r>
            <w:r>
              <w:rPr>
                <w:spacing w:val="-15"/>
                <w:sz w:val="24"/>
              </w:rPr>
              <w:t xml:space="preserve"> </w:t>
            </w:r>
            <w:r>
              <w:rPr>
                <w:sz w:val="24"/>
              </w:rPr>
              <w:t>&lt;0.5</w:t>
            </w:r>
            <w:r>
              <w:rPr>
                <w:spacing w:val="-9"/>
                <w:sz w:val="24"/>
              </w:rPr>
              <w:t xml:space="preserve"> </w:t>
            </w:r>
            <w:r>
              <w:rPr>
                <w:sz w:val="24"/>
              </w:rPr>
              <w:t>x</w:t>
            </w:r>
            <w:r>
              <w:rPr>
                <w:spacing w:val="-7"/>
                <w:sz w:val="24"/>
              </w:rPr>
              <w:t xml:space="preserve"> </w:t>
            </w:r>
            <w:r>
              <w:rPr>
                <w:sz w:val="24"/>
              </w:rPr>
              <w:t>10</w:t>
            </w:r>
            <w:r>
              <w:rPr>
                <w:position w:val="7"/>
                <w:sz w:val="16"/>
              </w:rPr>
              <w:t>9</w:t>
            </w:r>
            <w:r>
              <w:rPr>
                <w:spacing w:val="19"/>
                <w:position w:val="7"/>
                <w:sz w:val="16"/>
              </w:rPr>
              <w:t xml:space="preserve"> </w:t>
            </w:r>
            <w:r>
              <w:rPr>
                <w:sz w:val="24"/>
              </w:rPr>
              <w:t>cells/L (lab value confirmed by repeat testing within 7 days).</w:t>
            </w:r>
          </w:p>
        </w:tc>
        <w:tc>
          <w:tcPr>
            <w:tcW w:w="4230" w:type="dxa"/>
          </w:tcPr>
          <w:p w14:paraId="10DBD30F" w14:textId="77777777" w:rsidR="001825E2" w:rsidRDefault="000839A5" w:rsidP="00CB00A7">
            <w:pPr>
              <w:pStyle w:val="TableParagraph"/>
              <w:spacing w:before="16"/>
              <w:ind w:left="0"/>
              <w:jc w:val="left"/>
              <w:rPr>
                <w:sz w:val="24"/>
              </w:rPr>
            </w:pPr>
            <w:r>
              <w:rPr>
                <w:sz w:val="24"/>
              </w:rPr>
              <w:t>Discontinue</w:t>
            </w:r>
            <w:r>
              <w:rPr>
                <w:spacing w:val="-8"/>
                <w:sz w:val="24"/>
              </w:rPr>
              <w:t xml:space="preserve"> </w:t>
            </w:r>
            <w:r>
              <w:rPr>
                <w:spacing w:val="-2"/>
                <w:sz w:val="24"/>
              </w:rPr>
              <w:t>dosing</w:t>
            </w:r>
          </w:p>
        </w:tc>
      </w:tr>
      <w:tr w:rsidR="001825E2" w14:paraId="0D86DC4E" w14:textId="77777777">
        <w:trPr>
          <w:trHeight w:val="300"/>
        </w:trPr>
        <w:tc>
          <w:tcPr>
            <w:tcW w:w="9075" w:type="dxa"/>
            <w:gridSpan w:val="2"/>
          </w:tcPr>
          <w:p w14:paraId="1BFB29FF" w14:textId="77777777" w:rsidR="001825E2" w:rsidRDefault="000839A5" w:rsidP="00CB00A7">
            <w:pPr>
              <w:pStyle w:val="TableParagraph"/>
              <w:spacing w:before="16" w:line="264" w:lineRule="exact"/>
              <w:ind w:left="15" w:right="7"/>
              <w:jc w:val="left"/>
              <w:rPr>
                <w:b/>
                <w:i/>
                <w:sz w:val="24"/>
              </w:rPr>
            </w:pPr>
            <w:r>
              <w:rPr>
                <w:b/>
                <w:i/>
                <w:spacing w:val="-2"/>
                <w:sz w:val="24"/>
              </w:rPr>
              <w:t>Neutropenia</w:t>
            </w:r>
          </w:p>
        </w:tc>
      </w:tr>
      <w:tr w:rsidR="001825E2" w14:paraId="40FC12DB" w14:textId="77777777">
        <w:trPr>
          <w:trHeight w:val="314"/>
        </w:trPr>
        <w:tc>
          <w:tcPr>
            <w:tcW w:w="4845" w:type="dxa"/>
          </w:tcPr>
          <w:p w14:paraId="09BE4673" w14:textId="77777777" w:rsidR="001825E2" w:rsidRDefault="000839A5" w:rsidP="00CB00A7">
            <w:pPr>
              <w:pStyle w:val="TableParagraph"/>
              <w:spacing w:before="31" w:line="264" w:lineRule="exact"/>
              <w:jc w:val="left"/>
              <w:rPr>
                <w:sz w:val="24"/>
              </w:rPr>
            </w:pPr>
            <w:r>
              <w:rPr>
                <w:sz w:val="24"/>
              </w:rPr>
              <w:t>Patients with</w:t>
            </w:r>
            <w:r>
              <w:rPr>
                <w:spacing w:val="-11"/>
                <w:sz w:val="24"/>
              </w:rPr>
              <w:t xml:space="preserve"> </w:t>
            </w:r>
            <w:r>
              <w:rPr>
                <w:sz w:val="24"/>
              </w:rPr>
              <w:t>ANC</w:t>
            </w:r>
            <w:r>
              <w:rPr>
                <w:spacing w:val="-7"/>
                <w:sz w:val="24"/>
              </w:rPr>
              <w:t xml:space="preserve"> </w:t>
            </w:r>
            <w:r>
              <w:rPr>
                <w:sz w:val="24"/>
              </w:rPr>
              <w:t>&gt;1.0</w:t>
            </w:r>
            <w:r>
              <w:rPr>
                <w:spacing w:val="4"/>
                <w:sz w:val="24"/>
              </w:rPr>
              <w:t xml:space="preserve"> </w:t>
            </w:r>
            <w:r>
              <w:rPr>
                <w:sz w:val="24"/>
              </w:rPr>
              <w:t>x</w:t>
            </w:r>
            <w:r>
              <w:rPr>
                <w:spacing w:val="5"/>
                <w:sz w:val="24"/>
              </w:rPr>
              <w:t xml:space="preserve"> </w:t>
            </w:r>
            <w:r>
              <w:rPr>
                <w:sz w:val="24"/>
              </w:rPr>
              <w:t>10</w:t>
            </w:r>
            <w:r>
              <w:rPr>
                <w:position w:val="7"/>
                <w:sz w:val="16"/>
              </w:rPr>
              <w:t>9</w:t>
            </w:r>
            <w:r>
              <w:rPr>
                <w:spacing w:val="16"/>
                <w:position w:val="7"/>
                <w:sz w:val="16"/>
              </w:rPr>
              <w:t xml:space="preserve"> </w:t>
            </w:r>
            <w:r>
              <w:rPr>
                <w:spacing w:val="-2"/>
                <w:sz w:val="24"/>
              </w:rPr>
              <w:t>cells/L.</w:t>
            </w:r>
          </w:p>
        </w:tc>
        <w:tc>
          <w:tcPr>
            <w:tcW w:w="4230" w:type="dxa"/>
          </w:tcPr>
          <w:p w14:paraId="63A16066" w14:textId="77777777" w:rsidR="001825E2" w:rsidRDefault="000839A5" w:rsidP="00CB00A7">
            <w:pPr>
              <w:pStyle w:val="TableParagraph"/>
              <w:spacing w:before="31" w:line="264" w:lineRule="exact"/>
              <w:ind w:left="1"/>
              <w:jc w:val="left"/>
              <w:rPr>
                <w:sz w:val="24"/>
              </w:rPr>
            </w:pPr>
            <w:r>
              <w:rPr>
                <w:sz w:val="24"/>
              </w:rPr>
              <w:t>Maintain</w:t>
            </w:r>
            <w:r>
              <w:rPr>
                <w:spacing w:val="-1"/>
                <w:sz w:val="24"/>
              </w:rPr>
              <w:t xml:space="preserve"> </w:t>
            </w:r>
            <w:r>
              <w:rPr>
                <w:spacing w:val="-4"/>
                <w:sz w:val="24"/>
              </w:rPr>
              <w:t>dose</w:t>
            </w:r>
          </w:p>
        </w:tc>
      </w:tr>
      <w:tr w:rsidR="001825E2" w14:paraId="5E300040" w14:textId="77777777">
        <w:trPr>
          <w:trHeight w:val="1019"/>
        </w:trPr>
        <w:tc>
          <w:tcPr>
            <w:tcW w:w="4845" w:type="dxa"/>
          </w:tcPr>
          <w:p w14:paraId="216C2152" w14:textId="77777777" w:rsidR="001825E2" w:rsidRDefault="000839A5" w:rsidP="00CB00A7">
            <w:pPr>
              <w:pStyle w:val="TableParagraph"/>
              <w:spacing w:before="31" w:line="242" w:lineRule="auto"/>
              <w:ind w:right="274"/>
              <w:jc w:val="left"/>
              <w:rPr>
                <w:sz w:val="24"/>
              </w:rPr>
            </w:pPr>
            <w:r>
              <w:rPr>
                <w:sz w:val="24"/>
              </w:rPr>
              <w:t>Patients</w:t>
            </w:r>
            <w:r>
              <w:rPr>
                <w:spacing w:val="-6"/>
                <w:sz w:val="24"/>
              </w:rPr>
              <w:t xml:space="preserve"> </w:t>
            </w:r>
            <w:r>
              <w:rPr>
                <w:sz w:val="24"/>
              </w:rPr>
              <w:t>with</w:t>
            </w:r>
            <w:r>
              <w:rPr>
                <w:spacing w:val="-15"/>
                <w:sz w:val="24"/>
              </w:rPr>
              <w:t xml:space="preserve"> </w:t>
            </w:r>
            <w:r>
              <w:rPr>
                <w:sz w:val="24"/>
              </w:rPr>
              <w:t>persistent</w:t>
            </w:r>
            <w:r>
              <w:rPr>
                <w:spacing w:val="22"/>
                <w:sz w:val="24"/>
              </w:rPr>
              <w:t xml:space="preserve"> </w:t>
            </w:r>
            <w:r>
              <w:rPr>
                <w:sz w:val="24"/>
              </w:rPr>
              <w:t>decrease</w:t>
            </w:r>
            <w:r>
              <w:rPr>
                <w:spacing w:val="-3"/>
                <w:sz w:val="24"/>
              </w:rPr>
              <w:t xml:space="preserve"> </w:t>
            </w:r>
            <w:r>
              <w:rPr>
                <w:sz w:val="24"/>
              </w:rPr>
              <w:t>(2</w:t>
            </w:r>
            <w:r>
              <w:rPr>
                <w:spacing w:val="-1"/>
                <w:sz w:val="24"/>
              </w:rPr>
              <w:t xml:space="preserve"> </w:t>
            </w:r>
            <w:r>
              <w:rPr>
                <w:sz w:val="24"/>
              </w:rPr>
              <w:t>sequential values on</w:t>
            </w:r>
            <w:r>
              <w:rPr>
                <w:spacing w:val="-6"/>
                <w:sz w:val="24"/>
              </w:rPr>
              <w:t xml:space="preserve"> </w:t>
            </w:r>
            <w:r>
              <w:rPr>
                <w:sz w:val="24"/>
              </w:rPr>
              <w:t>routine</w:t>
            </w:r>
            <w:r>
              <w:rPr>
                <w:spacing w:val="-7"/>
                <w:sz w:val="24"/>
              </w:rPr>
              <w:t xml:space="preserve"> </w:t>
            </w:r>
            <w:r>
              <w:rPr>
                <w:sz w:val="24"/>
              </w:rPr>
              <w:t>testing)</w:t>
            </w:r>
            <w:r>
              <w:rPr>
                <w:spacing w:val="-10"/>
                <w:sz w:val="24"/>
              </w:rPr>
              <w:t xml:space="preserve"> </w:t>
            </w:r>
            <w:r>
              <w:rPr>
                <w:sz w:val="24"/>
              </w:rPr>
              <w:t>in ANC</w:t>
            </w:r>
            <w:r>
              <w:rPr>
                <w:spacing w:val="-15"/>
                <w:sz w:val="24"/>
              </w:rPr>
              <w:t xml:space="preserve"> </w:t>
            </w:r>
            <w:r>
              <w:rPr>
                <w:sz w:val="24"/>
              </w:rPr>
              <w:t>in</w:t>
            </w:r>
            <w:r>
              <w:rPr>
                <w:spacing w:val="-6"/>
                <w:sz w:val="24"/>
              </w:rPr>
              <w:t xml:space="preserve"> </w:t>
            </w:r>
            <w:r>
              <w:rPr>
                <w:sz w:val="24"/>
              </w:rPr>
              <w:t>the</w:t>
            </w:r>
            <w:r>
              <w:rPr>
                <w:spacing w:val="-7"/>
                <w:sz w:val="24"/>
              </w:rPr>
              <w:t xml:space="preserve"> </w:t>
            </w:r>
            <w:r>
              <w:rPr>
                <w:sz w:val="24"/>
              </w:rPr>
              <w:t>range of 0.5 – 1.0 x 10</w:t>
            </w:r>
            <w:r>
              <w:rPr>
                <w:position w:val="7"/>
                <w:sz w:val="16"/>
              </w:rPr>
              <w:t>9</w:t>
            </w:r>
            <w:r>
              <w:rPr>
                <w:spacing w:val="40"/>
                <w:position w:val="7"/>
                <w:sz w:val="16"/>
              </w:rPr>
              <w:t xml:space="preserve"> </w:t>
            </w:r>
            <w:r>
              <w:rPr>
                <w:sz w:val="24"/>
              </w:rPr>
              <w:t>cells/L.</w:t>
            </w:r>
          </w:p>
        </w:tc>
        <w:tc>
          <w:tcPr>
            <w:tcW w:w="4230" w:type="dxa"/>
          </w:tcPr>
          <w:p w14:paraId="4C46FE63" w14:textId="77777777" w:rsidR="001825E2" w:rsidRDefault="000839A5" w:rsidP="00CB00A7">
            <w:pPr>
              <w:pStyle w:val="TableParagraph"/>
              <w:spacing w:before="31" w:line="247" w:lineRule="auto"/>
              <w:ind w:left="364" w:right="362"/>
              <w:jc w:val="left"/>
              <w:rPr>
                <w:sz w:val="24"/>
              </w:rPr>
            </w:pPr>
            <w:r>
              <w:rPr>
                <w:sz w:val="24"/>
              </w:rPr>
              <w:t>Reduce</w:t>
            </w:r>
            <w:r>
              <w:rPr>
                <w:spacing w:val="-17"/>
                <w:sz w:val="24"/>
              </w:rPr>
              <w:t xml:space="preserve"> </w:t>
            </w:r>
            <w:r>
              <w:rPr>
                <w:sz w:val="24"/>
              </w:rPr>
              <w:t>or</w:t>
            </w:r>
            <w:r>
              <w:rPr>
                <w:spacing w:val="-15"/>
                <w:sz w:val="24"/>
              </w:rPr>
              <w:t xml:space="preserve"> </w:t>
            </w:r>
            <w:r>
              <w:rPr>
                <w:sz w:val="24"/>
              </w:rPr>
              <w:t>interrupt</w:t>
            </w:r>
            <w:r>
              <w:rPr>
                <w:spacing w:val="-4"/>
                <w:sz w:val="24"/>
              </w:rPr>
              <w:t xml:space="preserve"> </w:t>
            </w:r>
            <w:r>
              <w:rPr>
                <w:sz w:val="24"/>
              </w:rPr>
              <w:t>dosing</w:t>
            </w:r>
            <w:r>
              <w:rPr>
                <w:spacing w:val="-8"/>
                <w:sz w:val="24"/>
              </w:rPr>
              <w:t xml:space="preserve"> </w:t>
            </w:r>
            <w:r>
              <w:rPr>
                <w:sz w:val="24"/>
              </w:rPr>
              <w:t>until ANC &gt;1.0 x 10</w:t>
            </w:r>
            <w:r>
              <w:rPr>
                <w:position w:val="7"/>
                <w:sz w:val="16"/>
              </w:rPr>
              <w:t xml:space="preserve">9 </w:t>
            </w:r>
            <w:r>
              <w:rPr>
                <w:sz w:val="24"/>
              </w:rPr>
              <w:t>cells/L.</w:t>
            </w:r>
          </w:p>
          <w:p w14:paraId="5A99ED43" w14:textId="77777777" w:rsidR="001825E2" w:rsidRDefault="000839A5" w:rsidP="00CB00A7">
            <w:pPr>
              <w:pStyle w:val="TableParagraph"/>
              <w:spacing w:before="151" w:line="249" w:lineRule="exact"/>
              <w:ind w:left="288" w:right="274"/>
              <w:jc w:val="left"/>
              <w:rPr>
                <w:sz w:val="24"/>
              </w:rPr>
            </w:pPr>
            <w:r>
              <w:rPr>
                <w:sz w:val="24"/>
              </w:rPr>
              <w:t>If</w:t>
            </w:r>
            <w:r>
              <w:rPr>
                <w:spacing w:val="-4"/>
                <w:sz w:val="24"/>
              </w:rPr>
              <w:t xml:space="preserve"> </w:t>
            </w:r>
            <w:r>
              <w:rPr>
                <w:sz w:val="24"/>
              </w:rPr>
              <w:t>taking</w:t>
            </w:r>
            <w:r>
              <w:rPr>
                <w:spacing w:val="2"/>
                <w:sz w:val="24"/>
              </w:rPr>
              <w:t xml:space="preserve"> </w:t>
            </w:r>
            <w:r>
              <w:rPr>
                <w:sz w:val="24"/>
              </w:rPr>
              <w:t>10</w:t>
            </w:r>
            <w:r>
              <w:rPr>
                <w:spacing w:val="2"/>
                <w:sz w:val="24"/>
              </w:rPr>
              <w:t xml:space="preserve"> </w:t>
            </w:r>
            <w:r>
              <w:rPr>
                <w:sz w:val="24"/>
              </w:rPr>
              <w:t>mg</w:t>
            </w:r>
            <w:r>
              <w:rPr>
                <w:spacing w:val="2"/>
                <w:sz w:val="24"/>
              </w:rPr>
              <w:t xml:space="preserve"> </w:t>
            </w:r>
            <w:r>
              <w:rPr>
                <w:sz w:val="24"/>
              </w:rPr>
              <w:t>twice</w:t>
            </w:r>
            <w:r>
              <w:rPr>
                <w:spacing w:val="-1"/>
                <w:sz w:val="24"/>
              </w:rPr>
              <w:t xml:space="preserve"> </w:t>
            </w:r>
            <w:r>
              <w:rPr>
                <w:sz w:val="24"/>
              </w:rPr>
              <w:t>daily,</w:t>
            </w:r>
            <w:r>
              <w:rPr>
                <w:spacing w:val="2"/>
                <w:sz w:val="24"/>
              </w:rPr>
              <w:t xml:space="preserve"> </w:t>
            </w:r>
            <w:r>
              <w:rPr>
                <w:sz w:val="24"/>
              </w:rPr>
              <w:t>reduce</w:t>
            </w:r>
            <w:r>
              <w:rPr>
                <w:spacing w:val="-15"/>
                <w:sz w:val="24"/>
              </w:rPr>
              <w:t xml:space="preserve"> </w:t>
            </w:r>
            <w:r>
              <w:rPr>
                <w:spacing w:val="-5"/>
                <w:sz w:val="24"/>
              </w:rPr>
              <w:t>to</w:t>
            </w:r>
          </w:p>
        </w:tc>
      </w:tr>
    </w:tbl>
    <w:p w14:paraId="72867A14" w14:textId="77777777" w:rsidR="001825E2" w:rsidRDefault="001825E2" w:rsidP="00CB00A7">
      <w:pPr>
        <w:spacing w:line="249" w:lineRule="exact"/>
        <w:rPr>
          <w:sz w:val="24"/>
        </w:rPr>
        <w:sectPr w:rsidR="001825E2">
          <w:type w:val="continuous"/>
          <w:pgSz w:w="11910" w:h="16850"/>
          <w:pgMar w:top="1420" w:right="1220" w:bottom="980" w:left="1220" w:header="0" w:footer="785" w:gutter="0"/>
          <w:cols w:space="720"/>
        </w:sectPr>
      </w:pPr>
    </w:p>
    <w:tbl>
      <w:tblPr>
        <w:tblW w:w="0" w:type="auto"/>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45"/>
        <w:gridCol w:w="4230"/>
      </w:tblGrid>
      <w:tr w:rsidR="001825E2" w14:paraId="6AC864A2" w14:textId="77777777">
        <w:trPr>
          <w:trHeight w:val="2475"/>
        </w:trPr>
        <w:tc>
          <w:tcPr>
            <w:tcW w:w="4845" w:type="dxa"/>
          </w:tcPr>
          <w:p w14:paraId="2C064182" w14:textId="77777777" w:rsidR="001825E2" w:rsidRDefault="001825E2" w:rsidP="00CB00A7">
            <w:pPr>
              <w:pStyle w:val="TableParagraph"/>
              <w:ind w:left="0"/>
              <w:jc w:val="left"/>
            </w:pPr>
          </w:p>
        </w:tc>
        <w:tc>
          <w:tcPr>
            <w:tcW w:w="4230" w:type="dxa"/>
          </w:tcPr>
          <w:p w14:paraId="070BF5F7" w14:textId="77777777" w:rsidR="001825E2" w:rsidRDefault="000839A5" w:rsidP="00CB00A7">
            <w:pPr>
              <w:pStyle w:val="TableParagraph"/>
              <w:spacing w:before="16"/>
              <w:ind w:left="288" w:right="274"/>
              <w:jc w:val="left"/>
              <w:rPr>
                <w:sz w:val="24"/>
              </w:rPr>
            </w:pPr>
            <w:bookmarkStart w:id="21" w:name="Dosage_Adjustment_in_the_Elderly"/>
            <w:bookmarkStart w:id="22" w:name="Children_and_Adolescents"/>
            <w:bookmarkStart w:id="23" w:name="4.3_Contraindications"/>
            <w:bookmarkStart w:id="24" w:name="4.4_Special_Warnings_and_Precautions_for"/>
            <w:bookmarkEnd w:id="21"/>
            <w:bookmarkEnd w:id="22"/>
            <w:bookmarkEnd w:id="23"/>
            <w:bookmarkEnd w:id="24"/>
            <w:r>
              <w:rPr>
                <w:sz w:val="24"/>
              </w:rPr>
              <w:t>5</w:t>
            </w:r>
            <w:r>
              <w:rPr>
                <w:spacing w:val="-3"/>
                <w:sz w:val="24"/>
              </w:rPr>
              <w:t xml:space="preserve"> </w:t>
            </w:r>
            <w:r>
              <w:rPr>
                <w:sz w:val="24"/>
              </w:rPr>
              <w:t>mg</w:t>
            </w:r>
            <w:r>
              <w:rPr>
                <w:spacing w:val="-1"/>
                <w:sz w:val="24"/>
              </w:rPr>
              <w:t xml:space="preserve"> </w:t>
            </w:r>
            <w:r>
              <w:rPr>
                <w:sz w:val="24"/>
              </w:rPr>
              <w:t>twice</w:t>
            </w:r>
            <w:r>
              <w:rPr>
                <w:spacing w:val="-2"/>
                <w:sz w:val="24"/>
              </w:rPr>
              <w:t xml:space="preserve"> daily.</w:t>
            </w:r>
          </w:p>
          <w:p w14:paraId="70E7C11F" w14:textId="77777777" w:rsidR="001825E2" w:rsidRDefault="000839A5" w:rsidP="00CB00A7">
            <w:pPr>
              <w:pStyle w:val="TableParagraph"/>
              <w:spacing w:before="159" w:line="247" w:lineRule="auto"/>
              <w:ind w:left="288" w:right="280"/>
              <w:jc w:val="left"/>
              <w:rPr>
                <w:sz w:val="24"/>
              </w:rPr>
            </w:pPr>
            <w:r>
              <w:rPr>
                <w:sz w:val="24"/>
              </w:rPr>
              <w:t>If</w:t>
            </w:r>
            <w:r>
              <w:rPr>
                <w:spacing w:val="-11"/>
                <w:sz w:val="24"/>
              </w:rPr>
              <w:t xml:space="preserve"> </w:t>
            </w:r>
            <w:r>
              <w:rPr>
                <w:sz w:val="24"/>
              </w:rPr>
              <w:t>taking</w:t>
            </w:r>
            <w:r>
              <w:rPr>
                <w:spacing w:val="-7"/>
                <w:sz w:val="24"/>
              </w:rPr>
              <w:t xml:space="preserve"> </w:t>
            </w:r>
            <w:r>
              <w:rPr>
                <w:sz w:val="24"/>
              </w:rPr>
              <w:t>5</w:t>
            </w:r>
            <w:r>
              <w:rPr>
                <w:spacing w:val="-7"/>
                <w:sz w:val="24"/>
              </w:rPr>
              <w:t xml:space="preserve"> </w:t>
            </w:r>
            <w:r>
              <w:rPr>
                <w:sz w:val="24"/>
              </w:rPr>
              <w:t>mg</w:t>
            </w:r>
            <w:r>
              <w:rPr>
                <w:spacing w:val="-7"/>
                <w:sz w:val="24"/>
              </w:rPr>
              <w:t xml:space="preserve"> </w:t>
            </w:r>
            <w:r>
              <w:rPr>
                <w:sz w:val="24"/>
              </w:rPr>
              <w:t>twice</w:t>
            </w:r>
            <w:r>
              <w:rPr>
                <w:spacing w:val="-9"/>
                <w:sz w:val="24"/>
              </w:rPr>
              <w:t xml:space="preserve"> </w:t>
            </w:r>
            <w:r>
              <w:rPr>
                <w:sz w:val="24"/>
              </w:rPr>
              <w:t>daily,</w:t>
            </w:r>
            <w:r>
              <w:rPr>
                <w:spacing w:val="-7"/>
                <w:sz w:val="24"/>
              </w:rPr>
              <w:t xml:space="preserve"> </w:t>
            </w:r>
            <w:r>
              <w:rPr>
                <w:sz w:val="24"/>
              </w:rPr>
              <w:t xml:space="preserve">interrupt </w:t>
            </w:r>
            <w:r>
              <w:rPr>
                <w:spacing w:val="-2"/>
                <w:sz w:val="24"/>
              </w:rPr>
              <w:t>dosing.</w:t>
            </w:r>
          </w:p>
          <w:p w14:paraId="05E8AB8A" w14:textId="77777777" w:rsidR="001825E2" w:rsidRDefault="000839A5" w:rsidP="00CB00A7">
            <w:pPr>
              <w:pStyle w:val="TableParagraph"/>
              <w:spacing w:before="166" w:line="247" w:lineRule="auto"/>
              <w:ind w:left="367" w:right="373"/>
              <w:jc w:val="left"/>
              <w:rPr>
                <w:sz w:val="24"/>
              </w:rPr>
            </w:pPr>
            <w:r>
              <w:rPr>
                <w:sz w:val="24"/>
              </w:rPr>
              <w:t>If</w:t>
            </w:r>
            <w:r>
              <w:rPr>
                <w:spacing w:val="-12"/>
                <w:sz w:val="24"/>
              </w:rPr>
              <w:t xml:space="preserve"> </w:t>
            </w:r>
            <w:r>
              <w:rPr>
                <w:sz w:val="24"/>
              </w:rPr>
              <w:t>taking</w:t>
            </w:r>
            <w:r>
              <w:rPr>
                <w:spacing w:val="-8"/>
                <w:sz w:val="24"/>
              </w:rPr>
              <w:t xml:space="preserve"> </w:t>
            </w:r>
            <w:r>
              <w:rPr>
                <w:sz w:val="24"/>
              </w:rPr>
              <w:t>11</w:t>
            </w:r>
            <w:r>
              <w:rPr>
                <w:spacing w:val="-8"/>
                <w:sz w:val="24"/>
              </w:rPr>
              <w:t xml:space="preserve"> </w:t>
            </w:r>
            <w:r>
              <w:rPr>
                <w:sz w:val="24"/>
              </w:rPr>
              <w:t>mg</w:t>
            </w:r>
            <w:r>
              <w:rPr>
                <w:spacing w:val="-8"/>
                <w:sz w:val="24"/>
              </w:rPr>
              <w:t xml:space="preserve"> </w:t>
            </w:r>
            <w:r>
              <w:rPr>
                <w:sz w:val="24"/>
              </w:rPr>
              <w:t>once</w:t>
            </w:r>
            <w:r>
              <w:rPr>
                <w:spacing w:val="-10"/>
                <w:sz w:val="24"/>
              </w:rPr>
              <w:t xml:space="preserve"> </w:t>
            </w:r>
            <w:r>
              <w:rPr>
                <w:sz w:val="24"/>
              </w:rPr>
              <w:t>daily,</w:t>
            </w:r>
            <w:r>
              <w:rPr>
                <w:spacing w:val="-8"/>
                <w:sz w:val="24"/>
              </w:rPr>
              <w:t xml:space="preserve"> </w:t>
            </w:r>
            <w:r>
              <w:rPr>
                <w:sz w:val="24"/>
              </w:rPr>
              <w:t xml:space="preserve">interrupt </w:t>
            </w:r>
            <w:r>
              <w:rPr>
                <w:spacing w:val="-2"/>
                <w:sz w:val="24"/>
              </w:rPr>
              <w:t>dosing.</w:t>
            </w:r>
          </w:p>
          <w:p w14:paraId="4A09888D" w14:textId="77777777" w:rsidR="001825E2" w:rsidRDefault="000839A5" w:rsidP="00CB00A7">
            <w:pPr>
              <w:pStyle w:val="TableParagraph"/>
              <w:spacing w:before="101" w:line="300" w:lineRule="atLeast"/>
              <w:ind w:left="3"/>
              <w:jc w:val="left"/>
              <w:rPr>
                <w:sz w:val="24"/>
              </w:rPr>
            </w:pPr>
            <w:r>
              <w:rPr>
                <w:sz w:val="24"/>
              </w:rPr>
              <w:t>When</w:t>
            </w:r>
            <w:r>
              <w:rPr>
                <w:spacing w:val="-14"/>
                <w:sz w:val="24"/>
              </w:rPr>
              <w:t xml:space="preserve"> </w:t>
            </w:r>
            <w:r>
              <w:rPr>
                <w:sz w:val="24"/>
              </w:rPr>
              <w:t>ANC</w:t>
            </w:r>
            <w:r>
              <w:rPr>
                <w:spacing w:val="-15"/>
                <w:sz w:val="24"/>
              </w:rPr>
              <w:t xml:space="preserve"> </w:t>
            </w:r>
            <w:r>
              <w:rPr>
                <w:sz w:val="24"/>
              </w:rPr>
              <w:t>is</w:t>
            </w:r>
            <w:r>
              <w:rPr>
                <w:spacing w:val="-1"/>
                <w:sz w:val="24"/>
              </w:rPr>
              <w:t xml:space="preserve"> </w:t>
            </w:r>
            <w:r>
              <w:rPr>
                <w:sz w:val="24"/>
              </w:rPr>
              <w:t>&gt;1.0</w:t>
            </w:r>
            <w:r>
              <w:rPr>
                <w:spacing w:val="-10"/>
                <w:sz w:val="24"/>
              </w:rPr>
              <w:t xml:space="preserve"> </w:t>
            </w:r>
            <w:r>
              <w:rPr>
                <w:sz w:val="24"/>
              </w:rPr>
              <w:t>x</w:t>
            </w:r>
            <w:r>
              <w:rPr>
                <w:spacing w:val="-10"/>
                <w:sz w:val="24"/>
              </w:rPr>
              <w:t xml:space="preserve"> </w:t>
            </w:r>
            <w:r>
              <w:rPr>
                <w:sz w:val="24"/>
              </w:rPr>
              <w:t>10</w:t>
            </w:r>
            <w:r>
              <w:rPr>
                <w:position w:val="7"/>
                <w:sz w:val="16"/>
              </w:rPr>
              <w:t xml:space="preserve">9 </w:t>
            </w:r>
            <w:r>
              <w:rPr>
                <w:sz w:val="24"/>
              </w:rPr>
              <w:t>cells/L,</w:t>
            </w:r>
            <w:r>
              <w:rPr>
                <w:spacing w:val="15"/>
                <w:sz w:val="24"/>
              </w:rPr>
              <w:t xml:space="preserve"> </w:t>
            </w:r>
            <w:r>
              <w:rPr>
                <w:sz w:val="24"/>
              </w:rPr>
              <w:t>resume treatment as clinically</w:t>
            </w:r>
            <w:r>
              <w:rPr>
                <w:spacing w:val="40"/>
                <w:sz w:val="24"/>
              </w:rPr>
              <w:t xml:space="preserve"> </w:t>
            </w:r>
            <w:r>
              <w:rPr>
                <w:sz w:val="24"/>
              </w:rPr>
              <w:t>appropriate.</w:t>
            </w:r>
          </w:p>
        </w:tc>
      </w:tr>
      <w:tr w:rsidR="001825E2" w14:paraId="24F11F0B" w14:textId="77777777">
        <w:trPr>
          <w:trHeight w:val="600"/>
        </w:trPr>
        <w:tc>
          <w:tcPr>
            <w:tcW w:w="4845" w:type="dxa"/>
          </w:tcPr>
          <w:p w14:paraId="24C98BC5" w14:textId="77777777" w:rsidR="001825E2" w:rsidRDefault="000839A5" w:rsidP="00CB00A7">
            <w:pPr>
              <w:pStyle w:val="TableParagraph"/>
              <w:spacing w:before="20" w:line="280" w:lineRule="atLeast"/>
              <w:ind w:right="165"/>
              <w:jc w:val="left"/>
              <w:rPr>
                <w:sz w:val="24"/>
              </w:rPr>
            </w:pPr>
            <w:r>
              <w:rPr>
                <w:sz w:val="24"/>
              </w:rPr>
              <w:t>Patients</w:t>
            </w:r>
            <w:r>
              <w:rPr>
                <w:spacing w:val="-15"/>
                <w:sz w:val="24"/>
              </w:rPr>
              <w:t xml:space="preserve"> </w:t>
            </w:r>
            <w:r>
              <w:rPr>
                <w:sz w:val="24"/>
              </w:rPr>
              <w:t>with</w:t>
            </w:r>
            <w:r>
              <w:rPr>
                <w:spacing w:val="-15"/>
                <w:sz w:val="24"/>
              </w:rPr>
              <w:t xml:space="preserve"> </w:t>
            </w:r>
            <w:r>
              <w:rPr>
                <w:sz w:val="24"/>
              </w:rPr>
              <w:t>ANC</w:t>
            </w:r>
            <w:r>
              <w:rPr>
                <w:spacing w:val="-15"/>
                <w:sz w:val="24"/>
              </w:rPr>
              <w:t xml:space="preserve"> </w:t>
            </w:r>
            <w:r>
              <w:rPr>
                <w:sz w:val="24"/>
              </w:rPr>
              <w:t>&lt;0.5</w:t>
            </w:r>
            <w:r>
              <w:rPr>
                <w:spacing w:val="-9"/>
                <w:sz w:val="24"/>
              </w:rPr>
              <w:t xml:space="preserve"> </w:t>
            </w:r>
            <w:r>
              <w:rPr>
                <w:sz w:val="24"/>
              </w:rPr>
              <w:t>x</w:t>
            </w:r>
            <w:r>
              <w:rPr>
                <w:spacing w:val="-7"/>
                <w:sz w:val="24"/>
              </w:rPr>
              <w:t xml:space="preserve"> </w:t>
            </w:r>
            <w:r>
              <w:rPr>
                <w:sz w:val="24"/>
              </w:rPr>
              <w:t>10</w:t>
            </w:r>
            <w:r>
              <w:rPr>
                <w:position w:val="7"/>
                <w:sz w:val="16"/>
              </w:rPr>
              <w:t>9</w:t>
            </w:r>
            <w:r>
              <w:rPr>
                <w:spacing w:val="6"/>
                <w:position w:val="7"/>
                <w:sz w:val="16"/>
              </w:rPr>
              <w:t xml:space="preserve"> </w:t>
            </w:r>
            <w:r>
              <w:rPr>
                <w:sz w:val="24"/>
              </w:rPr>
              <w:t>cells/L (confirmed by repeat testing).</w:t>
            </w:r>
          </w:p>
        </w:tc>
        <w:tc>
          <w:tcPr>
            <w:tcW w:w="4230" w:type="dxa"/>
          </w:tcPr>
          <w:p w14:paraId="6303D437" w14:textId="77777777" w:rsidR="001825E2" w:rsidRDefault="000839A5" w:rsidP="00CB00A7">
            <w:pPr>
              <w:pStyle w:val="TableParagraph"/>
              <w:spacing w:before="31"/>
              <w:ind w:left="0"/>
              <w:jc w:val="left"/>
              <w:rPr>
                <w:sz w:val="24"/>
              </w:rPr>
            </w:pPr>
            <w:r>
              <w:rPr>
                <w:sz w:val="24"/>
              </w:rPr>
              <w:t>Discontinue</w:t>
            </w:r>
            <w:r>
              <w:rPr>
                <w:spacing w:val="-8"/>
                <w:sz w:val="24"/>
              </w:rPr>
              <w:t xml:space="preserve"> </w:t>
            </w:r>
            <w:r>
              <w:rPr>
                <w:spacing w:val="-2"/>
                <w:sz w:val="24"/>
              </w:rPr>
              <w:t>dosing</w:t>
            </w:r>
          </w:p>
        </w:tc>
      </w:tr>
      <w:tr w:rsidR="001825E2" w14:paraId="3A2F380E" w14:textId="77777777">
        <w:trPr>
          <w:trHeight w:val="300"/>
        </w:trPr>
        <w:tc>
          <w:tcPr>
            <w:tcW w:w="9075" w:type="dxa"/>
            <w:gridSpan w:val="2"/>
          </w:tcPr>
          <w:p w14:paraId="5140B366" w14:textId="77777777" w:rsidR="001825E2" w:rsidRDefault="000839A5" w:rsidP="00CB00A7">
            <w:pPr>
              <w:pStyle w:val="TableParagraph"/>
              <w:spacing w:before="16" w:line="264" w:lineRule="exact"/>
              <w:ind w:left="20" w:right="5"/>
              <w:jc w:val="left"/>
              <w:rPr>
                <w:b/>
                <w:i/>
                <w:sz w:val="24"/>
              </w:rPr>
            </w:pPr>
            <w:proofErr w:type="spellStart"/>
            <w:r>
              <w:rPr>
                <w:b/>
                <w:i/>
                <w:spacing w:val="-2"/>
                <w:sz w:val="24"/>
              </w:rPr>
              <w:t>Anaemia</w:t>
            </w:r>
            <w:proofErr w:type="spellEnd"/>
          </w:p>
        </w:tc>
      </w:tr>
      <w:tr w:rsidR="001825E2" w14:paraId="04EA2B66" w14:textId="77777777">
        <w:trPr>
          <w:trHeight w:val="585"/>
        </w:trPr>
        <w:tc>
          <w:tcPr>
            <w:tcW w:w="4845" w:type="dxa"/>
          </w:tcPr>
          <w:p w14:paraId="40864F6C" w14:textId="77777777" w:rsidR="001825E2" w:rsidRDefault="000839A5" w:rsidP="00CB00A7">
            <w:pPr>
              <w:pStyle w:val="TableParagraph"/>
              <w:spacing w:before="5" w:line="280" w:lineRule="atLeast"/>
              <w:ind w:right="165"/>
              <w:jc w:val="left"/>
              <w:rPr>
                <w:sz w:val="24"/>
              </w:rPr>
            </w:pPr>
            <w:r>
              <w:rPr>
                <w:sz w:val="24"/>
              </w:rPr>
              <w:t>Patients</w:t>
            </w:r>
            <w:r>
              <w:rPr>
                <w:spacing w:val="-15"/>
                <w:sz w:val="24"/>
              </w:rPr>
              <w:t xml:space="preserve"> </w:t>
            </w:r>
            <w:r>
              <w:rPr>
                <w:sz w:val="24"/>
              </w:rPr>
              <w:t>with</w:t>
            </w:r>
            <w:r>
              <w:rPr>
                <w:spacing w:val="-15"/>
                <w:sz w:val="24"/>
              </w:rPr>
              <w:t xml:space="preserve"> </w:t>
            </w:r>
            <w:proofErr w:type="spellStart"/>
            <w:r>
              <w:rPr>
                <w:sz w:val="24"/>
              </w:rPr>
              <w:t>haemoglobin</w:t>
            </w:r>
            <w:proofErr w:type="spellEnd"/>
            <w:r>
              <w:rPr>
                <w:spacing w:val="13"/>
                <w:sz w:val="24"/>
              </w:rPr>
              <w:t xml:space="preserve"> </w:t>
            </w:r>
            <w:r>
              <w:rPr>
                <w:sz w:val="24"/>
              </w:rPr>
              <w:t>≤20</w:t>
            </w:r>
            <w:r>
              <w:rPr>
                <w:spacing w:val="-9"/>
                <w:sz w:val="24"/>
              </w:rPr>
              <w:t xml:space="preserve"> </w:t>
            </w:r>
            <w:r>
              <w:rPr>
                <w:sz w:val="24"/>
              </w:rPr>
              <w:t>g/L</w:t>
            </w:r>
            <w:r>
              <w:rPr>
                <w:spacing w:val="-7"/>
                <w:sz w:val="24"/>
              </w:rPr>
              <w:t xml:space="preserve"> </w:t>
            </w:r>
            <w:r>
              <w:rPr>
                <w:sz w:val="24"/>
              </w:rPr>
              <w:t>decrease and ≥90 g/L.</w:t>
            </w:r>
          </w:p>
        </w:tc>
        <w:tc>
          <w:tcPr>
            <w:tcW w:w="4230" w:type="dxa"/>
          </w:tcPr>
          <w:p w14:paraId="7BA1B002" w14:textId="77777777" w:rsidR="001825E2" w:rsidRDefault="000839A5" w:rsidP="00CB00A7">
            <w:pPr>
              <w:pStyle w:val="TableParagraph"/>
              <w:spacing w:before="31"/>
              <w:ind w:left="0" w:right="1"/>
              <w:jc w:val="left"/>
              <w:rPr>
                <w:sz w:val="24"/>
              </w:rPr>
            </w:pPr>
            <w:r>
              <w:rPr>
                <w:sz w:val="24"/>
              </w:rPr>
              <w:t>Maintain</w:t>
            </w:r>
            <w:r>
              <w:rPr>
                <w:spacing w:val="-1"/>
                <w:sz w:val="24"/>
              </w:rPr>
              <w:t xml:space="preserve"> </w:t>
            </w:r>
            <w:r>
              <w:rPr>
                <w:spacing w:val="-4"/>
                <w:sz w:val="24"/>
              </w:rPr>
              <w:t>dose</w:t>
            </w:r>
          </w:p>
        </w:tc>
      </w:tr>
      <w:tr w:rsidR="001825E2" w14:paraId="3B1B42F0" w14:textId="77777777">
        <w:trPr>
          <w:trHeight w:val="584"/>
        </w:trPr>
        <w:tc>
          <w:tcPr>
            <w:tcW w:w="4845" w:type="dxa"/>
          </w:tcPr>
          <w:p w14:paraId="268FA679" w14:textId="77777777" w:rsidR="001825E2" w:rsidRDefault="000839A5" w:rsidP="00CB00A7">
            <w:pPr>
              <w:pStyle w:val="TableParagraph"/>
              <w:spacing w:before="31"/>
              <w:jc w:val="left"/>
              <w:rPr>
                <w:sz w:val="24"/>
              </w:rPr>
            </w:pPr>
            <w:r>
              <w:rPr>
                <w:sz w:val="24"/>
              </w:rPr>
              <w:t>Patients</w:t>
            </w:r>
            <w:r>
              <w:rPr>
                <w:spacing w:val="-10"/>
                <w:sz w:val="24"/>
              </w:rPr>
              <w:t xml:space="preserve"> </w:t>
            </w:r>
            <w:r>
              <w:rPr>
                <w:sz w:val="24"/>
              </w:rPr>
              <w:t>with</w:t>
            </w:r>
            <w:r>
              <w:rPr>
                <w:spacing w:val="-15"/>
                <w:sz w:val="24"/>
              </w:rPr>
              <w:t xml:space="preserve"> </w:t>
            </w:r>
            <w:proofErr w:type="spellStart"/>
            <w:r>
              <w:rPr>
                <w:sz w:val="24"/>
              </w:rPr>
              <w:t>haemoglobin</w:t>
            </w:r>
            <w:proofErr w:type="spellEnd"/>
            <w:r>
              <w:rPr>
                <w:spacing w:val="24"/>
                <w:sz w:val="24"/>
              </w:rPr>
              <w:t xml:space="preserve"> </w:t>
            </w:r>
            <w:r>
              <w:rPr>
                <w:sz w:val="24"/>
              </w:rPr>
              <w:t>&gt;20</w:t>
            </w:r>
            <w:r>
              <w:rPr>
                <w:spacing w:val="-3"/>
                <w:sz w:val="24"/>
              </w:rPr>
              <w:t xml:space="preserve"> </w:t>
            </w:r>
            <w:r>
              <w:rPr>
                <w:sz w:val="24"/>
              </w:rPr>
              <w:t>g/L</w:t>
            </w:r>
            <w:r>
              <w:rPr>
                <w:spacing w:val="-1"/>
                <w:sz w:val="24"/>
              </w:rPr>
              <w:t xml:space="preserve"> </w:t>
            </w:r>
            <w:r>
              <w:rPr>
                <w:sz w:val="24"/>
              </w:rPr>
              <w:t>decrease</w:t>
            </w:r>
            <w:r>
              <w:rPr>
                <w:spacing w:val="-5"/>
                <w:sz w:val="24"/>
              </w:rPr>
              <w:t xml:space="preserve"> or</w:t>
            </w:r>
          </w:p>
          <w:p w14:paraId="6FF22F32" w14:textId="77777777" w:rsidR="001825E2" w:rsidRDefault="000839A5" w:rsidP="00CB00A7">
            <w:pPr>
              <w:pStyle w:val="TableParagraph"/>
              <w:spacing w:before="9" w:line="249" w:lineRule="exact"/>
              <w:jc w:val="left"/>
              <w:rPr>
                <w:sz w:val="24"/>
              </w:rPr>
            </w:pPr>
            <w:r>
              <w:rPr>
                <w:sz w:val="24"/>
              </w:rPr>
              <w:t>&lt;80</w:t>
            </w:r>
            <w:r>
              <w:rPr>
                <w:spacing w:val="-7"/>
                <w:sz w:val="24"/>
              </w:rPr>
              <w:t xml:space="preserve"> </w:t>
            </w:r>
            <w:r>
              <w:rPr>
                <w:sz w:val="24"/>
              </w:rPr>
              <w:t>g/L</w:t>
            </w:r>
            <w:r>
              <w:rPr>
                <w:spacing w:val="-4"/>
                <w:sz w:val="24"/>
              </w:rPr>
              <w:t xml:space="preserve"> </w:t>
            </w:r>
            <w:r>
              <w:rPr>
                <w:sz w:val="24"/>
              </w:rPr>
              <w:t>(confirmed</w:t>
            </w:r>
            <w:r>
              <w:rPr>
                <w:spacing w:val="6"/>
                <w:sz w:val="24"/>
              </w:rPr>
              <w:t xml:space="preserve"> </w:t>
            </w:r>
            <w:r>
              <w:rPr>
                <w:sz w:val="24"/>
              </w:rPr>
              <w:t>by</w:t>
            </w:r>
            <w:r>
              <w:rPr>
                <w:spacing w:val="-7"/>
                <w:sz w:val="24"/>
              </w:rPr>
              <w:t xml:space="preserve"> </w:t>
            </w:r>
            <w:r>
              <w:rPr>
                <w:sz w:val="24"/>
              </w:rPr>
              <w:t>repeat</w:t>
            </w:r>
            <w:r>
              <w:rPr>
                <w:spacing w:val="1"/>
                <w:sz w:val="24"/>
              </w:rPr>
              <w:t xml:space="preserve"> </w:t>
            </w:r>
            <w:r>
              <w:rPr>
                <w:spacing w:val="-2"/>
                <w:sz w:val="24"/>
              </w:rPr>
              <w:t>testing).</w:t>
            </w:r>
          </w:p>
        </w:tc>
        <w:tc>
          <w:tcPr>
            <w:tcW w:w="4230" w:type="dxa"/>
          </w:tcPr>
          <w:p w14:paraId="390976B1" w14:textId="77777777" w:rsidR="001825E2" w:rsidRDefault="000839A5" w:rsidP="00CB00A7">
            <w:pPr>
              <w:pStyle w:val="TableParagraph"/>
              <w:spacing w:before="5" w:line="280" w:lineRule="atLeast"/>
              <w:ind w:left="967" w:right="445" w:hanging="525"/>
              <w:jc w:val="left"/>
              <w:rPr>
                <w:sz w:val="24"/>
              </w:rPr>
            </w:pPr>
            <w:r>
              <w:rPr>
                <w:sz w:val="24"/>
              </w:rPr>
              <w:t>Interrupt</w:t>
            </w:r>
            <w:r>
              <w:rPr>
                <w:spacing w:val="-15"/>
                <w:sz w:val="24"/>
              </w:rPr>
              <w:t xml:space="preserve"> </w:t>
            </w:r>
            <w:r>
              <w:rPr>
                <w:sz w:val="24"/>
              </w:rPr>
              <w:t>dosing</w:t>
            </w:r>
            <w:r>
              <w:rPr>
                <w:spacing w:val="-15"/>
                <w:sz w:val="24"/>
              </w:rPr>
              <w:t xml:space="preserve"> </w:t>
            </w:r>
            <w:r>
              <w:rPr>
                <w:sz w:val="24"/>
              </w:rPr>
              <w:t>until</w:t>
            </w:r>
            <w:r>
              <w:rPr>
                <w:spacing w:val="-15"/>
                <w:sz w:val="24"/>
              </w:rPr>
              <w:t xml:space="preserve"> </w:t>
            </w:r>
            <w:proofErr w:type="spellStart"/>
            <w:r>
              <w:rPr>
                <w:sz w:val="24"/>
              </w:rPr>
              <w:t>haemoglobin</w:t>
            </w:r>
            <w:proofErr w:type="spellEnd"/>
            <w:r>
              <w:rPr>
                <w:sz w:val="24"/>
              </w:rPr>
              <w:t xml:space="preserve"> values have </w:t>
            </w:r>
            <w:proofErr w:type="spellStart"/>
            <w:r>
              <w:rPr>
                <w:sz w:val="24"/>
              </w:rPr>
              <w:t>normalised</w:t>
            </w:r>
            <w:proofErr w:type="spellEnd"/>
            <w:r>
              <w:rPr>
                <w:sz w:val="24"/>
              </w:rPr>
              <w:t>.</w:t>
            </w:r>
          </w:p>
        </w:tc>
      </w:tr>
    </w:tbl>
    <w:p w14:paraId="1FE3B47A" w14:textId="77777777" w:rsidR="001825E2" w:rsidRDefault="000839A5" w:rsidP="00CB00A7">
      <w:pPr>
        <w:spacing w:before="14" w:line="252" w:lineRule="auto"/>
        <w:ind w:left="355" w:right="223" w:hanging="136"/>
        <w:rPr>
          <w:sz w:val="19"/>
        </w:rPr>
      </w:pPr>
      <w:r>
        <w:rPr>
          <w:position w:val="6"/>
          <w:sz w:val="13"/>
        </w:rPr>
        <w:t>1</w:t>
      </w:r>
      <w:r>
        <w:rPr>
          <w:spacing w:val="40"/>
          <w:position w:val="6"/>
          <w:sz w:val="13"/>
        </w:rPr>
        <w:t xml:space="preserve"> </w:t>
      </w:r>
      <w:r>
        <w:rPr>
          <w:sz w:val="19"/>
        </w:rPr>
        <w:t>Co-</w:t>
      </w:r>
      <w:proofErr w:type="spellStart"/>
      <w:r>
        <w:rPr>
          <w:sz w:val="19"/>
        </w:rPr>
        <w:t>administra</w:t>
      </w:r>
      <w:proofErr w:type="spellEnd"/>
      <w:r>
        <w:rPr>
          <w:spacing w:val="-12"/>
          <w:sz w:val="19"/>
        </w:rPr>
        <w:t xml:space="preserve"> </w:t>
      </w:r>
      <w:proofErr w:type="spellStart"/>
      <w:r>
        <w:rPr>
          <w:sz w:val="19"/>
        </w:rPr>
        <w:t>tion</w:t>
      </w:r>
      <w:proofErr w:type="spellEnd"/>
      <w:r>
        <w:rPr>
          <w:spacing w:val="40"/>
          <w:sz w:val="19"/>
        </w:rPr>
        <w:t xml:space="preserve"> </w:t>
      </w:r>
      <w:r>
        <w:rPr>
          <w:sz w:val="19"/>
        </w:rPr>
        <w:t>of</w:t>
      </w:r>
      <w:r>
        <w:rPr>
          <w:spacing w:val="40"/>
          <w:sz w:val="19"/>
        </w:rPr>
        <w:t xml:space="preserve"> </w:t>
      </w:r>
      <w:r>
        <w:rPr>
          <w:sz w:val="19"/>
        </w:rPr>
        <w:t>XELJANZ</w:t>
      </w:r>
      <w:r>
        <w:rPr>
          <w:spacing w:val="11"/>
          <w:sz w:val="19"/>
        </w:rPr>
        <w:t xml:space="preserve"> or </w:t>
      </w:r>
      <w:r>
        <w:rPr>
          <w:sz w:val="19"/>
        </w:rPr>
        <w:t>XELJANZ</w:t>
      </w:r>
      <w:r>
        <w:rPr>
          <w:spacing w:val="40"/>
          <w:sz w:val="19"/>
        </w:rPr>
        <w:t xml:space="preserve"> </w:t>
      </w:r>
      <w:r>
        <w:rPr>
          <w:sz w:val="19"/>
        </w:rPr>
        <w:t>XR</w:t>
      </w:r>
      <w:r>
        <w:rPr>
          <w:spacing w:val="40"/>
          <w:sz w:val="19"/>
        </w:rPr>
        <w:t xml:space="preserve"> </w:t>
      </w:r>
      <w:r>
        <w:rPr>
          <w:sz w:val="19"/>
        </w:rPr>
        <w:t>with</w:t>
      </w:r>
      <w:r>
        <w:rPr>
          <w:spacing w:val="40"/>
          <w:sz w:val="19"/>
        </w:rPr>
        <w:t xml:space="preserve"> </w:t>
      </w:r>
      <w:r>
        <w:rPr>
          <w:sz w:val="19"/>
        </w:rPr>
        <w:t>potent</w:t>
      </w:r>
      <w:r>
        <w:rPr>
          <w:spacing w:val="37"/>
          <w:sz w:val="19"/>
        </w:rPr>
        <w:t xml:space="preserve"> </w:t>
      </w:r>
      <w:r>
        <w:rPr>
          <w:sz w:val="19"/>
        </w:rPr>
        <w:t>CYP</w:t>
      </w:r>
      <w:r>
        <w:rPr>
          <w:spacing w:val="26"/>
          <w:sz w:val="19"/>
        </w:rPr>
        <w:t xml:space="preserve"> </w:t>
      </w:r>
      <w:r>
        <w:rPr>
          <w:sz w:val="19"/>
        </w:rPr>
        <w:t>inducers</w:t>
      </w:r>
      <w:r>
        <w:rPr>
          <w:spacing w:val="28"/>
          <w:sz w:val="19"/>
        </w:rPr>
        <w:t xml:space="preserve"> </w:t>
      </w:r>
      <w:r>
        <w:rPr>
          <w:sz w:val="19"/>
        </w:rPr>
        <w:t>(e.g.,</w:t>
      </w:r>
      <w:r>
        <w:rPr>
          <w:spacing w:val="24"/>
          <w:sz w:val="19"/>
        </w:rPr>
        <w:t xml:space="preserve"> </w:t>
      </w:r>
      <w:r>
        <w:rPr>
          <w:sz w:val="19"/>
        </w:rPr>
        <w:t>rifampicin)</w:t>
      </w:r>
      <w:r>
        <w:rPr>
          <w:spacing w:val="10"/>
          <w:sz w:val="19"/>
        </w:rPr>
        <w:t xml:space="preserve"> may</w:t>
      </w:r>
      <w:r>
        <w:rPr>
          <w:spacing w:val="40"/>
          <w:sz w:val="19"/>
        </w:rPr>
        <w:t xml:space="preserve"> </w:t>
      </w:r>
      <w:r>
        <w:rPr>
          <w:sz w:val="19"/>
        </w:rPr>
        <w:t>result</w:t>
      </w:r>
      <w:r>
        <w:rPr>
          <w:spacing w:val="37"/>
          <w:sz w:val="19"/>
        </w:rPr>
        <w:t xml:space="preserve"> </w:t>
      </w:r>
      <w:r>
        <w:rPr>
          <w:sz w:val="19"/>
        </w:rPr>
        <w:t>in loss</w:t>
      </w:r>
      <w:r>
        <w:rPr>
          <w:spacing w:val="34"/>
          <w:sz w:val="19"/>
        </w:rPr>
        <w:t xml:space="preserve"> </w:t>
      </w:r>
      <w:r>
        <w:rPr>
          <w:sz w:val="19"/>
        </w:rPr>
        <w:t>of</w:t>
      </w:r>
      <w:r>
        <w:rPr>
          <w:spacing w:val="40"/>
          <w:sz w:val="19"/>
        </w:rPr>
        <w:t xml:space="preserve"> </w:t>
      </w:r>
      <w:r>
        <w:rPr>
          <w:sz w:val="19"/>
        </w:rPr>
        <w:t>or</w:t>
      </w:r>
      <w:r>
        <w:rPr>
          <w:spacing w:val="40"/>
          <w:sz w:val="19"/>
        </w:rPr>
        <w:t xml:space="preserve"> </w:t>
      </w:r>
      <w:r>
        <w:rPr>
          <w:sz w:val="19"/>
        </w:rPr>
        <w:t>reduced</w:t>
      </w:r>
      <w:r>
        <w:rPr>
          <w:spacing w:val="40"/>
          <w:sz w:val="19"/>
        </w:rPr>
        <w:t xml:space="preserve"> </w:t>
      </w:r>
      <w:r>
        <w:rPr>
          <w:sz w:val="19"/>
        </w:rPr>
        <w:t>clinical</w:t>
      </w:r>
      <w:r>
        <w:rPr>
          <w:spacing w:val="40"/>
          <w:sz w:val="19"/>
        </w:rPr>
        <w:t xml:space="preserve"> </w:t>
      </w:r>
      <w:r>
        <w:rPr>
          <w:sz w:val="19"/>
        </w:rPr>
        <w:t>response</w:t>
      </w:r>
      <w:r>
        <w:rPr>
          <w:spacing w:val="39"/>
          <w:sz w:val="19"/>
        </w:rPr>
        <w:t xml:space="preserve"> </w:t>
      </w:r>
      <w:r>
        <w:rPr>
          <w:sz w:val="19"/>
        </w:rPr>
        <w:t>(see</w:t>
      </w:r>
      <w:r>
        <w:rPr>
          <w:spacing w:val="40"/>
          <w:sz w:val="19"/>
        </w:rPr>
        <w:t xml:space="preserve"> </w:t>
      </w:r>
      <w:r>
        <w:rPr>
          <w:sz w:val="19"/>
        </w:rPr>
        <w:t>Section</w:t>
      </w:r>
      <w:r>
        <w:rPr>
          <w:spacing w:val="40"/>
          <w:sz w:val="19"/>
        </w:rPr>
        <w:t xml:space="preserve"> </w:t>
      </w:r>
      <w:r>
        <w:rPr>
          <w:sz w:val="19"/>
        </w:rPr>
        <w:t>4.5</w:t>
      </w:r>
      <w:r>
        <w:rPr>
          <w:spacing w:val="40"/>
          <w:sz w:val="19"/>
        </w:rPr>
        <w:t xml:space="preserve"> </w:t>
      </w:r>
      <w:r>
        <w:rPr>
          <w:sz w:val="19"/>
        </w:rPr>
        <w:t>Interactions</w:t>
      </w:r>
      <w:r>
        <w:rPr>
          <w:spacing w:val="34"/>
          <w:sz w:val="19"/>
        </w:rPr>
        <w:t xml:space="preserve"> </w:t>
      </w:r>
      <w:proofErr w:type="gramStart"/>
      <w:r>
        <w:rPr>
          <w:sz w:val="19"/>
        </w:rPr>
        <w:t>With</w:t>
      </w:r>
      <w:proofErr w:type="gramEnd"/>
      <w:r>
        <w:rPr>
          <w:spacing w:val="40"/>
          <w:sz w:val="19"/>
        </w:rPr>
        <w:t xml:space="preserve"> </w:t>
      </w:r>
      <w:r>
        <w:rPr>
          <w:sz w:val="19"/>
        </w:rPr>
        <w:t>Other</w:t>
      </w:r>
      <w:r>
        <w:rPr>
          <w:spacing w:val="28"/>
          <w:sz w:val="19"/>
        </w:rPr>
        <w:t xml:space="preserve"> </w:t>
      </w:r>
      <w:r>
        <w:rPr>
          <w:sz w:val="19"/>
        </w:rPr>
        <w:t>Medicines</w:t>
      </w:r>
      <w:r>
        <w:rPr>
          <w:spacing w:val="34"/>
          <w:sz w:val="19"/>
        </w:rPr>
        <w:t xml:space="preserve"> </w:t>
      </w:r>
      <w:r>
        <w:rPr>
          <w:sz w:val="19"/>
        </w:rPr>
        <w:t>and</w:t>
      </w:r>
      <w:r>
        <w:rPr>
          <w:spacing w:val="40"/>
          <w:sz w:val="19"/>
        </w:rPr>
        <w:t xml:space="preserve"> </w:t>
      </w:r>
      <w:r>
        <w:rPr>
          <w:sz w:val="19"/>
        </w:rPr>
        <w:t>Other</w:t>
      </w:r>
      <w:r>
        <w:rPr>
          <w:spacing w:val="28"/>
          <w:sz w:val="19"/>
        </w:rPr>
        <w:t xml:space="preserve"> </w:t>
      </w:r>
      <w:r>
        <w:rPr>
          <w:sz w:val="19"/>
        </w:rPr>
        <w:t>Forms</w:t>
      </w:r>
      <w:r>
        <w:rPr>
          <w:spacing w:val="34"/>
          <w:sz w:val="19"/>
        </w:rPr>
        <w:t xml:space="preserve"> </w:t>
      </w:r>
      <w:r>
        <w:rPr>
          <w:sz w:val="19"/>
        </w:rPr>
        <w:t xml:space="preserve">of </w:t>
      </w:r>
      <w:proofErr w:type="spellStart"/>
      <w:r>
        <w:rPr>
          <w:sz w:val="19"/>
        </w:rPr>
        <w:t>Intera</w:t>
      </w:r>
      <w:proofErr w:type="spellEnd"/>
      <w:r>
        <w:rPr>
          <w:spacing w:val="-12"/>
          <w:sz w:val="19"/>
        </w:rPr>
        <w:t xml:space="preserve"> </w:t>
      </w:r>
      <w:proofErr w:type="spellStart"/>
      <w:r>
        <w:rPr>
          <w:sz w:val="19"/>
        </w:rPr>
        <w:t>ctions</w:t>
      </w:r>
      <w:proofErr w:type="spellEnd"/>
      <w:r>
        <w:rPr>
          <w:sz w:val="19"/>
        </w:rPr>
        <w:t xml:space="preserve">). Co-administration of potent inducers of CYP3A4 with XELJANZ or XELJANZ XR is not </w:t>
      </w:r>
      <w:r>
        <w:rPr>
          <w:spacing w:val="-2"/>
          <w:sz w:val="19"/>
        </w:rPr>
        <w:t>recommended.</w:t>
      </w:r>
    </w:p>
    <w:p w14:paraId="7D8F6423" w14:textId="77777777" w:rsidR="001825E2" w:rsidRDefault="000839A5" w:rsidP="00CB00A7">
      <w:pPr>
        <w:spacing w:before="9"/>
        <w:ind w:left="220"/>
        <w:rPr>
          <w:sz w:val="19"/>
        </w:rPr>
      </w:pPr>
      <w:r>
        <w:rPr>
          <w:position w:val="6"/>
          <w:sz w:val="13"/>
        </w:rPr>
        <w:t>2</w:t>
      </w:r>
      <w:r>
        <w:rPr>
          <w:spacing w:val="59"/>
          <w:position w:val="6"/>
          <w:sz w:val="13"/>
        </w:rPr>
        <w:t xml:space="preserve"> </w:t>
      </w:r>
      <w:r>
        <w:rPr>
          <w:sz w:val="19"/>
        </w:rPr>
        <w:t>No</w:t>
      </w:r>
      <w:r>
        <w:rPr>
          <w:spacing w:val="45"/>
          <w:sz w:val="19"/>
        </w:rPr>
        <w:t xml:space="preserve"> </w:t>
      </w:r>
      <w:r>
        <w:rPr>
          <w:sz w:val="19"/>
        </w:rPr>
        <w:t>dose</w:t>
      </w:r>
      <w:r>
        <w:rPr>
          <w:spacing w:val="-2"/>
          <w:sz w:val="19"/>
        </w:rPr>
        <w:t xml:space="preserve"> </w:t>
      </w:r>
      <w:r>
        <w:rPr>
          <w:sz w:val="19"/>
        </w:rPr>
        <w:t>adjustment</w:t>
      </w:r>
      <w:r>
        <w:rPr>
          <w:spacing w:val="2"/>
          <w:sz w:val="19"/>
        </w:rPr>
        <w:t xml:space="preserve"> </w:t>
      </w:r>
      <w:r>
        <w:rPr>
          <w:sz w:val="19"/>
        </w:rPr>
        <w:t>is</w:t>
      </w:r>
      <w:r>
        <w:rPr>
          <w:spacing w:val="13"/>
          <w:sz w:val="19"/>
        </w:rPr>
        <w:t xml:space="preserve"> </w:t>
      </w:r>
      <w:r>
        <w:rPr>
          <w:sz w:val="19"/>
        </w:rPr>
        <w:t>required</w:t>
      </w:r>
      <w:r>
        <w:rPr>
          <w:spacing w:val="25"/>
          <w:sz w:val="19"/>
        </w:rPr>
        <w:t xml:space="preserve"> </w:t>
      </w:r>
      <w:r>
        <w:rPr>
          <w:sz w:val="19"/>
        </w:rPr>
        <w:t>in</w:t>
      </w:r>
      <w:r>
        <w:rPr>
          <w:spacing w:val="46"/>
          <w:sz w:val="19"/>
        </w:rPr>
        <w:t xml:space="preserve"> </w:t>
      </w:r>
      <w:r>
        <w:rPr>
          <w:sz w:val="19"/>
        </w:rPr>
        <w:t>patients</w:t>
      </w:r>
      <w:r>
        <w:rPr>
          <w:spacing w:val="-8"/>
          <w:sz w:val="19"/>
        </w:rPr>
        <w:t xml:space="preserve"> </w:t>
      </w:r>
      <w:r>
        <w:rPr>
          <w:sz w:val="19"/>
        </w:rPr>
        <w:t>with</w:t>
      </w:r>
      <w:r>
        <w:rPr>
          <w:spacing w:val="45"/>
          <w:sz w:val="19"/>
        </w:rPr>
        <w:t xml:space="preserve"> </w:t>
      </w:r>
      <w:r>
        <w:rPr>
          <w:sz w:val="19"/>
        </w:rPr>
        <w:t>estimated</w:t>
      </w:r>
      <w:r>
        <w:rPr>
          <w:spacing w:val="5"/>
          <w:sz w:val="19"/>
        </w:rPr>
        <w:t xml:space="preserve"> </w:t>
      </w:r>
      <w:r>
        <w:rPr>
          <w:sz w:val="19"/>
        </w:rPr>
        <w:t>GFR</w:t>
      </w:r>
      <w:r>
        <w:rPr>
          <w:spacing w:val="42"/>
          <w:sz w:val="19"/>
        </w:rPr>
        <w:t xml:space="preserve"> </w:t>
      </w:r>
      <w:r>
        <w:rPr>
          <w:sz w:val="19"/>
        </w:rPr>
        <w:t>more</w:t>
      </w:r>
      <w:r>
        <w:rPr>
          <w:spacing w:val="-3"/>
          <w:sz w:val="19"/>
        </w:rPr>
        <w:t xml:space="preserve"> </w:t>
      </w:r>
      <w:r>
        <w:rPr>
          <w:sz w:val="19"/>
        </w:rPr>
        <w:t>than</w:t>
      </w:r>
      <w:r>
        <w:rPr>
          <w:spacing w:val="5"/>
          <w:sz w:val="19"/>
        </w:rPr>
        <w:t xml:space="preserve"> </w:t>
      </w:r>
      <w:r>
        <w:rPr>
          <w:sz w:val="19"/>
        </w:rPr>
        <w:t>50</w:t>
      </w:r>
      <w:r>
        <w:rPr>
          <w:spacing w:val="5"/>
          <w:sz w:val="19"/>
        </w:rPr>
        <w:t xml:space="preserve"> </w:t>
      </w:r>
      <w:r>
        <w:rPr>
          <w:spacing w:val="-2"/>
          <w:sz w:val="19"/>
        </w:rPr>
        <w:t>mL/min.</w:t>
      </w:r>
    </w:p>
    <w:p w14:paraId="01019F49" w14:textId="77777777" w:rsidR="001825E2" w:rsidRDefault="000839A5" w:rsidP="00CB00A7">
      <w:pPr>
        <w:spacing w:before="2" w:line="254" w:lineRule="auto"/>
        <w:ind w:left="355" w:right="224" w:hanging="136"/>
        <w:rPr>
          <w:sz w:val="19"/>
        </w:rPr>
      </w:pPr>
      <w:r>
        <w:rPr>
          <w:position w:val="6"/>
          <w:sz w:val="13"/>
        </w:rPr>
        <w:t>3</w:t>
      </w:r>
      <w:r>
        <w:rPr>
          <w:spacing w:val="40"/>
          <w:position w:val="6"/>
          <w:sz w:val="13"/>
        </w:rPr>
        <w:t xml:space="preserve"> </w:t>
      </w:r>
      <w:r>
        <w:rPr>
          <w:sz w:val="19"/>
        </w:rPr>
        <w:t>No</w:t>
      </w:r>
      <w:r>
        <w:rPr>
          <w:spacing w:val="40"/>
          <w:sz w:val="19"/>
        </w:rPr>
        <w:t xml:space="preserve"> </w:t>
      </w:r>
      <w:r>
        <w:rPr>
          <w:sz w:val="19"/>
        </w:rPr>
        <w:t>dose</w:t>
      </w:r>
      <w:r>
        <w:rPr>
          <w:spacing w:val="40"/>
          <w:sz w:val="19"/>
        </w:rPr>
        <w:t xml:space="preserve"> </w:t>
      </w:r>
      <w:r>
        <w:rPr>
          <w:sz w:val="19"/>
        </w:rPr>
        <w:t>adjustment</w:t>
      </w:r>
      <w:r>
        <w:rPr>
          <w:spacing w:val="40"/>
          <w:sz w:val="19"/>
        </w:rPr>
        <w:t xml:space="preserve"> </w:t>
      </w:r>
      <w:r>
        <w:rPr>
          <w:sz w:val="19"/>
        </w:rPr>
        <w:t>is</w:t>
      </w:r>
      <w:r>
        <w:rPr>
          <w:spacing w:val="40"/>
          <w:sz w:val="19"/>
        </w:rPr>
        <w:t xml:space="preserve"> </w:t>
      </w:r>
      <w:r>
        <w:rPr>
          <w:sz w:val="19"/>
        </w:rPr>
        <w:t>required</w:t>
      </w:r>
      <w:r>
        <w:rPr>
          <w:spacing w:val="80"/>
          <w:sz w:val="19"/>
        </w:rPr>
        <w:t xml:space="preserve"> </w:t>
      </w:r>
      <w:r>
        <w:rPr>
          <w:sz w:val="19"/>
        </w:rPr>
        <w:t>in</w:t>
      </w:r>
      <w:r>
        <w:rPr>
          <w:spacing w:val="40"/>
          <w:sz w:val="19"/>
        </w:rPr>
        <w:t xml:space="preserve"> </w:t>
      </w:r>
      <w:r>
        <w:rPr>
          <w:sz w:val="19"/>
        </w:rPr>
        <w:t>patients</w:t>
      </w:r>
      <w:r>
        <w:rPr>
          <w:spacing w:val="40"/>
          <w:sz w:val="19"/>
        </w:rPr>
        <w:t xml:space="preserve"> </w:t>
      </w:r>
      <w:r>
        <w:rPr>
          <w:sz w:val="19"/>
        </w:rPr>
        <w:t>with</w:t>
      </w:r>
      <w:r>
        <w:rPr>
          <w:spacing w:val="40"/>
          <w:sz w:val="19"/>
        </w:rPr>
        <w:t xml:space="preserve"> </w:t>
      </w:r>
      <w:r>
        <w:rPr>
          <w:sz w:val="19"/>
        </w:rPr>
        <w:t>mild</w:t>
      </w:r>
      <w:r>
        <w:rPr>
          <w:spacing w:val="40"/>
          <w:sz w:val="19"/>
        </w:rPr>
        <w:t xml:space="preserve"> </w:t>
      </w:r>
      <w:r>
        <w:rPr>
          <w:sz w:val="19"/>
        </w:rPr>
        <w:t>hepatic</w:t>
      </w:r>
      <w:r>
        <w:rPr>
          <w:spacing w:val="40"/>
          <w:sz w:val="19"/>
        </w:rPr>
        <w:t xml:space="preserve"> </w:t>
      </w:r>
      <w:r>
        <w:rPr>
          <w:sz w:val="19"/>
        </w:rPr>
        <w:t>impairment.</w:t>
      </w:r>
      <w:r>
        <w:rPr>
          <w:spacing w:val="40"/>
          <w:sz w:val="19"/>
        </w:rPr>
        <w:t xml:space="preserve"> </w:t>
      </w:r>
      <w:r>
        <w:rPr>
          <w:sz w:val="19"/>
        </w:rPr>
        <w:t>XELJANZ</w:t>
      </w:r>
      <w:r>
        <w:rPr>
          <w:spacing w:val="40"/>
          <w:sz w:val="19"/>
        </w:rPr>
        <w:t xml:space="preserve"> </w:t>
      </w:r>
      <w:r>
        <w:rPr>
          <w:sz w:val="19"/>
        </w:rPr>
        <w:t>and</w:t>
      </w:r>
      <w:r>
        <w:rPr>
          <w:spacing w:val="40"/>
          <w:sz w:val="19"/>
        </w:rPr>
        <w:t xml:space="preserve"> </w:t>
      </w:r>
      <w:r>
        <w:rPr>
          <w:sz w:val="19"/>
        </w:rPr>
        <w:t>XELJANZ</w:t>
      </w:r>
      <w:r>
        <w:rPr>
          <w:spacing w:val="80"/>
          <w:sz w:val="19"/>
        </w:rPr>
        <w:t xml:space="preserve"> </w:t>
      </w:r>
      <w:r>
        <w:rPr>
          <w:sz w:val="19"/>
        </w:rPr>
        <w:t>XR should</w:t>
      </w:r>
      <w:r>
        <w:rPr>
          <w:spacing w:val="15"/>
          <w:sz w:val="19"/>
        </w:rPr>
        <w:t xml:space="preserve"> </w:t>
      </w:r>
      <w:r>
        <w:rPr>
          <w:sz w:val="19"/>
        </w:rPr>
        <w:t>not</w:t>
      </w:r>
      <w:r>
        <w:rPr>
          <w:spacing w:val="19"/>
          <w:sz w:val="19"/>
        </w:rPr>
        <w:t xml:space="preserve"> </w:t>
      </w:r>
      <w:r>
        <w:rPr>
          <w:sz w:val="19"/>
        </w:rPr>
        <w:t>be</w:t>
      </w:r>
      <w:r>
        <w:rPr>
          <w:spacing w:val="34"/>
          <w:sz w:val="19"/>
        </w:rPr>
        <w:t xml:space="preserve"> </w:t>
      </w:r>
      <w:r>
        <w:rPr>
          <w:sz w:val="19"/>
        </w:rPr>
        <w:t>used</w:t>
      </w:r>
      <w:r>
        <w:rPr>
          <w:spacing w:val="40"/>
          <w:sz w:val="19"/>
        </w:rPr>
        <w:t xml:space="preserve"> </w:t>
      </w:r>
      <w:r>
        <w:rPr>
          <w:sz w:val="19"/>
        </w:rPr>
        <w:t>in</w:t>
      </w:r>
      <w:r>
        <w:rPr>
          <w:spacing w:val="40"/>
          <w:sz w:val="19"/>
        </w:rPr>
        <w:t xml:space="preserve"> </w:t>
      </w:r>
      <w:r>
        <w:rPr>
          <w:sz w:val="19"/>
        </w:rPr>
        <w:t>patients</w:t>
      </w:r>
      <w:r>
        <w:rPr>
          <w:spacing w:val="29"/>
          <w:sz w:val="19"/>
        </w:rPr>
        <w:t xml:space="preserve"> </w:t>
      </w:r>
      <w:r>
        <w:rPr>
          <w:sz w:val="19"/>
        </w:rPr>
        <w:t>with</w:t>
      </w:r>
      <w:r>
        <w:rPr>
          <w:spacing w:val="40"/>
          <w:sz w:val="19"/>
        </w:rPr>
        <w:t xml:space="preserve"> </w:t>
      </w:r>
      <w:r>
        <w:rPr>
          <w:sz w:val="19"/>
        </w:rPr>
        <w:t>severe</w:t>
      </w:r>
      <w:r>
        <w:rPr>
          <w:spacing w:val="34"/>
          <w:sz w:val="19"/>
        </w:rPr>
        <w:t xml:space="preserve"> </w:t>
      </w:r>
      <w:r>
        <w:rPr>
          <w:sz w:val="19"/>
        </w:rPr>
        <w:t>hepatic</w:t>
      </w:r>
      <w:r>
        <w:rPr>
          <w:spacing w:val="35"/>
          <w:sz w:val="19"/>
        </w:rPr>
        <w:t xml:space="preserve"> </w:t>
      </w:r>
      <w:proofErr w:type="spellStart"/>
      <w:r>
        <w:rPr>
          <w:sz w:val="19"/>
        </w:rPr>
        <w:t>impa</w:t>
      </w:r>
      <w:proofErr w:type="spellEnd"/>
      <w:r>
        <w:rPr>
          <w:spacing w:val="-12"/>
          <w:sz w:val="19"/>
        </w:rPr>
        <w:t xml:space="preserve"> </w:t>
      </w:r>
      <w:proofErr w:type="spellStart"/>
      <w:r>
        <w:rPr>
          <w:sz w:val="19"/>
        </w:rPr>
        <w:t>irment</w:t>
      </w:r>
      <w:proofErr w:type="spellEnd"/>
      <w:r>
        <w:rPr>
          <w:spacing w:val="38"/>
          <w:sz w:val="19"/>
        </w:rPr>
        <w:t xml:space="preserve"> </w:t>
      </w:r>
      <w:r>
        <w:rPr>
          <w:sz w:val="19"/>
        </w:rPr>
        <w:t>(see</w:t>
      </w:r>
      <w:r>
        <w:rPr>
          <w:spacing w:val="34"/>
          <w:sz w:val="19"/>
        </w:rPr>
        <w:t xml:space="preserve"> </w:t>
      </w:r>
      <w:r>
        <w:rPr>
          <w:sz w:val="19"/>
        </w:rPr>
        <w:t>Section</w:t>
      </w:r>
      <w:r>
        <w:rPr>
          <w:spacing w:val="40"/>
          <w:sz w:val="19"/>
        </w:rPr>
        <w:t xml:space="preserve"> </w:t>
      </w:r>
      <w:r>
        <w:rPr>
          <w:sz w:val="19"/>
        </w:rPr>
        <w:t>4.3</w:t>
      </w:r>
      <w:r>
        <w:rPr>
          <w:spacing w:val="40"/>
          <w:sz w:val="19"/>
        </w:rPr>
        <w:t xml:space="preserve"> </w:t>
      </w:r>
      <w:proofErr w:type="spellStart"/>
      <w:r>
        <w:rPr>
          <w:sz w:val="19"/>
        </w:rPr>
        <w:t>Contraindica</w:t>
      </w:r>
      <w:proofErr w:type="spellEnd"/>
      <w:r>
        <w:rPr>
          <w:spacing w:val="-12"/>
          <w:sz w:val="19"/>
        </w:rPr>
        <w:t xml:space="preserve"> </w:t>
      </w:r>
      <w:proofErr w:type="spellStart"/>
      <w:r>
        <w:rPr>
          <w:sz w:val="19"/>
        </w:rPr>
        <w:t>tions</w:t>
      </w:r>
      <w:proofErr w:type="spellEnd"/>
      <w:r>
        <w:rPr>
          <w:sz w:val="19"/>
        </w:rPr>
        <w:t xml:space="preserve"> and</w:t>
      </w:r>
      <w:r>
        <w:rPr>
          <w:spacing w:val="40"/>
          <w:sz w:val="19"/>
        </w:rPr>
        <w:t xml:space="preserve"> </w:t>
      </w:r>
      <w:r>
        <w:rPr>
          <w:sz w:val="19"/>
        </w:rPr>
        <w:t xml:space="preserve">Section 5.2 </w:t>
      </w:r>
      <w:proofErr w:type="spellStart"/>
      <w:r>
        <w:rPr>
          <w:sz w:val="19"/>
        </w:rPr>
        <w:t>Pha</w:t>
      </w:r>
      <w:proofErr w:type="spellEnd"/>
      <w:r>
        <w:rPr>
          <w:spacing w:val="-20"/>
          <w:sz w:val="19"/>
        </w:rPr>
        <w:t xml:space="preserve"> </w:t>
      </w:r>
      <w:proofErr w:type="spellStart"/>
      <w:r>
        <w:rPr>
          <w:sz w:val="19"/>
        </w:rPr>
        <w:t>rmacokinetic</w:t>
      </w:r>
      <w:proofErr w:type="spellEnd"/>
      <w:r>
        <w:rPr>
          <w:sz w:val="19"/>
        </w:rPr>
        <w:t xml:space="preserve"> Properties).</w:t>
      </w:r>
    </w:p>
    <w:p w14:paraId="36485DB5" w14:textId="77777777" w:rsidR="001825E2" w:rsidRDefault="001825E2" w:rsidP="00CB00A7">
      <w:pPr>
        <w:pStyle w:val="BodyText"/>
        <w:spacing w:before="15"/>
        <w:jc w:val="left"/>
        <w:rPr>
          <w:sz w:val="19"/>
        </w:rPr>
      </w:pPr>
    </w:p>
    <w:p w14:paraId="113FA659" w14:textId="77777777" w:rsidR="001825E2" w:rsidRDefault="000839A5" w:rsidP="00CB00A7">
      <w:pPr>
        <w:pStyle w:val="Heading4"/>
        <w:spacing w:before="0"/>
        <w:jc w:val="left"/>
      </w:pPr>
      <w:r>
        <w:t>Dosage</w:t>
      </w:r>
      <w:r>
        <w:rPr>
          <w:spacing w:val="-7"/>
        </w:rPr>
        <w:t xml:space="preserve"> </w:t>
      </w:r>
      <w:r>
        <w:t>Adjustment</w:t>
      </w:r>
      <w:r>
        <w:rPr>
          <w:spacing w:val="4"/>
        </w:rPr>
        <w:t xml:space="preserve"> </w:t>
      </w:r>
      <w:r>
        <w:t>in</w:t>
      </w:r>
      <w:r>
        <w:rPr>
          <w:spacing w:val="-3"/>
        </w:rPr>
        <w:t xml:space="preserve"> </w:t>
      </w:r>
      <w:r>
        <w:t>the</w:t>
      </w:r>
      <w:r>
        <w:rPr>
          <w:spacing w:val="-6"/>
        </w:rPr>
        <w:t xml:space="preserve"> </w:t>
      </w:r>
      <w:r>
        <w:rPr>
          <w:spacing w:val="-2"/>
        </w:rPr>
        <w:t>Elderly</w:t>
      </w:r>
    </w:p>
    <w:p w14:paraId="51DD6F1C" w14:textId="77777777" w:rsidR="001825E2" w:rsidRDefault="000839A5" w:rsidP="00CB00A7">
      <w:pPr>
        <w:pStyle w:val="BodyText"/>
        <w:spacing w:before="114"/>
        <w:ind w:left="220"/>
        <w:jc w:val="left"/>
      </w:pPr>
      <w:r>
        <w:t>No</w:t>
      </w:r>
      <w:r>
        <w:rPr>
          <w:spacing w:val="-5"/>
        </w:rPr>
        <w:t xml:space="preserve"> </w:t>
      </w:r>
      <w:r>
        <w:t>dosage</w:t>
      </w:r>
      <w:r>
        <w:rPr>
          <w:spacing w:val="-17"/>
        </w:rPr>
        <w:t xml:space="preserve"> </w:t>
      </w:r>
      <w:r>
        <w:t>adjustment</w:t>
      </w:r>
      <w:r>
        <w:rPr>
          <w:spacing w:val="-9"/>
        </w:rPr>
        <w:t xml:space="preserve"> </w:t>
      </w:r>
      <w:r>
        <w:t>is</w:t>
      </w:r>
      <w:r>
        <w:rPr>
          <w:spacing w:val="8"/>
        </w:rPr>
        <w:t xml:space="preserve"> </w:t>
      </w:r>
      <w:r>
        <w:t>required</w:t>
      </w:r>
      <w:r>
        <w:rPr>
          <w:spacing w:val="12"/>
        </w:rPr>
        <w:t xml:space="preserve"> </w:t>
      </w:r>
      <w:r>
        <w:t>in</w:t>
      </w:r>
      <w:r>
        <w:rPr>
          <w:spacing w:val="12"/>
        </w:rPr>
        <w:t xml:space="preserve"> </w:t>
      </w:r>
      <w:r>
        <w:t>patients</w:t>
      </w:r>
      <w:r>
        <w:rPr>
          <w:spacing w:val="-7"/>
        </w:rPr>
        <w:t xml:space="preserve"> </w:t>
      </w:r>
      <w:r>
        <w:t>aged</w:t>
      </w:r>
      <w:r>
        <w:rPr>
          <w:spacing w:val="-2"/>
        </w:rPr>
        <w:t xml:space="preserve"> </w:t>
      </w:r>
      <w:r>
        <w:t>65</w:t>
      </w:r>
      <w:r>
        <w:rPr>
          <w:spacing w:val="-3"/>
        </w:rPr>
        <w:t xml:space="preserve"> </w:t>
      </w:r>
      <w:r>
        <w:t>years</w:t>
      </w:r>
      <w:r>
        <w:rPr>
          <w:spacing w:val="8"/>
        </w:rPr>
        <w:t xml:space="preserve"> </w:t>
      </w:r>
      <w:r>
        <w:t>and</w:t>
      </w:r>
      <w:r>
        <w:rPr>
          <w:spacing w:val="-2"/>
        </w:rPr>
        <w:t xml:space="preserve"> older.</w:t>
      </w:r>
    </w:p>
    <w:p w14:paraId="36FC69A7" w14:textId="77777777" w:rsidR="001825E2" w:rsidRDefault="000839A5" w:rsidP="00CB00A7">
      <w:pPr>
        <w:pStyle w:val="Heading4"/>
        <w:jc w:val="left"/>
      </w:pPr>
      <w:r>
        <w:t>Children</w:t>
      </w:r>
      <w:r>
        <w:rPr>
          <w:spacing w:val="8"/>
        </w:rPr>
        <w:t xml:space="preserve"> </w:t>
      </w:r>
      <w:r>
        <w:t>and</w:t>
      </w:r>
      <w:r>
        <w:rPr>
          <w:spacing w:val="-6"/>
        </w:rPr>
        <w:t xml:space="preserve"> </w:t>
      </w:r>
      <w:r>
        <w:rPr>
          <w:spacing w:val="-2"/>
        </w:rPr>
        <w:t>Adolescents</w:t>
      </w:r>
    </w:p>
    <w:p w14:paraId="0C6DF567" w14:textId="77777777" w:rsidR="001825E2" w:rsidRDefault="000839A5" w:rsidP="00CB00A7">
      <w:pPr>
        <w:pStyle w:val="BodyText"/>
        <w:spacing w:before="114" w:line="242" w:lineRule="auto"/>
        <w:ind w:left="218" w:right="204" w:firstLine="1"/>
        <w:jc w:val="left"/>
      </w:pPr>
      <w:r>
        <w:rPr>
          <w:sz w:val="22"/>
        </w:rPr>
        <w:t>Refer to ‘</w:t>
      </w:r>
      <w:r>
        <w:t>Recommended Dosage in polyarticular course Juvenile Idiopathic Arthritis (</w:t>
      </w:r>
      <w:proofErr w:type="spellStart"/>
      <w:r>
        <w:t>pcJIA</w:t>
      </w:r>
      <w:proofErr w:type="spellEnd"/>
      <w:r>
        <w:t>) and Juvenile Psoriatic Arthritis (</w:t>
      </w:r>
      <w:proofErr w:type="spellStart"/>
      <w:r>
        <w:t>jPsA</w:t>
      </w:r>
      <w:proofErr w:type="spellEnd"/>
      <w:r>
        <w:t>)’ for indication-specific dosing instructions and to</w:t>
      </w:r>
      <w:r>
        <w:rPr>
          <w:spacing w:val="40"/>
        </w:rPr>
        <w:t xml:space="preserve"> </w:t>
      </w:r>
      <w:r>
        <w:t>Table 2 for dosage adjustments.</w:t>
      </w:r>
    </w:p>
    <w:p w14:paraId="716C19B3" w14:textId="77777777" w:rsidR="001825E2" w:rsidRDefault="000839A5" w:rsidP="00CB00A7">
      <w:pPr>
        <w:pStyle w:val="Heading2"/>
        <w:numPr>
          <w:ilvl w:val="1"/>
          <w:numId w:val="11"/>
        </w:numPr>
        <w:tabs>
          <w:tab w:val="left" w:pos="638"/>
        </w:tabs>
        <w:spacing w:before="222"/>
        <w:ind w:left="638" w:hanging="418"/>
      </w:pPr>
      <w:r>
        <w:rPr>
          <w:spacing w:val="-2"/>
        </w:rPr>
        <w:t>Contraindications</w:t>
      </w:r>
    </w:p>
    <w:p w14:paraId="5B22EB73" w14:textId="77777777" w:rsidR="001825E2" w:rsidRDefault="000839A5" w:rsidP="00CB00A7">
      <w:pPr>
        <w:pStyle w:val="BodyText"/>
        <w:spacing w:before="255"/>
        <w:ind w:left="220"/>
        <w:jc w:val="left"/>
      </w:pPr>
      <w:r>
        <w:t>Hypersensitivity</w:t>
      </w:r>
      <w:r>
        <w:rPr>
          <w:spacing w:val="13"/>
        </w:rPr>
        <w:t xml:space="preserve"> </w:t>
      </w:r>
      <w:r>
        <w:t>to</w:t>
      </w:r>
      <w:r>
        <w:rPr>
          <w:spacing w:val="-14"/>
        </w:rPr>
        <w:t xml:space="preserve"> </w:t>
      </w:r>
      <w:r>
        <w:t>tofacitinib</w:t>
      </w:r>
      <w:r>
        <w:rPr>
          <w:spacing w:val="1"/>
        </w:rPr>
        <w:t xml:space="preserve"> </w:t>
      </w:r>
      <w:r>
        <w:t>citrate</w:t>
      </w:r>
      <w:r>
        <w:rPr>
          <w:spacing w:val="-2"/>
        </w:rPr>
        <w:t xml:space="preserve"> </w:t>
      </w:r>
      <w:r>
        <w:t>or</w:t>
      </w:r>
      <w:r>
        <w:rPr>
          <w:spacing w:val="-4"/>
        </w:rPr>
        <w:t xml:space="preserve"> </w:t>
      </w:r>
      <w:r>
        <w:t>to</w:t>
      </w:r>
      <w:r>
        <w:rPr>
          <w:spacing w:val="1"/>
        </w:rPr>
        <w:t xml:space="preserve"> </w:t>
      </w:r>
      <w:r>
        <w:t>any of</w:t>
      </w:r>
      <w:r>
        <w:rPr>
          <w:spacing w:val="-4"/>
        </w:rPr>
        <w:t xml:space="preserve"> </w:t>
      </w:r>
      <w:r>
        <w:t>the</w:t>
      </w:r>
      <w:r>
        <w:rPr>
          <w:spacing w:val="-1"/>
        </w:rPr>
        <w:t xml:space="preserve"> </w:t>
      </w:r>
      <w:r>
        <w:rPr>
          <w:spacing w:val="-2"/>
        </w:rPr>
        <w:t>excipients.</w:t>
      </w:r>
    </w:p>
    <w:p w14:paraId="65AF8BB1" w14:textId="77777777" w:rsidR="001825E2" w:rsidRDefault="000839A5" w:rsidP="00CB00A7">
      <w:pPr>
        <w:pStyle w:val="BodyText"/>
        <w:spacing w:before="234" w:line="242" w:lineRule="auto"/>
        <w:ind w:left="219" w:right="218"/>
        <w:jc w:val="left"/>
      </w:pPr>
      <w:r>
        <w:t>XELJANZ or</w:t>
      </w:r>
      <w:r>
        <w:rPr>
          <w:spacing w:val="-7"/>
        </w:rPr>
        <w:t xml:space="preserve"> </w:t>
      </w:r>
      <w:r>
        <w:t>XELJANZ XR must not be</w:t>
      </w:r>
      <w:r>
        <w:rPr>
          <w:spacing w:val="-4"/>
        </w:rPr>
        <w:t xml:space="preserve"> </w:t>
      </w:r>
      <w:r>
        <w:t>used in</w:t>
      </w:r>
      <w:r>
        <w:rPr>
          <w:spacing w:val="-2"/>
        </w:rPr>
        <w:t xml:space="preserve"> </w:t>
      </w:r>
      <w:r>
        <w:t>combination</w:t>
      </w:r>
      <w:r>
        <w:rPr>
          <w:spacing w:val="-2"/>
        </w:rPr>
        <w:t xml:space="preserve"> </w:t>
      </w:r>
      <w:r>
        <w:t>with</w:t>
      </w:r>
      <w:r>
        <w:rPr>
          <w:spacing w:val="-2"/>
        </w:rPr>
        <w:t xml:space="preserve"> </w:t>
      </w:r>
      <w:r>
        <w:t>biological</w:t>
      </w:r>
      <w:r>
        <w:rPr>
          <w:spacing w:val="-9"/>
        </w:rPr>
        <w:t xml:space="preserve"> </w:t>
      </w:r>
      <w:r>
        <w:t>agents</w:t>
      </w:r>
      <w:r>
        <w:rPr>
          <w:spacing w:val="-6"/>
        </w:rPr>
        <w:t xml:space="preserve"> </w:t>
      </w:r>
      <w:r>
        <w:t>or</w:t>
      </w:r>
      <w:r>
        <w:rPr>
          <w:spacing w:val="-7"/>
        </w:rPr>
        <w:t xml:space="preserve"> </w:t>
      </w:r>
      <w:r>
        <w:t xml:space="preserve">other potent immunosuppressive agents (see Section 4.5 Interactions </w:t>
      </w:r>
      <w:proofErr w:type="gramStart"/>
      <w:r>
        <w:t>With</w:t>
      </w:r>
      <w:proofErr w:type="gramEnd"/>
      <w:r>
        <w:t xml:space="preserve"> Other Medicines and Other Forms of Interactions).</w:t>
      </w:r>
    </w:p>
    <w:p w14:paraId="1A8EFB3E" w14:textId="77777777" w:rsidR="001825E2" w:rsidRDefault="000839A5" w:rsidP="00CB00A7">
      <w:pPr>
        <w:pStyle w:val="BodyText"/>
        <w:spacing w:before="229"/>
        <w:ind w:left="219"/>
        <w:jc w:val="left"/>
      </w:pPr>
      <w:r>
        <w:t>XELJANZ</w:t>
      </w:r>
      <w:r>
        <w:rPr>
          <w:spacing w:val="-13"/>
        </w:rPr>
        <w:t xml:space="preserve"> </w:t>
      </w:r>
      <w:r>
        <w:t>or</w:t>
      </w:r>
      <w:r>
        <w:rPr>
          <w:spacing w:val="-5"/>
        </w:rPr>
        <w:t xml:space="preserve"> </w:t>
      </w:r>
      <w:r>
        <w:t>XELJANZ</w:t>
      </w:r>
      <w:r>
        <w:rPr>
          <w:spacing w:val="-11"/>
        </w:rPr>
        <w:t xml:space="preserve"> </w:t>
      </w:r>
      <w:r>
        <w:t>XR</w:t>
      </w:r>
      <w:r>
        <w:rPr>
          <w:spacing w:val="-10"/>
        </w:rPr>
        <w:t xml:space="preserve"> </w:t>
      </w:r>
      <w:r>
        <w:t>should</w:t>
      </w:r>
      <w:r>
        <w:rPr>
          <w:spacing w:val="2"/>
        </w:rPr>
        <w:t xml:space="preserve"> </w:t>
      </w:r>
      <w:r>
        <w:t>not</w:t>
      </w:r>
      <w:r>
        <w:rPr>
          <w:spacing w:val="-6"/>
        </w:rPr>
        <w:t xml:space="preserve"> </w:t>
      </w:r>
      <w:r>
        <w:t>be used</w:t>
      </w:r>
      <w:r>
        <w:rPr>
          <w:spacing w:val="16"/>
        </w:rPr>
        <w:t xml:space="preserve"> </w:t>
      </w:r>
      <w:r>
        <w:t>in</w:t>
      </w:r>
      <w:r>
        <w:rPr>
          <w:spacing w:val="2"/>
        </w:rPr>
        <w:t xml:space="preserve"> </w:t>
      </w:r>
      <w:r>
        <w:t>patients</w:t>
      </w:r>
      <w:r>
        <w:rPr>
          <w:spacing w:val="-3"/>
        </w:rPr>
        <w:t xml:space="preserve"> </w:t>
      </w:r>
      <w:r>
        <w:t>with</w:t>
      </w:r>
      <w:r>
        <w:rPr>
          <w:spacing w:val="-14"/>
        </w:rPr>
        <w:t xml:space="preserve"> </w:t>
      </w:r>
      <w:r>
        <w:t>severe</w:t>
      </w:r>
      <w:r>
        <w:rPr>
          <w:spacing w:val="15"/>
        </w:rPr>
        <w:t xml:space="preserve"> </w:t>
      </w:r>
      <w:r>
        <w:t xml:space="preserve">hepatic </w:t>
      </w:r>
      <w:r>
        <w:rPr>
          <w:spacing w:val="-2"/>
        </w:rPr>
        <w:t>impairment.</w:t>
      </w:r>
    </w:p>
    <w:p w14:paraId="7A492940" w14:textId="77777777" w:rsidR="001825E2" w:rsidRDefault="000839A5" w:rsidP="00CB00A7">
      <w:pPr>
        <w:pStyle w:val="Heading2"/>
        <w:numPr>
          <w:ilvl w:val="1"/>
          <w:numId w:val="11"/>
        </w:numPr>
        <w:tabs>
          <w:tab w:val="left" w:pos="638"/>
        </w:tabs>
        <w:spacing w:before="242"/>
        <w:ind w:left="638" w:hanging="418"/>
      </w:pPr>
      <w:r>
        <w:t>Special</w:t>
      </w:r>
      <w:r>
        <w:rPr>
          <w:spacing w:val="1"/>
        </w:rPr>
        <w:t xml:space="preserve"> </w:t>
      </w:r>
      <w:r>
        <w:t>Warnings</w:t>
      </w:r>
      <w:r>
        <w:rPr>
          <w:spacing w:val="-19"/>
        </w:rPr>
        <w:t xml:space="preserve"> </w:t>
      </w:r>
      <w:r>
        <w:t>and</w:t>
      </w:r>
      <w:r>
        <w:rPr>
          <w:spacing w:val="-4"/>
        </w:rPr>
        <w:t xml:space="preserve"> </w:t>
      </w:r>
      <w:r>
        <w:t>Precautions</w:t>
      </w:r>
      <w:r>
        <w:rPr>
          <w:spacing w:val="-20"/>
        </w:rPr>
        <w:t xml:space="preserve"> </w:t>
      </w:r>
      <w:r>
        <w:t>for</w:t>
      </w:r>
      <w:r>
        <w:rPr>
          <w:spacing w:val="-1"/>
        </w:rPr>
        <w:t xml:space="preserve"> </w:t>
      </w:r>
      <w:r>
        <w:rPr>
          <w:spacing w:val="-5"/>
        </w:rPr>
        <w:t>Use</w:t>
      </w:r>
    </w:p>
    <w:p w14:paraId="63C07123" w14:textId="77777777" w:rsidR="001825E2" w:rsidRDefault="000839A5" w:rsidP="00CB00A7">
      <w:pPr>
        <w:pStyle w:val="Heading3"/>
        <w:spacing w:before="240"/>
        <w:ind w:left="218" w:right="205" w:firstLine="1"/>
      </w:pPr>
      <w:r>
        <w:t>Therapy with XELJANZ or XELJANZ XR should be initiated and monitored by a specialist physician with expertise in the management of conditions for which</w:t>
      </w:r>
      <w:r>
        <w:rPr>
          <w:spacing w:val="40"/>
        </w:rPr>
        <w:t xml:space="preserve"> </w:t>
      </w:r>
      <w:r>
        <w:t>XELJANZ and</w:t>
      </w:r>
      <w:r>
        <w:rPr>
          <w:spacing w:val="40"/>
        </w:rPr>
        <w:t xml:space="preserve"> </w:t>
      </w:r>
      <w:r>
        <w:t>XELJANZ XR</w:t>
      </w:r>
      <w:r>
        <w:rPr>
          <w:spacing w:val="40"/>
        </w:rPr>
        <w:t xml:space="preserve"> </w:t>
      </w:r>
      <w:r>
        <w:t>are indicated</w:t>
      </w:r>
      <w:r>
        <w:rPr>
          <w:spacing w:val="40"/>
        </w:rPr>
        <w:t xml:space="preserve"> </w:t>
      </w:r>
      <w:r>
        <w:t xml:space="preserve">(e.g., rheumatologist or </w:t>
      </w:r>
      <w:r>
        <w:rPr>
          <w:spacing w:val="-2"/>
        </w:rPr>
        <w:t>gastroenterologist).</w:t>
      </w:r>
    </w:p>
    <w:p w14:paraId="68C13357" w14:textId="77777777" w:rsidR="001825E2" w:rsidRDefault="001825E2" w:rsidP="00CB00A7">
      <w:pPr>
        <w:sectPr w:rsidR="001825E2">
          <w:type w:val="continuous"/>
          <w:pgSz w:w="11910" w:h="16850"/>
          <w:pgMar w:top="1420" w:right="1220" w:bottom="980" w:left="1220" w:header="0" w:footer="785" w:gutter="0"/>
          <w:cols w:space="720"/>
        </w:sectPr>
      </w:pPr>
    </w:p>
    <w:p w14:paraId="56DB7276" w14:textId="77777777" w:rsidR="001825E2" w:rsidRDefault="000839A5" w:rsidP="00CB00A7">
      <w:pPr>
        <w:pStyle w:val="BodyText"/>
        <w:spacing w:before="80" w:line="235" w:lineRule="auto"/>
        <w:ind w:left="219" w:right="200"/>
        <w:jc w:val="left"/>
      </w:pPr>
      <w:bookmarkStart w:id="25" w:name="Thrombosis"/>
      <w:bookmarkEnd w:id="25"/>
      <w:r>
        <w:lastRenderedPageBreak/>
        <w:t>The</w:t>
      </w:r>
      <w:r>
        <w:rPr>
          <w:spacing w:val="-3"/>
        </w:rPr>
        <w:t xml:space="preserve"> </w:t>
      </w:r>
      <w:r>
        <w:t>efficacy</w:t>
      </w:r>
      <w:r>
        <w:rPr>
          <w:spacing w:val="-2"/>
        </w:rPr>
        <w:t xml:space="preserve"> </w:t>
      </w:r>
      <w:r>
        <w:t>of XELJANZ or</w:t>
      </w:r>
      <w:r>
        <w:rPr>
          <w:spacing w:val="-6"/>
        </w:rPr>
        <w:t xml:space="preserve"> </w:t>
      </w:r>
      <w:r>
        <w:t>XELJANZ XR as</w:t>
      </w:r>
      <w:r>
        <w:rPr>
          <w:spacing w:val="-5"/>
        </w:rPr>
        <w:t xml:space="preserve"> </w:t>
      </w:r>
      <w:r>
        <w:t>monotherapy</w:t>
      </w:r>
      <w:r>
        <w:rPr>
          <w:spacing w:val="-2"/>
        </w:rPr>
        <w:t xml:space="preserve"> </w:t>
      </w:r>
      <w:r>
        <w:t>has</w:t>
      </w:r>
      <w:r>
        <w:rPr>
          <w:spacing w:val="-5"/>
        </w:rPr>
        <w:t xml:space="preserve"> </w:t>
      </w:r>
      <w:r>
        <w:t>not been</w:t>
      </w:r>
      <w:r>
        <w:rPr>
          <w:spacing w:val="-2"/>
        </w:rPr>
        <w:t xml:space="preserve"> </w:t>
      </w:r>
      <w:r>
        <w:t>studied in</w:t>
      </w:r>
      <w:r>
        <w:rPr>
          <w:spacing w:val="-2"/>
        </w:rPr>
        <w:t xml:space="preserve"> </w:t>
      </w:r>
      <w:r>
        <w:t>patients with psoriatic</w:t>
      </w:r>
      <w:r>
        <w:rPr>
          <w:spacing w:val="40"/>
        </w:rPr>
        <w:t xml:space="preserve"> </w:t>
      </w:r>
      <w:r>
        <w:t>arthritis (PsA).</w:t>
      </w:r>
    </w:p>
    <w:p w14:paraId="3BC2FB40" w14:textId="77777777" w:rsidR="001825E2" w:rsidRDefault="000839A5" w:rsidP="00CB00A7">
      <w:pPr>
        <w:pStyle w:val="Heading3"/>
        <w:spacing w:before="250"/>
        <w:ind w:left="217" w:right="218" w:firstLine="1"/>
      </w:pPr>
      <w:r>
        <w:t>Dose-dependent adverse reactions seen in patients treated with XELJANZ 10 mg twice daily, in comparison to 5 mg twice daily include the following: herpes zoster infections, serious infections, non-melanoma skin cancer (NMSC), higher rate of all-cause</w:t>
      </w:r>
      <w:r>
        <w:rPr>
          <w:spacing w:val="40"/>
        </w:rPr>
        <w:t xml:space="preserve"> </w:t>
      </w:r>
      <w:r>
        <w:t>mortality</w:t>
      </w:r>
      <w:r>
        <w:rPr>
          <w:spacing w:val="40"/>
        </w:rPr>
        <w:t xml:space="preserve"> </w:t>
      </w:r>
      <w:r>
        <w:t>and thrombosis.</w:t>
      </w:r>
    </w:p>
    <w:p w14:paraId="422D8CAF" w14:textId="77777777" w:rsidR="001825E2" w:rsidRDefault="000839A5" w:rsidP="00CB00A7">
      <w:pPr>
        <w:pStyle w:val="BodyText"/>
        <w:spacing w:before="231"/>
        <w:ind w:left="217"/>
        <w:jc w:val="left"/>
      </w:pPr>
      <w:r>
        <w:t>Information</w:t>
      </w:r>
      <w:r>
        <w:rPr>
          <w:spacing w:val="-17"/>
        </w:rPr>
        <w:t xml:space="preserve"> </w:t>
      </w:r>
      <w:r>
        <w:t>in</w:t>
      </w:r>
      <w:r>
        <w:rPr>
          <w:spacing w:val="11"/>
        </w:rPr>
        <w:t xml:space="preserve"> </w:t>
      </w:r>
      <w:r>
        <w:t>this</w:t>
      </w:r>
      <w:r>
        <w:rPr>
          <w:spacing w:val="-5"/>
        </w:rPr>
        <w:t xml:space="preserve"> </w:t>
      </w:r>
      <w:r>
        <w:t>section</w:t>
      </w:r>
      <w:r>
        <w:rPr>
          <w:spacing w:val="-1"/>
        </w:rPr>
        <w:t xml:space="preserve"> </w:t>
      </w:r>
      <w:r>
        <w:t>is</w:t>
      </w:r>
      <w:r>
        <w:rPr>
          <w:spacing w:val="10"/>
        </w:rPr>
        <w:t xml:space="preserve"> </w:t>
      </w:r>
      <w:r>
        <w:t>applicable</w:t>
      </w:r>
      <w:r>
        <w:rPr>
          <w:spacing w:val="27"/>
        </w:rPr>
        <w:t xml:space="preserve"> </w:t>
      </w:r>
      <w:r>
        <w:t>to</w:t>
      </w:r>
      <w:r>
        <w:rPr>
          <w:spacing w:val="-15"/>
        </w:rPr>
        <w:t xml:space="preserve"> </w:t>
      </w:r>
      <w:r>
        <w:t>XELJANZ</w:t>
      </w:r>
      <w:r>
        <w:rPr>
          <w:spacing w:val="-13"/>
        </w:rPr>
        <w:t xml:space="preserve"> </w:t>
      </w:r>
      <w:r>
        <w:t>oral</w:t>
      </w:r>
      <w:r>
        <w:rPr>
          <w:spacing w:val="-8"/>
        </w:rPr>
        <w:t xml:space="preserve"> </w:t>
      </w:r>
      <w:r>
        <w:t>solution</w:t>
      </w:r>
      <w:r>
        <w:rPr>
          <w:spacing w:val="14"/>
        </w:rPr>
        <w:t xml:space="preserve"> </w:t>
      </w:r>
      <w:r>
        <w:t>and</w:t>
      </w:r>
      <w:r>
        <w:rPr>
          <w:spacing w:val="-2"/>
        </w:rPr>
        <w:t xml:space="preserve"> </w:t>
      </w:r>
      <w:r>
        <w:t>XELJANZ</w:t>
      </w:r>
      <w:r>
        <w:rPr>
          <w:spacing w:val="-12"/>
        </w:rPr>
        <w:t xml:space="preserve"> </w:t>
      </w:r>
      <w:r>
        <w:rPr>
          <w:spacing w:val="-2"/>
        </w:rPr>
        <w:t>tablets.</w:t>
      </w:r>
    </w:p>
    <w:p w14:paraId="687AE585" w14:textId="77777777" w:rsidR="001825E2" w:rsidRDefault="000839A5" w:rsidP="00CB00A7">
      <w:pPr>
        <w:pStyle w:val="Heading4"/>
        <w:ind w:left="216"/>
        <w:jc w:val="left"/>
      </w:pPr>
      <w:r>
        <w:rPr>
          <w:spacing w:val="-2"/>
        </w:rPr>
        <w:t>Mortality</w:t>
      </w:r>
    </w:p>
    <w:p w14:paraId="4DC41840" w14:textId="77777777" w:rsidR="001825E2" w:rsidRDefault="000839A5" w:rsidP="00CB00A7">
      <w:pPr>
        <w:pStyle w:val="BodyText"/>
        <w:spacing w:before="114"/>
        <w:ind w:left="215" w:right="204" w:firstLine="1"/>
        <w:jc w:val="left"/>
      </w:pPr>
      <w:r>
        <w:t>Rheumatoid arthritis patients 50 years of age and older with at least one additional cardiovascular</w:t>
      </w:r>
      <w:r>
        <w:rPr>
          <w:spacing w:val="24"/>
        </w:rPr>
        <w:t xml:space="preserve"> </w:t>
      </w:r>
      <w:r>
        <w:t>(CV) risk factor treated</w:t>
      </w:r>
      <w:r>
        <w:rPr>
          <w:spacing w:val="29"/>
        </w:rPr>
        <w:t xml:space="preserve"> </w:t>
      </w:r>
      <w:r>
        <w:t>with</w:t>
      </w:r>
      <w:r>
        <w:rPr>
          <w:spacing w:val="-1"/>
        </w:rPr>
        <w:t xml:space="preserve"> </w:t>
      </w:r>
      <w:r>
        <w:t>XELJANZ 10 mg twice a day had</w:t>
      </w:r>
      <w:r>
        <w:rPr>
          <w:spacing w:val="29"/>
        </w:rPr>
        <w:t xml:space="preserve"> </w:t>
      </w:r>
      <w:r>
        <w:t>a higher rate of all-cause mortality,</w:t>
      </w:r>
      <w:r>
        <w:rPr>
          <w:spacing w:val="-1"/>
        </w:rPr>
        <w:t xml:space="preserve"> </w:t>
      </w:r>
      <w:r>
        <w:t>including</w:t>
      </w:r>
      <w:r>
        <w:rPr>
          <w:spacing w:val="-1"/>
        </w:rPr>
        <w:t xml:space="preserve"> </w:t>
      </w:r>
      <w:r>
        <w:t>sudden</w:t>
      </w:r>
      <w:r>
        <w:rPr>
          <w:spacing w:val="-1"/>
        </w:rPr>
        <w:t xml:space="preserve"> </w:t>
      </w:r>
      <w:r>
        <w:t>CV</w:t>
      </w:r>
      <w:r>
        <w:rPr>
          <w:spacing w:val="-10"/>
        </w:rPr>
        <w:t xml:space="preserve"> </w:t>
      </w:r>
      <w:r>
        <w:t>death,</w:t>
      </w:r>
      <w:r>
        <w:rPr>
          <w:spacing w:val="-1"/>
        </w:rPr>
        <w:t xml:space="preserve"> </w:t>
      </w:r>
      <w:r>
        <w:t>compared to</w:t>
      </w:r>
      <w:r>
        <w:rPr>
          <w:spacing w:val="-1"/>
        </w:rPr>
        <w:t xml:space="preserve"> </w:t>
      </w:r>
      <w:r>
        <w:t>those</w:t>
      </w:r>
      <w:r>
        <w:rPr>
          <w:spacing w:val="-3"/>
        </w:rPr>
        <w:t xml:space="preserve"> </w:t>
      </w:r>
      <w:r>
        <w:t>treated with</w:t>
      </w:r>
      <w:r>
        <w:rPr>
          <w:spacing w:val="-15"/>
        </w:rPr>
        <w:t xml:space="preserve"> </w:t>
      </w:r>
      <w:r>
        <w:t>XELJANZ 5 mg given twice daily or</w:t>
      </w:r>
      <w:r>
        <w:rPr>
          <w:spacing w:val="22"/>
        </w:rPr>
        <w:t xml:space="preserve"> </w:t>
      </w:r>
      <w:r>
        <w:t>TNF blockers</w:t>
      </w:r>
      <w:r>
        <w:rPr>
          <w:spacing w:val="23"/>
        </w:rPr>
        <w:t xml:space="preserve"> </w:t>
      </w:r>
      <w:r>
        <w:t>in a large, post-marketing safety study (see Section</w:t>
      </w:r>
    </w:p>
    <w:p w14:paraId="76E32F88" w14:textId="77777777" w:rsidR="001825E2" w:rsidRDefault="000839A5" w:rsidP="00CB00A7">
      <w:pPr>
        <w:pStyle w:val="BodyText"/>
        <w:spacing w:before="6"/>
        <w:ind w:left="214"/>
        <w:jc w:val="left"/>
      </w:pPr>
      <w:r>
        <w:t>4.8</w:t>
      </w:r>
      <w:r>
        <w:rPr>
          <w:spacing w:val="7"/>
        </w:rPr>
        <w:t xml:space="preserve"> </w:t>
      </w:r>
      <w:r>
        <w:t>Adverse</w:t>
      </w:r>
      <w:r>
        <w:rPr>
          <w:spacing w:val="-11"/>
        </w:rPr>
        <w:t xml:space="preserve"> </w:t>
      </w:r>
      <w:r>
        <w:t>Effects</w:t>
      </w:r>
      <w:r>
        <w:rPr>
          <w:spacing w:val="-14"/>
        </w:rPr>
        <w:t xml:space="preserve"> </w:t>
      </w:r>
      <w:r>
        <w:t>(Undesirable</w:t>
      </w:r>
      <w:r>
        <w:rPr>
          <w:spacing w:val="6"/>
        </w:rPr>
        <w:t xml:space="preserve"> </w:t>
      </w:r>
      <w:r>
        <w:rPr>
          <w:spacing w:val="-2"/>
        </w:rPr>
        <w:t>Effects).</w:t>
      </w:r>
    </w:p>
    <w:p w14:paraId="04A35DE9" w14:textId="77777777" w:rsidR="001825E2" w:rsidRDefault="000839A5" w:rsidP="00CB00A7">
      <w:pPr>
        <w:pStyle w:val="BodyText"/>
        <w:spacing w:before="234" w:line="242" w:lineRule="auto"/>
        <w:ind w:left="213" w:right="219"/>
        <w:jc w:val="left"/>
      </w:pPr>
      <w:r>
        <w:t xml:space="preserve">A dosage of XELJANZ 10 mg twice daily is not recommended for the treatment of rheumatoid arthritis or psoriatic arthritis (see Section 4.2 Dose and Method of </w:t>
      </w:r>
      <w:r>
        <w:rPr>
          <w:spacing w:val="-2"/>
        </w:rPr>
        <w:t>Administration).</w:t>
      </w:r>
    </w:p>
    <w:p w14:paraId="0A565D88" w14:textId="77777777" w:rsidR="001825E2" w:rsidRDefault="000839A5" w:rsidP="00CB00A7">
      <w:pPr>
        <w:pStyle w:val="BodyText"/>
        <w:spacing w:before="229" w:line="247" w:lineRule="auto"/>
        <w:ind w:left="213" w:right="221"/>
        <w:jc w:val="left"/>
      </w:pPr>
      <w:r>
        <w:t>For the treatment of UC, use XELJANZ at the lowest effective dose and for the shortest duration needed to achieve/maintain</w:t>
      </w:r>
      <w:r>
        <w:rPr>
          <w:spacing w:val="40"/>
        </w:rPr>
        <w:t xml:space="preserve"> </w:t>
      </w:r>
      <w:r>
        <w:t>therapeutic response.</w:t>
      </w:r>
    </w:p>
    <w:p w14:paraId="2E4EF27D" w14:textId="77777777" w:rsidR="001825E2" w:rsidRDefault="000839A5" w:rsidP="00CB00A7">
      <w:pPr>
        <w:pStyle w:val="Heading4"/>
        <w:spacing w:before="227"/>
        <w:ind w:left="213"/>
        <w:jc w:val="left"/>
      </w:pPr>
      <w:r>
        <w:rPr>
          <w:spacing w:val="-2"/>
        </w:rPr>
        <w:t>Thrombosis</w:t>
      </w:r>
    </w:p>
    <w:p w14:paraId="25B97536" w14:textId="77777777" w:rsidR="001825E2" w:rsidRDefault="000839A5" w:rsidP="00CB00A7">
      <w:pPr>
        <w:pStyle w:val="BodyText"/>
        <w:spacing w:before="129"/>
        <w:ind w:left="210" w:right="211" w:firstLine="2"/>
        <w:jc w:val="left"/>
      </w:pPr>
      <w:r>
        <w:t>Thrombosis, including pulmonary embolism, deep venous thrombosis, and arterial thrombosis, has been observed at an</w:t>
      </w:r>
      <w:r>
        <w:rPr>
          <w:spacing w:val="-6"/>
        </w:rPr>
        <w:t xml:space="preserve"> </w:t>
      </w:r>
      <w:r>
        <w:t>increased incidence in rheumatoid arthritis patients who were 50 years of age and older with at least one additional CV risk factor treated with XELJANZ 10 mg twice daily compared to XELJANZ 5 mg twice daily or TNF blockers, particularly</w:t>
      </w:r>
      <w:r>
        <w:rPr>
          <w:spacing w:val="80"/>
        </w:rPr>
        <w:t xml:space="preserve"> </w:t>
      </w:r>
      <w:r>
        <w:t>in</w:t>
      </w:r>
      <w:r>
        <w:rPr>
          <w:spacing w:val="80"/>
        </w:rPr>
        <w:t xml:space="preserve"> </w:t>
      </w:r>
      <w:r>
        <w:t>patients</w:t>
      </w:r>
      <w:r>
        <w:rPr>
          <w:spacing w:val="80"/>
        </w:rPr>
        <w:t xml:space="preserve"> </w:t>
      </w:r>
      <w:r>
        <w:t>who</w:t>
      </w:r>
      <w:r>
        <w:rPr>
          <w:spacing w:val="80"/>
        </w:rPr>
        <w:t xml:space="preserve"> </w:t>
      </w:r>
      <w:r>
        <w:t>were</w:t>
      </w:r>
      <w:r>
        <w:rPr>
          <w:spacing w:val="80"/>
        </w:rPr>
        <w:t xml:space="preserve"> </w:t>
      </w:r>
      <w:r>
        <w:t>obese</w:t>
      </w:r>
      <w:r>
        <w:rPr>
          <w:spacing w:val="80"/>
        </w:rPr>
        <w:t xml:space="preserve"> </w:t>
      </w:r>
      <w:r>
        <w:t>(body</w:t>
      </w:r>
      <w:r>
        <w:rPr>
          <w:spacing w:val="80"/>
        </w:rPr>
        <w:t xml:space="preserve"> </w:t>
      </w:r>
      <w:r>
        <w:t>mass</w:t>
      </w:r>
      <w:r>
        <w:rPr>
          <w:spacing w:val="80"/>
        </w:rPr>
        <w:t xml:space="preserve"> </w:t>
      </w:r>
      <w:r>
        <w:t>index</w:t>
      </w:r>
      <w:r>
        <w:rPr>
          <w:spacing w:val="80"/>
        </w:rPr>
        <w:t xml:space="preserve"> </w:t>
      </w:r>
      <w:r>
        <w:t>[BMI]</w:t>
      </w:r>
      <w:r>
        <w:rPr>
          <w:spacing w:val="80"/>
        </w:rPr>
        <w:t xml:space="preserve"> </w:t>
      </w:r>
      <w:r>
        <w:t>≥30)</w:t>
      </w:r>
      <w:r>
        <w:rPr>
          <w:spacing w:val="80"/>
        </w:rPr>
        <w:t xml:space="preserve"> </w:t>
      </w:r>
      <w:r>
        <w:t>in</w:t>
      </w:r>
      <w:r>
        <w:rPr>
          <w:spacing w:val="80"/>
        </w:rPr>
        <w:t xml:space="preserve"> </w:t>
      </w:r>
      <w:r>
        <w:t>a</w:t>
      </w:r>
      <w:r>
        <w:rPr>
          <w:spacing w:val="80"/>
        </w:rPr>
        <w:t xml:space="preserve"> </w:t>
      </w:r>
      <w:r>
        <w:t>large, post-marketing safety study. Many of these events were serious and some resulted in death (see Section 4.8 Adverse Effects (Undesirable Effects)).</w:t>
      </w:r>
    </w:p>
    <w:p w14:paraId="56D25D40" w14:textId="77777777" w:rsidR="001825E2" w:rsidRDefault="000839A5" w:rsidP="00CB00A7">
      <w:pPr>
        <w:pStyle w:val="BodyText"/>
        <w:spacing w:before="228" w:line="242" w:lineRule="auto"/>
        <w:ind w:left="209" w:right="223"/>
        <w:jc w:val="left"/>
      </w:pPr>
      <w:r>
        <w:t xml:space="preserve">A dosage of XELJANZ 10 mg twice daily is not recommended for the treatment of rheumatoid arthritis or psoriatic arthritis (see Section 4.2 Dose and Method of </w:t>
      </w:r>
      <w:r>
        <w:rPr>
          <w:spacing w:val="-2"/>
        </w:rPr>
        <w:t>Administration).</w:t>
      </w:r>
    </w:p>
    <w:p w14:paraId="5F5048C6" w14:textId="77777777" w:rsidR="001825E2" w:rsidRDefault="000839A5" w:rsidP="00CB00A7">
      <w:pPr>
        <w:pStyle w:val="BodyText"/>
        <w:spacing w:before="244"/>
        <w:ind w:left="207" w:right="225" w:firstLine="2"/>
        <w:jc w:val="left"/>
      </w:pPr>
      <w:r>
        <w:t>Assess patients for thrombotic risk factors before starting treatment and periodically during treatment. Avoid XELJANZ and XELJANZ XR in elderly patients and in patients</w:t>
      </w:r>
      <w:r>
        <w:rPr>
          <w:spacing w:val="-7"/>
        </w:rPr>
        <w:t xml:space="preserve"> </w:t>
      </w:r>
      <w:r>
        <w:t xml:space="preserve">who may be at increased risk of thrombosis or in whom other risk factors are identified. Discontinue XELJANZ and XELJANZ XR and promptly evaluate patients with signs and symptoms of thrombosis, regardless of dose or indication (see Section 4.2 Dose and Method of </w:t>
      </w:r>
      <w:r>
        <w:rPr>
          <w:spacing w:val="-2"/>
        </w:rPr>
        <w:t>Administration).</w:t>
      </w:r>
    </w:p>
    <w:p w14:paraId="2604BCAE" w14:textId="77777777" w:rsidR="001825E2" w:rsidRDefault="000839A5" w:rsidP="00CB00A7">
      <w:pPr>
        <w:pStyle w:val="BodyText"/>
        <w:spacing w:before="234"/>
        <w:ind w:left="206" w:right="240" w:firstLine="1"/>
        <w:jc w:val="left"/>
      </w:pPr>
      <w:r>
        <w:rPr>
          <w:color w:val="050505"/>
        </w:rPr>
        <w:t xml:space="preserve">Risk factors of venous thromboembolism (VTE) include previous VTE, patients undergoing major surgery, </w:t>
      </w:r>
      <w:proofErr w:type="spellStart"/>
      <w:r>
        <w:rPr>
          <w:color w:val="050505"/>
        </w:rPr>
        <w:t>immobilisation</w:t>
      </w:r>
      <w:proofErr w:type="spellEnd"/>
      <w:r>
        <w:rPr>
          <w:color w:val="050505"/>
        </w:rPr>
        <w:t>, myocardial infarction (within previous 3 months), heart failure, use of combined hormonal</w:t>
      </w:r>
      <w:r>
        <w:rPr>
          <w:color w:val="050505"/>
          <w:spacing w:val="-1"/>
        </w:rPr>
        <w:t xml:space="preserve"> </w:t>
      </w:r>
      <w:r>
        <w:rPr>
          <w:color w:val="050505"/>
        </w:rPr>
        <w:t>contraceptives or hormone replacement therapy, inherited coagulation</w:t>
      </w:r>
      <w:r>
        <w:rPr>
          <w:color w:val="050505"/>
          <w:spacing w:val="-2"/>
        </w:rPr>
        <w:t xml:space="preserve"> </w:t>
      </w:r>
      <w:r>
        <w:rPr>
          <w:color w:val="050505"/>
        </w:rPr>
        <w:t>disorder,</w:t>
      </w:r>
      <w:r>
        <w:rPr>
          <w:color w:val="050505"/>
          <w:spacing w:val="1"/>
        </w:rPr>
        <w:t xml:space="preserve"> </w:t>
      </w:r>
      <w:r>
        <w:rPr>
          <w:color w:val="050505"/>
        </w:rPr>
        <w:t>and</w:t>
      </w:r>
      <w:r>
        <w:rPr>
          <w:color w:val="050505"/>
          <w:spacing w:val="16"/>
        </w:rPr>
        <w:t xml:space="preserve"> </w:t>
      </w:r>
      <w:r>
        <w:rPr>
          <w:color w:val="050505"/>
        </w:rPr>
        <w:t>malignancy.</w:t>
      </w:r>
      <w:r>
        <w:rPr>
          <w:color w:val="050505"/>
          <w:spacing w:val="1"/>
        </w:rPr>
        <w:t xml:space="preserve"> </w:t>
      </w:r>
      <w:r>
        <w:rPr>
          <w:color w:val="050505"/>
        </w:rPr>
        <w:t>Additional</w:t>
      </w:r>
      <w:r>
        <w:rPr>
          <w:color w:val="050505"/>
          <w:spacing w:val="-7"/>
        </w:rPr>
        <w:t xml:space="preserve"> </w:t>
      </w:r>
      <w:r>
        <w:rPr>
          <w:color w:val="050505"/>
        </w:rPr>
        <w:t>VTE</w:t>
      </w:r>
      <w:r>
        <w:rPr>
          <w:color w:val="050505"/>
          <w:spacing w:val="4"/>
        </w:rPr>
        <w:t xml:space="preserve"> </w:t>
      </w:r>
      <w:r>
        <w:rPr>
          <w:color w:val="050505"/>
        </w:rPr>
        <w:t>risk</w:t>
      </w:r>
      <w:r>
        <w:rPr>
          <w:color w:val="050505"/>
          <w:spacing w:val="1"/>
        </w:rPr>
        <w:t xml:space="preserve"> </w:t>
      </w:r>
      <w:r>
        <w:rPr>
          <w:color w:val="050505"/>
        </w:rPr>
        <w:t>factors</w:t>
      </w:r>
      <w:r>
        <w:rPr>
          <w:color w:val="050505"/>
          <w:spacing w:val="-4"/>
        </w:rPr>
        <w:t xml:space="preserve"> </w:t>
      </w:r>
      <w:r>
        <w:rPr>
          <w:color w:val="050505"/>
        </w:rPr>
        <w:t>such</w:t>
      </w:r>
      <w:r>
        <w:rPr>
          <w:color w:val="050505"/>
          <w:spacing w:val="1"/>
        </w:rPr>
        <w:t xml:space="preserve"> </w:t>
      </w:r>
      <w:r>
        <w:rPr>
          <w:color w:val="050505"/>
        </w:rPr>
        <w:t>as</w:t>
      </w:r>
      <w:r>
        <w:rPr>
          <w:color w:val="050505"/>
          <w:spacing w:val="12"/>
        </w:rPr>
        <w:t xml:space="preserve"> </w:t>
      </w:r>
      <w:r>
        <w:rPr>
          <w:color w:val="050505"/>
        </w:rPr>
        <w:t>age,</w:t>
      </w:r>
      <w:r>
        <w:rPr>
          <w:color w:val="050505"/>
          <w:spacing w:val="1"/>
        </w:rPr>
        <w:t xml:space="preserve"> </w:t>
      </w:r>
      <w:r>
        <w:rPr>
          <w:color w:val="050505"/>
        </w:rPr>
        <w:t>obesity</w:t>
      </w:r>
      <w:r>
        <w:rPr>
          <w:color w:val="050505"/>
          <w:spacing w:val="1"/>
        </w:rPr>
        <w:t xml:space="preserve"> </w:t>
      </w:r>
      <w:r>
        <w:rPr>
          <w:color w:val="050505"/>
          <w:spacing w:val="-4"/>
        </w:rPr>
        <w:t>(BMI</w:t>
      </w:r>
    </w:p>
    <w:p w14:paraId="1EC73681" w14:textId="77777777" w:rsidR="001825E2" w:rsidRDefault="000839A5" w:rsidP="00CB00A7">
      <w:pPr>
        <w:pStyle w:val="BodyText"/>
        <w:spacing w:before="6"/>
        <w:ind w:left="206"/>
        <w:jc w:val="left"/>
      </w:pPr>
      <w:r>
        <w:rPr>
          <w:color w:val="050505"/>
        </w:rPr>
        <w:t>≥30),</w:t>
      </w:r>
      <w:r>
        <w:rPr>
          <w:color w:val="050505"/>
          <w:spacing w:val="-10"/>
        </w:rPr>
        <w:t xml:space="preserve"> </w:t>
      </w:r>
      <w:r>
        <w:rPr>
          <w:color w:val="050505"/>
        </w:rPr>
        <w:t>diabetes,</w:t>
      </w:r>
      <w:r>
        <w:rPr>
          <w:color w:val="050505"/>
          <w:spacing w:val="-5"/>
        </w:rPr>
        <w:t xml:space="preserve"> </w:t>
      </w:r>
      <w:r>
        <w:rPr>
          <w:color w:val="050505"/>
        </w:rPr>
        <w:t>hypertension,</w:t>
      </w:r>
      <w:r>
        <w:rPr>
          <w:color w:val="050505"/>
          <w:spacing w:val="-4"/>
        </w:rPr>
        <w:t xml:space="preserve"> </w:t>
      </w:r>
      <w:r>
        <w:rPr>
          <w:color w:val="050505"/>
        </w:rPr>
        <w:t>and</w:t>
      </w:r>
      <w:r>
        <w:rPr>
          <w:color w:val="050505"/>
          <w:spacing w:val="-5"/>
        </w:rPr>
        <w:t xml:space="preserve"> </w:t>
      </w:r>
      <w:r>
        <w:rPr>
          <w:color w:val="050505"/>
        </w:rPr>
        <w:t>smoking</w:t>
      </w:r>
      <w:r>
        <w:rPr>
          <w:color w:val="050505"/>
          <w:spacing w:val="23"/>
        </w:rPr>
        <w:t xml:space="preserve"> </w:t>
      </w:r>
      <w:r>
        <w:rPr>
          <w:color w:val="050505"/>
        </w:rPr>
        <w:t>status</w:t>
      </w:r>
      <w:r>
        <w:rPr>
          <w:color w:val="050505"/>
          <w:spacing w:val="-19"/>
        </w:rPr>
        <w:t xml:space="preserve"> </w:t>
      </w:r>
      <w:r>
        <w:rPr>
          <w:color w:val="050505"/>
        </w:rPr>
        <w:t>should</w:t>
      </w:r>
      <w:r>
        <w:rPr>
          <w:color w:val="050505"/>
          <w:spacing w:val="10"/>
        </w:rPr>
        <w:t xml:space="preserve"> </w:t>
      </w:r>
      <w:r>
        <w:rPr>
          <w:color w:val="050505"/>
        </w:rPr>
        <w:t>also</w:t>
      </w:r>
      <w:r>
        <w:rPr>
          <w:color w:val="050505"/>
          <w:spacing w:val="-5"/>
        </w:rPr>
        <w:t xml:space="preserve"> </w:t>
      </w:r>
      <w:r>
        <w:rPr>
          <w:color w:val="050505"/>
        </w:rPr>
        <w:t>be</w:t>
      </w:r>
      <w:r>
        <w:rPr>
          <w:color w:val="050505"/>
          <w:spacing w:val="8"/>
        </w:rPr>
        <w:t xml:space="preserve"> </w:t>
      </w:r>
      <w:r>
        <w:rPr>
          <w:color w:val="050505"/>
          <w:spacing w:val="-2"/>
        </w:rPr>
        <w:t>considered.</w:t>
      </w:r>
    </w:p>
    <w:p w14:paraId="5B82BDCA" w14:textId="77777777" w:rsidR="001825E2" w:rsidRDefault="001825E2" w:rsidP="00CB00A7">
      <w:pPr>
        <w:sectPr w:rsidR="001825E2">
          <w:pgSz w:w="11910" w:h="16850"/>
          <w:pgMar w:top="1360" w:right="1220" w:bottom="980" w:left="1220" w:header="0" w:footer="785" w:gutter="0"/>
          <w:cols w:space="720"/>
        </w:sectPr>
      </w:pPr>
    </w:p>
    <w:p w14:paraId="41B7E0CC" w14:textId="77777777" w:rsidR="001825E2" w:rsidRDefault="000839A5" w:rsidP="00CB00A7">
      <w:pPr>
        <w:pStyle w:val="BodyText"/>
        <w:spacing w:before="76" w:line="242" w:lineRule="auto"/>
        <w:ind w:left="218" w:right="217" w:firstLine="1"/>
        <w:jc w:val="left"/>
      </w:pPr>
      <w:r>
        <w:lastRenderedPageBreak/>
        <w:t>In a long-term extension study in patients with UC, four cases of pulmonary embolism (PE) were reported</w:t>
      </w:r>
      <w:r>
        <w:rPr>
          <w:spacing w:val="40"/>
        </w:rPr>
        <w:t xml:space="preserve"> </w:t>
      </w:r>
      <w:r>
        <w:t>in patients taking XELJANZ 10 mg twice daily, including one death in a patient with advanced cancer.</w:t>
      </w:r>
    </w:p>
    <w:p w14:paraId="4637D9F6" w14:textId="77777777" w:rsidR="001825E2" w:rsidRDefault="000839A5" w:rsidP="00CB00A7">
      <w:pPr>
        <w:pStyle w:val="BodyText"/>
        <w:spacing w:before="229" w:line="242" w:lineRule="auto"/>
        <w:ind w:left="217" w:right="213"/>
        <w:jc w:val="left"/>
      </w:pPr>
      <w:r>
        <w:t>For the treatment of UC, use XELJANZ at the lowest effective dose and for the shortest duration needed to achieve/maintain therapeutic response (see Section 4.2 Dose and Method of Administration).</w:t>
      </w:r>
    </w:p>
    <w:p w14:paraId="67B182C3" w14:textId="77777777" w:rsidR="001825E2" w:rsidRDefault="000839A5" w:rsidP="00CB00A7">
      <w:pPr>
        <w:pStyle w:val="Heading4"/>
        <w:spacing w:before="228"/>
        <w:ind w:left="217"/>
        <w:jc w:val="left"/>
      </w:pPr>
      <w:r>
        <w:t xml:space="preserve">Serious </w:t>
      </w:r>
      <w:r>
        <w:rPr>
          <w:spacing w:val="-2"/>
        </w:rPr>
        <w:t>Infections</w:t>
      </w:r>
    </w:p>
    <w:p w14:paraId="1FF26F39" w14:textId="77777777" w:rsidR="001825E2" w:rsidRDefault="000839A5" w:rsidP="00CB00A7">
      <w:pPr>
        <w:pStyle w:val="BodyText"/>
        <w:spacing w:before="129" w:line="242" w:lineRule="auto"/>
        <w:ind w:left="217" w:right="229"/>
        <w:jc w:val="left"/>
      </w:pPr>
      <w:r>
        <w:t>Patients</w:t>
      </w:r>
      <w:r>
        <w:rPr>
          <w:spacing w:val="-9"/>
        </w:rPr>
        <w:t xml:space="preserve"> </w:t>
      </w:r>
      <w:r>
        <w:t>treated with</w:t>
      </w:r>
      <w:r>
        <w:rPr>
          <w:spacing w:val="-15"/>
        </w:rPr>
        <w:t xml:space="preserve"> </w:t>
      </w:r>
      <w:r>
        <w:t>XELJANZ or</w:t>
      </w:r>
      <w:r>
        <w:rPr>
          <w:spacing w:val="-8"/>
        </w:rPr>
        <w:t xml:space="preserve"> </w:t>
      </w:r>
      <w:r>
        <w:t>XELJANZ</w:t>
      </w:r>
      <w:r>
        <w:rPr>
          <w:spacing w:val="-15"/>
        </w:rPr>
        <w:t xml:space="preserve"> </w:t>
      </w:r>
      <w:r>
        <w:t>XR are</w:t>
      </w:r>
      <w:r>
        <w:rPr>
          <w:spacing w:val="-5"/>
        </w:rPr>
        <w:t xml:space="preserve"> </w:t>
      </w:r>
      <w:r>
        <w:t>at increased risk</w:t>
      </w:r>
      <w:r>
        <w:rPr>
          <w:spacing w:val="-3"/>
        </w:rPr>
        <w:t xml:space="preserve"> </w:t>
      </w:r>
      <w:r>
        <w:t>for</w:t>
      </w:r>
      <w:r>
        <w:rPr>
          <w:spacing w:val="-8"/>
        </w:rPr>
        <w:t xml:space="preserve"> </w:t>
      </w:r>
      <w:r>
        <w:t>developing</w:t>
      </w:r>
      <w:r>
        <w:rPr>
          <w:spacing w:val="-3"/>
        </w:rPr>
        <w:t xml:space="preserve"> </w:t>
      </w:r>
      <w:r>
        <w:t xml:space="preserve">serious infections that may lead to </w:t>
      </w:r>
      <w:proofErr w:type="spellStart"/>
      <w:r>
        <w:t>hospitalisation</w:t>
      </w:r>
      <w:proofErr w:type="spellEnd"/>
      <w:r>
        <w:t xml:space="preserve"> or death, especially in those taking concomitant </w:t>
      </w:r>
      <w:r>
        <w:rPr>
          <w:spacing w:val="-2"/>
        </w:rPr>
        <w:t>immunosuppressants.</w:t>
      </w:r>
    </w:p>
    <w:p w14:paraId="32A1A544" w14:textId="77777777" w:rsidR="001825E2" w:rsidRDefault="000839A5" w:rsidP="00CB00A7">
      <w:pPr>
        <w:pStyle w:val="BodyText"/>
        <w:spacing w:before="229"/>
        <w:ind w:left="211" w:right="203" w:firstLine="5"/>
        <w:jc w:val="left"/>
      </w:pPr>
      <w:r>
        <w:t xml:space="preserve">Serious and sometimes fatal infections due to bacterial, mycobacterial, invasive fungal, </w:t>
      </w:r>
      <w:proofErr w:type="gramStart"/>
      <w:r>
        <w:t>viral</w:t>
      </w:r>
      <w:proofErr w:type="gramEnd"/>
      <w:r>
        <w:t xml:space="preserve"> or other opportunistic pathogens have been reported in rheumatoid arthritis (RA) patients receiving immunomodulatory agents (these include biological DMARDs as well as XELJANZ). The most common serious infections reported with XELJANZ included pneumonia, urinary tract infection, cellulitis, herpes zoster, bronchitis, septic shock, diverticulitis, gastroenteritis, </w:t>
      </w:r>
      <w:proofErr w:type="gramStart"/>
      <w:r>
        <w:t>appendicitis</w:t>
      </w:r>
      <w:proofErr w:type="gramEnd"/>
      <w:r>
        <w:t xml:space="preserve"> and sepsis. Among opportunistic infections, </w:t>
      </w:r>
      <w:proofErr w:type="gramStart"/>
      <w:r>
        <w:t>tuberculosis</w:t>
      </w:r>
      <w:proofErr w:type="gramEnd"/>
      <w:r>
        <w:t xml:space="preserve"> and other mycobacterial infections, cryptococcus, histoplasmosis, </w:t>
      </w:r>
      <w:proofErr w:type="spellStart"/>
      <w:r>
        <w:t>oeso</w:t>
      </w:r>
      <w:r>
        <w:t>phageal</w:t>
      </w:r>
      <w:proofErr w:type="spellEnd"/>
      <w:r>
        <w:t xml:space="preserve"> candidiasis,</w:t>
      </w:r>
      <w:r>
        <w:rPr>
          <w:spacing w:val="40"/>
        </w:rPr>
        <w:t xml:space="preserve"> </w:t>
      </w:r>
      <w:proofErr w:type="spellStart"/>
      <w:r>
        <w:t>pneumocystosis</w:t>
      </w:r>
      <w:proofErr w:type="spellEnd"/>
      <w:r>
        <w:t>,</w:t>
      </w:r>
      <w:r>
        <w:rPr>
          <w:spacing w:val="40"/>
        </w:rPr>
        <w:t xml:space="preserve"> </w:t>
      </w:r>
      <w:proofErr w:type="spellStart"/>
      <w:r>
        <w:t>multidermatomal</w:t>
      </w:r>
      <w:proofErr w:type="spellEnd"/>
      <w:r>
        <w:rPr>
          <w:spacing w:val="40"/>
        </w:rPr>
        <w:t xml:space="preserve"> </w:t>
      </w:r>
      <w:r>
        <w:t>herpes</w:t>
      </w:r>
      <w:r>
        <w:rPr>
          <w:spacing w:val="40"/>
        </w:rPr>
        <w:t xml:space="preserve"> </w:t>
      </w:r>
      <w:r>
        <w:t>zoster,</w:t>
      </w:r>
      <w:r>
        <w:rPr>
          <w:spacing w:val="40"/>
        </w:rPr>
        <w:t xml:space="preserve"> </w:t>
      </w:r>
      <w:r>
        <w:t>cytomegalovirus</w:t>
      </w:r>
      <w:r>
        <w:rPr>
          <w:spacing w:val="40"/>
        </w:rPr>
        <w:t xml:space="preserve"> </w:t>
      </w:r>
      <w:r>
        <w:t>infection, BK virus infections and listeriosis were reported with XELJANZ. Some patients have presented with</w:t>
      </w:r>
      <w:r>
        <w:rPr>
          <w:spacing w:val="-5"/>
        </w:rPr>
        <w:t xml:space="preserve"> </w:t>
      </w:r>
      <w:r>
        <w:t>disseminated rather</w:t>
      </w:r>
      <w:r>
        <w:rPr>
          <w:spacing w:val="-9"/>
        </w:rPr>
        <w:t xml:space="preserve"> </w:t>
      </w:r>
      <w:r>
        <w:t xml:space="preserve">than </w:t>
      </w:r>
      <w:proofErr w:type="spellStart"/>
      <w:r>
        <w:t>localised</w:t>
      </w:r>
      <w:proofErr w:type="spellEnd"/>
      <w:r>
        <w:t xml:space="preserve"> </w:t>
      </w:r>
      <w:proofErr w:type="gramStart"/>
      <w:r>
        <w:t>disease, and</w:t>
      </w:r>
      <w:proofErr w:type="gramEnd"/>
      <w:r>
        <w:t xml:space="preserve"> were often</w:t>
      </w:r>
      <w:r>
        <w:rPr>
          <w:spacing w:val="-5"/>
        </w:rPr>
        <w:t xml:space="preserve"> </w:t>
      </w:r>
      <w:r>
        <w:t>taking concomitant immunomodulating agents such as methotrexate (MTX) or corticosteroids which, in addition to RA may predispose them to infections. Other serious infections, that were not reported in clinical studies, may also occur (e.g., coccidioidomycosis)</w:t>
      </w:r>
      <w:r>
        <w:t>.</w:t>
      </w:r>
    </w:p>
    <w:p w14:paraId="7E4DE715" w14:textId="77777777" w:rsidR="001825E2" w:rsidRDefault="000839A5" w:rsidP="00CB00A7">
      <w:pPr>
        <w:pStyle w:val="BodyText"/>
        <w:spacing w:before="238" w:line="242" w:lineRule="auto"/>
        <w:ind w:left="211" w:right="211"/>
        <w:jc w:val="left"/>
      </w:pPr>
      <w:r>
        <w:t>In</w:t>
      </w:r>
      <w:r>
        <w:rPr>
          <w:spacing w:val="40"/>
        </w:rPr>
        <w:t xml:space="preserve"> </w:t>
      </w:r>
      <w:r>
        <w:t>one</w:t>
      </w:r>
      <w:r>
        <w:rPr>
          <w:spacing w:val="39"/>
        </w:rPr>
        <w:t xml:space="preserve"> </w:t>
      </w:r>
      <w:r>
        <w:t>large</w:t>
      </w:r>
      <w:r>
        <w:rPr>
          <w:spacing w:val="39"/>
        </w:rPr>
        <w:t xml:space="preserve"> </w:t>
      </w:r>
      <w:proofErr w:type="spellStart"/>
      <w:r>
        <w:t>randomised</w:t>
      </w:r>
      <w:proofErr w:type="spellEnd"/>
      <w:r>
        <w:rPr>
          <w:spacing w:val="40"/>
        </w:rPr>
        <w:t xml:space="preserve"> </w:t>
      </w:r>
      <w:r>
        <w:t>post-</w:t>
      </w:r>
      <w:proofErr w:type="spellStart"/>
      <w:r>
        <w:t>authorisation</w:t>
      </w:r>
      <w:proofErr w:type="spellEnd"/>
      <w:r>
        <w:rPr>
          <w:spacing w:val="40"/>
        </w:rPr>
        <w:t xml:space="preserve"> </w:t>
      </w:r>
      <w:r>
        <w:t>safety</w:t>
      </w:r>
      <w:r>
        <w:rPr>
          <w:spacing w:val="27"/>
        </w:rPr>
        <w:t xml:space="preserve"> </w:t>
      </w:r>
      <w:r>
        <w:t>study</w:t>
      </w:r>
      <w:r>
        <w:rPr>
          <w:spacing w:val="27"/>
        </w:rPr>
        <w:t xml:space="preserve"> </w:t>
      </w:r>
      <w:r>
        <w:t>(PASS)</w:t>
      </w:r>
      <w:r>
        <w:rPr>
          <w:spacing w:val="36"/>
        </w:rPr>
        <w:t xml:space="preserve"> </w:t>
      </w:r>
      <w:r>
        <w:t>in</w:t>
      </w:r>
      <w:r>
        <w:rPr>
          <w:spacing w:val="27"/>
        </w:rPr>
        <w:t xml:space="preserve"> </w:t>
      </w:r>
      <w:r>
        <w:t>RA</w:t>
      </w:r>
      <w:r>
        <w:rPr>
          <w:spacing w:val="40"/>
        </w:rPr>
        <w:t xml:space="preserve"> </w:t>
      </w:r>
      <w:r>
        <w:t>patients</w:t>
      </w:r>
      <w:r>
        <w:rPr>
          <w:spacing w:val="23"/>
        </w:rPr>
        <w:t xml:space="preserve"> </w:t>
      </w:r>
      <w:r>
        <w:t>who</w:t>
      </w:r>
      <w:r>
        <w:rPr>
          <w:spacing w:val="27"/>
        </w:rPr>
        <w:t xml:space="preserve"> </w:t>
      </w:r>
      <w:r>
        <w:t>were 50</w:t>
      </w:r>
      <w:r>
        <w:rPr>
          <w:spacing w:val="-4"/>
        </w:rPr>
        <w:t xml:space="preserve"> </w:t>
      </w:r>
      <w:r>
        <w:t>years or older with at least one additional cardiovascular risk factor, a dose-dependent increase in serious infections was observed in patients treated with tofacitinib compared to TNF inhibitor (see Section 4.8 Adverse Effects</w:t>
      </w:r>
      <w:r>
        <w:rPr>
          <w:spacing w:val="-3"/>
        </w:rPr>
        <w:t xml:space="preserve"> </w:t>
      </w:r>
      <w:r>
        <w:t>(Undesirable Effects)). Some of these serious infections resulted in death.</w:t>
      </w:r>
      <w:r>
        <w:rPr>
          <w:spacing w:val="-5"/>
        </w:rPr>
        <w:t xml:space="preserve"> </w:t>
      </w:r>
      <w:r>
        <w:t>Opportunistic infections were also reported in the</w:t>
      </w:r>
      <w:r>
        <w:rPr>
          <w:spacing w:val="-7"/>
        </w:rPr>
        <w:t xml:space="preserve"> </w:t>
      </w:r>
      <w:r>
        <w:t>study.</w:t>
      </w:r>
    </w:p>
    <w:p w14:paraId="0DA7187A" w14:textId="77777777" w:rsidR="001825E2" w:rsidRDefault="000839A5" w:rsidP="00CB00A7">
      <w:pPr>
        <w:pStyle w:val="BodyText"/>
        <w:spacing w:before="226" w:line="242" w:lineRule="auto"/>
        <w:ind w:left="209" w:right="223" w:firstLine="1"/>
        <w:jc w:val="left"/>
      </w:pPr>
      <w:r>
        <w:t>In patients with ulcerative colitis, XELJANZ treatment with 10 mg twice daily was</w:t>
      </w:r>
      <w:r>
        <w:rPr>
          <w:spacing w:val="40"/>
        </w:rPr>
        <w:t xml:space="preserve"> </w:t>
      </w:r>
      <w:r>
        <w:t>associated with</w:t>
      </w:r>
      <w:r>
        <w:rPr>
          <w:spacing w:val="-1"/>
        </w:rPr>
        <w:t xml:space="preserve"> </w:t>
      </w:r>
      <w:r>
        <w:t>greater</w:t>
      </w:r>
      <w:r>
        <w:rPr>
          <w:spacing w:val="-6"/>
        </w:rPr>
        <w:t xml:space="preserve"> </w:t>
      </w:r>
      <w:r>
        <w:t>risk of serious infections</w:t>
      </w:r>
      <w:r>
        <w:rPr>
          <w:spacing w:val="-5"/>
        </w:rPr>
        <w:t xml:space="preserve"> </w:t>
      </w:r>
      <w:r>
        <w:t>compared to</w:t>
      </w:r>
      <w:r>
        <w:rPr>
          <w:spacing w:val="-1"/>
        </w:rPr>
        <w:t xml:space="preserve"> </w:t>
      </w:r>
      <w:r>
        <w:t>5</w:t>
      </w:r>
      <w:r>
        <w:rPr>
          <w:spacing w:val="-1"/>
        </w:rPr>
        <w:t xml:space="preserve"> </w:t>
      </w:r>
      <w:r>
        <w:t>mg twice</w:t>
      </w:r>
      <w:r>
        <w:rPr>
          <w:spacing w:val="-3"/>
        </w:rPr>
        <w:t xml:space="preserve"> </w:t>
      </w:r>
      <w:r>
        <w:t>daily.</w:t>
      </w:r>
      <w:r>
        <w:rPr>
          <w:spacing w:val="-1"/>
        </w:rPr>
        <w:t xml:space="preserve"> </w:t>
      </w:r>
      <w:r>
        <w:t>Additionally, opportunistic herpes zoster infections (including meningoencephalitis, ophthalmologic, and disseminated cutaneous)</w:t>
      </w:r>
      <w:r>
        <w:rPr>
          <w:spacing w:val="-6"/>
        </w:rPr>
        <w:t xml:space="preserve"> </w:t>
      </w:r>
      <w:r>
        <w:t>were</w:t>
      </w:r>
      <w:r>
        <w:rPr>
          <w:spacing w:val="-4"/>
        </w:rPr>
        <w:t xml:space="preserve"> </w:t>
      </w:r>
      <w:r>
        <w:t>seen in</w:t>
      </w:r>
      <w:r>
        <w:rPr>
          <w:spacing w:val="-2"/>
        </w:rPr>
        <w:t xml:space="preserve"> </w:t>
      </w:r>
      <w:r>
        <w:t>patients</w:t>
      </w:r>
      <w:r>
        <w:rPr>
          <w:spacing w:val="-5"/>
        </w:rPr>
        <w:t xml:space="preserve"> </w:t>
      </w:r>
      <w:r>
        <w:t>who</w:t>
      </w:r>
      <w:r>
        <w:rPr>
          <w:spacing w:val="-2"/>
        </w:rPr>
        <w:t xml:space="preserve"> </w:t>
      </w:r>
      <w:r>
        <w:t>were</w:t>
      </w:r>
      <w:r>
        <w:rPr>
          <w:spacing w:val="-4"/>
        </w:rPr>
        <w:t xml:space="preserve"> </w:t>
      </w:r>
      <w:r>
        <w:t>treated with</w:t>
      </w:r>
      <w:r>
        <w:rPr>
          <w:spacing w:val="-2"/>
        </w:rPr>
        <w:t xml:space="preserve"> </w:t>
      </w:r>
      <w:r>
        <w:t>XELJANZ 10</w:t>
      </w:r>
      <w:r>
        <w:rPr>
          <w:spacing w:val="-2"/>
        </w:rPr>
        <w:t xml:space="preserve"> </w:t>
      </w:r>
      <w:r>
        <w:t>mg</w:t>
      </w:r>
      <w:r>
        <w:rPr>
          <w:spacing w:val="-2"/>
        </w:rPr>
        <w:t xml:space="preserve"> </w:t>
      </w:r>
      <w:r>
        <w:t xml:space="preserve">twice </w:t>
      </w:r>
      <w:r>
        <w:rPr>
          <w:spacing w:val="-2"/>
        </w:rPr>
        <w:t>daily.</w:t>
      </w:r>
    </w:p>
    <w:p w14:paraId="5E62BFEF" w14:textId="77777777" w:rsidR="001825E2" w:rsidRDefault="000839A5" w:rsidP="00CB00A7">
      <w:pPr>
        <w:pStyle w:val="BodyText"/>
        <w:spacing w:before="226"/>
        <w:ind w:left="218" w:right="203" w:firstLine="1"/>
        <w:jc w:val="left"/>
      </w:pPr>
      <w:r>
        <w:t>XELJANZ or</w:t>
      </w:r>
      <w:r>
        <w:rPr>
          <w:spacing w:val="-8"/>
        </w:rPr>
        <w:t xml:space="preserve"> </w:t>
      </w:r>
      <w:r>
        <w:t>XELJANZ</w:t>
      </w:r>
      <w:r>
        <w:rPr>
          <w:spacing w:val="-1"/>
        </w:rPr>
        <w:t xml:space="preserve"> </w:t>
      </w:r>
      <w:r>
        <w:t>XR should not be administered to patients</w:t>
      </w:r>
      <w:r>
        <w:rPr>
          <w:spacing w:val="-7"/>
        </w:rPr>
        <w:t xml:space="preserve"> </w:t>
      </w:r>
      <w:r>
        <w:t>with an</w:t>
      </w:r>
      <w:r>
        <w:rPr>
          <w:spacing w:val="-5"/>
        </w:rPr>
        <w:t xml:space="preserve"> </w:t>
      </w:r>
      <w:r>
        <w:t xml:space="preserve">active infection, including </w:t>
      </w:r>
      <w:proofErr w:type="spellStart"/>
      <w:r>
        <w:t>localised</w:t>
      </w:r>
      <w:proofErr w:type="spellEnd"/>
      <w:r>
        <w:t xml:space="preserve"> infections. The risks and benefits of treatment should be considered prior to initiating XELJANZ or XELJANZ XR in patients with chronic or recurrent infections, or those who have been exposed to tuberculosis, or with a history of a serious or an</w:t>
      </w:r>
      <w:r>
        <w:rPr>
          <w:spacing w:val="40"/>
        </w:rPr>
        <w:t xml:space="preserve"> </w:t>
      </w:r>
      <w:r>
        <w:t xml:space="preserve">opportunistic </w:t>
      </w:r>
      <w:proofErr w:type="gramStart"/>
      <w:r>
        <w:t>infection, or</w:t>
      </w:r>
      <w:proofErr w:type="gramEnd"/>
      <w:r>
        <w:t xml:space="preserve"> have resided or travelled in areas of endemic tuberculosis or endemic mycoses;</w:t>
      </w:r>
      <w:r>
        <w:rPr>
          <w:spacing w:val="40"/>
        </w:rPr>
        <w:t xml:space="preserve"> </w:t>
      </w:r>
      <w:r>
        <w:t>or have underlying conditions</w:t>
      </w:r>
      <w:r>
        <w:rPr>
          <w:spacing w:val="-11"/>
        </w:rPr>
        <w:t xml:space="preserve"> </w:t>
      </w:r>
      <w:r>
        <w:t>that may predispose them to infe</w:t>
      </w:r>
      <w:r>
        <w:t>ction.</w:t>
      </w:r>
    </w:p>
    <w:p w14:paraId="0D6A15D5" w14:textId="77777777" w:rsidR="001825E2" w:rsidRDefault="000839A5" w:rsidP="00CB00A7">
      <w:pPr>
        <w:pStyle w:val="BodyText"/>
        <w:spacing w:before="251" w:line="237" w:lineRule="auto"/>
        <w:ind w:left="217" w:right="210"/>
        <w:jc w:val="left"/>
      </w:pPr>
      <w:r>
        <w:t>Patients</w:t>
      </w:r>
      <w:r>
        <w:rPr>
          <w:spacing w:val="-7"/>
        </w:rPr>
        <w:t xml:space="preserve"> </w:t>
      </w:r>
      <w:r>
        <w:t>should be</w:t>
      </w:r>
      <w:r>
        <w:rPr>
          <w:spacing w:val="-5"/>
        </w:rPr>
        <w:t xml:space="preserve"> </w:t>
      </w:r>
      <w:r>
        <w:t>closely monitored for</w:t>
      </w:r>
      <w:r>
        <w:rPr>
          <w:spacing w:val="-8"/>
        </w:rPr>
        <w:t xml:space="preserve"> </w:t>
      </w:r>
      <w:r>
        <w:t>the</w:t>
      </w:r>
      <w:r>
        <w:rPr>
          <w:spacing w:val="-5"/>
        </w:rPr>
        <w:t xml:space="preserve"> </w:t>
      </w:r>
      <w:r>
        <w:t>development of signs</w:t>
      </w:r>
      <w:r>
        <w:rPr>
          <w:spacing w:val="-7"/>
        </w:rPr>
        <w:t xml:space="preserve"> </w:t>
      </w:r>
      <w:r>
        <w:t>and symptoms</w:t>
      </w:r>
      <w:r>
        <w:rPr>
          <w:spacing w:val="-7"/>
        </w:rPr>
        <w:t xml:space="preserve"> </w:t>
      </w:r>
      <w:r>
        <w:t>of infection during and after</w:t>
      </w:r>
      <w:r>
        <w:rPr>
          <w:spacing w:val="-3"/>
        </w:rPr>
        <w:t xml:space="preserve"> </w:t>
      </w:r>
      <w:r>
        <w:t>treatment with XELJANZ or</w:t>
      </w:r>
      <w:r>
        <w:rPr>
          <w:spacing w:val="-4"/>
        </w:rPr>
        <w:t xml:space="preserve"> </w:t>
      </w:r>
      <w:r>
        <w:t>XELJANZ XR.</w:t>
      </w:r>
      <w:r>
        <w:rPr>
          <w:spacing w:val="-15"/>
        </w:rPr>
        <w:t xml:space="preserve"> </w:t>
      </w:r>
      <w:r>
        <w:t>XELJANZ and XELJANZ XR should be interrupted if a patient develops a serious infection, an opportunistic infection, or sepsis (see Section 4.2 Dose and Method of Administration). A patient who develops a new infection</w:t>
      </w:r>
      <w:r>
        <w:rPr>
          <w:spacing w:val="44"/>
        </w:rPr>
        <w:t xml:space="preserve"> </w:t>
      </w:r>
      <w:r>
        <w:t>during</w:t>
      </w:r>
      <w:r>
        <w:rPr>
          <w:spacing w:val="44"/>
        </w:rPr>
        <w:t xml:space="preserve"> </w:t>
      </w:r>
      <w:r>
        <w:t>treatment</w:t>
      </w:r>
      <w:r>
        <w:rPr>
          <w:spacing w:val="37"/>
        </w:rPr>
        <w:t xml:space="preserve"> </w:t>
      </w:r>
      <w:r>
        <w:t>with</w:t>
      </w:r>
      <w:r>
        <w:rPr>
          <w:spacing w:val="29"/>
        </w:rPr>
        <w:t xml:space="preserve"> </w:t>
      </w:r>
      <w:r>
        <w:t>XELJANZ</w:t>
      </w:r>
      <w:r>
        <w:rPr>
          <w:spacing w:val="33"/>
        </w:rPr>
        <w:t xml:space="preserve"> </w:t>
      </w:r>
      <w:r>
        <w:t>or</w:t>
      </w:r>
      <w:r>
        <w:rPr>
          <w:spacing w:val="38"/>
        </w:rPr>
        <w:t xml:space="preserve"> </w:t>
      </w:r>
      <w:r>
        <w:t>XELJANZ</w:t>
      </w:r>
      <w:r>
        <w:rPr>
          <w:spacing w:val="32"/>
        </w:rPr>
        <w:t xml:space="preserve"> </w:t>
      </w:r>
      <w:r>
        <w:t>XR</w:t>
      </w:r>
      <w:r>
        <w:rPr>
          <w:spacing w:val="33"/>
        </w:rPr>
        <w:t xml:space="preserve"> </w:t>
      </w:r>
      <w:r>
        <w:t>should</w:t>
      </w:r>
      <w:r>
        <w:rPr>
          <w:spacing w:val="59"/>
        </w:rPr>
        <w:t xml:space="preserve"> </w:t>
      </w:r>
      <w:r>
        <w:t>undergo</w:t>
      </w:r>
      <w:r>
        <w:rPr>
          <w:spacing w:val="44"/>
        </w:rPr>
        <w:t xml:space="preserve"> </w:t>
      </w:r>
      <w:r>
        <w:t>prompt</w:t>
      </w:r>
      <w:r>
        <w:rPr>
          <w:spacing w:val="53"/>
        </w:rPr>
        <w:t xml:space="preserve"> </w:t>
      </w:r>
      <w:r>
        <w:rPr>
          <w:spacing w:val="-5"/>
        </w:rPr>
        <w:t>and</w:t>
      </w:r>
    </w:p>
    <w:p w14:paraId="39D45655" w14:textId="77777777" w:rsidR="001825E2" w:rsidRDefault="001825E2" w:rsidP="00CB00A7">
      <w:pPr>
        <w:spacing w:line="237" w:lineRule="auto"/>
        <w:sectPr w:rsidR="001825E2">
          <w:pgSz w:w="11910" w:h="16850"/>
          <w:pgMar w:top="1360" w:right="1220" w:bottom="980" w:left="1220" w:header="0" w:footer="785" w:gutter="0"/>
          <w:cols w:space="720"/>
        </w:sectPr>
      </w:pPr>
    </w:p>
    <w:p w14:paraId="2200DF6F" w14:textId="77777777" w:rsidR="001825E2" w:rsidRDefault="000839A5" w:rsidP="00CB00A7">
      <w:pPr>
        <w:pStyle w:val="BodyText"/>
        <w:spacing w:before="80" w:line="235" w:lineRule="auto"/>
        <w:ind w:left="219" w:right="231"/>
        <w:jc w:val="left"/>
      </w:pPr>
      <w:r>
        <w:lastRenderedPageBreak/>
        <w:t>complete diagnostic testing appropriate for an immunocompromised patient, appropriate antimicrobial therapy should be initiated, and the</w:t>
      </w:r>
      <w:r>
        <w:rPr>
          <w:spacing w:val="-12"/>
        </w:rPr>
        <w:t xml:space="preserve"> </w:t>
      </w:r>
      <w:r>
        <w:t>patient should be closely monitored.</w:t>
      </w:r>
    </w:p>
    <w:p w14:paraId="16887606" w14:textId="77777777" w:rsidR="001825E2" w:rsidRDefault="000839A5" w:rsidP="00CB00A7">
      <w:pPr>
        <w:pStyle w:val="BodyText"/>
        <w:spacing w:before="250" w:line="242" w:lineRule="auto"/>
        <w:ind w:left="218" w:right="218" w:firstLine="1"/>
        <w:jc w:val="left"/>
      </w:pPr>
      <w:bookmarkStart w:id="26" w:name="Tuberculosis"/>
      <w:bookmarkEnd w:id="26"/>
      <w:r>
        <w:t>As there is a higher incidence of infections in the elderly and in the diabetic populations in general, caution should be used when treating the elderly and patients with diabetes (see Section 4.8 Adverse Effects (Undesirable Effects)).</w:t>
      </w:r>
    </w:p>
    <w:p w14:paraId="0C248FB6" w14:textId="77777777" w:rsidR="001825E2" w:rsidRDefault="000839A5" w:rsidP="00CB00A7">
      <w:pPr>
        <w:pStyle w:val="BodyText"/>
        <w:spacing w:before="229" w:line="242" w:lineRule="auto"/>
        <w:ind w:left="216" w:right="236" w:firstLine="1"/>
        <w:jc w:val="left"/>
      </w:pPr>
      <w:r>
        <w:t>Caution is also</w:t>
      </w:r>
      <w:r>
        <w:rPr>
          <w:spacing w:val="26"/>
        </w:rPr>
        <w:t xml:space="preserve"> </w:t>
      </w:r>
      <w:r>
        <w:t>recommended</w:t>
      </w:r>
      <w:r>
        <w:rPr>
          <w:spacing w:val="26"/>
        </w:rPr>
        <w:t xml:space="preserve"> </w:t>
      </w:r>
      <w:r>
        <w:t>in patients with a history of chronic</w:t>
      </w:r>
      <w:r>
        <w:rPr>
          <w:spacing w:val="24"/>
        </w:rPr>
        <w:t xml:space="preserve"> </w:t>
      </w:r>
      <w:r>
        <w:t xml:space="preserve">lung disease as they may be more prone to infections (see Section 4.4 Special Warnings and Precautions </w:t>
      </w:r>
      <w:proofErr w:type="gramStart"/>
      <w:r>
        <w:t>For</w:t>
      </w:r>
      <w:proofErr w:type="gramEnd"/>
      <w:r>
        <w:t xml:space="preserve"> Use, Interstitial Lung Disease).</w:t>
      </w:r>
    </w:p>
    <w:p w14:paraId="71A9F030" w14:textId="77777777" w:rsidR="001825E2" w:rsidRDefault="000839A5" w:rsidP="00CB00A7">
      <w:pPr>
        <w:pStyle w:val="BodyText"/>
        <w:spacing w:before="229"/>
        <w:ind w:left="215" w:right="221"/>
        <w:jc w:val="left"/>
      </w:pPr>
      <w:r>
        <w:t>Risk of infection may be higher with increasing degrees of lymphopenia and consideration should be given to lymphocyte counts when assessing individual patient risk of infection. Discontinuation and monitoring criteria for lymphopenia are discussed in Section 4.2 Dose and Method of Administration.</w:t>
      </w:r>
    </w:p>
    <w:p w14:paraId="1F704EAF" w14:textId="77777777" w:rsidR="001825E2" w:rsidRDefault="000839A5" w:rsidP="00CB00A7">
      <w:pPr>
        <w:pStyle w:val="Heading4"/>
        <w:spacing w:before="246"/>
        <w:ind w:left="215"/>
        <w:jc w:val="left"/>
      </w:pPr>
      <w:bookmarkStart w:id="27" w:name="Viral_Reactivation"/>
      <w:bookmarkEnd w:id="27"/>
      <w:r>
        <w:rPr>
          <w:spacing w:val="-2"/>
        </w:rPr>
        <w:t>Tuberculosis</w:t>
      </w:r>
    </w:p>
    <w:p w14:paraId="3287631F" w14:textId="77777777" w:rsidR="001825E2" w:rsidRDefault="000839A5" w:rsidP="00CB00A7">
      <w:pPr>
        <w:pStyle w:val="BodyText"/>
        <w:spacing w:before="114" w:line="247" w:lineRule="auto"/>
        <w:ind w:left="215"/>
        <w:jc w:val="left"/>
      </w:pPr>
      <w:r>
        <w:t>Patients</w:t>
      </w:r>
      <w:r>
        <w:rPr>
          <w:spacing w:val="-6"/>
        </w:rPr>
        <w:t xml:space="preserve"> </w:t>
      </w:r>
      <w:r>
        <w:t>should be</w:t>
      </w:r>
      <w:r>
        <w:rPr>
          <w:spacing w:val="-4"/>
        </w:rPr>
        <w:t xml:space="preserve"> </w:t>
      </w:r>
      <w:r>
        <w:t>evaluated and tested</w:t>
      </w:r>
      <w:r>
        <w:rPr>
          <w:spacing w:val="-2"/>
        </w:rPr>
        <w:t xml:space="preserve"> </w:t>
      </w:r>
      <w:r>
        <w:t>for</w:t>
      </w:r>
      <w:r>
        <w:rPr>
          <w:spacing w:val="-7"/>
        </w:rPr>
        <w:t xml:space="preserve"> </w:t>
      </w:r>
      <w:r>
        <w:t>latent or</w:t>
      </w:r>
      <w:r>
        <w:rPr>
          <w:spacing w:val="-7"/>
        </w:rPr>
        <w:t xml:space="preserve"> </w:t>
      </w:r>
      <w:r>
        <w:t>active</w:t>
      </w:r>
      <w:r>
        <w:rPr>
          <w:spacing w:val="-4"/>
        </w:rPr>
        <w:t xml:space="preserve"> </w:t>
      </w:r>
      <w:r>
        <w:t>infection</w:t>
      </w:r>
      <w:r>
        <w:rPr>
          <w:spacing w:val="-2"/>
        </w:rPr>
        <w:t xml:space="preserve"> </w:t>
      </w:r>
      <w:r>
        <w:t>prior</w:t>
      </w:r>
      <w:r>
        <w:rPr>
          <w:spacing w:val="-7"/>
        </w:rPr>
        <w:t xml:space="preserve"> </w:t>
      </w:r>
      <w:r>
        <w:t>to</w:t>
      </w:r>
      <w:r>
        <w:rPr>
          <w:spacing w:val="-2"/>
        </w:rPr>
        <w:t xml:space="preserve"> </w:t>
      </w:r>
      <w:r>
        <w:t>administration</w:t>
      </w:r>
      <w:r>
        <w:rPr>
          <w:spacing w:val="-2"/>
        </w:rPr>
        <w:t xml:space="preserve"> </w:t>
      </w:r>
      <w:r>
        <w:t>of XELJANZ or XELJANZ XR and continue</w:t>
      </w:r>
      <w:r>
        <w:rPr>
          <w:spacing w:val="-3"/>
        </w:rPr>
        <w:t xml:space="preserve"> </w:t>
      </w:r>
      <w:r>
        <w:t>to be evaluated while on treatment.</w:t>
      </w:r>
    </w:p>
    <w:p w14:paraId="0EF2640C" w14:textId="77777777" w:rsidR="001825E2" w:rsidRDefault="000839A5" w:rsidP="00CB00A7">
      <w:pPr>
        <w:pStyle w:val="BodyText"/>
        <w:spacing w:before="231" w:line="235" w:lineRule="auto"/>
        <w:ind w:left="214" w:right="122"/>
        <w:jc w:val="left"/>
      </w:pPr>
      <w:r>
        <w:t>Patients with latent</w:t>
      </w:r>
      <w:r>
        <w:rPr>
          <w:spacing w:val="32"/>
        </w:rPr>
        <w:t xml:space="preserve"> </w:t>
      </w:r>
      <w:r>
        <w:t>tuberculosis</w:t>
      </w:r>
      <w:r>
        <w:rPr>
          <w:spacing w:val="35"/>
        </w:rPr>
        <w:t xml:space="preserve"> </w:t>
      </w:r>
      <w:r>
        <w:t>should</w:t>
      </w:r>
      <w:r>
        <w:rPr>
          <w:spacing w:val="39"/>
        </w:rPr>
        <w:t xml:space="preserve"> </w:t>
      </w:r>
      <w:r>
        <w:t>be treated</w:t>
      </w:r>
      <w:r>
        <w:rPr>
          <w:spacing w:val="39"/>
        </w:rPr>
        <w:t xml:space="preserve"> </w:t>
      </w:r>
      <w:r>
        <w:t>with standard</w:t>
      </w:r>
      <w:r>
        <w:rPr>
          <w:spacing w:val="39"/>
        </w:rPr>
        <w:t xml:space="preserve"> </w:t>
      </w:r>
      <w:r>
        <w:t>antimycobacterial therapy before administering</w:t>
      </w:r>
      <w:r>
        <w:rPr>
          <w:spacing w:val="40"/>
        </w:rPr>
        <w:t xml:space="preserve"> </w:t>
      </w:r>
      <w:r>
        <w:t>XELJANZ or XELJANZ XR.</w:t>
      </w:r>
    </w:p>
    <w:p w14:paraId="03F4D44A" w14:textId="77777777" w:rsidR="001825E2" w:rsidRDefault="000839A5" w:rsidP="00CB00A7">
      <w:pPr>
        <w:pStyle w:val="BodyText"/>
        <w:spacing w:before="250"/>
        <w:ind w:left="212" w:right="204" w:firstLine="1"/>
        <w:jc w:val="left"/>
      </w:pPr>
      <w:r>
        <w:t xml:space="preserve">Antituberculosis therapy should be considered prior to administration of XELJANZ or XELJANZ XR in patients with </w:t>
      </w:r>
      <w:proofErr w:type="gramStart"/>
      <w:r>
        <w:t>a past history</w:t>
      </w:r>
      <w:proofErr w:type="gramEnd"/>
      <w:r>
        <w:t xml:space="preserve"> of latent or active tuberculosis in whom an adequate course of treatment cannot be confirmed, and for patients with a negative test for latent tuberculosis but who have risk factors for tuberculosis infection. Consultation with a health care</w:t>
      </w:r>
      <w:r>
        <w:rPr>
          <w:spacing w:val="-2"/>
        </w:rPr>
        <w:t xml:space="preserve"> </w:t>
      </w:r>
      <w:r>
        <w:t>professional</w:t>
      </w:r>
      <w:r>
        <w:rPr>
          <w:spacing w:val="-7"/>
        </w:rPr>
        <w:t xml:space="preserve"> </w:t>
      </w:r>
      <w:r>
        <w:t>with expertise in the</w:t>
      </w:r>
      <w:r>
        <w:rPr>
          <w:spacing w:val="-2"/>
        </w:rPr>
        <w:t xml:space="preserve"> </w:t>
      </w:r>
      <w:r>
        <w:t>treatment of tuberculosis</w:t>
      </w:r>
      <w:r>
        <w:rPr>
          <w:spacing w:val="-4"/>
        </w:rPr>
        <w:t xml:space="preserve"> </w:t>
      </w:r>
      <w:r>
        <w:t>is</w:t>
      </w:r>
      <w:r>
        <w:rPr>
          <w:spacing w:val="-4"/>
        </w:rPr>
        <w:t xml:space="preserve"> </w:t>
      </w:r>
      <w:r>
        <w:t>recommended to aid in the decision about whether initiating antituberculosis therapy is appropriate for an individual patient.</w:t>
      </w:r>
    </w:p>
    <w:p w14:paraId="6280C9A3" w14:textId="77777777" w:rsidR="001825E2" w:rsidRDefault="000839A5" w:rsidP="00CB00A7">
      <w:pPr>
        <w:pStyle w:val="BodyText"/>
        <w:spacing w:before="243"/>
        <w:ind w:left="211" w:right="226"/>
        <w:jc w:val="left"/>
      </w:pPr>
      <w:r>
        <w:t>Patients should be closely monitored for the development of signs and symptoms of tuberculosis, including patients who tested negative for latent tuberculosis infection prior to initiating therapy. The need for repeat testing should be considered during therapy if symptoms develop</w:t>
      </w:r>
      <w:r>
        <w:rPr>
          <w:spacing w:val="-2"/>
        </w:rPr>
        <w:t xml:space="preserve"> </w:t>
      </w:r>
      <w:r>
        <w:t>or if re-exposure occurs.</w:t>
      </w:r>
    </w:p>
    <w:p w14:paraId="01C4593F" w14:textId="77777777" w:rsidR="001825E2" w:rsidRDefault="000839A5" w:rsidP="00CB00A7">
      <w:pPr>
        <w:pStyle w:val="Heading4"/>
        <w:spacing w:before="230"/>
        <w:jc w:val="left"/>
      </w:pPr>
      <w:r>
        <w:t>Viral</w:t>
      </w:r>
      <w:r>
        <w:rPr>
          <w:spacing w:val="-1"/>
        </w:rPr>
        <w:t xml:space="preserve"> </w:t>
      </w:r>
      <w:r>
        <w:rPr>
          <w:spacing w:val="-2"/>
        </w:rPr>
        <w:t>Reactivation</w:t>
      </w:r>
    </w:p>
    <w:p w14:paraId="64A06FFF" w14:textId="77777777" w:rsidR="001825E2" w:rsidRDefault="000839A5" w:rsidP="00CB00A7">
      <w:pPr>
        <w:pStyle w:val="BodyText"/>
        <w:spacing w:before="132" w:line="237" w:lineRule="auto"/>
        <w:ind w:left="217" w:right="204" w:firstLine="2"/>
        <w:jc w:val="left"/>
      </w:pPr>
      <w:r>
        <w:t xml:space="preserve">Viral reactivation, including cases of herpes virus reactivation (e.g., herpes zoster) were observed in clinical studies with XELJANZ and XELJANZ XR. In one </w:t>
      </w:r>
      <w:proofErr w:type="gramStart"/>
      <w:r>
        <w:t xml:space="preserve">large </w:t>
      </w:r>
      <w:proofErr w:type="spellStart"/>
      <w:r>
        <w:t>randomised</w:t>
      </w:r>
      <w:proofErr w:type="spellEnd"/>
      <w:proofErr w:type="gramEnd"/>
      <w:r>
        <w:t xml:space="preserve"> PASS in RA patients who were 50 years or older with at least one additional cardiovascular risk factor, an increase in herpes zoster events was observed in patients treated with</w:t>
      </w:r>
      <w:r>
        <w:rPr>
          <w:spacing w:val="40"/>
        </w:rPr>
        <w:t xml:space="preserve"> </w:t>
      </w:r>
      <w:r>
        <w:t>tofacitinib</w:t>
      </w:r>
      <w:r>
        <w:rPr>
          <w:spacing w:val="-3"/>
        </w:rPr>
        <w:t xml:space="preserve"> </w:t>
      </w:r>
      <w:r>
        <w:t>compared to</w:t>
      </w:r>
      <w:r>
        <w:rPr>
          <w:spacing w:val="-3"/>
        </w:rPr>
        <w:t xml:space="preserve"> </w:t>
      </w:r>
      <w:r>
        <w:t>TNF</w:t>
      </w:r>
      <w:r>
        <w:rPr>
          <w:spacing w:val="-2"/>
        </w:rPr>
        <w:t xml:space="preserve"> </w:t>
      </w:r>
      <w:r>
        <w:t>inhibitor (see</w:t>
      </w:r>
      <w:r>
        <w:rPr>
          <w:spacing w:val="-5"/>
        </w:rPr>
        <w:t xml:space="preserve"> </w:t>
      </w:r>
      <w:r>
        <w:t>Section</w:t>
      </w:r>
      <w:r>
        <w:rPr>
          <w:spacing w:val="-3"/>
        </w:rPr>
        <w:t xml:space="preserve"> </w:t>
      </w:r>
      <w:r>
        <w:t>4.8 Adverse</w:t>
      </w:r>
      <w:r>
        <w:rPr>
          <w:spacing w:val="-5"/>
        </w:rPr>
        <w:t xml:space="preserve"> </w:t>
      </w:r>
      <w:r>
        <w:t>Effects</w:t>
      </w:r>
      <w:r>
        <w:rPr>
          <w:spacing w:val="-7"/>
        </w:rPr>
        <w:t xml:space="preserve"> </w:t>
      </w:r>
      <w:r>
        <w:t>(Undesirable</w:t>
      </w:r>
      <w:r>
        <w:rPr>
          <w:spacing w:val="-5"/>
        </w:rPr>
        <w:t xml:space="preserve"> </w:t>
      </w:r>
      <w:r>
        <w:t>Effects). Post-marketing cases of hepatitis B reactivation have been reported in patients treated with XELJANZ. In patients treated with XELJANZ, the incidence of herpes zoster appears to be increased in:</w:t>
      </w:r>
    </w:p>
    <w:p w14:paraId="79F5669F" w14:textId="77777777" w:rsidR="001825E2" w:rsidRDefault="000839A5" w:rsidP="00CB00A7">
      <w:pPr>
        <w:pStyle w:val="ListParagraph"/>
        <w:numPr>
          <w:ilvl w:val="0"/>
          <w:numId w:val="8"/>
        </w:numPr>
        <w:tabs>
          <w:tab w:val="left" w:pos="636"/>
        </w:tabs>
        <w:spacing w:before="134"/>
        <w:ind w:left="636" w:hanging="419"/>
        <w:jc w:val="left"/>
        <w:rPr>
          <w:sz w:val="24"/>
        </w:rPr>
      </w:pPr>
      <w:r>
        <w:rPr>
          <w:sz w:val="24"/>
        </w:rPr>
        <w:t>Japanese</w:t>
      </w:r>
      <w:r>
        <w:rPr>
          <w:spacing w:val="6"/>
          <w:sz w:val="24"/>
        </w:rPr>
        <w:t xml:space="preserve"> </w:t>
      </w:r>
      <w:r>
        <w:rPr>
          <w:sz w:val="24"/>
        </w:rPr>
        <w:t>or</w:t>
      </w:r>
      <w:r>
        <w:rPr>
          <w:spacing w:val="-10"/>
          <w:sz w:val="24"/>
        </w:rPr>
        <w:t xml:space="preserve"> </w:t>
      </w:r>
      <w:r>
        <w:rPr>
          <w:sz w:val="24"/>
        </w:rPr>
        <w:t>Korean</w:t>
      </w:r>
      <w:r>
        <w:rPr>
          <w:spacing w:val="-5"/>
          <w:sz w:val="24"/>
        </w:rPr>
        <w:t xml:space="preserve"> </w:t>
      </w:r>
      <w:r>
        <w:rPr>
          <w:spacing w:val="-2"/>
          <w:sz w:val="24"/>
        </w:rPr>
        <w:t>patients.</w:t>
      </w:r>
    </w:p>
    <w:p w14:paraId="566EE290" w14:textId="77777777" w:rsidR="001825E2" w:rsidRDefault="000839A5" w:rsidP="00CB00A7">
      <w:pPr>
        <w:pStyle w:val="ListParagraph"/>
        <w:numPr>
          <w:ilvl w:val="0"/>
          <w:numId w:val="8"/>
        </w:numPr>
        <w:tabs>
          <w:tab w:val="left" w:pos="635"/>
          <w:tab w:val="left" w:pos="640"/>
        </w:tabs>
        <w:spacing w:before="11" w:line="235" w:lineRule="auto"/>
        <w:ind w:right="213" w:hanging="424"/>
        <w:jc w:val="left"/>
        <w:rPr>
          <w:sz w:val="24"/>
        </w:rPr>
      </w:pPr>
      <w:r>
        <w:rPr>
          <w:sz w:val="24"/>
        </w:rPr>
        <w:t>Patients with an ALC less than 1.0</w:t>
      </w:r>
      <w:r>
        <w:rPr>
          <w:spacing w:val="-3"/>
          <w:sz w:val="24"/>
        </w:rPr>
        <w:t xml:space="preserve"> </w:t>
      </w:r>
      <w:r>
        <w:rPr>
          <w:sz w:val="24"/>
        </w:rPr>
        <w:t>x</w:t>
      </w:r>
      <w:r>
        <w:rPr>
          <w:spacing w:val="-3"/>
          <w:sz w:val="24"/>
        </w:rPr>
        <w:t xml:space="preserve"> </w:t>
      </w:r>
      <w:r>
        <w:rPr>
          <w:sz w:val="24"/>
        </w:rPr>
        <w:t>10</w:t>
      </w:r>
      <w:r>
        <w:rPr>
          <w:position w:val="8"/>
          <w:sz w:val="16"/>
        </w:rPr>
        <w:t xml:space="preserve">9 </w:t>
      </w:r>
      <w:r>
        <w:rPr>
          <w:sz w:val="24"/>
        </w:rPr>
        <w:t xml:space="preserve">cells/L (see Section 4.2 Dose and Method of </w:t>
      </w:r>
      <w:r>
        <w:rPr>
          <w:spacing w:val="-2"/>
          <w:sz w:val="24"/>
        </w:rPr>
        <w:t>Administration).</w:t>
      </w:r>
    </w:p>
    <w:p w14:paraId="76F69171" w14:textId="77777777" w:rsidR="001825E2" w:rsidRDefault="000839A5" w:rsidP="00CB00A7">
      <w:pPr>
        <w:pStyle w:val="ListParagraph"/>
        <w:numPr>
          <w:ilvl w:val="0"/>
          <w:numId w:val="8"/>
        </w:numPr>
        <w:tabs>
          <w:tab w:val="left" w:pos="639"/>
        </w:tabs>
        <w:spacing w:before="12" w:line="235" w:lineRule="auto"/>
        <w:ind w:left="639" w:right="227"/>
        <w:jc w:val="left"/>
        <w:rPr>
          <w:sz w:val="24"/>
        </w:rPr>
      </w:pPr>
      <w:r>
        <w:rPr>
          <w:sz w:val="24"/>
        </w:rPr>
        <w:t xml:space="preserve">Patients with long standing RA who have previously received two or more biological </w:t>
      </w:r>
      <w:r>
        <w:rPr>
          <w:spacing w:val="-2"/>
          <w:sz w:val="24"/>
        </w:rPr>
        <w:t>DMARDs.</w:t>
      </w:r>
    </w:p>
    <w:p w14:paraId="6C3681CD" w14:textId="77777777" w:rsidR="001825E2" w:rsidRDefault="001825E2" w:rsidP="00CB00A7">
      <w:pPr>
        <w:spacing w:line="235" w:lineRule="auto"/>
        <w:rPr>
          <w:sz w:val="24"/>
        </w:rPr>
        <w:sectPr w:rsidR="001825E2">
          <w:pgSz w:w="11910" w:h="16850"/>
          <w:pgMar w:top="1360" w:right="1220" w:bottom="980" w:left="1220" w:header="0" w:footer="785" w:gutter="0"/>
          <w:cols w:space="720"/>
        </w:sectPr>
      </w:pPr>
    </w:p>
    <w:p w14:paraId="021E8917" w14:textId="77777777" w:rsidR="001825E2" w:rsidRDefault="000839A5" w:rsidP="00CB00A7">
      <w:pPr>
        <w:pStyle w:val="ListParagraph"/>
        <w:numPr>
          <w:ilvl w:val="0"/>
          <w:numId w:val="8"/>
        </w:numPr>
        <w:tabs>
          <w:tab w:val="left" w:pos="639"/>
        </w:tabs>
        <w:spacing w:before="88"/>
        <w:ind w:left="639" w:hanging="419"/>
        <w:jc w:val="left"/>
        <w:rPr>
          <w:sz w:val="24"/>
        </w:rPr>
      </w:pPr>
      <w:bookmarkStart w:id="28" w:name="Major_Adverse_Cardiovascular_Events_(inc"/>
      <w:bookmarkStart w:id="29" w:name="Malignancy_and_Lymphoproliferative_Disor"/>
      <w:bookmarkEnd w:id="28"/>
      <w:bookmarkEnd w:id="29"/>
      <w:r>
        <w:rPr>
          <w:sz w:val="24"/>
        </w:rPr>
        <w:lastRenderedPageBreak/>
        <w:t>Patients</w:t>
      </w:r>
      <w:r>
        <w:rPr>
          <w:spacing w:val="-2"/>
          <w:sz w:val="24"/>
        </w:rPr>
        <w:t xml:space="preserve"> </w:t>
      </w:r>
      <w:r>
        <w:rPr>
          <w:sz w:val="24"/>
        </w:rPr>
        <w:t>treated</w:t>
      </w:r>
      <w:r>
        <w:rPr>
          <w:spacing w:val="3"/>
          <w:sz w:val="24"/>
        </w:rPr>
        <w:t xml:space="preserve"> </w:t>
      </w:r>
      <w:r>
        <w:rPr>
          <w:sz w:val="24"/>
        </w:rPr>
        <w:t>with</w:t>
      </w:r>
      <w:r>
        <w:rPr>
          <w:spacing w:val="-13"/>
          <w:sz w:val="24"/>
        </w:rPr>
        <w:t xml:space="preserve"> </w:t>
      </w:r>
      <w:r>
        <w:rPr>
          <w:sz w:val="24"/>
        </w:rPr>
        <w:t>10</w:t>
      </w:r>
      <w:r>
        <w:rPr>
          <w:spacing w:val="3"/>
          <w:sz w:val="24"/>
        </w:rPr>
        <w:t xml:space="preserve"> </w:t>
      </w:r>
      <w:r>
        <w:rPr>
          <w:sz w:val="24"/>
        </w:rPr>
        <w:t>mg</w:t>
      </w:r>
      <w:r>
        <w:rPr>
          <w:spacing w:val="3"/>
          <w:sz w:val="24"/>
        </w:rPr>
        <w:t xml:space="preserve"> </w:t>
      </w:r>
      <w:r>
        <w:rPr>
          <w:sz w:val="24"/>
        </w:rPr>
        <w:t>twice</w:t>
      </w:r>
      <w:r>
        <w:rPr>
          <w:spacing w:val="1"/>
          <w:sz w:val="24"/>
        </w:rPr>
        <w:t xml:space="preserve"> </w:t>
      </w:r>
      <w:r>
        <w:rPr>
          <w:spacing w:val="-2"/>
          <w:sz w:val="24"/>
        </w:rPr>
        <w:t>daily.</w:t>
      </w:r>
    </w:p>
    <w:p w14:paraId="687DF552" w14:textId="77777777" w:rsidR="001825E2" w:rsidRDefault="000839A5" w:rsidP="00CB00A7">
      <w:pPr>
        <w:pStyle w:val="BodyText"/>
        <w:spacing w:before="234"/>
        <w:ind w:left="217" w:right="228" w:firstLine="2"/>
        <w:jc w:val="left"/>
      </w:pPr>
      <w:r>
        <w:t>The impact of XELJANZ or XELJANZ XR on chronic viral hepatitis reactivation is unknown. Patients who screened positive for hepatitis</w:t>
      </w:r>
      <w:r>
        <w:rPr>
          <w:spacing w:val="-6"/>
        </w:rPr>
        <w:t xml:space="preserve"> </w:t>
      </w:r>
      <w:r>
        <w:t>B or</w:t>
      </w:r>
      <w:r>
        <w:rPr>
          <w:spacing w:val="-8"/>
        </w:rPr>
        <w:t xml:space="preserve"> </w:t>
      </w:r>
      <w:r>
        <w:t>C were excluded from clinical trials.</w:t>
      </w:r>
      <w:r>
        <w:rPr>
          <w:spacing w:val="-3"/>
        </w:rPr>
        <w:t xml:space="preserve"> </w:t>
      </w:r>
      <w:r>
        <w:t>Screening</w:t>
      </w:r>
      <w:r>
        <w:rPr>
          <w:spacing w:val="-3"/>
        </w:rPr>
        <w:t xml:space="preserve"> </w:t>
      </w:r>
      <w:r>
        <w:t>for</w:t>
      </w:r>
      <w:r>
        <w:rPr>
          <w:spacing w:val="-9"/>
        </w:rPr>
        <w:t xml:space="preserve"> </w:t>
      </w:r>
      <w:r>
        <w:t>viral hepatitis</w:t>
      </w:r>
      <w:r>
        <w:rPr>
          <w:spacing w:val="-7"/>
        </w:rPr>
        <w:t xml:space="preserve"> </w:t>
      </w:r>
      <w:r>
        <w:t>should be</w:t>
      </w:r>
      <w:r>
        <w:rPr>
          <w:spacing w:val="-5"/>
        </w:rPr>
        <w:t xml:space="preserve"> </w:t>
      </w:r>
      <w:r>
        <w:t>performed in</w:t>
      </w:r>
      <w:r>
        <w:rPr>
          <w:spacing w:val="-3"/>
        </w:rPr>
        <w:t xml:space="preserve"> </w:t>
      </w:r>
      <w:r>
        <w:t>accordance</w:t>
      </w:r>
      <w:r>
        <w:rPr>
          <w:spacing w:val="-5"/>
        </w:rPr>
        <w:t xml:space="preserve"> </w:t>
      </w:r>
      <w:r>
        <w:t>with</w:t>
      </w:r>
      <w:r>
        <w:rPr>
          <w:spacing w:val="-3"/>
        </w:rPr>
        <w:t xml:space="preserve"> </w:t>
      </w:r>
      <w:r>
        <w:t>clinical</w:t>
      </w:r>
      <w:r>
        <w:rPr>
          <w:spacing w:val="-10"/>
        </w:rPr>
        <w:t xml:space="preserve"> </w:t>
      </w:r>
      <w:r>
        <w:t>guidelines before starting therapy with XELJANZ or XELJANZ XR.</w:t>
      </w:r>
    </w:p>
    <w:p w14:paraId="43392CF3" w14:textId="77777777" w:rsidR="001825E2" w:rsidRDefault="000839A5" w:rsidP="00CB00A7">
      <w:pPr>
        <w:pStyle w:val="Heading4"/>
        <w:spacing w:before="231"/>
        <w:ind w:left="216"/>
        <w:jc w:val="left"/>
      </w:pPr>
      <w:r>
        <w:t>Major</w:t>
      </w:r>
      <w:r>
        <w:rPr>
          <w:spacing w:val="-8"/>
        </w:rPr>
        <w:t xml:space="preserve"> </w:t>
      </w:r>
      <w:r>
        <w:t>Adverse</w:t>
      </w:r>
      <w:r>
        <w:rPr>
          <w:spacing w:val="-15"/>
        </w:rPr>
        <w:t xml:space="preserve"> </w:t>
      </w:r>
      <w:r>
        <w:t>Cardiovascular</w:t>
      </w:r>
      <w:r>
        <w:rPr>
          <w:spacing w:val="8"/>
        </w:rPr>
        <w:t xml:space="preserve"> </w:t>
      </w:r>
      <w:r>
        <w:t>Events</w:t>
      </w:r>
      <w:r>
        <w:rPr>
          <w:spacing w:val="-15"/>
        </w:rPr>
        <w:t xml:space="preserve"> </w:t>
      </w:r>
      <w:r>
        <w:t>(including</w:t>
      </w:r>
      <w:r>
        <w:rPr>
          <w:spacing w:val="10"/>
        </w:rPr>
        <w:t xml:space="preserve"> </w:t>
      </w:r>
      <w:r>
        <w:t>Myocardial</w:t>
      </w:r>
      <w:r>
        <w:rPr>
          <w:spacing w:val="-6"/>
        </w:rPr>
        <w:t xml:space="preserve"> </w:t>
      </w:r>
      <w:r>
        <w:rPr>
          <w:spacing w:val="-2"/>
        </w:rPr>
        <w:t>Infarction)</w:t>
      </w:r>
    </w:p>
    <w:p w14:paraId="037E2ED0" w14:textId="77777777" w:rsidR="001825E2" w:rsidRDefault="000839A5" w:rsidP="00CB00A7">
      <w:pPr>
        <w:pStyle w:val="BodyText"/>
        <w:spacing w:before="129"/>
        <w:ind w:left="214" w:right="204" w:firstLine="2"/>
        <w:jc w:val="left"/>
      </w:pPr>
      <w:r>
        <w:t xml:space="preserve">In one </w:t>
      </w:r>
      <w:proofErr w:type="gramStart"/>
      <w:r>
        <w:t xml:space="preserve">large </w:t>
      </w:r>
      <w:proofErr w:type="spellStart"/>
      <w:r>
        <w:t>randomised</w:t>
      </w:r>
      <w:proofErr w:type="spellEnd"/>
      <w:proofErr w:type="gramEnd"/>
      <w:r>
        <w:t xml:space="preserve"> PASS in RA patients who were 50 years or older with at least one additional cardiovascular risk factor, patients were treated with tofacitinib 5 mg twice daily, tofacitinib 10 mg twice daily or a TNF inhibitor. Major adverse cardiovascular events (MACE), including events of myocardial infarction, were observed in all three treatment groups</w:t>
      </w:r>
      <w:r>
        <w:rPr>
          <w:spacing w:val="-3"/>
        </w:rPr>
        <w:t xml:space="preserve"> </w:t>
      </w:r>
      <w:r>
        <w:t>in this</w:t>
      </w:r>
      <w:r>
        <w:rPr>
          <w:spacing w:val="-3"/>
        </w:rPr>
        <w:t xml:space="preserve"> </w:t>
      </w:r>
      <w:r>
        <w:t>study. An increase</w:t>
      </w:r>
      <w:r>
        <w:rPr>
          <w:spacing w:val="-1"/>
        </w:rPr>
        <w:t xml:space="preserve"> </w:t>
      </w:r>
      <w:r>
        <w:t>in non-fatal</w:t>
      </w:r>
      <w:r>
        <w:rPr>
          <w:spacing w:val="-6"/>
        </w:rPr>
        <w:t xml:space="preserve"> </w:t>
      </w:r>
      <w:r>
        <w:t>myocardial infarctions</w:t>
      </w:r>
      <w:r>
        <w:rPr>
          <w:spacing w:val="-3"/>
        </w:rPr>
        <w:t xml:space="preserve"> </w:t>
      </w:r>
      <w:r>
        <w:t>was</w:t>
      </w:r>
      <w:r>
        <w:rPr>
          <w:spacing w:val="-3"/>
        </w:rPr>
        <w:t xml:space="preserve"> </w:t>
      </w:r>
      <w:r>
        <w:t>observed in patients treated with tofacitinib compared to TNF inhibitor (see Section</w:t>
      </w:r>
      <w:r>
        <w:rPr>
          <w:spacing w:val="-2"/>
        </w:rPr>
        <w:t xml:space="preserve"> </w:t>
      </w:r>
      <w:r>
        <w:t>4</w:t>
      </w:r>
      <w:r>
        <w:t>.8 Adverse Effects (Undesirable Effects)). MACE, including events of myocardial infarction, were more</w:t>
      </w:r>
      <w:r>
        <w:rPr>
          <w:spacing w:val="40"/>
        </w:rPr>
        <w:t xml:space="preserve"> </w:t>
      </w:r>
      <w:r>
        <w:t>common</w:t>
      </w:r>
      <w:r>
        <w:rPr>
          <w:spacing w:val="27"/>
        </w:rPr>
        <w:t xml:space="preserve"> </w:t>
      </w:r>
      <w:r>
        <w:t>in older patients and</w:t>
      </w:r>
      <w:r>
        <w:rPr>
          <w:spacing w:val="27"/>
        </w:rPr>
        <w:t xml:space="preserve"> </w:t>
      </w:r>
      <w:r>
        <w:t>in patients who were current or past smokers.</w:t>
      </w:r>
      <w:r>
        <w:rPr>
          <w:spacing w:val="26"/>
        </w:rPr>
        <w:t xml:space="preserve"> </w:t>
      </w:r>
      <w:r>
        <w:t>Caution should be used</w:t>
      </w:r>
      <w:r>
        <w:rPr>
          <w:spacing w:val="40"/>
        </w:rPr>
        <w:t xml:space="preserve"> </w:t>
      </w:r>
      <w:r>
        <w:t>in treating elderly patients, patients who are</w:t>
      </w:r>
      <w:r>
        <w:rPr>
          <w:spacing w:val="40"/>
        </w:rPr>
        <w:t xml:space="preserve"> </w:t>
      </w:r>
      <w:r>
        <w:t>current or past smokers, and</w:t>
      </w:r>
      <w:r>
        <w:rPr>
          <w:spacing w:val="40"/>
        </w:rPr>
        <w:t xml:space="preserve"> </w:t>
      </w:r>
      <w:r>
        <w:t>patients with other cardiovascular</w:t>
      </w:r>
      <w:r>
        <w:rPr>
          <w:spacing w:val="40"/>
        </w:rPr>
        <w:t xml:space="preserve"> </w:t>
      </w:r>
      <w:r>
        <w:t>risk factors.</w:t>
      </w:r>
    </w:p>
    <w:p w14:paraId="1AD68E72" w14:textId="77777777" w:rsidR="001825E2" w:rsidRDefault="000839A5" w:rsidP="00CB00A7">
      <w:pPr>
        <w:pStyle w:val="Heading4"/>
        <w:spacing w:before="245" w:line="235" w:lineRule="auto"/>
        <w:ind w:left="213" w:right="236"/>
        <w:jc w:val="left"/>
      </w:pPr>
      <w:r>
        <w:t>Malignancy and Lymphoproliferative Disorder (excluding Nonmelanoma Skin Cancer</w:t>
      </w:r>
      <w:r>
        <w:t xml:space="preserve"> </w:t>
      </w:r>
      <w:r>
        <w:rPr>
          <w:spacing w:val="-2"/>
        </w:rPr>
        <w:t>[NMSC])</w:t>
      </w:r>
    </w:p>
    <w:p w14:paraId="34237DB0" w14:textId="77777777" w:rsidR="001825E2" w:rsidRDefault="000839A5" w:rsidP="00CB00A7">
      <w:pPr>
        <w:pStyle w:val="BodyText"/>
        <w:spacing w:before="115" w:line="242" w:lineRule="auto"/>
        <w:ind w:left="211" w:right="241" w:firstLine="1"/>
        <w:jc w:val="left"/>
      </w:pPr>
      <w:r>
        <w:t>Consider the risks and benefits of XELJANZ or XELJANZ XR treatment prior to initiating therapy in patients with current or a history of malignancy other than a successfully treated NMSC or when</w:t>
      </w:r>
      <w:r>
        <w:rPr>
          <w:spacing w:val="-5"/>
        </w:rPr>
        <w:t xml:space="preserve"> </w:t>
      </w:r>
      <w:r>
        <w:t>considering</w:t>
      </w:r>
      <w:r>
        <w:rPr>
          <w:spacing w:val="32"/>
        </w:rPr>
        <w:t xml:space="preserve"> </w:t>
      </w:r>
      <w:r>
        <w:t>continuing</w:t>
      </w:r>
      <w:r>
        <w:rPr>
          <w:spacing w:val="32"/>
        </w:rPr>
        <w:t xml:space="preserve"> </w:t>
      </w:r>
      <w:r>
        <w:t>XELJANZ</w:t>
      </w:r>
      <w:r>
        <w:rPr>
          <w:spacing w:val="-1"/>
        </w:rPr>
        <w:t xml:space="preserve"> </w:t>
      </w:r>
      <w:r>
        <w:t>in</w:t>
      </w:r>
      <w:r>
        <w:rPr>
          <w:spacing w:val="-5"/>
        </w:rPr>
        <w:t xml:space="preserve"> </w:t>
      </w:r>
      <w:r>
        <w:t>patients who develop</w:t>
      </w:r>
      <w:r>
        <w:rPr>
          <w:spacing w:val="-5"/>
        </w:rPr>
        <w:t xml:space="preserve"> </w:t>
      </w:r>
      <w:r>
        <w:t>a malignancy.</w:t>
      </w:r>
    </w:p>
    <w:p w14:paraId="50998D59" w14:textId="77777777" w:rsidR="001825E2" w:rsidRDefault="000839A5" w:rsidP="00CB00A7">
      <w:pPr>
        <w:pStyle w:val="BodyText"/>
        <w:spacing w:before="248" w:line="235" w:lineRule="auto"/>
        <w:ind w:left="210" w:right="239" w:firstLine="1"/>
        <w:jc w:val="left"/>
      </w:pPr>
      <w:r>
        <w:t xml:space="preserve">The possibility exists for XELJANZ or XELJANZ XR to affect host defenses against </w:t>
      </w:r>
      <w:r>
        <w:rPr>
          <w:spacing w:val="-2"/>
        </w:rPr>
        <w:t>malignancies.</w:t>
      </w:r>
    </w:p>
    <w:p w14:paraId="2DD062F4" w14:textId="77777777" w:rsidR="001825E2" w:rsidRDefault="000839A5" w:rsidP="00CB00A7">
      <w:pPr>
        <w:pStyle w:val="BodyText"/>
        <w:spacing w:before="235" w:line="242" w:lineRule="auto"/>
        <w:ind w:left="207" w:right="210" w:firstLine="2"/>
        <w:jc w:val="left"/>
      </w:pPr>
      <w:r>
        <w:t xml:space="preserve">Lymphomas have been observed in patients treated with XELJANZ and in patients treated with XELJANZ in a </w:t>
      </w:r>
      <w:proofErr w:type="gramStart"/>
      <w:r>
        <w:t xml:space="preserve">large </w:t>
      </w:r>
      <w:proofErr w:type="spellStart"/>
      <w:r>
        <w:t>randomised</w:t>
      </w:r>
      <w:proofErr w:type="spellEnd"/>
      <w:proofErr w:type="gramEnd"/>
      <w:r>
        <w:t xml:space="preserve"> PASS in RA patients</w:t>
      </w:r>
      <w:r>
        <w:rPr>
          <w:spacing w:val="-2"/>
        </w:rPr>
        <w:t xml:space="preserve"> </w:t>
      </w:r>
      <w:r>
        <w:t>who were 50 years</w:t>
      </w:r>
      <w:r>
        <w:rPr>
          <w:spacing w:val="-2"/>
        </w:rPr>
        <w:t xml:space="preserve"> </w:t>
      </w:r>
      <w:r>
        <w:t>or</w:t>
      </w:r>
      <w:r>
        <w:rPr>
          <w:spacing w:val="-3"/>
        </w:rPr>
        <w:t xml:space="preserve"> </w:t>
      </w:r>
      <w:r>
        <w:t>older</w:t>
      </w:r>
      <w:r>
        <w:rPr>
          <w:spacing w:val="-3"/>
        </w:rPr>
        <w:t xml:space="preserve"> </w:t>
      </w:r>
      <w:r>
        <w:t>with at least one additional cardiovascular risk factor (see Section 4.8 Adverse Effects</w:t>
      </w:r>
      <w:r>
        <w:rPr>
          <w:spacing w:val="40"/>
        </w:rPr>
        <w:t xml:space="preserve"> </w:t>
      </w:r>
      <w:r>
        <w:t>(Undesirable Effects)). Patients</w:t>
      </w:r>
      <w:r>
        <w:rPr>
          <w:spacing w:val="-6"/>
        </w:rPr>
        <w:t xml:space="preserve"> </w:t>
      </w:r>
      <w:r>
        <w:t>with RA, particularly those with highly active disease, are at</w:t>
      </w:r>
      <w:r>
        <w:rPr>
          <w:spacing w:val="80"/>
        </w:rPr>
        <w:t xml:space="preserve"> </w:t>
      </w:r>
      <w:r>
        <w:t>a higher risk (up to several-fold) than the general population for the development of lymphoma. The role of XELJANZ, a Janus kinase (JAK) inhibitor, in the development of lymphoma is uncertain.</w:t>
      </w:r>
    </w:p>
    <w:p w14:paraId="2E70F964" w14:textId="77777777" w:rsidR="001825E2" w:rsidRDefault="000839A5" w:rsidP="00CB00A7">
      <w:pPr>
        <w:pStyle w:val="BodyText"/>
        <w:spacing w:before="224"/>
        <w:ind w:left="205" w:right="216" w:firstLine="2"/>
        <w:jc w:val="left"/>
      </w:pPr>
      <w:r>
        <w:t>Lung</w:t>
      </w:r>
      <w:r>
        <w:rPr>
          <w:spacing w:val="-1"/>
        </w:rPr>
        <w:t xml:space="preserve"> </w:t>
      </w:r>
      <w:r>
        <w:t>cancers</w:t>
      </w:r>
      <w:r>
        <w:rPr>
          <w:spacing w:val="-5"/>
        </w:rPr>
        <w:t xml:space="preserve"> </w:t>
      </w:r>
      <w:r>
        <w:t>have been</w:t>
      </w:r>
      <w:r>
        <w:rPr>
          <w:spacing w:val="-1"/>
        </w:rPr>
        <w:t xml:space="preserve"> </w:t>
      </w:r>
      <w:r>
        <w:t>observed in</w:t>
      </w:r>
      <w:r>
        <w:rPr>
          <w:spacing w:val="-1"/>
        </w:rPr>
        <w:t xml:space="preserve"> </w:t>
      </w:r>
      <w:r>
        <w:t>patients</w:t>
      </w:r>
      <w:r>
        <w:rPr>
          <w:spacing w:val="-4"/>
        </w:rPr>
        <w:t xml:space="preserve"> </w:t>
      </w:r>
      <w:r>
        <w:t>treated with</w:t>
      </w:r>
      <w:r>
        <w:rPr>
          <w:spacing w:val="-1"/>
        </w:rPr>
        <w:t xml:space="preserve"> </w:t>
      </w:r>
      <w:r>
        <w:t>XELJANZ.</w:t>
      </w:r>
      <w:r>
        <w:rPr>
          <w:spacing w:val="-1"/>
        </w:rPr>
        <w:t xml:space="preserve"> </w:t>
      </w:r>
      <w:r>
        <w:t>Lung</w:t>
      </w:r>
      <w:r>
        <w:rPr>
          <w:spacing w:val="-1"/>
        </w:rPr>
        <w:t xml:space="preserve"> </w:t>
      </w:r>
      <w:r>
        <w:t>cancers</w:t>
      </w:r>
      <w:r>
        <w:rPr>
          <w:spacing w:val="-5"/>
        </w:rPr>
        <w:t xml:space="preserve"> </w:t>
      </w:r>
      <w:r>
        <w:t>were</w:t>
      </w:r>
      <w:r>
        <w:rPr>
          <w:spacing w:val="-3"/>
        </w:rPr>
        <w:t xml:space="preserve"> </w:t>
      </w:r>
      <w:r>
        <w:t>also observed in patients</w:t>
      </w:r>
      <w:r>
        <w:rPr>
          <w:spacing w:val="-8"/>
        </w:rPr>
        <w:t xml:space="preserve"> </w:t>
      </w:r>
      <w:r>
        <w:t>treated with</w:t>
      </w:r>
      <w:r>
        <w:rPr>
          <w:spacing w:val="-4"/>
        </w:rPr>
        <w:t xml:space="preserve"> </w:t>
      </w:r>
      <w:r>
        <w:t>XELJANZ</w:t>
      </w:r>
      <w:r>
        <w:rPr>
          <w:spacing w:val="-1"/>
        </w:rPr>
        <w:t xml:space="preserve"> </w:t>
      </w:r>
      <w:r>
        <w:t xml:space="preserve">in a </w:t>
      </w:r>
      <w:proofErr w:type="gramStart"/>
      <w:r>
        <w:t xml:space="preserve">large </w:t>
      </w:r>
      <w:proofErr w:type="spellStart"/>
      <w:r>
        <w:t>randomised</w:t>
      </w:r>
      <w:proofErr w:type="spellEnd"/>
      <w:proofErr w:type="gramEnd"/>
      <w:r>
        <w:t xml:space="preserve"> PASS</w:t>
      </w:r>
      <w:r>
        <w:rPr>
          <w:spacing w:val="-3"/>
        </w:rPr>
        <w:t xml:space="preserve"> </w:t>
      </w:r>
      <w:r>
        <w:t>in RA patients</w:t>
      </w:r>
      <w:r>
        <w:rPr>
          <w:spacing w:val="-8"/>
        </w:rPr>
        <w:t xml:space="preserve"> </w:t>
      </w:r>
      <w:r>
        <w:t>who were 50 years</w:t>
      </w:r>
      <w:r>
        <w:rPr>
          <w:spacing w:val="-1"/>
        </w:rPr>
        <w:t xml:space="preserve"> </w:t>
      </w:r>
      <w:r>
        <w:t>or</w:t>
      </w:r>
      <w:r>
        <w:rPr>
          <w:spacing w:val="-2"/>
        </w:rPr>
        <w:t xml:space="preserve"> </w:t>
      </w:r>
      <w:r>
        <w:t>older</w:t>
      </w:r>
      <w:r>
        <w:rPr>
          <w:spacing w:val="-2"/>
        </w:rPr>
        <w:t xml:space="preserve"> </w:t>
      </w:r>
      <w:r>
        <w:t>with at least one additional</w:t>
      </w:r>
      <w:r>
        <w:rPr>
          <w:spacing w:val="-4"/>
        </w:rPr>
        <w:t xml:space="preserve"> </w:t>
      </w:r>
      <w:r>
        <w:t>cardiovascular</w:t>
      </w:r>
      <w:r>
        <w:rPr>
          <w:spacing w:val="-2"/>
        </w:rPr>
        <w:t xml:space="preserve"> </w:t>
      </w:r>
      <w:r>
        <w:t>risk factor; an increase was observed in patients</w:t>
      </w:r>
      <w:r>
        <w:rPr>
          <w:spacing w:val="-10"/>
        </w:rPr>
        <w:t xml:space="preserve"> </w:t>
      </w:r>
      <w:r>
        <w:t>treated with XELJANZ 10</w:t>
      </w:r>
      <w:r>
        <w:rPr>
          <w:spacing w:val="-6"/>
        </w:rPr>
        <w:t xml:space="preserve"> </w:t>
      </w:r>
      <w:r>
        <w:t>mg twice daily compared with TNF inhibitor (see Section 4.8 Adverse Effects (Undesirable Effects)). Of the 30 lung cancers reported</w:t>
      </w:r>
      <w:r>
        <w:rPr>
          <w:spacing w:val="37"/>
        </w:rPr>
        <w:t xml:space="preserve"> </w:t>
      </w:r>
      <w:r>
        <w:t>in the study in patients taking tofacitinib, all but 2 were in patients who were current or past smokers. Patients with rheumatoid arthritis may be at higher risk than the general population for</w:t>
      </w:r>
      <w:r>
        <w:rPr>
          <w:spacing w:val="-13"/>
        </w:rPr>
        <w:t xml:space="preserve"> </w:t>
      </w:r>
      <w:r>
        <w:t>the</w:t>
      </w:r>
      <w:r>
        <w:rPr>
          <w:spacing w:val="-15"/>
        </w:rPr>
        <w:t xml:space="preserve"> </w:t>
      </w:r>
      <w:r>
        <w:t>development of lung</w:t>
      </w:r>
      <w:r>
        <w:rPr>
          <w:spacing w:val="-2"/>
        </w:rPr>
        <w:t xml:space="preserve"> </w:t>
      </w:r>
      <w:r>
        <w:t>cancer. The role</w:t>
      </w:r>
      <w:r>
        <w:rPr>
          <w:spacing w:val="-4"/>
        </w:rPr>
        <w:t xml:space="preserve"> </w:t>
      </w:r>
      <w:r>
        <w:t>of XELJANZ in</w:t>
      </w:r>
      <w:r>
        <w:rPr>
          <w:spacing w:val="-2"/>
        </w:rPr>
        <w:t xml:space="preserve"> </w:t>
      </w:r>
      <w:r>
        <w:t>the</w:t>
      </w:r>
      <w:r>
        <w:rPr>
          <w:spacing w:val="-15"/>
        </w:rPr>
        <w:t xml:space="preserve"> </w:t>
      </w:r>
      <w:r>
        <w:t>development of lung</w:t>
      </w:r>
      <w:r>
        <w:rPr>
          <w:spacing w:val="-2"/>
        </w:rPr>
        <w:t xml:space="preserve"> </w:t>
      </w:r>
      <w:r>
        <w:t>cancer is uncertain.</w:t>
      </w:r>
    </w:p>
    <w:p w14:paraId="3F1C477F" w14:textId="77777777" w:rsidR="001825E2" w:rsidRDefault="000839A5" w:rsidP="00CB00A7">
      <w:pPr>
        <w:pStyle w:val="BodyText"/>
        <w:spacing w:before="250" w:line="235" w:lineRule="auto"/>
        <w:ind w:left="219" w:right="218"/>
        <w:jc w:val="left"/>
      </w:pPr>
      <w:r>
        <w:t>Other malignancies were observed in clinical studies and the post-marketing setting, including,</w:t>
      </w:r>
      <w:r>
        <w:rPr>
          <w:spacing w:val="-4"/>
        </w:rPr>
        <w:t xml:space="preserve"> </w:t>
      </w:r>
      <w:r>
        <w:t>but not</w:t>
      </w:r>
      <w:r>
        <w:rPr>
          <w:spacing w:val="-9"/>
        </w:rPr>
        <w:t xml:space="preserve"> </w:t>
      </w:r>
      <w:r>
        <w:t>limited</w:t>
      </w:r>
      <w:r>
        <w:rPr>
          <w:spacing w:val="25"/>
        </w:rPr>
        <w:t xml:space="preserve"> </w:t>
      </w:r>
      <w:r>
        <w:t>to,</w:t>
      </w:r>
      <w:r>
        <w:rPr>
          <w:spacing w:val="-16"/>
        </w:rPr>
        <w:t xml:space="preserve"> </w:t>
      </w:r>
      <w:r>
        <w:t>breast cancer, melanoma,</w:t>
      </w:r>
      <w:r>
        <w:rPr>
          <w:spacing w:val="26"/>
        </w:rPr>
        <w:t xml:space="preserve"> </w:t>
      </w:r>
      <w:r>
        <w:t>prostate</w:t>
      </w:r>
      <w:r>
        <w:rPr>
          <w:spacing w:val="-5"/>
        </w:rPr>
        <w:t xml:space="preserve"> </w:t>
      </w:r>
      <w:proofErr w:type="gramStart"/>
      <w:r>
        <w:t>cancer</w:t>
      </w:r>
      <w:proofErr w:type="gramEnd"/>
      <w:r>
        <w:rPr>
          <w:spacing w:val="-8"/>
        </w:rPr>
        <w:t xml:space="preserve"> </w:t>
      </w:r>
      <w:r>
        <w:t>and</w:t>
      </w:r>
      <w:r>
        <w:rPr>
          <w:spacing w:val="-3"/>
        </w:rPr>
        <w:t xml:space="preserve"> </w:t>
      </w:r>
      <w:r>
        <w:t>pancreatic cancer.</w:t>
      </w:r>
    </w:p>
    <w:p w14:paraId="3AEFA8A1" w14:textId="77777777" w:rsidR="001825E2" w:rsidRDefault="001825E2" w:rsidP="00CB00A7">
      <w:pPr>
        <w:spacing w:line="235" w:lineRule="auto"/>
        <w:sectPr w:rsidR="001825E2">
          <w:pgSz w:w="11910" w:h="16850"/>
          <w:pgMar w:top="1360" w:right="1220" w:bottom="980" w:left="1220" w:header="0" w:footer="785" w:gutter="0"/>
          <w:cols w:space="720"/>
        </w:sectPr>
      </w:pPr>
    </w:p>
    <w:p w14:paraId="17250BFF" w14:textId="77777777" w:rsidR="001825E2" w:rsidRDefault="000839A5" w:rsidP="00CB00A7">
      <w:pPr>
        <w:pStyle w:val="BodyText"/>
        <w:spacing w:before="80" w:line="235" w:lineRule="auto"/>
        <w:ind w:left="219" w:right="213"/>
        <w:jc w:val="left"/>
      </w:pPr>
      <w:r>
        <w:lastRenderedPageBreak/>
        <w:t>The role of treatment with XELJANZ or XELJANZ XR on the development and course of malignancies is not known.</w:t>
      </w:r>
    </w:p>
    <w:p w14:paraId="0349F182" w14:textId="77777777" w:rsidR="001825E2" w:rsidRDefault="000839A5" w:rsidP="00CB00A7">
      <w:pPr>
        <w:pStyle w:val="BodyText"/>
        <w:spacing w:before="254" w:line="235" w:lineRule="auto"/>
        <w:ind w:left="219" w:right="222"/>
        <w:jc w:val="left"/>
      </w:pPr>
      <w:r>
        <w:t>Caution should be used in</w:t>
      </w:r>
      <w:r>
        <w:rPr>
          <w:spacing w:val="-6"/>
        </w:rPr>
        <w:t xml:space="preserve"> </w:t>
      </w:r>
      <w:r>
        <w:t>treating elderly patients, patients</w:t>
      </w:r>
      <w:r>
        <w:rPr>
          <w:spacing w:val="-10"/>
        </w:rPr>
        <w:t xml:space="preserve"> </w:t>
      </w:r>
      <w:r>
        <w:t>who are current or past smokers, and patients with other malignancy</w:t>
      </w:r>
      <w:r>
        <w:rPr>
          <w:spacing w:val="40"/>
        </w:rPr>
        <w:t xml:space="preserve"> </w:t>
      </w:r>
      <w:r>
        <w:t>risk factors.</w:t>
      </w:r>
    </w:p>
    <w:p w14:paraId="46C2C0B9" w14:textId="77777777" w:rsidR="001825E2" w:rsidRDefault="000839A5" w:rsidP="00CB00A7">
      <w:pPr>
        <w:pStyle w:val="BodyText"/>
        <w:spacing w:before="250"/>
        <w:ind w:left="216" w:right="229" w:firstLine="2"/>
        <w:jc w:val="left"/>
      </w:pPr>
      <w:r>
        <w:t>Epstein</w:t>
      </w:r>
      <w:r>
        <w:rPr>
          <w:spacing w:val="-5"/>
        </w:rPr>
        <w:t xml:space="preserve"> </w:t>
      </w:r>
      <w:r>
        <w:t>Barr</w:t>
      </w:r>
      <w:r>
        <w:rPr>
          <w:spacing w:val="-10"/>
        </w:rPr>
        <w:t xml:space="preserve"> </w:t>
      </w:r>
      <w:r>
        <w:t>Virus-associated post-transplant lymphoproliferative disorder</w:t>
      </w:r>
      <w:r>
        <w:rPr>
          <w:spacing w:val="-10"/>
        </w:rPr>
        <w:t xml:space="preserve"> </w:t>
      </w:r>
      <w:r>
        <w:t>has</w:t>
      </w:r>
      <w:r>
        <w:rPr>
          <w:spacing w:val="-9"/>
        </w:rPr>
        <w:t xml:space="preserve"> </w:t>
      </w:r>
      <w:r>
        <w:t>been</w:t>
      </w:r>
      <w:r>
        <w:rPr>
          <w:spacing w:val="-5"/>
        </w:rPr>
        <w:t xml:space="preserve"> </w:t>
      </w:r>
      <w:r>
        <w:t>observed at an increased rate in renal transplant patients treated with XELJANZ and concomitant immunosuppressive medications (see Section</w:t>
      </w:r>
      <w:r>
        <w:rPr>
          <w:spacing w:val="-2"/>
        </w:rPr>
        <w:t xml:space="preserve"> </w:t>
      </w:r>
      <w:r>
        <w:t>4.4</w:t>
      </w:r>
      <w:r>
        <w:rPr>
          <w:spacing w:val="-2"/>
        </w:rPr>
        <w:t xml:space="preserve"> </w:t>
      </w:r>
      <w:r>
        <w:t>Special</w:t>
      </w:r>
      <w:r>
        <w:rPr>
          <w:spacing w:val="-9"/>
        </w:rPr>
        <w:t xml:space="preserve"> </w:t>
      </w:r>
      <w:r>
        <w:t>Warnings and Precautions</w:t>
      </w:r>
      <w:r>
        <w:rPr>
          <w:spacing w:val="-6"/>
        </w:rPr>
        <w:t xml:space="preserve"> </w:t>
      </w:r>
      <w:proofErr w:type="gramStart"/>
      <w:r>
        <w:t>For</w:t>
      </w:r>
      <w:proofErr w:type="gramEnd"/>
      <w:r>
        <w:rPr>
          <w:spacing w:val="-7"/>
        </w:rPr>
        <w:t xml:space="preserve"> </w:t>
      </w:r>
      <w:r>
        <w:t>Use, Renal Transplant).</w:t>
      </w:r>
    </w:p>
    <w:p w14:paraId="38685167" w14:textId="77777777" w:rsidR="001825E2" w:rsidRDefault="000839A5" w:rsidP="00CB00A7">
      <w:pPr>
        <w:spacing w:before="231"/>
        <w:ind w:left="220"/>
        <w:rPr>
          <w:i/>
          <w:sz w:val="24"/>
        </w:rPr>
      </w:pPr>
      <w:r>
        <w:rPr>
          <w:i/>
          <w:sz w:val="24"/>
          <w:u w:val="single"/>
        </w:rPr>
        <w:t>Rheumatoid</w:t>
      </w:r>
      <w:r>
        <w:rPr>
          <w:i/>
          <w:spacing w:val="-8"/>
          <w:sz w:val="24"/>
          <w:u w:val="single"/>
        </w:rPr>
        <w:t xml:space="preserve"> </w:t>
      </w:r>
      <w:r>
        <w:rPr>
          <w:i/>
          <w:spacing w:val="-2"/>
          <w:sz w:val="24"/>
          <w:u w:val="single"/>
        </w:rPr>
        <w:t>Arthritis</w:t>
      </w:r>
    </w:p>
    <w:p w14:paraId="15079EE2" w14:textId="77777777" w:rsidR="001825E2" w:rsidRDefault="000839A5" w:rsidP="00CB00A7">
      <w:pPr>
        <w:pStyle w:val="BodyText"/>
        <w:spacing w:before="129"/>
        <w:ind w:left="217" w:right="201" w:firstLine="2"/>
        <w:jc w:val="left"/>
      </w:pPr>
      <w:r>
        <w:t>In</w:t>
      </w:r>
      <w:r>
        <w:rPr>
          <w:spacing w:val="-4"/>
        </w:rPr>
        <w:t xml:space="preserve"> </w:t>
      </w:r>
      <w:r>
        <w:t>the controlled phase 3 clinical studies in RA patients, 26</w:t>
      </w:r>
      <w:r>
        <w:rPr>
          <w:spacing w:val="-4"/>
        </w:rPr>
        <w:t xml:space="preserve"> </w:t>
      </w:r>
      <w:r>
        <w:t>malignancies (excluding NMSC) including 5 lymphomas, were diagnosed in 26 patients receiving XELJANZ/XELJANZ plus DMARD,</w:t>
      </w:r>
      <w:r>
        <w:rPr>
          <w:spacing w:val="-3"/>
        </w:rPr>
        <w:t xml:space="preserve"> </w:t>
      </w:r>
      <w:r>
        <w:t>compared to 0</w:t>
      </w:r>
      <w:r>
        <w:rPr>
          <w:spacing w:val="-3"/>
        </w:rPr>
        <w:t xml:space="preserve"> </w:t>
      </w:r>
      <w:r>
        <w:t>malignancies (excluding NMSC) in patients in the placebo/placebo plus</w:t>
      </w:r>
      <w:r>
        <w:rPr>
          <w:spacing w:val="-6"/>
        </w:rPr>
        <w:t xml:space="preserve"> </w:t>
      </w:r>
      <w:r>
        <w:t>DMARD group,</w:t>
      </w:r>
      <w:r>
        <w:rPr>
          <w:spacing w:val="-2"/>
        </w:rPr>
        <w:t xml:space="preserve"> </w:t>
      </w:r>
      <w:r>
        <w:t>2</w:t>
      </w:r>
      <w:r>
        <w:rPr>
          <w:spacing w:val="-2"/>
        </w:rPr>
        <w:t xml:space="preserve"> </w:t>
      </w:r>
      <w:r>
        <w:t>malignancies in</w:t>
      </w:r>
      <w:r>
        <w:rPr>
          <w:spacing w:val="-2"/>
        </w:rPr>
        <w:t xml:space="preserve"> </w:t>
      </w:r>
      <w:r>
        <w:t>2</w:t>
      </w:r>
      <w:r>
        <w:rPr>
          <w:spacing w:val="-2"/>
        </w:rPr>
        <w:t xml:space="preserve"> </w:t>
      </w:r>
      <w:r>
        <w:t>patients</w:t>
      </w:r>
      <w:r>
        <w:rPr>
          <w:spacing w:val="-6"/>
        </w:rPr>
        <w:t xml:space="preserve"> </w:t>
      </w:r>
      <w:r>
        <w:t>in</w:t>
      </w:r>
      <w:r>
        <w:rPr>
          <w:spacing w:val="-2"/>
        </w:rPr>
        <w:t xml:space="preserve"> </w:t>
      </w:r>
      <w:r>
        <w:t>the</w:t>
      </w:r>
      <w:r>
        <w:rPr>
          <w:spacing w:val="-4"/>
        </w:rPr>
        <w:t xml:space="preserve"> </w:t>
      </w:r>
      <w:r>
        <w:t>adalimumab</w:t>
      </w:r>
      <w:r>
        <w:rPr>
          <w:spacing w:val="-2"/>
        </w:rPr>
        <w:t xml:space="preserve"> </w:t>
      </w:r>
      <w:r>
        <w:t>group</w:t>
      </w:r>
      <w:r>
        <w:rPr>
          <w:spacing w:val="-2"/>
        </w:rPr>
        <w:t xml:space="preserve"> </w:t>
      </w:r>
      <w:r>
        <w:t>and 1</w:t>
      </w:r>
      <w:r>
        <w:rPr>
          <w:spacing w:val="-2"/>
        </w:rPr>
        <w:t xml:space="preserve"> </w:t>
      </w:r>
      <w:r>
        <w:t>in</w:t>
      </w:r>
      <w:r>
        <w:rPr>
          <w:spacing w:val="-2"/>
        </w:rPr>
        <w:t xml:space="preserve"> </w:t>
      </w:r>
      <w:r>
        <w:t>the</w:t>
      </w:r>
      <w:r>
        <w:rPr>
          <w:spacing w:val="-4"/>
        </w:rPr>
        <w:t xml:space="preserve"> </w:t>
      </w:r>
      <w:r>
        <w:t>MTX group.</w:t>
      </w:r>
      <w:r>
        <w:rPr>
          <w:spacing w:val="-4"/>
        </w:rPr>
        <w:t xml:space="preserve"> </w:t>
      </w:r>
      <w:r>
        <w:t>Three</w:t>
      </w:r>
      <w:r>
        <w:rPr>
          <w:spacing w:val="-6"/>
        </w:rPr>
        <w:t xml:space="preserve"> </w:t>
      </w:r>
      <w:r>
        <w:t>thousand eight hundred (3800)</w:t>
      </w:r>
      <w:r>
        <w:rPr>
          <w:spacing w:val="-9"/>
        </w:rPr>
        <w:t xml:space="preserve"> </w:t>
      </w:r>
      <w:r>
        <w:t>patients</w:t>
      </w:r>
      <w:r>
        <w:rPr>
          <w:spacing w:val="-8"/>
        </w:rPr>
        <w:t xml:space="preserve"> </w:t>
      </w:r>
      <w:r>
        <w:t>(3942</w:t>
      </w:r>
      <w:r>
        <w:rPr>
          <w:spacing w:val="-4"/>
        </w:rPr>
        <w:t xml:space="preserve"> </w:t>
      </w:r>
      <w:r>
        <w:t>patient-years</w:t>
      </w:r>
      <w:r>
        <w:rPr>
          <w:spacing w:val="-8"/>
        </w:rPr>
        <w:t xml:space="preserve"> </w:t>
      </w:r>
      <w:r>
        <w:t>of observation)</w:t>
      </w:r>
      <w:r>
        <w:rPr>
          <w:spacing w:val="-9"/>
        </w:rPr>
        <w:t xml:space="preserve"> </w:t>
      </w:r>
      <w:r>
        <w:t>were treated with XELJANZ for durations up to 2 years while 681 patients (203</w:t>
      </w:r>
      <w:r>
        <w:t xml:space="preserve"> patient-years of observation)</w:t>
      </w:r>
      <w:r>
        <w:rPr>
          <w:spacing w:val="40"/>
        </w:rPr>
        <w:t xml:space="preserve"> </w:t>
      </w:r>
      <w:r>
        <w:t>were</w:t>
      </w:r>
      <w:r>
        <w:rPr>
          <w:spacing w:val="40"/>
        </w:rPr>
        <w:t xml:space="preserve"> </w:t>
      </w:r>
      <w:r>
        <w:t>treated</w:t>
      </w:r>
      <w:r>
        <w:rPr>
          <w:spacing w:val="80"/>
        </w:rPr>
        <w:t xml:space="preserve"> </w:t>
      </w:r>
      <w:r>
        <w:t>with</w:t>
      </w:r>
      <w:r>
        <w:rPr>
          <w:spacing w:val="40"/>
        </w:rPr>
        <w:t xml:space="preserve"> </w:t>
      </w:r>
      <w:r>
        <w:t>placebo</w:t>
      </w:r>
      <w:r>
        <w:rPr>
          <w:spacing w:val="80"/>
        </w:rPr>
        <w:t xml:space="preserve"> </w:t>
      </w:r>
      <w:r>
        <w:t>for</w:t>
      </w:r>
      <w:r>
        <w:rPr>
          <w:spacing w:val="40"/>
        </w:rPr>
        <w:t xml:space="preserve"> </w:t>
      </w:r>
      <w:r>
        <w:t>a</w:t>
      </w:r>
      <w:r>
        <w:rPr>
          <w:spacing w:val="40"/>
        </w:rPr>
        <w:t xml:space="preserve"> </w:t>
      </w:r>
      <w:r>
        <w:t>maximum</w:t>
      </w:r>
      <w:r>
        <w:rPr>
          <w:spacing w:val="40"/>
        </w:rPr>
        <w:t xml:space="preserve"> </w:t>
      </w:r>
      <w:r>
        <w:t>of</w:t>
      </w:r>
      <w:r>
        <w:rPr>
          <w:spacing w:val="80"/>
        </w:rPr>
        <w:t xml:space="preserve"> </w:t>
      </w:r>
      <w:r>
        <w:t>6</w:t>
      </w:r>
      <w:r>
        <w:rPr>
          <w:spacing w:val="-3"/>
        </w:rPr>
        <w:t xml:space="preserve"> </w:t>
      </w:r>
      <w:r>
        <w:t>months</w:t>
      </w:r>
      <w:r>
        <w:rPr>
          <w:spacing w:val="40"/>
        </w:rPr>
        <w:t xml:space="preserve"> </w:t>
      </w:r>
      <w:r>
        <w:t>and</w:t>
      </w:r>
      <w:r>
        <w:rPr>
          <w:spacing w:val="80"/>
        </w:rPr>
        <w:t xml:space="preserve"> </w:t>
      </w:r>
      <w:r>
        <w:t>204</w:t>
      </w:r>
      <w:r>
        <w:rPr>
          <w:spacing w:val="-3"/>
        </w:rPr>
        <w:t xml:space="preserve"> </w:t>
      </w:r>
      <w:r>
        <w:t>patients (179</w:t>
      </w:r>
      <w:r>
        <w:rPr>
          <w:spacing w:val="-2"/>
        </w:rPr>
        <w:t xml:space="preserve"> </w:t>
      </w:r>
      <w:r>
        <w:t>patient-years of observation) were treated with adalimumab for 12</w:t>
      </w:r>
      <w:r>
        <w:rPr>
          <w:spacing w:val="-2"/>
        </w:rPr>
        <w:t xml:space="preserve"> </w:t>
      </w:r>
      <w:r>
        <w:t>months. The exposure-adjusted incidence rate for malignancies and lymphoma was 0.66 and 0.13</w:t>
      </w:r>
      <w:r>
        <w:rPr>
          <w:spacing w:val="-5"/>
        </w:rPr>
        <w:t xml:space="preserve"> </w:t>
      </w:r>
      <w:r>
        <w:t>events per 100 patient-years, respectively, in the</w:t>
      </w:r>
      <w:r>
        <w:rPr>
          <w:spacing w:val="-5"/>
        </w:rPr>
        <w:t xml:space="preserve"> </w:t>
      </w:r>
      <w:r>
        <w:t>XELJANZ groups.</w:t>
      </w:r>
    </w:p>
    <w:p w14:paraId="6066FBFF" w14:textId="77777777" w:rsidR="001825E2" w:rsidRDefault="000839A5" w:rsidP="00CB00A7">
      <w:pPr>
        <w:pStyle w:val="BodyText"/>
        <w:spacing w:before="245" w:line="235" w:lineRule="auto"/>
        <w:ind w:left="215" w:right="233"/>
        <w:jc w:val="left"/>
      </w:pPr>
      <w:r>
        <w:t>In the long-term safety population (4867 patients), in RA studies, the rates of malignancies (excluding NMSC) and lymphoma were 0.97 and 0.09</w:t>
      </w:r>
      <w:r>
        <w:rPr>
          <w:spacing w:val="-2"/>
        </w:rPr>
        <w:t xml:space="preserve"> </w:t>
      </w:r>
      <w:r>
        <w:t>events per 100</w:t>
      </w:r>
      <w:r>
        <w:rPr>
          <w:spacing w:val="-2"/>
        </w:rPr>
        <w:t xml:space="preserve"> </w:t>
      </w:r>
      <w:r>
        <w:t>patient-years, respectively, consistent with the</w:t>
      </w:r>
      <w:r>
        <w:rPr>
          <w:spacing w:val="-9"/>
        </w:rPr>
        <w:t xml:space="preserve"> </w:t>
      </w:r>
      <w:r>
        <w:t>rate observed in the</w:t>
      </w:r>
      <w:r>
        <w:rPr>
          <w:spacing w:val="-9"/>
        </w:rPr>
        <w:t xml:space="preserve"> </w:t>
      </w:r>
      <w:r>
        <w:t>controlled period.</w:t>
      </w:r>
    </w:p>
    <w:p w14:paraId="69DE52CE" w14:textId="77777777" w:rsidR="001825E2" w:rsidRDefault="000839A5" w:rsidP="00CB00A7">
      <w:pPr>
        <w:pStyle w:val="BodyText"/>
        <w:spacing w:before="252" w:line="237" w:lineRule="auto"/>
        <w:ind w:left="214" w:right="219" w:firstLine="1"/>
        <w:jc w:val="left"/>
      </w:pPr>
      <w:r>
        <w:t xml:space="preserve">In a </w:t>
      </w:r>
      <w:proofErr w:type="gramStart"/>
      <w:r>
        <w:t xml:space="preserve">large </w:t>
      </w:r>
      <w:proofErr w:type="spellStart"/>
      <w:r>
        <w:t>randomised</w:t>
      </w:r>
      <w:proofErr w:type="spellEnd"/>
      <w:proofErr w:type="gramEnd"/>
      <w:r>
        <w:t xml:space="preserve"> PASS in RA patients who were 50 years or older with at least one additional cardiovascular risk factor, an increase in malignancies (excluding NMSC) was observed in patients treated with XELJANZ compared with TNF inhibitor (see Section 4.8 Adverse Effects (Undesirable Effects)). Malignancies (excluding NMSC) were more</w:t>
      </w:r>
      <w:r>
        <w:rPr>
          <w:spacing w:val="80"/>
        </w:rPr>
        <w:t xml:space="preserve"> </w:t>
      </w:r>
      <w:r>
        <w:t>common in older patients and in patients who</w:t>
      </w:r>
      <w:r>
        <w:rPr>
          <w:spacing w:val="-9"/>
        </w:rPr>
        <w:t xml:space="preserve"> </w:t>
      </w:r>
      <w:r>
        <w:t>were current</w:t>
      </w:r>
      <w:r>
        <w:rPr>
          <w:spacing w:val="34"/>
        </w:rPr>
        <w:t xml:space="preserve"> </w:t>
      </w:r>
      <w:r>
        <w:t>or past smokers.</w:t>
      </w:r>
    </w:p>
    <w:p w14:paraId="111B9BA1" w14:textId="77777777" w:rsidR="001825E2" w:rsidRDefault="000839A5" w:rsidP="00CB00A7">
      <w:pPr>
        <w:spacing w:before="251"/>
        <w:ind w:left="220"/>
        <w:rPr>
          <w:i/>
          <w:sz w:val="24"/>
        </w:rPr>
      </w:pPr>
      <w:r>
        <w:rPr>
          <w:i/>
          <w:sz w:val="24"/>
          <w:u w:val="single"/>
        </w:rPr>
        <w:t xml:space="preserve">Psoriatic </w:t>
      </w:r>
      <w:r>
        <w:rPr>
          <w:i/>
          <w:spacing w:val="-2"/>
          <w:sz w:val="24"/>
          <w:u w:val="single"/>
        </w:rPr>
        <w:t>Arthritis</w:t>
      </w:r>
    </w:p>
    <w:p w14:paraId="6B2E2D74" w14:textId="77777777" w:rsidR="001825E2" w:rsidRDefault="000839A5" w:rsidP="00CB00A7">
      <w:pPr>
        <w:pStyle w:val="BodyText"/>
        <w:spacing w:before="114"/>
        <w:ind w:left="217" w:right="200" w:firstLine="2"/>
        <w:jc w:val="left"/>
      </w:pPr>
      <w:r>
        <w:t xml:space="preserve">In 2 controlled Phase 3 clinical trials in patients with active PsA, there were 3 malignancies (excluding NMSC) in 474 patients (298 patient-years of observation) receiving XELJANZ plus </w:t>
      </w:r>
      <w:proofErr w:type="spellStart"/>
      <w:r>
        <w:t>csDMARD</w:t>
      </w:r>
      <w:proofErr w:type="spellEnd"/>
      <w:r>
        <w:t xml:space="preserve"> (6</w:t>
      </w:r>
      <w:r>
        <w:rPr>
          <w:spacing w:val="-4"/>
        </w:rPr>
        <w:t xml:space="preserve"> </w:t>
      </w:r>
      <w:r>
        <w:t>to 12 months exposure) compared with 0</w:t>
      </w:r>
      <w:r>
        <w:rPr>
          <w:spacing w:val="-3"/>
        </w:rPr>
        <w:t xml:space="preserve"> </w:t>
      </w:r>
      <w:r>
        <w:t>malignancies in 236 patients (52.3</w:t>
      </w:r>
      <w:r>
        <w:rPr>
          <w:spacing w:val="74"/>
          <w:w w:val="150"/>
        </w:rPr>
        <w:t xml:space="preserve"> </w:t>
      </w:r>
      <w:r>
        <w:t>patient-years)</w:t>
      </w:r>
      <w:r>
        <w:rPr>
          <w:spacing w:val="80"/>
          <w:w w:val="150"/>
        </w:rPr>
        <w:t xml:space="preserve"> </w:t>
      </w:r>
      <w:r>
        <w:t>in</w:t>
      </w:r>
      <w:r>
        <w:rPr>
          <w:spacing w:val="73"/>
          <w:w w:val="150"/>
        </w:rPr>
        <w:t xml:space="preserve"> </w:t>
      </w:r>
      <w:r>
        <w:t>the</w:t>
      </w:r>
      <w:r>
        <w:rPr>
          <w:spacing w:val="72"/>
          <w:w w:val="150"/>
        </w:rPr>
        <w:t xml:space="preserve"> </w:t>
      </w:r>
      <w:r>
        <w:t>placebo</w:t>
      </w:r>
      <w:r>
        <w:rPr>
          <w:spacing w:val="74"/>
          <w:w w:val="150"/>
        </w:rPr>
        <w:t xml:space="preserve"> </w:t>
      </w:r>
      <w:r>
        <w:t>plus</w:t>
      </w:r>
      <w:r>
        <w:rPr>
          <w:spacing w:val="80"/>
          <w:w w:val="150"/>
        </w:rPr>
        <w:t xml:space="preserve"> </w:t>
      </w:r>
      <w:proofErr w:type="spellStart"/>
      <w:r>
        <w:t>csDMARD</w:t>
      </w:r>
      <w:proofErr w:type="spellEnd"/>
      <w:r>
        <w:rPr>
          <w:spacing w:val="80"/>
          <w:w w:val="150"/>
        </w:rPr>
        <w:t xml:space="preserve"> </w:t>
      </w:r>
      <w:r>
        <w:t>group</w:t>
      </w:r>
      <w:r>
        <w:rPr>
          <w:spacing w:val="74"/>
          <w:w w:val="150"/>
        </w:rPr>
        <w:t xml:space="preserve"> </w:t>
      </w:r>
      <w:r>
        <w:t>(3</w:t>
      </w:r>
      <w:r>
        <w:rPr>
          <w:spacing w:val="-1"/>
        </w:rPr>
        <w:t xml:space="preserve"> </w:t>
      </w:r>
      <w:r>
        <w:t>months</w:t>
      </w:r>
      <w:r>
        <w:rPr>
          <w:spacing w:val="70"/>
          <w:w w:val="150"/>
        </w:rPr>
        <w:t xml:space="preserve"> </w:t>
      </w:r>
      <w:r>
        <w:t>exposure)</w:t>
      </w:r>
      <w:r>
        <w:rPr>
          <w:spacing w:val="80"/>
        </w:rPr>
        <w:t xml:space="preserve"> </w:t>
      </w:r>
      <w:r>
        <w:t>and 0</w:t>
      </w:r>
      <w:r>
        <w:rPr>
          <w:spacing w:val="-5"/>
        </w:rPr>
        <w:t xml:space="preserve"> </w:t>
      </w:r>
      <w:r>
        <w:t xml:space="preserve">malignancies in 106 patients (91 patient-years) in the adalimumab plus </w:t>
      </w:r>
      <w:proofErr w:type="spellStart"/>
      <w:r>
        <w:t>csDMARD</w:t>
      </w:r>
      <w:proofErr w:type="spellEnd"/>
      <w:r>
        <w:t xml:space="preserve"> group (12 months exposure). No lymphomas were reported. The exposure-adjusted incidence rate for</w:t>
      </w:r>
      <w:r>
        <w:rPr>
          <w:spacing w:val="-1"/>
        </w:rPr>
        <w:t xml:space="preserve"> </w:t>
      </w:r>
      <w:r>
        <w:t>malignancies (excluding NMSC)</w:t>
      </w:r>
      <w:r>
        <w:rPr>
          <w:spacing w:val="-1"/>
        </w:rPr>
        <w:t xml:space="preserve"> </w:t>
      </w:r>
      <w:r>
        <w:t>was 1.95 patients with events and 0 patients with events per 100 patient-years in the XELJANZ groups that</w:t>
      </w:r>
      <w:r>
        <w:rPr>
          <w:spacing w:val="40"/>
        </w:rPr>
        <w:t xml:space="preserve"> </w:t>
      </w:r>
      <w:r>
        <w:t>received 5 mg twice daily and</w:t>
      </w:r>
      <w:r>
        <w:rPr>
          <w:spacing w:val="40"/>
        </w:rPr>
        <w:t xml:space="preserve"> </w:t>
      </w:r>
      <w:r>
        <w:t>10</w:t>
      </w:r>
      <w:r>
        <w:rPr>
          <w:spacing w:val="-3"/>
        </w:rPr>
        <w:t xml:space="preserve"> </w:t>
      </w:r>
      <w:r>
        <w:t>mg twic</w:t>
      </w:r>
      <w:r>
        <w:t>e daily, respectively.</w:t>
      </w:r>
    </w:p>
    <w:p w14:paraId="65929D4B" w14:textId="77777777" w:rsidR="001825E2" w:rsidRDefault="000839A5" w:rsidP="00CB00A7">
      <w:pPr>
        <w:pStyle w:val="BodyText"/>
        <w:spacing w:before="246" w:line="242" w:lineRule="auto"/>
        <w:ind w:left="215" w:right="205"/>
        <w:jc w:val="left"/>
      </w:pPr>
      <w:r>
        <w:t>In</w:t>
      </w:r>
      <w:r>
        <w:rPr>
          <w:spacing w:val="40"/>
        </w:rPr>
        <w:t xml:space="preserve"> </w:t>
      </w:r>
      <w:r>
        <w:t>the</w:t>
      </w:r>
      <w:r>
        <w:rPr>
          <w:spacing w:val="40"/>
        </w:rPr>
        <w:t xml:space="preserve"> </w:t>
      </w:r>
      <w:r>
        <w:t>safety</w:t>
      </w:r>
      <w:r>
        <w:rPr>
          <w:spacing w:val="40"/>
        </w:rPr>
        <w:t xml:space="preserve"> </w:t>
      </w:r>
      <w:r>
        <w:t>population</w:t>
      </w:r>
      <w:r>
        <w:rPr>
          <w:spacing w:val="40"/>
        </w:rPr>
        <w:t xml:space="preserve"> </w:t>
      </w:r>
      <w:r>
        <w:t>comprised</w:t>
      </w:r>
      <w:r>
        <w:rPr>
          <w:spacing w:val="40"/>
        </w:rPr>
        <w:t xml:space="preserve"> </w:t>
      </w:r>
      <w:r>
        <w:t>of</w:t>
      </w:r>
      <w:r>
        <w:rPr>
          <w:spacing w:val="40"/>
        </w:rPr>
        <w:t xml:space="preserve"> </w:t>
      </w:r>
      <w:r>
        <w:t>the</w:t>
      </w:r>
      <w:r>
        <w:rPr>
          <w:spacing w:val="40"/>
        </w:rPr>
        <w:t xml:space="preserve"> </w:t>
      </w:r>
      <w:r>
        <w:t>2</w:t>
      </w:r>
      <w:r>
        <w:rPr>
          <w:spacing w:val="40"/>
        </w:rPr>
        <w:t xml:space="preserve"> </w:t>
      </w:r>
      <w:r>
        <w:t>controlled</w:t>
      </w:r>
      <w:r>
        <w:rPr>
          <w:spacing w:val="40"/>
        </w:rPr>
        <w:t xml:space="preserve"> </w:t>
      </w:r>
      <w:r>
        <w:t>Phase</w:t>
      </w:r>
      <w:r>
        <w:rPr>
          <w:spacing w:val="40"/>
        </w:rPr>
        <w:t xml:space="preserve"> </w:t>
      </w:r>
      <w:r>
        <w:t>3</w:t>
      </w:r>
      <w:r>
        <w:rPr>
          <w:spacing w:val="40"/>
        </w:rPr>
        <w:t xml:space="preserve"> </w:t>
      </w:r>
      <w:r>
        <w:t>clinical</w:t>
      </w:r>
      <w:r>
        <w:rPr>
          <w:spacing w:val="40"/>
        </w:rPr>
        <w:t xml:space="preserve"> </w:t>
      </w:r>
      <w:r>
        <w:t>trials</w:t>
      </w:r>
      <w:r>
        <w:rPr>
          <w:spacing w:val="40"/>
        </w:rPr>
        <w:t xml:space="preserve"> </w:t>
      </w:r>
      <w:r>
        <w:t>and</w:t>
      </w:r>
      <w:r>
        <w:rPr>
          <w:spacing w:val="40"/>
        </w:rPr>
        <w:t xml:space="preserve"> </w:t>
      </w:r>
      <w:r>
        <w:t>the long-term extension trial (783 patients)</w:t>
      </w:r>
      <w:r>
        <w:rPr>
          <w:spacing w:val="-5"/>
        </w:rPr>
        <w:t xml:space="preserve"> </w:t>
      </w:r>
      <w:r>
        <w:t>the rate</w:t>
      </w:r>
      <w:r>
        <w:rPr>
          <w:spacing w:val="-2"/>
        </w:rPr>
        <w:t xml:space="preserve"> </w:t>
      </w:r>
      <w:r>
        <w:t>of malignancies (excluding NMSC) was</w:t>
      </w:r>
      <w:r>
        <w:rPr>
          <w:spacing w:val="-4"/>
        </w:rPr>
        <w:t xml:space="preserve"> </w:t>
      </w:r>
      <w:r>
        <w:t>0.72 patients with events per 100 patient-years.</w:t>
      </w:r>
    </w:p>
    <w:p w14:paraId="44A944A6" w14:textId="77777777" w:rsidR="001825E2" w:rsidRDefault="001825E2" w:rsidP="00CB00A7">
      <w:pPr>
        <w:spacing w:line="242" w:lineRule="auto"/>
        <w:sectPr w:rsidR="001825E2">
          <w:pgSz w:w="11910" w:h="16850"/>
          <w:pgMar w:top="1360" w:right="1220" w:bottom="980" w:left="1220" w:header="0" w:footer="785" w:gutter="0"/>
          <w:cols w:space="720"/>
        </w:sectPr>
      </w:pPr>
    </w:p>
    <w:p w14:paraId="2CBB7E8E" w14:textId="77777777" w:rsidR="001825E2" w:rsidRDefault="000839A5" w:rsidP="00CB00A7">
      <w:pPr>
        <w:spacing w:before="76"/>
        <w:ind w:left="220"/>
        <w:rPr>
          <w:i/>
          <w:sz w:val="24"/>
        </w:rPr>
      </w:pPr>
      <w:r>
        <w:rPr>
          <w:i/>
          <w:sz w:val="24"/>
          <w:u w:val="single"/>
        </w:rPr>
        <w:lastRenderedPageBreak/>
        <w:t>Ankylosing</w:t>
      </w:r>
      <w:r>
        <w:rPr>
          <w:i/>
          <w:spacing w:val="-4"/>
          <w:sz w:val="24"/>
          <w:u w:val="single"/>
        </w:rPr>
        <w:t xml:space="preserve"> </w:t>
      </w:r>
      <w:r>
        <w:rPr>
          <w:i/>
          <w:spacing w:val="-2"/>
          <w:sz w:val="24"/>
          <w:u w:val="single"/>
        </w:rPr>
        <w:t>Spondylitis</w:t>
      </w:r>
    </w:p>
    <w:p w14:paraId="2FF2D6CB" w14:textId="77777777" w:rsidR="001825E2" w:rsidRDefault="000839A5" w:rsidP="00CB00A7">
      <w:pPr>
        <w:pStyle w:val="BodyText"/>
        <w:spacing w:before="114" w:line="242" w:lineRule="auto"/>
        <w:ind w:left="218" w:right="220" w:firstLine="1"/>
        <w:jc w:val="left"/>
      </w:pPr>
      <w:r>
        <w:t>In the combined safety population comprised of 1 placebo-controlled Phase 2 clinical trial</w:t>
      </w:r>
      <w:r>
        <w:rPr>
          <w:spacing w:val="40"/>
        </w:rPr>
        <w:t xml:space="preserve"> </w:t>
      </w:r>
      <w:r>
        <w:t>and 1 placebo-controlled Phase 3 clinical trial in patients with active ankylosing spondylitis, there</w:t>
      </w:r>
      <w:r>
        <w:rPr>
          <w:spacing w:val="27"/>
        </w:rPr>
        <w:t xml:space="preserve"> </w:t>
      </w:r>
      <w:r>
        <w:t>were</w:t>
      </w:r>
      <w:r>
        <w:rPr>
          <w:spacing w:val="27"/>
        </w:rPr>
        <w:t xml:space="preserve"> </w:t>
      </w:r>
      <w:r>
        <w:t>no</w:t>
      </w:r>
      <w:r>
        <w:rPr>
          <w:spacing w:val="40"/>
        </w:rPr>
        <w:t xml:space="preserve"> </w:t>
      </w:r>
      <w:r>
        <w:t>malignancies</w:t>
      </w:r>
      <w:r>
        <w:rPr>
          <w:spacing w:val="40"/>
        </w:rPr>
        <w:t xml:space="preserve"> </w:t>
      </w:r>
      <w:r>
        <w:t>(excluding</w:t>
      </w:r>
      <w:r>
        <w:rPr>
          <w:spacing w:val="29"/>
        </w:rPr>
        <w:t xml:space="preserve"> </w:t>
      </w:r>
      <w:r>
        <w:t>NMSC)</w:t>
      </w:r>
      <w:r>
        <w:rPr>
          <w:spacing w:val="39"/>
        </w:rPr>
        <w:t xml:space="preserve"> </w:t>
      </w:r>
      <w:r>
        <w:t>in</w:t>
      </w:r>
      <w:r>
        <w:rPr>
          <w:spacing w:val="29"/>
        </w:rPr>
        <w:t xml:space="preserve"> </w:t>
      </w:r>
      <w:r>
        <w:t>420</w:t>
      </w:r>
      <w:r>
        <w:rPr>
          <w:spacing w:val="-1"/>
        </w:rPr>
        <w:t xml:space="preserve"> </w:t>
      </w:r>
      <w:r>
        <w:t>patients</w:t>
      </w:r>
      <w:r>
        <w:rPr>
          <w:spacing w:val="40"/>
        </w:rPr>
        <w:t xml:space="preserve"> </w:t>
      </w:r>
      <w:r>
        <w:t>receiving</w:t>
      </w:r>
      <w:r>
        <w:rPr>
          <w:spacing w:val="29"/>
        </w:rPr>
        <w:t xml:space="preserve"> </w:t>
      </w:r>
      <w:r>
        <w:t>XELJANZ</w:t>
      </w:r>
      <w:r>
        <w:rPr>
          <w:spacing w:val="32"/>
        </w:rPr>
        <w:t xml:space="preserve"> </w:t>
      </w:r>
      <w:r>
        <w:t>up</w:t>
      </w:r>
      <w:r>
        <w:rPr>
          <w:spacing w:val="29"/>
        </w:rPr>
        <w:t xml:space="preserve"> </w:t>
      </w:r>
      <w:r>
        <w:t>to 48 weeks (233 patient-years of observation).</w:t>
      </w:r>
    </w:p>
    <w:p w14:paraId="1226EEFC" w14:textId="77777777" w:rsidR="001825E2" w:rsidRDefault="000839A5" w:rsidP="00CB00A7">
      <w:pPr>
        <w:spacing w:before="235"/>
        <w:ind w:left="220"/>
        <w:rPr>
          <w:i/>
          <w:sz w:val="24"/>
        </w:rPr>
      </w:pPr>
      <w:r>
        <w:rPr>
          <w:i/>
          <w:sz w:val="24"/>
          <w:u w:val="single"/>
        </w:rPr>
        <w:t>Ulcerative</w:t>
      </w:r>
      <w:r>
        <w:rPr>
          <w:i/>
          <w:spacing w:val="1"/>
          <w:sz w:val="24"/>
          <w:u w:val="single"/>
        </w:rPr>
        <w:t xml:space="preserve"> </w:t>
      </w:r>
      <w:r>
        <w:rPr>
          <w:i/>
          <w:spacing w:val="-2"/>
          <w:sz w:val="24"/>
          <w:u w:val="single"/>
        </w:rPr>
        <w:t>Colitis</w:t>
      </w:r>
    </w:p>
    <w:p w14:paraId="7AAAE6BA" w14:textId="77777777" w:rsidR="001825E2" w:rsidRDefault="000839A5" w:rsidP="00CB00A7">
      <w:pPr>
        <w:pStyle w:val="BodyText"/>
        <w:spacing w:before="114" w:line="242" w:lineRule="auto"/>
        <w:ind w:left="218" w:right="218" w:firstLine="1"/>
        <w:jc w:val="left"/>
      </w:pPr>
      <w:r>
        <w:t>No malignancies other than NMSC were reported in the 8-week induction and 52-week maintenance study. In the long-term extension study, malignancies (including solid cancers and lymphomas) were observed more often in patients treated with XELJANZ 10 mg twice daily compared with patients</w:t>
      </w:r>
      <w:r>
        <w:rPr>
          <w:spacing w:val="-6"/>
        </w:rPr>
        <w:t xml:space="preserve"> </w:t>
      </w:r>
      <w:r>
        <w:t>treated with</w:t>
      </w:r>
      <w:r>
        <w:rPr>
          <w:spacing w:val="-2"/>
        </w:rPr>
        <w:t xml:space="preserve"> </w:t>
      </w:r>
      <w:r>
        <w:t>XELJANZ 5 mg twice daily.</w:t>
      </w:r>
    </w:p>
    <w:p w14:paraId="09625BB8" w14:textId="77777777" w:rsidR="001825E2" w:rsidRDefault="000839A5" w:rsidP="00CB00A7">
      <w:pPr>
        <w:pStyle w:val="Heading4"/>
        <w:spacing w:before="235"/>
        <w:ind w:left="218"/>
        <w:jc w:val="left"/>
      </w:pPr>
      <w:r>
        <w:t>Skin</w:t>
      </w:r>
      <w:r>
        <w:rPr>
          <w:spacing w:val="-5"/>
        </w:rPr>
        <w:t xml:space="preserve"> </w:t>
      </w:r>
      <w:r>
        <w:rPr>
          <w:spacing w:val="-2"/>
        </w:rPr>
        <w:t>Cancer</w:t>
      </w:r>
    </w:p>
    <w:p w14:paraId="1D6555EC" w14:textId="77777777" w:rsidR="001825E2" w:rsidRDefault="000839A5" w:rsidP="00CB00A7">
      <w:pPr>
        <w:pStyle w:val="BodyText"/>
        <w:spacing w:before="114"/>
        <w:ind w:left="212" w:right="205" w:firstLine="5"/>
        <w:jc w:val="left"/>
      </w:pPr>
      <w:r>
        <w:t>Melanoma and</w:t>
      </w:r>
      <w:r>
        <w:rPr>
          <w:spacing w:val="40"/>
        </w:rPr>
        <w:t xml:space="preserve"> </w:t>
      </w:r>
      <w:r>
        <w:t>NMSCs have been reported</w:t>
      </w:r>
      <w:r>
        <w:rPr>
          <w:spacing w:val="40"/>
        </w:rPr>
        <w:t xml:space="preserve"> </w:t>
      </w:r>
      <w:r>
        <w:t>in patients treated with XELJANZ and XELJANZ XR. The risk of NMSC may be higher in patients treated with</w:t>
      </w:r>
      <w:r>
        <w:rPr>
          <w:spacing w:val="-4"/>
        </w:rPr>
        <w:t xml:space="preserve"> </w:t>
      </w:r>
      <w:r>
        <w:t>XELJANZ 10 mg twice daily than in patients treated with 5 mg twice daily. NMSCs were also reported</w:t>
      </w:r>
      <w:r>
        <w:rPr>
          <w:spacing w:val="40"/>
        </w:rPr>
        <w:t xml:space="preserve"> </w:t>
      </w:r>
      <w:r>
        <w:t xml:space="preserve">in a </w:t>
      </w:r>
      <w:proofErr w:type="gramStart"/>
      <w:r>
        <w:t xml:space="preserve">large </w:t>
      </w:r>
      <w:proofErr w:type="spellStart"/>
      <w:r>
        <w:t>randomised</w:t>
      </w:r>
      <w:proofErr w:type="spellEnd"/>
      <w:proofErr w:type="gramEnd"/>
      <w:r>
        <w:rPr>
          <w:spacing w:val="40"/>
        </w:rPr>
        <w:t xml:space="preserve"> </w:t>
      </w:r>
      <w:r>
        <w:t>PASS in RA patients who were 50 years or older with at least one additional cardiovascular risk factor. In this study, an increase in overall NMSCs, including cutaneous squamous cell carcinomas was observed in patients treated with tofacitinib compared</w:t>
      </w:r>
      <w:r>
        <w:rPr>
          <w:spacing w:val="24"/>
        </w:rPr>
        <w:t xml:space="preserve"> </w:t>
      </w:r>
      <w:r>
        <w:t>to TNF inhibitor (see Section 4.8</w:t>
      </w:r>
      <w:r>
        <w:t xml:space="preserve"> Adverse Effects (Undesirable Effects)). As</w:t>
      </w:r>
      <w:r>
        <w:rPr>
          <w:spacing w:val="-8"/>
        </w:rPr>
        <w:t xml:space="preserve"> </w:t>
      </w:r>
      <w:r>
        <w:t xml:space="preserve">there is a higher incidence of NMSC in the elderly and in patients with a prior history of NMSC, caution should be used when treating these types of patients. Regular skin examinations are recommended, particularly for patients with an increased risk for, or a prior history of, skin </w:t>
      </w:r>
      <w:r>
        <w:rPr>
          <w:spacing w:val="-2"/>
        </w:rPr>
        <w:t>cancer.</w:t>
      </w:r>
    </w:p>
    <w:p w14:paraId="539DFB6D" w14:textId="77777777" w:rsidR="001825E2" w:rsidRDefault="000839A5" w:rsidP="00CB00A7">
      <w:pPr>
        <w:pStyle w:val="Heading4"/>
        <w:spacing w:before="250"/>
        <w:ind w:left="212"/>
        <w:jc w:val="left"/>
      </w:pPr>
      <w:r>
        <w:t>Renal</w:t>
      </w:r>
      <w:r>
        <w:rPr>
          <w:spacing w:val="-4"/>
        </w:rPr>
        <w:t xml:space="preserve"> </w:t>
      </w:r>
      <w:r>
        <w:rPr>
          <w:spacing w:val="-2"/>
        </w:rPr>
        <w:t>Transplant</w:t>
      </w:r>
    </w:p>
    <w:p w14:paraId="6EC36361" w14:textId="77777777" w:rsidR="001825E2" w:rsidRDefault="000839A5" w:rsidP="00CB00A7">
      <w:pPr>
        <w:pStyle w:val="BodyText"/>
        <w:spacing w:before="114"/>
        <w:ind w:left="207" w:right="227" w:firstLine="5"/>
        <w:jc w:val="left"/>
      </w:pPr>
      <w:r>
        <w:t>In</w:t>
      </w:r>
      <w:r>
        <w:rPr>
          <w:spacing w:val="75"/>
        </w:rPr>
        <w:t xml:space="preserve"> </w:t>
      </w:r>
      <w:r>
        <w:t>studies</w:t>
      </w:r>
      <w:r>
        <w:rPr>
          <w:spacing w:val="72"/>
        </w:rPr>
        <w:t xml:space="preserve"> </w:t>
      </w:r>
      <w:r>
        <w:t>in</w:t>
      </w:r>
      <w:r>
        <w:rPr>
          <w:spacing w:val="80"/>
        </w:rPr>
        <w:t xml:space="preserve"> </w:t>
      </w:r>
      <w:r>
        <w:t>renal</w:t>
      </w:r>
      <w:r>
        <w:rPr>
          <w:spacing w:val="69"/>
        </w:rPr>
        <w:t xml:space="preserve"> </w:t>
      </w:r>
      <w:r>
        <w:t>transplant</w:t>
      </w:r>
      <w:r>
        <w:rPr>
          <w:spacing w:val="80"/>
        </w:rPr>
        <w:t xml:space="preserve"> </w:t>
      </w:r>
      <w:r>
        <w:t>patients</w:t>
      </w:r>
      <w:r>
        <w:rPr>
          <w:spacing w:val="72"/>
        </w:rPr>
        <w:t xml:space="preserve"> </w:t>
      </w:r>
      <w:r>
        <w:t>treated</w:t>
      </w:r>
      <w:r>
        <w:rPr>
          <w:spacing w:val="80"/>
        </w:rPr>
        <w:t xml:space="preserve"> </w:t>
      </w:r>
      <w:r>
        <w:t>with</w:t>
      </w:r>
      <w:r>
        <w:rPr>
          <w:spacing w:val="77"/>
        </w:rPr>
        <w:t xml:space="preserve"> </w:t>
      </w:r>
      <w:r>
        <w:t>XELJANZ</w:t>
      </w:r>
      <w:r>
        <w:rPr>
          <w:spacing w:val="80"/>
        </w:rPr>
        <w:t xml:space="preserve"> </w:t>
      </w:r>
      <w:r>
        <w:t>(15</w:t>
      </w:r>
      <w:r>
        <w:rPr>
          <w:spacing w:val="-1"/>
        </w:rPr>
        <w:t xml:space="preserve"> </w:t>
      </w:r>
      <w:r>
        <w:t>mg</w:t>
      </w:r>
      <w:r>
        <w:rPr>
          <w:spacing w:val="75"/>
        </w:rPr>
        <w:t xml:space="preserve"> </w:t>
      </w:r>
      <w:r>
        <w:t>twice</w:t>
      </w:r>
      <w:r>
        <w:rPr>
          <w:spacing w:val="74"/>
        </w:rPr>
        <w:t xml:space="preserve"> </w:t>
      </w:r>
      <w:r>
        <w:t>daily</w:t>
      </w:r>
      <w:r>
        <w:rPr>
          <w:spacing w:val="77"/>
        </w:rPr>
        <w:t xml:space="preserve"> </w:t>
      </w:r>
      <w:r>
        <w:t>for 3</w:t>
      </w:r>
      <w:r>
        <w:rPr>
          <w:spacing w:val="-5"/>
        </w:rPr>
        <w:t xml:space="preserve"> </w:t>
      </w:r>
      <w:r>
        <w:t>to</w:t>
      </w:r>
      <w:r>
        <w:rPr>
          <w:spacing w:val="-5"/>
        </w:rPr>
        <w:t xml:space="preserve"> </w:t>
      </w:r>
      <w:r>
        <w:t>6</w:t>
      </w:r>
      <w:r>
        <w:rPr>
          <w:spacing w:val="-5"/>
        </w:rPr>
        <w:t xml:space="preserve"> </w:t>
      </w:r>
      <w:r>
        <w:t xml:space="preserve">months then reduced) and concomitant immunosuppressive agents (induction therapy with </w:t>
      </w:r>
      <w:proofErr w:type="spellStart"/>
      <w:r>
        <w:t>basiliximab</w:t>
      </w:r>
      <w:proofErr w:type="spellEnd"/>
      <w:r>
        <w:t>, high dose corticosteroids, mycophenolic acid products) for prophylaxis of organ rejection, serious infections and Epstein Barr Virus-associated post-transplant lymphoproliferative disorder were observed at an increased rate compared to patients treated with</w:t>
      </w:r>
      <w:r>
        <w:rPr>
          <w:spacing w:val="-7"/>
        </w:rPr>
        <w:t xml:space="preserve"> </w:t>
      </w:r>
      <w:r>
        <w:t>ciclosporin</w:t>
      </w:r>
      <w:r>
        <w:rPr>
          <w:spacing w:val="40"/>
        </w:rPr>
        <w:t xml:space="preserve"> </w:t>
      </w:r>
      <w:r>
        <w:t>and concomitant immunosuppressive</w:t>
      </w:r>
      <w:r>
        <w:rPr>
          <w:spacing w:val="40"/>
        </w:rPr>
        <w:t xml:space="preserve"> </w:t>
      </w:r>
      <w:r>
        <w:t>agents.</w:t>
      </w:r>
    </w:p>
    <w:p w14:paraId="58C877D3" w14:textId="77777777" w:rsidR="001825E2" w:rsidRDefault="000839A5" w:rsidP="00CB00A7">
      <w:pPr>
        <w:pStyle w:val="BodyText"/>
        <w:spacing w:before="254" w:line="235" w:lineRule="auto"/>
        <w:ind w:left="205" w:right="239" w:firstLine="1"/>
        <w:jc w:val="left"/>
      </w:pPr>
      <w:r>
        <w:t>XELJANZ or XELJANZ XR should not be used in combination with potent immunosuppressants because of the possibility of an increased risk of serious infection and post-transplant lymphoproliferative disorder.</w:t>
      </w:r>
    </w:p>
    <w:p w14:paraId="1DA9AF99" w14:textId="77777777" w:rsidR="001825E2" w:rsidRDefault="000839A5" w:rsidP="00CB00A7">
      <w:pPr>
        <w:pStyle w:val="Heading4"/>
        <w:ind w:left="205"/>
        <w:jc w:val="left"/>
      </w:pPr>
      <w:r>
        <w:rPr>
          <w:spacing w:val="-2"/>
        </w:rPr>
        <w:t>Cardiovascular</w:t>
      </w:r>
    </w:p>
    <w:p w14:paraId="11C2412C" w14:textId="77777777" w:rsidR="001825E2" w:rsidRDefault="000839A5" w:rsidP="00CB00A7">
      <w:pPr>
        <w:pStyle w:val="BodyText"/>
        <w:spacing w:before="114" w:line="242" w:lineRule="auto"/>
        <w:ind w:left="201" w:right="218" w:firstLine="3"/>
        <w:jc w:val="left"/>
      </w:pPr>
      <w:r>
        <w:t>XELJANZ causes a decrease in heart rate and a prolongation of the PR interval. Caution should be observed in patients with a low heart rate at baseline (&lt;60</w:t>
      </w:r>
      <w:r>
        <w:rPr>
          <w:spacing w:val="-3"/>
        </w:rPr>
        <w:t xml:space="preserve"> </w:t>
      </w:r>
      <w:r>
        <w:t>beats</w:t>
      </w:r>
      <w:r>
        <w:rPr>
          <w:spacing w:val="-7"/>
        </w:rPr>
        <w:t xml:space="preserve"> </w:t>
      </w:r>
      <w:r>
        <w:t>per minute), a history</w:t>
      </w:r>
      <w:r>
        <w:rPr>
          <w:spacing w:val="-2"/>
        </w:rPr>
        <w:t xml:space="preserve"> </w:t>
      </w:r>
      <w:r>
        <w:t>of syncope</w:t>
      </w:r>
      <w:r>
        <w:rPr>
          <w:spacing w:val="-4"/>
        </w:rPr>
        <w:t xml:space="preserve"> </w:t>
      </w:r>
      <w:r>
        <w:t>or arrhythmia,</w:t>
      </w:r>
      <w:r>
        <w:rPr>
          <w:spacing w:val="-2"/>
        </w:rPr>
        <w:t xml:space="preserve"> </w:t>
      </w:r>
      <w:r>
        <w:t>sick</w:t>
      </w:r>
      <w:r>
        <w:rPr>
          <w:spacing w:val="-2"/>
        </w:rPr>
        <w:t xml:space="preserve"> </w:t>
      </w:r>
      <w:r>
        <w:t>sinus syndrome,</w:t>
      </w:r>
      <w:r>
        <w:rPr>
          <w:spacing w:val="-2"/>
        </w:rPr>
        <w:t xml:space="preserve"> </w:t>
      </w:r>
      <w:r>
        <w:t>sinoatrial block,</w:t>
      </w:r>
      <w:r>
        <w:rPr>
          <w:spacing w:val="-2"/>
        </w:rPr>
        <w:t xml:space="preserve"> </w:t>
      </w:r>
      <w:r>
        <w:t xml:space="preserve">atrioventricular (AV) block, </w:t>
      </w:r>
      <w:proofErr w:type="spellStart"/>
      <w:r>
        <w:t>ischaemic</w:t>
      </w:r>
      <w:proofErr w:type="spellEnd"/>
      <w:r>
        <w:t xml:space="preserve"> heart disease, or congestive heart failure. Concomitant medications that result in a decrease in heart rate and/or PR interval prolongation should be avoided to the extent possible during treatment with XELJANZ or XELJANZ XR (see Section 4.5 Interactions </w:t>
      </w:r>
      <w:proofErr w:type="gramStart"/>
      <w:r>
        <w:t>With</w:t>
      </w:r>
      <w:proofErr w:type="gramEnd"/>
      <w:r>
        <w:t xml:space="preserve"> Other</w:t>
      </w:r>
      <w:r>
        <w:rPr>
          <w:spacing w:val="-6"/>
        </w:rPr>
        <w:t xml:space="preserve"> </w:t>
      </w:r>
      <w:r>
        <w:t>Medicines and Other</w:t>
      </w:r>
      <w:r>
        <w:rPr>
          <w:spacing w:val="-6"/>
        </w:rPr>
        <w:t xml:space="preserve"> </w:t>
      </w:r>
      <w:r>
        <w:t>Forms of Interactions).</w:t>
      </w:r>
    </w:p>
    <w:p w14:paraId="644AFE7D" w14:textId="77777777" w:rsidR="001825E2" w:rsidRDefault="001825E2" w:rsidP="00CB00A7">
      <w:pPr>
        <w:spacing w:line="242" w:lineRule="auto"/>
        <w:sectPr w:rsidR="001825E2">
          <w:pgSz w:w="11910" w:h="16850"/>
          <w:pgMar w:top="1360" w:right="1220" w:bottom="980" w:left="1220" w:header="0" w:footer="785" w:gutter="0"/>
          <w:cols w:space="720"/>
        </w:sectPr>
      </w:pPr>
    </w:p>
    <w:p w14:paraId="2C11E285" w14:textId="77777777" w:rsidR="001825E2" w:rsidRDefault="000839A5" w:rsidP="00CB00A7">
      <w:pPr>
        <w:pStyle w:val="Heading4"/>
        <w:spacing w:before="76"/>
        <w:jc w:val="left"/>
      </w:pPr>
      <w:r>
        <w:rPr>
          <w:spacing w:val="-2"/>
        </w:rPr>
        <w:lastRenderedPageBreak/>
        <w:t>Gastrointestinal</w:t>
      </w:r>
      <w:r>
        <w:rPr>
          <w:spacing w:val="28"/>
        </w:rPr>
        <w:t xml:space="preserve"> </w:t>
      </w:r>
      <w:r>
        <w:rPr>
          <w:spacing w:val="-2"/>
        </w:rPr>
        <w:t>Perforations</w:t>
      </w:r>
    </w:p>
    <w:p w14:paraId="452BCB61" w14:textId="77777777" w:rsidR="001825E2" w:rsidRDefault="000839A5" w:rsidP="00CB00A7">
      <w:pPr>
        <w:pStyle w:val="BodyText"/>
        <w:spacing w:before="114"/>
        <w:ind w:left="212" w:right="213" w:firstLine="7"/>
        <w:jc w:val="left"/>
      </w:pPr>
      <w:r>
        <w:t xml:space="preserve">Events of gastrointestinal perforation have been reported in clinical trials including a </w:t>
      </w:r>
      <w:proofErr w:type="gramStart"/>
      <w:r>
        <w:t xml:space="preserve">large </w:t>
      </w:r>
      <w:proofErr w:type="spellStart"/>
      <w:r>
        <w:t>randomised</w:t>
      </w:r>
      <w:proofErr w:type="spellEnd"/>
      <w:proofErr w:type="gramEnd"/>
      <w:r>
        <w:t xml:space="preserve"> PASS in RA patients who were 50 years or older with at least one additional cardiovascular risk factor</w:t>
      </w:r>
      <w:r>
        <w:rPr>
          <w:spacing w:val="-6"/>
        </w:rPr>
        <w:t xml:space="preserve"> </w:t>
      </w:r>
      <w:r>
        <w:t>(see</w:t>
      </w:r>
      <w:r>
        <w:rPr>
          <w:spacing w:val="-3"/>
        </w:rPr>
        <w:t xml:space="preserve"> </w:t>
      </w:r>
      <w:r>
        <w:t>Section</w:t>
      </w:r>
      <w:r>
        <w:rPr>
          <w:spacing w:val="-1"/>
        </w:rPr>
        <w:t xml:space="preserve"> </w:t>
      </w:r>
      <w:r>
        <w:t>4.8</w:t>
      </w:r>
      <w:r>
        <w:rPr>
          <w:spacing w:val="-1"/>
        </w:rPr>
        <w:t xml:space="preserve"> </w:t>
      </w:r>
      <w:r>
        <w:t>Adverse</w:t>
      </w:r>
      <w:r>
        <w:rPr>
          <w:spacing w:val="-3"/>
        </w:rPr>
        <w:t xml:space="preserve"> </w:t>
      </w:r>
      <w:r>
        <w:t>Effects</w:t>
      </w:r>
      <w:r>
        <w:rPr>
          <w:spacing w:val="-5"/>
        </w:rPr>
        <w:t xml:space="preserve"> </w:t>
      </w:r>
      <w:r>
        <w:t>(Undesirable</w:t>
      </w:r>
      <w:r>
        <w:rPr>
          <w:spacing w:val="-3"/>
        </w:rPr>
        <w:t xml:space="preserve"> </w:t>
      </w:r>
      <w:r>
        <w:t>Effects)).</w:t>
      </w:r>
      <w:r>
        <w:rPr>
          <w:spacing w:val="-1"/>
        </w:rPr>
        <w:t xml:space="preserve"> </w:t>
      </w:r>
      <w:r>
        <w:t>The</w:t>
      </w:r>
      <w:r>
        <w:rPr>
          <w:spacing w:val="-3"/>
        </w:rPr>
        <w:t xml:space="preserve"> </w:t>
      </w:r>
      <w:r>
        <w:t>role</w:t>
      </w:r>
      <w:r>
        <w:rPr>
          <w:spacing w:val="-3"/>
        </w:rPr>
        <w:t xml:space="preserve"> </w:t>
      </w:r>
      <w:r>
        <w:t xml:space="preserve">of JAK inhibition in these events is not known. Events were primarily reported as diverticular perforation, peritonitis, abdominal </w:t>
      </w:r>
      <w:proofErr w:type="gramStart"/>
      <w:r>
        <w:t>abscess</w:t>
      </w:r>
      <w:proofErr w:type="gramEnd"/>
      <w:r>
        <w:t xml:space="preserve"> and appendicitis. In the RA clinical trials, the incidence rate of gastrointestinal perforation across all studies (phase 1, phase</w:t>
      </w:r>
      <w:r>
        <w:rPr>
          <w:spacing w:val="-6"/>
        </w:rPr>
        <w:t xml:space="preserve"> </w:t>
      </w:r>
      <w:r>
        <w:t>2, phase</w:t>
      </w:r>
      <w:r>
        <w:rPr>
          <w:spacing w:val="-6"/>
        </w:rPr>
        <w:t xml:space="preserve"> </w:t>
      </w:r>
      <w:r>
        <w:t>3 and long-term extension) for all treatment gr</w:t>
      </w:r>
      <w:r>
        <w:t xml:space="preserve">oups all doses </w:t>
      </w:r>
      <w:proofErr w:type="gramStart"/>
      <w:r>
        <w:t>was</w:t>
      </w:r>
      <w:proofErr w:type="gramEnd"/>
      <w:r>
        <w:t xml:space="preserve"> 0.11</w:t>
      </w:r>
      <w:r>
        <w:rPr>
          <w:spacing w:val="-1"/>
        </w:rPr>
        <w:t xml:space="preserve"> </w:t>
      </w:r>
      <w:r>
        <w:t>events per 100</w:t>
      </w:r>
      <w:r>
        <w:rPr>
          <w:spacing w:val="-1"/>
        </w:rPr>
        <w:t xml:space="preserve"> </w:t>
      </w:r>
      <w:r>
        <w:t>patient-years with XELJANZ therapy. RA patients who developed</w:t>
      </w:r>
      <w:r>
        <w:rPr>
          <w:spacing w:val="40"/>
        </w:rPr>
        <w:t xml:space="preserve"> </w:t>
      </w:r>
      <w:r>
        <w:t>gastrointestinal perforations were</w:t>
      </w:r>
      <w:r>
        <w:rPr>
          <w:spacing w:val="40"/>
        </w:rPr>
        <w:t xml:space="preserve"> </w:t>
      </w:r>
      <w:r>
        <w:t>taking concomitant nonsteroidal anti-inflammatory drugs (NSAIDs) and/or corticosteroids. The</w:t>
      </w:r>
      <w:r>
        <w:rPr>
          <w:spacing w:val="-2"/>
        </w:rPr>
        <w:t xml:space="preserve"> </w:t>
      </w:r>
      <w:r>
        <w:t>relative</w:t>
      </w:r>
      <w:r>
        <w:rPr>
          <w:spacing w:val="-1"/>
        </w:rPr>
        <w:t xml:space="preserve"> </w:t>
      </w:r>
      <w:r>
        <w:t>contribution of these</w:t>
      </w:r>
      <w:r>
        <w:rPr>
          <w:spacing w:val="-1"/>
        </w:rPr>
        <w:t xml:space="preserve"> </w:t>
      </w:r>
      <w:r>
        <w:t>concomitant medications</w:t>
      </w:r>
      <w:r>
        <w:rPr>
          <w:spacing w:val="-3"/>
        </w:rPr>
        <w:t xml:space="preserve"> </w:t>
      </w:r>
      <w:r>
        <w:t>vs. XELJANZ to</w:t>
      </w:r>
      <w:r>
        <w:rPr>
          <w:spacing w:val="-14"/>
        </w:rPr>
        <w:t xml:space="preserve"> </w:t>
      </w:r>
      <w:r>
        <w:t>the</w:t>
      </w:r>
      <w:r>
        <w:rPr>
          <w:spacing w:val="-15"/>
        </w:rPr>
        <w:t xml:space="preserve"> </w:t>
      </w:r>
      <w:r>
        <w:t>development of gastrointestinal perforations is not known. The incidence rate in the PsA clinical trials (Phase 3 and long-term extension) was 0.08 patients with events per 100 patient-years with XELJANZ thera</w:t>
      </w:r>
      <w:r>
        <w:t>py. In the ankylosing spondylitis clinical trials, no gastrointestinal</w:t>
      </w:r>
      <w:r>
        <w:rPr>
          <w:spacing w:val="40"/>
        </w:rPr>
        <w:t xml:space="preserve"> </w:t>
      </w:r>
      <w:r>
        <w:t>perforation events</w:t>
      </w:r>
      <w:r>
        <w:rPr>
          <w:spacing w:val="-4"/>
        </w:rPr>
        <w:t xml:space="preserve"> </w:t>
      </w:r>
      <w:r>
        <w:t>occurred in 420 patients</w:t>
      </w:r>
      <w:r>
        <w:rPr>
          <w:spacing w:val="-4"/>
        </w:rPr>
        <w:t xml:space="preserve"> </w:t>
      </w:r>
      <w:r>
        <w:t>receiving XELJANZ up to 48 weeks</w:t>
      </w:r>
      <w:r>
        <w:rPr>
          <w:spacing w:val="-4"/>
        </w:rPr>
        <w:t xml:space="preserve"> </w:t>
      </w:r>
      <w:r>
        <w:t>(233 patient- years of observation).</w:t>
      </w:r>
    </w:p>
    <w:p w14:paraId="3C261185" w14:textId="77777777" w:rsidR="001825E2" w:rsidRDefault="000839A5" w:rsidP="00CB00A7">
      <w:pPr>
        <w:pStyle w:val="BodyText"/>
        <w:spacing w:before="241" w:line="242" w:lineRule="auto"/>
        <w:ind w:left="209" w:right="213" w:firstLine="2"/>
        <w:jc w:val="left"/>
      </w:pPr>
      <w:r>
        <w:t>In placebo-controlled induction studies for UC, gastrointestinal perforation occurred in 2 (0.2%) patients treated with</w:t>
      </w:r>
      <w:r>
        <w:rPr>
          <w:spacing w:val="-1"/>
        </w:rPr>
        <w:t xml:space="preserve"> </w:t>
      </w:r>
      <w:r>
        <w:t>XELJANZ 10 mg</w:t>
      </w:r>
      <w:r>
        <w:rPr>
          <w:spacing w:val="-1"/>
        </w:rPr>
        <w:t xml:space="preserve"> </w:t>
      </w:r>
      <w:r>
        <w:t>twice</w:t>
      </w:r>
      <w:r>
        <w:rPr>
          <w:spacing w:val="-3"/>
        </w:rPr>
        <w:t xml:space="preserve"> </w:t>
      </w:r>
      <w:r>
        <w:t>daily and in 2</w:t>
      </w:r>
      <w:r>
        <w:rPr>
          <w:spacing w:val="-1"/>
        </w:rPr>
        <w:t xml:space="preserve"> </w:t>
      </w:r>
      <w:r>
        <w:t>(0.9%) patients receiving placebo. In the Phase</w:t>
      </w:r>
      <w:r>
        <w:rPr>
          <w:spacing w:val="-2"/>
        </w:rPr>
        <w:t xml:space="preserve"> </w:t>
      </w:r>
      <w:r>
        <w:t>3 maintenance study for UC, gastrointestinal perforation was not reported in patients treated with XELJANZ and was reported in 1 patient treated with</w:t>
      </w:r>
      <w:r>
        <w:rPr>
          <w:spacing w:val="40"/>
        </w:rPr>
        <w:t xml:space="preserve"> </w:t>
      </w:r>
      <w:r>
        <w:rPr>
          <w:spacing w:val="-2"/>
        </w:rPr>
        <w:t>placebo.</w:t>
      </w:r>
    </w:p>
    <w:p w14:paraId="1B7AE785" w14:textId="77777777" w:rsidR="001825E2" w:rsidRDefault="000839A5" w:rsidP="00CB00A7">
      <w:pPr>
        <w:pStyle w:val="BodyText"/>
        <w:spacing w:before="226" w:line="242" w:lineRule="auto"/>
        <w:ind w:left="207" w:right="222" w:firstLine="1"/>
        <w:jc w:val="left"/>
      </w:pPr>
      <w:r>
        <w:t>XELJANZ and XELJANZ XR should be used with caution in patients who may be at increased risk for gastrointestinal perforation (e.g., patients with a history of diverticulitis). Patients presenting with new onset abdominal symptoms should be evaluated promptly for early identification of gastrointestinal perforation.</w:t>
      </w:r>
    </w:p>
    <w:p w14:paraId="5510A8BD" w14:textId="77777777" w:rsidR="001825E2" w:rsidRDefault="000839A5" w:rsidP="00CB00A7">
      <w:pPr>
        <w:pStyle w:val="Heading4"/>
        <w:spacing w:before="234"/>
        <w:jc w:val="left"/>
      </w:pPr>
      <w:r>
        <w:rPr>
          <w:spacing w:val="-2"/>
        </w:rPr>
        <w:t>Fractures</w:t>
      </w:r>
    </w:p>
    <w:p w14:paraId="7B26492D" w14:textId="77777777" w:rsidR="001825E2" w:rsidRDefault="000839A5" w:rsidP="00CB00A7">
      <w:pPr>
        <w:pStyle w:val="BodyText"/>
        <w:spacing w:before="114" w:line="247" w:lineRule="auto"/>
        <w:ind w:left="219" w:right="201"/>
        <w:jc w:val="left"/>
      </w:pPr>
      <w:r>
        <w:t>Fractures have been</w:t>
      </w:r>
      <w:r>
        <w:rPr>
          <w:spacing w:val="24"/>
        </w:rPr>
        <w:t xml:space="preserve"> </w:t>
      </w:r>
      <w:r>
        <w:t>observed</w:t>
      </w:r>
      <w:r>
        <w:rPr>
          <w:spacing w:val="38"/>
        </w:rPr>
        <w:t xml:space="preserve"> </w:t>
      </w:r>
      <w:r>
        <w:t>in</w:t>
      </w:r>
      <w:r>
        <w:rPr>
          <w:spacing w:val="24"/>
        </w:rPr>
        <w:t xml:space="preserve"> </w:t>
      </w:r>
      <w:r>
        <w:t>patients treated</w:t>
      </w:r>
      <w:r>
        <w:rPr>
          <w:spacing w:val="24"/>
        </w:rPr>
        <w:t xml:space="preserve"> </w:t>
      </w:r>
      <w:r>
        <w:t>with XELJANZ</w:t>
      </w:r>
      <w:r>
        <w:rPr>
          <w:spacing w:val="27"/>
        </w:rPr>
        <w:t xml:space="preserve"> </w:t>
      </w:r>
      <w:r>
        <w:t>in</w:t>
      </w:r>
      <w:r>
        <w:rPr>
          <w:spacing w:val="24"/>
        </w:rPr>
        <w:t xml:space="preserve"> </w:t>
      </w:r>
      <w:r>
        <w:t>clinical studies and</w:t>
      </w:r>
      <w:r>
        <w:rPr>
          <w:spacing w:val="24"/>
        </w:rPr>
        <w:t xml:space="preserve"> </w:t>
      </w:r>
      <w:r>
        <w:t>the post-marketing setting.</w:t>
      </w:r>
    </w:p>
    <w:p w14:paraId="06D2407B" w14:textId="77777777" w:rsidR="001825E2" w:rsidRDefault="000839A5" w:rsidP="00CB00A7">
      <w:pPr>
        <w:pStyle w:val="BodyText"/>
        <w:spacing w:before="227" w:line="242" w:lineRule="auto"/>
        <w:ind w:left="217" w:right="218" w:firstLine="1"/>
        <w:jc w:val="left"/>
      </w:pPr>
      <w:r>
        <w:t>In controlled Phase</w:t>
      </w:r>
      <w:r>
        <w:rPr>
          <w:spacing w:val="-3"/>
        </w:rPr>
        <w:t xml:space="preserve"> </w:t>
      </w:r>
      <w:r>
        <w:t>3 clinical studies in RA patients, during the 0 to 3 months exposure, the incidence rates for fractures for XELJANZ 5 mg twice</w:t>
      </w:r>
      <w:r>
        <w:rPr>
          <w:spacing w:val="-2"/>
        </w:rPr>
        <w:t xml:space="preserve"> </w:t>
      </w:r>
      <w:r>
        <w:t>daily, XELJANZ 10 mg twice daily, and placebo were 2.11, 2.56 and 4.43 patients with</w:t>
      </w:r>
      <w:r>
        <w:rPr>
          <w:spacing w:val="-7"/>
        </w:rPr>
        <w:t xml:space="preserve"> </w:t>
      </w:r>
      <w:r>
        <w:t>events per 100 PYs,</w:t>
      </w:r>
      <w:r>
        <w:rPr>
          <w:spacing w:val="-7"/>
        </w:rPr>
        <w:t xml:space="preserve"> </w:t>
      </w:r>
      <w:r>
        <w:t>respectively.</w:t>
      </w:r>
    </w:p>
    <w:p w14:paraId="4B006F59" w14:textId="77777777" w:rsidR="001825E2" w:rsidRDefault="000839A5" w:rsidP="00CB00A7">
      <w:pPr>
        <w:pStyle w:val="BodyText"/>
        <w:spacing w:before="229" w:line="242" w:lineRule="auto"/>
        <w:ind w:left="216" w:right="208"/>
        <w:jc w:val="left"/>
      </w:pPr>
      <w:r>
        <w:t xml:space="preserve">In a </w:t>
      </w:r>
      <w:proofErr w:type="gramStart"/>
      <w:r>
        <w:t xml:space="preserve">large </w:t>
      </w:r>
      <w:proofErr w:type="spellStart"/>
      <w:r>
        <w:t>randomised</w:t>
      </w:r>
      <w:proofErr w:type="spellEnd"/>
      <w:proofErr w:type="gramEnd"/>
      <w:r>
        <w:t xml:space="preserve"> PASS in RA patients who were 50</w:t>
      </w:r>
      <w:r>
        <w:rPr>
          <w:spacing w:val="-1"/>
        </w:rPr>
        <w:t xml:space="preserve"> </w:t>
      </w:r>
      <w:r>
        <w:t>years or older with at least one additional cardiovascular risk factor, fractures were observed across XELJANZ and TNF inhibitor treatment groups (see Section 4.8 Adverse</w:t>
      </w:r>
      <w:r>
        <w:rPr>
          <w:spacing w:val="-4"/>
        </w:rPr>
        <w:t xml:space="preserve"> </w:t>
      </w:r>
      <w:r>
        <w:t>Effects</w:t>
      </w:r>
      <w:r>
        <w:rPr>
          <w:spacing w:val="-7"/>
        </w:rPr>
        <w:t xml:space="preserve"> </w:t>
      </w:r>
      <w:r>
        <w:t>(Undesirable Effects)).</w:t>
      </w:r>
    </w:p>
    <w:p w14:paraId="6ABC79CE" w14:textId="77777777" w:rsidR="001825E2" w:rsidRDefault="000839A5" w:rsidP="00CB00A7">
      <w:pPr>
        <w:pStyle w:val="BodyText"/>
        <w:spacing w:before="248" w:line="235" w:lineRule="auto"/>
        <w:ind w:left="215" w:right="122"/>
        <w:jc w:val="left"/>
      </w:pPr>
      <w:r>
        <w:t>Caution</w:t>
      </w:r>
      <w:r>
        <w:rPr>
          <w:spacing w:val="40"/>
        </w:rPr>
        <w:t xml:space="preserve"> </w:t>
      </w:r>
      <w:r>
        <w:t>should</w:t>
      </w:r>
      <w:r>
        <w:rPr>
          <w:spacing w:val="40"/>
        </w:rPr>
        <w:t xml:space="preserve"> </w:t>
      </w:r>
      <w:r>
        <w:t>be</w:t>
      </w:r>
      <w:r>
        <w:rPr>
          <w:spacing w:val="40"/>
        </w:rPr>
        <w:t xml:space="preserve"> </w:t>
      </w:r>
      <w:r>
        <w:t>used</w:t>
      </w:r>
      <w:r>
        <w:rPr>
          <w:spacing w:val="40"/>
        </w:rPr>
        <w:t xml:space="preserve"> </w:t>
      </w:r>
      <w:r>
        <w:t>in</w:t>
      </w:r>
      <w:r>
        <w:rPr>
          <w:spacing w:val="40"/>
        </w:rPr>
        <w:t xml:space="preserve"> </w:t>
      </w:r>
      <w:r>
        <w:t>patients</w:t>
      </w:r>
      <w:r>
        <w:rPr>
          <w:spacing w:val="38"/>
        </w:rPr>
        <w:t xml:space="preserve"> </w:t>
      </w:r>
      <w:r>
        <w:t>with</w:t>
      </w:r>
      <w:r>
        <w:rPr>
          <w:spacing w:val="40"/>
        </w:rPr>
        <w:t xml:space="preserve"> </w:t>
      </w:r>
      <w:r>
        <w:t>known</w:t>
      </w:r>
      <w:r>
        <w:rPr>
          <w:spacing w:val="40"/>
        </w:rPr>
        <w:t xml:space="preserve"> </w:t>
      </w:r>
      <w:r>
        <w:t>risk</w:t>
      </w:r>
      <w:r>
        <w:rPr>
          <w:spacing w:val="40"/>
        </w:rPr>
        <w:t xml:space="preserve"> </w:t>
      </w:r>
      <w:r>
        <w:t>factors</w:t>
      </w:r>
      <w:r>
        <w:rPr>
          <w:spacing w:val="38"/>
        </w:rPr>
        <w:t xml:space="preserve"> </w:t>
      </w:r>
      <w:r>
        <w:t>for</w:t>
      </w:r>
      <w:r>
        <w:rPr>
          <w:spacing w:val="37"/>
        </w:rPr>
        <w:t xml:space="preserve"> </w:t>
      </w:r>
      <w:r>
        <w:t>fractures</w:t>
      </w:r>
      <w:r>
        <w:rPr>
          <w:spacing w:val="38"/>
        </w:rPr>
        <w:t xml:space="preserve"> </w:t>
      </w:r>
      <w:r>
        <w:t>such</w:t>
      </w:r>
      <w:r>
        <w:rPr>
          <w:spacing w:val="40"/>
        </w:rPr>
        <w:t xml:space="preserve"> </w:t>
      </w:r>
      <w:r>
        <w:t>as</w:t>
      </w:r>
      <w:r>
        <w:rPr>
          <w:spacing w:val="40"/>
        </w:rPr>
        <w:t xml:space="preserve"> </w:t>
      </w:r>
      <w:r>
        <w:t xml:space="preserve">elderly patients, female </w:t>
      </w:r>
      <w:proofErr w:type="gramStart"/>
      <w:r>
        <w:t>patients</w:t>
      </w:r>
      <w:proofErr w:type="gramEnd"/>
      <w:r>
        <w:t xml:space="preserve"> and patients with corticosteroid use.</w:t>
      </w:r>
    </w:p>
    <w:p w14:paraId="5B99B0D2" w14:textId="77777777" w:rsidR="001825E2" w:rsidRDefault="000839A5" w:rsidP="00CB00A7">
      <w:pPr>
        <w:pStyle w:val="Heading4"/>
        <w:spacing w:before="235"/>
        <w:ind w:left="215"/>
        <w:jc w:val="left"/>
      </w:pPr>
      <w:r>
        <w:rPr>
          <w:spacing w:val="-2"/>
        </w:rPr>
        <w:t>Hypersensitivity</w:t>
      </w:r>
    </w:p>
    <w:p w14:paraId="32215217" w14:textId="77777777" w:rsidR="001825E2" w:rsidRDefault="000839A5" w:rsidP="00CB00A7">
      <w:pPr>
        <w:pStyle w:val="BodyText"/>
        <w:spacing w:before="131" w:line="237" w:lineRule="auto"/>
        <w:ind w:left="213" w:right="235" w:firstLine="1"/>
        <w:jc w:val="left"/>
      </w:pPr>
      <w:r>
        <w:t>Reactions such as angioedema and urticaria that may reflect drug hypersensitivity have been observed</w:t>
      </w:r>
      <w:r>
        <w:rPr>
          <w:spacing w:val="40"/>
        </w:rPr>
        <w:t xml:space="preserve"> </w:t>
      </w:r>
      <w:r>
        <w:t>in patients receiving XELJANZ or XELJANZ XR. Some events were serious. Many</w:t>
      </w:r>
      <w:r>
        <w:rPr>
          <w:spacing w:val="-5"/>
        </w:rPr>
        <w:t xml:space="preserve"> </w:t>
      </w:r>
      <w:r>
        <w:t>of these</w:t>
      </w:r>
      <w:r>
        <w:rPr>
          <w:spacing w:val="-7"/>
        </w:rPr>
        <w:t xml:space="preserve"> </w:t>
      </w:r>
      <w:r>
        <w:t>events</w:t>
      </w:r>
      <w:r>
        <w:rPr>
          <w:spacing w:val="-8"/>
        </w:rPr>
        <w:t xml:space="preserve"> </w:t>
      </w:r>
      <w:r>
        <w:t>occurred in</w:t>
      </w:r>
      <w:r>
        <w:rPr>
          <w:spacing w:val="-5"/>
        </w:rPr>
        <w:t xml:space="preserve"> </w:t>
      </w:r>
      <w:r>
        <w:t>patients</w:t>
      </w:r>
      <w:r>
        <w:rPr>
          <w:spacing w:val="-8"/>
        </w:rPr>
        <w:t xml:space="preserve"> </w:t>
      </w:r>
      <w:r>
        <w:t>that have</w:t>
      </w:r>
      <w:r>
        <w:rPr>
          <w:spacing w:val="-7"/>
        </w:rPr>
        <w:t xml:space="preserve"> </w:t>
      </w:r>
      <w:r>
        <w:t>a</w:t>
      </w:r>
      <w:r>
        <w:rPr>
          <w:spacing w:val="-7"/>
        </w:rPr>
        <w:t xml:space="preserve"> </w:t>
      </w:r>
      <w:r>
        <w:t>history</w:t>
      </w:r>
      <w:r>
        <w:rPr>
          <w:spacing w:val="-5"/>
        </w:rPr>
        <w:t xml:space="preserve"> </w:t>
      </w:r>
      <w:r>
        <w:t>of multiple allergies.</w:t>
      </w:r>
      <w:r>
        <w:rPr>
          <w:spacing w:val="-5"/>
        </w:rPr>
        <w:t xml:space="preserve"> </w:t>
      </w:r>
      <w:r>
        <w:t>If a</w:t>
      </w:r>
      <w:r>
        <w:rPr>
          <w:spacing w:val="-7"/>
        </w:rPr>
        <w:t xml:space="preserve"> </w:t>
      </w:r>
      <w:r>
        <w:t>serious hypersensitivity reaction occurs, promptly discontinue tofacitinib while evaluating the potential cause or causes of the reaction.</w:t>
      </w:r>
    </w:p>
    <w:p w14:paraId="4357021D" w14:textId="77777777" w:rsidR="001825E2" w:rsidRDefault="001825E2" w:rsidP="00CB00A7">
      <w:pPr>
        <w:spacing w:line="237" w:lineRule="auto"/>
        <w:sectPr w:rsidR="001825E2">
          <w:pgSz w:w="11910" w:h="16850"/>
          <w:pgMar w:top="1360" w:right="1220" w:bottom="980" w:left="1220" w:header="0" w:footer="785" w:gutter="0"/>
          <w:cols w:space="720"/>
        </w:sectPr>
      </w:pPr>
    </w:p>
    <w:p w14:paraId="7BF8F07E" w14:textId="77777777" w:rsidR="001825E2" w:rsidRDefault="000839A5" w:rsidP="00CB00A7">
      <w:pPr>
        <w:pStyle w:val="Heading4"/>
        <w:spacing w:before="76"/>
        <w:jc w:val="left"/>
      </w:pPr>
      <w:r>
        <w:rPr>
          <w:spacing w:val="-2"/>
        </w:rPr>
        <w:lastRenderedPageBreak/>
        <w:t>Vaccinations</w:t>
      </w:r>
    </w:p>
    <w:p w14:paraId="182F0970" w14:textId="77777777" w:rsidR="001825E2" w:rsidRDefault="000839A5" w:rsidP="00CB00A7">
      <w:pPr>
        <w:pStyle w:val="BodyText"/>
        <w:spacing w:before="114" w:line="242" w:lineRule="auto"/>
        <w:ind w:left="215" w:right="203" w:firstLine="4"/>
        <w:jc w:val="left"/>
      </w:pPr>
      <w:r>
        <w:t>No data are available on the secondary transmission of infection by live vaccines to patients receiving XELJANZ or</w:t>
      </w:r>
      <w:r>
        <w:rPr>
          <w:spacing w:val="-9"/>
        </w:rPr>
        <w:t xml:space="preserve"> </w:t>
      </w:r>
      <w:r>
        <w:t>XELJANZ</w:t>
      </w:r>
      <w:r>
        <w:rPr>
          <w:spacing w:val="-1"/>
        </w:rPr>
        <w:t xml:space="preserve"> </w:t>
      </w:r>
      <w:r>
        <w:t>XR.</w:t>
      </w:r>
      <w:r>
        <w:rPr>
          <w:spacing w:val="-4"/>
        </w:rPr>
        <w:t xml:space="preserve"> </w:t>
      </w:r>
      <w:r>
        <w:t>Live vaccines should not be given concurrently with XELJANZ or XELJANZ XR.</w:t>
      </w:r>
      <w:r>
        <w:rPr>
          <w:spacing w:val="-1"/>
        </w:rPr>
        <w:t xml:space="preserve"> </w:t>
      </w:r>
      <w:r>
        <w:t>It is recommended that all patients be brought up to date</w:t>
      </w:r>
      <w:r>
        <w:rPr>
          <w:spacing w:val="-2"/>
        </w:rPr>
        <w:t xml:space="preserve"> </w:t>
      </w:r>
      <w:r>
        <w:t xml:space="preserve">with all </w:t>
      </w:r>
      <w:proofErr w:type="spellStart"/>
      <w:r>
        <w:t>immunisations</w:t>
      </w:r>
      <w:proofErr w:type="spellEnd"/>
      <w:r>
        <w:t xml:space="preserve"> in agreement with current </w:t>
      </w:r>
      <w:proofErr w:type="spellStart"/>
      <w:r>
        <w:t>immunisation</w:t>
      </w:r>
      <w:proofErr w:type="spellEnd"/>
      <w:r>
        <w:t xml:space="preserve"> guidelines prior to initiating XELJANZ or XELJANZ XR therapy. The decision to use live vaccines</w:t>
      </w:r>
      <w:r>
        <w:rPr>
          <w:spacing w:val="29"/>
        </w:rPr>
        <w:t xml:space="preserve"> </w:t>
      </w:r>
      <w:r>
        <w:t>prior to XELJANZ</w:t>
      </w:r>
      <w:r>
        <w:rPr>
          <w:spacing w:val="40"/>
        </w:rPr>
        <w:t xml:space="preserve"> </w:t>
      </w:r>
      <w:r>
        <w:t>or XELJANZ XR treatment</w:t>
      </w:r>
      <w:r>
        <w:rPr>
          <w:spacing w:val="23"/>
        </w:rPr>
        <w:t xml:space="preserve"> </w:t>
      </w:r>
      <w:r>
        <w:t xml:space="preserve">should </w:t>
      </w:r>
      <w:proofErr w:type="gramStart"/>
      <w:r>
        <w:t>take into account</w:t>
      </w:r>
      <w:proofErr w:type="gramEnd"/>
      <w:r>
        <w:t xml:space="preserve"> the pre-existing immunosuppression in</w:t>
      </w:r>
      <w:r>
        <w:rPr>
          <w:spacing w:val="40"/>
        </w:rPr>
        <w:t xml:space="preserve"> </w:t>
      </w:r>
      <w:r>
        <w:t>a given patient.</w:t>
      </w:r>
    </w:p>
    <w:p w14:paraId="5F89C44F" w14:textId="77777777" w:rsidR="001825E2" w:rsidRDefault="000839A5" w:rsidP="00CB00A7">
      <w:pPr>
        <w:pStyle w:val="BodyText"/>
        <w:spacing w:before="224" w:line="242" w:lineRule="auto"/>
        <w:ind w:left="213" w:right="208" w:firstLine="2"/>
        <w:jc w:val="left"/>
      </w:pPr>
      <w:r>
        <w:t>Prophylactic zoster vaccination should be considered in accordance with vaccination guidelines.</w:t>
      </w:r>
      <w:r>
        <w:rPr>
          <w:spacing w:val="40"/>
        </w:rPr>
        <w:t xml:space="preserve"> </w:t>
      </w:r>
      <w:proofErr w:type="gramStart"/>
      <w:r>
        <w:t>Particular consideration</w:t>
      </w:r>
      <w:proofErr w:type="gramEnd"/>
      <w:r>
        <w:t xml:space="preserve"> should be given to patients with longstanding RA who have previously received two or more biological DMARDs. The interval between live vaccinations and initiation of XELJANZ or XELJANZ XR therapy should be in accordance with</w:t>
      </w:r>
      <w:r>
        <w:rPr>
          <w:spacing w:val="-4"/>
        </w:rPr>
        <w:t xml:space="preserve"> </w:t>
      </w:r>
      <w:r>
        <w:t>current vaccination guidelines regarding immunomodulatory agents.</w:t>
      </w:r>
    </w:p>
    <w:p w14:paraId="433CF480" w14:textId="77777777" w:rsidR="001825E2" w:rsidRDefault="000839A5" w:rsidP="00CB00A7">
      <w:pPr>
        <w:pStyle w:val="BodyText"/>
        <w:spacing w:before="226"/>
        <w:ind w:left="209" w:right="224" w:firstLine="3"/>
        <w:jc w:val="left"/>
      </w:pPr>
      <w:r>
        <w:t>In a controlled clinical trial, the humoral response to concurrent vaccination with influenza and pneumococcal polysaccharide vaccines in patients with RA initiating tofacitinib 10</w:t>
      </w:r>
      <w:r>
        <w:rPr>
          <w:spacing w:val="-4"/>
        </w:rPr>
        <w:t xml:space="preserve"> </w:t>
      </w:r>
      <w:r>
        <w:t>mg twice</w:t>
      </w:r>
      <w:r>
        <w:rPr>
          <w:spacing w:val="-1"/>
        </w:rPr>
        <w:t xml:space="preserve"> </w:t>
      </w:r>
      <w:r>
        <w:t>daily or</w:t>
      </w:r>
      <w:r>
        <w:rPr>
          <w:spacing w:val="-4"/>
        </w:rPr>
        <w:t xml:space="preserve"> </w:t>
      </w:r>
      <w:r>
        <w:t>placebo was</w:t>
      </w:r>
      <w:r>
        <w:rPr>
          <w:spacing w:val="-3"/>
        </w:rPr>
        <w:t xml:space="preserve"> </w:t>
      </w:r>
      <w:r>
        <w:t>evaluated. A similar</w:t>
      </w:r>
      <w:r>
        <w:rPr>
          <w:spacing w:val="-4"/>
        </w:rPr>
        <w:t xml:space="preserve"> </w:t>
      </w:r>
      <w:r>
        <w:t>percentage</w:t>
      </w:r>
      <w:r>
        <w:rPr>
          <w:spacing w:val="-1"/>
        </w:rPr>
        <w:t xml:space="preserve"> </w:t>
      </w:r>
      <w:r>
        <w:t>of patients</w:t>
      </w:r>
      <w:r>
        <w:rPr>
          <w:spacing w:val="-3"/>
        </w:rPr>
        <w:t xml:space="preserve"> </w:t>
      </w:r>
      <w:r>
        <w:t>achieved a</w:t>
      </w:r>
      <w:r>
        <w:rPr>
          <w:spacing w:val="-1"/>
        </w:rPr>
        <w:t xml:space="preserve"> </w:t>
      </w:r>
      <w:r>
        <w:t>satisfactory humoral response</w:t>
      </w:r>
      <w:r>
        <w:rPr>
          <w:spacing w:val="-5"/>
        </w:rPr>
        <w:t xml:space="preserve"> </w:t>
      </w:r>
      <w:r>
        <w:t>to</w:t>
      </w:r>
      <w:r>
        <w:rPr>
          <w:spacing w:val="-3"/>
        </w:rPr>
        <w:t xml:space="preserve"> </w:t>
      </w:r>
      <w:r>
        <w:t>influenza</w:t>
      </w:r>
      <w:r>
        <w:rPr>
          <w:spacing w:val="-5"/>
        </w:rPr>
        <w:t xml:space="preserve"> </w:t>
      </w:r>
      <w:r>
        <w:t>vaccine (≥4-fold increase</w:t>
      </w:r>
      <w:r>
        <w:rPr>
          <w:spacing w:val="-5"/>
        </w:rPr>
        <w:t xml:space="preserve"> </w:t>
      </w:r>
      <w:r>
        <w:t>in ≥2</w:t>
      </w:r>
      <w:r>
        <w:rPr>
          <w:spacing w:val="-3"/>
        </w:rPr>
        <w:t xml:space="preserve"> </w:t>
      </w:r>
      <w:r>
        <w:t>of 3</w:t>
      </w:r>
      <w:r>
        <w:rPr>
          <w:spacing w:val="-3"/>
        </w:rPr>
        <w:t xml:space="preserve"> </w:t>
      </w:r>
      <w:r>
        <w:t>antigens)</w:t>
      </w:r>
      <w:r>
        <w:rPr>
          <w:spacing w:val="-7"/>
        </w:rPr>
        <w:t xml:space="preserve"> </w:t>
      </w:r>
      <w:r>
        <w:t>in</w:t>
      </w:r>
      <w:r>
        <w:rPr>
          <w:spacing w:val="-3"/>
        </w:rPr>
        <w:t xml:space="preserve"> </w:t>
      </w:r>
      <w:r>
        <w:t>the</w:t>
      </w:r>
      <w:r>
        <w:rPr>
          <w:spacing w:val="-5"/>
        </w:rPr>
        <w:t xml:space="preserve"> </w:t>
      </w:r>
      <w:r>
        <w:t>tofacitinib (57%) and placebo (62%) treatment groups. A modest reduction</w:t>
      </w:r>
      <w:r>
        <w:rPr>
          <w:spacing w:val="-3"/>
        </w:rPr>
        <w:t xml:space="preserve"> </w:t>
      </w:r>
      <w:r>
        <w:t>in the</w:t>
      </w:r>
      <w:r>
        <w:rPr>
          <w:spacing w:val="-5"/>
        </w:rPr>
        <w:t xml:space="preserve"> </w:t>
      </w:r>
      <w:r>
        <w:t>percentage</w:t>
      </w:r>
      <w:r>
        <w:rPr>
          <w:spacing w:val="-5"/>
        </w:rPr>
        <w:t xml:space="preserve"> </w:t>
      </w:r>
      <w:r>
        <w:t>of patients who</w:t>
      </w:r>
      <w:r>
        <w:rPr>
          <w:spacing w:val="40"/>
        </w:rPr>
        <w:t xml:space="preserve"> </w:t>
      </w:r>
      <w:r>
        <w:t>achieved</w:t>
      </w:r>
      <w:r>
        <w:rPr>
          <w:spacing w:val="40"/>
        </w:rPr>
        <w:t xml:space="preserve"> </w:t>
      </w:r>
      <w:r>
        <w:t>a</w:t>
      </w:r>
      <w:r>
        <w:rPr>
          <w:spacing w:val="40"/>
        </w:rPr>
        <w:t xml:space="preserve"> </w:t>
      </w:r>
      <w:r>
        <w:t>satisfactory</w:t>
      </w:r>
      <w:r>
        <w:rPr>
          <w:spacing w:val="40"/>
        </w:rPr>
        <w:t xml:space="preserve"> </w:t>
      </w:r>
      <w:r>
        <w:t>humoral</w:t>
      </w:r>
      <w:r>
        <w:rPr>
          <w:spacing w:val="40"/>
        </w:rPr>
        <w:t xml:space="preserve"> </w:t>
      </w:r>
      <w:r>
        <w:t>response</w:t>
      </w:r>
      <w:r>
        <w:rPr>
          <w:spacing w:val="40"/>
        </w:rPr>
        <w:t xml:space="preserve"> </w:t>
      </w:r>
      <w:r>
        <w:t>to</w:t>
      </w:r>
      <w:r>
        <w:rPr>
          <w:spacing w:val="40"/>
        </w:rPr>
        <w:t xml:space="preserve"> </w:t>
      </w:r>
      <w:r>
        <w:t>pneumococcal</w:t>
      </w:r>
      <w:r>
        <w:rPr>
          <w:spacing w:val="40"/>
        </w:rPr>
        <w:t xml:space="preserve"> </w:t>
      </w:r>
      <w:r>
        <w:t>polysaccharide</w:t>
      </w:r>
      <w:r>
        <w:rPr>
          <w:spacing w:val="40"/>
        </w:rPr>
        <w:t xml:space="preserve"> </w:t>
      </w:r>
      <w:r>
        <w:t>vaccine (≥2-fold increase in ≥6</w:t>
      </w:r>
      <w:r>
        <w:rPr>
          <w:spacing w:val="-5"/>
        </w:rPr>
        <w:t xml:space="preserve"> </w:t>
      </w:r>
      <w:r>
        <w:t>of 12</w:t>
      </w:r>
      <w:r>
        <w:rPr>
          <w:spacing w:val="-4"/>
        </w:rPr>
        <w:t xml:space="preserve"> </w:t>
      </w:r>
      <w:r>
        <w:t>serotypes) was observed in patients treated with tofacitinib monotherapy (62%) and MTX monotherapy (62%) as compared with placebo (77%), with a greater reduction in the response rate of patients receiving both tofacitinib and MTX (32%). The clinical significance of this is unknown.</w:t>
      </w:r>
    </w:p>
    <w:p w14:paraId="147C9843" w14:textId="77777777" w:rsidR="001825E2" w:rsidRDefault="000839A5" w:rsidP="00CB00A7">
      <w:pPr>
        <w:pStyle w:val="BodyText"/>
        <w:spacing w:before="241" w:line="242" w:lineRule="auto"/>
        <w:ind w:left="208" w:right="229" w:firstLine="1"/>
        <w:jc w:val="left"/>
      </w:pPr>
      <w:r>
        <w:t>A separate vaccine study evaluated the humoral response to concurrent vaccination with influenza and pneumococcal polysaccharide vaccines in patients receiving tofacitinib 10</w:t>
      </w:r>
      <w:r>
        <w:rPr>
          <w:spacing w:val="-3"/>
        </w:rPr>
        <w:t xml:space="preserve"> </w:t>
      </w:r>
      <w:r>
        <w:t>mg twice daily for a median of approximately 22</w:t>
      </w:r>
      <w:r>
        <w:rPr>
          <w:spacing w:val="-4"/>
        </w:rPr>
        <w:t xml:space="preserve"> </w:t>
      </w:r>
      <w:r>
        <w:t>months. Greater than 60% of patients treated with tofacitinib (with or without MTX) had satisfactory responses to influenza and pneumococcal vaccines. Consistent with the controlled trial, patients receiving both tofacitinib and MTX had a lower response rate to pneumococcal polysaccharide vaccine as compared with tofacitinib</w:t>
      </w:r>
      <w:r>
        <w:rPr>
          <w:spacing w:val="-1"/>
        </w:rPr>
        <w:t xml:space="preserve"> </w:t>
      </w:r>
      <w:r>
        <w:t>monotherapy (66% vs. 89%).</w:t>
      </w:r>
    </w:p>
    <w:p w14:paraId="0AE9F9F1" w14:textId="77777777" w:rsidR="001825E2" w:rsidRDefault="000839A5" w:rsidP="00CB00A7">
      <w:pPr>
        <w:pStyle w:val="BodyText"/>
        <w:spacing w:before="224"/>
        <w:ind w:left="206" w:right="211" w:firstLine="1"/>
        <w:jc w:val="left"/>
      </w:pPr>
      <w:r>
        <w:t xml:space="preserve">A controlled study in patients with RA on background MTX evaluated the humoral and cell mediated responses to </w:t>
      </w:r>
      <w:proofErr w:type="spellStart"/>
      <w:r>
        <w:t>immunisation</w:t>
      </w:r>
      <w:proofErr w:type="spellEnd"/>
      <w:r>
        <w:t xml:space="preserve"> with a live attenuated virus vaccine indicated for prevention of herpes zoster. The </w:t>
      </w:r>
      <w:proofErr w:type="spellStart"/>
      <w:r>
        <w:t>immunisation</w:t>
      </w:r>
      <w:proofErr w:type="spellEnd"/>
      <w:r>
        <w:t xml:space="preserve"> occurred 2 to 3 weeks before initiating a 12- week treatment with tofacitinib 5</w:t>
      </w:r>
      <w:r>
        <w:rPr>
          <w:spacing w:val="-1"/>
        </w:rPr>
        <w:t xml:space="preserve"> </w:t>
      </w:r>
      <w:r>
        <w:t xml:space="preserve">mg twice daily or placebo. Six weeks after </w:t>
      </w:r>
      <w:proofErr w:type="spellStart"/>
      <w:r>
        <w:t>immunisation</w:t>
      </w:r>
      <w:proofErr w:type="spellEnd"/>
      <w:r>
        <w:t xml:space="preserve"> with the zoster vaccine, tofacitinib and placebo recipients exhibited similar humoral and cell mediated responses (mean fold change of varicella zoster virus [VZV] Immunoglobulin G [IgG] antibodies 2.11 in tofacitinib 5</w:t>
      </w:r>
      <w:r>
        <w:rPr>
          <w:spacing w:val="-4"/>
        </w:rPr>
        <w:t xml:space="preserve"> </w:t>
      </w:r>
      <w:r>
        <w:t>mg twice daily and</w:t>
      </w:r>
      <w:r>
        <w:rPr>
          <w:spacing w:val="39"/>
        </w:rPr>
        <w:t xml:space="preserve"> </w:t>
      </w:r>
      <w:r>
        <w:t>1.74 in placebo twice daily</w:t>
      </w:r>
      <w:r>
        <w:t>; VZV IgG fold-rise ≥</w:t>
      </w:r>
      <w:r>
        <w:rPr>
          <w:spacing w:val="-2"/>
        </w:rPr>
        <w:t xml:space="preserve"> </w:t>
      </w:r>
      <w:r>
        <w:t>1.5 in 57% of tofacitinib recipients and in 43% of placebo recipients; mean fold change of VZV T-cell ELISPOT</w:t>
      </w:r>
      <w:r>
        <w:rPr>
          <w:spacing w:val="-1"/>
        </w:rPr>
        <w:t xml:space="preserve"> </w:t>
      </w:r>
      <w:r>
        <w:t>Spot Forming Cells 1.5 in tofacitinib 5</w:t>
      </w:r>
      <w:r>
        <w:rPr>
          <w:spacing w:val="-4"/>
        </w:rPr>
        <w:t xml:space="preserve"> </w:t>
      </w:r>
      <w:r>
        <w:t xml:space="preserve">mg twice daily and 1.29 in placebo twice daily). These responses were </w:t>
      </w:r>
      <w:proofErr w:type="gramStart"/>
      <w:r>
        <w:t>similar to</w:t>
      </w:r>
      <w:proofErr w:type="gramEnd"/>
      <w:r>
        <w:t xml:space="preserve"> those observed in healthy volunteers aged 50 years and older.</w:t>
      </w:r>
    </w:p>
    <w:p w14:paraId="4D263D7C" w14:textId="77777777" w:rsidR="001825E2" w:rsidRDefault="000839A5" w:rsidP="00CB00A7">
      <w:pPr>
        <w:pStyle w:val="BodyText"/>
        <w:spacing w:before="233" w:line="242" w:lineRule="auto"/>
        <w:ind w:left="218" w:right="199" w:firstLine="1"/>
        <w:jc w:val="left"/>
      </w:pPr>
      <w:r>
        <w:t>In this study, one patient experienced dissemination of the vaccine strain of VZV, 16</w:t>
      </w:r>
      <w:r>
        <w:rPr>
          <w:spacing w:val="-15"/>
        </w:rPr>
        <w:t xml:space="preserve"> </w:t>
      </w:r>
      <w:r>
        <w:t>days after vaccination and 2 days after initiation of tofacitinib. The patient was varicella virus naïve, as evidenced by no previous history of varicella infection and no anti-varicella antibodies</w:t>
      </w:r>
      <w:r>
        <w:rPr>
          <w:spacing w:val="2"/>
        </w:rPr>
        <w:t xml:space="preserve"> </w:t>
      </w:r>
      <w:r>
        <w:t>at</w:t>
      </w:r>
      <w:r>
        <w:rPr>
          <w:spacing w:val="1"/>
        </w:rPr>
        <w:t xml:space="preserve"> </w:t>
      </w:r>
      <w:r>
        <w:t>baseline.</w:t>
      </w:r>
      <w:r>
        <w:rPr>
          <w:spacing w:val="8"/>
        </w:rPr>
        <w:t xml:space="preserve"> </w:t>
      </w:r>
      <w:r>
        <w:t>Tofacitinib</w:t>
      </w:r>
      <w:r>
        <w:rPr>
          <w:spacing w:val="7"/>
        </w:rPr>
        <w:t xml:space="preserve"> </w:t>
      </w:r>
      <w:r>
        <w:t>was</w:t>
      </w:r>
      <w:r>
        <w:rPr>
          <w:spacing w:val="4"/>
        </w:rPr>
        <w:t xml:space="preserve"> </w:t>
      </w:r>
      <w:r>
        <w:t>discontinued</w:t>
      </w:r>
      <w:r>
        <w:rPr>
          <w:spacing w:val="22"/>
        </w:rPr>
        <w:t xml:space="preserve"> </w:t>
      </w:r>
      <w:r>
        <w:t>and</w:t>
      </w:r>
      <w:r>
        <w:rPr>
          <w:spacing w:val="7"/>
        </w:rPr>
        <w:t xml:space="preserve"> </w:t>
      </w:r>
      <w:r>
        <w:t>the</w:t>
      </w:r>
      <w:r>
        <w:rPr>
          <w:spacing w:val="-7"/>
        </w:rPr>
        <w:t xml:space="preserve"> </w:t>
      </w:r>
      <w:r>
        <w:t>subject</w:t>
      </w:r>
      <w:r>
        <w:rPr>
          <w:spacing w:val="15"/>
        </w:rPr>
        <w:t xml:space="preserve"> </w:t>
      </w:r>
      <w:r>
        <w:t>recovered</w:t>
      </w:r>
      <w:r>
        <w:rPr>
          <w:spacing w:val="21"/>
        </w:rPr>
        <w:t xml:space="preserve"> </w:t>
      </w:r>
      <w:r>
        <w:t>after</w:t>
      </w:r>
      <w:r>
        <w:rPr>
          <w:spacing w:val="-10"/>
        </w:rPr>
        <w:t xml:space="preserve"> </w:t>
      </w:r>
      <w:proofErr w:type="gramStart"/>
      <w:r>
        <w:rPr>
          <w:spacing w:val="-2"/>
        </w:rPr>
        <w:t>treatment</w:t>
      </w:r>
      <w:proofErr w:type="gramEnd"/>
    </w:p>
    <w:p w14:paraId="4F119AF5" w14:textId="77777777" w:rsidR="001825E2" w:rsidRDefault="001825E2" w:rsidP="00CB00A7">
      <w:pPr>
        <w:spacing w:line="242" w:lineRule="auto"/>
        <w:sectPr w:rsidR="001825E2">
          <w:pgSz w:w="11910" w:h="16850"/>
          <w:pgMar w:top="1360" w:right="1220" w:bottom="980" w:left="1220" w:header="0" w:footer="785" w:gutter="0"/>
          <w:cols w:space="720"/>
        </w:sectPr>
      </w:pPr>
    </w:p>
    <w:p w14:paraId="71728BD5" w14:textId="77777777" w:rsidR="001825E2" w:rsidRDefault="000839A5" w:rsidP="00CB00A7">
      <w:pPr>
        <w:pStyle w:val="BodyText"/>
        <w:spacing w:before="76" w:line="242" w:lineRule="auto"/>
        <w:ind w:left="218" w:right="201" w:firstLine="1"/>
        <w:jc w:val="left"/>
      </w:pPr>
      <w:r>
        <w:lastRenderedPageBreak/>
        <w:t>with</w:t>
      </w:r>
      <w:r>
        <w:rPr>
          <w:spacing w:val="-2"/>
        </w:rPr>
        <w:t xml:space="preserve"> </w:t>
      </w:r>
      <w:r>
        <w:t>standard</w:t>
      </w:r>
      <w:r>
        <w:rPr>
          <w:spacing w:val="-2"/>
        </w:rPr>
        <w:t xml:space="preserve"> </w:t>
      </w:r>
      <w:r>
        <w:t>doses</w:t>
      </w:r>
      <w:r>
        <w:rPr>
          <w:spacing w:val="-6"/>
        </w:rPr>
        <w:t xml:space="preserve"> </w:t>
      </w:r>
      <w:r>
        <w:t>of antiviral medication.</w:t>
      </w:r>
      <w:r>
        <w:rPr>
          <w:spacing w:val="-2"/>
        </w:rPr>
        <w:t xml:space="preserve"> </w:t>
      </w:r>
      <w:r>
        <w:t>Subsequent testing</w:t>
      </w:r>
      <w:r>
        <w:rPr>
          <w:spacing w:val="-2"/>
        </w:rPr>
        <w:t xml:space="preserve"> </w:t>
      </w:r>
      <w:r>
        <w:t>showed that this</w:t>
      </w:r>
      <w:r>
        <w:rPr>
          <w:spacing w:val="-6"/>
        </w:rPr>
        <w:t xml:space="preserve"> </w:t>
      </w:r>
      <w:r>
        <w:t>patient made robust anti-varicella T-cell and</w:t>
      </w:r>
      <w:r>
        <w:rPr>
          <w:spacing w:val="40"/>
        </w:rPr>
        <w:t xml:space="preserve"> </w:t>
      </w:r>
      <w:r>
        <w:t>antibody responses to the vaccine approximately 6</w:t>
      </w:r>
      <w:r>
        <w:rPr>
          <w:spacing w:val="-1"/>
        </w:rPr>
        <w:t xml:space="preserve"> </w:t>
      </w:r>
      <w:r>
        <w:t>weeks post-vaccination, but not at 2 weeks post-vaccination, as expected for a primary</w:t>
      </w:r>
      <w:r>
        <w:rPr>
          <w:spacing w:val="40"/>
        </w:rPr>
        <w:t xml:space="preserve"> </w:t>
      </w:r>
      <w:r>
        <w:t>infection.</w:t>
      </w:r>
    </w:p>
    <w:p w14:paraId="526B5A9F" w14:textId="77777777" w:rsidR="001825E2" w:rsidRDefault="000839A5" w:rsidP="00CB00A7">
      <w:pPr>
        <w:pStyle w:val="BodyText"/>
        <w:spacing w:before="228"/>
        <w:ind w:left="218"/>
        <w:jc w:val="left"/>
      </w:pPr>
      <w:r>
        <w:t>Retention</w:t>
      </w:r>
      <w:r>
        <w:rPr>
          <w:spacing w:val="-17"/>
        </w:rPr>
        <w:t xml:space="preserve"> </w:t>
      </w:r>
      <w:r>
        <w:t>of</w:t>
      </w:r>
      <w:r>
        <w:rPr>
          <w:spacing w:val="3"/>
        </w:rPr>
        <w:t xml:space="preserve"> </w:t>
      </w:r>
      <w:proofErr w:type="spellStart"/>
      <w:r>
        <w:t>immunisation</w:t>
      </w:r>
      <w:proofErr w:type="spellEnd"/>
      <w:r>
        <w:rPr>
          <w:spacing w:val="27"/>
        </w:rPr>
        <w:t xml:space="preserve"> </w:t>
      </w:r>
      <w:r>
        <w:t>protection</w:t>
      </w:r>
      <w:r>
        <w:rPr>
          <w:spacing w:val="-3"/>
        </w:rPr>
        <w:t xml:space="preserve"> </w:t>
      </w:r>
      <w:r>
        <w:t>with</w:t>
      </w:r>
      <w:r>
        <w:rPr>
          <w:spacing w:val="-15"/>
        </w:rPr>
        <w:t xml:space="preserve"> </w:t>
      </w:r>
      <w:r>
        <w:t>tofacitinib</w:t>
      </w:r>
      <w:r>
        <w:rPr>
          <w:spacing w:val="-2"/>
        </w:rPr>
        <w:t xml:space="preserve"> </w:t>
      </w:r>
      <w:r>
        <w:t>has</w:t>
      </w:r>
      <w:r>
        <w:rPr>
          <w:spacing w:val="-6"/>
        </w:rPr>
        <w:t xml:space="preserve"> </w:t>
      </w:r>
      <w:r>
        <w:t>not</w:t>
      </w:r>
      <w:r>
        <w:rPr>
          <w:spacing w:val="5"/>
        </w:rPr>
        <w:t xml:space="preserve"> </w:t>
      </w:r>
      <w:r>
        <w:t>been</w:t>
      </w:r>
      <w:r>
        <w:rPr>
          <w:spacing w:val="-2"/>
        </w:rPr>
        <w:t xml:space="preserve"> evaluated.</w:t>
      </w:r>
    </w:p>
    <w:p w14:paraId="7B80637E" w14:textId="77777777" w:rsidR="001825E2" w:rsidRDefault="000839A5" w:rsidP="00CB00A7">
      <w:pPr>
        <w:pStyle w:val="Heading4"/>
        <w:ind w:left="218"/>
        <w:jc w:val="left"/>
      </w:pPr>
      <w:r>
        <w:t>Interstitial</w:t>
      </w:r>
      <w:r>
        <w:rPr>
          <w:spacing w:val="10"/>
        </w:rPr>
        <w:t xml:space="preserve"> </w:t>
      </w:r>
      <w:r>
        <w:t>Lung</w:t>
      </w:r>
      <w:r>
        <w:rPr>
          <w:spacing w:val="-15"/>
        </w:rPr>
        <w:t xml:space="preserve"> </w:t>
      </w:r>
      <w:r>
        <w:rPr>
          <w:spacing w:val="-2"/>
        </w:rPr>
        <w:t>Disease</w:t>
      </w:r>
    </w:p>
    <w:p w14:paraId="0775E1E5" w14:textId="77777777" w:rsidR="001825E2" w:rsidRDefault="000839A5" w:rsidP="00CB00A7">
      <w:pPr>
        <w:pStyle w:val="BodyText"/>
        <w:spacing w:before="114"/>
        <w:ind w:left="217" w:right="219"/>
        <w:jc w:val="left"/>
      </w:pPr>
      <w:r>
        <w:t>Events of interstitial lung disease (ILD), some of which had a fatal outcome, have been reported in clinical trials with XELJANZ in RA patients, and in the post-marketing setting, although the role of JAK inhibition in these events</w:t>
      </w:r>
      <w:r>
        <w:rPr>
          <w:spacing w:val="-8"/>
        </w:rPr>
        <w:t xml:space="preserve"> </w:t>
      </w:r>
      <w:r>
        <w:t>is not known.</w:t>
      </w:r>
      <w:r>
        <w:rPr>
          <w:spacing w:val="-5"/>
        </w:rPr>
        <w:t xml:space="preserve"> </w:t>
      </w:r>
      <w:r>
        <w:t>All patients who</w:t>
      </w:r>
      <w:r>
        <w:rPr>
          <w:spacing w:val="-15"/>
        </w:rPr>
        <w:t xml:space="preserve"> </w:t>
      </w:r>
      <w:r>
        <w:t xml:space="preserve">developed ILD in clinical trials were taking concomitant MTX, corticosteroids and/or sulfasalazine, which have been associated with ILD. Asian patients had an increased risk of ILD (see Section 4.4 Special Warnings and Precautions </w:t>
      </w:r>
      <w:proofErr w:type="gramStart"/>
      <w:r>
        <w:t>For</w:t>
      </w:r>
      <w:proofErr w:type="gramEnd"/>
      <w:r>
        <w:t xml:space="preserve"> Use, Asian Patients).</w:t>
      </w:r>
    </w:p>
    <w:p w14:paraId="5067D140" w14:textId="77777777" w:rsidR="001825E2" w:rsidRDefault="000839A5" w:rsidP="00CB00A7">
      <w:pPr>
        <w:pStyle w:val="BodyText"/>
        <w:spacing w:before="235" w:line="247" w:lineRule="auto"/>
        <w:ind w:left="216" w:right="237"/>
        <w:jc w:val="left"/>
      </w:pPr>
      <w:r>
        <w:t>XELJANZ and</w:t>
      </w:r>
      <w:r>
        <w:rPr>
          <w:spacing w:val="21"/>
        </w:rPr>
        <w:t xml:space="preserve"> </w:t>
      </w:r>
      <w:r>
        <w:t>XELJANZ XR should</w:t>
      </w:r>
      <w:r>
        <w:rPr>
          <w:spacing w:val="22"/>
        </w:rPr>
        <w:t xml:space="preserve"> </w:t>
      </w:r>
      <w:r>
        <w:t>be used with caution in patients with a risk or history of ILD.</w:t>
      </w:r>
    </w:p>
    <w:p w14:paraId="39D373E5" w14:textId="77777777" w:rsidR="001825E2" w:rsidRDefault="000839A5" w:rsidP="00CB00A7">
      <w:pPr>
        <w:pStyle w:val="Heading4"/>
        <w:spacing w:before="226"/>
        <w:ind w:left="216"/>
        <w:jc w:val="left"/>
      </w:pPr>
      <w:r>
        <w:rPr>
          <w:spacing w:val="-2"/>
        </w:rPr>
        <w:t>Lymphocytes</w:t>
      </w:r>
    </w:p>
    <w:p w14:paraId="0011E466" w14:textId="77777777" w:rsidR="001825E2" w:rsidRDefault="000839A5" w:rsidP="00CB00A7">
      <w:pPr>
        <w:pStyle w:val="BodyText"/>
        <w:spacing w:before="129"/>
        <w:ind w:left="214" w:right="217" w:firstLine="1"/>
        <w:jc w:val="left"/>
      </w:pPr>
      <w:r>
        <w:t>Treatment with XELJANZ was associated with initial lymphocytosis at one month of exposure followed by a gradual decrease in mean lymphocyte counts below the baseline of approximately 10% during 12</w:t>
      </w:r>
      <w:r>
        <w:rPr>
          <w:spacing w:val="-2"/>
        </w:rPr>
        <w:t xml:space="preserve"> </w:t>
      </w:r>
      <w:r>
        <w:t xml:space="preserve">months of therapy (see Section 5.1 Pharmacodynamic </w:t>
      </w:r>
      <w:r>
        <w:rPr>
          <w:spacing w:val="-2"/>
        </w:rPr>
        <w:t>Properties).</w:t>
      </w:r>
    </w:p>
    <w:p w14:paraId="4973C61D" w14:textId="77777777" w:rsidR="001825E2" w:rsidRDefault="000839A5" w:rsidP="00CB00A7">
      <w:pPr>
        <w:pStyle w:val="BodyText"/>
        <w:spacing w:before="231"/>
        <w:ind w:left="218" w:right="207" w:hanging="4"/>
        <w:jc w:val="left"/>
      </w:pPr>
      <w:r>
        <w:t>Lymphocyte counts less than 0.75</w:t>
      </w:r>
      <w:r>
        <w:rPr>
          <w:spacing w:val="-3"/>
        </w:rPr>
        <w:t xml:space="preserve"> </w:t>
      </w:r>
      <w:r>
        <w:t>x 10</w:t>
      </w:r>
      <w:r>
        <w:rPr>
          <w:position w:val="7"/>
          <w:sz w:val="16"/>
        </w:rPr>
        <w:t>9</w:t>
      </w:r>
      <w:r>
        <w:rPr>
          <w:spacing w:val="24"/>
          <w:position w:val="7"/>
          <w:sz w:val="16"/>
        </w:rPr>
        <w:t xml:space="preserve"> </w:t>
      </w:r>
      <w:r>
        <w:t>cells/L were associated</w:t>
      </w:r>
      <w:r>
        <w:rPr>
          <w:spacing w:val="26"/>
        </w:rPr>
        <w:t xml:space="preserve"> </w:t>
      </w:r>
      <w:r>
        <w:t>with an increased</w:t>
      </w:r>
      <w:r>
        <w:rPr>
          <w:spacing w:val="26"/>
        </w:rPr>
        <w:t xml:space="preserve"> </w:t>
      </w:r>
      <w:r>
        <w:t>incidence of serious infections. It is not recommended to initiate or continue XELJANZ or XELJANZ XR treatment in patients with a confirmed lymphocyte count less than 0.75 x</w:t>
      </w:r>
      <w:r>
        <w:rPr>
          <w:spacing w:val="-2"/>
        </w:rPr>
        <w:t xml:space="preserve"> </w:t>
      </w:r>
      <w:r>
        <w:t>10</w:t>
      </w:r>
      <w:r>
        <w:rPr>
          <w:position w:val="7"/>
          <w:sz w:val="16"/>
        </w:rPr>
        <w:t xml:space="preserve">9 </w:t>
      </w:r>
      <w:r>
        <w:t>cells/L. Lymphocytes should be monitored at baseline and every 3</w:t>
      </w:r>
      <w:r>
        <w:rPr>
          <w:spacing w:val="-2"/>
        </w:rPr>
        <w:t xml:space="preserve"> </w:t>
      </w:r>
      <w:r>
        <w:t>months thereafter. For recommended modifications based on lymphocyte counts, see Section 4.2 Dose and Method of Administration.</w:t>
      </w:r>
    </w:p>
    <w:p w14:paraId="7984350D" w14:textId="77777777" w:rsidR="001825E2" w:rsidRDefault="000839A5" w:rsidP="00CB00A7">
      <w:pPr>
        <w:pStyle w:val="Heading4"/>
        <w:spacing w:before="250"/>
        <w:ind w:left="218"/>
        <w:jc w:val="left"/>
      </w:pPr>
      <w:r>
        <w:rPr>
          <w:spacing w:val="-2"/>
        </w:rPr>
        <w:t>Neutrophils</w:t>
      </w:r>
    </w:p>
    <w:p w14:paraId="5FF43E7D" w14:textId="77777777" w:rsidR="001825E2" w:rsidRDefault="000839A5" w:rsidP="00CB00A7">
      <w:pPr>
        <w:pStyle w:val="BodyText"/>
        <w:spacing w:before="123" w:line="230" w:lineRule="auto"/>
        <w:ind w:left="218" w:right="122"/>
        <w:jc w:val="left"/>
      </w:pPr>
      <w:r>
        <w:t>Treatment</w:t>
      </w:r>
      <w:r>
        <w:rPr>
          <w:spacing w:val="76"/>
        </w:rPr>
        <w:t xml:space="preserve"> </w:t>
      </w:r>
      <w:r>
        <w:t>with</w:t>
      </w:r>
      <w:r>
        <w:rPr>
          <w:spacing w:val="40"/>
        </w:rPr>
        <w:t xml:space="preserve"> </w:t>
      </w:r>
      <w:r>
        <w:t>XELJANZ</w:t>
      </w:r>
      <w:r>
        <w:rPr>
          <w:spacing w:val="72"/>
        </w:rPr>
        <w:t xml:space="preserve"> </w:t>
      </w:r>
      <w:r>
        <w:t>was</w:t>
      </w:r>
      <w:r>
        <w:rPr>
          <w:spacing w:val="40"/>
        </w:rPr>
        <w:t xml:space="preserve"> </w:t>
      </w:r>
      <w:r>
        <w:t>associated</w:t>
      </w:r>
      <w:r>
        <w:rPr>
          <w:spacing w:val="80"/>
        </w:rPr>
        <w:t xml:space="preserve"> </w:t>
      </w:r>
      <w:r>
        <w:t>with</w:t>
      </w:r>
      <w:r>
        <w:rPr>
          <w:spacing w:val="40"/>
        </w:rPr>
        <w:t xml:space="preserve"> </w:t>
      </w:r>
      <w:r>
        <w:t>an</w:t>
      </w:r>
      <w:r>
        <w:rPr>
          <w:spacing w:val="40"/>
        </w:rPr>
        <w:t xml:space="preserve"> </w:t>
      </w:r>
      <w:r>
        <w:t>increased</w:t>
      </w:r>
      <w:r>
        <w:rPr>
          <w:spacing w:val="80"/>
        </w:rPr>
        <w:t xml:space="preserve"> </w:t>
      </w:r>
      <w:r>
        <w:t>incidence</w:t>
      </w:r>
      <w:r>
        <w:rPr>
          <w:spacing w:val="40"/>
        </w:rPr>
        <w:t xml:space="preserve"> </w:t>
      </w:r>
      <w:r>
        <w:t>of</w:t>
      </w:r>
      <w:r>
        <w:rPr>
          <w:spacing w:val="78"/>
        </w:rPr>
        <w:t xml:space="preserve"> </w:t>
      </w:r>
      <w:r>
        <w:t>neutropenia (&lt;2.0 x 10</w:t>
      </w:r>
      <w:r>
        <w:rPr>
          <w:position w:val="8"/>
          <w:sz w:val="16"/>
        </w:rPr>
        <w:t>9</w:t>
      </w:r>
      <w:r>
        <w:rPr>
          <w:spacing w:val="40"/>
          <w:position w:val="8"/>
          <w:sz w:val="16"/>
        </w:rPr>
        <w:t xml:space="preserve"> </w:t>
      </w:r>
      <w:r>
        <w:t>cells/L)</w:t>
      </w:r>
      <w:r>
        <w:rPr>
          <w:spacing w:val="40"/>
        </w:rPr>
        <w:t xml:space="preserve"> </w:t>
      </w:r>
      <w:r>
        <w:t>compared to</w:t>
      </w:r>
      <w:r>
        <w:rPr>
          <w:spacing w:val="-3"/>
        </w:rPr>
        <w:t xml:space="preserve"> </w:t>
      </w:r>
      <w:r>
        <w:t>placebo.</w:t>
      </w:r>
    </w:p>
    <w:p w14:paraId="380E2A89" w14:textId="77777777" w:rsidR="001825E2" w:rsidRDefault="000839A5" w:rsidP="00CB00A7">
      <w:pPr>
        <w:pStyle w:val="BodyText"/>
        <w:spacing w:before="253" w:line="237" w:lineRule="auto"/>
        <w:ind w:left="219" w:right="201"/>
        <w:jc w:val="left"/>
      </w:pPr>
      <w:r>
        <w:t>Avoid initiation of XELJANZ or XELJANZ XR treatment in patients with a low neutrophil count</w:t>
      </w:r>
      <w:r>
        <w:rPr>
          <w:spacing w:val="40"/>
        </w:rPr>
        <w:t xml:space="preserve"> </w:t>
      </w:r>
      <w:r>
        <w:t>(i.e.,</w:t>
      </w:r>
      <w:r>
        <w:rPr>
          <w:spacing w:val="40"/>
        </w:rPr>
        <w:t xml:space="preserve"> </w:t>
      </w:r>
      <w:r>
        <w:t>&lt;1.0</w:t>
      </w:r>
      <w:r>
        <w:rPr>
          <w:spacing w:val="-3"/>
        </w:rPr>
        <w:t xml:space="preserve"> </w:t>
      </w:r>
      <w:r>
        <w:t>x</w:t>
      </w:r>
      <w:r>
        <w:rPr>
          <w:spacing w:val="-3"/>
        </w:rPr>
        <w:t xml:space="preserve"> </w:t>
      </w:r>
      <w:r>
        <w:t>10</w:t>
      </w:r>
      <w:r>
        <w:rPr>
          <w:position w:val="8"/>
          <w:sz w:val="16"/>
        </w:rPr>
        <w:t xml:space="preserve">9 </w:t>
      </w:r>
      <w:r>
        <w:t>cells/L).</w:t>
      </w:r>
      <w:r>
        <w:rPr>
          <w:spacing w:val="40"/>
        </w:rPr>
        <w:t xml:space="preserve"> </w:t>
      </w:r>
      <w:r>
        <w:t>For patients who develop</w:t>
      </w:r>
      <w:r>
        <w:rPr>
          <w:spacing w:val="40"/>
        </w:rPr>
        <w:t xml:space="preserve"> </w:t>
      </w:r>
      <w:r>
        <w:t>a persistent</w:t>
      </w:r>
      <w:r>
        <w:rPr>
          <w:spacing w:val="40"/>
        </w:rPr>
        <w:t xml:space="preserve"> </w:t>
      </w:r>
      <w:r>
        <w:t>absolute neutrophil count (ANC) of 0.5-1.0 x 10</w:t>
      </w:r>
      <w:r>
        <w:rPr>
          <w:position w:val="7"/>
          <w:sz w:val="16"/>
        </w:rPr>
        <w:t>9</w:t>
      </w:r>
      <w:r>
        <w:rPr>
          <w:spacing w:val="27"/>
          <w:position w:val="7"/>
          <w:sz w:val="16"/>
        </w:rPr>
        <w:t xml:space="preserve"> </w:t>
      </w:r>
      <w:r>
        <w:t>cells/L, reduce XELJANZ or XELJANZ XR dose or interrupt XELJANZ</w:t>
      </w:r>
      <w:r>
        <w:rPr>
          <w:spacing w:val="-12"/>
        </w:rPr>
        <w:t xml:space="preserve"> </w:t>
      </w:r>
      <w:r>
        <w:t>dosing</w:t>
      </w:r>
      <w:r>
        <w:rPr>
          <w:spacing w:val="-1"/>
        </w:rPr>
        <w:t xml:space="preserve"> </w:t>
      </w:r>
      <w:r>
        <w:t>until</w:t>
      </w:r>
      <w:r>
        <w:rPr>
          <w:spacing w:val="-7"/>
        </w:rPr>
        <w:t xml:space="preserve"> </w:t>
      </w:r>
      <w:r>
        <w:t>ANC</w:t>
      </w:r>
      <w:r>
        <w:rPr>
          <w:spacing w:val="4"/>
        </w:rPr>
        <w:t xml:space="preserve"> </w:t>
      </w:r>
      <w:r>
        <w:t>is</w:t>
      </w:r>
      <w:r>
        <w:rPr>
          <w:spacing w:val="-4"/>
        </w:rPr>
        <w:t xml:space="preserve"> </w:t>
      </w:r>
      <w:r>
        <w:t>&gt;1.0 x 10</w:t>
      </w:r>
      <w:r>
        <w:rPr>
          <w:position w:val="7"/>
          <w:sz w:val="16"/>
        </w:rPr>
        <w:t>9</w:t>
      </w:r>
      <w:r>
        <w:rPr>
          <w:spacing w:val="27"/>
          <w:position w:val="7"/>
          <w:sz w:val="16"/>
        </w:rPr>
        <w:t xml:space="preserve"> </w:t>
      </w:r>
      <w:r>
        <w:t>cells/L. In patients</w:t>
      </w:r>
      <w:r>
        <w:rPr>
          <w:spacing w:val="-3"/>
        </w:rPr>
        <w:t xml:space="preserve"> </w:t>
      </w:r>
      <w:r>
        <w:t>who develop a</w:t>
      </w:r>
      <w:r>
        <w:rPr>
          <w:spacing w:val="-2"/>
        </w:rPr>
        <w:t xml:space="preserve"> </w:t>
      </w:r>
      <w:r>
        <w:t>confirmed</w:t>
      </w:r>
      <w:r>
        <w:rPr>
          <w:spacing w:val="15"/>
        </w:rPr>
        <w:t xml:space="preserve"> </w:t>
      </w:r>
      <w:r>
        <w:rPr>
          <w:spacing w:val="-5"/>
        </w:rPr>
        <w:t>ANC</w:t>
      </w:r>
    </w:p>
    <w:p w14:paraId="12829D8B" w14:textId="77777777" w:rsidR="001825E2" w:rsidRDefault="000839A5" w:rsidP="00CB00A7">
      <w:pPr>
        <w:pStyle w:val="BodyText"/>
        <w:spacing w:line="242" w:lineRule="auto"/>
        <w:ind w:left="218" w:right="203"/>
        <w:jc w:val="left"/>
      </w:pPr>
      <w:r>
        <w:t>&lt;0.5</w:t>
      </w:r>
      <w:r>
        <w:rPr>
          <w:spacing w:val="-1"/>
        </w:rPr>
        <w:t xml:space="preserve"> </w:t>
      </w:r>
      <w:r>
        <w:t>x</w:t>
      </w:r>
      <w:r>
        <w:rPr>
          <w:spacing w:val="-1"/>
        </w:rPr>
        <w:t xml:space="preserve"> </w:t>
      </w:r>
      <w:r>
        <w:t>10</w:t>
      </w:r>
      <w:r>
        <w:rPr>
          <w:position w:val="7"/>
          <w:sz w:val="16"/>
        </w:rPr>
        <w:t xml:space="preserve">9 </w:t>
      </w:r>
      <w:r>
        <w:t>cells/L treatment with XELJANZ or XELJANZ XR is not recommended. Neutrophils</w:t>
      </w:r>
      <w:r>
        <w:rPr>
          <w:spacing w:val="22"/>
        </w:rPr>
        <w:t xml:space="preserve"> </w:t>
      </w:r>
      <w:r>
        <w:t>should</w:t>
      </w:r>
      <w:r>
        <w:rPr>
          <w:spacing w:val="40"/>
        </w:rPr>
        <w:t xml:space="preserve"> </w:t>
      </w:r>
      <w:r>
        <w:t>be</w:t>
      </w:r>
      <w:r>
        <w:rPr>
          <w:spacing w:val="24"/>
        </w:rPr>
        <w:t xml:space="preserve"> </w:t>
      </w:r>
      <w:r>
        <w:t>monitored</w:t>
      </w:r>
      <w:r>
        <w:rPr>
          <w:spacing w:val="40"/>
        </w:rPr>
        <w:t xml:space="preserve"> </w:t>
      </w:r>
      <w:r>
        <w:t>at</w:t>
      </w:r>
      <w:r>
        <w:rPr>
          <w:spacing w:val="34"/>
        </w:rPr>
        <w:t xml:space="preserve"> </w:t>
      </w:r>
      <w:r>
        <w:t>baseline</w:t>
      </w:r>
      <w:r>
        <w:rPr>
          <w:spacing w:val="24"/>
        </w:rPr>
        <w:t xml:space="preserve"> </w:t>
      </w:r>
      <w:r>
        <w:t>and</w:t>
      </w:r>
      <w:r>
        <w:rPr>
          <w:spacing w:val="40"/>
        </w:rPr>
        <w:t xml:space="preserve"> </w:t>
      </w:r>
      <w:r>
        <w:t>after</w:t>
      </w:r>
      <w:r>
        <w:rPr>
          <w:spacing w:val="21"/>
        </w:rPr>
        <w:t xml:space="preserve"> </w:t>
      </w:r>
      <w:r>
        <w:t>4</w:t>
      </w:r>
      <w:r>
        <w:rPr>
          <w:spacing w:val="-3"/>
        </w:rPr>
        <w:t xml:space="preserve"> </w:t>
      </w:r>
      <w:r>
        <w:t>to</w:t>
      </w:r>
      <w:r>
        <w:rPr>
          <w:spacing w:val="-4"/>
        </w:rPr>
        <w:t xml:space="preserve"> </w:t>
      </w:r>
      <w:r>
        <w:t>8</w:t>
      </w:r>
      <w:r>
        <w:rPr>
          <w:spacing w:val="-3"/>
        </w:rPr>
        <w:t xml:space="preserve"> </w:t>
      </w:r>
      <w:r>
        <w:t>weeks</w:t>
      </w:r>
      <w:r>
        <w:rPr>
          <w:spacing w:val="22"/>
        </w:rPr>
        <w:t xml:space="preserve"> </w:t>
      </w:r>
      <w:r>
        <w:t>of</w:t>
      </w:r>
      <w:r>
        <w:rPr>
          <w:spacing w:val="21"/>
        </w:rPr>
        <w:t xml:space="preserve"> </w:t>
      </w:r>
      <w:r>
        <w:t>treatment</w:t>
      </w:r>
      <w:r>
        <w:rPr>
          <w:spacing w:val="34"/>
        </w:rPr>
        <w:t xml:space="preserve"> </w:t>
      </w:r>
      <w:r>
        <w:t>and</w:t>
      </w:r>
      <w:r>
        <w:rPr>
          <w:spacing w:val="40"/>
        </w:rPr>
        <w:t xml:space="preserve"> </w:t>
      </w:r>
      <w:r>
        <w:t>every 3</w:t>
      </w:r>
      <w:r>
        <w:rPr>
          <w:spacing w:val="-3"/>
        </w:rPr>
        <w:t xml:space="preserve"> </w:t>
      </w:r>
      <w:r>
        <w:t>months thereafter (see Section 4.2 Dose and Method of Administration and Section 4.8 Adverse Effects (Undesirable Effects)).</w:t>
      </w:r>
    </w:p>
    <w:p w14:paraId="37E293D2" w14:textId="77777777" w:rsidR="001825E2" w:rsidRDefault="000839A5" w:rsidP="00CB00A7">
      <w:pPr>
        <w:pStyle w:val="Heading4"/>
        <w:spacing w:before="229"/>
        <w:ind w:left="219"/>
        <w:jc w:val="left"/>
      </w:pPr>
      <w:proofErr w:type="spellStart"/>
      <w:r>
        <w:rPr>
          <w:spacing w:val="-2"/>
        </w:rPr>
        <w:t>Haemoglobin</w:t>
      </w:r>
      <w:proofErr w:type="spellEnd"/>
    </w:p>
    <w:p w14:paraId="0A4DAD38" w14:textId="77777777" w:rsidR="001825E2" w:rsidRDefault="000839A5" w:rsidP="00CB00A7">
      <w:pPr>
        <w:pStyle w:val="BodyText"/>
        <w:spacing w:before="114" w:line="242" w:lineRule="auto"/>
        <w:ind w:left="218" w:right="216" w:firstLine="1"/>
        <w:jc w:val="left"/>
      </w:pPr>
      <w:r>
        <w:t>Avoid initiation of XELJANZ or XELJANZ XR</w:t>
      </w:r>
      <w:r>
        <w:rPr>
          <w:spacing w:val="-1"/>
        </w:rPr>
        <w:t xml:space="preserve"> </w:t>
      </w:r>
      <w:r>
        <w:t>treatment in patients</w:t>
      </w:r>
      <w:r>
        <w:rPr>
          <w:spacing w:val="-9"/>
        </w:rPr>
        <w:t xml:space="preserve"> </w:t>
      </w:r>
      <w:r>
        <w:t xml:space="preserve">with low </w:t>
      </w:r>
      <w:proofErr w:type="spellStart"/>
      <w:r>
        <w:t>haemoglobin</w:t>
      </w:r>
      <w:proofErr w:type="spellEnd"/>
      <w:r>
        <w:t xml:space="preserve"> values (i.e.,</w:t>
      </w:r>
      <w:r>
        <w:rPr>
          <w:spacing w:val="-4"/>
        </w:rPr>
        <w:t xml:space="preserve"> </w:t>
      </w:r>
      <w:r>
        <w:t>&lt;90</w:t>
      </w:r>
      <w:r>
        <w:rPr>
          <w:spacing w:val="-5"/>
        </w:rPr>
        <w:t xml:space="preserve"> </w:t>
      </w:r>
      <w:r>
        <w:t>g/L). Treatment with XELJANZ or XELJANZ XR should be interrupted in patients</w:t>
      </w:r>
      <w:r>
        <w:rPr>
          <w:spacing w:val="-4"/>
        </w:rPr>
        <w:t xml:space="preserve"> </w:t>
      </w:r>
      <w:r>
        <w:t xml:space="preserve">who develop </w:t>
      </w:r>
      <w:proofErr w:type="spellStart"/>
      <w:r>
        <w:t>haemoglobin</w:t>
      </w:r>
      <w:proofErr w:type="spellEnd"/>
      <w:r>
        <w:t xml:space="preserve"> levels</w:t>
      </w:r>
      <w:r>
        <w:rPr>
          <w:spacing w:val="-4"/>
        </w:rPr>
        <w:t xml:space="preserve"> </w:t>
      </w:r>
      <w:r>
        <w:t>&lt;80 g/L or</w:t>
      </w:r>
      <w:r>
        <w:rPr>
          <w:spacing w:val="-5"/>
        </w:rPr>
        <w:t xml:space="preserve"> </w:t>
      </w:r>
      <w:r>
        <w:t>whose</w:t>
      </w:r>
      <w:r>
        <w:rPr>
          <w:spacing w:val="-2"/>
        </w:rPr>
        <w:t xml:space="preserve"> </w:t>
      </w:r>
      <w:proofErr w:type="spellStart"/>
      <w:r>
        <w:t>haemoglobin</w:t>
      </w:r>
      <w:proofErr w:type="spellEnd"/>
      <w:r>
        <w:t xml:space="preserve"> level</w:t>
      </w:r>
      <w:r>
        <w:rPr>
          <w:spacing w:val="-7"/>
        </w:rPr>
        <w:t xml:space="preserve"> </w:t>
      </w:r>
      <w:r>
        <w:t>drops</w:t>
      </w:r>
      <w:r>
        <w:rPr>
          <w:spacing w:val="-4"/>
        </w:rPr>
        <w:t xml:space="preserve"> </w:t>
      </w:r>
      <w:r>
        <w:t>&gt;20</w:t>
      </w:r>
      <w:r>
        <w:rPr>
          <w:spacing w:val="-1"/>
        </w:rPr>
        <w:t xml:space="preserve"> </w:t>
      </w:r>
      <w:r>
        <w:t>g/L on</w:t>
      </w:r>
      <w:r>
        <w:rPr>
          <w:spacing w:val="70"/>
        </w:rPr>
        <w:t xml:space="preserve"> </w:t>
      </w:r>
      <w:r>
        <w:t>treatment.</w:t>
      </w:r>
      <w:r>
        <w:rPr>
          <w:spacing w:val="73"/>
        </w:rPr>
        <w:t xml:space="preserve"> </w:t>
      </w:r>
      <w:proofErr w:type="spellStart"/>
      <w:r>
        <w:t>Haemoglobin</w:t>
      </w:r>
      <w:proofErr w:type="spellEnd"/>
      <w:r>
        <w:rPr>
          <w:spacing w:val="73"/>
        </w:rPr>
        <w:t xml:space="preserve"> </w:t>
      </w:r>
      <w:r>
        <w:t>should</w:t>
      </w:r>
      <w:r>
        <w:rPr>
          <w:spacing w:val="58"/>
          <w:w w:val="150"/>
        </w:rPr>
        <w:t xml:space="preserve"> </w:t>
      </w:r>
      <w:r>
        <w:t>be</w:t>
      </w:r>
      <w:r>
        <w:rPr>
          <w:spacing w:val="71"/>
        </w:rPr>
        <w:t xml:space="preserve"> </w:t>
      </w:r>
      <w:r>
        <w:t>monitored</w:t>
      </w:r>
      <w:r>
        <w:rPr>
          <w:spacing w:val="58"/>
          <w:w w:val="150"/>
        </w:rPr>
        <w:t xml:space="preserve"> </w:t>
      </w:r>
      <w:r>
        <w:t>at</w:t>
      </w:r>
      <w:r>
        <w:rPr>
          <w:spacing w:val="51"/>
          <w:w w:val="150"/>
        </w:rPr>
        <w:t xml:space="preserve"> </w:t>
      </w:r>
      <w:r>
        <w:t>baseline</w:t>
      </w:r>
      <w:r>
        <w:rPr>
          <w:spacing w:val="71"/>
        </w:rPr>
        <w:t xml:space="preserve"> </w:t>
      </w:r>
      <w:r>
        <w:t>and</w:t>
      </w:r>
      <w:r>
        <w:rPr>
          <w:spacing w:val="57"/>
          <w:w w:val="150"/>
        </w:rPr>
        <w:t xml:space="preserve"> </w:t>
      </w:r>
      <w:r>
        <w:t>after</w:t>
      </w:r>
      <w:r>
        <w:rPr>
          <w:spacing w:val="68"/>
        </w:rPr>
        <w:t xml:space="preserve"> </w:t>
      </w:r>
      <w:r>
        <w:t>4</w:t>
      </w:r>
      <w:r>
        <w:rPr>
          <w:spacing w:val="-2"/>
        </w:rPr>
        <w:t xml:space="preserve"> </w:t>
      </w:r>
      <w:r>
        <w:t>to</w:t>
      </w:r>
      <w:r>
        <w:rPr>
          <w:spacing w:val="-2"/>
        </w:rPr>
        <w:t xml:space="preserve"> </w:t>
      </w:r>
      <w:r>
        <w:t>8 weeks</w:t>
      </w:r>
      <w:r>
        <w:rPr>
          <w:spacing w:val="69"/>
        </w:rPr>
        <w:t xml:space="preserve"> </w:t>
      </w:r>
      <w:r>
        <w:rPr>
          <w:spacing w:val="-5"/>
        </w:rPr>
        <w:t>of</w:t>
      </w:r>
    </w:p>
    <w:p w14:paraId="60FAED39" w14:textId="77777777" w:rsidR="001825E2" w:rsidRDefault="001825E2" w:rsidP="00CB00A7">
      <w:pPr>
        <w:spacing w:line="242" w:lineRule="auto"/>
        <w:sectPr w:rsidR="001825E2">
          <w:pgSz w:w="11910" w:h="16850"/>
          <w:pgMar w:top="1360" w:right="1220" w:bottom="980" w:left="1220" w:header="0" w:footer="785" w:gutter="0"/>
          <w:cols w:space="720"/>
        </w:sectPr>
      </w:pPr>
    </w:p>
    <w:p w14:paraId="156B802C" w14:textId="77777777" w:rsidR="001825E2" w:rsidRDefault="000839A5" w:rsidP="00CB00A7">
      <w:pPr>
        <w:pStyle w:val="BodyText"/>
        <w:spacing w:before="80" w:line="235" w:lineRule="auto"/>
        <w:ind w:left="220" w:right="213" w:hanging="1"/>
        <w:jc w:val="left"/>
      </w:pPr>
      <w:r>
        <w:lastRenderedPageBreak/>
        <w:t>treatment and every 3</w:t>
      </w:r>
      <w:r>
        <w:rPr>
          <w:spacing w:val="-3"/>
        </w:rPr>
        <w:t xml:space="preserve"> </w:t>
      </w:r>
      <w:r>
        <w:t>months thereafter (see Section 4.2 Dose and Method of</w:t>
      </w:r>
      <w:r>
        <w:rPr>
          <w:spacing w:val="40"/>
        </w:rPr>
        <w:t xml:space="preserve"> </w:t>
      </w:r>
      <w:r>
        <w:rPr>
          <w:spacing w:val="-2"/>
        </w:rPr>
        <w:t>Administration).</w:t>
      </w:r>
    </w:p>
    <w:p w14:paraId="5820D101" w14:textId="77777777" w:rsidR="001825E2" w:rsidRDefault="000839A5" w:rsidP="00CB00A7">
      <w:pPr>
        <w:pStyle w:val="Heading4"/>
        <w:spacing w:before="250"/>
        <w:ind w:left="219"/>
        <w:jc w:val="left"/>
      </w:pPr>
      <w:r>
        <w:rPr>
          <w:spacing w:val="-2"/>
        </w:rPr>
        <w:t>Lipids</w:t>
      </w:r>
    </w:p>
    <w:p w14:paraId="7DFEF5F7" w14:textId="77777777" w:rsidR="001825E2" w:rsidRDefault="000839A5" w:rsidP="00CB00A7">
      <w:pPr>
        <w:pStyle w:val="BodyText"/>
        <w:spacing w:before="114"/>
        <w:ind w:left="217" w:right="220" w:firstLine="2"/>
        <w:jc w:val="left"/>
      </w:pPr>
      <w:r>
        <w:t>Treatment with XELJANZ</w:t>
      </w:r>
      <w:r>
        <w:rPr>
          <w:spacing w:val="-4"/>
        </w:rPr>
        <w:t xml:space="preserve"> </w:t>
      </w:r>
      <w:r>
        <w:t>was associated with</w:t>
      </w:r>
      <w:r>
        <w:rPr>
          <w:spacing w:val="-6"/>
        </w:rPr>
        <w:t xml:space="preserve"> </w:t>
      </w:r>
      <w:r>
        <w:t>dose-dependent increases in lipid parameters such as total cholesterol, low-density lipoprotein (LDL) cholesterol, and high-density lipoprotein (HDL) cholesterol (see Section 4.8 Adverse Effects (Undesirable Effects)). Maximum effects</w:t>
      </w:r>
      <w:r>
        <w:rPr>
          <w:spacing w:val="-9"/>
        </w:rPr>
        <w:t xml:space="preserve"> </w:t>
      </w:r>
      <w:r>
        <w:t>were generally observed within 6 weeks. There were no clinically relevant changes in LDL/HDL cholesterol ratios. The effect of these lipid parameter elevations on cardiovascular morbidity and mortality has not been established.</w:t>
      </w:r>
    </w:p>
    <w:p w14:paraId="392F066F" w14:textId="77777777" w:rsidR="001825E2" w:rsidRDefault="000839A5" w:rsidP="00CB00A7">
      <w:pPr>
        <w:pStyle w:val="BodyText"/>
        <w:spacing w:before="254" w:line="235" w:lineRule="auto"/>
        <w:ind w:left="216" w:right="234"/>
        <w:jc w:val="left"/>
      </w:pPr>
      <w:r>
        <w:t xml:space="preserve">Increases of total cholesterol, LDL cholesterol and HDL cholesterol were also reported in a </w:t>
      </w:r>
      <w:proofErr w:type="gramStart"/>
      <w:r>
        <w:t xml:space="preserve">large </w:t>
      </w:r>
      <w:proofErr w:type="spellStart"/>
      <w:r>
        <w:t>randomised</w:t>
      </w:r>
      <w:proofErr w:type="spellEnd"/>
      <w:proofErr w:type="gramEnd"/>
      <w:r>
        <w:t xml:space="preserve"> PASS in RA patients who were 50 years or older with at least one additional</w:t>
      </w:r>
      <w:r>
        <w:rPr>
          <w:spacing w:val="-16"/>
        </w:rPr>
        <w:t xml:space="preserve"> </w:t>
      </w:r>
      <w:r>
        <w:t>cardiovascular risk factor (see Section 4.8 Adverse Effects</w:t>
      </w:r>
      <w:r>
        <w:rPr>
          <w:spacing w:val="-11"/>
        </w:rPr>
        <w:t xml:space="preserve"> </w:t>
      </w:r>
      <w:r>
        <w:t>(Undesirable Effects)).</w:t>
      </w:r>
    </w:p>
    <w:p w14:paraId="5C1693FC" w14:textId="77777777" w:rsidR="001825E2" w:rsidRDefault="000839A5" w:rsidP="00CB00A7">
      <w:pPr>
        <w:pStyle w:val="BodyText"/>
        <w:spacing w:before="251" w:line="237" w:lineRule="auto"/>
        <w:ind w:left="214" w:right="208" w:firstLine="1"/>
        <w:jc w:val="left"/>
      </w:pPr>
      <w:r>
        <w:t>Assessment of lipid parameters should be performed approximately 4</w:t>
      </w:r>
      <w:r>
        <w:rPr>
          <w:spacing w:val="-6"/>
        </w:rPr>
        <w:t xml:space="preserve"> </w:t>
      </w:r>
      <w:r>
        <w:t>to</w:t>
      </w:r>
      <w:r>
        <w:rPr>
          <w:spacing w:val="-6"/>
        </w:rPr>
        <w:t xml:space="preserve"> </w:t>
      </w:r>
      <w:r>
        <w:t>8</w:t>
      </w:r>
      <w:r>
        <w:rPr>
          <w:spacing w:val="-6"/>
        </w:rPr>
        <w:t xml:space="preserve"> </w:t>
      </w:r>
      <w:r>
        <w:t xml:space="preserve">weeks following initiation of XELJANZ or XELJANZ XR therapy. Patients should be managed according to clinical guidelines for the management of </w:t>
      </w:r>
      <w:proofErr w:type="spellStart"/>
      <w:r>
        <w:t>hyperlipidaemia</w:t>
      </w:r>
      <w:proofErr w:type="spellEnd"/>
      <w:r>
        <w:t>. Increases in total and LDL cholesterol associated with XELJANZ or XELJANZ XR may be decreased to pretreatment levels with statin therapy.</w:t>
      </w:r>
    </w:p>
    <w:p w14:paraId="69380535" w14:textId="77777777" w:rsidR="001825E2" w:rsidRDefault="000839A5" w:rsidP="00CB00A7">
      <w:pPr>
        <w:pStyle w:val="Heading4"/>
        <w:spacing w:before="252"/>
        <w:ind w:left="214"/>
        <w:jc w:val="left"/>
      </w:pPr>
      <w:r>
        <w:t>Liver</w:t>
      </w:r>
      <w:r>
        <w:rPr>
          <w:spacing w:val="10"/>
        </w:rPr>
        <w:t xml:space="preserve"> </w:t>
      </w:r>
      <w:r>
        <w:t>Enzyme</w:t>
      </w:r>
      <w:r>
        <w:rPr>
          <w:spacing w:val="-17"/>
        </w:rPr>
        <w:t xml:space="preserve"> </w:t>
      </w:r>
      <w:r>
        <w:rPr>
          <w:spacing w:val="-2"/>
        </w:rPr>
        <w:t>Elevations</w:t>
      </w:r>
    </w:p>
    <w:p w14:paraId="252CBA37" w14:textId="77777777" w:rsidR="001825E2" w:rsidRDefault="000839A5" w:rsidP="00CB00A7">
      <w:pPr>
        <w:pStyle w:val="BodyText"/>
        <w:spacing w:before="114"/>
        <w:ind w:left="212" w:right="221" w:firstLine="1"/>
        <w:jc w:val="left"/>
      </w:pPr>
      <w:r>
        <w:t>Treatment with XELJANZ was associated with an increased incidence of liver enzyme elevation compared to placebo (see Section 4.8</w:t>
      </w:r>
      <w:r>
        <w:rPr>
          <w:spacing w:val="-6"/>
        </w:rPr>
        <w:t xml:space="preserve"> </w:t>
      </w:r>
      <w:r>
        <w:t>Adverse Effects</w:t>
      </w:r>
      <w:r>
        <w:rPr>
          <w:spacing w:val="-10"/>
        </w:rPr>
        <w:t xml:space="preserve"> </w:t>
      </w:r>
      <w:r>
        <w:t xml:space="preserve">(Undesirable Effects)). Most of these abnormalities occurred in studies with background DMARD (primarily MTX) </w:t>
      </w:r>
      <w:r>
        <w:rPr>
          <w:spacing w:val="-2"/>
        </w:rPr>
        <w:t>therapy.</w:t>
      </w:r>
    </w:p>
    <w:p w14:paraId="3FF0A267" w14:textId="77777777" w:rsidR="001825E2" w:rsidRDefault="000839A5" w:rsidP="00CB00A7">
      <w:pPr>
        <w:pStyle w:val="BodyText"/>
        <w:spacing w:before="246"/>
        <w:ind w:left="211" w:right="220" w:firstLine="1"/>
        <w:jc w:val="left"/>
      </w:pPr>
      <w:r>
        <w:t>Routine monitoring of liver tests and prompt investigation of the causes of liver enzyme elevations is recommended to identify potential cases of drug-induced liver injury. If drug- induced liver injury is suspected, XELJANZ or XELJANZ XR administration should be interrupted until this diagnosis has been excluded.</w:t>
      </w:r>
    </w:p>
    <w:p w14:paraId="0D931BC4" w14:textId="77777777" w:rsidR="001825E2" w:rsidRDefault="000839A5" w:rsidP="00CB00A7">
      <w:pPr>
        <w:pStyle w:val="BodyText"/>
        <w:spacing w:before="232" w:line="242" w:lineRule="auto"/>
        <w:ind w:left="211" w:right="211"/>
        <w:jc w:val="left"/>
      </w:pPr>
      <w:r>
        <w:t xml:space="preserve">Elevations of ALT and AST were reported in a </w:t>
      </w:r>
      <w:proofErr w:type="gramStart"/>
      <w:r>
        <w:t xml:space="preserve">large </w:t>
      </w:r>
      <w:proofErr w:type="spellStart"/>
      <w:r>
        <w:t>randomised</w:t>
      </w:r>
      <w:proofErr w:type="spellEnd"/>
      <w:proofErr w:type="gramEnd"/>
      <w:r>
        <w:t xml:space="preserve"> PASS in RA patients who were 50 years or older with at least one additional cardiovascular risk factor (see Section 4.8 Adverse Effects (Undesirable Effects)).</w:t>
      </w:r>
    </w:p>
    <w:p w14:paraId="5F9CF994" w14:textId="77777777" w:rsidR="001825E2" w:rsidRDefault="000839A5" w:rsidP="00CB00A7">
      <w:pPr>
        <w:pStyle w:val="Heading4"/>
        <w:spacing w:before="243"/>
        <w:ind w:left="210"/>
        <w:jc w:val="left"/>
      </w:pPr>
      <w:r>
        <w:t>Asian</w:t>
      </w:r>
      <w:r>
        <w:rPr>
          <w:spacing w:val="-8"/>
        </w:rPr>
        <w:t xml:space="preserve"> </w:t>
      </w:r>
      <w:r>
        <w:rPr>
          <w:spacing w:val="-2"/>
        </w:rPr>
        <w:t>Patients</w:t>
      </w:r>
    </w:p>
    <w:p w14:paraId="241F98A1" w14:textId="77777777" w:rsidR="001825E2" w:rsidRDefault="000839A5" w:rsidP="00CB00A7">
      <w:pPr>
        <w:pStyle w:val="BodyText"/>
        <w:spacing w:before="114"/>
        <w:ind w:left="209" w:right="217" w:firstLine="1"/>
        <w:jc w:val="left"/>
      </w:pPr>
      <w:r>
        <w:t>Asian patients had higher rates of herpes zoster, opportunistic infections, interstitial lung disease, elevated transaminases (alanine aminotransferase (ALT), aspartate aminotransferase (AST))</w:t>
      </w:r>
      <w:r>
        <w:rPr>
          <w:spacing w:val="-9"/>
        </w:rPr>
        <w:t xml:space="preserve"> </w:t>
      </w:r>
      <w:r>
        <w:t>and decreased white</w:t>
      </w:r>
      <w:r>
        <w:rPr>
          <w:spacing w:val="-6"/>
        </w:rPr>
        <w:t xml:space="preserve"> </w:t>
      </w:r>
      <w:r>
        <w:t>blood cell</w:t>
      </w:r>
      <w:r>
        <w:rPr>
          <w:spacing w:val="-11"/>
        </w:rPr>
        <w:t xml:space="preserve"> </w:t>
      </w:r>
      <w:r>
        <w:t>counts</w:t>
      </w:r>
      <w:r>
        <w:rPr>
          <w:spacing w:val="-8"/>
        </w:rPr>
        <w:t xml:space="preserve"> </w:t>
      </w:r>
      <w:r>
        <w:t>(WBCs).</w:t>
      </w:r>
      <w:r>
        <w:rPr>
          <w:spacing w:val="-4"/>
        </w:rPr>
        <w:t xml:space="preserve"> </w:t>
      </w:r>
      <w:r>
        <w:t>Therefore,</w:t>
      </w:r>
      <w:r>
        <w:rPr>
          <w:spacing w:val="-4"/>
        </w:rPr>
        <w:t xml:space="preserve"> </w:t>
      </w:r>
      <w:r>
        <w:t>XELJANZ</w:t>
      </w:r>
      <w:r>
        <w:rPr>
          <w:spacing w:val="-1"/>
        </w:rPr>
        <w:t xml:space="preserve"> </w:t>
      </w:r>
      <w:r>
        <w:t>and</w:t>
      </w:r>
      <w:r>
        <w:rPr>
          <w:spacing w:val="-5"/>
        </w:rPr>
        <w:t xml:space="preserve"> </w:t>
      </w:r>
      <w:r>
        <w:t>XELJANZ XR should be used with caution in Asian patients.</w:t>
      </w:r>
    </w:p>
    <w:p w14:paraId="6B2F279C" w14:textId="77777777" w:rsidR="001825E2" w:rsidRDefault="000839A5" w:rsidP="00CB00A7">
      <w:pPr>
        <w:pStyle w:val="Heading4"/>
        <w:spacing w:before="246"/>
        <w:jc w:val="left"/>
      </w:pPr>
      <w:r>
        <w:t>Use</w:t>
      </w:r>
      <w:r>
        <w:rPr>
          <w:spacing w:val="-10"/>
        </w:rPr>
        <w:t xml:space="preserve"> </w:t>
      </w:r>
      <w:r>
        <w:t>in</w:t>
      </w:r>
      <w:r>
        <w:rPr>
          <w:spacing w:val="-8"/>
        </w:rPr>
        <w:t xml:space="preserve"> </w:t>
      </w:r>
      <w:r>
        <w:t>Hepatic</w:t>
      </w:r>
      <w:r>
        <w:rPr>
          <w:spacing w:val="17"/>
        </w:rPr>
        <w:t xml:space="preserve"> </w:t>
      </w:r>
      <w:r>
        <w:rPr>
          <w:spacing w:val="-2"/>
        </w:rPr>
        <w:t>Impairment</w:t>
      </w:r>
    </w:p>
    <w:p w14:paraId="0B0F84AF" w14:textId="77777777" w:rsidR="001825E2" w:rsidRDefault="000839A5" w:rsidP="00CB00A7">
      <w:pPr>
        <w:pStyle w:val="BodyText"/>
        <w:spacing w:before="114"/>
        <w:ind w:left="217" w:right="204" w:firstLine="2"/>
        <w:jc w:val="left"/>
      </w:pPr>
      <w:r>
        <w:t>Subjects with moderate hepatic impairment had 65% higher AUC compared with healthy subjects (see Section 5.2 Pharmacokinetic Properties). XELJANZ has not been studied in patients with severe hepatic impairment, or in patients with positive hepatitis B virus or hepatitis C virus serology. No dose adjustment is required in patients with mild hepatic impairment. In patients</w:t>
      </w:r>
      <w:r>
        <w:rPr>
          <w:spacing w:val="-9"/>
        </w:rPr>
        <w:t xml:space="preserve"> </w:t>
      </w:r>
      <w:r>
        <w:t>with moderate hepatic impairment, the recommended dose is half the total</w:t>
      </w:r>
      <w:r>
        <w:rPr>
          <w:spacing w:val="-4"/>
        </w:rPr>
        <w:t xml:space="preserve"> </w:t>
      </w:r>
      <w:r>
        <w:t>daily dose indicated for</w:t>
      </w:r>
      <w:r>
        <w:rPr>
          <w:spacing w:val="-2"/>
        </w:rPr>
        <w:t xml:space="preserve"> </w:t>
      </w:r>
      <w:r>
        <w:t>patients</w:t>
      </w:r>
      <w:r>
        <w:rPr>
          <w:spacing w:val="-1"/>
        </w:rPr>
        <w:t xml:space="preserve"> </w:t>
      </w:r>
      <w:r>
        <w:t>with normal</w:t>
      </w:r>
      <w:r>
        <w:rPr>
          <w:spacing w:val="-4"/>
        </w:rPr>
        <w:t xml:space="preserve"> </w:t>
      </w:r>
      <w:r>
        <w:t>hepatic function (see Section 4.2</w:t>
      </w:r>
      <w:r>
        <w:rPr>
          <w:spacing w:val="19"/>
        </w:rPr>
        <w:t xml:space="preserve"> </w:t>
      </w:r>
      <w:r>
        <w:t>Dose and</w:t>
      </w:r>
    </w:p>
    <w:p w14:paraId="6D61EE89" w14:textId="77777777" w:rsidR="001825E2" w:rsidRDefault="001825E2" w:rsidP="00CB00A7">
      <w:pPr>
        <w:sectPr w:rsidR="001825E2">
          <w:pgSz w:w="11910" w:h="16850"/>
          <w:pgMar w:top="1360" w:right="1220" w:bottom="980" w:left="1220" w:header="0" w:footer="785" w:gutter="0"/>
          <w:cols w:space="720"/>
        </w:sectPr>
      </w:pPr>
    </w:p>
    <w:p w14:paraId="6108EA1D" w14:textId="77777777" w:rsidR="001825E2" w:rsidRDefault="000839A5" w:rsidP="00CB00A7">
      <w:pPr>
        <w:pStyle w:val="BodyText"/>
        <w:spacing w:before="80" w:line="235" w:lineRule="auto"/>
        <w:ind w:left="219" w:right="215"/>
        <w:jc w:val="left"/>
      </w:pPr>
      <w:bookmarkStart w:id="30" w:name="4.5_Interactions_With_Other_Medicines_an"/>
      <w:bookmarkEnd w:id="30"/>
      <w:r>
        <w:lastRenderedPageBreak/>
        <w:t>Method of Administration). XELJANZ and XELJANZ XR should not be used in patients with</w:t>
      </w:r>
      <w:r>
        <w:rPr>
          <w:spacing w:val="-6"/>
        </w:rPr>
        <w:t xml:space="preserve"> </w:t>
      </w:r>
      <w:r>
        <w:t>severe hepatic impairment (see Section 4.3 Contraindications).</w:t>
      </w:r>
    </w:p>
    <w:p w14:paraId="2E0A4D8D" w14:textId="77777777" w:rsidR="001825E2" w:rsidRDefault="000839A5" w:rsidP="00CB00A7">
      <w:pPr>
        <w:pStyle w:val="Heading4"/>
        <w:spacing w:before="250"/>
        <w:ind w:left="219"/>
        <w:jc w:val="left"/>
      </w:pPr>
      <w:r>
        <w:t>Use</w:t>
      </w:r>
      <w:r>
        <w:rPr>
          <w:spacing w:val="-3"/>
        </w:rPr>
        <w:t xml:space="preserve"> </w:t>
      </w:r>
      <w:r>
        <w:t>in</w:t>
      </w:r>
      <w:r>
        <w:rPr>
          <w:spacing w:val="1"/>
        </w:rPr>
        <w:t xml:space="preserve"> </w:t>
      </w:r>
      <w:r>
        <w:t>Renal</w:t>
      </w:r>
      <w:r>
        <w:rPr>
          <w:spacing w:val="-7"/>
        </w:rPr>
        <w:t xml:space="preserve"> </w:t>
      </w:r>
      <w:r>
        <w:rPr>
          <w:spacing w:val="-2"/>
        </w:rPr>
        <w:t>Impairment</w:t>
      </w:r>
    </w:p>
    <w:p w14:paraId="5C4DED18" w14:textId="77777777" w:rsidR="001825E2" w:rsidRDefault="000839A5" w:rsidP="00CB00A7">
      <w:pPr>
        <w:pStyle w:val="BodyText"/>
        <w:spacing w:before="114" w:line="242" w:lineRule="auto"/>
        <w:ind w:left="217" w:right="205" w:firstLine="1"/>
        <w:jc w:val="left"/>
      </w:pPr>
      <w:r>
        <w:t xml:space="preserve">No dose adjustment is required in patients with estimated GFR more than 50 mL/min. In patients with estimated GFR less than or equal to 50 mL/min (including but not limited to those with severe renal impairment who are undergoing </w:t>
      </w:r>
      <w:proofErr w:type="spellStart"/>
      <w:r>
        <w:t>haemodialysis</w:t>
      </w:r>
      <w:proofErr w:type="spellEnd"/>
      <w:r>
        <w:t>), the recommended dose is half the</w:t>
      </w:r>
      <w:r>
        <w:rPr>
          <w:spacing w:val="-4"/>
        </w:rPr>
        <w:t xml:space="preserve"> </w:t>
      </w:r>
      <w:r>
        <w:t>total</w:t>
      </w:r>
      <w:r>
        <w:rPr>
          <w:spacing w:val="-9"/>
        </w:rPr>
        <w:t xml:space="preserve"> </w:t>
      </w:r>
      <w:r>
        <w:t>daily dose indicated</w:t>
      </w:r>
      <w:r>
        <w:rPr>
          <w:spacing w:val="-2"/>
        </w:rPr>
        <w:t xml:space="preserve"> </w:t>
      </w:r>
      <w:r>
        <w:t>for patients</w:t>
      </w:r>
      <w:r>
        <w:rPr>
          <w:spacing w:val="-6"/>
        </w:rPr>
        <w:t xml:space="preserve"> </w:t>
      </w:r>
      <w:r>
        <w:t>with normal renal function (see Section 4.2 Dose and Method of Administration and Section 5.2 Pharmacokinetic</w:t>
      </w:r>
      <w:r>
        <w:rPr>
          <w:spacing w:val="40"/>
        </w:rPr>
        <w:t xml:space="preserve"> </w:t>
      </w:r>
      <w:r>
        <w:t>Properties).</w:t>
      </w:r>
    </w:p>
    <w:p w14:paraId="348D8783" w14:textId="77777777" w:rsidR="001825E2" w:rsidRDefault="000839A5" w:rsidP="00CB00A7">
      <w:pPr>
        <w:pStyle w:val="BodyText"/>
        <w:spacing w:before="226" w:line="247" w:lineRule="auto"/>
        <w:ind w:left="216" w:right="219"/>
        <w:jc w:val="left"/>
      </w:pPr>
      <w:r>
        <w:t>In clinical trials, XELJANZ and XELJANZ</w:t>
      </w:r>
      <w:r>
        <w:rPr>
          <w:spacing w:val="-1"/>
        </w:rPr>
        <w:t xml:space="preserve"> </w:t>
      </w:r>
      <w:r>
        <w:t>XR were not evaluated in patients with baseline creatinine clearance</w:t>
      </w:r>
      <w:r>
        <w:rPr>
          <w:spacing w:val="40"/>
        </w:rPr>
        <w:t xml:space="preserve"> </w:t>
      </w:r>
      <w:r>
        <w:t xml:space="preserve">values (estimated by </w:t>
      </w:r>
      <w:proofErr w:type="spellStart"/>
      <w:r>
        <w:t>Cockroft</w:t>
      </w:r>
      <w:proofErr w:type="spellEnd"/>
      <w:r>
        <w:t>-Gault equation) &lt;40 mL/min.</w:t>
      </w:r>
    </w:p>
    <w:p w14:paraId="3494859B" w14:textId="77777777" w:rsidR="001825E2" w:rsidRDefault="000839A5" w:rsidP="00CB00A7">
      <w:pPr>
        <w:pStyle w:val="Heading4"/>
        <w:spacing w:before="227"/>
        <w:ind w:left="216"/>
        <w:jc w:val="left"/>
      </w:pPr>
      <w:r>
        <w:t>Use</w:t>
      </w:r>
      <w:r>
        <w:rPr>
          <w:spacing w:val="-6"/>
        </w:rPr>
        <w:t xml:space="preserve"> </w:t>
      </w:r>
      <w:r>
        <w:t>in</w:t>
      </w:r>
      <w:r>
        <w:rPr>
          <w:spacing w:val="-2"/>
        </w:rPr>
        <w:t xml:space="preserve"> </w:t>
      </w:r>
      <w:r>
        <w:t>the</w:t>
      </w:r>
      <w:r>
        <w:rPr>
          <w:spacing w:val="9"/>
        </w:rPr>
        <w:t xml:space="preserve"> </w:t>
      </w:r>
      <w:r>
        <w:rPr>
          <w:spacing w:val="-2"/>
        </w:rPr>
        <w:t>Elderly</w:t>
      </w:r>
    </w:p>
    <w:p w14:paraId="40D65D0E" w14:textId="77777777" w:rsidR="001825E2" w:rsidRDefault="000839A5" w:rsidP="00CB00A7">
      <w:pPr>
        <w:pStyle w:val="BodyText"/>
        <w:spacing w:before="114" w:line="242" w:lineRule="auto"/>
        <w:ind w:left="216" w:right="235"/>
        <w:jc w:val="left"/>
      </w:pPr>
      <w:r>
        <w:t xml:space="preserve">As there is a higher incidence of infections in the elderly population in general, caution should be used when treating the elderly (see Section 4.8 Adverse Effects (Undesirable </w:t>
      </w:r>
      <w:r>
        <w:rPr>
          <w:spacing w:val="-2"/>
        </w:rPr>
        <w:t>Effects)).</w:t>
      </w:r>
    </w:p>
    <w:p w14:paraId="7ABCC271" w14:textId="77777777" w:rsidR="001825E2" w:rsidRDefault="000839A5" w:rsidP="00CB00A7">
      <w:pPr>
        <w:pStyle w:val="Heading4"/>
        <w:spacing w:before="244"/>
        <w:ind w:left="216"/>
        <w:jc w:val="left"/>
      </w:pPr>
      <w:proofErr w:type="spellStart"/>
      <w:r>
        <w:t>Paediatric</w:t>
      </w:r>
      <w:proofErr w:type="spellEnd"/>
      <w:r>
        <w:rPr>
          <w:spacing w:val="2"/>
        </w:rPr>
        <w:t xml:space="preserve"> </w:t>
      </w:r>
      <w:r>
        <w:rPr>
          <w:spacing w:val="-5"/>
        </w:rPr>
        <w:t>Use</w:t>
      </w:r>
    </w:p>
    <w:p w14:paraId="367C5985" w14:textId="77777777" w:rsidR="001825E2" w:rsidRDefault="000839A5" w:rsidP="00CB00A7">
      <w:pPr>
        <w:pStyle w:val="BodyText"/>
        <w:spacing w:before="118" w:line="235" w:lineRule="auto"/>
        <w:ind w:left="215" w:right="219"/>
        <w:jc w:val="left"/>
      </w:pPr>
      <w:r>
        <w:t>The</w:t>
      </w:r>
      <w:r>
        <w:rPr>
          <w:spacing w:val="-7"/>
        </w:rPr>
        <w:t xml:space="preserve"> </w:t>
      </w:r>
      <w:r>
        <w:t>safety</w:t>
      </w:r>
      <w:r>
        <w:rPr>
          <w:spacing w:val="-6"/>
        </w:rPr>
        <w:t xml:space="preserve"> </w:t>
      </w:r>
      <w:r>
        <w:t>and efficacy</w:t>
      </w:r>
      <w:r>
        <w:rPr>
          <w:spacing w:val="-6"/>
        </w:rPr>
        <w:t xml:space="preserve"> </w:t>
      </w:r>
      <w:r>
        <w:t>of XELJANZ</w:t>
      </w:r>
      <w:r>
        <w:rPr>
          <w:spacing w:val="-3"/>
        </w:rPr>
        <w:t xml:space="preserve"> </w:t>
      </w:r>
      <w:r>
        <w:t>have</w:t>
      </w:r>
      <w:r>
        <w:rPr>
          <w:spacing w:val="-7"/>
        </w:rPr>
        <w:t xml:space="preserve"> </w:t>
      </w:r>
      <w:r>
        <w:t>been</w:t>
      </w:r>
      <w:r>
        <w:rPr>
          <w:spacing w:val="-6"/>
        </w:rPr>
        <w:t xml:space="preserve"> </w:t>
      </w:r>
      <w:r>
        <w:t>evaluated in</w:t>
      </w:r>
      <w:r>
        <w:rPr>
          <w:spacing w:val="-6"/>
        </w:rPr>
        <w:t xml:space="preserve"> </w:t>
      </w:r>
      <w:proofErr w:type="spellStart"/>
      <w:r>
        <w:t>pcJIA</w:t>
      </w:r>
      <w:proofErr w:type="spellEnd"/>
      <w:r>
        <w:t xml:space="preserve"> and juvenile</w:t>
      </w:r>
      <w:r>
        <w:rPr>
          <w:spacing w:val="-7"/>
        </w:rPr>
        <w:t xml:space="preserve"> </w:t>
      </w:r>
      <w:r>
        <w:t>PsA patients 2 years to &lt;18 years of age.</w:t>
      </w:r>
    </w:p>
    <w:p w14:paraId="5B830F84" w14:textId="77777777" w:rsidR="001825E2" w:rsidRDefault="000839A5" w:rsidP="00CB00A7">
      <w:pPr>
        <w:spacing w:before="254" w:line="235" w:lineRule="auto"/>
        <w:ind w:left="219" w:right="238"/>
      </w:pPr>
      <w:r>
        <w:t xml:space="preserve">The safety and efficacy of XELJANZ in children less than 2 years of age with </w:t>
      </w:r>
      <w:proofErr w:type="spellStart"/>
      <w:r>
        <w:rPr>
          <w:sz w:val="24"/>
        </w:rPr>
        <w:t>pcJIA</w:t>
      </w:r>
      <w:proofErr w:type="spellEnd"/>
      <w:r>
        <w:rPr>
          <w:sz w:val="24"/>
        </w:rPr>
        <w:t xml:space="preserve"> and juvenile PsA </w:t>
      </w:r>
      <w:r>
        <w:t>have not been established. No data are available.</w:t>
      </w:r>
    </w:p>
    <w:p w14:paraId="4DF730BD" w14:textId="77777777" w:rsidR="001825E2" w:rsidRDefault="000839A5" w:rsidP="00CB00A7">
      <w:pPr>
        <w:spacing w:before="238"/>
        <w:ind w:left="220" w:hanging="1"/>
      </w:pPr>
      <w:r>
        <w:t>The</w:t>
      </w:r>
      <w:r>
        <w:rPr>
          <w:spacing w:val="-5"/>
        </w:rPr>
        <w:t xml:space="preserve"> </w:t>
      </w:r>
      <w:r>
        <w:t>safety</w:t>
      </w:r>
      <w:r>
        <w:rPr>
          <w:spacing w:val="-3"/>
        </w:rPr>
        <w:t xml:space="preserve"> </w:t>
      </w:r>
      <w:r>
        <w:t>and</w:t>
      </w:r>
      <w:r>
        <w:rPr>
          <w:spacing w:val="-3"/>
        </w:rPr>
        <w:t xml:space="preserve"> </w:t>
      </w:r>
      <w:r>
        <w:t>efficacy</w:t>
      </w:r>
      <w:r>
        <w:rPr>
          <w:spacing w:val="-3"/>
        </w:rPr>
        <w:t xml:space="preserve"> </w:t>
      </w:r>
      <w:r>
        <w:t>of XELJANZ</w:t>
      </w:r>
      <w:r>
        <w:rPr>
          <w:spacing w:val="-13"/>
        </w:rPr>
        <w:t xml:space="preserve"> </w:t>
      </w:r>
      <w:r>
        <w:t>in</w:t>
      </w:r>
      <w:r>
        <w:rPr>
          <w:spacing w:val="-3"/>
        </w:rPr>
        <w:t xml:space="preserve"> </w:t>
      </w:r>
      <w:r>
        <w:t>children</w:t>
      </w:r>
      <w:r>
        <w:rPr>
          <w:spacing w:val="-3"/>
        </w:rPr>
        <w:t xml:space="preserve"> </w:t>
      </w:r>
      <w:r>
        <w:t>less than 18</w:t>
      </w:r>
      <w:r>
        <w:rPr>
          <w:spacing w:val="-3"/>
        </w:rPr>
        <w:t xml:space="preserve"> </w:t>
      </w:r>
      <w:r>
        <w:t>years</w:t>
      </w:r>
      <w:r>
        <w:rPr>
          <w:spacing w:val="-8"/>
        </w:rPr>
        <w:t xml:space="preserve"> </w:t>
      </w:r>
      <w:r>
        <w:t>of age</w:t>
      </w:r>
      <w:r>
        <w:rPr>
          <w:spacing w:val="-5"/>
        </w:rPr>
        <w:t xml:space="preserve"> </w:t>
      </w:r>
      <w:r>
        <w:t>with other indications</w:t>
      </w:r>
      <w:r>
        <w:rPr>
          <w:spacing w:val="-8"/>
        </w:rPr>
        <w:t xml:space="preserve"> </w:t>
      </w:r>
      <w:r>
        <w:t>(e.g., ulcerative colitis) have not been established. No data are available.</w:t>
      </w:r>
    </w:p>
    <w:p w14:paraId="1F15B12F" w14:textId="77777777" w:rsidR="001825E2" w:rsidRDefault="000839A5" w:rsidP="00CB00A7">
      <w:pPr>
        <w:pStyle w:val="BodyText"/>
        <w:spacing w:before="241" w:line="242" w:lineRule="auto"/>
        <w:ind w:left="220" w:right="201"/>
        <w:jc w:val="left"/>
      </w:pPr>
      <w:r>
        <w:t>In studies conducted in juvenile rats and monkeys tofacitinib-related effects on the immune system</w:t>
      </w:r>
      <w:r>
        <w:rPr>
          <w:spacing w:val="-7"/>
        </w:rPr>
        <w:t xml:space="preserve"> </w:t>
      </w:r>
      <w:r>
        <w:t>were</w:t>
      </w:r>
      <w:r>
        <w:rPr>
          <w:spacing w:val="-2"/>
        </w:rPr>
        <w:t xml:space="preserve"> </w:t>
      </w:r>
      <w:proofErr w:type="gramStart"/>
      <w:r>
        <w:t>similar</w:t>
      </w:r>
      <w:r>
        <w:rPr>
          <w:spacing w:val="-5"/>
        </w:rPr>
        <w:t xml:space="preserve"> </w:t>
      </w:r>
      <w:r>
        <w:t>to</w:t>
      </w:r>
      <w:proofErr w:type="gramEnd"/>
      <w:r>
        <w:t xml:space="preserve"> those</w:t>
      </w:r>
      <w:r>
        <w:rPr>
          <w:spacing w:val="-2"/>
        </w:rPr>
        <w:t xml:space="preserve"> </w:t>
      </w:r>
      <w:r>
        <w:t>in adult animals. There were</w:t>
      </w:r>
      <w:r>
        <w:rPr>
          <w:spacing w:val="-2"/>
        </w:rPr>
        <w:t xml:space="preserve"> </w:t>
      </w:r>
      <w:r>
        <w:t>no tofacitinib-related effects</w:t>
      </w:r>
      <w:r>
        <w:rPr>
          <w:spacing w:val="-4"/>
        </w:rPr>
        <w:t xml:space="preserve"> </w:t>
      </w:r>
      <w:r>
        <w:t>on the reproductive system or bone development in males or females.</w:t>
      </w:r>
    </w:p>
    <w:p w14:paraId="1E3B087B" w14:textId="77777777" w:rsidR="001825E2" w:rsidRDefault="000839A5" w:rsidP="00CB00A7">
      <w:pPr>
        <w:pStyle w:val="Heading4"/>
        <w:spacing w:before="228"/>
        <w:jc w:val="left"/>
      </w:pPr>
      <w:r>
        <w:t>General</w:t>
      </w:r>
      <w:r>
        <w:rPr>
          <w:spacing w:val="-11"/>
        </w:rPr>
        <w:t xml:space="preserve"> </w:t>
      </w:r>
      <w:r>
        <w:t>(Specific</w:t>
      </w:r>
      <w:r>
        <w:rPr>
          <w:spacing w:val="23"/>
        </w:rPr>
        <w:t xml:space="preserve"> </w:t>
      </w:r>
      <w:r>
        <w:t>to</w:t>
      </w:r>
      <w:r>
        <w:rPr>
          <w:spacing w:val="11"/>
        </w:rPr>
        <w:t xml:space="preserve"> </w:t>
      </w:r>
      <w:r>
        <w:t>XELJANZ</w:t>
      </w:r>
      <w:r>
        <w:rPr>
          <w:spacing w:val="-14"/>
        </w:rPr>
        <w:t xml:space="preserve"> </w:t>
      </w:r>
      <w:r>
        <w:rPr>
          <w:spacing w:val="-5"/>
        </w:rPr>
        <w:t>XR)</w:t>
      </w:r>
    </w:p>
    <w:p w14:paraId="59C11732" w14:textId="77777777" w:rsidR="001825E2" w:rsidRDefault="000839A5" w:rsidP="00CB00A7">
      <w:pPr>
        <w:pStyle w:val="BodyText"/>
        <w:spacing w:before="134" w:line="235" w:lineRule="auto"/>
        <w:ind w:left="219" w:right="217"/>
        <w:jc w:val="left"/>
      </w:pPr>
      <w:r>
        <w:t>The XELJANZ XR tablet shell remains undissolved during passage through the gastrointestinal tract and is eliminated</w:t>
      </w:r>
      <w:r>
        <w:rPr>
          <w:spacing w:val="40"/>
        </w:rPr>
        <w:t xml:space="preserve"> </w:t>
      </w:r>
      <w:r>
        <w:t xml:space="preserve">in the </w:t>
      </w:r>
      <w:proofErr w:type="spellStart"/>
      <w:r>
        <w:t>faeces</w:t>
      </w:r>
      <w:proofErr w:type="spellEnd"/>
      <w:r>
        <w:t>.</w:t>
      </w:r>
    </w:p>
    <w:p w14:paraId="5FA3C210" w14:textId="77777777" w:rsidR="001825E2" w:rsidRDefault="000839A5" w:rsidP="00CB00A7">
      <w:pPr>
        <w:pStyle w:val="BodyText"/>
        <w:spacing w:before="252" w:line="237" w:lineRule="auto"/>
        <w:ind w:left="218" w:right="219"/>
        <w:jc w:val="left"/>
      </w:pPr>
      <w:r>
        <w:t>As with any other non-deformable material, caution should be used when administering XELJANZ XR to patients with pre-existing severe gastrointestinal narrowing (pathologic or iatrogenic). There have been rare reports of obstructive symptoms in patients with known strictures</w:t>
      </w:r>
      <w:r>
        <w:rPr>
          <w:spacing w:val="-6"/>
        </w:rPr>
        <w:t xml:space="preserve"> </w:t>
      </w:r>
      <w:r>
        <w:t>in association</w:t>
      </w:r>
      <w:r>
        <w:rPr>
          <w:spacing w:val="-2"/>
        </w:rPr>
        <w:t xml:space="preserve"> </w:t>
      </w:r>
      <w:r>
        <w:t>with</w:t>
      </w:r>
      <w:r>
        <w:rPr>
          <w:spacing w:val="-2"/>
        </w:rPr>
        <w:t xml:space="preserve"> </w:t>
      </w:r>
      <w:r>
        <w:t>the</w:t>
      </w:r>
      <w:r>
        <w:rPr>
          <w:spacing w:val="-4"/>
        </w:rPr>
        <w:t xml:space="preserve"> </w:t>
      </w:r>
      <w:r>
        <w:t>ingestion</w:t>
      </w:r>
      <w:r>
        <w:rPr>
          <w:spacing w:val="-2"/>
        </w:rPr>
        <w:t xml:space="preserve"> </w:t>
      </w:r>
      <w:r>
        <w:t>of other</w:t>
      </w:r>
      <w:r>
        <w:rPr>
          <w:spacing w:val="-7"/>
        </w:rPr>
        <w:t xml:space="preserve"> </w:t>
      </w:r>
      <w:r>
        <w:t>drugs</w:t>
      </w:r>
      <w:r>
        <w:rPr>
          <w:spacing w:val="-6"/>
        </w:rPr>
        <w:t xml:space="preserve"> </w:t>
      </w:r>
      <w:proofErr w:type="spellStart"/>
      <w:r>
        <w:t>utilising</w:t>
      </w:r>
      <w:proofErr w:type="spellEnd"/>
      <w:r>
        <w:rPr>
          <w:spacing w:val="-2"/>
        </w:rPr>
        <w:t xml:space="preserve"> </w:t>
      </w:r>
      <w:r>
        <w:t>a non-deformable modified release formulation.</w:t>
      </w:r>
    </w:p>
    <w:p w14:paraId="2858C50B" w14:textId="77777777" w:rsidR="001825E2" w:rsidRDefault="000839A5" w:rsidP="00CB00A7">
      <w:pPr>
        <w:pStyle w:val="Heading4"/>
        <w:spacing w:before="251"/>
        <w:ind w:left="218"/>
        <w:jc w:val="left"/>
      </w:pPr>
      <w:r>
        <w:t>Effects on</w:t>
      </w:r>
      <w:r>
        <w:rPr>
          <w:spacing w:val="-7"/>
        </w:rPr>
        <w:t xml:space="preserve"> </w:t>
      </w:r>
      <w:r>
        <w:t>Laboratory</w:t>
      </w:r>
      <w:r>
        <w:rPr>
          <w:spacing w:val="3"/>
        </w:rPr>
        <w:t xml:space="preserve"> </w:t>
      </w:r>
      <w:r>
        <w:rPr>
          <w:spacing w:val="-2"/>
        </w:rPr>
        <w:t>Tests</w:t>
      </w:r>
    </w:p>
    <w:p w14:paraId="708BF9AE" w14:textId="77777777" w:rsidR="001825E2" w:rsidRDefault="000839A5" w:rsidP="00CB00A7">
      <w:pPr>
        <w:pStyle w:val="BodyText"/>
        <w:spacing w:before="114"/>
        <w:ind w:left="218"/>
        <w:jc w:val="left"/>
      </w:pPr>
      <w:r>
        <w:t>No</w:t>
      </w:r>
      <w:r>
        <w:rPr>
          <w:spacing w:val="-2"/>
        </w:rPr>
        <w:t xml:space="preserve"> </w:t>
      </w:r>
      <w:r>
        <w:t>information</w:t>
      </w:r>
      <w:r>
        <w:rPr>
          <w:spacing w:val="-2"/>
        </w:rPr>
        <w:t xml:space="preserve"> available.</w:t>
      </w:r>
    </w:p>
    <w:p w14:paraId="44F67B60" w14:textId="77777777" w:rsidR="001825E2" w:rsidRDefault="000839A5" w:rsidP="00CB00A7">
      <w:pPr>
        <w:pStyle w:val="Heading2"/>
        <w:numPr>
          <w:ilvl w:val="1"/>
          <w:numId w:val="11"/>
        </w:numPr>
        <w:tabs>
          <w:tab w:val="left" w:pos="638"/>
        </w:tabs>
        <w:ind w:left="638" w:hanging="418"/>
      </w:pPr>
      <w:r>
        <w:t>Interactions</w:t>
      </w:r>
      <w:r>
        <w:rPr>
          <w:spacing w:val="-14"/>
        </w:rPr>
        <w:t xml:space="preserve"> </w:t>
      </w:r>
      <w:r>
        <w:t>With</w:t>
      </w:r>
      <w:r>
        <w:rPr>
          <w:spacing w:val="-1"/>
        </w:rPr>
        <w:t xml:space="preserve"> </w:t>
      </w:r>
      <w:r>
        <w:t>Other</w:t>
      </w:r>
      <w:r>
        <w:rPr>
          <w:spacing w:val="2"/>
        </w:rPr>
        <w:t xml:space="preserve"> </w:t>
      </w:r>
      <w:r>
        <w:t>Medicines</w:t>
      </w:r>
      <w:r>
        <w:rPr>
          <w:spacing w:val="-14"/>
        </w:rPr>
        <w:t xml:space="preserve"> </w:t>
      </w:r>
      <w:r>
        <w:t>and</w:t>
      </w:r>
      <w:r>
        <w:rPr>
          <w:spacing w:val="-16"/>
        </w:rPr>
        <w:t xml:space="preserve"> </w:t>
      </w:r>
      <w:r>
        <w:t>Other</w:t>
      </w:r>
      <w:r>
        <w:rPr>
          <w:spacing w:val="-15"/>
        </w:rPr>
        <w:t xml:space="preserve"> </w:t>
      </w:r>
      <w:r>
        <w:t>Forms</w:t>
      </w:r>
      <w:r>
        <w:rPr>
          <w:spacing w:val="2"/>
        </w:rPr>
        <w:t xml:space="preserve"> </w:t>
      </w:r>
      <w:r>
        <w:t>of</w:t>
      </w:r>
      <w:r>
        <w:rPr>
          <w:spacing w:val="-12"/>
        </w:rPr>
        <w:t xml:space="preserve"> </w:t>
      </w:r>
      <w:r>
        <w:rPr>
          <w:spacing w:val="-2"/>
        </w:rPr>
        <w:t>Interactions</w:t>
      </w:r>
    </w:p>
    <w:p w14:paraId="3EE7F2C2" w14:textId="77777777" w:rsidR="001825E2" w:rsidRDefault="000839A5" w:rsidP="00CB00A7">
      <w:pPr>
        <w:pStyle w:val="BodyText"/>
        <w:spacing w:before="260" w:line="235" w:lineRule="auto"/>
        <w:ind w:left="220" w:right="217" w:hanging="1"/>
        <w:jc w:val="left"/>
      </w:pPr>
      <w:r>
        <w:t>The metabolism of tofacitinib is primarily mediated by CYP3A4 with minor contribution from CYP2C19.</w:t>
      </w:r>
    </w:p>
    <w:p w14:paraId="6358D0FE" w14:textId="77777777" w:rsidR="001825E2" w:rsidRDefault="001825E2" w:rsidP="00CB00A7">
      <w:pPr>
        <w:spacing w:line="235" w:lineRule="auto"/>
        <w:sectPr w:rsidR="001825E2">
          <w:pgSz w:w="11910" w:h="16850"/>
          <w:pgMar w:top="1360" w:right="1220" w:bottom="980" w:left="1220" w:header="0" w:footer="785" w:gutter="0"/>
          <w:cols w:space="720"/>
        </w:sectPr>
      </w:pPr>
    </w:p>
    <w:p w14:paraId="61569C47" w14:textId="77777777" w:rsidR="001825E2" w:rsidRDefault="000839A5" w:rsidP="00CB00A7">
      <w:pPr>
        <w:pStyle w:val="Heading4"/>
        <w:spacing w:before="76"/>
        <w:jc w:val="left"/>
      </w:pPr>
      <w:bookmarkStart w:id="31" w:name="Potential_for_Other_Medicines_to_Influen"/>
      <w:bookmarkEnd w:id="31"/>
      <w:r>
        <w:lastRenderedPageBreak/>
        <w:t>Potential</w:t>
      </w:r>
      <w:r>
        <w:rPr>
          <w:spacing w:val="7"/>
        </w:rPr>
        <w:t xml:space="preserve"> </w:t>
      </w:r>
      <w:r>
        <w:t>for</w:t>
      </w:r>
      <w:r>
        <w:rPr>
          <w:spacing w:val="-12"/>
        </w:rPr>
        <w:t xml:space="preserve"> </w:t>
      </w:r>
      <w:r>
        <w:t>Other</w:t>
      </w:r>
      <w:r>
        <w:rPr>
          <w:spacing w:val="-13"/>
        </w:rPr>
        <w:t xml:space="preserve"> </w:t>
      </w:r>
      <w:r>
        <w:t>Medicines</w:t>
      </w:r>
      <w:r>
        <w:rPr>
          <w:spacing w:val="12"/>
        </w:rPr>
        <w:t xml:space="preserve"> </w:t>
      </w:r>
      <w:r>
        <w:t>to</w:t>
      </w:r>
      <w:r>
        <w:rPr>
          <w:spacing w:val="-9"/>
        </w:rPr>
        <w:t xml:space="preserve"> </w:t>
      </w:r>
      <w:r>
        <w:t>Influence</w:t>
      </w:r>
      <w:r>
        <w:rPr>
          <w:spacing w:val="1"/>
        </w:rPr>
        <w:t xml:space="preserve"> </w:t>
      </w:r>
      <w:r>
        <w:t>the</w:t>
      </w:r>
      <w:r>
        <w:rPr>
          <w:spacing w:val="1"/>
        </w:rPr>
        <w:t xml:space="preserve"> </w:t>
      </w:r>
      <w:r>
        <w:t>Pharmacokinetics of</w:t>
      </w:r>
      <w:r>
        <w:rPr>
          <w:spacing w:val="-13"/>
        </w:rPr>
        <w:t xml:space="preserve"> </w:t>
      </w:r>
      <w:r>
        <w:rPr>
          <w:spacing w:val="-2"/>
        </w:rPr>
        <w:t>Tofacitinib</w:t>
      </w:r>
    </w:p>
    <w:p w14:paraId="52B6413C" w14:textId="77777777" w:rsidR="001825E2" w:rsidRDefault="000839A5" w:rsidP="00CB00A7">
      <w:pPr>
        <w:pStyle w:val="BodyText"/>
        <w:spacing w:before="114" w:line="242" w:lineRule="auto"/>
        <w:ind w:left="217" w:right="200" w:firstLine="2"/>
        <w:jc w:val="left"/>
      </w:pPr>
      <w:r>
        <w:t xml:space="preserve">Since tofacitinib is </w:t>
      </w:r>
      <w:proofErr w:type="spellStart"/>
      <w:r>
        <w:t>metabolised</w:t>
      </w:r>
      <w:proofErr w:type="spellEnd"/>
      <w:r>
        <w:t xml:space="preserve"> by CYP3A4, interaction with medicinal products that inhibit or induce CYP3A4 is likely. Tofacitinib exposure is increased when co-administered with potent inhibitors of CYP3A4 (e.g., ketoconazole) or when administration of one or more concomitant medications results in both moderate inhibition of CYP3A4 and</w:t>
      </w:r>
      <w:r>
        <w:rPr>
          <w:spacing w:val="40"/>
        </w:rPr>
        <w:t xml:space="preserve"> </w:t>
      </w:r>
      <w:r>
        <w:t>potent</w:t>
      </w:r>
      <w:r>
        <w:rPr>
          <w:spacing w:val="40"/>
        </w:rPr>
        <w:t xml:space="preserve"> </w:t>
      </w:r>
      <w:r>
        <w:t>inhibition of CYP2C19 (e.g., fluconazole). Tofacitinib exposure is decreased when co- administered with potent CYP3A4 inducers (e.g., rifampicin). Inhibitors of CYP2C19 alone</w:t>
      </w:r>
      <w:r>
        <w:rPr>
          <w:spacing w:val="40"/>
        </w:rPr>
        <w:t xml:space="preserve"> </w:t>
      </w:r>
      <w:r>
        <w:t>or P-glyc</w:t>
      </w:r>
      <w:r>
        <w:t>oprotein are unlikely to significantly alter the pharmacokinetics</w:t>
      </w:r>
      <w:r>
        <w:rPr>
          <w:spacing w:val="34"/>
        </w:rPr>
        <w:t xml:space="preserve"> </w:t>
      </w:r>
      <w:r>
        <w:t>(PK) of tofacitinib.</w:t>
      </w:r>
    </w:p>
    <w:p w14:paraId="34F174C9" w14:textId="77777777" w:rsidR="001825E2" w:rsidRDefault="000839A5" w:rsidP="00CB00A7">
      <w:pPr>
        <w:spacing w:before="224"/>
        <w:ind w:left="220"/>
        <w:rPr>
          <w:i/>
          <w:sz w:val="24"/>
        </w:rPr>
      </w:pPr>
      <w:r>
        <w:rPr>
          <w:i/>
          <w:spacing w:val="-2"/>
          <w:sz w:val="24"/>
          <w:u w:val="single"/>
        </w:rPr>
        <w:t>Methotrexate</w:t>
      </w:r>
    </w:p>
    <w:p w14:paraId="2E1A22A1" w14:textId="77777777" w:rsidR="001825E2" w:rsidRDefault="000839A5" w:rsidP="00CB00A7">
      <w:pPr>
        <w:pStyle w:val="BodyText"/>
        <w:spacing w:before="133" w:line="235" w:lineRule="auto"/>
        <w:ind w:left="218" w:right="201" w:firstLine="1"/>
        <w:jc w:val="left"/>
      </w:pPr>
      <w:r>
        <w:t>Concomitant</w:t>
      </w:r>
      <w:r>
        <w:rPr>
          <w:spacing w:val="28"/>
        </w:rPr>
        <w:t xml:space="preserve"> </w:t>
      </w:r>
      <w:r>
        <w:t>administration with MTX</w:t>
      </w:r>
      <w:r>
        <w:rPr>
          <w:spacing w:val="26"/>
        </w:rPr>
        <w:t xml:space="preserve"> </w:t>
      </w:r>
      <w:r>
        <w:t>(15-25</w:t>
      </w:r>
      <w:r>
        <w:rPr>
          <w:spacing w:val="-6"/>
        </w:rPr>
        <w:t xml:space="preserve"> </w:t>
      </w:r>
      <w:r>
        <w:t>mg MTX</w:t>
      </w:r>
      <w:r>
        <w:rPr>
          <w:spacing w:val="26"/>
        </w:rPr>
        <w:t xml:space="preserve"> </w:t>
      </w:r>
      <w:r>
        <w:t>once weekly) had</w:t>
      </w:r>
      <w:r>
        <w:rPr>
          <w:spacing w:val="35"/>
        </w:rPr>
        <w:t xml:space="preserve"> </w:t>
      </w:r>
      <w:r>
        <w:t>no effect</w:t>
      </w:r>
      <w:r>
        <w:rPr>
          <w:spacing w:val="28"/>
        </w:rPr>
        <w:t xml:space="preserve"> </w:t>
      </w:r>
      <w:r>
        <w:t>on the PK of tofacitinib.</w:t>
      </w:r>
    </w:p>
    <w:p w14:paraId="3BAF4BA3" w14:textId="77777777" w:rsidR="001825E2" w:rsidRDefault="000839A5" w:rsidP="00CB00A7">
      <w:pPr>
        <w:spacing w:before="235"/>
        <w:ind w:left="220"/>
        <w:rPr>
          <w:i/>
          <w:sz w:val="24"/>
        </w:rPr>
      </w:pPr>
      <w:r>
        <w:rPr>
          <w:i/>
          <w:spacing w:val="-2"/>
          <w:sz w:val="24"/>
          <w:u w:val="single"/>
        </w:rPr>
        <w:t>Ketoconazole</w:t>
      </w:r>
    </w:p>
    <w:p w14:paraId="4EF57B30" w14:textId="77777777" w:rsidR="001825E2" w:rsidRDefault="000839A5" w:rsidP="00CB00A7">
      <w:pPr>
        <w:pStyle w:val="BodyText"/>
        <w:spacing w:before="129" w:line="242" w:lineRule="auto"/>
        <w:ind w:left="219" w:right="228"/>
        <w:jc w:val="left"/>
      </w:pPr>
      <w:r>
        <w:t xml:space="preserve">Co-administration of ketoconazole, a strong CYP3A4 inhibitor, with a single dose of </w:t>
      </w:r>
      <w:r>
        <w:rPr>
          <w:position w:val="1"/>
        </w:rPr>
        <w:t>tofacitinib increased the AUC and C</w:t>
      </w:r>
      <w:r>
        <w:rPr>
          <w:sz w:val="16"/>
        </w:rPr>
        <w:t>max</w:t>
      </w:r>
      <w:r>
        <w:rPr>
          <w:spacing w:val="40"/>
          <w:sz w:val="16"/>
        </w:rPr>
        <w:t xml:space="preserve"> </w:t>
      </w:r>
      <w:r>
        <w:rPr>
          <w:position w:val="1"/>
        </w:rPr>
        <w:t xml:space="preserve">of tofacitinib by 103% and 16%, respectively (see </w:t>
      </w:r>
      <w:r>
        <w:t>Section 4.2 Dose and Method of Administration).</w:t>
      </w:r>
    </w:p>
    <w:p w14:paraId="3A83CB83" w14:textId="77777777" w:rsidR="001825E2" w:rsidRDefault="000839A5" w:rsidP="00CB00A7">
      <w:pPr>
        <w:spacing w:before="228"/>
        <w:ind w:left="220"/>
        <w:rPr>
          <w:i/>
          <w:sz w:val="24"/>
        </w:rPr>
      </w:pPr>
      <w:r>
        <w:rPr>
          <w:i/>
          <w:spacing w:val="-2"/>
          <w:sz w:val="24"/>
          <w:u w:val="single"/>
        </w:rPr>
        <w:t>Fluconazole</w:t>
      </w:r>
    </w:p>
    <w:p w14:paraId="6D2329B8" w14:textId="77777777" w:rsidR="001825E2" w:rsidRDefault="000839A5" w:rsidP="00CB00A7">
      <w:pPr>
        <w:pStyle w:val="BodyText"/>
        <w:spacing w:before="117" w:line="237" w:lineRule="auto"/>
        <w:ind w:left="219" w:right="229"/>
        <w:jc w:val="left"/>
      </w:pPr>
      <w:r>
        <w:t xml:space="preserve">Co-administration of fluconazole, a moderate inhibitor of CYP3A4 and a strong inhibitor of </w:t>
      </w:r>
      <w:r>
        <w:rPr>
          <w:position w:val="2"/>
        </w:rPr>
        <w:t>CYP2C19, increased the AUC and C</w:t>
      </w:r>
      <w:r>
        <w:rPr>
          <w:sz w:val="16"/>
        </w:rPr>
        <w:t>max</w:t>
      </w:r>
      <w:r>
        <w:rPr>
          <w:spacing w:val="40"/>
          <w:sz w:val="16"/>
        </w:rPr>
        <w:t xml:space="preserve"> </w:t>
      </w:r>
      <w:r>
        <w:rPr>
          <w:position w:val="1"/>
        </w:rPr>
        <w:t xml:space="preserve">of tofacitinib by 79% and 27%, respectively (see </w:t>
      </w:r>
      <w:r>
        <w:t>Section 4.2 Dose and Method of Administration).</w:t>
      </w:r>
    </w:p>
    <w:p w14:paraId="79045C78" w14:textId="77777777" w:rsidR="001825E2" w:rsidRDefault="000839A5" w:rsidP="00CB00A7">
      <w:pPr>
        <w:spacing w:before="248"/>
        <w:ind w:left="220"/>
        <w:rPr>
          <w:i/>
          <w:sz w:val="24"/>
        </w:rPr>
      </w:pPr>
      <w:r>
        <w:rPr>
          <w:i/>
          <w:spacing w:val="-2"/>
          <w:sz w:val="24"/>
          <w:u w:val="single"/>
        </w:rPr>
        <w:t>Ciclosporin</w:t>
      </w:r>
    </w:p>
    <w:p w14:paraId="375C65B3" w14:textId="77777777" w:rsidR="001825E2" w:rsidRDefault="000839A5" w:rsidP="00CB00A7">
      <w:pPr>
        <w:pStyle w:val="BodyText"/>
        <w:spacing w:before="114"/>
        <w:ind w:left="219" w:right="203"/>
        <w:jc w:val="left"/>
      </w:pPr>
      <w:r>
        <w:t xml:space="preserve">Co-administration of ciclosporin, a moderate inhibitor of CYP3A4, increased the AUC of </w:t>
      </w:r>
      <w:r>
        <w:rPr>
          <w:position w:val="1"/>
        </w:rPr>
        <w:t>tofacitinib by 73% and decreased C</w:t>
      </w:r>
      <w:r>
        <w:rPr>
          <w:sz w:val="16"/>
        </w:rPr>
        <w:t>max</w:t>
      </w:r>
      <w:r>
        <w:rPr>
          <w:spacing w:val="34"/>
          <w:sz w:val="16"/>
        </w:rPr>
        <w:t xml:space="preserve"> </w:t>
      </w:r>
      <w:r>
        <w:rPr>
          <w:position w:val="1"/>
        </w:rPr>
        <w:t xml:space="preserve">of tofacitinib by 17%. The combined use of multiple- </w:t>
      </w:r>
      <w:r>
        <w:t>dose</w:t>
      </w:r>
      <w:r>
        <w:rPr>
          <w:spacing w:val="-5"/>
        </w:rPr>
        <w:t xml:space="preserve"> </w:t>
      </w:r>
      <w:r>
        <w:t>tofacitinib</w:t>
      </w:r>
      <w:r>
        <w:rPr>
          <w:spacing w:val="-2"/>
        </w:rPr>
        <w:t xml:space="preserve"> </w:t>
      </w:r>
      <w:r>
        <w:t>with</w:t>
      </w:r>
      <w:r>
        <w:rPr>
          <w:spacing w:val="-2"/>
        </w:rPr>
        <w:t xml:space="preserve"> </w:t>
      </w:r>
      <w:r>
        <w:t>this</w:t>
      </w:r>
      <w:r>
        <w:rPr>
          <w:spacing w:val="-6"/>
        </w:rPr>
        <w:t xml:space="preserve"> </w:t>
      </w:r>
      <w:r>
        <w:t>potent immunosuppressive</w:t>
      </w:r>
      <w:r>
        <w:rPr>
          <w:spacing w:val="-4"/>
        </w:rPr>
        <w:t xml:space="preserve"> </w:t>
      </w:r>
      <w:r>
        <w:t>has</w:t>
      </w:r>
      <w:r>
        <w:rPr>
          <w:spacing w:val="-6"/>
        </w:rPr>
        <w:t xml:space="preserve"> </w:t>
      </w:r>
      <w:r>
        <w:t>not been</w:t>
      </w:r>
      <w:r>
        <w:rPr>
          <w:spacing w:val="-2"/>
        </w:rPr>
        <w:t xml:space="preserve"> </w:t>
      </w:r>
      <w:r>
        <w:t>studied in</w:t>
      </w:r>
      <w:r>
        <w:rPr>
          <w:spacing w:val="-2"/>
        </w:rPr>
        <w:t xml:space="preserve"> </w:t>
      </w:r>
      <w:r>
        <w:t>patients</w:t>
      </w:r>
      <w:r>
        <w:rPr>
          <w:spacing w:val="-6"/>
        </w:rPr>
        <w:t xml:space="preserve"> </w:t>
      </w:r>
      <w:r>
        <w:t>with</w:t>
      </w:r>
      <w:r>
        <w:rPr>
          <w:spacing w:val="-15"/>
        </w:rPr>
        <w:t xml:space="preserve"> </w:t>
      </w:r>
      <w:r>
        <w:t>RA, PsA, AS, UC or JIA and is contraindicated.</w:t>
      </w:r>
    </w:p>
    <w:p w14:paraId="6EB6527A" w14:textId="77777777" w:rsidR="001825E2" w:rsidRDefault="000839A5" w:rsidP="00CB00A7">
      <w:pPr>
        <w:spacing w:before="246"/>
        <w:ind w:left="220"/>
        <w:rPr>
          <w:i/>
          <w:sz w:val="24"/>
        </w:rPr>
      </w:pPr>
      <w:r>
        <w:rPr>
          <w:i/>
          <w:spacing w:val="-2"/>
          <w:sz w:val="24"/>
          <w:u w:val="single"/>
        </w:rPr>
        <w:t>Tacrolimus</w:t>
      </w:r>
    </w:p>
    <w:p w14:paraId="6386F2FA" w14:textId="77777777" w:rsidR="001825E2" w:rsidRDefault="000839A5" w:rsidP="00CB00A7">
      <w:pPr>
        <w:pStyle w:val="BodyText"/>
        <w:spacing w:before="114"/>
        <w:ind w:left="219" w:right="214"/>
        <w:jc w:val="left"/>
      </w:pPr>
      <w:r>
        <w:t xml:space="preserve">Co-administration of tacrolimus, a mild inhibitor of CYP3A4, increased the AUC of </w:t>
      </w:r>
      <w:r>
        <w:rPr>
          <w:position w:val="1"/>
        </w:rPr>
        <w:t>tofacitinib by 21% and decreased the C</w:t>
      </w:r>
      <w:r>
        <w:rPr>
          <w:sz w:val="16"/>
        </w:rPr>
        <w:t>max</w:t>
      </w:r>
      <w:r>
        <w:rPr>
          <w:spacing w:val="40"/>
          <w:sz w:val="16"/>
        </w:rPr>
        <w:t xml:space="preserve"> </w:t>
      </w:r>
      <w:r>
        <w:rPr>
          <w:position w:val="1"/>
        </w:rPr>
        <w:t xml:space="preserve">of tofacitinib by 9%. The combined use of </w:t>
      </w:r>
      <w:proofErr w:type="gramStart"/>
      <w:r>
        <w:t>multiple-dose</w:t>
      </w:r>
      <w:proofErr w:type="gramEnd"/>
      <w:r>
        <w:rPr>
          <w:spacing w:val="-4"/>
        </w:rPr>
        <w:t xml:space="preserve"> </w:t>
      </w:r>
      <w:r>
        <w:t>tofacitinib</w:t>
      </w:r>
      <w:r>
        <w:rPr>
          <w:spacing w:val="-2"/>
        </w:rPr>
        <w:t xml:space="preserve"> </w:t>
      </w:r>
      <w:r>
        <w:t>with</w:t>
      </w:r>
      <w:r>
        <w:rPr>
          <w:spacing w:val="-2"/>
        </w:rPr>
        <w:t xml:space="preserve"> </w:t>
      </w:r>
      <w:r>
        <w:t>this</w:t>
      </w:r>
      <w:r>
        <w:rPr>
          <w:spacing w:val="-6"/>
        </w:rPr>
        <w:t xml:space="preserve"> </w:t>
      </w:r>
      <w:r>
        <w:t>potent immunosuppressive has</w:t>
      </w:r>
      <w:r>
        <w:rPr>
          <w:spacing w:val="-6"/>
        </w:rPr>
        <w:t xml:space="preserve"> </w:t>
      </w:r>
      <w:r>
        <w:t>not been studied in</w:t>
      </w:r>
      <w:r>
        <w:rPr>
          <w:spacing w:val="-2"/>
        </w:rPr>
        <w:t xml:space="preserve"> </w:t>
      </w:r>
      <w:r>
        <w:t>patients with RA, PsA, AS, UC or JIA and is not recommended.</w:t>
      </w:r>
    </w:p>
    <w:p w14:paraId="4B2446F2" w14:textId="77777777" w:rsidR="001825E2" w:rsidRDefault="000839A5" w:rsidP="00CB00A7">
      <w:pPr>
        <w:spacing w:before="246"/>
        <w:ind w:left="220"/>
        <w:rPr>
          <w:i/>
          <w:sz w:val="24"/>
        </w:rPr>
      </w:pPr>
      <w:r>
        <w:rPr>
          <w:i/>
          <w:spacing w:val="-2"/>
          <w:sz w:val="24"/>
          <w:u w:val="single"/>
        </w:rPr>
        <w:t>Rifampicin</w:t>
      </w:r>
    </w:p>
    <w:p w14:paraId="49C2A1DB" w14:textId="77777777" w:rsidR="001825E2" w:rsidRDefault="000839A5" w:rsidP="00CB00A7">
      <w:pPr>
        <w:pStyle w:val="BodyText"/>
        <w:spacing w:before="119"/>
        <w:ind w:left="219" w:right="213"/>
        <w:jc w:val="left"/>
      </w:pPr>
      <w:r>
        <w:rPr>
          <w:position w:val="1"/>
        </w:rPr>
        <w:t>Co-administration of rifampicin, a strong CYP3A4 inducer, decreased the AUC and C</w:t>
      </w:r>
      <w:r>
        <w:rPr>
          <w:sz w:val="16"/>
        </w:rPr>
        <w:t>max</w:t>
      </w:r>
      <w:r>
        <w:rPr>
          <w:spacing w:val="37"/>
          <w:sz w:val="16"/>
        </w:rPr>
        <w:t xml:space="preserve"> </w:t>
      </w:r>
      <w:r>
        <w:rPr>
          <w:position w:val="1"/>
        </w:rPr>
        <w:t xml:space="preserve">of </w:t>
      </w:r>
      <w:r>
        <w:t xml:space="preserve">tofacitinib by 84% and 74%, respectively (see Section 4.2 Dose and Method of </w:t>
      </w:r>
      <w:r>
        <w:rPr>
          <w:spacing w:val="-2"/>
        </w:rPr>
        <w:t>Administration).</w:t>
      </w:r>
    </w:p>
    <w:p w14:paraId="4AC836A2" w14:textId="77777777" w:rsidR="001825E2" w:rsidRDefault="001825E2" w:rsidP="00CB00A7">
      <w:pPr>
        <w:sectPr w:rsidR="001825E2">
          <w:pgSz w:w="11910" w:h="16850"/>
          <w:pgMar w:top="1360" w:right="1220" w:bottom="980" w:left="1220" w:header="0" w:footer="785" w:gutter="0"/>
          <w:cols w:space="720"/>
        </w:sectPr>
      </w:pPr>
    </w:p>
    <w:p w14:paraId="7DE4CA27" w14:textId="77777777" w:rsidR="001825E2" w:rsidRDefault="000839A5" w:rsidP="00CB00A7">
      <w:pPr>
        <w:pStyle w:val="Heading3"/>
      </w:pPr>
      <w:bookmarkStart w:id="32" w:name="Potential_for_Tofacitinib_to_Influence_t"/>
      <w:bookmarkEnd w:id="32"/>
      <w:r>
        <w:lastRenderedPageBreak/>
        <w:t>Figure</w:t>
      </w:r>
      <w:r>
        <w:rPr>
          <w:spacing w:val="-11"/>
        </w:rPr>
        <w:t xml:space="preserve"> </w:t>
      </w:r>
      <w:r>
        <w:t>1.</w:t>
      </w:r>
      <w:r>
        <w:rPr>
          <w:spacing w:val="33"/>
        </w:rPr>
        <w:t xml:space="preserve"> </w:t>
      </w:r>
      <w:r>
        <w:t>Impact</w:t>
      </w:r>
      <w:r>
        <w:rPr>
          <w:spacing w:val="2"/>
        </w:rPr>
        <w:t xml:space="preserve"> </w:t>
      </w:r>
      <w:r>
        <w:t>of</w:t>
      </w:r>
      <w:r>
        <w:rPr>
          <w:spacing w:val="-11"/>
        </w:rPr>
        <w:t xml:space="preserve"> </w:t>
      </w:r>
      <w:r>
        <w:t>Other</w:t>
      </w:r>
      <w:r>
        <w:rPr>
          <w:spacing w:val="5"/>
        </w:rPr>
        <w:t xml:space="preserve"> </w:t>
      </w:r>
      <w:r>
        <w:t>Medicines</w:t>
      </w:r>
      <w:r>
        <w:rPr>
          <w:spacing w:val="3"/>
        </w:rPr>
        <w:t xml:space="preserve"> </w:t>
      </w:r>
      <w:r>
        <w:t>on</w:t>
      </w:r>
      <w:r>
        <w:rPr>
          <w:spacing w:val="-6"/>
        </w:rPr>
        <w:t xml:space="preserve"> </w:t>
      </w:r>
      <w:r>
        <w:t>the</w:t>
      </w:r>
      <w:r>
        <w:rPr>
          <w:spacing w:val="5"/>
        </w:rPr>
        <w:t xml:space="preserve"> </w:t>
      </w:r>
      <w:r>
        <w:t>Pharmacokinetics</w:t>
      </w:r>
      <w:r>
        <w:rPr>
          <w:spacing w:val="3"/>
        </w:rPr>
        <w:t xml:space="preserve"> </w:t>
      </w:r>
      <w:r>
        <w:t>of</w:t>
      </w:r>
      <w:r>
        <w:rPr>
          <w:spacing w:val="3"/>
        </w:rPr>
        <w:t xml:space="preserve"> </w:t>
      </w:r>
      <w:r>
        <w:rPr>
          <w:spacing w:val="-2"/>
        </w:rPr>
        <w:t>Tofacitinib</w:t>
      </w:r>
    </w:p>
    <w:p w14:paraId="4D2C2A2F" w14:textId="77777777" w:rsidR="001825E2" w:rsidRDefault="001825E2" w:rsidP="00CB00A7">
      <w:pPr>
        <w:pStyle w:val="BodyText"/>
        <w:spacing w:before="2"/>
        <w:jc w:val="left"/>
        <w:rPr>
          <w:b/>
          <w:sz w:val="13"/>
        </w:rPr>
      </w:pPr>
    </w:p>
    <w:p w14:paraId="325B3C32" w14:textId="77777777" w:rsidR="001825E2" w:rsidRDefault="001825E2" w:rsidP="00CB00A7">
      <w:pPr>
        <w:rPr>
          <w:sz w:val="13"/>
        </w:rPr>
        <w:sectPr w:rsidR="001825E2">
          <w:pgSz w:w="11910" w:h="16850"/>
          <w:pgMar w:top="1360" w:right="1220" w:bottom="980" w:left="1220" w:header="0" w:footer="785" w:gutter="0"/>
          <w:cols w:space="720"/>
        </w:sectPr>
      </w:pPr>
    </w:p>
    <w:p w14:paraId="71210BF3" w14:textId="77777777" w:rsidR="001825E2" w:rsidRDefault="000839A5" w:rsidP="00CB00A7">
      <w:pPr>
        <w:spacing w:before="98" w:line="192" w:lineRule="exact"/>
        <w:ind w:left="880"/>
        <w:rPr>
          <w:rFonts w:ascii="Arial"/>
          <w:b/>
          <w:sz w:val="19"/>
        </w:rPr>
      </w:pPr>
      <w:proofErr w:type="spellStart"/>
      <w:r>
        <w:rPr>
          <w:rFonts w:ascii="Arial"/>
          <w:b/>
          <w:color w:val="0000FF"/>
          <w:spacing w:val="-2"/>
          <w:sz w:val="19"/>
        </w:rPr>
        <w:t>Coadministered</w:t>
      </w:r>
      <w:proofErr w:type="spellEnd"/>
    </w:p>
    <w:p w14:paraId="1BD4558D" w14:textId="77777777" w:rsidR="001825E2" w:rsidRDefault="000839A5" w:rsidP="00CB00A7">
      <w:pPr>
        <w:spacing w:line="192" w:lineRule="exact"/>
        <w:ind w:left="1525"/>
        <w:rPr>
          <w:rFonts w:ascii="Arial"/>
          <w:b/>
          <w:sz w:val="19"/>
        </w:rPr>
      </w:pPr>
      <w:r>
        <w:rPr>
          <w:noProof/>
        </w:rPr>
        <mc:AlternateContent>
          <mc:Choice Requires="wpg">
            <w:drawing>
              <wp:anchor distT="0" distB="0" distL="0" distR="0" simplePos="0" relativeHeight="484334080" behindDoc="1" locked="0" layoutInCell="1" allowOverlap="1" wp14:anchorId="3D4238CC" wp14:editId="3089CA05">
                <wp:simplePos x="0" y="0"/>
                <wp:positionH relativeFrom="page">
                  <wp:posOffset>3339465</wp:posOffset>
                </wp:positionH>
                <wp:positionV relativeFrom="paragraph">
                  <wp:posOffset>302130</wp:posOffset>
                </wp:positionV>
                <wp:extent cx="442595" cy="252349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2595" cy="2523490"/>
                          <a:chOff x="0" y="0"/>
                          <a:chExt cx="442595" cy="2523490"/>
                        </a:xfrm>
                      </wpg:grpSpPr>
                      <wps:wsp>
                        <wps:cNvPr id="5" name="Graphic 5"/>
                        <wps:cNvSpPr/>
                        <wps:spPr>
                          <a:xfrm>
                            <a:off x="300990" y="247649"/>
                            <a:ext cx="70485" cy="71120"/>
                          </a:xfrm>
                          <a:custGeom>
                            <a:avLst/>
                            <a:gdLst/>
                            <a:ahLst/>
                            <a:cxnLst/>
                            <a:rect l="l" t="t" r="r" b="b"/>
                            <a:pathLst>
                              <a:path w="70485" h="71120">
                                <a:moveTo>
                                  <a:pt x="70485" y="26670"/>
                                </a:moveTo>
                                <a:lnTo>
                                  <a:pt x="61595" y="26670"/>
                                </a:lnTo>
                                <a:lnTo>
                                  <a:pt x="61595" y="8890"/>
                                </a:lnTo>
                                <a:lnTo>
                                  <a:pt x="43802" y="8890"/>
                                </a:lnTo>
                                <a:lnTo>
                                  <a:pt x="43802" y="12"/>
                                </a:lnTo>
                                <a:lnTo>
                                  <a:pt x="26035" y="0"/>
                                </a:lnTo>
                                <a:lnTo>
                                  <a:pt x="26035" y="8890"/>
                                </a:lnTo>
                                <a:lnTo>
                                  <a:pt x="8255" y="8890"/>
                                </a:lnTo>
                                <a:lnTo>
                                  <a:pt x="8255" y="26670"/>
                                </a:lnTo>
                                <a:lnTo>
                                  <a:pt x="0" y="26670"/>
                                </a:lnTo>
                                <a:lnTo>
                                  <a:pt x="0" y="35560"/>
                                </a:lnTo>
                                <a:lnTo>
                                  <a:pt x="0" y="44450"/>
                                </a:lnTo>
                                <a:lnTo>
                                  <a:pt x="8255" y="44450"/>
                                </a:lnTo>
                                <a:lnTo>
                                  <a:pt x="8255" y="62230"/>
                                </a:lnTo>
                                <a:lnTo>
                                  <a:pt x="26035" y="62230"/>
                                </a:lnTo>
                                <a:lnTo>
                                  <a:pt x="26035" y="71120"/>
                                </a:lnTo>
                                <a:lnTo>
                                  <a:pt x="43802" y="71120"/>
                                </a:lnTo>
                                <a:lnTo>
                                  <a:pt x="43802" y="62230"/>
                                </a:lnTo>
                                <a:lnTo>
                                  <a:pt x="61595" y="62230"/>
                                </a:lnTo>
                                <a:lnTo>
                                  <a:pt x="61595" y="44450"/>
                                </a:lnTo>
                                <a:lnTo>
                                  <a:pt x="70485" y="44450"/>
                                </a:lnTo>
                                <a:lnTo>
                                  <a:pt x="70485" y="35560"/>
                                </a:lnTo>
                                <a:lnTo>
                                  <a:pt x="70485" y="2667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300990" y="247650"/>
                            <a:ext cx="61594" cy="62230"/>
                          </a:xfrm>
                          <a:custGeom>
                            <a:avLst/>
                            <a:gdLst/>
                            <a:ahLst/>
                            <a:cxnLst/>
                            <a:rect l="l" t="t" r="r" b="b"/>
                            <a:pathLst>
                              <a:path w="61594" h="62230">
                                <a:moveTo>
                                  <a:pt x="30797" y="0"/>
                                </a:moveTo>
                                <a:lnTo>
                                  <a:pt x="18811" y="2445"/>
                                </a:lnTo>
                                <a:lnTo>
                                  <a:pt x="9021" y="9113"/>
                                </a:lnTo>
                                <a:lnTo>
                                  <a:pt x="2420" y="19004"/>
                                </a:lnTo>
                                <a:lnTo>
                                  <a:pt x="0" y="31115"/>
                                </a:lnTo>
                                <a:lnTo>
                                  <a:pt x="2420" y="43225"/>
                                </a:lnTo>
                                <a:lnTo>
                                  <a:pt x="9021" y="53116"/>
                                </a:lnTo>
                                <a:lnTo>
                                  <a:pt x="18811" y="59784"/>
                                </a:lnTo>
                                <a:lnTo>
                                  <a:pt x="30797" y="62230"/>
                                </a:lnTo>
                                <a:lnTo>
                                  <a:pt x="42783" y="59784"/>
                                </a:lnTo>
                                <a:lnTo>
                                  <a:pt x="52573" y="53116"/>
                                </a:lnTo>
                                <a:lnTo>
                                  <a:pt x="59174" y="43225"/>
                                </a:lnTo>
                                <a:lnTo>
                                  <a:pt x="61595" y="31115"/>
                                </a:lnTo>
                                <a:lnTo>
                                  <a:pt x="59174" y="19004"/>
                                </a:lnTo>
                                <a:lnTo>
                                  <a:pt x="52573" y="9113"/>
                                </a:lnTo>
                                <a:lnTo>
                                  <a:pt x="42783" y="2445"/>
                                </a:lnTo>
                                <a:lnTo>
                                  <a:pt x="30797" y="0"/>
                                </a:lnTo>
                                <a:close/>
                              </a:path>
                            </a:pathLst>
                          </a:custGeom>
                          <a:ln w="9525">
                            <a:solidFill>
                              <a:srgbClr val="000000"/>
                            </a:solidFill>
                            <a:prstDash val="solid"/>
                          </a:ln>
                        </wps:spPr>
                        <wps:bodyPr wrap="square" lIns="0" tIns="0" rIns="0" bIns="0" rtlCol="0">
                          <a:prstTxWarp prst="textNoShape">
                            <a:avLst/>
                          </a:prstTxWarp>
                          <a:noAutofit/>
                        </wps:bodyPr>
                      </wps:wsp>
                      <wps:wsp>
                        <wps:cNvPr id="7" name="Graphic 7"/>
                        <wps:cNvSpPr/>
                        <wps:spPr>
                          <a:xfrm>
                            <a:off x="203200" y="1363344"/>
                            <a:ext cx="71755" cy="71120"/>
                          </a:xfrm>
                          <a:custGeom>
                            <a:avLst/>
                            <a:gdLst/>
                            <a:ahLst/>
                            <a:cxnLst/>
                            <a:rect l="l" t="t" r="r" b="b"/>
                            <a:pathLst>
                              <a:path w="71755" h="71120">
                                <a:moveTo>
                                  <a:pt x="71132" y="26670"/>
                                </a:moveTo>
                                <a:lnTo>
                                  <a:pt x="62217" y="26670"/>
                                </a:lnTo>
                                <a:lnTo>
                                  <a:pt x="62217" y="8890"/>
                                </a:lnTo>
                                <a:lnTo>
                                  <a:pt x="44450" y="8890"/>
                                </a:lnTo>
                                <a:lnTo>
                                  <a:pt x="44450" y="0"/>
                                </a:lnTo>
                                <a:lnTo>
                                  <a:pt x="26670" y="0"/>
                                </a:lnTo>
                                <a:lnTo>
                                  <a:pt x="26670" y="8890"/>
                                </a:lnTo>
                                <a:lnTo>
                                  <a:pt x="8890" y="8890"/>
                                </a:lnTo>
                                <a:lnTo>
                                  <a:pt x="8890" y="26670"/>
                                </a:lnTo>
                                <a:lnTo>
                                  <a:pt x="0" y="26670"/>
                                </a:lnTo>
                                <a:lnTo>
                                  <a:pt x="0" y="35560"/>
                                </a:lnTo>
                                <a:lnTo>
                                  <a:pt x="0" y="44450"/>
                                </a:lnTo>
                                <a:lnTo>
                                  <a:pt x="26670" y="44450"/>
                                </a:lnTo>
                                <a:lnTo>
                                  <a:pt x="8890" y="44462"/>
                                </a:lnTo>
                                <a:lnTo>
                                  <a:pt x="8890" y="62230"/>
                                </a:lnTo>
                                <a:lnTo>
                                  <a:pt x="26670" y="62230"/>
                                </a:lnTo>
                                <a:lnTo>
                                  <a:pt x="26670" y="71120"/>
                                </a:lnTo>
                                <a:lnTo>
                                  <a:pt x="44437" y="71120"/>
                                </a:lnTo>
                                <a:lnTo>
                                  <a:pt x="44450" y="62230"/>
                                </a:lnTo>
                                <a:lnTo>
                                  <a:pt x="62217" y="62230"/>
                                </a:lnTo>
                                <a:lnTo>
                                  <a:pt x="62217" y="44462"/>
                                </a:lnTo>
                                <a:lnTo>
                                  <a:pt x="44450" y="44462"/>
                                </a:lnTo>
                                <a:lnTo>
                                  <a:pt x="71132" y="44450"/>
                                </a:lnTo>
                                <a:lnTo>
                                  <a:pt x="71132" y="35560"/>
                                </a:lnTo>
                                <a:lnTo>
                                  <a:pt x="71132" y="2667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203200" y="1363344"/>
                            <a:ext cx="62230" cy="62230"/>
                          </a:xfrm>
                          <a:custGeom>
                            <a:avLst/>
                            <a:gdLst/>
                            <a:ahLst/>
                            <a:cxnLst/>
                            <a:rect l="l" t="t" r="r" b="b"/>
                            <a:pathLst>
                              <a:path w="62230" h="62230">
                                <a:moveTo>
                                  <a:pt x="31114" y="0"/>
                                </a:moveTo>
                                <a:lnTo>
                                  <a:pt x="19004" y="2445"/>
                                </a:lnTo>
                                <a:lnTo>
                                  <a:pt x="9113" y="9113"/>
                                </a:lnTo>
                                <a:lnTo>
                                  <a:pt x="2445" y="19004"/>
                                </a:lnTo>
                                <a:lnTo>
                                  <a:pt x="0" y="31115"/>
                                </a:lnTo>
                                <a:lnTo>
                                  <a:pt x="2445" y="43225"/>
                                </a:lnTo>
                                <a:lnTo>
                                  <a:pt x="9113" y="53116"/>
                                </a:lnTo>
                                <a:lnTo>
                                  <a:pt x="19004" y="59784"/>
                                </a:lnTo>
                                <a:lnTo>
                                  <a:pt x="31114" y="62230"/>
                                </a:lnTo>
                                <a:lnTo>
                                  <a:pt x="43225" y="59784"/>
                                </a:lnTo>
                                <a:lnTo>
                                  <a:pt x="53116" y="53116"/>
                                </a:lnTo>
                                <a:lnTo>
                                  <a:pt x="59784" y="43225"/>
                                </a:lnTo>
                                <a:lnTo>
                                  <a:pt x="62229" y="31115"/>
                                </a:lnTo>
                                <a:lnTo>
                                  <a:pt x="59784" y="19004"/>
                                </a:lnTo>
                                <a:lnTo>
                                  <a:pt x="53116" y="9113"/>
                                </a:lnTo>
                                <a:lnTo>
                                  <a:pt x="43225" y="2445"/>
                                </a:lnTo>
                                <a:lnTo>
                                  <a:pt x="31114" y="0"/>
                                </a:lnTo>
                                <a:close/>
                              </a:path>
                            </a:pathLst>
                          </a:custGeom>
                          <a:ln w="9525">
                            <a:solidFill>
                              <a:srgbClr val="000000"/>
                            </a:solidFill>
                            <a:prstDash val="solid"/>
                          </a:ln>
                        </wps:spPr>
                        <wps:bodyPr wrap="square" lIns="0" tIns="0" rIns="0" bIns="0" rtlCol="0">
                          <a:prstTxWarp prst="textNoShape">
                            <a:avLst/>
                          </a:prstTxWarp>
                          <a:noAutofit/>
                        </wps:bodyPr>
                      </wps:wsp>
                      <wps:wsp>
                        <wps:cNvPr id="9" name="Graphic 9"/>
                        <wps:cNvSpPr/>
                        <wps:spPr>
                          <a:xfrm>
                            <a:off x="203200" y="1505584"/>
                            <a:ext cx="71755" cy="70485"/>
                          </a:xfrm>
                          <a:custGeom>
                            <a:avLst/>
                            <a:gdLst/>
                            <a:ahLst/>
                            <a:cxnLst/>
                            <a:rect l="l" t="t" r="r" b="b"/>
                            <a:pathLst>
                              <a:path w="71755" h="70485">
                                <a:moveTo>
                                  <a:pt x="71132" y="26035"/>
                                </a:moveTo>
                                <a:lnTo>
                                  <a:pt x="62217" y="26035"/>
                                </a:lnTo>
                                <a:lnTo>
                                  <a:pt x="62217" y="8890"/>
                                </a:lnTo>
                                <a:lnTo>
                                  <a:pt x="44450" y="8890"/>
                                </a:lnTo>
                                <a:lnTo>
                                  <a:pt x="44450" y="0"/>
                                </a:lnTo>
                                <a:lnTo>
                                  <a:pt x="26670" y="0"/>
                                </a:lnTo>
                                <a:lnTo>
                                  <a:pt x="26670" y="8890"/>
                                </a:lnTo>
                                <a:lnTo>
                                  <a:pt x="8890" y="8890"/>
                                </a:lnTo>
                                <a:lnTo>
                                  <a:pt x="8890" y="26035"/>
                                </a:lnTo>
                                <a:lnTo>
                                  <a:pt x="0" y="26035"/>
                                </a:lnTo>
                                <a:lnTo>
                                  <a:pt x="0" y="34925"/>
                                </a:lnTo>
                                <a:lnTo>
                                  <a:pt x="0" y="43815"/>
                                </a:lnTo>
                                <a:lnTo>
                                  <a:pt x="8890" y="43815"/>
                                </a:lnTo>
                                <a:lnTo>
                                  <a:pt x="8890" y="61595"/>
                                </a:lnTo>
                                <a:lnTo>
                                  <a:pt x="26670" y="61595"/>
                                </a:lnTo>
                                <a:lnTo>
                                  <a:pt x="26670" y="70485"/>
                                </a:lnTo>
                                <a:lnTo>
                                  <a:pt x="44437" y="70485"/>
                                </a:lnTo>
                                <a:lnTo>
                                  <a:pt x="44450" y="61595"/>
                                </a:lnTo>
                                <a:lnTo>
                                  <a:pt x="62217" y="61595"/>
                                </a:lnTo>
                                <a:lnTo>
                                  <a:pt x="62217" y="43815"/>
                                </a:lnTo>
                                <a:lnTo>
                                  <a:pt x="71132" y="43815"/>
                                </a:lnTo>
                                <a:lnTo>
                                  <a:pt x="71132" y="34925"/>
                                </a:lnTo>
                                <a:lnTo>
                                  <a:pt x="71132" y="26035"/>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203200" y="1505585"/>
                            <a:ext cx="62230" cy="61594"/>
                          </a:xfrm>
                          <a:custGeom>
                            <a:avLst/>
                            <a:gdLst/>
                            <a:ahLst/>
                            <a:cxnLst/>
                            <a:rect l="l" t="t" r="r" b="b"/>
                            <a:pathLst>
                              <a:path w="62230" h="61594">
                                <a:moveTo>
                                  <a:pt x="31114" y="0"/>
                                </a:moveTo>
                                <a:lnTo>
                                  <a:pt x="19004" y="2420"/>
                                </a:lnTo>
                                <a:lnTo>
                                  <a:pt x="9113" y="9021"/>
                                </a:lnTo>
                                <a:lnTo>
                                  <a:pt x="2445" y="18811"/>
                                </a:lnTo>
                                <a:lnTo>
                                  <a:pt x="0" y="30797"/>
                                </a:lnTo>
                                <a:lnTo>
                                  <a:pt x="2445" y="42783"/>
                                </a:lnTo>
                                <a:lnTo>
                                  <a:pt x="9113" y="52573"/>
                                </a:lnTo>
                                <a:lnTo>
                                  <a:pt x="19004" y="59174"/>
                                </a:lnTo>
                                <a:lnTo>
                                  <a:pt x="31114" y="61594"/>
                                </a:lnTo>
                                <a:lnTo>
                                  <a:pt x="43225" y="59174"/>
                                </a:lnTo>
                                <a:lnTo>
                                  <a:pt x="53116" y="52573"/>
                                </a:lnTo>
                                <a:lnTo>
                                  <a:pt x="59784" y="42783"/>
                                </a:lnTo>
                                <a:lnTo>
                                  <a:pt x="62229" y="30797"/>
                                </a:lnTo>
                                <a:lnTo>
                                  <a:pt x="59784" y="18811"/>
                                </a:lnTo>
                                <a:lnTo>
                                  <a:pt x="53116" y="9021"/>
                                </a:lnTo>
                                <a:lnTo>
                                  <a:pt x="43225" y="2420"/>
                                </a:lnTo>
                                <a:lnTo>
                                  <a:pt x="31114" y="0"/>
                                </a:lnTo>
                                <a:close/>
                              </a:path>
                            </a:pathLst>
                          </a:custGeom>
                          <a:ln w="9525">
                            <a:solidFill>
                              <a:srgbClr val="000000"/>
                            </a:solidFill>
                            <a:prstDash val="solid"/>
                          </a:ln>
                        </wps:spPr>
                        <wps:bodyPr wrap="square" lIns="0" tIns="0" rIns="0" bIns="0" rtlCol="0">
                          <a:prstTxWarp prst="textNoShape">
                            <a:avLst/>
                          </a:prstTxWarp>
                          <a:noAutofit/>
                        </wps:bodyPr>
                      </wps:wsp>
                      <wps:wsp>
                        <wps:cNvPr id="11" name="Graphic 11"/>
                        <wps:cNvSpPr/>
                        <wps:spPr>
                          <a:xfrm>
                            <a:off x="114935" y="1930399"/>
                            <a:ext cx="70485" cy="71120"/>
                          </a:xfrm>
                          <a:custGeom>
                            <a:avLst/>
                            <a:gdLst/>
                            <a:ahLst/>
                            <a:cxnLst/>
                            <a:rect l="l" t="t" r="r" b="b"/>
                            <a:pathLst>
                              <a:path w="70485" h="71120">
                                <a:moveTo>
                                  <a:pt x="70485" y="26670"/>
                                </a:moveTo>
                                <a:lnTo>
                                  <a:pt x="61582" y="26670"/>
                                </a:lnTo>
                                <a:lnTo>
                                  <a:pt x="61582" y="8890"/>
                                </a:lnTo>
                                <a:lnTo>
                                  <a:pt x="44450" y="8890"/>
                                </a:lnTo>
                                <a:lnTo>
                                  <a:pt x="44450" y="0"/>
                                </a:lnTo>
                                <a:lnTo>
                                  <a:pt x="26670" y="0"/>
                                </a:lnTo>
                                <a:lnTo>
                                  <a:pt x="26670" y="8890"/>
                                </a:lnTo>
                                <a:lnTo>
                                  <a:pt x="8890" y="8890"/>
                                </a:lnTo>
                                <a:lnTo>
                                  <a:pt x="8890" y="26670"/>
                                </a:lnTo>
                                <a:lnTo>
                                  <a:pt x="0" y="26670"/>
                                </a:lnTo>
                                <a:lnTo>
                                  <a:pt x="0" y="35560"/>
                                </a:lnTo>
                                <a:lnTo>
                                  <a:pt x="0" y="44450"/>
                                </a:lnTo>
                                <a:lnTo>
                                  <a:pt x="8890" y="44450"/>
                                </a:lnTo>
                                <a:lnTo>
                                  <a:pt x="8890" y="62230"/>
                                </a:lnTo>
                                <a:lnTo>
                                  <a:pt x="26670" y="62230"/>
                                </a:lnTo>
                                <a:lnTo>
                                  <a:pt x="26670" y="71120"/>
                                </a:lnTo>
                                <a:lnTo>
                                  <a:pt x="44437" y="71120"/>
                                </a:lnTo>
                                <a:lnTo>
                                  <a:pt x="44450" y="62230"/>
                                </a:lnTo>
                                <a:lnTo>
                                  <a:pt x="61582" y="62230"/>
                                </a:lnTo>
                                <a:lnTo>
                                  <a:pt x="61582" y="44450"/>
                                </a:lnTo>
                                <a:lnTo>
                                  <a:pt x="70485" y="44450"/>
                                </a:lnTo>
                                <a:lnTo>
                                  <a:pt x="70485" y="35560"/>
                                </a:lnTo>
                                <a:lnTo>
                                  <a:pt x="70485" y="26670"/>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114935" y="1930400"/>
                            <a:ext cx="61594" cy="62230"/>
                          </a:xfrm>
                          <a:custGeom>
                            <a:avLst/>
                            <a:gdLst/>
                            <a:ahLst/>
                            <a:cxnLst/>
                            <a:rect l="l" t="t" r="r" b="b"/>
                            <a:pathLst>
                              <a:path w="61594" h="62230">
                                <a:moveTo>
                                  <a:pt x="30797" y="0"/>
                                </a:moveTo>
                                <a:lnTo>
                                  <a:pt x="18811" y="2445"/>
                                </a:lnTo>
                                <a:lnTo>
                                  <a:pt x="9021" y="9113"/>
                                </a:lnTo>
                                <a:lnTo>
                                  <a:pt x="2420" y="19004"/>
                                </a:lnTo>
                                <a:lnTo>
                                  <a:pt x="0" y="31115"/>
                                </a:lnTo>
                                <a:lnTo>
                                  <a:pt x="2420" y="43225"/>
                                </a:lnTo>
                                <a:lnTo>
                                  <a:pt x="9021" y="53116"/>
                                </a:lnTo>
                                <a:lnTo>
                                  <a:pt x="18811" y="59784"/>
                                </a:lnTo>
                                <a:lnTo>
                                  <a:pt x="30797" y="62230"/>
                                </a:lnTo>
                                <a:lnTo>
                                  <a:pt x="42783" y="59784"/>
                                </a:lnTo>
                                <a:lnTo>
                                  <a:pt x="52573" y="53116"/>
                                </a:lnTo>
                                <a:lnTo>
                                  <a:pt x="59174" y="43225"/>
                                </a:lnTo>
                                <a:lnTo>
                                  <a:pt x="61595" y="31115"/>
                                </a:lnTo>
                                <a:lnTo>
                                  <a:pt x="59174" y="19004"/>
                                </a:lnTo>
                                <a:lnTo>
                                  <a:pt x="52573" y="9113"/>
                                </a:lnTo>
                                <a:lnTo>
                                  <a:pt x="42783" y="2445"/>
                                </a:lnTo>
                                <a:lnTo>
                                  <a:pt x="30797" y="0"/>
                                </a:lnTo>
                                <a:close/>
                              </a:path>
                            </a:pathLst>
                          </a:custGeom>
                          <a:ln w="9525">
                            <a:solidFill>
                              <a:srgbClr val="000000"/>
                            </a:solidFill>
                            <a:prstDash val="solid"/>
                          </a:ln>
                        </wps:spPr>
                        <wps:bodyPr wrap="square" lIns="0" tIns="0" rIns="0" bIns="0" rtlCol="0">
                          <a:prstTxWarp prst="textNoShape">
                            <a:avLst/>
                          </a:prstTxWarp>
                          <a:noAutofit/>
                        </wps:bodyPr>
                      </wps:wsp>
                      <wps:wsp>
                        <wps:cNvPr id="13" name="Graphic 13"/>
                        <wps:cNvSpPr/>
                        <wps:spPr>
                          <a:xfrm>
                            <a:off x="61595" y="2346324"/>
                            <a:ext cx="71120" cy="71120"/>
                          </a:xfrm>
                          <a:custGeom>
                            <a:avLst/>
                            <a:gdLst/>
                            <a:ahLst/>
                            <a:cxnLst/>
                            <a:rect l="l" t="t" r="r" b="b"/>
                            <a:pathLst>
                              <a:path w="71120" h="71120">
                                <a:moveTo>
                                  <a:pt x="71120" y="26670"/>
                                </a:moveTo>
                                <a:lnTo>
                                  <a:pt x="62230" y="26670"/>
                                </a:lnTo>
                                <a:lnTo>
                                  <a:pt x="62230" y="8890"/>
                                </a:lnTo>
                                <a:lnTo>
                                  <a:pt x="44437" y="8890"/>
                                </a:lnTo>
                                <a:lnTo>
                                  <a:pt x="44437" y="0"/>
                                </a:lnTo>
                                <a:lnTo>
                                  <a:pt x="26670" y="0"/>
                                </a:lnTo>
                                <a:lnTo>
                                  <a:pt x="26670" y="8890"/>
                                </a:lnTo>
                                <a:lnTo>
                                  <a:pt x="8890" y="8890"/>
                                </a:lnTo>
                                <a:lnTo>
                                  <a:pt x="8890" y="26670"/>
                                </a:lnTo>
                                <a:lnTo>
                                  <a:pt x="0" y="26670"/>
                                </a:lnTo>
                                <a:lnTo>
                                  <a:pt x="0" y="35560"/>
                                </a:lnTo>
                                <a:lnTo>
                                  <a:pt x="0" y="44462"/>
                                </a:lnTo>
                                <a:lnTo>
                                  <a:pt x="8890" y="44462"/>
                                </a:lnTo>
                                <a:lnTo>
                                  <a:pt x="8890" y="62230"/>
                                </a:lnTo>
                                <a:lnTo>
                                  <a:pt x="26670" y="62230"/>
                                </a:lnTo>
                                <a:lnTo>
                                  <a:pt x="26670" y="71120"/>
                                </a:lnTo>
                                <a:lnTo>
                                  <a:pt x="44437" y="71120"/>
                                </a:lnTo>
                                <a:lnTo>
                                  <a:pt x="44437" y="62230"/>
                                </a:lnTo>
                                <a:lnTo>
                                  <a:pt x="62230" y="62230"/>
                                </a:lnTo>
                                <a:lnTo>
                                  <a:pt x="62230" y="44462"/>
                                </a:lnTo>
                                <a:lnTo>
                                  <a:pt x="71120" y="44462"/>
                                </a:lnTo>
                                <a:lnTo>
                                  <a:pt x="71120" y="35560"/>
                                </a:lnTo>
                                <a:lnTo>
                                  <a:pt x="71120" y="2667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61594" y="2346325"/>
                            <a:ext cx="62230" cy="62230"/>
                          </a:xfrm>
                          <a:custGeom>
                            <a:avLst/>
                            <a:gdLst/>
                            <a:ahLst/>
                            <a:cxnLst/>
                            <a:rect l="l" t="t" r="r" b="b"/>
                            <a:pathLst>
                              <a:path w="62230" h="62230">
                                <a:moveTo>
                                  <a:pt x="31114" y="0"/>
                                </a:moveTo>
                                <a:lnTo>
                                  <a:pt x="19004" y="2445"/>
                                </a:lnTo>
                                <a:lnTo>
                                  <a:pt x="9113" y="9113"/>
                                </a:lnTo>
                                <a:lnTo>
                                  <a:pt x="2445" y="19004"/>
                                </a:lnTo>
                                <a:lnTo>
                                  <a:pt x="0" y="31115"/>
                                </a:lnTo>
                                <a:lnTo>
                                  <a:pt x="2445" y="43225"/>
                                </a:lnTo>
                                <a:lnTo>
                                  <a:pt x="9113" y="53116"/>
                                </a:lnTo>
                                <a:lnTo>
                                  <a:pt x="19004" y="59784"/>
                                </a:lnTo>
                                <a:lnTo>
                                  <a:pt x="31114" y="62230"/>
                                </a:lnTo>
                                <a:lnTo>
                                  <a:pt x="43225" y="59784"/>
                                </a:lnTo>
                                <a:lnTo>
                                  <a:pt x="53116" y="53116"/>
                                </a:lnTo>
                                <a:lnTo>
                                  <a:pt x="59784" y="43225"/>
                                </a:lnTo>
                                <a:lnTo>
                                  <a:pt x="62229" y="31115"/>
                                </a:lnTo>
                                <a:lnTo>
                                  <a:pt x="59784" y="19004"/>
                                </a:lnTo>
                                <a:lnTo>
                                  <a:pt x="53116" y="9113"/>
                                </a:lnTo>
                                <a:lnTo>
                                  <a:pt x="43225" y="2445"/>
                                </a:lnTo>
                                <a:lnTo>
                                  <a:pt x="31114" y="0"/>
                                </a:lnTo>
                                <a:close/>
                              </a:path>
                            </a:pathLst>
                          </a:custGeom>
                          <a:ln w="9525">
                            <a:solidFill>
                              <a:srgbClr val="000000"/>
                            </a:solidFill>
                            <a:prstDash val="solid"/>
                          </a:ln>
                        </wps:spPr>
                        <wps:bodyPr wrap="square" lIns="0" tIns="0" rIns="0" bIns="0" rtlCol="0">
                          <a:prstTxWarp prst="textNoShape">
                            <a:avLst/>
                          </a:prstTxWarp>
                          <a:noAutofit/>
                        </wps:bodyPr>
                      </wps:wsp>
                      <wps:wsp>
                        <wps:cNvPr id="15" name="Graphic 15"/>
                        <wps:cNvSpPr/>
                        <wps:spPr>
                          <a:xfrm>
                            <a:off x="256540" y="283209"/>
                            <a:ext cx="177165" cy="1270"/>
                          </a:xfrm>
                          <a:custGeom>
                            <a:avLst/>
                            <a:gdLst/>
                            <a:ahLst/>
                            <a:cxnLst/>
                            <a:rect l="l" t="t" r="r" b="b"/>
                            <a:pathLst>
                              <a:path w="177165">
                                <a:moveTo>
                                  <a:pt x="0" y="0"/>
                                </a:moveTo>
                                <a:lnTo>
                                  <a:pt x="177165" y="0"/>
                                </a:lnTo>
                              </a:path>
                            </a:pathLst>
                          </a:custGeom>
                          <a:ln w="17780">
                            <a:solidFill>
                              <a:srgbClr val="000000"/>
                            </a:solidFill>
                            <a:prstDash val="solid"/>
                          </a:ln>
                        </wps:spPr>
                        <wps:bodyPr wrap="square" lIns="0" tIns="0" rIns="0" bIns="0" rtlCol="0">
                          <a:prstTxWarp prst="textNoShape">
                            <a:avLst/>
                          </a:prstTxWarp>
                          <a:noAutofit/>
                        </wps:bodyPr>
                      </wps:wsp>
                      <wps:wsp>
                        <wps:cNvPr id="16" name="Graphic 16"/>
                        <wps:cNvSpPr/>
                        <wps:spPr>
                          <a:xfrm>
                            <a:off x="212090" y="1390014"/>
                            <a:ext cx="53340" cy="17780"/>
                          </a:xfrm>
                          <a:custGeom>
                            <a:avLst/>
                            <a:gdLst/>
                            <a:ahLst/>
                            <a:cxnLst/>
                            <a:rect l="l" t="t" r="r" b="b"/>
                            <a:pathLst>
                              <a:path w="53340" h="17780">
                                <a:moveTo>
                                  <a:pt x="0" y="17780"/>
                                </a:moveTo>
                                <a:lnTo>
                                  <a:pt x="53340" y="17780"/>
                                </a:lnTo>
                                <a:lnTo>
                                  <a:pt x="53340" y="0"/>
                                </a:lnTo>
                                <a:lnTo>
                                  <a:pt x="0" y="0"/>
                                </a:lnTo>
                                <a:lnTo>
                                  <a:pt x="0" y="1778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176529" y="1540510"/>
                            <a:ext cx="132715" cy="1270"/>
                          </a:xfrm>
                          <a:custGeom>
                            <a:avLst/>
                            <a:gdLst/>
                            <a:ahLst/>
                            <a:cxnLst/>
                            <a:rect l="l" t="t" r="r" b="b"/>
                            <a:pathLst>
                              <a:path w="132715">
                                <a:moveTo>
                                  <a:pt x="0" y="0"/>
                                </a:moveTo>
                                <a:lnTo>
                                  <a:pt x="132715" y="0"/>
                                </a:lnTo>
                              </a:path>
                            </a:pathLst>
                          </a:custGeom>
                          <a:ln w="17780">
                            <a:solidFill>
                              <a:srgbClr val="000000"/>
                            </a:solidFill>
                            <a:prstDash val="solid"/>
                          </a:ln>
                        </wps:spPr>
                        <wps:bodyPr wrap="square" lIns="0" tIns="0" rIns="0" bIns="0" rtlCol="0">
                          <a:prstTxWarp prst="textNoShape">
                            <a:avLst/>
                          </a:prstTxWarp>
                          <a:noAutofit/>
                        </wps:bodyPr>
                      </wps:wsp>
                      <wps:wsp>
                        <wps:cNvPr id="18" name="Graphic 18"/>
                        <wps:cNvSpPr/>
                        <wps:spPr>
                          <a:xfrm>
                            <a:off x="97155" y="1965960"/>
                            <a:ext cx="114935" cy="1270"/>
                          </a:xfrm>
                          <a:custGeom>
                            <a:avLst/>
                            <a:gdLst/>
                            <a:ahLst/>
                            <a:cxnLst/>
                            <a:rect l="l" t="t" r="r" b="b"/>
                            <a:pathLst>
                              <a:path w="114935">
                                <a:moveTo>
                                  <a:pt x="0" y="0"/>
                                </a:moveTo>
                                <a:lnTo>
                                  <a:pt x="114935" y="0"/>
                                </a:lnTo>
                              </a:path>
                            </a:pathLst>
                          </a:custGeom>
                          <a:ln w="17780">
                            <a:solidFill>
                              <a:srgbClr val="000000"/>
                            </a:solidFill>
                            <a:prstDash val="solid"/>
                          </a:ln>
                        </wps:spPr>
                        <wps:bodyPr wrap="square" lIns="0" tIns="0" rIns="0" bIns="0" rtlCol="0">
                          <a:prstTxWarp prst="textNoShape">
                            <a:avLst/>
                          </a:prstTxWarp>
                          <a:noAutofit/>
                        </wps:bodyPr>
                      </wps:wsp>
                      <wps:wsp>
                        <wps:cNvPr id="19" name="Graphic 19"/>
                        <wps:cNvSpPr/>
                        <wps:spPr>
                          <a:xfrm>
                            <a:off x="8889" y="2381885"/>
                            <a:ext cx="185420" cy="1270"/>
                          </a:xfrm>
                          <a:custGeom>
                            <a:avLst/>
                            <a:gdLst/>
                            <a:ahLst/>
                            <a:cxnLst/>
                            <a:rect l="l" t="t" r="r" b="b"/>
                            <a:pathLst>
                              <a:path w="185420">
                                <a:moveTo>
                                  <a:pt x="0" y="0"/>
                                </a:moveTo>
                                <a:lnTo>
                                  <a:pt x="185420" y="0"/>
                                </a:lnTo>
                              </a:path>
                            </a:pathLst>
                          </a:custGeom>
                          <a:ln w="17780">
                            <a:solidFill>
                              <a:srgbClr val="000000"/>
                            </a:solidFill>
                            <a:prstDash val="solid"/>
                          </a:ln>
                        </wps:spPr>
                        <wps:bodyPr wrap="square" lIns="0" tIns="0" rIns="0" bIns="0" rtlCol="0">
                          <a:prstTxWarp prst="textNoShape">
                            <a:avLst/>
                          </a:prstTxWarp>
                          <a:noAutofit/>
                        </wps:bodyPr>
                      </wps:wsp>
                      <wps:wsp>
                        <wps:cNvPr id="20" name="Graphic 20"/>
                        <wps:cNvSpPr/>
                        <wps:spPr>
                          <a:xfrm>
                            <a:off x="256540" y="256540"/>
                            <a:ext cx="1270" cy="44450"/>
                          </a:xfrm>
                          <a:custGeom>
                            <a:avLst/>
                            <a:gdLst/>
                            <a:ahLst/>
                            <a:cxnLst/>
                            <a:rect l="l" t="t" r="r" b="b"/>
                            <a:pathLst>
                              <a:path h="44450">
                                <a:moveTo>
                                  <a:pt x="0" y="44450"/>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21" name="Graphic 21"/>
                        <wps:cNvSpPr/>
                        <wps:spPr>
                          <a:xfrm>
                            <a:off x="212090" y="1381125"/>
                            <a:ext cx="1270" cy="44450"/>
                          </a:xfrm>
                          <a:custGeom>
                            <a:avLst/>
                            <a:gdLst/>
                            <a:ahLst/>
                            <a:cxnLst/>
                            <a:rect l="l" t="t" r="r" b="b"/>
                            <a:pathLst>
                              <a:path h="44450">
                                <a:moveTo>
                                  <a:pt x="0" y="44450"/>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22" name="Graphic 22"/>
                        <wps:cNvSpPr/>
                        <wps:spPr>
                          <a:xfrm>
                            <a:off x="176529" y="1522730"/>
                            <a:ext cx="1270" cy="44450"/>
                          </a:xfrm>
                          <a:custGeom>
                            <a:avLst/>
                            <a:gdLst/>
                            <a:ahLst/>
                            <a:cxnLst/>
                            <a:rect l="l" t="t" r="r" b="b"/>
                            <a:pathLst>
                              <a:path h="44450">
                                <a:moveTo>
                                  <a:pt x="0" y="44450"/>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23" name="Graphic 23"/>
                        <wps:cNvSpPr/>
                        <wps:spPr>
                          <a:xfrm>
                            <a:off x="97155" y="1939289"/>
                            <a:ext cx="1270" cy="44450"/>
                          </a:xfrm>
                          <a:custGeom>
                            <a:avLst/>
                            <a:gdLst/>
                            <a:ahLst/>
                            <a:cxnLst/>
                            <a:rect l="l" t="t" r="r" b="b"/>
                            <a:pathLst>
                              <a:path h="44450">
                                <a:moveTo>
                                  <a:pt x="0" y="44450"/>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24" name="Graphic 24"/>
                        <wps:cNvSpPr/>
                        <wps:spPr>
                          <a:xfrm>
                            <a:off x="8889" y="2364104"/>
                            <a:ext cx="1270" cy="44450"/>
                          </a:xfrm>
                          <a:custGeom>
                            <a:avLst/>
                            <a:gdLst/>
                            <a:ahLst/>
                            <a:cxnLst/>
                            <a:rect l="l" t="t" r="r" b="b"/>
                            <a:pathLst>
                              <a:path h="44450">
                                <a:moveTo>
                                  <a:pt x="0" y="44450"/>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25" name="Graphic 25"/>
                        <wps:cNvSpPr/>
                        <wps:spPr>
                          <a:xfrm>
                            <a:off x="433705" y="256540"/>
                            <a:ext cx="1270" cy="44450"/>
                          </a:xfrm>
                          <a:custGeom>
                            <a:avLst/>
                            <a:gdLst/>
                            <a:ahLst/>
                            <a:cxnLst/>
                            <a:rect l="l" t="t" r="r" b="b"/>
                            <a:pathLst>
                              <a:path h="44450">
                                <a:moveTo>
                                  <a:pt x="0" y="44450"/>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26" name="Graphic 26"/>
                        <wps:cNvSpPr/>
                        <wps:spPr>
                          <a:xfrm>
                            <a:off x="265429" y="1381125"/>
                            <a:ext cx="1270" cy="44450"/>
                          </a:xfrm>
                          <a:custGeom>
                            <a:avLst/>
                            <a:gdLst/>
                            <a:ahLst/>
                            <a:cxnLst/>
                            <a:rect l="l" t="t" r="r" b="b"/>
                            <a:pathLst>
                              <a:path h="44450">
                                <a:moveTo>
                                  <a:pt x="0" y="44450"/>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27" name="Graphic 27"/>
                        <wps:cNvSpPr/>
                        <wps:spPr>
                          <a:xfrm>
                            <a:off x="309245" y="1522730"/>
                            <a:ext cx="1270" cy="44450"/>
                          </a:xfrm>
                          <a:custGeom>
                            <a:avLst/>
                            <a:gdLst/>
                            <a:ahLst/>
                            <a:cxnLst/>
                            <a:rect l="l" t="t" r="r" b="b"/>
                            <a:pathLst>
                              <a:path h="44450">
                                <a:moveTo>
                                  <a:pt x="0" y="44450"/>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28" name="Graphic 28"/>
                        <wps:cNvSpPr/>
                        <wps:spPr>
                          <a:xfrm>
                            <a:off x="212090" y="1939289"/>
                            <a:ext cx="1270" cy="44450"/>
                          </a:xfrm>
                          <a:custGeom>
                            <a:avLst/>
                            <a:gdLst/>
                            <a:ahLst/>
                            <a:cxnLst/>
                            <a:rect l="l" t="t" r="r" b="b"/>
                            <a:pathLst>
                              <a:path h="44450">
                                <a:moveTo>
                                  <a:pt x="0" y="44450"/>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29" name="Graphic 29"/>
                        <wps:cNvSpPr/>
                        <wps:spPr>
                          <a:xfrm>
                            <a:off x="194310" y="2364104"/>
                            <a:ext cx="1270" cy="44450"/>
                          </a:xfrm>
                          <a:custGeom>
                            <a:avLst/>
                            <a:gdLst/>
                            <a:ahLst/>
                            <a:cxnLst/>
                            <a:rect l="l" t="t" r="r" b="b"/>
                            <a:pathLst>
                              <a:path h="44450">
                                <a:moveTo>
                                  <a:pt x="0" y="44450"/>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30" name="Graphic 30"/>
                        <wps:cNvSpPr/>
                        <wps:spPr>
                          <a:xfrm>
                            <a:off x="220979" y="0"/>
                            <a:ext cx="1270" cy="2523490"/>
                          </a:xfrm>
                          <a:custGeom>
                            <a:avLst/>
                            <a:gdLst/>
                            <a:ahLst/>
                            <a:cxnLst/>
                            <a:rect l="l" t="t" r="r" b="b"/>
                            <a:pathLst>
                              <a:path h="2523490">
                                <a:moveTo>
                                  <a:pt x="0" y="2523489"/>
                                </a:moveTo>
                                <a:lnTo>
                                  <a:pt x="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2592F9" id="Group 4" o:spid="_x0000_s1026" style="position:absolute;margin-left:262.95pt;margin-top:23.8pt;width:34.85pt;height:198.7pt;z-index:-18982400;mso-wrap-distance-left:0;mso-wrap-distance-right:0;mso-position-horizontal-relative:page" coordsize="4425,25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">
                <v:shape id="Graphic 5" o:spid="_x0000_s1027" style="position:absolute;left:3009;top:2476;width:705;height:711;visibility:visible;mso-wrap-style:square;v-text-anchor:top" coordsize="70485,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" path="m70485,26670r-8890,l61595,8890r-17793,l43802,12,26035,r,8890l8255,8890r,17780l,26670r,8890l,44450r8255,l8255,62230r17780,l26035,71120r17767,l43802,62230r17793,l61595,44450r8890,l70485,35560r,-8890xe" fillcolor="black" stroked="f">
                  <v:path arrowok="t"/>
                </v:shape>
                <v:shape id="Graphic 6" o:spid="_x0000_s1028" style="position:absolute;left:3009;top:2476;width:616;height:622;visibility:visible;mso-wrap-style:square;v-text-anchor:top" coordsize="61594,6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" path="m30797,l18811,2445,9021,9113,2420,19004,,31115,2420,43225r6601,9891l18811,59784r11986,2446l42783,59784r9790,-6668l59174,43225,61595,31115,59174,19004,52573,9113,42783,2445,30797,xe" filled="f">
                  <v:path arrowok="t"/>
                </v:shape>
                <v:shape id="Graphic 7" o:spid="_x0000_s1029" style="position:absolute;left:2032;top:13633;width:717;height:711;visibility:visible;mso-wrap-style:square;v-text-anchor:top" coordsize="71755,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" path="m71132,26670r-8915,l62217,8890r-17767,l44450,,26670,r,8890l8890,8890r,17780l,26670r,8890l,44450r26670,l8890,44462r,17768l26670,62230r,8890l44437,71120r13,-8890l62217,62230r,-17768l44450,44462r26682,-12l71132,35560r,-8890xe" fillcolor="black" stroked="f">
                  <v:path arrowok="t"/>
                </v:shape>
                <v:shape id="Graphic 8" o:spid="_x0000_s1030" style="position:absolute;left:2032;top:13633;width:622;height:622;visibility:visible;mso-wrap-style:square;v-text-anchor:top" coordsize="62230,6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" path="m31114,l19004,2445,9113,9113,2445,19004,,31115,2445,43225r6668,9891l19004,59784r12110,2446l43225,59784r9891,-6668l59784,43225,62229,31115,59784,19004,53116,9113,43225,2445,31114,xe" filled="f">
                  <v:path arrowok="t"/>
                </v:shape>
                <v:shape id="Graphic 9" o:spid="_x0000_s1031" style="position:absolute;left:2032;top:15055;width:717;height:705;visibility:visible;mso-wrap-style:square;v-text-anchor:top" coordsize="7175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" path="m71132,26035r-8915,l62217,8890r-17767,l44450,,26670,r,8890l8890,8890r,17145l,26035r,8890l,43815r8890,l8890,61595r17780,l26670,70485r17767,l44450,61595r17767,l62217,43815r8915,l71132,34925r,-8890xe" fillcolor="black" stroked="f">
                  <v:path arrowok="t"/>
                </v:shape>
                <v:shape id="Graphic 10" o:spid="_x0000_s1032" style="position:absolute;left:2032;top:15055;width:622;height:616;visibility:visible;mso-wrap-style:square;v-text-anchor:top" coordsize="62230,6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" path="m31114,l19004,2420,9113,9021,2445,18811,,30797,2445,42783r6668,9790l19004,59174r12110,2420l43225,59174r9891,-6601l59784,42783,62229,30797,59784,18811,53116,9021,43225,2420,31114,xe" filled="f">
                  <v:path arrowok="t"/>
                </v:shape>
                <v:shape id="Graphic 11" o:spid="_x0000_s1033" style="position:absolute;left:1149;top:19303;width:705;height:712;visibility:visible;mso-wrap-style:square;v-text-anchor:top" coordsize="70485,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" path="m70485,26670r-8903,l61582,8890r-17132,l44450,,26670,r,8890l8890,8890r,17780l,26670r,8890l,44450r8890,l8890,62230r17780,l26670,71120r17767,l44450,62230r17132,l61582,44450r8903,l70485,35560r,-8890xe" fillcolor="black" stroked="f">
                  <v:path arrowok="t"/>
                </v:shape>
                <v:shape id="Graphic 12" o:spid="_x0000_s1034" style="position:absolute;left:1149;top:19304;width:616;height:622;visibility:visible;mso-wrap-style:square;v-text-anchor:top" coordsize="61594,6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" path="m30797,l18811,2445,9021,9113,2420,19004,,31115,2420,43225r6601,9891l18811,59784r11986,2446l42783,59784r9790,-6668l59174,43225,61595,31115,59174,19004,52573,9113,42783,2445,30797,xe" filled="f">
                  <v:path arrowok="t"/>
                </v:shape>
                <v:shape id="Graphic 13" o:spid="_x0000_s1035" style="position:absolute;left:615;top:23463;width:712;height:711;visibility:visible;mso-wrap-style:square;v-text-anchor:top" coordsize="71120,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" path="m71120,26670r-8890,l62230,8890r-17793,l44437,,26670,r,8890l8890,8890r,17780l,26670r,8890l,44462r8890,l8890,62230r17780,l26670,71120r17767,l44437,62230r17793,l62230,44462r8890,l71120,35560r,-8890xe" fillcolor="black" stroked="f">
                  <v:path arrowok="t"/>
                </v:shape>
                <v:shape id="Graphic 14" o:spid="_x0000_s1036" style="position:absolute;left:615;top:23463;width:623;height:622;visibility:visible;mso-wrap-style:square;v-text-anchor:top" coordsize="62230,6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" path="m31114,l19004,2445,9113,9113,2445,19004,,31115,2445,43225r6668,9891l19004,59784r12110,2446l43225,59784r9891,-6668l59784,43225,62229,31115,59784,19004,53116,9113,43225,2445,31114,xe" filled="f">
                  <v:path arrowok="t"/>
                </v:shape>
                <v:shape id="Graphic 15" o:spid="_x0000_s1037" style="position:absolute;left:2565;top:2832;width:1772;height:12;visibility:visible;mso-wrap-style:square;v-text-anchor:top" coordsize="1771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" path="m,l177165,e" filled="f" strokeweight="1.4pt">
                  <v:path arrowok="t"/>
                </v:shape>
                <v:shape id="Graphic 16" o:spid="_x0000_s1038" style="position:absolute;left:2120;top:13900;width:534;height:177;visibility:visible;mso-wrap-style:square;v-text-anchor:top" coordsize="5334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" path="m,17780r53340,l53340,,,,,17780xe" fillcolor="black" stroked="f">
                  <v:path arrowok="t"/>
                </v:shape>
                <v:shape id="Graphic 17" o:spid="_x0000_s1039" style="position:absolute;left:1765;top:15405;width:1327;height:12;visibility:visible;mso-wrap-style:square;v-text-anchor:top" coordsize="1327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" path="m,l132715,e" filled="f" strokeweight="1.4pt">
                  <v:path arrowok="t"/>
                </v:shape>
                <v:shape id="Graphic 18" o:spid="_x0000_s1040" style="position:absolute;left:971;top:19659;width:1149;height:13;visibility:visible;mso-wrap-style:square;v-text-anchor:top" coordsize="1149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" path="m,l114935,e" filled="f" strokeweight="1.4pt">
                  <v:path arrowok="t"/>
                </v:shape>
                <v:shape id="Graphic 19" o:spid="_x0000_s1041" style="position:absolute;left:88;top:23818;width:1855;height:13;visibility:visible;mso-wrap-style:square;v-text-anchor:top" coordsize="1854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" path="m,l185420,e" filled="f" strokeweight="1.4pt">
                  <v:path arrowok="t"/>
                </v:shape>
                <v:shape id="Graphic 20" o:spid="_x0000_s1042" style="position:absolute;left:2565;top:2565;width:13;height:444;visibility:visible;mso-wrap-style:square;v-text-anchor:top" coordsize="127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" path="m,44450l,e" filled="f" strokeweight="1.4pt">
                  <v:path arrowok="t"/>
                </v:shape>
                <v:shape id="Graphic 21" o:spid="_x0000_s1043" style="position:absolute;left:2120;top:13811;width:13;height:444;visibility:visible;mso-wrap-style:square;v-text-anchor:top" coordsize="127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" path="m,44450l,e" filled="f" strokeweight="1.4pt">
                  <v:path arrowok="t"/>
                </v:shape>
                <v:shape id="Graphic 22" o:spid="_x0000_s1044" style="position:absolute;left:1765;top:15227;width:12;height:444;visibility:visible;mso-wrap-style:square;v-text-anchor:top" coordsize="127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" path="m,44450l,e" filled="f" strokeweight="1.4pt">
                  <v:path arrowok="t"/>
                </v:shape>
                <v:shape id="Graphic 23" o:spid="_x0000_s1045" style="position:absolute;left:971;top:19392;width:13;height:445;visibility:visible;mso-wrap-style:square;v-text-anchor:top" coordsize="127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" path="m,44450l,e" filled="f" strokeweight="1.4pt">
                  <v:path arrowok="t"/>
                </v:shape>
                <v:shape id="Graphic 24" o:spid="_x0000_s1046" style="position:absolute;left:88;top:23641;width:13;height:444;visibility:visible;mso-wrap-style:square;v-text-anchor:top" coordsize="127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" path="m,44450l,e" filled="f" strokeweight="1.4pt">
                  <v:path arrowok="t"/>
                </v:shape>
                <v:shape id="Graphic 25" o:spid="_x0000_s1047" style="position:absolute;left:4337;top:2565;width:12;height:444;visibility:visible;mso-wrap-style:square;v-text-anchor:top" coordsize="127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" path="m,44450l,e" filled="f" strokeweight="1.4pt">
                  <v:path arrowok="t"/>
                </v:shape>
                <v:shape id="Graphic 26" o:spid="_x0000_s1048" style="position:absolute;left:2654;top:13811;width:12;height:444;visibility:visible;mso-wrap-style:square;v-text-anchor:top" coordsize="127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" path="m,44450l,e" filled="f" strokeweight="1.4pt">
                  <v:path arrowok="t"/>
                </v:shape>
                <v:shape id="Graphic 27" o:spid="_x0000_s1049" style="position:absolute;left:3092;top:15227;width:13;height:444;visibility:visible;mso-wrap-style:square;v-text-anchor:top" coordsize="127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" path="m,44450l,e" filled="f" strokeweight="1.4pt">
                  <v:path arrowok="t"/>
                </v:shape>
                <v:shape id="Graphic 28" o:spid="_x0000_s1050" style="position:absolute;left:2120;top:19392;width:13;height:445;visibility:visible;mso-wrap-style:square;v-text-anchor:top" coordsize="127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" path="m,44450l,e" filled="f" strokeweight="1.4pt">
                  <v:path arrowok="t"/>
                </v:shape>
                <v:shape id="Graphic 29" o:spid="_x0000_s1051" style="position:absolute;left:1943;top:23641;width:12;height:444;visibility:visible;mso-wrap-style:square;v-text-anchor:top" coordsize="127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" path="m,44450l,e" filled="f" strokeweight="1.4pt">
                  <v:path arrowok="t"/>
                </v:shape>
                <v:shape id="Graphic 30" o:spid="_x0000_s1052" style="position:absolute;left:2209;width:13;height:25234;visibility:visible;mso-wrap-style:square;v-text-anchor:top" coordsize="1270,252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" path="m,2523489l,e" filled="f">
                  <v:path arrowok="t"/>
                </v:shape>
                <w10:wrap anchorx="page"/>
              </v:group>
            </w:pict>
          </mc:Fallback>
        </mc:AlternateContent>
      </w:r>
      <w:r>
        <w:rPr>
          <w:noProof/>
        </w:rPr>
        <mc:AlternateContent>
          <mc:Choice Requires="wps">
            <w:drawing>
              <wp:anchor distT="0" distB="0" distL="0" distR="0" simplePos="0" relativeHeight="15733248" behindDoc="0" locked="0" layoutInCell="1" allowOverlap="1" wp14:anchorId="3117E87A" wp14:editId="7D3E4ECF">
                <wp:simplePos x="0" y="0"/>
                <wp:positionH relativeFrom="page">
                  <wp:posOffset>2693035</wp:posOffset>
                </wp:positionH>
                <wp:positionV relativeFrom="paragraph">
                  <wp:posOffset>302130</wp:posOffset>
                </wp:positionV>
                <wp:extent cx="1270" cy="252349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523490"/>
                        </a:xfrm>
                        <a:custGeom>
                          <a:avLst/>
                          <a:gdLst/>
                          <a:ahLst/>
                          <a:cxnLst/>
                          <a:rect l="l" t="t" r="r" b="b"/>
                          <a:pathLst>
                            <a:path h="2523490">
                              <a:moveTo>
                                <a:pt x="0" y="2523489"/>
                              </a:moveTo>
                              <a:lnTo>
                                <a:pt x="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D07FF8" id="Graphic 31" o:spid="_x0000_s1026" style="position:absolute;margin-left:212.05pt;margin-top:23.8pt;width:.1pt;height:198.7pt;z-index:15733248;visibility:visible;mso-wrap-style:square;mso-wrap-distance-left:0;mso-wrap-distance-top:0;mso-wrap-distance-right:0;mso-wrap-distance-bottom:0;mso-position-horizontal:absolute;mso-position-horizontal-relative:page;mso-position-vertical:absolute;mso-position-vertical-relative:text;v-text-anchor:top" coordsize="1270,2523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" path="m,2523489l,e" filled="f">
                <v:path arrowok="t"/>
                <w10:wrap anchorx="page"/>
              </v:shape>
            </w:pict>
          </mc:Fallback>
        </mc:AlternateContent>
      </w:r>
      <w:r>
        <w:rPr>
          <w:rFonts w:ascii="Arial"/>
          <w:b/>
          <w:color w:val="0000FF"/>
          <w:spacing w:val="-4"/>
          <w:sz w:val="19"/>
        </w:rPr>
        <w:t>Drug</w:t>
      </w:r>
    </w:p>
    <w:p w14:paraId="3BE2C7D5" w14:textId="77777777" w:rsidR="001825E2" w:rsidRDefault="000839A5" w:rsidP="00CB00A7">
      <w:pPr>
        <w:tabs>
          <w:tab w:val="left" w:pos="1044"/>
          <w:tab w:val="left" w:pos="3624"/>
        </w:tabs>
        <w:spacing w:before="98"/>
        <w:ind w:left="249"/>
        <w:rPr>
          <w:rFonts w:ascii="Arial"/>
          <w:b/>
          <w:sz w:val="19"/>
        </w:rPr>
      </w:pPr>
      <w:r>
        <w:br w:type="column"/>
      </w:r>
      <w:r>
        <w:rPr>
          <w:rFonts w:ascii="Arial"/>
          <w:b/>
          <w:color w:val="0000FF"/>
          <w:spacing w:val="-5"/>
          <w:sz w:val="19"/>
        </w:rPr>
        <w:t>PK</w:t>
      </w:r>
      <w:r>
        <w:rPr>
          <w:rFonts w:ascii="Arial"/>
          <w:b/>
          <w:color w:val="0000FF"/>
          <w:sz w:val="19"/>
        </w:rPr>
        <w:tab/>
        <w:t>Ratio</w:t>
      </w:r>
      <w:r>
        <w:rPr>
          <w:rFonts w:ascii="Arial"/>
          <w:b/>
          <w:color w:val="0000FF"/>
          <w:spacing w:val="23"/>
          <w:sz w:val="19"/>
        </w:rPr>
        <w:t xml:space="preserve"> </w:t>
      </w:r>
      <w:r>
        <w:rPr>
          <w:rFonts w:ascii="Arial"/>
          <w:b/>
          <w:color w:val="0000FF"/>
          <w:sz w:val="19"/>
        </w:rPr>
        <w:t>and</w:t>
      </w:r>
      <w:r>
        <w:rPr>
          <w:rFonts w:ascii="Arial"/>
          <w:b/>
          <w:color w:val="0000FF"/>
          <w:spacing w:val="9"/>
          <w:sz w:val="19"/>
        </w:rPr>
        <w:t xml:space="preserve"> </w:t>
      </w:r>
      <w:r>
        <w:rPr>
          <w:rFonts w:ascii="Arial"/>
          <w:b/>
          <w:color w:val="0000FF"/>
          <w:sz w:val="19"/>
        </w:rPr>
        <w:t>90%</w:t>
      </w:r>
      <w:r>
        <w:rPr>
          <w:rFonts w:ascii="Arial"/>
          <w:b/>
          <w:color w:val="0000FF"/>
          <w:spacing w:val="28"/>
          <w:sz w:val="19"/>
        </w:rPr>
        <w:t xml:space="preserve"> </w:t>
      </w:r>
      <w:r>
        <w:rPr>
          <w:rFonts w:ascii="Arial"/>
          <w:b/>
          <w:color w:val="0000FF"/>
          <w:spacing w:val="-7"/>
          <w:sz w:val="19"/>
        </w:rPr>
        <w:t>CI</w:t>
      </w:r>
      <w:r>
        <w:rPr>
          <w:rFonts w:ascii="Arial"/>
          <w:b/>
          <w:color w:val="0000FF"/>
          <w:sz w:val="19"/>
        </w:rPr>
        <w:tab/>
      </w:r>
      <w:r>
        <w:rPr>
          <w:rFonts w:ascii="Arial"/>
          <w:b/>
          <w:color w:val="0000FF"/>
          <w:spacing w:val="-2"/>
          <w:sz w:val="19"/>
        </w:rPr>
        <w:t>Recommendation</w:t>
      </w:r>
    </w:p>
    <w:p w14:paraId="06190668" w14:textId="77777777" w:rsidR="001825E2" w:rsidRDefault="001825E2" w:rsidP="00CB00A7">
      <w:pPr>
        <w:rPr>
          <w:rFonts w:ascii="Arial"/>
          <w:sz w:val="19"/>
        </w:rPr>
        <w:sectPr w:rsidR="001825E2">
          <w:type w:val="continuous"/>
          <w:pgSz w:w="11910" w:h="16850"/>
          <w:pgMar w:top="1420" w:right="1220" w:bottom="980" w:left="1220" w:header="0" w:footer="785" w:gutter="0"/>
          <w:cols w:num="2" w:space="720" w:equalWidth="0">
            <w:col w:w="2346" w:space="40"/>
            <w:col w:w="7084"/>
          </w:cols>
        </w:sectPr>
      </w:pPr>
    </w:p>
    <w:p w14:paraId="091776F6" w14:textId="77777777" w:rsidR="001825E2" w:rsidRDefault="001825E2" w:rsidP="00CB00A7">
      <w:pPr>
        <w:pStyle w:val="BodyText"/>
        <w:spacing w:before="2"/>
        <w:jc w:val="left"/>
        <w:rPr>
          <w:rFonts w:ascii="Arial"/>
          <w:b/>
          <w:sz w:val="19"/>
        </w:rPr>
      </w:pPr>
    </w:p>
    <w:p w14:paraId="643B712A" w14:textId="77777777" w:rsidR="001825E2" w:rsidRDefault="001825E2" w:rsidP="00CB00A7">
      <w:pPr>
        <w:rPr>
          <w:rFonts w:ascii="Arial"/>
          <w:sz w:val="19"/>
        </w:rPr>
        <w:sectPr w:rsidR="001825E2">
          <w:type w:val="continuous"/>
          <w:pgSz w:w="11910" w:h="16850"/>
          <w:pgMar w:top="1420" w:right="1220" w:bottom="980" w:left="1220" w:header="0" w:footer="785" w:gutter="0"/>
          <w:cols w:space="720"/>
        </w:sectPr>
      </w:pPr>
    </w:p>
    <w:p w14:paraId="57714221" w14:textId="77777777" w:rsidR="001825E2" w:rsidRDefault="000839A5" w:rsidP="00CB00A7">
      <w:pPr>
        <w:spacing w:before="99" w:line="182" w:lineRule="exact"/>
        <w:ind w:left="850"/>
        <w:rPr>
          <w:rFonts w:ascii="Arial"/>
          <w:i/>
          <w:sz w:val="16"/>
        </w:rPr>
      </w:pPr>
      <w:r>
        <w:rPr>
          <w:rFonts w:ascii="Arial"/>
          <w:i/>
          <w:sz w:val="16"/>
        </w:rPr>
        <w:t>CYP3A</w:t>
      </w:r>
      <w:r>
        <w:rPr>
          <w:rFonts w:ascii="Arial"/>
          <w:i/>
          <w:spacing w:val="-3"/>
          <w:sz w:val="16"/>
        </w:rPr>
        <w:t xml:space="preserve"> </w:t>
      </w:r>
      <w:r>
        <w:rPr>
          <w:rFonts w:ascii="Arial"/>
          <w:i/>
          <w:spacing w:val="-2"/>
          <w:sz w:val="16"/>
        </w:rPr>
        <w:t>Inhibitor</w:t>
      </w:r>
    </w:p>
    <w:p w14:paraId="2F02DF14" w14:textId="77777777" w:rsidR="001825E2" w:rsidRDefault="000839A5" w:rsidP="00CB00A7">
      <w:pPr>
        <w:spacing w:line="182" w:lineRule="exact"/>
        <w:ind w:right="366"/>
        <w:rPr>
          <w:rFonts w:ascii="Arial"/>
          <w:sz w:val="16"/>
        </w:rPr>
      </w:pPr>
      <w:r>
        <w:rPr>
          <w:rFonts w:ascii="Arial"/>
          <w:spacing w:val="-2"/>
          <w:w w:val="105"/>
          <w:sz w:val="16"/>
        </w:rPr>
        <w:t>Ketoconazole</w:t>
      </w:r>
    </w:p>
    <w:p w14:paraId="1C34DC1B" w14:textId="77777777" w:rsidR="001825E2" w:rsidRDefault="001825E2" w:rsidP="00CB00A7">
      <w:pPr>
        <w:pStyle w:val="BodyText"/>
        <w:spacing w:before="127"/>
        <w:jc w:val="left"/>
        <w:rPr>
          <w:rFonts w:ascii="Arial"/>
          <w:sz w:val="16"/>
        </w:rPr>
      </w:pPr>
    </w:p>
    <w:p w14:paraId="32ECC97B" w14:textId="77777777" w:rsidR="001825E2" w:rsidRDefault="000839A5" w:rsidP="00CB00A7">
      <w:pPr>
        <w:spacing w:line="159" w:lineRule="exact"/>
        <w:ind w:left="220"/>
        <w:rPr>
          <w:rFonts w:ascii="Arial"/>
          <w:i/>
          <w:sz w:val="16"/>
        </w:rPr>
      </w:pPr>
      <w:r>
        <w:rPr>
          <w:rFonts w:ascii="Arial"/>
          <w:i/>
          <w:sz w:val="16"/>
        </w:rPr>
        <w:t>CYP3A</w:t>
      </w:r>
      <w:r>
        <w:rPr>
          <w:rFonts w:ascii="Arial"/>
          <w:i/>
          <w:spacing w:val="-2"/>
          <w:sz w:val="16"/>
        </w:rPr>
        <w:t xml:space="preserve"> </w:t>
      </w:r>
      <w:r>
        <w:rPr>
          <w:rFonts w:ascii="Arial"/>
          <w:i/>
          <w:sz w:val="16"/>
        </w:rPr>
        <w:t>&amp;</w:t>
      </w:r>
      <w:r>
        <w:rPr>
          <w:rFonts w:ascii="Arial"/>
          <w:i/>
          <w:spacing w:val="-1"/>
          <w:sz w:val="16"/>
        </w:rPr>
        <w:t xml:space="preserve"> </w:t>
      </w:r>
      <w:r>
        <w:rPr>
          <w:rFonts w:ascii="Arial"/>
          <w:i/>
          <w:sz w:val="16"/>
        </w:rPr>
        <w:t>CYP2C19</w:t>
      </w:r>
      <w:r>
        <w:rPr>
          <w:rFonts w:ascii="Arial"/>
          <w:i/>
          <w:spacing w:val="-14"/>
          <w:sz w:val="16"/>
        </w:rPr>
        <w:t xml:space="preserve"> </w:t>
      </w:r>
      <w:r>
        <w:rPr>
          <w:rFonts w:ascii="Arial"/>
          <w:i/>
          <w:spacing w:val="-2"/>
          <w:sz w:val="16"/>
        </w:rPr>
        <w:t>Inhibitor</w:t>
      </w:r>
    </w:p>
    <w:p w14:paraId="40FA4D13" w14:textId="77777777" w:rsidR="001825E2" w:rsidRDefault="000839A5" w:rsidP="00CB00A7">
      <w:pPr>
        <w:spacing w:line="159" w:lineRule="exact"/>
        <w:ind w:right="447"/>
        <w:rPr>
          <w:rFonts w:ascii="Arial"/>
          <w:sz w:val="16"/>
        </w:rPr>
      </w:pPr>
      <w:r>
        <w:rPr>
          <w:rFonts w:ascii="Arial"/>
          <w:spacing w:val="-2"/>
          <w:w w:val="105"/>
          <w:sz w:val="16"/>
        </w:rPr>
        <w:t>Fluconazole</w:t>
      </w:r>
    </w:p>
    <w:p w14:paraId="5D6BA020" w14:textId="77777777" w:rsidR="001825E2" w:rsidRDefault="001825E2" w:rsidP="00CB00A7">
      <w:pPr>
        <w:pStyle w:val="BodyText"/>
        <w:spacing w:before="172"/>
        <w:jc w:val="left"/>
        <w:rPr>
          <w:rFonts w:ascii="Arial"/>
          <w:sz w:val="16"/>
        </w:rPr>
      </w:pPr>
    </w:p>
    <w:p w14:paraId="04EADDBF" w14:textId="77777777" w:rsidR="001825E2" w:rsidRDefault="000839A5" w:rsidP="00CB00A7">
      <w:pPr>
        <w:spacing w:line="167" w:lineRule="exact"/>
        <w:ind w:left="910"/>
        <w:rPr>
          <w:rFonts w:ascii="Arial"/>
          <w:i/>
          <w:sz w:val="16"/>
        </w:rPr>
      </w:pPr>
      <w:r>
        <w:rPr>
          <w:noProof/>
        </w:rPr>
        <mc:AlternateContent>
          <mc:Choice Requires="wpg">
            <w:drawing>
              <wp:anchor distT="0" distB="0" distL="0" distR="0" simplePos="0" relativeHeight="15731200" behindDoc="0" locked="0" layoutInCell="1" allowOverlap="1" wp14:anchorId="5A6247C5" wp14:editId="0768320D">
                <wp:simplePos x="0" y="0"/>
                <wp:positionH relativeFrom="page">
                  <wp:posOffset>2900997</wp:posOffset>
                </wp:positionH>
                <wp:positionV relativeFrom="paragraph">
                  <wp:posOffset>62951</wp:posOffset>
                </wp:positionV>
                <wp:extent cx="75565" cy="7620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 cy="76200"/>
                          <a:chOff x="0" y="0"/>
                          <a:chExt cx="75565" cy="76200"/>
                        </a:xfrm>
                      </wpg:grpSpPr>
                      <wps:wsp>
                        <wps:cNvPr id="33" name="Graphic 33"/>
                        <wps:cNvSpPr/>
                        <wps:spPr>
                          <a:xfrm>
                            <a:off x="4762" y="4762"/>
                            <a:ext cx="70485" cy="71120"/>
                          </a:xfrm>
                          <a:custGeom>
                            <a:avLst/>
                            <a:gdLst/>
                            <a:ahLst/>
                            <a:cxnLst/>
                            <a:rect l="l" t="t" r="r" b="b"/>
                            <a:pathLst>
                              <a:path w="70485" h="71120">
                                <a:moveTo>
                                  <a:pt x="70485" y="26670"/>
                                </a:moveTo>
                                <a:lnTo>
                                  <a:pt x="61595" y="26670"/>
                                </a:lnTo>
                                <a:lnTo>
                                  <a:pt x="61595" y="8890"/>
                                </a:lnTo>
                                <a:lnTo>
                                  <a:pt x="43815" y="8890"/>
                                </a:lnTo>
                                <a:lnTo>
                                  <a:pt x="43815" y="0"/>
                                </a:lnTo>
                                <a:lnTo>
                                  <a:pt x="26035" y="0"/>
                                </a:lnTo>
                                <a:lnTo>
                                  <a:pt x="26035" y="8890"/>
                                </a:lnTo>
                                <a:lnTo>
                                  <a:pt x="8890" y="8890"/>
                                </a:lnTo>
                                <a:lnTo>
                                  <a:pt x="8890" y="26670"/>
                                </a:lnTo>
                                <a:lnTo>
                                  <a:pt x="0" y="26670"/>
                                </a:lnTo>
                                <a:lnTo>
                                  <a:pt x="0" y="35560"/>
                                </a:lnTo>
                                <a:lnTo>
                                  <a:pt x="0" y="44450"/>
                                </a:lnTo>
                                <a:lnTo>
                                  <a:pt x="26035" y="44450"/>
                                </a:lnTo>
                                <a:lnTo>
                                  <a:pt x="8890" y="44462"/>
                                </a:lnTo>
                                <a:lnTo>
                                  <a:pt x="8890" y="62230"/>
                                </a:lnTo>
                                <a:lnTo>
                                  <a:pt x="26035" y="62230"/>
                                </a:lnTo>
                                <a:lnTo>
                                  <a:pt x="26035" y="71120"/>
                                </a:lnTo>
                                <a:lnTo>
                                  <a:pt x="43815" y="71120"/>
                                </a:lnTo>
                                <a:lnTo>
                                  <a:pt x="43815" y="62230"/>
                                </a:lnTo>
                                <a:lnTo>
                                  <a:pt x="61595" y="62230"/>
                                </a:lnTo>
                                <a:lnTo>
                                  <a:pt x="61595" y="44462"/>
                                </a:lnTo>
                                <a:lnTo>
                                  <a:pt x="43815" y="44462"/>
                                </a:lnTo>
                                <a:lnTo>
                                  <a:pt x="70485" y="44450"/>
                                </a:lnTo>
                                <a:lnTo>
                                  <a:pt x="70485" y="35560"/>
                                </a:lnTo>
                                <a:lnTo>
                                  <a:pt x="70485" y="26670"/>
                                </a:lnTo>
                                <a:close/>
                              </a:path>
                            </a:pathLst>
                          </a:custGeom>
                          <a:solidFill>
                            <a:srgbClr val="000000"/>
                          </a:solidFill>
                        </wps:spPr>
                        <wps:bodyPr wrap="square" lIns="0" tIns="0" rIns="0" bIns="0" rtlCol="0">
                          <a:prstTxWarp prst="textNoShape">
                            <a:avLst/>
                          </a:prstTxWarp>
                          <a:noAutofit/>
                        </wps:bodyPr>
                      </wps:wsp>
                      <wps:wsp>
                        <wps:cNvPr id="34" name="Graphic 34"/>
                        <wps:cNvSpPr/>
                        <wps:spPr>
                          <a:xfrm>
                            <a:off x="4762" y="4762"/>
                            <a:ext cx="61594" cy="62230"/>
                          </a:xfrm>
                          <a:custGeom>
                            <a:avLst/>
                            <a:gdLst/>
                            <a:ahLst/>
                            <a:cxnLst/>
                            <a:rect l="l" t="t" r="r" b="b"/>
                            <a:pathLst>
                              <a:path w="61594" h="62230">
                                <a:moveTo>
                                  <a:pt x="30797" y="0"/>
                                </a:moveTo>
                                <a:lnTo>
                                  <a:pt x="18811" y="2445"/>
                                </a:lnTo>
                                <a:lnTo>
                                  <a:pt x="9021" y="9113"/>
                                </a:lnTo>
                                <a:lnTo>
                                  <a:pt x="2420" y="19004"/>
                                </a:lnTo>
                                <a:lnTo>
                                  <a:pt x="0" y="31115"/>
                                </a:lnTo>
                                <a:lnTo>
                                  <a:pt x="2420" y="43225"/>
                                </a:lnTo>
                                <a:lnTo>
                                  <a:pt x="9021" y="53116"/>
                                </a:lnTo>
                                <a:lnTo>
                                  <a:pt x="18811" y="59784"/>
                                </a:lnTo>
                                <a:lnTo>
                                  <a:pt x="30797" y="62230"/>
                                </a:lnTo>
                                <a:lnTo>
                                  <a:pt x="42783" y="59784"/>
                                </a:lnTo>
                                <a:lnTo>
                                  <a:pt x="52573" y="53116"/>
                                </a:lnTo>
                                <a:lnTo>
                                  <a:pt x="59174" y="43225"/>
                                </a:lnTo>
                                <a:lnTo>
                                  <a:pt x="61595" y="31115"/>
                                </a:lnTo>
                                <a:lnTo>
                                  <a:pt x="59174" y="19004"/>
                                </a:lnTo>
                                <a:lnTo>
                                  <a:pt x="52573" y="9113"/>
                                </a:lnTo>
                                <a:lnTo>
                                  <a:pt x="42783" y="2445"/>
                                </a:lnTo>
                                <a:lnTo>
                                  <a:pt x="30797" y="0"/>
                                </a:lnTo>
                                <a:close/>
                              </a:path>
                            </a:pathLst>
                          </a:custGeom>
                          <a:ln w="9525">
                            <a:solidFill>
                              <a:srgbClr val="000000"/>
                            </a:solidFill>
                            <a:prstDash val="solid"/>
                          </a:ln>
                        </wps:spPr>
                        <wps:bodyPr wrap="square" lIns="0" tIns="0" rIns="0" bIns="0" rtlCol="0">
                          <a:prstTxWarp prst="textNoShape">
                            <a:avLst/>
                          </a:prstTxWarp>
                          <a:noAutofit/>
                        </wps:bodyPr>
                      </wps:wsp>
                      <wps:wsp>
                        <wps:cNvPr id="35" name="Graphic 35"/>
                        <wps:cNvSpPr/>
                        <wps:spPr>
                          <a:xfrm>
                            <a:off x="22542" y="40322"/>
                            <a:ext cx="26034" cy="1270"/>
                          </a:xfrm>
                          <a:custGeom>
                            <a:avLst/>
                            <a:gdLst/>
                            <a:ahLst/>
                            <a:cxnLst/>
                            <a:rect l="l" t="t" r="r" b="b"/>
                            <a:pathLst>
                              <a:path w="26034">
                                <a:moveTo>
                                  <a:pt x="0" y="0"/>
                                </a:moveTo>
                                <a:lnTo>
                                  <a:pt x="26034" y="0"/>
                                </a:lnTo>
                              </a:path>
                            </a:pathLst>
                          </a:custGeom>
                          <a:ln w="17780">
                            <a:solidFill>
                              <a:srgbClr val="000000"/>
                            </a:solidFill>
                            <a:prstDash val="solid"/>
                          </a:ln>
                        </wps:spPr>
                        <wps:bodyPr wrap="square" lIns="0" tIns="0" rIns="0" bIns="0" rtlCol="0">
                          <a:prstTxWarp prst="textNoShape">
                            <a:avLst/>
                          </a:prstTxWarp>
                          <a:noAutofit/>
                        </wps:bodyPr>
                      </wps:wsp>
                      <wps:wsp>
                        <wps:cNvPr id="36" name="Graphic 36"/>
                        <wps:cNvSpPr/>
                        <wps:spPr>
                          <a:xfrm>
                            <a:off x="22542" y="22542"/>
                            <a:ext cx="1270" cy="35560"/>
                          </a:xfrm>
                          <a:custGeom>
                            <a:avLst/>
                            <a:gdLst/>
                            <a:ahLst/>
                            <a:cxnLst/>
                            <a:rect l="l" t="t" r="r" b="b"/>
                            <a:pathLst>
                              <a:path h="35560">
                                <a:moveTo>
                                  <a:pt x="0" y="35559"/>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37" name="Graphic 37"/>
                        <wps:cNvSpPr/>
                        <wps:spPr>
                          <a:xfrm>
                            <a:off x="48577" y="22542"/>
                            <a:ext cx="1270" cy="35560"/>
                          </a:xfrm>
                          <a:custGeom>
                            <a:avLst/>
                            <a:gdLst/>
                            <a:ahLst/>
                            <a:cxnLst/>
                            <a:rect l="l" t="t" r="r" b="b"/>
                            <a:pathLst>
                              <a:path h="35560">
                                <a:moveTo>
                                  <a:pt x="0" y="35559"/>
                                </a:moveTo>
                                <a:lnTo>
                                  <a:pt x="0" y="0"/>
                                </a:lnTo>
                              </a:path>
                            </a:pathLst>
                          </a:custGeom>
                          <a:ln w="1778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D80B7F" id="Group 32" o:spid="_x0000_s1026" style="position:absolute;margin-left:228.4pt;margin-top:4.95pt;width:5.95pt;height:6pt;z-index:15731200;mso-wrap-distance-left:0;mso-wrap-distance-right:0;mso-position-horizontal-relative:page" coordsize="75565,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">
                <v:shape id="Graphic 33" o:spid="_x0000_s1027" style="position:absolute;left:4762;top:4762;width:70485;height:71120;visibility:visible;mso-wrap-style:square;v-text-anchor:top" coordsize="70485,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" path="m70485,26670r-8890,l61595,8890r-17780,l43815,,26035,r,8890l8890,8890r,17780l,26670r,8890l,44450r26035,l8890,44462r,17768l26035,62230r,8890l43815,71120r,-8890l61595,62230r,-17768l43815,44462r26670,-12l70485,35560r,-8890xe" fillcolor="black" stroked="f">
                  <v:path arrowok="t"/>
                </v:shape>
                <v:shape id="Graphic 34" o:spid="_x0000_s1028" style="position:absolute;left:4762;top:4762;width:61594;height:62230;visibility:visible;mso-wrap-style:square;v-text-anchor:top" coordsize="61594,6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" path="m30797,l18811,2445,9021,9113,2420,19004,,31115,2420,43225r6601,9891l18811,59784r11986,2446l42783,59784r9790,-6668l59174,43225,61595,31115,59174,19004,52573,9113,42783,2445,30797,xe" filled="f">
                  <v:path arrowok="t"/>
                </v:shape>
                <v:shape id="Graphic 35" o:spid="_x0000_s1029" style="position:absolute;left:22542;top:40322;width:26034;height:1270;visibility:visible;mso-wrap-style:square;v-text-anchor:top" coordsize="2603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" path="m,l26034,e" filled="f" strokeweight="1.4pt">
                  <v:path arrowok="t"/>
                </v:shape>
                <v:shape id="Graphic 36" o:spid="_x0000_s1030" style="position:absolute;left:22542;top:22542;width:1270;height:35560;visibility:visible;mso-wrap-style:square;v-text-anchor:top" coordsize="1270,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" path="m,35559l,e" filled="f" strokeweight="1.4pt">
                  <v:path arrowok="t"/>
                </v:shape>
                <v:shape id="Graphic 37" o:spid="_x0000_s1031" style="position:absolute;left:48577;top:22542;width:1270;height:35560;visibility:visible;mso-wrap-style:square;v-text-anchor:top" coordsize="1270,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" path="m,35559l,e" filled="f" strokeweight="1.4pt">
                  <v:path arrowok="t"/>
                </v:shape>
                <w10:wrap anchorx="page"/>
              </v:group>
            </w:pict>
          </mc:Fallback>
        </mc:AlternateContent>
      </w:r>
      <w:r>
        <w:rPr>
          <w:rFonts w:ascii="Arial"/>
          <w:i/>
          <w:sz w:val="16"/>
        </w:rPr>
        <w:t>CYP</w:t>
      </w:r>
      <w:r>
        <w:rPr>
          <w:rFonts w:ascii="Arial"/>
          <w:i/>
          <w:spacing w:val="-2"/>
          <w:sz w:val="16"/>
        </w:rPr>
        <w:t xml:space="preserve"> Inducer</w:t>
      </w:r>
    </w:p>
    <w:p w14:paraId="41498E00" w14:textId="77777777" w:rsidR="001825E2" w:rsidRDefault="000839A5" w:rsidP="00CB00A7">
      <w:pPr>
        <w:spacing w:line="167" w:lineRule="exact"/>
        <w:ind w:right="432"/>
        <w:rPr>
          <w:rFonts w:ascii="Arial"/>
          <w:sz w:val="16"/>
        </w:rPr>
      </w:pPr>
      <w:r>
        <w:rPr>
          <w:noProof/>
        </w:rPr>
        <mc:AlternateContent>
          <mc:Choice Requires="wpg">
            <w:drawing>
              <wp:anchor distT="0" distB="0" distL="0" distR="0" simplePos="0" relativeHeight="15731712" behindDoc="0" locked="0" layoutInCell="1" allowOverlap="1" wp14:anchorId="4354DC43" wp14:editId="2992D161">
                <wp:simplePos x="0" y="0"/>
                <wp:positionH relativeFrom="page">
                  <wp:posOffset>2971482</wp:posOffset>
                </wp:positionH>
                <wp:positionV relativeFrom="paragraph">
                  <wp:posOffset>98516</wp:posOffset>
                </wp:positionV>
                <wp:extent cx="85090" cy="7620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090" cy="76200"/>
                          <a:chOff x="0" y="0"/>
                          <a:chExt cx="85090" cy="76200"/>
                        </a:xfrm>
                      </wpg:grpSpPr>
                      <wps:wsp>
                        <wps:cNvPr id="39" name="Graphic 39"/>
                        <wps:cNvSpPr/>
                        <wps:spPr>
                          <a:xfrm>
                            <a:off x="4762" y="4762"/>
                            <a:ext cx="71120" cy="71120"/>
                          </a:xfrm>
                          <a:custGeom>
                            <a:avLst/>
                            <a:gdLst/>
                            <a:ahLst/>
                            <a:cxnLst/>
                            <a:rect l="l" t="t" r="r" b="b"/>
                            <a:pathLst>
                              <a:path w="71120" h="71120">
                                <a:moveTo>
                                  <a:pt x="71120" y="26670"/>
                                </a:moveTo>
                                <a:lnTo>
                                  <a:pt x="62230" y="26670"/>
                                </a:lnTo>
                                <a:lnTo>
                                  <a:pt x="62230" y="8890"/>
                                </a:lnTo>
                                <a:lnTo>
                                  <a:pt x="44450" y="8890"/>
                                </a:lnTo>
                                <a:lnTo>
                                  <a:pt x="44450" y="0"/>
                                </a:lnTo>
                                <a:lnTo>
                                  <a:pt x="26670" y="0"/>
                                </a:lnTo>
                                <a:lnTo>
                                  <a:pt x="26670" y="8890"/>
                                </a:lnTo>
                                <a:lnTo>
                                  <a:pt x="8890" y="8890"/>
                                </a:lnTo>
                                <a:lnTo>
                                  <a:pt x="8890" y="26670"/>
                                </a:lnTo>
                                <a:lnTo>
                                  <a:pt x="0" y="26670"/>
                                </a:lnTo>
                                <a:lnTo>
                                  <a:pt x="0" y="35560"/>
                                </a:lnTo>
                                <a:lnTo>
                                  <a:pt x="0" y="44450"/>
                                </a:lnTo>
                                <a:lnTo>
                                  <a:pt x="8890" y="44450"/>
                                </a:lnTo>
                                <a:lnTo>
                                  <a:pt x="8890" y="62230"/>
                                </a:lnTo>
                                <a:lnTo>
                                  <a:pt x="26670" y="62230"/>
                                </a:lnTo>
                                <a:lnTo>
                                  <a:pt x="26670" y="71120"/>
                                </a:lnTo>
                                <a:lnTo>
                                  <a:pt x="44450" y="71120"/>
                                </a:lnTo>
                                <a:lnTo>
                                  <a:pt x="44450" y="62230"/>
                                </a:lnTo>
                                <a:lnTo>
                                  <a:pt x="62230" y="62230"/>
                                </a:lnTo>
                                <a:lnTo>
                                  <a:pt x="62230" y="44450"/>
                                </a:lnTo>
                                <a:lnTo>
                                  <a:pt x="71120" y="44450"/>
                                </a:lnTo>
                                <a:lnTo>
                                  <a:pt x="71120" y="35560"/>
                                </a:lnTo>
                                <a:lnTo>
                                  <a:pt x="71120" y="26670"/>
                                </a:lnTo>
                                <a:close/>
                              </a:path>
                            </a:pathLst>
                          </a:custGeom>
                          <a:solidFill>
                            <a:srgbClr val="000000"/>
                          </a:solidFill>
                        </wps:spPr>
                        <wps:bodyPr wrap="square" lIns="0" tIns="0" rIns="0" bIns="0" rtlCol="0">
                          <a:prstTxWarp prst="textNoShape">
                            <a:avLst/>
                          </a:prstTxWarp>
                          <a:noAutofit/>
                        </wps:bodyPr>
                      </wps:wsp>
                      <wps:wsp>
                        <wps:cNvPr id="40" name="Graphic 40"/>
                        <wps:cNvSpPr/>
                        <wps:spPr>
                          <a:xfrm>
                            <a:off x="4762" y="4762"/>
                            <a:ext cx="62230" cy="62230"/>
                          </a:xfrm>
                          <a:custGeom>
                            <a:avLst/>
                            <a:gdLst/>
                            <a:ahLst/>
                            <a:cxnLst/>
                            <a:rect l="l" t="t" r="r" b="b"/>
                            <a:pathLst>
                              <a:path w="62230" h="62230">
                                <a:moveTo>
                                  <a:pt x="31114" y="0"/>
                                </a:moveTo>
                                <a:lnTo>
                                  <a:pt x="19004" y="2445"/>
                                </a:lnTo>
                                <a:lnTo>
                                  <a:pt x="9113" y="9113"/>
                                </a:lnTo>
                                <a:lnTo>
                                  <a:pt x="2445" y="19004"/>
                                </a:lnTo>
                                <a:lnTo>
                                  <a:pt x="0" y="31115"/>
                                </a:lnTo>
                                <a:lnTo>
                                  <a:pt x="2445" y="43225"/>
                                </a:lnTo>
                                <a:lnTo>
                                  <a:pt x="9113" y="53116"/>
                                </a:lnTo>
                                <a:lnTo>
                                  <a:pt x="19004" y="59784"/>
                                </a:lnTo>
                                <a:lnTo>
                                  <a:pt x="31114" y="62230"/>
                                </a:lnTo>
                                <a:lnTo>
                                  <a:pt x="43225" y="59784"/>
                                </a:lnTo>
                                <a:lnTo>
                                  <a:pt x="53116" y="53116"/>
                                </a:lnTo>
                                <a:lnTo>
                                  <a:pt x="59784" y="43225"/>
                                </a:lnTo>
                                <a:lnTo>
                                  <a:pt x="62229" y="31115"/>
                                </a:lnTo>
                                <a:lnTo>
                                  <a:pt x="59784" y="19004"/>
                                </a:lnTo>
                                <a:lnTo>
                                  <a:pt x="53116" y="9113"/>
                                </a:lnTo>
                                <a:lnTo>
                                  <a:pt x="43225" y="2445"/>
                                </a:lnTo>
                                <a:lnTo>
                                  <a:pt x="31114" y="0"/>
                                </a:lnTo>
                                <a:close/>
                              </a:path>
                            </a:pathLst>
                          </a:custGeom>
                          <a:ln w="9525">
                            <a:solidFill>
                              <a:srgbClr val="000000"/>
                            </a:solidFill>
                            <a:prstDash val="solid"/>
                          </a:ln>
                        </wps:spPr>
                        <wps:bodyPr wrap="square" lIns="0" tIns="0" rIns="0" bIns="0" rtlCol="0">
                          <a:prstTxWarp prst="textNoShape">
                            <a:avLst/>
                          </a:prstTxWarp>
                          <a:noAutofit/>
                        </wps:bodyPr>
                      </wps:wsp>
                      <wps:wsp>
                        <wps:cNvPr id="41" name="Graphic 41"/>
                        <wps:cNvSpPr/>
                        <wps:spPr>
                          <a:xfrm>
                            <a:off x="22542" y="31432"/>
                            <a:ext cx="53340" cy="17780"/>
                          </a:xfrm>
                          <a:custGeom>
                            <a:avLst/>
                            <a:gdLst/>
                            <a:ahLst/>
                            <a:cxnLst/>
                            <a:rect l="l" t="t" r="r" b="b"/>
                            <a:pathLst>
                              <a:path w="53340" h="17780">
                                <a:moveTo>
                                  <a:pt x="0" y="17780"/>
                                </a:moveTo>
                                <a:lnTo>
                                  <a:pt x="53340" y="17780"/>
                                </a:lnTo>
                                <a:lnTo>
                                  <a:pt x="53340" y="0"/>
                                </a:lnTo>
                                <a:lnTo>
                                  <a:pt x="0" y="0"/>
                                </a:lnTo>
                                <a:lnTo>
                                  <a:pt x="0" y="17780"/>
                                </a:lnTo>
                                <a:close/>
                              </a:path>
                            </a:pathLst>
                          </a:custGeom>
                          <a:solidFill>
                            <a:srgbClr val="000000"/>
                          </a:solidFill>
                        </wps:spPr>
                        <wps:bodyPr wrap="square" lIns="0" tIns="0" rIns="0" bIns="0" rtlCol="0">
                          <a:prstTxWarp prst="textNoShape">
                            <a:avLst/>
                          </a:prstTxWarp>
                          <a:noAutofit/>
                        </wps:bodyPr>
                      </wps:wsp>
                      <wps:wsp>
                        <wps:cNvPr id="42" name="Graphic 42"/>
                        <wps:cNvSpPr/>
                        <wps:spPr>
                          <a:xfrm>
                            <a:off x="22542" y="13652"/>
                            <a:ext cx="1270" cy="44450"/>
                          </a:xfrm>
                          <a:custGeom>
                            <a:avLst/>
                            <a:gdLst/>
                            <a:ahLst/>
                            <a:cxnLst/>
                            <a:rect l="l" t="t" r="r" b="b"/>
                            <a:pathLst>
                              <a:path h="44450">
                                <a:moveTo>
                                  <a:pt x="0" y="44450"/>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43" name="Graphic 43"/>
                        <wps:cNvSpPr/>
                        <wps:spPr>
                          <a:xfrm>
                            <a:off x="75882" y="13652"/>
                            <a:ext cx="1270" cy="44450"/>
                          </a:xfrm>
                          <a:custGeom>
                            <a:avLst/>
                            <a:gdLst/>
                            <a:ahLst/>
                            <a:cxnLst/>
                            <a:rect l="l" t="t" r="r" b="b"/>
                            <a:pathLst>
                              <a:path h="44450">
                                <a:moveTo>
                                  <a:pt x="0" y="44450"/>
                                </a:moveTo>
                                <a:lnTo>
                                  <a:pt x="0" y="0"/>
                                </a:lnTo>
                              </a:path>
                            </a:pathLst>
                          </a:custGeom>
                          <a:ln w="1778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14C3E39" id="Group 38" o:spid="_x0000_s1026" style="position:absolute;margin-left:233.95pt;margin-top:7.75pt;width:6.7pt;height:6pt;z-index:15731712;mso-wrap-distance-left:0;mso-wrap-distance-right:0;mso-position-horizontal-relative:page" coordsize="8509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">
                <v:shape id="Graphic 39" o:spid="_x0000_s1027" style="position:absolute;left:4762;top:4762;width:71120;height:71120;visibility:visible;mso-wrap-style:square;v-text-anchor:top" coordsize="71120,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" path="m71120,26670r-8890,l62230,8890r-17780,l44450,,26670,r,8890l8890,8890r,17780l,26670r,8890l,44450r8890,l8890,62230r17780,l26670,71120r17780,l44450,62230r17780,l62230,44450r8890,l71120,35560r,-8890xe" fillcolor="black" stroked="f">
                  <v:path arrowok="t"/>
                </v:shape>
                <v:shape id="Graphic 40" o:spid="_x0000_s1028" style="position:absolute;left:4762;top:4762;width:62230;height:62230;visibility:visible;mso-wrap-style:square;v-text-anchor:top" coordsize="62230,6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" path="m31114,l19004,2445,9113,9113,2445,19004,,31115,2445,43225r6668,9891l19004,59784r12110,2446l43225,59784r9891,-6668l59784,43225,62229,31115,59784,19004,53116,9113,43225,2445,31114,xe" filled="f">
                  <v:path arrowok="t"/>
                </v:shape>
                <v:shape id="Graphic 41" o:spid="_x0000_s1029" style="position:absolute;left:22542;top:31432;width:53340;height:17780;visibility:visible;mso-wrap-style:square;v-text-anchor:top" coordsize="5334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" path="m,17780r53340,l53340,,,,,17780xe" fillcolor="black" stroked="f">
                  <v:path arrowok="t"/>
                </v:shape>
                <v:shape id="Graphic 42" o:spid="_x0000_s1030" style="position:absolute;left:22542;top:13652;width:1270;height:44450;visibility:visible;mso-wrap-style:square;v-text-anchor:top" coordsize="127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" path="m,44450l,e" filled="f" strokeweight="1.4pt">
                  <v:path arrowok="t"/>
                </v:shape>
                <v:shape id="Graphic 43" o:spid="_x0000_s1031" style="position:absolute;left:75882;top:13652;width:1270;height:44450;visibility:visible;mso-wrap-style:square;v-text-anchor:top" coordsize="127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" path="m,44450l,e" filled="f" strokeweight="1.4pt">
                  <v:path arrowok="t"/>
                </v:shape>
                <w10:wrap anchorx="page"/>
              </v:group>
            </w:pict>
          </mc:Fallback>
        </mc:AlternateContent>
      </w:r>
      <w:r>
        <w:rPr>
          <w:rFonts w:ascii="Arial"/>
          <w:spacing w:val="-2"/>
          <w:w w:val="105"/>
          <w:sz w:val="16"/>
        </w:rPr>
        <w:t>Rifampicin</w:t>
      </w:r>
    </w:p>
    <w:p w14:paraId="3DD976E2" w14:textId="77777777" w:rsidR="001825E2" w:rsidRDefault="001825E2" w:rsidP="00CB00A7">
      <w:pPr>
        <w:pStyle w:val="BodyText"/>
        <w:jc w:val="left"/>
        <w:rPr>
          <w:rFonts w:ascii="Arial"/>
          <w:sz w:val="16"/>
        </w:rPr>
      </w:pPr>
    </w:p>
    <w:p w14:paraId="5AB2909F" w14:textId="77777777" w:rsidR="001825E2" w:rsidRDefault="001825E2" w:rsidP="00CB00A7">
      <w:pPr>
        <w:pStyle w:val="BodyText"/>
        <w:spacing w:before="48"/>
        <w:jc w:val="left"/>
        <w:rPr>
          <w:rFonts w:ascii="Arial"/>
          <w:sz w:val="16"/>
        </w:rPr>
      </w:pPr>
    </w:p>
    <w:p w14:paraId="0F62F968" w14:textId="77777777" w:rsidR="001825E2" w:rsidRDefault="000839A5" w:rsidP="00CB00A7">
      <w:pPr>
        <w:ind w:right="381"/>
        <w:rPr>
          <w:rFonts w:ascii="Arial"/>
          <w:sz w:val="16"/>
        </w:rPr>
      </w:pPr>
      <w:r>
        <w:rPr>
          <w:rFonts w:ascii="Arial"/>
          <w:spacing w:val="-2"/>
          <w:w w:val="105"/>
          <w:sz w:val="16"/>
        </w:rPr>
        <w:t>Methotrexate</w:t>
      </w:r>
    </w:p>
    <w:p w14:paraId="6306D5DC" w14:textId="77777777" w:rsidR="001825E2" w:rsidRDefault="001825E2" w:rsidP="00CB00A7">
      <w:pPr>
        <w:pStyle w:val="BodyText"/>
        <w:jc w:val="left"/>
        <w:rPr>
          <w:rFonts w:ascii="Arial"/>
          <w:sz w:val="16"/>
        </w:rPr>
      </w:pPr>
    </w:p>
    <w:p w14:paraId="184732EA" w14:textId="77777777" w:rsidR="001825E2" w:rsidRDefault="001825E2" w:rsidP="00CB00A7">
      <w:pPr>
        <w:pStyle w:val="BodyText"/>
        <w:spacing w:before="108"/>
        <w:jc w:val="left"/>
        <w:rPr>
          <w:rFonts w:ascii="Arial"/>
          <w:sz w:val="16"/>
        </w:rPr>
      </w:pPr>
    </w:p>
    <w:p w14:paraId="7E78F440" w14:textId="77777777" w:rsidR="001825E2" w:rsidRDefault="000839A5" w:rsidP="00CB00A7">
      <w:pPr>
        <w:ind w:right="375"/>
        <w:rPr>
          <w:rFonts w:ascii="Arial"/>
          <w:sz w:val="16"/>
        </w:rPr>
      </w:pPr>
      <w:r>
        <w:rPr>
          <w:rFonts w:ascii="Arial"/>
          <w:spacing w:val="-2"/>
          <w:w w:val="105"/>
          <w:sz w:val="16"/>
        </w:rPr>
        <w:t>Tacrolimus</w:t>
      </w:r>
    </w:p>
    <w:p w14:paraId="013F32C4" w14:textId="77777777" w:rsidR="001825E2" w:rsidRDefault="001825E2" w:rsidP="00CB00A7">
      <w:pPr>
        <w:pStyle w:val="BodyText"/>
        <w:jc w:val="left"/>
        <w:rPr>
          <w:rFonts w:ascii="Arial"/>
          <w:sz w:val="16"/>
        </w:rPr>
      </w:pPr>
    </w:p>
    <w:p w14:paraId="708B31E3" w14:textId="77777777" w:rsidR="001825E2" w:rsidRDefault="001825E2" w:rsidP="00CB00A7">
      <w:pPr>
        <w:pStyle w:val="BodyText"/>
        <w:spacing w:before="123"/>
        <w:jc w:val="left"/>
        <w:rPr>
          <w:rFonts w:ascii="Arial"/>
          <w:sz w:val="16"/>
        </w:rPr>
      </w:pPr>
    </w:p>
    <w:p w14:paraId="2705C382" w14:textId="77777777" w:rsidR="001825E2" w:rsidRDefault="000839A5" w:rsidP="00CB00A7">
      <w:pPr>
        <w:ind w:right="471"/>
        <w:rPr>
          <w:rFonts w:ascii="Arial"/>
          <w:sz w:val="16"/>
        </w:rPr>
      </w:pPr>
      <w:r>
        <w:rPr>
          <w:rFonts w:ascii="Arial"/>
          <w:spacing w:val="-2"/>
          <w:w w:val="105"/>
          <w:sz w:val="16"/>
        </w:rPr>
        <w:t>Ciclosporin</w:t>
      </w:r>
    </w:p>
    <w:p w14:paraId="232A22C7" w14:textId="77777777" w:rsidR="001825E2" w:rsidRDefault="000839A5" w:rsidP="00CB00A7">
      <w:pPr>
        <w:spacing w:before="35"/>
        <w:rPr>
          <w:rFonts w:ascii="Arial"/>
          <w:sz w:val="16"/>
        </w:rPr>
      </w:pPr>
      <w:r>
        <w:br w:type="column"/>
      </w:r>
    </w:p>
    <w:p w14:paraId="2284E9E3" w14:textId="77777777" w:rsidR="001825E2" w:rsidRDefault="000839A5" w:rsidP="00CB00A7">
      <w:pPr>
        <w:ind w:left="205"/>
        <w:rPr>
          <w:rFonts w:ascii="Arial"/>
          <w:b/>
          <w:sz w:val="16"/>
        </w:rPr>
      </w:pPr>
      <w:r>
        <w:rPr>
          <w:rFonts w:ascii="Arial"/>
          <w:b/>
          <w:spacing w:val="-5"/>
          <w:w w:val="105"/>
          <w:sz w:val="16"/>
        </w:rPr>
        <w:t>AUC</w:t>
      </w:r>
    </w:p>
    <w:p w14:paraId="600D68C7" w14:textId="77777777" w:rsidR="001825E2" w:rsidRDefault="000839A5" w:rsidP="00CB00A7">
      <w:pPr>
        <w:spacing w:before="41"/>
        <w:ind w:left="130"/>
        <w:rPr>
          <w:rFonts w:ascii="Arial"/>
          <w:b/>
          <w:sz w:val="16"/>
        </w:rPr>
      </w:pPr>
      <w:proofErr w:type="spellStart"/>
      <w:r>
        <w:rPr>
          <w:rFonts w:ascii="Arial"/>
          <w:b/>
          <w:spacing w:val="-4"/>
          <w:w w:val="105"/>
          <w:sz w:val="16"/>
        </w:rPr>
        <w:t>Cmax</w:t>
      </w:r>
      <w:proofErr w:type="spellEnd"/>
    </w:p>
    <w:p w14:paraId="7D7986C9" w14:textId="77777777" w:rsidR="001825E2" w:rsidRDefault="001825E2" w:rsidP="00CB00A7">
      <w:pPr>
        <w:pStyle w:val="BodyText"/>
        <w:spacing w:before="67"/>
        <w:jc w:val="left"/>
        <w:rPr>
          <w:rFonts w:ascii="Arial"/>
          <w:b/>
          <w:sz w:val="16"/>
        </w:rPr>
      </w:pPr>
    </w:p>
    <w:p w14:paraId="3A34CDD2" w14:textId="77777777" w:rsidR="001825E2" w:rsidRDefault="000839A5" w:rsidP="00CB00A7">
      <w:pPr>
        <w:ind w:left="205"/>
        <w:rPr>
          <w:rFonts w:ascii="Arial"/>
          <w:b/>
          <w:sz w:val="16"/>
        </w:rPr>
      </w:pPr>
      <w:r>
        <w:rPr>
          <w:rFonts w:ascii="Arial"/>
          <w:b/>
          <w:spacing w:val="-5"/>
          <w:w w:val="105"/>
          <w:sz w:val="16"/>
        </w:rPr>
        <w:t>AUC</w:t>
      </w:r>
    </w:p>
    <w:p w14:paraId="16C8D46C" w14:textId="77777777" w:rsidR="001825E2" w:rsidRDefault="000839A5" w:rsidP="00CB00A7">
      <w:pPr>
        <w:spacing w:before="41"/>
        <w:ind w:left="130"/>
        <w:rPr>
          <w:rFonts w:ascii="Arial"/>
          <w:b/>
          <w:sz w:val="16"/>
        </w:rPr>
      </w:pPr>
      <w:proofErr w:type="spellStart"/>
      <w:r>
        <w:rPr>
          <w:rFonts w:ascii="Arial"/>
          <w:b/>
          <w:spacing w:val="-4"/>
          <w:w w:val="105"/>
          <w:sz w:val="16"/>
        </w:rPr>
        <w:t>Cmax</w:t>
      </w:r>
      <w:proofErr w:type="spellEnd"/>
    </w:p>
    <w:p w14:paraId="3189F2A0" w14:textId="77777777" w:rsidR="001825E2" w:rsidRDefault="001825E2" w:rsidP="00CB00A7">
      <w:pPr>
        <w:pStyle w:val="BodyText"/>
        <w:spacing w:before="67"/>
        <w:jc w:val="left"/>
        <w:rPr>
          <w:rFonts w:ascii="Arial"/>
          <w:b/>
          <w:sz w:val="16"/>
        </w:rPr>
      </w:pPr>
    </w:p>
    <w:p w14:paraId="142DB13B" w14:textId="77777777" w:rsidR="001825E2" w:rsidRDefault="000839A5" w:rsidP="00CB00A7">
      <w:pPr>
        <w:ind w:left="205"/>
        <w:rPr>
          <w:rFonts w:ascii="Arial"/>
          <w:b/>
          <w:sz w:val="16"/>
        </w:rPr>
      </w:pPr>
      <w:r>
        <w:rPr>
          <w:rFonts w:ascii="Arial"/>
          <w:b/>
          <w:spacing w:val="-5"/>
          <w:w w:val="105"/>
          <w:sz w:val="16"/>
        </w:rPr>
        <w:t>AUC</w:t>
      </w:r>
    </w:p>
    <w:p w14:paraId="37F4D463" w14:textId="77777777" w:rsidR="001825E2" w:rsidRDefault="000839A5" w:rsidP="00CB00A7">
      <w:pPr>
        <w:spacing w:before="41"/>
        <w:ind w:left="130"/>
        <w:rPr>
          <w:rFonts w:ascii="Arial"/>
          <w:b/>
          <w:sz w:val="16"/>
        </w:rPr>
      </w:pPr>
      <w:proofErr w:type="spellStart"/>
      <w:r>
        <w:rPr>
          <w:rFonts w:ascii="Arial"/>
          <w:b/>
          <w:spacing w:val="-4"/>
          <w:w w:val="105"/>
          <w:sz w:val="16"/>
        </w:rPr>
        <w:t>Cmax</w:t>
      </w:r>
      <w:proofErr w:type="spellEnd"/>
    </w:p>
    <w:p w14:paraId="4684BD65" w14:textId="77777777" w:rsidR="001825E2" w:rsidRDefault="001825E2" w:rsidP="00CB00A7">
      <w:pPr>
        <w:pStyle w:val="BodyText"/>
        <w:spacing w:before="82"/>
        <w:jc w:val="left"/>
        <w:rPr>
          <w:rFonts w:ascii="Arial"/>
          <w:b/>
          <w:sz w:val="16"/>
        </w:rPr>
      </w:pPr>
    </w:p>
    <w:p w14:paraId="6D62A6F4" w14:textId="77777777" w:rsidR="001825E2" w:rsidRDefault="000839A5" w:rsidP="00CB00A7">
      <w:pPr>
        <w:ind w:left="205"/>
        <w:rPr>
          <w:rFonts w:ascii="Arial"/>
          <w:b/>
          <w:sz w:val="16"/>
        </w:rPr>
      </w:pPr>
      <w:r>
        <w:rPr>
          <w:rFonts w:ascii="Arial"/>
          <w:b/>
          <w:spacing w:val="-5"/>
          <w:w w:val="105"/>
          <w:sz w:val="16"/>
        </w:rPr>
        <w:t>AUC</w:t>
      </w:r>
    </w:p>
    <w:p w14:paraId="7CABC19E" w14:textId="77777777" w:rsidR="001825E2" w:rsidRDefault="000839A5" w:rsidP="00CB00A7">
      <w:pPr>
        <w:spacing w:before="41"/>
        <w:ind w:left="130"/>
        <w:rPr>
          <w:rFonts w:ascii="Arial"/>
          <w:b/>
          <w:sz w:val="16"/>
        </w:rPr>
      </w:pPr>
      <w:proofErr w:type="spellStart"/>
      <w:r>
        <w:rPr>
          <w:rFonts w:ascii="Arial"/>
          <w:b/>
          <w:spacing w:val="-4"/>
          <w:w w:val="105"/>
          <w:sz w:val="16"/>
        </w:rPr>
        <w:t>Cmax</w:t>
      </w:r>
      <w:proofErr w:type="spellEnd"/>
    </w:p>
    <w:p w14:paraId="642FC8A7" w14:textId="77777777" w:rsidR="001825E2" w:rsidRDefault="001825E2" w:rsidP="00CB00A7">
      <w:pPr>
        <w:pStyle w:val="BodyText"/>
        <w:spacing w:before="67"/>
        <w:jc w:val="left"/>
        <w:rPr>
          <w:rFonts w:ascii="Arial"/>
          <w:b/>
          <w:sz w:val="16"/>
        </w:rPr>
      </w:pPr>
    </w:p>
    <w:p w14:paraId="18318B0F" w14:textId="77777777" w:rsidR="001825E2" w:rsidRDefault="000839A5" w:rsidP="00CB00A7">
      <w:pPr>
        <w:ind w:left="205"/>
        <w:rPr>
          <w:rFonts w:ascii="Arial"/>
          <w:b/>
          <w:sz w:val="16"/>
        </w:rPr>
      </w:pPr>
      <w:r>
        <w:rPr>
          <w:rFonts w:ascii="Arial"/>
          <w:b/>
          <w:spacing w:val="-5"/>
          <w:w w:val="105"/>
          <w:sz w:val="16"/>
        </w:rPr>
        <w:t>AUC</w:t>
      </w:r>
    </w:p>
    <w:p w14:paraId="3FB07080" w14:textId="77777777" w:rsidR="001825E2" w:rsidRDefault="000839A5" w:rsidP="00CB00A7">
      <w:pPr>
        <w:spacing w:before="26"/>
        <w:ind w:left="130"/>
        <w:rPr>
          <w:rFonts w:ascii="Arial"/>
          <w:b/>
          <w:sz w:val="16"/>
        </w:rPr>
      </w:pPr>
      <w:proofErr w:type="spellStart"/>
      <w:r>
        <w:rPr>
          <w:rFonts w:ascii="Arial"/>
          <w:b/>
          <w:spacing w:val="-4"/>
          <w:w w:val="105"/>
          <w:sz w:val="16"/>
        </w:rPr>
        <w:t>Cmax</w:t>
      </w:r>
      <w:proofErr w:type="spellEnd"/>
    </w:p>
    <w:p w14:paraId="6ED8C539" w14:textId="77777777" w:rsidR="001825E2" w:rsidRDefault="001825E2" w:rsidP="00CB00A7">
      <w:pPr>
        <w:pStyle w:val="BodyText"/>
        <w:spacing w:before="82"/>
        <w:jc w:val="left"/>
        <w:rPr>
          <w:rFonts w:ascii="Arial"/>
          <w:b/>
          <w:sz w:val="16"/>
        </w:rPr>
      </w:pPr>
    </w:p>
    <w:p w14:paraId="0D131D09" w14:textId="77777777" w:rsidR="001825E2" w:rsidRDefault="000839A5" w:rsidP="00CB00A7">
      <w:pPr>
        <w:ind w:left="205"/>
        <w:rPr>
          <w:rFonts w:ascii="Arial"/>
          <w:b/>
          <w:sz w:val="16"/>
        </w:rPr>
      </w:pPr>
      <w:r>
        <w:rPr>
          <w:rFonts w:ascii="Arial"/>
          <w:b/>
          <w:spacing w:val="-5"/>
          <w:w w:val="105"/>
          <w:sz w:val="16"/>
        </w:rPr>
        <w:t>AUC</w:t>
      </w:r>
    </w:p>
    <w:p w14:paraId="314DA987" w14:textId="77777777" w:rsidR="001825E2" w:rsidRDefault="000839A5" w:rsidP="00CB00A7">
      <w:pPr>
        <w:spacing w:before="41"/>
        <w:ind w:left="130"/>
        <w:rPr>
          <w:rFonts w:ascii="Arial"/>
          <w:b/>
          <w:sz w:val="16"/>
        </w:rPr>
      </w:pPr>
      <w:proofErr w:type="spellStart"/>
      <w:r>
        <w:rPr>
          <w:rFonts w:ascii="Arial"/>
          <w:b/>
          <w:spacing w:val="-4"/>
          <w:w w:val="105"/>
          <w:sz w:val="16"/>
        </w:rPr>
        <w:t>Cmax</w:t>
      </w:r>
      <w:proofErr w:type="spellEnd"/>
    </w:p>
    <w:p w14:paraId="0B6D6FEC" w14:textId="77777777" w:rsidR="001825E2" w:rsidRDefault="000839A5" w:rsidP="00CB00A7">
      <w:pPr>
        <w:spacing w:before="35"/>
        <w:rPr>
          <w:rFonts w:ascii="Arial"/>
          <w:b/>
          <w:sz w:val="16"/>
        </w:rPr>
      </w:pPr>
      <w:r>
        <w:br w:type="column"/>
      </w:r>
    </w:p>
    <w:p w14:paraId="006B55FA" w14:textId="77777777" w:rsidR="001825E2" w:rsidRDefault="000839A5" w:rsidP="00CB00A7">
      <w:pPr>
        <w:ind w:left="220"/>
        <w:rPr>
          <w:rFonts w:ascii="Arial"/>
          <w:sz w:val="16"/>
        </w:rPr>
      </w:pPr>
      <w:r>
        <w:rPr>
          <w:rFonts w:ascii="Arial"/>
          <w:spacing w:val="2"/>
          <w:sz w:val="16"/>
        </w:rPr>
        <w:t>Dose</w:t>
      </w:r>
      <w:r>
        <w:rPr>
          <w:rFonts w:ascii="Arial"/>
          <w:spacing w:val="6"/>
          <w:sz w:val="16"/>
        </w:rPr>
        <w:t xml:space="preserve"> </w:t>
      </w:r>
      <w:proofErr w:type="spellStart"/>
      <w:proofErr w:type="gramStart"/>
      <w:r>
        <w:rPr>
          <w:rFonts w:ascii="Arial"/>
          <w:spacing w:val="-2"/>
          <w:sz w:val="16"/>
        </w:rPr>
        <w:t>adjustment</w:t>
      </w:r>
      <w:r>
        <w:rPr>
          <w:rFonts w:ascii="Arial"/>
          <w:spacing w:val="-2"/>
          <w:sz w:val="16"/>
          <w:vertAlign w:val="superscript"/>
        </w:rPr>
        <w:t>a</w:t>
      </w:r>
      <w:proofErr w:type="spellEnd"/>
      <w:proofErr w:type="gramEnd"/>
    </w:p>
    <w:p w14:paraId="30CE15DD" w14:textId="77777777" w:rsidR="001825E2" w:rsidRDefault="001825E2" w:rsidP="00CB00A7">
      <w:pPr>
        <w:pStyle w:val="BodyText"/>
        <w:jc w:val="left"/>
        <w:rPr>
          <w:rFonts w:ascii="Arial"/>
          <w:sz w:val="16"/>
        </w:rPr>
      </w:pPr>
    </w:p>
    <w:p w14:paraId="6D29820C" w14:textId="77777777" w:rsidR="001825E2" w:rsidRDefault="001825E2" w:rsidP="00CB00A7">
      <w:pPr>
        <w:pStyle w:val="BodyText"/>
        <w:spacing w:before="108"/>
        <w:jc w:val="left"/>
        <w:rPr>
          <w:rFonts w:ascii="Arial"/>
          <w:sz w:val="16"/>
        </w:rPr>
      </w:pPr>
    </w:p>
    <w:p w14:paraId="6C6EE5A1" w14:textId="77777777" w:rsidR="001825E2" w:rsidRDefault="000839A5" w:rsidP="00CB00A7">
      <w:pPr>
        <w:ind w:left="220"/>
        <w:rPr>
          <w:rFonts w:ascii="Arial"/>
          <w:sz w:val="16"/>
        </w:rPr>
      </w:pPr>
      <w:r>
        <w:rPr>
          <w:noProof/>
        </w:rPr>
        <mc:AlternateContent>
          <mc:Choice Requires="wpg">
            <w:drawing>
              <wp:anchor distT="0" distB="0" distL="0" distR="0" simplePos="0" relativeHeight="15729664" behindDoc="0" locked="0" layoutInCell="1" allowOverlap="1" wp14:anchorId="00774451" wp14:editId="7A84953D">
                <wp:simplePos x="0" y="0"/>
                <wp:positionH relativeFrom="page">
                  <wp:posOffset>4215129</wp:posOffset>
                </wp:positionH>
                <wp:positionV relativeFrom="paragraph">
                  <wp:posOffset>-416473</wp:posOffset>
                </wp:positionV>
                <wp:extent cx="203835" cy="7620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835" cy="76200"/>
                          <a:chOff x="0" y="0"/>
                          <a:chExt cx="203835" cy="76200"/>
                        </a:xfrm>
                      </wpg:grpSpPr>
                      <wps:wsp>
                        <wps:cNvPr id="45" name="Graphic 45"/>
                        <wps:cNvSpPr/>
                        <wps:spPr>
                          <a:xfrm>
                            <a:off x="62230" y="4762"/>
                            <a:ext cx="71120" cy="71120"/>
                          </a:xfrm>
                          <a:custGeom>
                            <a:avLst/>
                            <a:gdLst/>
                            <a:ahLst/>
                            <a:cxnLst/>
                            <a:rect l="l" t="t" r="r" b="b"/>
                            <a:pathLst>
                              <a:path w="71120" h="71120">
                                <a:moveTo>
                                  <a:pt x="71120" y="26670"/>
                                </a:moveTo>
                                <a:lnTo>
                                  <a:pt x="62230" y="26670"/>
                                </a:lnTo>
                                <a:lnTo>
                                  <a:pt x="62230" y="8890"/>
                                </a:lnTo>
                                <a:lnTo>
                                  <a:pt x="44437" y="8890"/>
                                </a:lnTo>
                                <a:lnTo>
                                  <a:pt x="44437" y="0"/>
                                </a:lnTo>
                                <a:lnTo>
                                  <a:pt x="26670" y="0"/>
                                </a:lnTo>
                                <a:lnTo>
                                  <a:pt x="26670" y="8890"/>
                                </a:lnTo>
                                <a:lnTo>
                                  <a:pt x="8890" y="8890"/>
                                </a:lnTo>
                                <a:lnTo>
                                  <a:pt x="8890" y="26670"/>
                                </a:lnTo>
                                <a:lnTo>
                                  <a:pt x="0" y="26670"/>
                                </a:lnTo>
                                <a:lnTo>
                                  <a:pt x="0" y="35560"/>
                                </a:lnTo>
                                <a:lnTo>
                                  <a:pt x="0" y="44450"/>
                                </a:lnTo>
                                <a:lnTo>
                                  <a:pt x="26670" y="44450"/>
                                </a:lnTo>
                                <a:lnTo>
                                  <a:pt x="8890" y="44462"/>
                                </a:lnTo>
                                <a:lnTo>
                                  <a:pt x="8890" y="62230"/>
                                </a:lnTo>
                                <a:lnTo>
                                  <a:pt x="26670" y="62230"/>
                                </a:lnTo>
                                <a:lnTo>
                                  <a:pt x="26670" y="71120"/>
                                </a:lnTo>
                                <a:lnTo>
                                  <a:pt x="44437" y="71120"/>
                                </a:lnTo>
                                <a:lnTo>
                                  <a:pt x="44437" y="62230"/>
                                </a:lnTo>
                                <a:lnTo>
                                  <a:pt x="62230" y="62230"/>
                                </a:lnTo>
                                <a:lnTo>
                                  <a:pt x="62230" y="44462"/>
                                </a:lnTo>
                                <a:lnTo>
                                  <a:pt x="44437" y="44462"/>
                                </a:lnTo>
                                <a:lnTo>
                                  <a:pt x="71120" y="44450"/>
                                </a:lnTo>
                                <a:lnTo>
                                  <a:pt x="71120" y="35560"/>
                                </a:lnTo>
                                <a:lnTo>
                                  <a:pt x="71120" y="26670"/>
                                </a:lnTo>
                                <a:close/>
                              </a:path>
                            </a:pathLst>
                          </a:custGeom>
                          <a:solidFill>
                            <a:srgbClr val="000000"/>
                          </a:solidFill>
                        </wps:spPr>
                        <wps:bodyPr wrap="square" lIns="0" tIns="0" rIns="0" bIns="0" rtlCol="0">
                          <a:prstTxWarp prst="textNoShape">
                            <a:avLst/>
                          </a:prstTxWarp>
                          <a:noAutofit/>
                        </wps:bodyPr>
                      </wps:wsp>
                      <wps:wsp>
                        <wps:cNvPr id="46" name="Graphic 46"/>
                        <wps:cNvSpPr/>
                        <wps:spPr>
                          <a:xfrm>
                            <a:off x="62230" y="4762"/>
                            <a:ext cx="62230" cy="62230"/>
                          </a:xfrm>
                          <a:custGeom>
                            <a:avLst/>
                            <a:gdLst/>
                            <a:ahLst/>
                            <a:cxnLst/>
                            <a:rect l="l" t="t" r="r" b="b"/>
                            <a:pathLst>
                              <a:path w="62230" h="62230">
                                <a:moveTo>
                                  <a:pt x="31114" y="0"/>
                                </a:moveTo>
                                <a:lnTo>
                                  <a:pt x="19004" y="2445"/>
                                </a:lnTo>
                                <a:lnTo>
                                  <a:pt x="9113" y="9113"/>
                                </a:lnTo>
                                <a:lnTo>
                                  <a:pt x="2445" y="19004"/>
                                </a:lnTo>
                                <a:lnTo>
                                  <a:pt x="0" y="31115"/>
                                </a:lnTo>
                                <a:lnTo>
                                  <a:pt x="2445" y="43225"/>
                                </a:lnTo>
                                <a:lnTo>
                                  <a:pt x="9113" y="53116"/>
                                </a:lnTo>
                                <a:lnTo>
                                  <a:pt x="19004" y="59784"/>
                                </a:lnTo>
                                <a:lnTo>
                                  <a:pt x="31114" y="62230"/>
                                </a:lnTo>
                                <a:lnTo>
                                  <a:pt x="43225" y="59784"/>
                                </a:lnTo>
                                <a:lnTo>
                                  <a:pt x="53116" y="53116"/>
                                </a:lnTo>
                                <a:lnTo>
                                  <a:pt x="59784" y="43225"/>
                                </a:lnTo>
                                <a:lnTo>
                                  <a:pt x="62229" y="31115"/>
                                </a:lnTo>
                                <a:lnTo>
                                  <a:pt x="59784" y="19004"/>
                                </a:lnTo>
                                <a:lnTo>
                                  <a:pt x="53116" y="9113"/>
                                </a:lnTo>
                                <a:lnTo>
                                  <a:pt x="43225" y="2445"/>
                                </a:lnTo>
                                <a:lnTo>
                                  <a:pt x="31114" y="0"/>
                                </a:lnTo>
                                <a:close/>
                              </a:path>
                            </a:pathLst>
                          </a:custGeom>
                          <a:ln w="9525">
                            <a:solidFill>
                              <a:srgbClr val="000000"/>
                            </a:solidFill>
                            <a:prstDash val="solid"/>
                          </a:ln>
                        </wps:spPr>
                        <wps:bodyPr wrap="square" lIns="0" tIns="0" rIns="0" bIns="0" rtlCol="0">
                          <a:prstTxWarp prst="textNoShape">
                            <a:avLst/>
                          </a:prstTxWarp>
                          <a:noAutofit/>
                        </wps:bodyPr>
                      </wps:wsp>
                      <wps:wsp>
                        <wps:cNvPr id="47" name="Graphic 47"/>
                        <wps:cNvSpPr/>
                        <wps:spPr>
                          <a:xfrm>
                            <a:off x="8889" y="40322"/>
                            <a:ext cx="186055" cy="1270"/>
                          </a:xfrm>
                          <a:custGeom>
                            <a:avLst/>
                            <a:gdLst/>
                            <a:ahLst/>
                            <a:cxnLst/>
                            <a:rect l="l" t="t" r="r" b="b"/>
                            <a:pathLst>
                              <a:path w="186055">
                                <a:moveTo>
                                  <a:pt x="0" y="0"/>
                                </a:moveTo>
                                <a:lnTo>
                                  <a:pt x="186055" y="0"/>
                                </a:lnTo>
                              </a:path>
                            </a:pathLst>
                          </a:custGeom>
                          <a:ln w="17780">
                            <a:solidFill>
                              <a:srgbClr val="000000"/>
                            </a:solidFill>
                            <a:prstDash val="solid"/>
                          </a:ln>
                        </wps:spPr>
                        <wps:bodyPr wrap="square" lIns="0" tIns="0" rIns="0" bIns="0" rtlCol="0">
                          <a:prstTxWarp prst="textNoShape">
                            <a:avLst/>
                          </a:prstTxWarp>
                          <a:noAutofit/>
                        </wps:bodyPr>
                      </wps:wsp>
                      <wps:wsp>
                        <wps:cNvPr id="48" name="Graphic 48"/>
                        <wps:cNvSpPr/>
                        <wps:spPr>
                          <a:xfrm>
                            <a:off x="8889" y="13652"/>
                            <a:ext cx="1270" cy="44450"/>
                          </a:xfrm>
                          <a:custGeom>
                            <a:avLst/>
                            <a:gdLst/>
                            <a:ahLst/>
                            <a:cxnLst/>
                            <a:rect l="l" t="t" r="r" b="b"/>
                            <a:pathLst>
                              <a:path h="44450">
                                <a:moveTo>
                                  <a:pt x="0" y="44450"/>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49" name="Graphic 49"/>
                        <wps:cNvSpPr/>
                        <wps:spPr>
                          <a:xfrm>
                            <a:off x="194945" y="13652"/>
                            <a:ext cx="1270" cy="44450"/>
                          </a:xfrm>
                          <a:custGeom>
                            <a:avLst/>
                            <a:gdLst/>
                            <a:ahLst/>
                            <a:cxnLst/>
                            <a:rect l="l" t="t" r="r" b="b"/>
                            <a:pathLst>
                              <a:path h="44450">
                                <a:moveTo>
                                  <a:pt x="0" y="44450"/>
                                </a:moveTo>
                                <a:lnTo>
                                  <a:pt x="0" y="0"/>
                                </a:lnTo>
                              </a:path>
                            </a:pathLst>
                          </a:custGeom>
                          <a:ln w="1778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05EA81F" id="Group 44" o:spid="_x0000_s1026" style="position:absolute;margin-left:331.9pt;margin-top:-32.8pt;width:16.05pt;height:6pt;z-index:15729664;mso-wrap-distance-left:0;mso-wrap-distance-right:0;mso-position-horizontal-relative:page" coordsize="203835,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">
                <v:shape id="Graphic 45" o:spid="_x0000_s1027" style="position:absolute;left:62230;top:4762;width:71120;height:71120;visibility:visible;mso-wrap-style:square;v-text-anchor:top" coordsize="71120,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" path="m71120,26670r-8890,l62230,8890r-17793,l44437,,26670,r,8890l8890,8890r,17780l,26670r,8890l,44450r26670,l8890,44462r,17768l26670,62230r,8890l44437,71120r,-8890l62230,62230r,-17768l44437,44462r26683,-12l71120,35560r,-8890xe" fillcolor="black" stroked="f">
                  <v:path arrowok="t"/>
                </v:shape>
                <v:shape id="Graphic 46" o:spid="_x0000_s1028" style="position:absolute;left:62230;top:4762;width:62230;height:62230;visibility:visible;mso-wrap-style:square;v-text-anchor:top" coordsize="62230,6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" path="m31114,l19004,2445,9113,9113,2445,19004,,31115,2445,43225r6668,9891l19004,59784r12110,2446l43225,59784r9891,-6668l59784,43225,62229,31115,59784,19004,53116,9113,43225,2445,31114,xe" filled="f">
                  <v:path arrowok="t"/>
                </v:shape>
                <v:shape id="Graphic 47" o:spid="_x0000_s1029" style="position:absolute;left:8889;top:40322;width:186055;height:1270;visibility:visible;mso-wrap-style:square;v-text-anchor:top" coordsize="1860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" path="m,l186055,e" filled="f" strokeweight="1.4pt">
                  <v:path arrowok="t"/>
                </v:shape>
                <v:shape id="Graphic 48" o:spid="_x0000_s1030" style="position:absolute;left:8889;top:13652;width:1270;height:44450;visibility:visible;mso-wrap-style:square;v-text-anchor:top" coordsize="127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" path="m,44450l,e" filled="f" strokeweight="1.4pt">
                  <v:path arrowok="t"/>
                </v:shape>
                <v:shape id="Graphic 49" o:spid="_x0000_s1031" style="position:absolute;left:194945;top:13652;width:1270;height:44450;visibility:visible;mso-wrap-style:square;v-text-anchor:top" coordsize="127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" path="m,44450l,e" filled="f" strokeweight="1.4pt">
                  <v:path arrowok="t"/>
                </v:shape>
                <w10:wrap anchorx="page"/>
              </v:group>
            </w:pict>
          </mc:Fallback>
        </mc:AlternateContent>
      </w:r>
      <w:r>
        <w:rPr>
          <w:noProof/>
        </w:rPr>
        <mc:AlternateContent>
          <mc:Choice Requires="wpg">
            <w:drawing>
              <wp:anchor distT="0" distB="0" distL="0" distR="0" simplePos="0" relativeHeight="15730688" behindDoc="0" locked="0" layoutInCell="1" allowOverlap="1" wp14:anchorId="4B5E3FBE" wp14:editId="79C047B1">
                <wp:simplePos x="0" y="0"/>
                <wp:positionH relativeFrom="page">
                  <wp:posOffset>4020820</wp:posOffset>
                </wp:positionH>
                <wp:positionV relativeFrom="paragraph">
                  <wp:posOffset>86</wp:posOffset>
                </wp:positionV>
                <wp:extent cx="247650" cy="75565"/>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650" cy="75565"/>
                          <a:chOff x="0" y="0"/>
                          <a:chExt cx="247650" cy="75565"/>
                        </a:xfrm>
                      </wpg:grpSpPr>
                      <wps:wsp>
                        <wps:cNvPr id="51" name="Graphic 51"/>
                        <wps:cNvSpPr/>
                        <wps:spPr>
                          <a:xfrm>
                            <a:off x="79375" y="4762"/>
                            <a:ext cx="71120" cy="70485"/>
                          </a:xfrm>
                          <a:custGeom>
                            <a:avLst/>
                            <a:gdLst/>
                            <a:ahLst/>
                            <a:cxnLst/>
                            <a:rect l="l" t="t" r="r" b="b"/>
                            <a:pathLst>
                              <a:path w="71120" h="70485">
                                <a:moveTo>
                                  <a:pt x="71120" y="26035"/>
                                </a:moveTo>
                                <a:lnTo>
                                  <a:pt x="62230" y="26035"/>
                                </a:lnTo>
                                <a:lnTo>
                                  <a:pt x="62230" y="8890"/>
                                </a:lnTo>
                                <a:lnTo>
                                  <a:pt x="44437" y="8890"/>
                                </a:lnTo>
                                <a:lnTo>
                                  <a:pt x="44437" y="0"/>
                                </a:lnTo>
                                <a:lnTo>
                                  <a:pt x="26670" y="0"/>
                                </a:lnTo>
                                <a:lnTo>
                                  <a:pt x="26670" y="8890"/>
                                </a:lnTo>
                                <a:lnTo>
                                  <a:pt x="8890" y="8890"/>
                                </a:lnTo>
                                <a:lnTo>
                                  <a:pt x="8890" y="26035"/>
                                </a:lnTo>
                                <a:lnTo>
                                  <a:pt x="0" y="26035"/>
                                </a:lnTo>
                                <a:lnTo>
                                  <a:pt x="0" y="34925"/>
                                </a:lnTo>
                                <a:lnTo>
                                  <a:pt x="0" y="43815"/>
                                </a:lnTo>
                                <a:lnTo>
                                  <a:pt x="26670" y="43815"/>
                                </a:lnTo>
                                <a:lnTo>
                                  <a:pt x="8890" y="43827"/>
                                </a:lnTo>
                                <a:lnTo>
                                  <a:pt x="8890" y="61595"/>
                                </a:lnTo>
                                <a:lnTo>
                                  <a:pt x="26670" y="61595"/>
                                </a:lnTo>
                                <a:lnTo>
                                  <a:pt x="26670" y="70485"/>
                                </a:lnTo>
                                <a:lnTo>
                                  <a:pt x="44437" y="70485"/>
                                </a:lnTo>
                                <a:lnTo>
                                  <a:pt x="44437" y="61595"/>
                                </a:lnTo>
                                <a:lnTo>
                                  <a:pt x="62230" y="61595"/>
                                </a:lnTo>
                                <a:lnTo>
                                  <a:pt x="62230" y="43827"/>
                                </a:lnTo>
                                <a:lnTo>
                                  <a:pt x="44437" y="43827"/>
                                </a:lnTo>
                                <a:lnTo>
                                  <a:pt x="71120" y="43815"/>
                                </a:lnTo>
                                <a:lnTo>
                                  <a:pt x="71120" y="34925"/>
                                </a:lnTo>
                                <a:lnTo>
                                  <a:pt x="71120" y="26035"/>
                                </a:lnTo>
                                <a:close/>
                              </a:path>
                            </a:pathLst>
                          </a:custGeom>
                          <a:solidFill>
                            <a:srgbClr val="000000"/>
                          </a:solidFill>
                        </wps:spPr>
                        <wps:bodyPr wrap="square" lIns="0" tIns="0" rIns="0" bIns="0" rtlCol="0">
                          <a:prstTxWarp prst="textNoShape">
                            <a:avLst/>
                          </a:prstTxWarp>
                          <a:noAutofit/>
                        </wps:bodyPr>
                      </wps:wsp>
                      <wps:wsp>
                        <wps:cNvPr id="52" name="Graphic 52"/>
                        <wps:cNvSpPr/>
                        <wps:spPr>
                          <a:xfrm>
                            <a:off x="79375" y="4762"/>
                            <a:ext cx="62230" cy="61594"/>
                          </a:xfrm>
                          <a:custGeom>
                            <a:avLst/>
                            <a:gdLst/>
                            <a:ahLst/>
                            <a:cxnLst/>
                            <a:rect l="l" t="t" r="r" b="b"/>
                            <a:pathLst>
                              <a:path w="62230" h="61594">
                                <a:moveTo>
                                  <a:pt x="31114" y="0"/>
                                </a:moveTo>
                                <a:lnTo>
                                  <a:pt x="19004" y="2420"/>
                                </a:lnTo>
                                <a:lnTo>
                                  <a:pt x="9113" y="9021"/>
                                </a:lnTo>
                                <a:lnTo>
                                  <a:pt x="2445" y="18811"/>
                                </a:lnTo>
                                <a:lnTo>
                                  <a:pt x="0" y="30797"/>
                                </a:lnTo>
                                <a:lnTo>
                                  <a:pt x="2445" y="42783"/>
                                </a:lnTo>
                                <a:lnTo>
                                  <a:pt x="9113" y="52573"/>
                                </a:lnTo>
                                <a:lnTo>
                                  <a:pt x="19004" y="59174"/>
                                </a:lnTo>
                                <a:lnTo>
                                  <a:pt x="31114" y="61594"/>
                                </a:lnTo>
                                <a:lnTo>
                                  <a:pt x="43225" y="59174"/>
                                </a:lnTo>
                                <a:lnTo>
                                  <a:pt x="53116" y="52573"/>
                                </a:lnTo>
                                <a:lnTo>
                                  <a:pt x="59784" y="42783"/>
                                </a:lnTo>
                                <a:lnTo>
                                  <a:pt x="62229" y="30797"/>
                                </a:lnTo>
                                <a:lnTo>
                                  <a:pt x="59784" y="18811"/>
                                </a:lnTo>
                                <a:lnTo>
                                  <a:pt x="53116" y="9021"/>
                                </a:lnTo>
                                <a:lnTo>
                                  <a:pt x="43225" y="2420"/>
                                </a:lnTo>
                                <a:lnTo>
                                  <a:pt x="31114" y="0"/>
                                </a:lnTo>
                                <a:close/>
                              </a:path>
                            </a:pathLst>
                          </a:custGeom>
                          <a:ln w="9525">
                            <a:solidFill>
                              <a:srgbClr val="000000"/>
                            </a:solidFill>
                            <a:prstDash val="solid"/>
                          </a:ln>
                        </wps:spPr>
                        <wps:bodyPr wrap="square" lIns="0" tIns="0" rIns="0" bIns="0" rtlCol="0">
                          <a:prstTxWarp prst="textNoShape">
                            <a:avLst/>
                          </a:prstTxWarp>
                          <a:noAutofit/>
                        </wps:bodyPr>
                      </wps:wsp>
                      <wps:wsp>
                        <wps:cNvPr id="53" name="Graphic 53"/>
                        <wps:cNvSpPr/>
                        <wps:spPr>
                          <a:xfrm>
                            <a:off x="8889" y="39687"/>
                            <a:ext cx="229870" cy="1270"/>
                          </a:xfrm>
                          <a:custGeom>
                            <a:avLst/>
                            <a:gdLst/>
                            <a:ahLst/>
                            <a:cxnLst/>
                            <a:rect l="l" t="t" r="r" b="b"/>
                            <a:pathLst>
                              <a:path w="229870">
                                <a:moveTo>
                                  <a:pt x="0" y="0"/>
                                </a:moveTo>
                                <a:lnTo>
                                  <a:pt x="229870" y="0"/>
                                </a:lnTo>
                              </a:path>
                            </a:pathLst>
                          </a:custGeom>
                          <a:ln w="17780">
                            <a:solidFill>
                              <a:srgbClr val="000000"/>
                            </a:solidFill>
                            <a:prstDash val="solid"/>
                          </a:ln>
                        </wps:spPr>
                        <wps:bodyPr wrap="square" lIns="0" tIns="0" rIns="0" bIns="0" rtlCol="0">
                          <a:prstTxWarp prst="textNoShape">
                            <a:avLst/>
                          </a:prstTxWarp>
                          <a:noAutofit/>
                        </wps:bodyPr>
                      </wps:wsp>
                      <wps:wsp>
                        <wps:cNvPr id="54" name="Graphic 54"/>
                        <wps:cNvSpPr/>
                        <wps:spPr>
                          <a:xfrm>
                            <a:off x="8889" y="21907"/>
                            <a:ext cx="1270" cy="44450"/>
                          </a:xfrm>
                          <a:custGeom>
                            <a:avLst/>
                            <a:gdLst/>
                            <a:ahLst/>
                            <a:cxnLst/>
                            <a:rect l="l" t="t" r="r" b="b"/>
                            <a:pathLst>
                              <a:path h="44450">
                                <a:moveTo>
                                  <a:pt x="0" y="44450"/>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55" name="Graphic 55"/>
                        <wps:cNvSpPr/>
                        <wps:spPr>
                          <a:xfrm>
                            <a:off x="238759" y="21907"/>
                            <a:ext cx="1270" cy="44450"/>
                          </a:xfrm>
                          <a:custGeom>
                            <a:avLst/>
                            <a:gdLst/>
                            <a:ahLst/>
                            <a:cxnLst/>
                            <a:rect l="l" t="t" r="r" b="b"/>
                            <a:pathLst>
                              <a:path h="44450">
                                <a:moveTo>
                                  <a:pt x="0" y="44450"/>
                                </a:moveTo>
                                <a:lnTo>
                                  <a:pt x="0" y="0"/>
                                </a:lnTo>
                              </a:path>
                            </a:pathLst>
                          </a:custGeom>
                          <a:ln w="1778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5D3E218" id="Group 50" o:spid="_x0000_s1026" style="position:absolute;margin-left:316.6pt;margin-top:0;width:19.5pt;height:5.95pt;z-index:15730688;mso-wrap-distance-left:0;mso-wrap-distance-right:0;mso-position-horizontal-relative:page" coordsize="247650,75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">
                <v:shape id="Graphic 51" o:spid="_x0000_s1027" style="position:absolute;left:79375;top:4762;width:71120;height:70485;visibility:visible;mso-wrap-style:square;v-text-anchor:top" coordsize="71120,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" path="m71120,26035r-8890,l62230,8890r-17793,l44437,,26670,r,8890l8890,8890r,17145l,26035r,8890l,43815r26670,l8890,43827r,17768l26670,61595r,8890l44437,70485r,-8890l62230,61595r,-17768l44437,43827r26683,-12l71120,34925r,-8890xe" fillcolor="black" stroked="f">
                  <v:path arrowok="t"/>
                </v:shape>
                <v:shape id="Graphic 52" o:spid="_x0000_s1028" style="position:absolute;left:79375;top:4762;width:62230;height:61594;visibility:visible;mso-wrap-style:square;v-text-anchor:top" coordsize="62230,6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" path="m31114,l19004,2420,9113,9021,2445,18811,,30797,2445,42783r6668,9790l19004,59174r12110,2420l43225,59174r9891,-6601l59784,42783,62229,30797,59784,18811,53116,9021,43225,2420,31114,xe" filled="f">
                  <v:path arrowok="t"/>
                </v:shape>
                <v:shape id="Graphic 53" o:spid="_x0000_s1029" style="position:absolute;left:8889;top:39687;width:229870;height:1270;visibility:visible;mso-wrap-style:square;v-text-anchor:top" coordsize="2298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" path="m,l229870,e" filled="f" strokeweight="1.4pt">
                  <v:path arrowok="t"/>
                </v:shape>
                <v:shape id="Graphic 54" o:spid="_x0000_s1030" style="position:absolute;left:8889;top:21907;width:1270;height:44450;visibility:visible;mso-wrap-style:square;v-text-anchor:top" coordsize="127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" path="m,44450l,e" filled="f" strokeweight="1.4pt">
                  <v:path arrowok="t"/>
                </v:shape>
                <v:shape id="Graphic 55" o:spid="_x0000_s1031" style="position:absolute;left:238759;top:21907;width:1270;height:44450;visibility:visible;mso-wrap-style:square;v-text-anchor:top" coordsize="127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" path="m,44450l,e" filled="f" strokeweight="1.4pt">
                  <v:path arrowok="t"/>
                </v:shape>
                <w10:wrap anchorx="page"/>
              </v:group>
            </w:pict>
          </mc:Fallback>
        </mc:AlternateContent>
      </w:r>
      <w:r>
        <w:rPr>
          <w:rFonts w:ascii="Arial"/>
          <w:spacing w:val="2"/>
          <w:sz w:val="16"/>
        </w:rPr>
        <w:t>Dose</w:t>
      </w:r>
      <w:r>
        <w:rPr>
          <w:rFonts w:ascii="Arial"/>
          <w:spacing w:val="6"/>
          <w:sz w:val="16"/>
        </w:rPr>
        <w:t xml:space="preserve"> </w:t>
      </w:r>
      <w:proofErr w:type="spellStart"/>
      <w:proofErr w:type="gramStart"/>
      <w:r>
        <w:rPr>
          <w:rFonts w:ascii="Arial"/>
          <w:spacing w:val="-2"/>
          <w:sz w:val="16"/>
        </w:rPr>
        <w:t>adjustment</w:t>
      </w:r>
      <w:r>
        <w:rPr>
          <w:rFonts w:ascii="Arial"/>
          <w:spacing w:val="-2"/>
          <w:sz w:val="16"/>
          <w:vertAlign w:val="superscript"/>
        </w:rPr>
        <w:t>a</w:t>
      </w:r>
      <w:proofErr w:type="spellEnd"/>
      <w:proofErr w:type="gramEnd"/>
    </w:p>
    <w:p w14:paraId="756C3CDC" w14:textId="77777777" w:rsidR="001825E2" w:rsidRDefault="001825E2" w:rsidP="00CB00A7">
      <w:pPr>
        <w:pStyle w:val="BodyText"/>
        <w:spacing w:before="4"/>
        <w:jc w:val="left"/>
        <w:rPr>
          <w:rFonts w:ascii="Arial"/>
          <w:sz w:val="3"/>
        </w:rPr>
      </w:pPr>
    </w:p>
    <w:p w14:paraId="5467A900" w14:textId="77777777" w:rsidR="001825E2" w:rsidRDefault="000839A5" w:rsidP="00CB00A7">
      <w:pPr>
        <w:pStyle w:val="BodyText"/>
        <w:spacing w:line="119" w:lineRule="exact"/>
        <w:ind w:left="-1368"/>
        <w:jc w:val="left"/>
        <w:rPr>
          <w:rFonts w:ascii="Arial"/>
          <w:sz w:val="11"/>
        </w:rPr>
      </w:pPr>
      <w:r>
        <w:rPr>
          <w:rFonts w:ascii="Arial"/>
          <w:noProof/>
          <w:position w:val="-1"/>
          <w:sz w:val="11"/>
        </w:rPr>
        <mc:AlternateContent>
          <mc:Choice Requires="wpg">
            <w:drawing>
              <wp:inline distT="0" distB="0" distL="0" distR="0" wp14:anchorId="608B522D" wp14:editId="5BDC725F">
                <wp:extent cx="248285" cy="75565"/>
                <wp:effectExtent l="9525" t="0" r="0" b="634"/>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285" cy="75565"/>
                          <a:chOff x="0" y="0"/>
                          <a:chExt cx="248285" cy="75565"/>
                        </a:xfrm>
                      </wpg:grpSpPr>
                      <wps:wsp>
                        <wps:cNvPr id="57" name="Graphic 57"/>
                        <wps:cNvSpPr/>
                        <wps:spPr>
                          <a:xfrm>
                            <a:off x="80010" y="4762"/>
                            <a:ext cx="71755" cy="70485"/>
                          </a:xfrm>
                          <a:custGeom>
                            <a:avLst/>
                            <a:gdLst/>
                            <a:ahLst/>
                            <a:cxnLst/>
                            <a:rect l="l" t="t" r="r" b="b"/>
                            <a:pathLst>
                              <a:path w="71755" h="70485">
                                <a:moveTo>
                                  <a:pt x="71132" y="26670"/>
                                </a:moveTo>
                                <a:lnTo>
                                  <a:pt x="62230" y="26670"/>
                                </a:lnTo>
                                <a:lnTo>
                                  <a:pt x="62230" y="8890"/>
                                </a:lnTo>
                                <a:lnTo>
                                  <a:pt x="44450" y="8890"/>
                                </a:lnTo>
                                <a:lnTo>
                                  <a:pt x="44450" y="0"/>
                                </a:lnTo>
                                <a:lnTo>
                                  <a:pt x="26670" y="0"/>
                                </a:lnTo>
                                <a:lnTo>
                                  <a:pt x="26670" y="8890"/>
                                </a:lnTo>
                                <a:lnTo>
                                  <a:pt x="8890" y="8890"/>
                                </a:lnTo>
                                <a:lnTo>
                                  <a:pt x="8890" y="26670"/>
                                </a:lnTo>
                                <a:lnTo>
                                  <a:pt x="0" y="26670"/>
                                </a:lnTo>
                                <a:lnTo>
                                  <a:pt x="0" y="35560"/>
                                </a:lnTo>
                                <a:lnTo>
                                  <a:pt x="26670" y="35560"/>
                                </a:lnTo>
                                <a:lnTo>
                                  <a:pt x="0" y="35572"/>
                                </a:lnTo>
                                <a:lnTo>
                                  <a:pt x="0" y="43815"/>
                                </a:lnTo>
                                <a:lnTo>
                                  <a:pt x="8890" y="43815"/>
                                </a:lnTo>
                                <a:lnTo>
                                  <a:pt x="8890" y="61595"/>
                                </a:lnTo>
                                <a:lnTo>
                                  <a:pt x="26670" y="61595"/>
                                </a:lnTo>
                                <a:lnTo>
                                  <a:pt x="26670" y="70485"/>
                                </a:lnTo>
                                <a:lnTo>
                                  <a:pt x="44450" y="70485"/>
                                </a:lnTo>
                                <a:lnTo>
                                  <a:pt x="44450" y="61595"/>
                                </a:lnTo>
                                <a:lnTo>
                                  <a:pt x="62230" y="61595"/>
                                </a:lnTo>
                                <a:lnTo>
                                  <a:pt x="62230" y="43815"/>
                                </a:lnTo>
                                <a:lnTo>
                                  <a:pt x="71132" y="43815"/>
                                </a:lnTo>
                                <a:lnTo>
                                  <a:pt x="71132" y="35572"/>
                                </a:lnTo>
                                <a:lnTo>
                                  <a:pt x="44450" y="35572"/>
                                </a:lnTo>
                                <a:lnTo>
                                  <a:pt x="71132" y="35560"/>
                                </a:lnTo>
                                <a:lnTo>
                                  <a:pt x="71132" y="26670"/>
                                </a:lnTo>
                                <a:close/>
                              </a:path>
                            </a:pathLst>
                          </a:custGeom>
                          <a:solidFill>
                            <a:srgbClr val="000000"/>
                          </a:solidFill>
                        </wps:spPr>
                        <wps:bodyPr wrap="square" lIns="0" tIns="0" rIns="0" bIns="0" rtlCol="0">
                          <a:prstTxWarp prst="textNoShape">
                            <a:avLst/>
                          </a:prstTxWarp>
                          <a:noAutofit/>
                        </wps:bodyPr>
                      </wps:wsp>
                      <wps:wsp>
                        <wps:cNvPr id="58" name="Graphic 58"/>
                        <wps:cNvSpPr/>
                        <wps:spPr>
                          <a:xfrm>
                            <a:off x="80010" y="4762"/>
                            <a:ext cx="62230" cy="61594"/>
                          </a:xfrm>
                          <a:custGeom>
                            <a:avLst/>
                            <a:gdLst/>
                            <a:ahLst/>
                            <a:cxnLst/>
                            <a:rect l="l" t="t" r="r" b="b"/>
                            <a:pathLst>
                              <a:path w="62230" h="61594">
                                <a:moveTo>
                                  <a:pt x="31114" y="0"/>
                                </a:moveTo>
                                <a:lnTo>
                                  <a:pt x="19004" y="2420"/>
                                </a:lnTo>
                                <a:lnTo>
                                  <a:pt x="9113" y="9021"/>
                                </a:lnTo>
                                <a:lnTo>
                                  <a:pt x="2445" y="18811"/>
                                </a:lnTo>
                                <a:lnTo>
                                  <a:pt x="0" y="30797"/>
                                </a:lnTo>
                                <a:lnTo>
                                  <a:pt x="2445" y="42783"/>
                                </a:lnTo>
                                <a:lnTo>
                                  <a:pt x="9113" y="52573"/>
                                </a:lnTo>
                                <a:lnTo>
                                  <a:pt x="19004" y="59174"/>
                                </a:lnTo>
                                <a:lnTo>
                                  <a:pt x="31114" y="61594"/>
                                </a:lnTo>
                                <a:lnTo>
                                  <a:pt x="43225" y="59174"/>
                                </a:lnTo>
                                <a:lnTo>
                                  <a:pt x="53116" y="52573"/>
                                </a:lnTo>
                                <a:lnTo>
                                  <a:pt x="59784" y="42783"/>
                                </a:lnTo>
                                <a:lnTo>
                                  <a:pt x="62229" y="30797"/>
                                </a:lnTo>
                                <a:lnTo>
                                  <a:pt x="59784" y="18811"/>
                                </a:lnTo>
                                <a:lnTo>
                                  <a:pt x="53116" y="9021"/>
                                </a:lnTo>
                                <a:lnTo>
                                  <a:pt x="43225" y="2420"/>
                                </a:lnTo>
                                <a:lnTo>
                                  <a:pt x="31114" y="0"/>
                                </a:lnTo>
                                <a:close/>
                              </a:path>
                            </a:pathLst>
                          </a:custGeom>
                          <a:ln w="9525">
                            <a:solidFill>
                              <a:srgbClr val="000000"/>
                            </a:solidFill>
                            <a:prstDash val="solid"/>
                          </a:ln>
                        </wps:spPr>
                        <wps:bodyPr wrap="square" lIns="0" tIns="0" rIns="0" bIns="0" rtlCol="0">
                          <a:prstTxWarp prst="textNoShape">
                            <a:avLst/>
                          </a:prstTxWarp>
                          <a:noAutofit/>
                        </wps:bodyPr>
                      </wps:wsp>
                      <wps:wsp>
                        <wps:cNvPr id="59" name="Graphic 59"/>
                        <wps:cNvSpPr/>
                        <wps:spPr>
                          <a:xfrm>
                            <a:off x="8889" y="40322"/>
                            <a:ext cx="230504" cy="1270"/>
                          </a:xfrm>
                          <a:custGeom>
                            <a:avLst/>
                            <a:gdLst/>
                            <a:ahLst/>
                            <a:cxnLst/>
                            <a:rect l="l" t="t" r="r" b="b"/>
                            <a:pathLst>
                              <a:path w="230504">
                                <a:moveTo>
                                  <a:pt x="0" y="0"/>
                                </a:moveTo>
                                <a:lnTo>
                                  <a:pt x="230504" y="0"/>
                                </a:lnTo>
                              </a:path>
                            </a:pathLst>
                          </a:custGeom>
                          <a:ln w="17780">
                            <a:solidFill>
                              <a:srgbClr val="000000"/>
                            </a:solidFill>
                            <a:prstDash val="solid"/>
                          </a:ln>
                        </wps:spPr>
                        <wps:bodyPr wrap="square" lIns="0" tIns="0" rIns="0" bIns="0" rtlCol="0">
                          <a:prstTxWarp prst="textNoShape">
                            <a:avLst/>
                          </a:prstTxWarp>
                          <a:noAutofit/>
                        </wps:bodyPr>
                      </wps:wsp>
                      <wps:wsp>
                        <wps:cNvPr id="60" name="Graphic 60"/>
                        <wps:cNvSpPr/>
                        <wps:spPr>
                          <a:xfrm>
                            <a:off x="8889" y="22542"/>
                            <a:ext cx="1270" cy="43815"/>
                          </a:xfrm>
                          <a:custGeom>
                            <a:avLst/>
                            <a:gdLst/>
                            <a:ahLst/>
                            <a:cxnLst/>
                            <a:rect l="l" t="t" r="r" b="b"/>
                            <a:pathLst>
                              <a:path h="43815">
                                <a:moveTo>
                                  <a:pt x="0" y="43815"/>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61" name="Graphic 61"/>
                        <wps:cNvSpPr/>
                        <wps:spPr>
                          <a:xfrm>
                            <a:off x="239395" y="22542"/>
                            <a:ext cx="1270" cy="43815"/>
                          </a:xfrm>
                          <a:custGeom>
                            <a:avLst/>
                            <a:gdLst/>
                            <a:ahLst/>
                            <a:cxnLst/>
                            <a:rect l="l" t="t" r="r" b="b"/>
                            <a:pathLst>
                              <a:path h="43815">
                                <a:moveTo>
                                  <a:pt x="0" y="43815"/>
                                </a:moveTo>
                                <a:lnTo>
                                  <a:pt x="0" y="0"/>
                                </a:lnTo>
                              </a:path>
                            </a:pathLst>
                          </a:custGeom>
                          <a:ln w="177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58EB802" id="Group 56" o:spid="_x0000_s1026" style="width:19.55pt;height:5.95pt;mso-position-horizontal-relative:char;mso-position-vertical-relative:line" coordsize="248285,75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">
                <v:shape id="Graphic 57" o:spid="_x0000_s1027" style="position:absolute;left:80010;top:4762;width:71755;height:70485;visibility:visible;mso-wrap-style:square;v-text-anchor:top" coordsize="7175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" path="m71132,26670r-8902,l62230,8890r-17780,l44450,,26670,r,8890l8890,8890r,17780l,26670r,8890l26670,35560,,35572r,8243l8890,43815r,17780l26670,61595r,8890l44450,70485r,-8890l62230,61595r,-17780l71132,43815r,-8243l44450,35572r26682,-12l71132,26670xe" fillcolor="black" stroked="f">
                  <v:path arrowok="t"/>
                </v:shape>
                <v:shape id="Graphic 58" o:spid="_x0000_s1028" style="position:absolute;left:80010;top:4762;width:62230;height:61594;visibility:visible;mso-wrap-style:square;v-text-anchor:top" coordsize="62230,6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" path="m31114,l19004,2420,9113,9021,2445,18811,,30797,2445,42783r6668,9790l19004,59174r12110,2420l43225,59174r9891,-6601l59784,42783,62229,30797,59784,18811,53116,9021,43225,2420,31114,xe" filled="f">
                  <v:path arrowok="t"/>
                </v:shape>
                <v:shape id="Graphic 59" o:spid="_x0000_s1029" style="position:absolute;left:8889;top:40322;width:230504;height:1270;visibility:visible;mso-wrap-style:square;v-text-anchor:top" coordsize="23050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" path="m,l230504,e" filled="f" strokeweight="1.4pt">
                  <v:path arrowok="t"/>
                </v:shape>
                <v:shape id="Graphic 60" o:spid="_x0000_s1030" style="position:absolute;left:8889;top:22542;width:1270;height:43815;visibility:visible;mso-wrap-style:square;v-text-anchor:top" coordsize="1270,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" path="m,43815l,e" filled="f" strokeweight="1.4pt">
                  <v:path arrowok="t"/>
                </v:shape>
                <v:shape id="Graphic 61" o:spid="_x0000_s1031" style="position:absolute;left:239395;top:22542;width:1270;height:43815;visibility:visible;mso-wrap-style:square;v-text-anchor:top" coordsize="1270,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" path="m,43815l,e" filled="f" strokeweight="1.4pt">
                  <v:path arrowok="t"/>
                </v:shape>
                <w10:anchorlock/>
              </v:group>
            </w:pict>
          </mc:Fallback>
        </mc:AlternateContent>
      </w:r>
    </w:p>
    <w:p w14:paraId="27CB4031" w14:textId="77777777" w:rsidR="001825E2" w:rsidRDefault="001825E2" w:rsidP="00CB00A7">
      <w:pPr>
        <w:pStyle w:val="BodyText"/>
        <w:spacing w:before="90"/>
        <w:jc w:val="left"/>
        <w:rPr>
          <w:rFonts w:ascii="Arial"/>
          <w:sz w:val="16"/>
        </w:rPr>
      </w:pPr>
    </w:p>
    <w:p w14:paraId="3B6A4D73" w14:textId="77777777" w:rsidR="001825E2" w:rsidRDefault="000839A5" w:rsidP="00CB00A7">
      <w:pPr>
        <w:ind w:left="220"/>
        <w:rPr>
          <w:rFonts w:ascii="Arial"/>
          <w:sz w:val="16"/>
        </w:rPr>
      </w:pPr>
      <w:r>
        <w:rPr>
          <w:rFonts w:ascii="Arial"/>
          <w:sz w:val="16"/>
        </w:rPr>
        <w:t>May</w:t>
      </w:r>
      <w:r>
        <w:rPr>
          <w:rFonts w:ascii="Arial"/>
          <w:spacing w:val="21"/>
          <w:sz w:val="16"/>
        </w:rPr>
        <w:t xml:space="preserve"> </w:t>
      </w:r>
      <w:r>
        <w:rPr>
          <w:rFonts w:ascii="Arial"/>
          <w:sz w:val="16"/>
        </w:rPr>
        <w:t>decrease</w:t>
      </w:r>
      <w:r>
        <w:rPr>
          <w:rFonts w:ascii="Arial"/>
          <w:spacing w:val="4"/>
          <w:sz w:val="16"/>
        </w:rPr>
        <w:t xml:space="preserve"> </w:t>
      </w:r>
      <w:r>
        <w:rPr>
          <w:rFonts w:ascii="Arial"/>
          <w:spacing w:val="-2"/>
          <w:sz w:val="16"/>
        </w:rPr>
        <w:t>efficacy.</w:t>
      </w:r>
    </w:p>
    <w:p w14:paraId="782A10B6" w14:textId="77777777" w:rsidR="001825E2" w:rsidRDefault="001825E2" w:rsidP="00CB00A7">
      <w:pPr>
        <w:pStyle w:val="BodyText"/>
        <w:jc w:val="left"/>
        <w:rPr>
          <w:rFonts w:ascii="Arial"/>
          <w:sz w:val="16"/>
        </w:rPr>
      </w:pPr>
    </w:p>
    <w:p w14:paraId="00D01174" w14:textId="77777777" w:rsidR="001825E2" w:rsidRDefault="001825E2" w:rsidP="00CB00A7">
      <w:pPr>
        <w:pStyle w:val="BodyText"/>
        <w:spacing w:before="108"/>
        <w:jc w:val="left"/>
        <w:rPr>
          <w:rFonts w:ascii="Arial"/>
          <w:sz w:val="16"/>
        </w:rPr>
      </w:pPr>
    </w:p>
    <w:p w14:paraId="493A4204" w14:textId="77777777" w:rsidR="001825E2" w:rsidRDefault="000839A5" w:rsidP="00CB00A7">
      <w:pPr>
        <w:ind w:left="220"/>
        <w:rPr>
          <w:rFonts w:ascii="Arial"/>
          <w:sz w:val="16"/>
        </w:rPr>
      </w:pPr>
      <w:r>
        <w:rPr>
          <w:rFonts w:ascii="Arial"/>
          <w:sz w:val="16"/>
        </w:rPr>
        <w:t>No</w:t>
      </w:r>
      <w:r>
        <w:rPr>
          <w:rFonts w:ascii="Arial"/>
          <w:spacing w:val="20"/>
          <w:sz w:val="16"/>
        </w:rPr>
        <w:t xml:space="preserve"> </w:t>
      </w:r>
      <w:r>
        <w:rPr>
          <w:rFonts w:ascii="Arial"/>
          <w:sz w:val="16"/>
        </w:rPr>
        <w:t>Dose</w:t>
      </w:r>
      <w:r>
        <w:rPr>
          <w:rFonts w:ascii="Arial"/>
          <w:spacing w:val="-2"/>
          <w:sz w:val="16"/>
        </w:rPr>
        <w:t xml:space="preserve"> Adjustment</w:t>
      </w:r>
    </w:p>
    <w:p w14:paraId="5B037A1B" w14:textId="77777777" w:rsidR="001825E2" w:rsidRDefault="001825E2" w:rsidP="00CB00A7">
      <w:pPr>
        <w:pStyle w:val="BodyText"/>
        <w:jc w:val="left"/>
        <w:rPr>
          <w:rFonts w:ascii="Arial"/>
          <w:sz w:val="16"/>
        </w:rPr>
      </w:pPr>
    </w:p>
    <w:p w14:paraId="2F703D45" w14:textId="77777777" w:rsidR="001825E2" w:rsidRDefault="001825E2" w:rsidP="00CB00A7">
      <w:pPr>
        <w:pStyle w:val="BodyText"/>
        <w:spacing w:before="123"/>
        <w:jc w:val="left"/>
        <w:rPr>
          <w:rFonts w:ascii="Arial"/>
          <w:sz w:val="16"/>
        </w:rPr>
      </w:pPr>
    </w:p>
    <w:p w14:paraId="7FEB4346" w14:textId="77777777" w:rsidR="001825E2" w:rsidRDefault="000839A5" w:rsidP="00CB00A7">
      <w:pPr>
        <w:spacing w:line="216" w:lineRule="auto"/>
        <w:ind w:left="220" w:right="712"/>
        <w:rPr>
          <w:rFonts w:ascii="Arial"/>
          <w:sz w:val="16"/>
        </w:rPr>
      </w:pPr>
      <w:r>
        <w:rPr>
          <w:noProof/>
        </w:rPr>
        <mc:AlternateContent>
          <mc:Choice Requires="wpg">
            <w:drawing>
              <wp:anchor distT="0" distB="0" distL="0" distR="0" simplePos="0" relativeHeight="15732224" behindDoc="0" locked="0" layoutInCell="1" allowOverlap="1" wp14:anchorId="331C812D" wp14:editId="67946CF1">
                <wp:simplePos x="0" y="0"/>
                <wp:positionH relativeFrom="page">
                  <wp:posOffset>3648709</wp:posOffset>
                </wp:positionH>
                <wp:positionV relativeFrom="paragraph">
                  <wp:posOffset>27789</wp:posOffset>
                </wp:positionV>
                <wp:extent cx="133350" cy="75565"/>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75565"/>
                          <a:chOff x="0" y="0"/>
                          <a:chExt cx="133350" cy="75565"/>
                        </a:xfrm>
                      </wpg:grpSpPr>
                      <wps:wsp>
                        <wps:cNvPr id="63" name="Graphic 63"/>
                        <wps:cNvSpPr/>
                        <wps:spPr>
                          <a:xfrm>
                            <a:off x="26670" y="4762"/>
                            <a:ext cx="71120" cy="70485"/>
                          </a:xfrm>
                          <a:custGeom>
                            <a:avLst/>
                            <a:gdLst/>
                            <a:ahLst/>
                            <a:cxnLst/>
                            <a:rect l="l" t="t" r="r" b="b"/>
                            <a:pathLst>
                              <a:path w="71120" h="70485">
                                <a:moveTo>
                                  <a:pt x="71120" y="26670"/>
                                </a:moveTo>
                                <a:lnTo>
                                  <a:pt x="62230" y="26670"/>
                                </a:lnTo>
                                <a:lnTo>
                                  <a:pt x="62230" y="8890"/>
                                </a:lnTo>
                                <a:lnTo>
                                  <a:pt x="44450" y="8890"/>
                                </a:lnTo>
                                <a:lnTo>
                                  <a:pt x="44450" y="12"/>
                                </a:lnTo>
                                <a:lnTo>
                                  <a:pt x="26670" y="0"/>
                                </a:lnTo>
                                <a:lnTo>
                                  <a:pt x="26670" y="8890"/>
                                </a:lnTo>
                                <a:lnTo>
                                  <a:pt x="8890" y="8890"/>
                                </a:lnTo>
                                <a:lnTo>
                                  <a:pt x="8890" y="26670"/>
                                </a:lnTo>
                                <a:lnTo>
                                  <a:pt x="0" y="26670"/>
                                </a:lnTo>
                                <a:lnTo>
                                  <a:pt x="0" y="35560"/>
                                </a:lnTo>
                                <a:lnTo>
                                  <a:pt x="0" y="44450"/>
                                </a:lnTo>
                                <a:lnTo>
                                  <a:pt x="8890" y="44450"/>
                                </a:lnTo>
                                <a:lnTo>
                                  <a:pt x="8890" y="61595"/>
                                </a:lnTo>
                                <a:lnTo>
                                  <a:pt x="26670" y="61595"/>
                                </a:lnTo>
                                <a:lnTo>
                                  <a:pt x="26670" y="70485"/>
                                </a:lnTo>
                                <a:lnTo>
                                  <a:pt x="44450" y="70485"/>
                                </a:lnTo>
                                <a:lnTo>
                                  <a:pt x="44450" y="61595"/>
                                </a:lnTo>
                                <a:lnTo>
                                  <a:pt x="62230" y="61595"/>
                                </a:lnTo>
                                <a:lnTo>
                                  <a:pt x="62230" y="44450"/>
                                </a:lnTo>
                                <a:lnTo>
                                  <a:pt x="71120" y="44450"/>
                                </a:lnTo>
                                <a:lnTo>
                                  <a:pt x="71120" y="35560"/>
                                </a:lnTo>
                                <a:lnTo>
                                  <a:pt x="71120" y="26670"/>
                                </a:lnTo>
                                <a:close/>
                              </a:path>
                            </a:pathLst>
                          </a:custGeom>
                          <a:solidFill>
                            <a:srgbClr val="000000"/>
                          </a:solidFill>
                        </wps:spPr>
                        <wps:bodyPr wrap="square" lIns="0" tIns="0" rIns="0" bIns="0" rtlCol="0">
                          <a:prstTxWarp prst="textNoShape">
                            <a:avLst/>
                          </a:prstTxWarp>
                          <a:noAutofit/>
                        </wps:bodyPr>
                      </wps:wsp>
                      <wps:wsp>
                        <wps:cNvPr id="64" name="Graphic 64"/>
                        <wps:cNvSpPr/>
                        <wps:spPr>
                          <a:xfrm>
                            <a:off x="26669" y="4762"/>
                            <a:ext cx="62230" cy="61594"/>
                          </a:xfrm>
                          <a:custGeom>
                            <a:avLst/>
                            <a:gdLst/>
                            <a:ahLst/>
                            <a:cxnLst/>
                            <a:rect l="l" t="t" r="r" b="b"/>
                            <a:pathLst>
                              <a:path w="62230" h="61594">
                                <a:moveTo>
                                  <a:pt x="31114" y="0"/>
                                </a:moveTo>
                                <a:lnTo>
                                  <a:pt x="19004" y="2420"/>
                                </a:lnTo>
                                <a:lnTo>
                                  <a:pt x="9113" y="9021"/>
                                </a:lnTo>
                                <a:lnTo>
                                  <a:pt x="2445" y="18811"/>
                                </a:lnTo>
                                <a:lnTo>
                                  <a:pt x="0" y="30797"/>
                                </a:lnTo>
                                <a:lnTo>
                                  <a:pt x="2445" y="42783"/>
                                </a:lnTo>
                                <a:lnTo>
                                  <a:pt x="9113" y="52573"/>
                                </a:lnTo>
                                <a:lnTo>
                                  <a:pt x="19004" y="59174"/>
                                </a:lnTo>
                                <a:lnTo>
                                  <a:pt x="31114" y="61594"/>
                                </a:lnTo>
                                <a:lnTo>
                                  <a:pt x="43225" y="59174"/>
                                </a:lnTo>
                                <a:lnTo>
                                  <a:pt x="53116" y="52573"/>
                                </a:lnTo>
                                <a:lnTo>
                                  <a:pt x="59784" y="42783"/>
                                </a:lnTo>
                                <a:lnTo>
                                  <a:pt x="62229" y="30797"/>
                                </a:lnTo>
                                <a:lnTo>
                                  <a:pt x="59784" y="18811"/>
                                </a:lnTo>
                                <a:lnTo>
                                  <a:pt x="53116" y="9021"/>
                                </a:lnTo>
                                <a:lnTo>
                                  <a:pt x="43225" y="2420"/>
                                </a:lnTo>
                                <a:lnTo>
                                  <a:pt x="31114" y="0"/>
                                </a:lnTo>
                                <a:close/>
                              </a:path>
                            </a:pathLst>
                          </a:custGeom>
                          <a:ln w="9525">
                            <a:solidFill>
                              <a:srgbClr val="000000"/>
                            </a:solidFill>
                            <a:prstDash val="solid"/>
                          </a:ln>
                        </wps:spPr>
                        <wps:bodyPr wrap="square" lIns="0" tIns="0" rIns="0" bIns="0" rtlCol="0">
                          <a:prstTxWarp prst="textNoShape">
                            <a:avLst/>
                          </a:prstTxWarp>
                          <a:noAutofit/>
                        </wps:bodyPr>
                      </wps:wsp>
                      <wps:wsp>
                        <wps:cNvPr id="65" name="Graphic 65"/>
                        <wps:cNvSpPr/>
                        <wps:spPr>
                          <a:xfrm>
                            <a:off x="8889" y="40322"/>
                            <a:ext cx="115570" cy="1270"/>
                          </a:xfrm>
                          <a:custGeom>
                            <a:avLst/>
                            <a:gdLst/>
                            <a:ahLst/>
                            <a:cxnLst/>
                            <a:rect l="l" t="t" r="r" b="b"/>
                            <a:pathLst>
                              <a:path w="115570">
                                <a:moveTo>
                                  <a:pt x="0" y="0"/>
                                </a:moveTo>
                                <a:lnTo>
                                  <a:pt x="115570" y="0"/>
                                </a:lnTo>
                              </a:path>
                            </a:pathLst>
                          </a:custGeom>
                          <a:ln w="17780">
                            <a:solidFill>
                              <a:srgbClr val="000000"/>
                            </a:solidFill>
                            <a:prstDash val="solid"/>
                          </a:ln>
                        </wps:spPr>
                        <wps:bodyPr wrap="square" lIns="0" tIns="0" rIns="0" bIns="0" rtlCol="0">
                          <a:prstTxWarp prst="textNoShape">
                            <a:avLst/>
                          </a:prstTxWarp>
                          <a:noAutofit/>
                        </wps:bodyPr>
                      </wps:wsp>
                      <wps:wsp>
                        <wps:cNvPr id="66" name="Graphic 66"/>
                        <wps:cNvSpPr/>
                        <wps:spPr>
                          <a:xfrm>
                            <a:off x="8889" y="22542"/>
                            <a:ext cx="1270" cy="35560"/>
                          </a:xfrm>
                          <a:custGeom>
                            <a:avLst/>
                            <a:gdLst/>
                            <a:ahLst/>
                            <a:cxnLst/>
                            <a:rect l="l" t="t" r="r" b="b"/>
                            <a:pathLst>
                              <a:path h="35560">
                                <a:moveTo>
                                  <a:pt x="0" y="35559"/>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67" name="Graphic 67"/>
                        <wps:cNvSpPr/>
                        <wps:spPr>
                          <a:xfrm>
                            <a:off x="124460" y="22542"/>
                            <a:ext cx="1270" cy="35560"/>
                          </a:xfrm>
                          <a:custGeom>
                            <a:avLst/>
                            <a:gdLst/>
                            <a:ahLst/>
                            <a:cxnLst/>
                            <a:rect l="l" t="t" r="r" b="b"/>
                            <a:pathLst>
                              <a:path h="35560">
                                <a:moveTo>
                                  <a:pt x="0" y="35559"/>
                                </a:moveTo>
                                <a:lnTo>
                                  <a:pt x="0" y="0"/>
                                </a:lnTo>
                              </a:path>
                            </a:pathLst>
                          </a:custGeom>
                          <a:ln w="1778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B75FA5D" id="Group 62" o:spid="_x0000_s1026" style="position:absolute;margin-left:287.3pt;margin-top:2.2pt;width:10.5pt;height:5.95pt;z-index:15732224;mso-wrap-distance-left:0;mso-wrap-distance-right:0;mso-position-horizontal-relative:page" coordsize="133350,75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">
                <v:shape id="Graphic 63" o:spid="_x0000_s1027" style="position:absolute;left:26670;top:4762;width:71120;height:70485;visibility:visible;mso-wrap-style:square;v-text-anchor:top" coordsize="71120,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" path="m71120,26670r-8890,l62230,8890r-17780,l44450,12,26670,r,8890l8890,8890r,17780l,26670r,8890l,44450r8890,l8890,61595r17780,l26670,70485r17780,l44450,61595r17780,l62230,44450r8890,l71120,35560r,-8890xe" fillcolor="black" stroked="f">
                  <v:path arrowok="t"/>
                </v:shape>
                <v:shape id="Graphic 64" o:spid="_x0000_s1028" style="position:absolute;left:26669;top:4762;width:62230;height:61594;visibility:visible;mso-wrap-style:square;v-text-anchor:top" coordsize="62230,6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" path="m31114,l19004,2420,9113,9021,2445,18811,,30797,2445,42783r6668,9790l19004,59174r12110,2420l43225,59174r9891,-6601l59784,42783,62229,30797,59784,18811,53116,9021,43225,2420,31114,xe" filled="f">
                  <v:path arrowok="t"/>
                </v:shape>
                <v:shape id="Graphic 65" o:spid="_x0000_s1029" style="position:absolute;left:8889;top:40322;width:115570;height:1270;visibility:visible;mso-wrap-style:square;v-text-anchor:top" coordsize="1155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" path="m,l115570,e" filled="f" strokeweight="1.4pt">
                  <v:path arrowok="t"/>
                </v:shape>
                <v:shape id="Graphic 66" o:spid="_x0000_s1030" style="position:absolute;left:8889;top:22542;width:1270;height:35560;visibility:visible;mso-wrap-style:square;v-text-anchor:top" coordsize="1270,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" path="m,35559l,e" filled="f" strokeweight="1.4pt">
                  <v:path arrowok="t"/>
                </v:shape>
                <v:shape id="Graphic 67" o:spid="_x0000_s1031" style="position:absolute;left:124460;top:22542;width:1270;height:35560;visibility:visible;mso-wrap-style:square;v-text-anchor:top" coordsize="1270,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" path="m,35559l,e" filled="f" strokeweight="1.4pt">
                  <v:path arrowok="t"/>
                </v:shape>
                <w10:wrap anchorx="page"/>
              </v:group>
            </w:pict>
          </mc:Fallback>
        </mc:AlternateContent>
      </w:r>
      <w:r>
        <w:rPr>
          <w:rFonts w:ascii="Arial"/>
          <w:w w:val="105"/>
          <w:sz w:val="16"/>
        </w:rPr>
        <w:t>Risk of</w:t>
      </w:r>
      <w:r>
        <w:rPr>
          <w:rFonts w:ascii="Arial"/>
          <w:spacing w:val="-6"/>
          <w:w w:val="105"/>
          <w:sz w:val="16"/>
        </w:rPr>
        <w:t xml:space="preserve"> </w:t>
      </w:r>
      <w:r>
        <w:rPr>
          <w:rFonts w:ascii="Arial"/>
          <w:w w:val="105"/>
          <w:sz w:val="16"/>
        </w:rPr>
        <w:t>added</w:t>
      </w:r>
      <w:r>
        <w:rPr>
          <w:rFonts w:ascii="Arial"/>
          <w:spacing w:val="-8"/>
          <w:w w:val="105"/>
          <w:sz w:val="16"/>
        </w:rPr>
        <w:t xml:space="preserve"> </w:t>
      </w:r>
      <w:r>
        <w:rPr>
          <w:rFonts w:ascii="Arial"/>
          <w:w w:val="105"/>
          <w:sz w:val="16"/>
        </w:rPr>
        <w:t xml:space="preserve">immunosuppression. </w:t>
      </w:r>
      <w:r>
        <w:rPr>
          <w:rFonts w:ascii="Arial"/>
          <w:sz w:val="16"/>
        </w:rPr>
        <w:t>Co-administration</w:t>
      </w:r>
      <w:r>
        <w:rPr>
          <w:rFonts w:ascii="Arial"/>
          <w:spacing w:val="-10"/>
          <w:sz w:val="16"/>
        </w:rPr>
        <w:t xml:space="preserve"> </w:t>
      </w:r>
      <w:r>
        <w:rPr>
          <w:rFonts w:ascii="Arial"/>
          <w:sz w:val="16"/>
        </w:rPr>
        <w:t>not</w:t>
      </w:r>
      <w:r>
        <w:rPr>
          <w:rFonts w:ascii="Arial"/>
          <w:spacing w:val="-8"/>
          <w:sz w:val="16"/>
        </w:rPr>
        <w:t xml:space="preserve"> </w:t>
      </w:r>
      <w:r>
        <w:rPr>
          <w:rFonts w:ascii="Arial"/>
          <w:sz w:val="16"/>
        </w:rPr>
        <w:t>recommended.</w:t>
      </w:r>
    </w:p>
    <w:p w14:paraId="7F80D202" w14:textId="77777777" w:rsidR="001825E2" w:rsidRDefault="001825E2" w:rsidP="00CB00A7">
      <w:pPr>
        <w:pStyle w:val="BodyText"/>
        <w:spacing w:before="172"/>
        <w:jc w:val="left"/>
        <w:rPr>
          <w:rFonts w:ascii="Arial"/>
          <w:sz w:val="16"/>
        </w:rPr>
      </w:pPr>
    </w:p>
    <w:p w14:paraId="0C05810E" w14:textId="77777777" w:rsidR="001825E2" w:rsidRDefault="000839A5" w:rsidP="00CB00A7">
      <w:pPr>
        <w:spacing w:line="196" w:lineRule="auto"/>
        <w:ind w:left="220" w:right="861"/>
        <w:rPr>
          <w:rFonts w:ascii="Arial"/>
          <w:sz w:val="16"/>
        </w:rPr>
      </w:pPr>
      <w:r>
        <w:rPr>
          <w:noProof/>
        </w:rPr>
        <mc:AlternateContent>
          <mc:Choice Requires="wpg">
            <w:drawing>
              <wp:anchor distT="0" distB="0" distL="0" distR="0" simplePos="0" relativeHeight="15732736" behindDoc="0" locked="0" layoutInCell="1" allowOverlap="1" wp14:anchorId="44245256" wp14:editId="40777F97">
                <wp:simplePos x="0" y="0"/>
                <wp:positionH relativeFrom="page">
                  <wp:posOffset>4003040</wp:posOffset>
                </wp:positionH>
                <wp:positionV relativeFrom="paragraph">
                  <wp:posOffset>16260</wp:posOffset>
                </wp:positionV>
                <wp:extent cx="194945" cy="76200"/>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945" cy="76200"/>
                          <a:chOff x="0" y="0"/>
                          <a:chExt cx="194945" cy="76200"/>
                        </a:xfrm>
                      </wpg:grpSpPr>
                      <wps:wsp>
                        <wps:cNvPr id="69" name="Graphic 69"/>
                        <wps:cNvSpPr/>
                        <wps:spPr>
                          <a:xfrm>
                            <a:off x="53340" y="4762"/>
                            <a:ext cx="70485" cy="71120"/>
                          </a:xfrm>
                          <a:custGeom>
                            <a:avLst/>
                            <a:gdLst/>
                            <a:ahLst/>
                            <a:cxnLst/>
                            <a:rect l="l" t="t" r="r" b="b"/>
                            <a:pathLst>
                              <a:path w="70485" h="71120">
                                <a:moveTo>
                                  <a:pt x="70485" y="26670"/>
                                </a:moveTo>
                                <a:lnTo>
                                  <a:pt x="61595" y="26670"/>
                                </a:lnTo>
                                <a:lnTo>
                                  <a:pt x="61595" y="8890"/>
                                </a:lnTo>
                                <a:lnTo>
                                  <a:pt x="43802" y="8890"/>
                                </a:lnTo>
                                <a:lnTo>
                                  <a:pt x="43802" y="25"/>
                                </a:lnTo>
                                <a:lnTo>
                                  <a:pt x="26035" y="0"/>
                                </a:lnTo>
                                <a:lnTo>
                                  <a:pt x="26035" y="8890"/>
                                </a:lnTo>
                                <a:lnTo>
                                  <a:pt x="8890" y="8890"/>
                                </a:lnTo>
                                <a:lnTo>
                                  <a:pt x="8890" y="26670"/>
                                </a:lnTo>
                                <a:lnTo>
                                  <a:pt x="0" y="26670"/>
                                </a:lnTo>
                                <a:lnTo>
                                  <a:pt x="0" y="35560"/>
                                </a:lnTo>
                                <a:lnTo>
                                  <a:pt x="0" y="44450"/>
                                </a:lnTo>
                                <a:lnTo>
                                  <a:pt x="8890" y="44450"/>
                                </a:lnTo>
                                <a:lnTo>
                                  <a:pt x="8890" y="62230"/>
                                </a:lnTo>
                                <a:lnTo>
                                  <a:pt x="26035" y="62230"/>
                                </a:lnTo>
                                <a:lnTo>
                                  <a:pt x="26035" y="71120"/>
                                </a:lnTo>
                                <a:lnTo>
                                  <a:pt x="43802" y="71120"/>
                                </a:lnTo>
                                <a:lnTo>
                                  <a:pt x="43802" y="62230"/>
                                </a:lnTo>
                                <a:lnTo>
                                  <a:pt x="61595" y="62230"/>
                                </a:lnTo>
                                <a:lnTo>
                                  <a:pt x="61595" y="44450"/>
                                </a:lnTo>
                                <a:lnTo>
                                  <a:pt x="70485" y="44450"/>
                                </a:lnTo>
                                <a:lnTo>
                                  <a:pt x="70485" y="35560"/>
                                </a:lnTo>
                                <a:lnTo>
                                  <a:pt x="70485" y="26670"/>
                                </a:lnTo>
                                <a:close/>
                              </a:path>
                            </a:pathLst>
                          </a:custGeom>
                          <a:solidFill>
                            <a:srgbClr val="000000"/>
                          </a:solidFill>
                        </wps:spPr>
                        <wps:bodyPr wrap="square" lIns="0" tIns="0" rIns="0" bIns="0" rtlCol="0">
                          <a:prstTxWarp prst="textNoShape">
                            <a:avLst/>
                          </a:prstTxWarp>
                          <a:noAutofit/>
                        </wps:bodyPr>
                      </wps:wsp>
                      <wps:wsp>
                        <wps:cNvPr id="70" name="Graphic 70"/>
                        <wps:cNvSpPr/>
                        <wps:spPr>
                          <a:xfrm>
                            <a:off x="53339" y="4762"/>
                            <a:ext cx="61594" cy="62230"/>
                          </a:xfrm>
                          <a:custGeom>
                            <a:avLst/>
                            <a:gdLst/>
                            <a:ahLst/>
                            <a:cxnLst/>
                            <a:rect l="l" t="t" r="r" b="b"/>
                            <a:pathLst>
                              <a:path w="61594" h="62230">
                                <a:moveTo>
                                  <a:pt x="30797" y="0"/>
                                </a:moveTo>
                                <a:lnTo>
                                  <a:pt x="18811" y="2445"/>
                                </a:lnTo>
                                <a:lnTo>
                                  <a:pt x="9021" y="9113"/>
                                </a:lnTo>
                                <a:lnTo>
                                  <a:pt x="2420" y="19004"/>
                                </a:lnTo>
                                <a:lnTo>
                                  <a:pt x="0" y="31115"/>
                                </a:lnTo>
                                <a:lnTo>
                                  <a:pt x="2420" y="43225"/>
                                </a:lnTo>
                                <a:lnTo>
                                  <a:pt x="9021" y="53116"/>
                                </a:lnTo>
                                <a:lnTo>
                                  <a:pt x="18811" y="59784"/>
                                </a:lnTo>
                                <a:lnTo>
                                  <a:pt x="30797" y="62230"/>
                                </a:lnTo>
                                <a:lnTo>
                                  <a:pt x="42783" y="59784"/>
                                </a:lnTo>
                                <a:lnTo>
                                  <a:pt x="52573" y="53116"/>
                                </a:lnTo>
                                <a:lnTo>
                                  <a:pt x="59174" y="43225"/>
                                </a:lnTo>
                                <a:lnTo>
                                  <a:pt x="61595" y="31115"/>
                                </a:lnTo>
                                <a:lnTo>
                                  <a:pt x="59174" y="19004"/>
                                </a:lnTo>
                                <a:lnTo>
                                  <a:pt x="52573" y="9113"/>
                                </a:lnTo>
                                <a:lnTo>
                                  <a:pt x="42783" y="2445"/>
                                </a:lnTo>
                                <a:lnTo>
                                  <a:pt x="30797" y="0"/>
                                </a:lnTo>
                                <a:close/>
                              </a:path>
                            </a:pathLst>
                          </a:custGeom>
                          <a:ln w="9525">
                            <a:solidFill>
                              <a:srgbClr val="000000"/>
                            </a:solidFill>
                            <a:prstDash val="solid"/>
                          </a:ln>
                        </wps:spPr>
                        <wps:bodyPr wrap="square" lIns="0" tIns="0" rIns="0" bIns="0" rtlCol="0">
                          <a:prstTxWarp prst="textNoShape">
                            <a:avLst/>
                          </a:prstTxWarp>
                          <a:noAutofit/>
                        </wps:bodyPr>
                      </wps:wsp>
                      <wps:wsp>
                        <wps:cNvPr id="71" name="Graphic 71"/>
                        <wps:cNvSpPr/>
                        <wps:spPr>
                          <a:xfrm>
                            <a:off x="8889" y="40322"/>
                            <a:ext cx="177165" cy="1270"/>
                          </a:xfrm>
                          <a:custGeom>
                            <a:avLst/>
                            <a:gdLst/>
                            <a:ahLst/>
                            <a:cxnLst/>
                            <a:rect l="l" t="t" r="r" b="b"/>
                            <a:pathLst>
                              <a:path w="177165">
                                <a:moveTo>
                                  <a:pt x="0" y="0"/>
                                </a:moveTo>
                                <a:lnTo>
                                  <a:pt x="177165" y="0"/>
                                </a:lnTo>
                              </a:path>
                            </a:pathLst>
                          </a:custGeom>
                          <a:ln w="17780">
                            <a:solidFill>
                              <a:srgbClr val="000000"/>
                            </a:solidFill>
                            <a:prstDash val="solid"/>
                          </a:ln>
                        </wps:spPr>
                        <wps:bodyPr wrap="square" lIns="0" tIns="0" rIns="0" bIns="0" rtlCol="0">
                          <a:prstTxWarp prst="textNoShape">
                            <a:avLst/>
                          </a:prstTxWarp>
                          <a:noAutofit/>
                        </wps:bodyPr>
                      </wps:wsp>
                      <wps:wsp>
                        <wps:cNvPr id="72" name="Graphic 72"/>
                        <wps:cNvSpPr/>
                        <wps:spPr>
                          <a:xfrm>
                            <a:off x="8889" y="13652"/>
                            <a:ext cx="1270" cy="44450"/>
                          </a:xfrm>
                          <a:custGeom>
                            <a:avLst/>
                            <a:gdLst/>
                            <a:ahLst/>
                            <a:cxnLst/>
                            <a:rect l="l" t="t" r="r" b="b"/>
                            <a:pathLst>
                              <a:path h="44450">
                                <a:moveTo>
                                  <a:pt x="0" y="44450"/>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73" name="Graphic 73"/>
                        <wps:cNvSpPr/>
                        <wps:spPr>
                          <a:xfrm>
                            <a:off x="186054" y="13652"/>
                            <a:ext cx="1270" cy="44450"/>
                          </a:xfrm>
                          <a:custGeom>
                            <a:avLst/>
                            <a:gdLst/>
                            <a:ahLst/>
                            <a:cxnLst/>
                            <a:rect l="l" t="t" r="r" b="b"/>
                            <a:pathLst>
                              <a:path h="44450">
                                <a:moveTo>
                                  <a:pt x="0" y="44450"/>
                                </a:moveTo>
                                <a:lnTo>
                                  <a:pt x="0" y="0"/>
                                </a:lnTo>
                              </a:path>
                            </a:pathLst>
                          </a:custGeom>
                          <a:ln w="1778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2EC1886" id="Group 68" o:spid="_x0000_s1026" style="position:absolute;margin-left:315.2pt;margin-top:1.3pt;width:15.35pt;height:6pt;z-index:15732736;mso-wrap-distance-left:0;mso-wrap-distance-right:0;mso-position-horizontal-relative:page" coordsize="194945,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">
                <v:shape id="Graphic 69" o:spid="_x0000_s1027" style="position:absolute;left:53340;top:4762;width:70485;height:71120;visibility:visible;mso-wrap-style:square;v-text-anchor:top" coordsize="70485,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" path="m70485,26670r-8890,l61595,8890r-17793,l43802,25,26035,r,8890l8890,8890r,17780l,26670r,8890l,44450r8890,l8890,62230r17145,l26035,71120r17767,l43802,62230r17793,l61595,44450r8890,l70485,35560r,-8890xe" fillcolor="black" stroked="f">
                  <v:path arrowok="t"/>
                </v:shape>
                <v:shape id="Graphic 70" o:spid="_x0000_s1028" style="position:absolute;left:53339;top:4762;width:61594;height:62230;visibility:visible;mso-wrap-style:square;v-text-anchor:top" coordsize="61594,6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" path="m30797,l18811,2445,9021,9113,2420,19004,,31115,2420,43225r6601,9891l18811,59784r11986,2446l42783,59784r9790,-6668l59174,43225,61595,31115,59174,19004,52573,9113,42783,2445,30797,xe" filled="f">
                  <v:path arrowok="t"/>
                </v:shape>
                <v:shape id="Graphic 71" o:spid="_x0000_s1029" style="position:absolute;left:8889;top:40322;width:177165;height:1270;visibility:visible;mso-wrap-style:square;v-text-anchor:top" coordsize="1771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" path="m,l177165,e" filled="f" strokeweight="1.4pt">
                  <v:path arrowok="t"/>
                </v:shape>
                <v:shape id="Graphic 72" o:spid="_x0000_s1030" style="position:absolute;left:8889;top:13652;width:1270;height:44450;visibility:visible;mso-wrap-style:square;v-text-anchor:top" coordsize="127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" path="m,44450l,e" filled="f" strokeweight="1.4pt">
                  <v:path arrowok="t"/>
                </v:shape>
                <v:shape id="Graphic 73" o:spid="_x0000_s1031" style="position:absolute;left:186054;top:13652;width:1270;height:44450;visibility:visible;mso-wrap-style:square;v-text-anchor:top" coordsize="127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" path="m,44450l,e" filled="f" strokeweight="1.4pt">
                  <v:path arrowok="t"/>
                </v:shape>
                <w10:wrap anchorx="page"/>
              </v:group>
            </w:pict>
          </mc:Fallback>
        </mc:AlternateContent>
      </w:r>
      <w:r>
        <w:rPr>
          <w:rFonts w:ascii="Arial"/>
          <w:sz w:val="16"/>
        </w:rPr>
        <w:t>Risk of added</w:t>
      </w:r>
      <w:r>
        <w:rPr>
          <w:rFonts w:ascii="Arial"/>
          <w:spacing w:val="-2"/>
          <w:sz w:val="16"/>
        </w:rPr>
        <w:t xml:space="preserve"> </w:t>
      </w:r>
      <w:r>
        <w:rPr>
          <w:rFonts w:ascii="Arial"/>
          <w:sz w:val="16"/>
        </w:rPr>
        <w:t xml:space="preserve">immunosuppression </w:t>
      </w:r>
      <w:r>
        <w:rPr>
          <w:rFonts w:ascii="Arial"/>
          <w:spacing w:val="2"/>
          <w:sz w:val="16"/>
        </w:rPr>
        <w:t>Co-administration</w:t>
      </w:r>
      <w:r>
        <w:rPr>
          <w:rFonts w:ascii="Arial"/>
          <w:spacing w:val="-5"/>
          <w:sz w:val="16"/>
        </w:rPr>
        <w:t xml:space="preserve"> </w:t>
      </w:r>
      <w:r>
        <w:rPr>
          <w:rFonts w:ascii="Arial"/>
          <w:spacing w:val="-2"/>
          <w:sz w:val="16"/>
        </w:rPr>
        <w:t>contraindicated.</w:t>
      </w:r>
    </w:p>
    <w:p w14:paraId="4A349FF8" w14:textId="77777777" w:rsidR="001825E2" w:rsidRDefault="001825E2" w:rsidP="00CB00A7">
      <w:pPr>
        <w:spacing w:line="196" w:lineRule="auto"/>
        <w:rPr>
          <w:rFonts w:ascii="Arial"/>
          <w:sz w:val="16"/>
        </w:rPr>
        <w:sectPr w:rsidR="001825E2">
          <w:type w:val="continuous"/>
          <w:pgSz w:w="11910" w:h="16850"/>
          <w:pgMar w:top="1420" w:right="1220" w:bottom="980" w:left="1220" w:header="0" w:footer="785" w:gutter="0"/>
          <w:cols w:num="3" w:space="720" w:equalWidth="0">
            <w:col w:w="2255" w:space="40"/>
            <w:col w:w="622" w:space="2963"/>
            <w:col w:w="3590"/>
          </w:cols>
        </w:sectPr>
      </w:pPr>
    </w:p>
    <w:p w14:paraId="5FE9DB89" w14:textId="77777777" w:rsidR="001825E2" w:rsidRDefault="001825E2" w:rsidP="00CB00A7">
      <w:pPr>
        <w:pStyle w:val="BodyText"/>
        <w:spacing w:before="24" w:after="1"/>
        <w:jc w:val="left"/>
        <w:rPr>
          <w:rFonts w:ascii="Arial"/>
          <w:sz w:val="20"/>
        </w:rPr>
      </w:pPr>
    </w:p>
    <w:p w14:paraId="29980CEF" w14:textId="77777777" w:rsidR="001825E2" w:rsidRDefault="000839A5" w:rsidP="00CB00A7">
      <w:pPr>
        <w:pStyle w:val="BodyText"/>
        <w:spacing w:line="141" w:lineRule="exact"/>
        <w:ind w:left="3208"/>
        <w:jc w:val="left"/>
        <w:rPr>
          <w:rFonts w:ascii="Arial"/>
          <w:sz w:val="14"/>
        </w:rPr>
      </w:pPr>
      <w:r>
        <w:rPr>
          <w:rFonts w:ascii="Arial"/>
          <w:noProof/>
          <w:position w:val="-2"/>
          <w:sz w:val="14"/>
        </w:rPr>
        <mc:AlternateContent>
          <mc:Choice Requires="wpg">
            <w:drawing>
              <wp:inline distT="0" distB="0" distL="0" distR="0" wp14:anchorId="43668F3C" wp14:editId="5091C04C">
                <wp:extent cx="1850389" cy="84455"/>
                <wp:effectExtent l="0" t="0" r="0" b="10794"/>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0389" cy="84455"/>
                          <a:chOff x="0" y="0"/>
                          <a:chExt cx="1850389" cy="84455"/>
                        </a:xfrm>
                      </wpg:grpSpPr>
                      <wps:wsp>
                        <wps:cNvPr id="75" name="Graphic 75"/>
                        <wps:cNvSpPr/>
                        <wps:spPr>
                          <a:xfrm>
                            <a:off x="4762" y="4762"/>
                            <a:ext cx="1840864" cy="79375"/>
                          </a:xfrm>
                          <a:custGeom>
                            <a:avLst/>
                            <a:gdLst/>
                            <a:ahLst/>
                            <a:cxnLst/>
                            <a:rect l="l" t="t" r="r" b="b"/>
                            <a:pathLst>
                              <a:path w="1840864" h="79375">
                                <a:moveTo>
                                  <a:pt x="0" y="0"/>
                                </a:moveTo>
                                <a:lnTo>
                                  <a:pt x="1840864" y="0"/>
                                </a:lnTo>
                              </a:path>
                              <a:path w="1840864" h="79375">
                                <a:moveTo>
                                  <a:pt x="0" y="0"/>
                                </a:moveTo>
                                <a:lnTo>
                                  <a:pt x="0" y="79375"/>
                                </a:lnTo>
                              </a:path>
                            </a:pathLst>
                          </a:custGeom>
                          <a:ln w="9525">
                            <a:solidFill>
                              <a:srgbClr val="000000"/>
                            </a:solidFill>
                            <a:prstDash val="solid"/>
                          </a:ln>
                        </wps:spPr>
                        <wps:bodyPr wrap="square" lIns="0" tIns="0" rIns="0" bIns="0" rtlCol="0">
                          <a:prstTxWarp prst="textNoShape">
                            <a:avLst/>
                          </a:prstTxWarp>
                          <a:noAutofit/>
                        </wps:bodyPr>
                      </wps:wsp>
                      <wps:wsp>
                        <wps:cNvPr id="76" name="Graphic 76"/>
                        <wps:cNvSpPr/>
                        <wps:spPr>
                          <a:xfrm>
                            <a:off x="190817" y="4762"/>
                            <a:ext cx="1270" cy="79375"/>
                          </a:xfrm>
                          <a:custGeom>
                            <a:avLst/>
                            <a:gdLst/>
                            <a:ahLst/>
                            <a:cxnLst/>
                            <a:rect l="l" t="t" r="r" b="b"/>
                            <a:pathLst>
                              <a:path h="79375">
                                <a:moveTo>
                                  <a:pt x="0" y="0"/>
                                </a:moveTo>
                                <a:lnTo>
                                  <a:pt x="0" y="79375"/>
                                </a:lnTo>
                              </a:path>
                            </a:pathLst>
                          </a:custGeom>
                          <a:ln w="9525">
                            <a:solidFill>
                              <a:srgbClr val="000000"/>
                            </a:solidFill>
                            <a:prstDash val="solid"/>
                          </a:ln>
                        </wps:spPr>
                        <wps:bodyPr wrap="square" lIns="0" tIns="0" rIns="0" bIns="0" rtlCol="0">
                          <a:prstTxWarp prst="textNoShape">
                            <a:avLst/>
                          </a:prstTxWarp>
                          <a:noAutofit/>
                        </wps:bodyPr>
                      </wps:wsp>
                      <wps:wsp>
                        <wps:cNvPr id="77" name="Graphic 77"/>
                        <wps:cNvSpPr/>
                        <wps:spPr>
                          <a:xfrm>
                            <a:off x="376872" y="4762"/>
                            <a:ext cx="1270" cy="79375"/>
                          </a:xfrm>
                          <a:custGeom>
                            <a:avLst/>
                            <a:gdLst/>
                            <a:ahLst/>
                            <a:cxnLst/>
                            <a:rect l="l" t="t" r="r" b="b"/>
                            <a:pathLst>
                              <a:path h="79375">
                                <a:moveTo>
                                  <a:pt x="0" y="0"/>
                                </a:moveTo>
                                <a:lnTo>
                                  <a:pt x="0" y="79375"/>
                                </a:lnTo>
                              </a:path>
                            </a:pathLst>
                          </a:custGeom>
                          <a:ln w="9525">
                            <a:solidFill>
                              <a:srgbClr val="000000"/>
                            </a:solidFill>
                            <a:prstDash val="solid"/>
                          </a:ln>
                        </wps:spPr>
                        <wps:bodyPr wrap="square" lIns="0" tIns="0" rIns="0" bIns="0" rtlCol="0">
                          <a:prstTxWarp prst="textNoShape">
                            <a:avLst/>
                          </a:prstTxWarp>
                          <a:noAutofit/>
                        </wps:bodyPr>
                      </wps:wsp>
                      <wps:wsp>
                        <wps:cNvPr id="78" name="Graphic 78"/>
                        <wps:cNvSpPr/>
                        <wps:spPr>
                          <a:xfrm>
                            <a:off x="562292" y="4762"/>
                            <a:ext cx="1270" cy="79375"/>
                          </a:xfrm>
                          <a:custGeom>
                            <a:avLst/>
                            <a:gdLst/>
                            <a:ahLst/>
                            <a:cxnLst/>
                            <a:rect l="l" t="t" r="r" b="b"/>
                            <a:pathLst>
                              <a:path h="79375">
                                <a:moveTo>
                                  <a:pt x="0" y="0"/>
                                </a:moveTo>
                                <a:lnTo>
                                  <a:pt x="0" y="79375"/>
                                </a:lnTo>
                              </a:path>
                            </a:pathLst>
                          </a:custGeom>
                          <a:ln w="9525">
                            <a:solidFill>
                              <a:srgbClr val="000000"/>
                            </a:solidFill>
                            <a:prstDash val="solid"/>
                          </a:ln>
                        </wps:spPr>
                        <wps:bodyPr wrap="square" lIns="0" tIns="0" rIns="0" bIns="0" rtlCol="0">
                          <a:prstTxWarp prst="textNoShape">
                            <a:avLst/>
                          </a:prstTxWarp>
                          <a:noAutofit/>
                        </wps:bodyPr>
                      </wps:wsp>
                      <wps:wsp>
                        <wps:cNvPr id="79" name="Graphic 79"/>
                        <wps:cNvSpPr/>
                        <wps:spPr>
                          <a:xfrm>
                            <a:off x="748347" y="4762"/>
                            <a:ext cx="1270" cy="79375"/>
                          </a:xfrm>
                          <a:custGeom>
                            <a:avLst/>
                            <a:gdLst/>
                            <a:ahLst/>
                            <a:cxnLst/>
                            <a:rect l="l" t="t" r="r" b="b"/>
                            <a:pathLst>
                              <a:path h="79375">
                                <a:moveTo>
                                  <a:pt x="0" y="0"/>
                                </a:moveTo>
                                <a:lnTo>
                                  <a:pt x="0" y="79375"/>
                                </a:lnTo>
                              </a:path>
                            </a:pathLst>
                          </a:custGeom>
                          <a:ln w="9525">
                            <a:solidFill>
                              <a:srgbClr val="000000"/>
                            </a:solidFill>
                            <a:prstDash val="solid"/>
                          </a:ln>
                        </wps:spPr>
                        <wps:bodyPr wrap="square" lIns="0" tIns="0" rIns="0" bIns="0" rtlCol="0">
                          <a:prstTxWarp prst="textNoShape">
                            <a:avLst/>
                          </a:prstTxWarp>
                          <a:noAutofit/>
                        </wps:bodyPr>
                      </wps:wsp>
                      <wps:wsp>
                        <wps:cNvPr id="80" name="Graphic 80"/>
                        <wps:cNvSpPr/>
                        <wps:spPr>
                          <a:xfrm>
                            <a:off x="925512" y="4762"/>
                            <a:ext cx="1270" cy="79375"/>
                          </a:xfrm>
                          <a:custGeom>
                            <a:avLst/>
                            <a:gdLst/>
                            <a:ahLst/>
                            <a:cxnLst/>
                            <a:rect l="l" t="t" r="r" b="b"/>
                            <a:pathLst>
                              <a:path h="79375">
                                <a:moveTo>
                                  <a:pt x="0" y="0"/>
                                </a:moveTo>
                                <a:lnTo>
                                  <a:pt x="0" y="79375"/>
                                </a:lnTo>
                              </a:path>
                            </a:pathLst>
                          </a:custGeom>
                          <a:ln w="9525">
                            <a:solidFill>
                              <a:srgbClr val="000000"/>
                            </a:solidFill>
                            <a:prstDash val="solid"/>
                          </a:ln>
                        </wps:spPr>
                        <wps:bodyPr wrap="square" lIns="0" tIns="0" rIns="0" bIns="0" rtlCol="0">
                          <a:prstTxWarp prst="textNoShape">
                            <a:avLst/>
                          </a:prstTxWarp>
                          <a:noAutofit/>
                        </wps:bodyPr>
                      </wps:wsp>
                      <wps:wsp>
                        <wps:cNvPr id="81" name="Graphic 81"/>
                        <wps:cNvSpPr/>
                        <wps:spPr>
                          <a:xfrm>
                            <a:off x="1111567" y="4762"/>
                            <a:ext cx="1270" cy="79375"/>
                          </a:xfrm>
                          <a:custGeom>
                            <a:avLst/>
                            <a:gdLst/>
                            <a:ahLst/>
                            <a:cxnLst/>
                            <a:rect l="l" t="t" r="r" b="b"/>
                            <a:pathLst>
                              <a:path h="79375">
                                <a:moveTo>
                                  <a:pt x="0" y="0"/>
                                </a:moveTo>
                                <a:lnTo>
                                  <a:pt x="0" y="79375"/>
                                </a:lnTo>
                              </a:path>
                            </a:pathLst>
                          </a:custGeom>
                          <a:ln w="9525">
                            <a:solidFill>
                              <a:srgbClr val="000000"/>
                            </a:solidFill>
                            <a:prstDash val="solid"/>
                          </a:ln>
                        </wps:spPr>
                        <wps:bodyPr wrap="square" lIns="0" tIns="0" rIns="0" bIns="0" rtlCol="0">
                          <a:prstTxWarp prst="textNoShape">
                            <a:avLst/>
                          </a:prstTxWarp>
                          <a:noAutofit/>
                        </wps:bodyPr>
                      </wps:wsp>
                      <wps:wsp>
                        <wps:cNvPr id="82" name="Graphic 82"/>
                        <wps:cNvSpPr/>
                        <wps:spPr>
                          <a:xfrm>
                            <a:off x="1296987" y="4762"/>
                            <a:ext cx="1270" cy="79375"/>
                          </a:xfrm>
                          <a:custGeom>
                            <a:avLst/>
                            <a:gdLst/>
                            <a:ahLst/>
                            <a:cxnLst/>
                            <a:rect l="l" t="t" r="r" b="b"/>
                            <a:pathLst>
                              <a:path h="79375">
                                <a:moveTo>
                                  <a:pt x="0" y="0"/>
                                </a:moveTo>
                                <a:lnTo>
                                  <a:pt x="0" y="79375"/>
                                </a:lnTo>
                              </a:path>
                            </a:pathLst>
                          </a:custGeom>
                          <a:ln w="9525">
                            <a:solidFill>
                              <a:srgbClr val="000000"/>
                            </a:solidFill>
                            <a:prstDash val="solid"/>
                          </a:ln>
                        </wps:spPr>
                        <wps:bodyPr wrap="square" lIns="0" tIns="0" rIns="0" bIns="0" rtlCol="0">
                          <a:prstTxWarp prst="textNoShape">
                            <a:avLst/>
                          </a:prstTxWarp>
                          <a:noAutofit/>
                        </wps:bodyPr>
                      </wps:wsp>
                      <wps:wsp>
                        <wps:cNvPr id="83" name="Graphic 83"/>
                        <wps:cNvSpPr/>
                        <wps:spPr>
                          <a:xfrm>
                            <a:off x="1483042" y="4762"/>
                            <a:ext cx="1270" cy="79375"/>
                          </a:xfrm>
                          <a:custGeom>
                            <a:avLst/>
                            <a:gdLst/>
                            <a:ahLst/>
                            <a:cxnLst/>
                            <a:rect l="l" t="t" r="r" b="b"/>
                            <a:pathLst>
                              <a:path h="79375">
                                <a:moveTo>
                                  <a:pt x="0" y="0"/>
                                </a:moveTo>
                                <a:lnTo>
                                  <a:pt x="0" y="79375"/>
                                </a:lnTo>
                              </a:path>
                            </a:pathLst>
                          </a:custGeom>
                          <a:ln w="9525">
                            <a:solidFill>
                              <a:srgbClr val="000000"/>
                            </a:solidFill>
                            <a:prstDash val="solid"/>
                          </a:ln>
                        </wps:spPr>
                        <wps:bodyPr wrap="square" lIns="0" tIns="0" rIns="0" bIns="0" rtlCol="0">
                          <a:prstTxWarp prst="textNoShape">
                            <a:avLst/>
                          </a:prstTxWarp>
                          <a:noAutofit/>
                        </wps:bodyPr>
                      </wps:wsp>
                      <wps:wsp>
                        <wps:cNvPr id="84" name="Graphic 84"/>
                        <wps:cNvSpPr/>
                        <wps:spPr>
                          <a:xfrm>
                            <a:off x="1669097" y="4762"/>
                            <a:ext cx="1270" cy="79375"/>
                          </a:xfrm>
                          <a:custGeom>
                            <a:avLst/>
                            <a:gdLst/>
                            <a:ahLst/>
                            <a:cxnLst/>
                            <a:rect l="l" t="t" r="r" b="b"/>
                            <a:pathLst>
                              <a:path h="79375">
                                <a:moveTo>
                                  <a:pt x="0" y="0"/>
                                </a:moveTo>
                                <a:lnTo>
                                  <a:pt x="0" y="79375"/>
                                </a:lnTo>
                              </a:path>
                            </a:pathLst>
                          </a:custGeom>
                          <a:ln w="9525">
                            <a:solidFill>
                              <a:srgbClr val="000000"/>
                            </a:solidFill>
                            <a:prstDash val="solid"/>
                          </a:ln>
                        </wps:spPr>
                        <wps:bodyPr wrap="square" lIns="0" tIns="0" rIns="0" bIns="0" rtlCol="0">
                          <a:prstTxWarp prst="textNoShape">
                            <a:avLst/>
                          </a:prstTxWarp>
                          <a:noAutofit/>
                        </wps:bodyPr>
                      </wps:wsp>
                      <wps:wsp>
                        <wps:cNvPr id="85" name="Graphic 85"/>
                        <wps:cNvSpPr/>
                        <wps:spPr>
                          <a:xfrm>
                            <a:off x="1845627" y="4762"/>
                            <a:ext cx="1270" cy="79375"/>
                          </a:xfrm>
                          <a:custGeom>
                            <a:avLst/>
                            <a:gdLst/>
                            <a:ahLst/>
                            <a:cxnLst/>
                            <a:rect l="l" t="t" r="r" b="b"/>
                            <a:pathLst>
                              <a:path h="79375">
                                <a:moveTo>
                                  <a:pt x="0" y="0"/>
                                </a:moveTo>
                                <a:lnTo>
                                  <a:pt x="0" y="79375"/>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88FA407" id="Group 74" o:spid="_x0000_s1026" style="width:145.7pt;height:6.65pt;mso-position-horizontal-relative:char;mso-position-vertical-relative:line" coordsize="18503,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">
                <v:shape id="Graphic 75" o:spid="_x0000_s1027" style="position:absolute;left:47;top:47;width:18409;height:794;visibility:visible;mso-wrap-style:square;v-text-anchor:top" coordsize="1840864,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" path="m,l1840864,em,l,79375e" filled="f">
                  <v:path arrowok="t"/>
                </v:shape>
                <v:shape id="Graphic 76" o:spid="_x0000_s1028" style="position:absolute;left:1908;top:47;width:12;height:794;visibility:visible;mso-wrap-style:square;v-text-anchor:top" coordsize="127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" path="m,l,79375e" filled="f">
                  <v:path arrowok="t"/>
                </v:shape>
                <v:shape id="Graphic 77" o:spid="_x0000_s1029" style="position:absolute;left:3768;top:47;width:13;height:794;visibility:visible;mso-wrap-style:square;v-text-anchor:top" coordsize="127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" path="m,l,79375e" filled="f">
                  <v:path arrowok="t"/>
                </v:shape>
                <v:shape id="Graphic 78" o:spid="_x0000_s1030" style="position:absolute;left:5622;top:47;width:13;height:794;visibility:visible;mso-wrap-style:square;v-text-anchor:top" coordsize="127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" path="m,l,79375e" filled="f">
                  <v:path arrowok="t"/>
                </v:shape>
                <v:shape id="Graphic 79" o:spid="_x0000_s1031" style="position:absolute;left:7483;top:47;width:13;height:794;visibility:visible;mso-wrap-style:square;v-text-anchor:top" coordsize="127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" path="m,l,79375e" filled="f">
                  <v:path arrowok="t"/>
                </v:shape>
                <v:shape id="Graphic 80" o:spid="_x0000_s1032" style="position:absolute;left:9255;top:47;width:12;height:794;visibility:visible;mso-wrap-style:square;v-text-anchor:top" coordsize="127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" path="m,l,79375e" filled="f">
                  <v:path arrowok="t"/>
                </v:shape>
                <v:shape id="Graphic 81" o:spid="_x0000_s1033" style="position:absolute;left:11115;top:47;width:13;height:794;visibility:visible;mso-wrap-style:square;v-text-anchor:top" coordsize="127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" path="m,l,79375e" filled="f">
                  <v:path arrowok="t"/>
                </v:shape>
                <v:shape id="Graphic 82" o:spid="_x0000_s1034" style="position:absolute;left:12969;top:47;width:13;height:794;visibility:visible;mso-wrap-style:square;v-text-anchor:top" coordsize="127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" path="m,l,79375e" filled="f">
                  <v:path arrowok="t"/>
                </v:shape>
                <v:shape id="Graphic 83" o:spid="_x0000_s1035" style="position:absolute;left:14830;top:47;width:13;height:794;visibility:visible;mso-wrap-style:square;v-text-anchor:top" coordsize="127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" path="m,l,79375e" filled="f">
                  <v:path arrowok="t"/>
                </v:shape>
                <v:shape id="Graphic 84" o:spid="_x0000_s1036" style="position:absolute;left:16690;top:47;width:13;height:794;visibility:visible;mso-wrap-style:square;v-text-anchor:top" coordsize="127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" path="m,l,79375e" filled="f">
                  <v:path arrowok="t"/>
                </v:shape>
                <v:shape id="Graphic 85" o:spid="_x0000_s1037" style="position:absolute;left:18456;top:47;width:12;height:794;visibility:visible;mso-wrap-style:square;v-text-anchor:top" coordsize="127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" path="m,l,79375e" filled="f">
                  <v:path arrowok="t"/>
                </v:shape>
                <w10:anchorlock/>
              </v:group>
            </w:pict>
          </mc:Fallback>
        </mc:AlternateContent>
      </w:r>
    </w:p>
    <w:p w14:paraId="4934F175" w14:textId="77777777" w:rsidR="001825E2" w:rsidRDefault="000839A5" w:rsidP="00CB00A7">
      <w:pPr>
        <w:tabs>
          <w:tab w:val="left" w:pos="3594"/>
          <w:tab w:val="left" w:pos="4269"/>
          <w:tab w:val="left" w:pos="4749"/>
          <w:tab w:val="left" w:pos="5424"/>
          <w:tab w:val="left" w:pos="5904"/>
        </w:tabs>
        <w:spacing w:before="127"/>
        <w:ind w:left="3100"/>
        <w:rPr>
          <w:rFonts w:ascii="Arial"/>
          <w:b/>
          <w:sz w:val="19"/>
        </w:rPr>
      </w:pPr>
      <w:r>
        <w:rPr>
          <w:rFonts w:ascii="Arial"/>
          <w:b/>
          <w:spacing w:val="-10"/>
          <w:sz w:val="19"/>
        </w:rPr>
        <w:t>0</w:t>
      </w:r>
      <w:r>
        <w:rPr>
          <w:rFonts w:ascii="Arial"/>
          <w:b/>
          <w:sz w:val="19"/>
        </w:rPr>
        <w:tab/>
      </w:r>
      <w:r>
        <w:rPr>
          <w:rFonts w:ascii="Arial"/>
          <w:b/>
          <w:spacing w:val="-5"/>
          <w:sz w:val="19"/>
        </w:rPr>
        <w:t>0.5</w:t>
      </w:r>
      <w:r>
        <w:rPr>
          <w:rFonts w:ascii="Arial"/>
          <w:b/>
          <w:sz w:val="19"/>
        </w:rPr>
        <w:tab/>
      </w:r>
      <w:r>
        <w:rPr>
          <w:rFonts w:ascii="Arial"/>
          <w:b/>
          <w:spacing w:val="-10"/>
          <w:sz w:val="19"/>
        </w:rPr>
        <w:t>1</w:t>
      </w:r>
      <w:r>
        <w:rPr>
          <w:rFonts w:ascii="Arial"/>
          <w:b/>
          <w:sz w:val="19"/>
        </w:rPr>
        <w:tab/>
      </w:r>
      <w:r>
        <w:rPr>
          <w:rFonts w:ascii="Arial"/>
          <w:b/>
          <w:spacing w:val="-5"/>
          <w:sz w:val="19"/>
        </w:rPr>
        <w:t>1.5</w:t>
      </w:r>
      <w:r>
        <w:rPr>
          <w:rFonts w:ascii="Arial"/>
          <w:b/>
          <w:sz w:val="19"/>
        </w:rPr>
        <w:tab/>
      </w:r>
      <w:r>
        <w:rPr>
          <w:rFonts w:ascii="Arial"/>
          <w:b/>
          <w:spacing w:val="-10"/>
          <w:sz w:val="19"/>
        </w:rPr>
        <w:t>2</w:t>
      </w:r>
      <w:r>
        <w:rPr>
          <w:rFonts w:ascii="Arial"/>
          <w:b/>
          <w:sz w:val="19"/>
        </w:rPr>
        <w:tab/>
      </w:r>
      <w:r>
        <w:rPr>
          <w:rFonts w:ascii="Arial"/>
          <w:b/>
          <w:spacing w:val="-5"/>
          <w:sz w:val="19"/>
        </w:rPr>
        <w:t>2.5</w:t>
      </w:r>
    </w:p>
    <w:p w14:paraId="0F1FFE08" w14:textId="77777777" w:rsidR="001825E2" w:rsidRDefault="000839A5" w:rsidP="00CB00A7">
      <w:pPr>
        <w:spacing w:before="82"/>
        <w:ind w:left="3535"/>
        <w:rPr>
          <w:rFonts w:ascii="Arial"/>
          <w:b/>
          <w:sz w:val="19"/>
        </w:rPr>
      </w:pPr>
      <w:r>
        <w:rPr>
          <w:rFonts w:ascii="Arial"/>
          <w:b/>
          <w:sz w:val="19"/>
        </w:rPr>
        <w:t>Ratio</w:t>
      </w:r>
      <w:r>
        <w:rPr>
          <w:rFonts w:ascii="Arial"/>
          <w:b/>
          <w:spacing w:val="24"/>
          <w:sz w:val="19"/>
        </w:rPr>
        <w:t xml:space="preserve"> </w:t>
      </w:r>
      <w:r>
        <w:rPr>
          <w:rFonts w:ascii="Arial"/>
          <w:b/>
          <w:sz w:val="19"/>
        </w:rPr>
        <w:t>relative</w:t>
      </w:r>
      <w:r>
        <w:rPr>
          <w:rFonts w:ascii="Arial"/>
          <w:b/>
          <w:spacing w:val="19"/>
          <w:sz w:val="19"/>
        </w:rPr>
        <w:t xml:space="preserve"> </w:t>
      </w:r>
      <w:r>
        <w:rPr>
          <w:rFonts w:ascii="Arial"/>
          <w:b/>
          <w:sz w:val="19"/>
        </w:rPr>
        <w:t>to</w:t>
      </w:r>
      <w:r>
        <w:rPr>
          <w:rFonts w:ascii="Arial"/>
          <w:b/>
          <w:spacing w:val="24"/>
          <w:sz w:val="19"/>
        </w:rPr>
        <w:t xml:space="preserve"> </w:t>
      </w:r>
      <w:r>
        <w:rPr>
          <w:rFonts w:ascii="Arial"/>
          <w:b/>
          <w:spacing w:val="-2"/>
          <w:sz w:val="19"/>
        </w:rPr>
        <w:t>reference</w:t>
      </w:r>
    </w:p>
    <w:p w14:paraId="59613B4B" w14:textId="77777777" w:rsidR="001825E2" w:rsidRDefault="001825E2" w:rsidP="00CB00A7">
      <w:pPr>
        <w:pStyle w:val="BodyText"/>
        <w:spacing w:before="139"/>
        <w:jc w:val="left"/>
        <w:rPr>
          <w:rFonts w:ascii="Arial"/>
          <w:b/>
          <w:sz w:val="19"/>
        </w:rPr>
      </w:pPr>
    </w:p>
    <w:p w14:paraId="022C838B" w14:textId="77777777" w:rsidR="001825E2" w:rsidRDefault="000839A5" w:rsidP="00CB00A7">
      <w:pPr>
        <w:spacing w:line="259" w:lineRule="auto"/>
        <w:ind w:left="219" w:right="208"/>
        <w:rPr>
          <w:sz w:val="19"/>
        </w:rPr>
      </w:pPr>
      <w:r>
        <w:rPr>
          <w:position w:val="1"/>
          <w:sz w:val="19"/>
        </w:rPr>
        <w:t>Abbreviations: AUC=total area under the concentration time curve; C</w:t>
      </w:r>
      <w:r>
        <w:rPr>
          <w:sz w:val="13"/>
        </w:rPr>
        <w:t>max</w:t>
      </w:r>
      <w:r>
        <w:rPr>
          <w:position w:val="1"/>
          <w:sz w:val="19"/>
        </w:rPr>
        <w:t xml:space="preserve">= maximum </w:t>
      </w:r>
      <w:proofErr w:type="spellStart"/>
      <w:r>
        <w:rPr>
          <w:position w:val="1"/>
          <w:sz w:val="19"/>
        </w:rPr>
        <w:t>pla</w:t>
      </w:r>
      <w:proofErr w:type="spellEnd"/>
      <w:r>
        <w:rPr>
          <w:spacing w:val="-12"/>
          <w:position w:val="1"/>
          <w:sz w:val="19"/>
        </w:rPr>
        <w:t xml:space="preserve"> </w:t>
      </w:r>
      <w:proofErr w:type="spellStart"/>
      <w:r>
        <w:rPr>
          <w:position w:val="1"/>
          <w:sz w:val="19"/>
        </w:rPr>
        <w:t>sma</w:t>
      </w:r>
      <w:proofErr w:type="spellEnd"/>
      <w:r>
        <w:rPr>
          <w:position w:val="1"/>
          <w:sz w:val="19"/>
        </w:rPr>
        <w:t xml:space="preserve"> concentration; </w:t>
      </w:r>
      <w:r>
        <w:rPr>
          <w:sz w:val="19"/>
        </w:rPr>
        <w:t>CYP=cytochrome</w:t>
      </w:r>
      <w:r>
        <w:rPr>
          <w:spacing w:val="37"/>
          <w:sz w:val="19"/>
        </w:rPr>
        <w:t xml:space="preserve"> </w:t>
      </w:r>
      <w:r>
        <w:rPr>
          <w:sz w:val="19"/>
        </w:rPr>
        <w:t>P450;</w:t>
      </w:r>
      <w:r>
        <w:rPr>
          <w:spacing w:val="16"/>
          <w:sz w:val="19"/>
        </w:rPr>
        <w:t xml:space="preserve"> </w:t>
      </w:r>
      <w:r>
        <w:rPr>
          <w:sz w:val="19"/>
        </w:rPr>
        <w:t>PK=pharmacokinetics;</w:t>
      </w:r>
      <w:r>
        <w:rPr>
          <w:spacing w:val="16"/>
          <w:sz w:val="19"/>
        </w:rPr>
        <w:t xml:space="preserve"> </w:t>
      </w:r>
      <w:r>
        <w:rPr>
          <w:sz w:val="19"/>
        </w:rPr>
        <w:t>CI=confidence</w:t>
      </w:r>
      <w:r>
        <w:rPr>
          <w:spacing w:val="11"/>
          <w:sz w:val="19"/>
        </w:rPr>
        <w:t xml:space="preserve"> </w:t>
      </w:r>
      <w:r>
        <w:rPr>
          <w:sz w:val="19"/>
        </w:rPr>
        <w:t>interval</w:t>
      </w:r>
    </w:p>
    <w:p w14:paraId="00BF1011" w14:textId="77777777" w:rsidR="001825E2" w:rsidRDefault="000839A5" w:rsidP="00CB00A7">
      <w:pPr>
        <w:spacing w:line="207" w:lineRule="exact"/>
        <w:ind w:left="219"/>
        <w:rPr>
          <w:sz w:val="19"/>
        </w:rPr>
      </w:pPr>
      <w:r>
        <w:rPr>
          <w:sz w:val="19"/>
        </w:rPr>
        <w:t>Note:</w:t>
      </w:r>
      <w:r>
        <w:rPr>
          <w:spacing w:val="31"/>
          <w:sz w:val="19"/>
        </w:rPr>
        <w:t xml:space="preserve"> </w:t>
      </w:r>
      <w:r>
        <w:rPr>
          <w:sz w:val="19"/>
        </w:rPr>
        <w:t>Reference</w:t>
      </w:r>
      <w:r>
        <w:rPr>
          <w:spacing w:val="3"/>
          <w:sz w:val="19"/>
        </w:rPr>
        <w:t xml:space="preserve"> </w:t>
      </w:r>
      <w:r>
        <w:rPr>
          <w:sz w:val="19"/>
        </w:rPr>
        <w:t>group</w:t>
      </w:r>
      <w:r>
        <w:rPr>
          <w:spacing w:val="56"/>
          <w:sz w:val="19"/>
        </w:rPr>
        <w:t xml:space="preserve"> </w:t>
      </w:r>
      <w:r>
        <w:rPr>
          <w:sz w:val="19"/>
        </w:rPr>
        <w:t>is</w:t>
      </w:r>
      <w:r>
        <w:rPr>
          <w:spacing w:val="44"/>
          <w:sz w:val="19"/>
        </w:rPr>
        <w:t xml:space="preserve"> </w:t>
      </w:r>
      <w:r>
        <w:rPr>
          <w:sz w:val="19"/>
        </w:rPr>
        <w:t>administration</w:t>
      </w:r>
      <w:r>
        <w:rPr>
          <w:spacing w:val="11"/>
          <w:sz w:val="19"/>
        </w:rPr>
        <w:t xml:space="preserve"> </w:t>
      </w:r>
      <w:r>
        <w:rPr>
          <w:sz w:val="19"/>
        </w:rPr>
        <w:t>of</w:t>
      </w:r>
      <w:r>
        <w:rPr>
          <w:spacing w:val="14"/>
          <w:sz w:val="19"/>
        </w:rPr>
        <w:t xml:space="preserve"> </w:t>
      </w:r>
      <w:r>
        <w:rPr>
          <w:sz w:val="19"/>
        </w:rPr>
        <w:t>tofacitinib</w:t>
      </w:r>
      <w:r>
        <w:rPr>
          <w:spacing w:val="10"/>
          <w:sz w:val="19"/>
        </w:rPr>
        <w:t xml:space="preserve"> </w:t>
      </w:r>
      <w:r>
        <w:rPr>
          <w:spacing w:val="-4"/>
          <w:sz w:val="19"/>
        </w:rPr>
        <w:t>alone</w:t>
      </w:r>
    </w:p>
    <w:p w14:paraId="3CD801DE" w14:textId="77777777" w:rsidR="001825E2" w:rsidRDefault="000839A5" w:rsidP="00CB00A7">
      <w:pPr>
        <w:spacing w:before="2" w:line="254" w:lineRule="auto"/>
        <w:ind w:left="354" w:right="225" w:hanging="135"/>
        <w:rPr>
          <w:sz w:val="19"/>
        </w:rPr>
      </w:pPr>
      <w:proofErr w:type="spellStart"/>
      <w:r>
        <w:rPr>
          <w:position w:val="6"/>
          <w:sz w:val="13"/>
        </w:rPr>
        <w:t>a</w:t>
      </w:r>
      <w:proofErr w:type="spellEnd"/>
      <w:r>
        <w:rPr>
          <w:spacing w:val="40"/>
          <w:position w:val="6"/>
          <w:sz w:val="13"/>
        </w:rPr>
        <w:t xml:space="preserve"> </w:t>
      </w:r>
      <w:proofErr w:type="gramStart"/>
      <w:r>
        <w:rPr>
          <w:sz w:val="19"/>
        </w:rPr>
        <w:t>In</w:t>
      </w:r>
      <w:proofErr w:type="gramEnd"/>
      <w:r>
        <w:rPr>
          <w:sz w:val="19"/>
        </w:rPr>
        <w:t xml:space="preserve"> rheumatoid a</w:t>
      </w:r>
      <w:r>
        <w:rPr>
          <w:spacing w:val="-12"/>
          <w:sz w:val="19"/>
        </w:rPr>
        <w:t xml:space="preserve"> </w:t>
      </w:r>
      <w:proofErr w:type="spellStart"/>
      <w:r>
        <w:rPr>
          <w:sz w:val="19"/>
        </w:rPr>
        <w:t>rthritis</w:t>
      </w:r>
      <w:proofErr w:type="spellEnd"/>
      <w:r>
        <w:rPr>
          <w:sz w:val="19"/>
        </w:rPr>
        <w:t xml:space="preserve"> and psoriatic arthritis</w:t>
      </w:r>
      <w:r>
        <w:rPr>
          <w:spacing w:val="35"/>
          <w:sz w:val="19"/>
        </w:rPr>
        <w:t xml:space="preserve"> </w:t>
      </w:r>
      <w:r>
        <w:rPr>
          <w:sz w:val="19"/>
        </w:rPr>
        <w:t>patients the recommended dose is</w:t>
      </w:r>
      <w:r>
        <w:rPr>
          <w:spacing w:val="35"/>
          <w:sz w:val="19"/>
        </w:rPr>
        <w:t xml:space="preserve"> </w:t>
      </w:r>
      <w:r>
        <w:rPr>
          <w:sz w:val="19"/>
        </w:rPr>
        <w:t>XELJANZ 5 m</w:t>
      </w:r>
      <w:r>
        <w:rPr>
          <w:spacing w:val="-9"/>
          <w:sz w:val="19"/>
        </w:rPr>
        <w:t xml:space="preserve"> </w:t>
      </w:r>
      <w:r>
        <w:rPr>
          <w:sz w:val="19"/>
        </w:rPr>
        <w:t>g once da</w:t>
      </w:r>
      <w:r>
        <w:rPr>
          <w:spacing w:val="-12"/>
          <w:sz w:val="19"/>
        </w:rPr>
        <w:t xml:space="preserve"> </w:t>
      </w:r>
      <w:proofErr w:type="spellStart"/>
      <w:r>
        <w:rPr>
          <w:sz w:val="19"/>
        </w:rPr>
        <w:t>ily</w:t>
      </w:r>
      <w:proofErr w:type="spellEnd"/>
      <w:r>
        <w:rPr>
          <w:sz w:val="19"/>
        </w:rPr>
        <w:t xml:space="preserve">. In </w:t>
      </w:r>
      <w:proofErr w:type="spellStart"/>
      <w:r>
        <w:rPr>
          <w:sz w:val="19"/>
        </w:rPr>
        <w:t>ulcera</w:t>
      </w:r>
      <w:proofErr w:type="spellEnd"/>
      <w:r>
        <w:rPr>
          <w:spacing w:val="-12"/>
          <w:sz w:val="19"/>
        </w:rPr>
        <w:t xml:space="preserve"> </w:t>
      </w:r>
      <w:proofErr w:type="spellStart"/>
      <w:r>
        <w:rPr>
          <w:sz w:val="19"/>
        </w:rPr>
        <w:t>tive</w:t>
      </w:r>
      <w:proofErr w:type="spellEnd"/>
      <w:r>
        <w:rPr>
          <w:sz w:val="19"/>
        </w:rPr>
        <w:t xml:space="preserve"> </w:t>
      </w:r>
      <w:proofErr w:type="spellStart"/>
      <w:r>
        <w:rPr>
          <w:sz w:val="19"/>
        </w:rPr>
        <w:t>colit</w:t>
      </w:r>
      <w:proofErr w:type="spellEnd"/>
      <w:r>
        <w:rPr>
          <w:spacing w:val="-12"/>
          <w:sz w:val="19"/>
        </w:rPr>
        <w:t xml:space="preserve"> </w:t>
      </w:r>
      <w:r>
        <w:rPr>
          <w:sz w:val="19"/>
        </w:rPr>
        <w:t>is patients the recommended</w:t>
      </w:r>
      <w:r>
        <w:rPr>
          <w:spacing w:val="31"/>
          <w:sz w:val="19"/>
        </w:rPr>
        <w:t xml:space="preserve"> </w:t>
      </w:r>
      <w:r>
        <w:rPr>
          <w:sz w:val="19"/>
        </w:rPr>
        <w:t>dose is half</w:t>
      </w:r>
      <w:r>
        <w:rPr>
          <w:spacing w:val="34"/>
          <w:sz w:val="19"/>
        </w:rPr>
        <w:t xml:space="preserve"> </w:t>
      </w:r>
      <w:r>
        <w:rPr>
          <w:sz w:val="19"/>
        </w:rPr>
        <w:t>the total daily</w:t>
      </w:r>
      <w:r>
        <w:rPr>
          <w:spacing w:val="31"/>
          <w:sz w:val="19"/>
        </w:rPr>
        <w:t xml:space="preserve"> </w:t>
      </w:r>
      <w:r>
        <w:rPr>
          <w:sz w:val="19"/>
        </w:rPr>
        <w:t>dose</w:t>
      </w:r>
      <w:r>
        <w:rPr>
          <w:spacing w:val="40"/>
          <w:sz w:val="19"/>
        </w:rPr>
        <w:t xml:space="preserve"> </w:t>
      </w:r>
      <w:r>
        <w:rPr>
          <w:sz w:val="19"/>
        </w:rPr>
        <w:t>indicated</w:t>
      </w:r>
      <w:r>
        <w:rPr>
          <w:spacing w:val="31"/>
          <w:sz w:val="19"/>
        </w:rPr>
        <w:t xml:space="preserve"> </w:t>
      </w:r>
      <w:r>
        <w:rPr>
          <w:sz w:val="19"/>
        </w:rPr>
        <w:t>for patients not</w:t>
      </w:r>
      <w:r>
        <w:rPr>
          <w:spacing w:val="28"/>
          <w:sz w:val="19"/>
        </w:rPr>
        <w:t xml:space="preserve"> </w:t>
      </w:r>
      <w:r>
        <w:rPr>
          <w:sz w:val="19"/>
        </w:rPr>
        <w:t>receiving these</w:t>
      </w:r>
      <w:r>
        <w:rPr>
          <w:spacing w:val="24"/>
          <w:sz w:val="19"/>
        </w:rPr>
        <w:t xml:space="preserve"> </w:t>
      </w:r>
      <w:r>
        <w:rPr>
          <w:sz w:val="19"/>
        </w:rPr>
        <w:t>CYP</w:t>
      </w:r>
      <w:r>
        <w:rPr>
          <w:spacing w:val="40"/>
          <w:sz w:val="19"/>
        </w:rPr>
        <w:t xml:space="preserve"> </w:t>
      </w:r>
      <w:r>
        <w:rPr>
          <w:sz w:val="19"/>
        </w:rPr>
        <w:t>inhibitors;</w:t>
      </w:r>
      <w:r>
        <w:rPr>
          <w:spacing w:val="59"/>
          <w:sz w:val="19"/>
        </w:rPr>
        <w:t xml:space="preserve"> </w:t>
      </w:r>
      <w:r>
        <w:rPr>
          <w:sz w:val="19"/>
        </w:rPr>
        <w:t>in</w:t>
      </w:r>
      <w:r>
        <w:rPr>
          <w:spacing w:val="40"/>
          <w:sz w:val="19"/>
        </w:rPr>
        <w:t xml:space="preserve"> </w:t>
      </w:r>
      <w:r>
        <w:rPr>
          <w:sz w:val="19"/>
        </w:rPr>
        <w:t>patients</w:t>
      </w:r>
      <w:r>
        <w:rPr>
          <w:spacing w:val="10"/>
          <w:sz w:val="19"/>
        </w:rPr>
        <w:t xml:space="preserve"> </w:t>
      </w:r>
      <w:r>
        <w:rPr>
          <w:sz w:val="19"/>
        </w:rPr>
        <w:t>already</w:t>
      </w:r>
      <w:r>
        <w:rPr>
          <w:spacing w:val="40"/>
          <w:sz w:val="19"/>
        </w:rPr>
        <w:t xml:space="preserve"> </w:t>
      </w:r>
      <w:r>
        <w:rPr>
          <w:sz w:val="19"/>
        </w:rPr>
        <w:t>taking</w:t>
      </w:r>
      <w:r>
        <w:rPr>
          <w:spacing w:val="23"/>
          <w:sz w:val="19"/>
        </w:rPr>
        <w:t xml:space="preserve"> </w:t>
      </w:r>
      <w:r>
        <w:rPr>
          <w:sz w:val="19"/>
        </w:rPr>
        <w:t>XELJANZ</w:t>
      </w:r>
      <w:r>
        <w:rPr>
          <w:spacing w:val="33"/>
          <w:sz w:val="19"/>
        </w:rPr>
        <w:t xml:space="preserve"> </w:t>
      </w:r>
      <w:r>
        <w:rPr>
          <w:sz w:val="19"/>
        </w:rPr>
        <w:t>10</w:t>
      </w:r>
      <w:r>
        <w:rPr>
          <w:spacing w:val="21"/>
          <w:sz w:val="19"/>
        </w:rPr>
        <w:t xml:space="preserve"> </w:t>
      </w:r>
      <w:r>
        <w:rPr>
          <w:sz w:val="19"/>
        </w:rPr>
        <w:t>mg</w:t>
      </w:r>
      <w:r>
        <w:rPr>
          <w:spacing w:val="23"/>
          <w:sz w:val="19"/>
        </w:rPr>
        <w:t xml:space="preserve"> </w:t>
      </w:r>
      <w:r>
        <w:rPr>
          <w:sz w:val="19"/>
        </w:rPr>
        <w:t>twice</w:t>
      </w:r>
      <w:r>
        <w:rPr>
          <w:spacing w:val="36"/>
          <w:sz w:val="19"/>
        </w:rPr>
        <w:t xml:space="preserve"> </w:t>
      </w:r>
      <w:r>
        <w:rPr>
          <w:sz w:val="19"/>
        </w:rPr>
        <w:t>da</w:t>
      </w:r>
      <w:r>
        <w:rPr>
          <w:spacing w:val="-12"/>
          <w:sz w:val="19"/>
        </w:rPr>
        <w:t xml:space="preserve"> </w:t>
      </w:r>
      <w:proofErr w:type="spellStart"/>
      <w:r>
        <w:rPr>
          <w:sz w:val="19"/>
        </w:rPr>
        <w:t>ily</w:t>
      </w:r>
      <w:proofErr w:type="spellEnd"/>
      <w:r>
        <w:rPr>
          <w:sz w:val="19"/>
        </w:rPr>
        <w:t>,</w:t>
      </w:r>
      <w:r>
        <w:rPr>
          <w:spacing w:val="40"/>
          <w:sz w:val="19"/>
        </w:rPr>
        <w:t xml:space="preserve"> </w:t>
      </w:r>
      <w:r>
        <w:rPr>
          <w:sz w:val="19"/>
        </w:rPr>
        <w:t>reduce</w:t>
      </w:r>
      <w:r>
        <w:rPr>
          <w:spacing w:val="36"/>
          <w:sz w:val="19"/>
        </w:rPr>
        <w:t xml:space="preserve"> </w:t>
      </w:r>
      <w:r>
        <w:rPr>
          <w:sz w:val="19"/>
        </w:rPr>
        <w:t>the</w:t>
      </w:r>
      <w:r>
        <w:rPr>
          <w:spacing w:val="36"/>
          <w:sz w:val="19"/>
        </w:rPr>
        <w:t xml:space="preserve"> </w:t>
      </w:r>
      <w:r>
        <w:rPr>
          <w:sz w:val="19"/>
        </w:rPr>
        <w:t>dose</w:t>
      </w:r>
      <w:r>
        <w:rPr>
          <w:spacing w:val="37"/>
          <w:sz w:val="19"/>
        </w:rPr>
        <w:t xml:space="preserve"> </w:t>
      </w:r>
      <w:r>
        <w:rPr>
          <w:sz w:val="19"/>
        </w:rPr>
        <w:t>to</w:t>
      </w:r>
      <w:r>
        <w:rPr>
          <w:spacing w:val="40"/>
          <w:sz w:val="19"/>
        </w:rPr>
        <w:t xml:space="preserve"> </w:t>
      </w:r>
      <w:r>
        <w:rPr>
          <w:sz w:val="19"/>
        </w:rPr>
        <w:t>XELJANZ 5</w:t>
      </w:r>
      <w:r>
        <w:rPr>
          <w:spacing w:val="11"/>
          <w:sz w:val="19"/>
        </w:rPr>
        <w:t xml:space="preserve"> </w:t>
      </w:r>
      <w:r>
        <w:rPr>
          <w:sz w:val="19"/>
        </w:rPr>
        <w:t>mg</w:t>
      </w:r>
      <w:r>
        <w:rPr>
          <w:spacing w:val="24"/>
          <w:sz w:val="19"/>
        </w:rPr>
        <w:t xml:space="preserve"> </w:t>
      </w:r>
      <w:r>
        <w:rPr>
          <w:sz w:val="19"/>
        </w:rPr>
        <w:t>twice</w:t>
      </w:r>
      <w:r>
        <w:rPr>
          <w:spacing w:val="37"/>
          <w:sz w:val="19"/>
        </w:rPr>
        <w:t xml:space="preserve"> </w:t>
      </w:r>
      <w:r>
        <w:rPr>
          <w:sz w:val="19"/>
        </w:rPr>
        <w:t>da</w:t>
      </w:r>
      <w:r>
        <w:rPr>
          <w:spacing w:val="-12"/>
          <w:sz w:val="19"/>
        </w:rPr>
        <w:t xml:space="preserve"> </w:t>
      </w:r>
      <w:proofErr w:type="spellStart"/>
      <w:r>
        <w:rPr>
          <w:sz w:val="19"/>
        </w:rPr>
        <w:t>ily</w:t>
      </w:r>
      <w:proofErr w:type="spellEnd"/>
      <w:r>
        <w:rPr>
          <w:sz w:val="19"/>
        </w:rPr>
        <w:t>,</w:t>
      </w:r>
      <w:r>
        <w:rPr>
          <w:spacing w:val="40"/>
          <w:sz w:val="19"/>
        </w:rPr>
        <w:t xml:space="preserve"> </w:t>
      </w:r>
      <w:r>
        <w:rPr>
          <w:sz w:val="19"/>
        </w:rPr>
        <w:t>and</w:t>
      </w:r>
      <w:r>
        <w:rPr>
          <w:spacing w:val="40"/>
          <w:sz w:val="19"/>
        </w:rPr>
        <w:t xml:space="preserve"> </w:t>
      </w:r>
      <w:r>
        <w:rPr>
          <w:sz w:val="19"/>
        </w:rPr>
        <w:t>in</w:t>
      </w:r>
      <w:r>
        <w:rPr>
          <w:spacing w:val="40"/>
          <w:sz w:val="19"/>
        </w:rPr>
        <w:t xml:space="preserve"> </w:t>
      </w:r>
      <w:r>
        <w:rPr>
          <w:sz w:val="19"/>
        </w:rPr>
        <w:t>patients</w:t>
      </w:r>
      <w:r>
        <w:rPr>
          <w:spacing w:val="11"/>
          <w:sz w:val="19"/>
        </w:rPr>
        <w:t xml:space="preserve"> </w:t>
      </w:r>
      <w:r>
        <w:rPr>
          <w:sz w:val="19"/>
        </w:rPr>
        <w:t>already</w:t>
      </w:r>
      <w:r>
        <w:rPr>
          <w:spacing w:val="40"/>
          <w:sz w:val="19"/>
        </w:rPr>
        <w:t xml:space="preserve"> </w:t>
      </w:r>
      <w:r>
        <w:rPr>
          <w:sz w:val="19"/>
        </w:rPr>
        <w:t>taking</w:t>
      </w:r>
      <w:r>
        <w:rPr>
          <w:spacing w:val="24"/>
          <w:sz w:val="19"/>
        </w:rPr>
        <w:t xml:space="preserve"> </w:t>
      </w:r>
      <w:r>
        <w:rPr>
          <w:sz w:val="19"/>
        </w:rPr>
        <w:t>XELJANZ</w:t>
      </w:r>
      <w:r>
        <w:rPr>
          <w:spacing w:val="35"/>
          <w:sz w:val="19"/>
        </w:rPr>
        <w:t xml:space="preserve"> </w:t>
      </w:r>
      <w:r>
        <w:rPr>
          <w:sz w:val="19"/>
        </w:rPr>
        <w:t>5</w:t>
      </w:r>
      <w:r>
        <w:rPr>
          <w:spacing w:val="24"/>
          <w:sz w:val="19"/>
        </w:rPr>
        <w:t xml:space="preserve"> </w:t>
      </w:r>
      <w:r>
        <w:rPr>
          <w:sz w:val="19"/>
        </w:rPr>
        <w:t>mg</w:t>
      </w:r>
      <w:r>
        <w:rPr>
          <w:spacing w:val="40"/>
          <w:sz w:val="19"/>
        </w:rPr>
        <w:t xml:space="preserve"> </w:t>
      </w:r>
      <w:r>
        <w:rPr>
          <w:sz w:val="19"/>
        </w:rPr>
        <w:t>twice</w:t>
      </w:r>
      <w:r>
        <w:rPr>
          <w:spacing w:val="39"/>
          <w:sz w:val="19"/>
        </w:rPr>
        <w:t xml:space="preserve"> </w:t>
      </w:r>
      <w:r>
        <w:rPr>
          <w:sz w:val="19"/>
        </w:rPr>
        <w:t>daily,</w:t>
      </w:r>
      <w:r>
        <w:rPr>
          <w:spacing w:val="40"/>
          <w:sz w:val="19"/>
        </w:rPr>
        <w:t xml:space="preserve"> </w:t>
      </w:r>
      <w:r>
        <w:rPr>
          <w:sz w:val="19"/>
        </w:rPr>
        <w:t>reduce</w:t>
      </w:r>
      <w:r>
        <w:rPr>
          <w:spacing w:val="37"/>
          <w:sz w:val="19"/>
        </w:rPr>
        <w:t xml:space="preserve"> </w:t>
      </w:r>
      <w:r>
        <w:rPr>
          <w:sz w:val="19"/>
        </w:rPr>
        <w:t>the</w:t>
      </w:r>
      <w:r>
        <w:rPr>
          <w:spacing w:val="39"/>
          <w:sz w:val="19"/>
        </w:rPr>
        <w:t xml:space="preserve"> </w:t>
      </w:r>
      <w:r>
        <w:rPr>
          <w:sz w:val="19"/>
        </w:rPr>
        <w:t>dose</w:t>
      </w:r>
      <w:r>
        <w:rPr>
          <w:spacing w:val="37"/>
          <w:sz w:val="19"/>
        </w:rPr>
        <w:t xml:space="preserve"> </w:t>
      </w:r>
      <w:r>
        <w:rPr>
          <w:sz w:val="19"/>
        </w:rPr>
        <w:t>to</w:t>
      </w:r>
      <w:r>
        <w:rPr>
          <w:spacing w:val="63"/>
          <w:sz w:val="19"/>
        </w:rPr>
        <w:t xml:space="preserve"> </w:t>
      </w:r>
      <w:r>
        <w:rPr>
          <w:sz w:val="19"/>
        </w:rPr>
        <w:t>XELJANZ 5 mg once daily.</w:t>
      </w:r>
    </w:p>
    <w:p w14:paraId="45CC7A22" w14:textId="77777777" w:rsidR="001825E2" w:rsidRDefault="001825E2" w:rsidP="00CB00A7">
      <w:pPr>
        <w:pStyle w:val="BodyText"/>
        <w:spacing w:before="17"/>
        <w:jc w:val="left"/>
        <w:rPr>
          <w:sz w:val="19"/>
        </w:rPr>
      </w:pPr>
    </w:p>
    <w:p w14:paraId="507644F0" w14:textId="77777777" w:rsidR="001825E2" w:rsidRDefault="000839A5" w:rsidP="00CB00A7">
      <w:pPr>
        <w:pStyle w:val="Heading4"/>
        <w:spacing w:before="0"/>
        <w:jc w:val="left"/>
      </w:pPr>
      <w:r>
        <w:t>Potential</w:t>
      </w:r>
      <w:r>
        <w:rPr>
          <w:spacing w:val="7"/>
        </w:rPr>
        <w:t xml:space="preserve"> </w:t>
      </w:r>
      <w:r>
        <w:t>for</w:t>
      </w:r>
      <w:r>
        <w:rPr>
          <w:spacing w:val="-14"/>
        </w:rPr>
        <w:t xml:space="preserve"> </w:t>
      </w:r>
      <w:r>
        <w:t>Tofacitinib</w:t>
      </w:r>
      <w:r>
        <w:rPr>
          <w:spacing w:val="15"/>
        </w:rPr>
        <w:t xml:space="preserve"> </w:t>
      </w:r>
      <w:r>
        <w:t>to</w:t>
      </w:r>
      <w:r>
        <w:rPr>
          <w:spacing w:val="3"/>
        </w:rPr>
        <w:t xml:space="preserve"> </w:t>
      </w:r>
      <w:r>
        <w:t>Influence</w:t>
      </w:r>
      <w:r>
        <w:rPr>
          <w:spacing w:val="1"/>
        </w:rPr>
        <w:t xml:space="preserve"> </w:t>
      </w:r>
      <w:r>
        <w:t>the</w:t>
      </w:r>
      <w:r>
        <w:rPr>
          <w:spacing w:val="-12"/>
        </w:rPr>
        <w:t xml:space="preserve"> </w:t>
      </w:r>
      <w:r>
        <w:t>Pharmacokinetics</w:t>
      </w:r>
      <w:r>
        <w:rPr>
          <w:spacing w:val="-1"/>
        </w:rPr>
        <w:t xml:space="preserve"> </w:t>
      </w:r>
      <w:r>
        <w:t>of</w:t>
      </w:r>
      <w:r>
        <w:rPr>
          <w:spacing w:val="-1"/>
        </w:rPr>
        <w:t xml:space="preserve"> </w:t>
      </w:r>
      <w:r>
        <w:t>Other</w:t>
      </w:r>
      <w:r>
        <w:rPr>
          <w:spacing w:val="-13"/>
        </w:rPr>
        <w:t xml:space="preserve"> </w:t>
      </w:r>
      <w:r>
        <w:rPr>
          <w:spacing w:val="-2"/>
        </w:rPr>
        <w:t>Medicines</w:t>
      </w:r>
    </w:p>
    <w:p w14:paraId="643F9C2D" w14:textId="77777777" w:rsidR="001825E2" w:rsidRDefault="000839A5" w:rsidP="00CB00A7">
      <w:pPr>
        <w:pStyle w:val="BodyText"/>
        <w:spacing w:before="114"/>
        <w:ind w:left="218" w:right="203" w:firstLine="1"/>
        <w:jc w:val="left"/>
      </w:pPr>
      <w:r>
        <w:rPr>
          <w:i/>
        </w:rPr>
        <w:t xml:space="preserve">In vitro </w:t>
      </w:r>
      <w:r>
        <w:t>studies indicate that tofacitinib</w:t>
      </w:r>
      <w:r>
        <w:rPr>
          <w:spacing w:val="-4"/>
        </w:rPr>
        <w:t xml:space="preserve"> </w:t>
      </w:r>
      <w:r>
        <w:t xml:space="preserve">does not significantly inhibit or induce the activity of the major human </w:t>
      </w:r>
      <w:proofErr w:type="gramStart"/>
      <w:r>
        <w:t>drug-</w:t>
      </w:r>
      <w:proofErr w:type="spellStart"/>
      <w:r>
        <w:t>metabolising</w:t>
      </w:r>
      <w:proofErr w:type="spellEnd"/>
      <w:proofErr w:type="gramEnd"/>
      <w:r>
        <w:t xml:space="preserve"> CYPs (CYP1A2, CYP2B6, CYP2C8, CYP2C9, CYP2C19, CYP2D6, and CYP3A4) at concentrations exceeding 80</w:t>
      </w:r>
      <w:r>
        <w:rPr>
          <w:spacing w:val="-3"/>
        </w:rPr>
        <w:t xml:space="preserve"> </w:t>
      </w:r>
      <w:r>
        <w:t xml:space="preserve">times the steady state </w:t>
      </w:r>
      <w:r>
        <w:rPr>
          <w:position w:val="1"/>
        </w:rPr>
        <w:t>C</w:t>
      </w:r>
      <w:r>
        <w:rPr>
          <w:sz w:val="16"/>
        </w:rPr>
        <w:t>max</w:t>
      </w:r>
      <w:r>
        <w:rPr>
          <w:spacing w:val="40"/>
          <w:sz w:val="16"/>
        </w:rPr>
        <w:t xml:space="preserve"> </w:t>
      </w:r>
      <w:r>
        <w:rPr>
          <w:position w:val="1"/>
        </w:rPr>
        <w:t>of a 10</w:t>
      </w:r>
      <w:r>
        <w:rPr>
          <w:spacing w:val="-2"/>
          <w:position w:val="1"/>
        </w:rPr>
        <w:t xml:space="preserve"> </w:t>
      </w:r>
      <w:r>
        <w:rPr>
          <w:position w:val="1"/>
        </w:rPr>
        <w:t xml:space="preserve">mg twice daily dose. These </w:t>
      </w:r>
      <w:r>
        <w:rPr>
          <w:i/>
          <w:position w:val="1"/>
        </w:rPr>
        <w:t xml:space="preserve">in vitro </w:t>
      </w:r>
      <w:r>
        <w:rPr>
          <w:position w:val="1"/>
        </w:rPr>
        <w:t xml:space="preserve">results were confirmed by a human drug </w:t>
      </w:r>
      <w:r>
        <w:t>interaction study showing no changes in the PK of midazolam, a highly sensitive CYP3A4 substrate, when co-administered with tofacitinib.</w:t>
      </w:r>
    </w:p>
    <w:p w14:paraId="77576740" w14:textId="77777777" w:rsidR="001825E2" w:rsidRDefault="000839A5" w:rsidP="00CB00A7">
      <w:pPr>
        <w:pStyle w:val="BodyText"/>
        <w:spacing w:before="250"/>
        <w:ind w:left="217" w:right="220" w:firstLine="1"/>
        <w:jc w:val="left"/>
      </w:pPr>
      <w:r>
        <w:t xml:space="preserve">In RA, UC and JIA patients, the oral clearance of tofacitinib does not vary with time, indicating that tofacitinib does not </w:t>
      </w:r>
      <w:proofErr w:type="spellStart"/>
      <w:r>
        <w:t>normalise</w:t>
      </w:r>
      <w:proofErr w:type="spellEnd"/>
      <w:r>
        <w:t xml:space="preserve"> CYP enzyme activity in these patients. Therefore, co-administration with tofacitinib is not expected to result in clinically relevant increases</w:t>
      </w:r>
      <w:r>
        <w:rPr>
          <w:spacing w:val="40"/>
        </w:rPr>
        <w:t xml:space="preserve"> </w:t>
      </w:r>
      <w:r>
        <w:t>in the metabolism of CYP</w:t>
      </w:r>
      <w:r>
        <w:rPr>
          <w:spacing w:val="-6"/>
        </w:rPr>
        <w:t xml:space="preserve"> </w:t>
      </w:r>
      <w:r>
        <w:t xml:space="preserve">substrates in RA, </w:t>
      </w:r>
      <w:proofErr w:type="gramStart"/>
      <w:r>
        <w:t>UC</w:t>
      </w:r>
      <w:proofErr w:type="gramEnd"/>
      <w:r>
        <w:rPr>
          <w:spacing w:val="-2"/>
        </w:rPr>
        <w:t xml:space="preserve"> </w:t>
      </w:r>
      <w:r>
        <w:t>and JIA patients.</w:t>
      </w:r>
    </w:p>
    <w:p w14:paraId="6F20FA95" w14:textId="77777777" w:rsidR="001825E2" w:rsidRDefault="000839A5" w:rsidP="00CB00A7">
      <w:pPr>
        <w:pStyle w:val="BodyText"/>
        <w:spacing w:before="231" w:line="244" w:lineRule="auto"/>
        <w:ind w:left="215" w:right="206" w:firstLine="1"/>
        <w:jc w:val="left"/>
      </w:pPr>
      <w:r>
        <w:rPr>
          <w:i/>
        </w:rPr>
        <w:t xml:space="preserve">In vitro </w:t>
      </w:r>
      <w:r>
        <w:t>studies indicate</w:t>
      </w:r>
      <w:r>
        <w:rPr>
          <w:spacing w:val="-7"/>
        </w:rPr>
        <w:t xml:space="preserve"> </w:t>
      </w:r>
      <w:r>
        <w:t>that tofacitinib does not significantly inhibit the activity of the major human</w:t>
      </w:r>
      <w:r>
        <w:rPr>
          <w:spacing w:val="-2"/>
        </w:rPr>
        <w:t xml:space="preserve"> </w:t>
      </w:r>
      <w:r>
        <w:t>drug-</w:t>
      </w:r>
      <w:proofErr w:type="spellStart"/>
      <w:r>
        <w:t>metabolising</w:t>
      </w:r>
      <w:proofErr w:type="spellEnd"/>
      <w:r>
        <w:t xml:space="preserve"> uridine</w:t>
      </w:r>
      <w:r>
        <w:rPr>
          <w:spacing w:val="-4"/>
        </w:rPr>
        <w:t xml:space="preserve"> </w:t>
      </w:r>
      <w:r>
        <w:t>5’-diphospho-glucuronosyltransferases</w:t>
      </w:r>
      <w:r>
        <w:rPr>
          <w:spacing w:val="-5"/>
        </w:rPr>
        <w:t xml:space="preserve"> </w:t>
      </w:r>
      <w:r>
        <w:t>(UGTs), [UGT1A1, UGT1A4, UGT1A6, UGT1A9, and UGT2B7] at concentrations exceeding 250</w:t>
      </w:r>
      <w:r>
        <w:rPr>
          <w:spacing w:val="-5"/>
        </w:rPr>
        <w:t xml:space="preserve"> </w:t>
      </w:r>
      <w:r>
        <w:t xml:space="preserve">times the </w:t>
      </w:r>
      <w:r>
        <w:rPr>
          <w:position w:val="1"/>
        </w:rPr>
        <w:t>steady state C</w:t>
      </w:r>
      <w:r>
        <w:rPr>
          <w:sz w:val="16"/>
        </w:rPr>
        <w:t>max</w:t>
      </w:r>
      <w:r>
        <w:rPr>
          <w:spacing w:val="34"/>
          <w:sz w:val="16"/>
        </w:rPr>
        <w:t xml:space="preserve"> </w:t>
      </w:r>
      <w:r>
        <w:rPr>
          <w:position w:val="1"/>
        </w:rPr>
        <w:t>of a 10 mg twice daily dose.</w:t>
      </w:r>
    </w:p>
    <w:p w14:paraId="5F3A1B8A" w14:textId="77777777" w:rsidR="001825E2" w:rsidRDefault="001825E2" w:rsidP="00CB00A7">
      <w:pPr>
        <w:spacing w:line="244" w:lineRule="auto"/>
        <w:sectPr w:rsidR="001825E2">
          <w:type w:val="continuous"/>
          <w:pgSz w:w="11910" w:h="16850"/>
          <w:pgMar w:top="1420" w:right="1220" w:bottom="980" w:left="1220" w:header="0" w:footer="785" w:gutter="0"/>
          <w:cols w:space="720"/>
        </w:sectPr>
      </w:pPr>
    </w:p>
    <w:p w14:paraId="533F6F3F" w14:textId="77777777" w:rsidR="001825E2" w:rsidRDefault="000839A5" w:rsidP="00CB00A7">
      <w:pPr>
        <w:pStyle w:val="BodyText"/>
        <w:spacing w:before="76" w:line="242" w:lineRule="auto"/>
        <w:ind w:left="219" w:right="215"/>
        <w:jc w:val="left"/>
      </w:pPr>
      <w:bookmarkStart w:id="33" w:name="Medicines_that_Decrease_Heart_Rate_(HR)_"/>
      <w:bookmarkEnd w:id="33"/>
      <w:r>
        <w:rPr>
          <w:i/>
        </w:rPr>
        <w:lastRenderedPageBreak/>
        <w:t>In</w:t>
      </w:r>
      <w:r>
        <w:rPr>
          <w:i/>
          <w:spacing w:val="80"/>
        </w:rPr>
        <w:t xml:space="preserve"> </w:t>
      </w:r>
      <w:r>
        <w:rPr>
          <w:i/>
        </w:rPr>
        <w:t>vitro</w:t>
      </w:r>
      <w:r>
        <w:rPr>
          <w:i/>
          <w:spacing w:val="80"/>
        </w:rPr>
        <w:t xml:space="preserve"> </w:t>
      </w:r>
      <w:r>
        <w:t>data</w:t>
      </w:r>
      <w:r>
        <w:rPr>
          <w:spacing w:val="80"/>
        </w:rPr>
        <w:t xml:space="preserve"> </w:t>
      </w:r>
      <w:r>
        <w:t>indicate</w:t>
      </w:r>
      <w:r>
        <w:rPr>
          <w:spacing w:val="80"/>
        </w:rPr>
        <w:t xml:space="preserve"> </w:t>
      </w:r>
      <w:r>
        <w:t>that</w:t>
      </w:r>
      <w:r>
        <w:rPr>
          <w:spacing w:val="78"/>
        </w:rPr>
        <w:t xml:space="preserve"> </w:t>
      </w:r>
      <w:r>
        <w:t>the</w:t>
      </w:r>
      <w:r>
        <w:rPr>
          <w:spacing w:val="80"/>
        </w:rPr>
        <w:t xml:space="preserve"> </w:t>
      </w:r>
      <w:r>
        <w:t>potential</w:t>
      </w:r>
      <w:r>
        <w:rPr>
          <w:spacing w:val="78"/>
        </w:rPr>
        <w:t xml:space="preserve"> </w:t>
      </w:r>
      <w:r>
        <w:t>for</w:t>
      </w:r>
      <w:r>
        <w:rPr>
          <w:spacing w:val="65"/>
        </w:rPr>
        <w:t xml:space="preserve"> </w:t>
      </w:r>
      <w:r>
        <w:t>tofacitinib</w:t>
      </w:r>
      <w:r>
        <w:rPr>
          <w:spacing w:val="80"/>
        </w:rPr>
        <w:t xml:space="preserve"> </w:t>
      </w:r>
      <w:r>
        <w:t>to</w:t>
      </w:r>
      <w:r>
        <w:rPr>
          <w:spacing w:val="70"/>
        </w:rPr>
        <w:t xml:space="preserve"> </w:t>
      </w:r>
      <w:r>
        <w:t>inhibit</w:t>
      </w:r>
      <w:r>
        <w:rPr>
          <w:spacing w:val="80"/>
        </w:rPr>
        <w:t xml:space="preserve"> </w:t>
      </w:r>
      <w:r>
        <w:t>transporters</w:t>
      </w:r>
      <w:r>
        <w:rPr>
          <w:spacing w:val="80"/>
        </w:rPr>
        <w:t xml:space="preserve"> </w:t>
      </w:r>
      <w:r>
        <w:t>such</w:t>
      </w:r>
      <w:r>
        <w:rPr>
          <w:spacing w:val="80"/>
        </w:rPr>
        <w:t xml:space="preserve"> </w:t>
      </w:r>
      <w:r>
        <w:t>as P-glycoprotein, organic anion transporting polypeptide, organic anionic or cationic transporters at therapeutic concentrations is also low.</w:t>
      </w:r>
    </w:p>
    <w:p w14:paraId="439BB63A" w14:textId="77777777" w:rsidR="001825E2" w:rsidRDefault="000839A5" w:rsidP="00CB00A7">
      <w:pPr>
        <w:spacing w:before="228"/>
        <w:ind w:left="220"/>
        <w:rPr>
          <w:i/>
          <w:sz w:val="24"/>
        </w:rPr>
      </w:pPr>
      <w:r>
        <w:rPr>
          <w:i/>
          <w:sz w:val="24"/>
          <w:u w:val="single"/>
        </w:rPr>
        <w:t>Oral</w:t>
      </w:r>
      <w:r>
        <w:rPr>
          <w:i/>
          <w:spacing w:val="-8"/>
          <w:sz w:val="24"/>
          <w:u w:val="single"/>
        </w:rPr>
        <w:t xml:space="preserve"> </w:t>
      </w:r>
      <w:r>
        <w:rPr>
          <w:i/>
          <w:spacing w:val="-2"/>
          <w:sz w:val="24"/>
          <w:u w:val="single"/>
        </w:rPr>
        <w:t>Contraceptives</w:t>
      </w:r>
    </w:p>
    <w:p w14:paraId="47AAAFF4" w14:textId="77777777" w:rsidR="001825E2" w:rsidRDefault="000839A5" w:rsidP="00CB00A7">
      <w:pPr>
        <w:pStyle w:val="BodyText"/>
        <w:spacing w:before="134" w:line="235" w:lineRule="auto"/>
        <w:ind w:left="219" w:right="234"/>
        <w:jc w:val="left"/>
      </w:pPr>
      <w:r>
        <w:t xml:space="preserve">Co-administration of tofacitinib did not </w:t>
      </w:r>
      <w:proofErr w:type="gramStart"/>
      <w:r>
        <w:t>have an effect on</w:t>
      </w:r>
      <w:proofErr w:type="gramEnd"/>
      <w:r>
        <w:t xml:space="preserve"> the PK of oral contraceptives, levonorgestrel and </w:t>
      </w:r>
      <w:proofErr w:type="spellStart"/>
      <w:r>
        <w:t>ethinyloestradiol</w:t>
      </w:r>
      <w:proofErr w:type="spellEnd"/>
      <w:r>
        <w:t>, in healthy female volunteers.</w:t>
      </w:r>
    </w:p>
    <w:p w14:paraId="7A2CF828" w14:textId="77777777" w:rsidR="001825E2" w:rsidRDefault="000839A5" w:rsidP="00CB00A7">
      <w:pPr>
        <w:spacing w:before="235"/>
        <w:ind w:left="220"/>
        <w:rPr>
          <w:i/>
          <w:sz w:val="24"/>
        </w:rPr>
      </w:pPr>
      <w:r>
        <w:rPr>
          <w:i/>
          <w:spacing w:val="-2"/>
          <w:sz w:val="24"/>
          <w:u w:val="single"/>
        </w:rPr>
        <w:t>Methotrexate</w:t>
      </w:r>
    </w:p>
    <w:p w14:paraId="2A39128A" w14:textId="77777777" w:rsidR="001825E2" w:rsidRDefault="000839A5" w:rsidP="00CB00A7">
      <w:pPr>
        <w:pStyle w:val="BodyText"/>
        <w:spacing w:before="129" w:line="242" w:lineRule="auto"/>
        <w:ind w:left="218" w:right="215" w:firstLine="1"/>
        <w:jc w:val="left"/>
      </w:pPr>
      <w:r>
        <w:t>Co-administration of tofacitinib with MTX 15-25</w:t>
      </w:r>
      <w:r>
        <w:rPr>
          <w:spacing w:val="-5"/>
        </w:rPr>
        <w:t xml:space="preserve"> </w:t>
      </w:r>
      <w:r>
        <w:t xml:space="preserve">mg once weekly decreased the AUC and </w:t>
      </w:r>
      <w:r>
        <w:rPr>
          <w:position w:val="1"/>
        </w:rPr>
        <w:t>C</w:t>
      </w:r>
      <w:r>
        <w:rPr>
          <w:sz w:val="16"/>
        </w:rPr>
        <w:t>max</w:t>
      </w:r>
      <w:r>
        <w:rPr>
          <w:spacing w:val="38"/>
          <w:sz w:val="16"/>
        </w:rPr>
        <w:t xml:space="preserve"> </w:t>
      </w:r>
      <w:r>
        <w:rPr>
          <w:position w:val="1"/>
        </w:rPr>
        <w:t xml:space="preserve">of MTX by 10% and 13% respectively. The extent of decrease in MTX exposure does </w:t>
      </w:r>
      <w:r>
        <w:t>not warrant modifications to the</w:t>
      </w:r>
      <w:r>
        <w:rPr>
          <w:spacing w:val="-4"/>
        </w:rPr>
        <w:t xml:space="preserve"> </w:t>
      </w:r>
      <w:r>
        <w:t>individualized dosing of MTX.</w:t>
      </w:r>
    </w:p>
    <w:p w14:paraId="6A890349" w14:textId="77777777" w:rsidR="001825E2" w:rsidRDefault="000839A5" w:rsidP="00CB00A7">
      <w:pPr>
        <w:spacing w:before="228"/>
        <w:ind w:left="220"/>
        <w:rPr>
          <w:i/>
          <w:sz w:val="24"/>
        </w:rPr>
      </w:pPr>
      <w:r>
        <w:rPr>
          <w:i/>
          <w:spacing w:val="-2"/>
          <w:sz w:val="24"/>
          <w:u w:val="single"/>
        </w:rPr>
        <w:t>Metformin</w:t>
      </w:r>
    </w:p>
    <w:p w14:paraId="254FE87B" w14:textId="77777777" w:rsidR="001825E2" w:rsidRDefault="000839A5" w:rsidP="00CB00A7">
      <w:pPr>
        <w:pStyle w:val="BodyText"/>
        <w:spacing w:before="114" w:line="242" w:lineRule="auto"/>
        <w:ind w:left="218" w:right="219" w:firstLine="1"/>
        <w:jc w:val="left"/>
      </w:pPr>
      <w:r>
        <w:t>Co-administration of tofacitinib did</w:t>
      </w:r>
      <w:r>
        <w:rPr>
          <w:spacing w:val="39"/>
        </w:rPr>
        <w:t xml:space="preserve"> </w:t>
      </w:r>
      <w:r>
        <w:t xml:space="preserve">not </w:t>
      </w:r>
      <w:proofErr w:type="gramStart"/>
      <w:r>
        <w:t>have an effect on</w:t>
      </w:r>
      <w:proofErr w:type="gramEnd"/>
      <w:r>
        <w:t xml:space="preserve"> the PK of metformin, indicating that tofacitinib does not interfere with the organic cationic transporter (OCT2) in healthy </w:t>
      </w:r>
      <w:r>
        <w:rPr>
          <w:spacing w:val="-2"/>
        </w:rPr>
        <w:t>volunteers.</w:t>
      </w:r>
    </w:p>
    <w:p w14:paraId="05966BD0" w14:textId="77777777" w:rsidR="001825E2" w:rsidRDefault="000839A5" w:rsidP="00CB00A7">
      <w:pPr>
        <w:pStyle w:val="Heading3"/>
        <w:spacing w:before="244"/>
        <w:ind w:left="218"/>
      </w:pPr>
      <w:r>
        <w:t>Figure</w:t>
      </w:r>
      <w:r>
        <w:rPr>
          <w:spacing w:val="-10"/>
        </w:rPr>
        <w:t xml:space="preserve"> </w:t>
      </w:r>
      <w:r>
        <w:t>2.</w:t>
      </w:r>
      <w:r>
        <w:rPr>
          <w:spacing w:val="35"/>
        </w:rPr>
        <w:t xml:space="preserve"> </w:t>
      </w:r>
      <w:r>
        <w:t>Impact</w:t>
      </w:r>
      <w:r>
        <w:rPr>
          <w:spacing w:val="4"/>
        </w:rPr>
        <w:t xml:space="preserve"> </w:t>
      </w:r>
      <w:r>
        <w:t>of</w:t>
      </w:r>
      <w:r>
        <w:rPr>
          <w:spacing w:val="-9"/>
        </w:rPr>
        <w:t xml:space="preserve"> </w:t>
      </w:r>
      <w:proofErr w:type="spellStart"/>
      <w:r>
        <w:t>Tofacinib</w:t>
      </w:r>
      <w:proofErr w:type="spellEnd"/>
      <w:r>
        <w:rPr>
          <w:spacing w:val="-5"/>
        </w:rPr>
        <w:t xml:space="preserve"> </w:t>
      </w:r>
      <w:r>
        <w:t>on</w:t>
      </w:r>
      <w:r>
        <w:rPr>
          <w:spacing w:val="-4"/>
        </w:rPr>
        <w:t xml:space="preserve"> </w:t>
      </w:r>
      <w:r>
        <w:t>the</w:t>
      </w:r>
      <w:r>
        <w:rPr>
          <w:spacing w:val="-7"/>
        </w:rPr>
        <w:t xml:space="preserve"> </w:t>
      </w:r>
      <w:r>
        <w:t>Pharmacokinetics</w:t>
      </w:r>
      <w:r>
        <w:rPr>
          <w:spacing w:val="19"/>
        </w:rPr>
        <w:t xml:space="preserve"> </w:t>
      </w:r>
      <w:r>
        <w:t>of</w:t>
      </w:r>
      <w:r>
        <w:rPr>
          <w:spacing w:val="-11"/>
        </w:rPr>
        <w:t xml:space="preserve"> </w:t>
      </w:r>
      <w:r>
        <w:t>Other</w:t>
      </w:r>
      <w:r>
        <w:rPr>
          <w:spacing w:val="7"/>
        </w:rPr>
        <w:t xml:space="preserve"> </w:t>
      </w:r>
      <w:r>
        <w:rPr>
          <w:spacing w:val="-2"/>
        </w:rPr>
        <w:t>Medicines</w:t>
      </w:r>
    </w:p>
    <w:p w14:paraId="76B2B5B8" w14:textId="77777777" w:rsidR="001825E2" w:rsidRDefault="000839A5" w:rsidP="00CB00A7">
      <w:pPr>
        <w:pStyle w:val="BodyText"/>
        <w:spacing w:before="3"/>
        <w:jc w:val="left"/>
        <w:rPr>
          <w:b/>
          <w:sz w:val="14"/>
        </w:rPr>
      </w:pPr>
      <w:r>
        <w:rPr>
          <w:noProof/>
        </w:rPr>
        <w:drawing>
          <wp:anchor distT="0" distB="0" distL="0" distR="0" simplePos="0" relativeHeight="487592960" behindDoc="1" locked="0" layoutInCell="1" allowOverlap="1" wp14:anchorId="028AF2BD" wp14:editId="278EE8F2">
            <wp:simplePos x="0" y="0"/>
            <wp:positionH relativeFrom="page">
              <wp:posOffset>967904</wp:posOffset>
            </wp:positionH>
            <wp:positionV relativeFrom="paragraph">
              <wp:posOffset>119499</wp:posOffset>
            </wp:positionV>
            <wp:extent cx="5513020" cy="3364991"/>
            <wp:effectExtent l="0" t="0" r="0" b="0"/>
            <wp:wrapTopAndBottom/>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10" cstate="print"/>
                    <a:stretch>
                      <a:fillRect/>
                    </a:stretch>
                  </pic:blipFill>
                  <pic:spPr>
                    <a:xfrm>
                      <a:off x="0" y="0"/>
                      <a:ext cx="5513020" cy="3364991"/>
                    </a:xfrm>
                    <a:prstGeom prst="rect">
                      <a:avLst/>
                    </a:prstGeom>
                  </pic:spPr>
                </pic:pic>
              </a:graphicData>
            </a:graphic>
          </wp:anchor>
        </w:drawing>
      </w:r>
    </w:p>
    <w:p w14:paraId="40F245A9" w14:textId="77777777" w:rsidR="001825E2" w:rsidRDefault="001825E2" w:rsidP="00CB00A7">
      <w:pPr>
        <w:pStyle w:val="BodyText"/>
        <w:jc w:val="left"/>
        <w:rPr>
          <w:b/>
        </w:rPr>
      </w:pPr>
    </w:p>
    <w:p w14:paraId="29673AF0" w14:textId="77777777" w:rsidR="001825E2" w:rsidRDefault="001825E2" w:rsidP="00CB00A7">
      <w:pPr>
        <w:pStyle w:val="BodyText"/>
        <w:spacing w:before="61"/>
        <w:jc w:val="left"/>
        <w:rPr>
          <w:b/>
        </w:rPr>
      </w:pPr>
    </w:p>
    <w:p w14:paraId="784CDB28" w14:textId="77777777" w:rsidR="001825E2" w:rsidRDefault="000839A5" w:rsidP="00CB00A7">
      <w:pPr>
        <w:spacing w:before="1" w:line="252" w:lineRule="auto"/>
        <w:ind w:left="219" w:right="209"/>
        <w:rPr>
          <w:sz w:val="19"/>
        </w:rPr>
      </w:pPr>
      <w:r>
        <w:rPr>
          <w:sz w:val="19"/>
        </w:rPr>
        <w:t>Note:</w:t>
      </w:r>
      <w:r>
        <w:rPr>
          <w:spacing w:val="38"/>
          <w:sz w:val="19"/>
        </w:rPr>
        <w:t xml:space="preserve"> </w:t>
      </w:r>
      <w:r>
        <w:rPr>
          <w:sz w:val="19"/>
        </w:rPr>
        <w:t>Reference</w:t>
      </w:r>
      <w:r>
        <w:rPr>
          <w:spacing w:val="40"/>
          <w:sz w:val="19"/>
        </w:rPr>
        <w:t xml:space="preserve"> </w:t>
      </w:r>
      <w:r>
        <w:rPr>
          <w:sz w:val="19"/>
        </w:rPr>
        <w:t>group</w:t>
      </w:r>
      <w:r>
        <w:rPr>
          <w:spacing w:val="40"/>
          <w:sz w:val="19"/>
        </w:rPr>
        <w:t xml:space="preserve"> </w:t>
      </w:r>
      <w:r>
        <w:rPr>
          <w:sz w:val="19"/>
        </w:rPr>
        <w:t>is</w:t>
      </w:r>
      <w:r>
        <w:rPr>
          <w:spacing w:val="40"/>
          <w:sz w:val="19"/>
        </w:rPr>
        <w:t xml:space="preserve"> </w:t>
      </w:r>
      <w:proofErr w:type="spellStart"/>
      <w:r>
        <w:rPr>
          <w:sz w:val="19"/>
        </w:rPr>
        <w:t>administra</w:t>
      </w:r>
      <w:proofErr w:type="spellEnd"/>
      <w:r>
        <w:rPr>
          <w:spacing w:val="-12"/>
          <w:sz w:val="19"/>
        </w:rPr>
        <w:t xml:space="preserve"> </w:t>
      </w:r>
      <w:proofErr w:type="spellStart"/>
      <w:r>
        <w:rPr>
          <w:sz w:val="19"/>
        </w:rPr>
        <w:t>tion</w:t>
      </w:r>
      <w:proofErr w:type="spellEnd"/>
      <w:r>
        <w:rPr>
          <w:spacing w:val="40"/>
          <w:sz w:val="19"/>
        </w:rPr>
        <w:t xml:space="preserve"> </w:t>
      </w:r>
      <w:r>
        <w:rPr>
          <w:sz w:val="19"/>
        </w:rPr>
        <w:t>of</w:t>
      </w:r>
      <w:r>
        <w:rPr>
          <w:spacing w:val="40"/>
          <w:sz w:val="19"/>
        </w:rPr>
        <w:t xml:space="preserve"> </w:t>
      </w:r>
      <w:proofErr w:type="spellStart"/>
      <w:r>
        <w:rPr>
          <w:sz w:val="19"/>
        </w:rPr>
        <w:t>concomita</w:t>
      </w:r>
      <w:proofErr w:type="spellEnd"/>
      <w:r>
        <w:rPr>
          <w:spacing w:val="-12"/>
          <w:sz w:val="19"/>
        </w:rPr>
        <w:t xml:space="preserve"> </w:t>
      </w:r>
      <w:proofErr w:type="spellStart"/>
      <w:r>
        <w:rPr>
          <w:sz w:val="19"/>
        </w:rPr>
        <w:t>nt</w:t>
      </w:r>
      <w:proofErr w:type="spellEnd"/>
      <w:r>
        <w:rPr>
          <w:spacing w:val="40"/>
          <w:sz w:val="19"/>
        </w:rPr>
        <w:t xml:space="preserve"> </w:t>
      </w:r>
      <w:r>
        <w:rPr>
          <w:sz w:val="19"/>
        </w:rPr>
        <w:t>medica</w:t>
      </w:r>
      <w:r>
        <w:rPr>
          <w:spacing w:val="-12"/>
          <w:sz w:val="19"/>
        </w:rPr>
        <w:t xml:space="preserve"> </w:t>
      </w:r>
      <w:proofErr w:type="spellStart"/>
      <w:r>
        <w:rPr>
          <w:sz w:val="19"/>
        </w:rPr>
        <w:t>tion</w:t>
      </w:r>
      <w:proofErr w:type="spellEnd"/>
      <w:r>
        <w:rPr>
          <w:spacing w:val="40"/>
          <w:sz w:val="19"/>
        </w:rPr>
        <w:t xml:space="preserve"> </w:t>
      </w:r>
      <w:r>
        <w:rPr>
          <w:sz w:val="19"/>
        </w:rPr>
        <w:t>alone;</w:t>
      </w:r>
      <w:r>
        <w:rPr>
          <w:spacing w:val="40"/>
          <w:sz w:val="19"/>
        </w:rPr>
        <w:t xml:space="preserve"> </w:t>
      </w:r>
      <w:r>
        <w:rPr>
          <w:sz w:val="19"/>
        </w:rPr>
        <w:t>Abbreviations:</w:t>
      </w:r>
      <w:r>
        <w:rPr>
          <w:spacing w:val="40"/>
          <w:sz w:val="19"/>
        </w:rPr>
        <w:t xml:space="preserve"> </w:t>
      </w:r>
      <w:r>
        <w:rPr>
          <w:sz w:val="19"/>
        </w:rPr>
        <w:t>OCT=Orga</w:t>
      </w:r>
      <w:r>
        <w:rPr>
          <w:spacing w:val="-12"/>
          <w:sz w:val="19"/>
        </w:rPr>
        <w:t xml:space="preserve"> </w:t>
      </w:r>
      <w:proofErr w:type="spellStart"/>
      <w:r>
        <w:rPr>
          <w:sz w:val="19"/>
        </w:rPr>
        <w:t>nic</w:t>
      </w:r>
      <w:proofErr w:type="spellEnd"/>
      <w:r>
        <w:rPr>
          <w:sz w:val="19"/>
        </w:rPr>
        <w:t xml:space="preserve"> Cationic</w:t>
      </w:r>
      <w:r>
        <w:rPr>
          <w:spacing w:val="40"/>
          <w:sz w:val="19"/>
        </w:rPr>
        <w:t xml:space="preserve"> </w:t>
      </w:r>
      <w:proofErr w:type="spellStart"/>
      <w:r>
        <w:rPr>
          <w:sz w:val="19"/>
        </w:rPr>
        <w:t>Tra</w:t>
      </w:r>
      <w:proofErr w:type="spellEnd"/>
      <w:r>
        <w:rPr>
          <w:spacing w:val="-12"/>
          <w:sz w:val="19"/>
        </w:rPr>
        <w:t xml:space="preserve"> </w:t>
      </w:r>
      <w:proofErr w:type="spellStart"/>
      <w:r>
        <w:rPr>
          <w:sz w:val="19"/>
        </w:rPr>
        <w:t>nsporter</w:t>
      </w:r>
      <w:proofErr w:type="spellEnd"/>
      <w:r>
        <w:rPr>
          <w:sz w:val="19"/>
        </w:rPr>
        <w:t>;</w:t>
      </w:r>
      <w:r>
        <w:rPr>
          <w:spacing w:val="40"/>
          <w:sz w:val="19"/>
        </w:rPr>
        <w:t xml:space="preserve"> </w:t>
      </w:r>
      <w:r>
        <w:rPr>
          <w:sz w:val="19"/>
        </w:rPr>
        <w:t>MATE=Mult</w:t>
      </w:r>
      <w:r>
        <w:rPr>
          <w:spacing w:val="-12"/>
          <w:sz w:val="19"/>
        </w:rPr>
        <w:t xml:space="preserve"> </w:t>
      </w:r>
      <w:proofErr w:type="spellStart"/>
      <w:r>
        <w:rPr>
          <w:sz w:val="19"/>
        </w:rPr>
        <w:t>idrug</w:t>
      </w:r>
      <w:proofErr w:type="spellEnd"/>
      <w:r>
        <w:rPr>
          <w:spacing w:val="40"/>
          <w:sz w:val="19"/>
        </w:rPr>
        <w:t xml:space="preserve"> </w:t>
      </w:r>
      <w:r>
        <w:rPr>
          <w:sz w:val="19"/>
        </w:rPr>
        <w:t>and</w:t>
      </w:r>
      <w:r>
        <w:rPr>
          <w:spacing w:val="40"/>
          <w:sz w:val="19"/>
        </w:rPr>
        <w:t xml:space="preserve"> </w:t>
      </w:r>
      <w:r>
        <w:rPr>
          <w:sz w:val="19"/>
        </w:rPr>
        <w:t>Toxic</w:t>
      </w:r>
      <w:r>
        <w:rPr>
          <w:spacing w:val="40"/>
          <w:sz w:val="19"/>
        </w:rPr>
        <w:t xml:space="preserve"> </w:t>
      </w:r>
      <w:r>
        <w:rPr>
          <w:sz w:val="19"/>
        </w:rPr>
        <w:t>Compound</w:t>
      </w:r>
      <w:r>
        <w:rPr>
          <w:spacing w:val="40"/>
          <w:sz w:val="19"/>
        </w:rPr>
        <w:t xml:space="preserve"> </w:t>
      </w:r>
      <w:r>
        <w:rPr>
          <w:sz w:val="19"/>
        </w:rPr>
        <w:t>Extrusion;</w:t>
      </w:r>
      <w:r>
        <w:rPr>
          <w:spacing w:val="40"/>
          <w:sz w:val="19"/>
        </w:rPr>
        <w:t xml:space="preserve"> </w:t>
      </w:r>
      <w:r>
        <w:rPr>
          <w:sz w:val="19"/>
        </w:rPr>
        <w:t>AUC=total</w:t>
      </w:r>
      <w:r>
        <w:rPr>
          <w:spacing w:val="40"/>
          <w:sz w:val="19"/>
        </w:rPr>
        <w:t xml:space="preserve"> </w:t>
      </w:r>
      <w:r>
        <w:rPr>
          <w:sz w:val="19"/>
        </w:rPr>
        <w:t>area</w:t>
      </w:r>
      <w:r>
        <w:rPr>
          <w:spacing w:val="40"/>
          <w:sz w:val="19"/>
        </w:rPr>
        <w:t xml:space="preserve"> </w:t>
      </w:r>
      <w:r>
        <w:rPr>
          <w:sz w:val="19"/>
        </w:rPr>
        <w:t>under</w:t>
      </w:r>
      <w:r>
        <w:rPr>
          <w:spacing w:val="40"/>
          <w:sz w:val="19"/>
        </w:rPr>
        <w:t xml:space="preserve"> </w:t>
      </w:r>
      <w:r>
        <w:rPr>
          <w:sz w:val="19"/>
        </w:rPr>
        <w:t xml:space="preserve">the </w:t>
      </w:r>
      <w:proofErr w:type="gramStart"/>
      <w:r>
        <w:rPr>
          <w:sz w:val="19"/>
        </w:rPr>
        <w:t>concentration</w:t>
      </w:r>
      <w:r>
        <w:rPr>
          <w:spacing w:val="67"/>
          <w:sz w:val="19"/>
        </w:rPr>
        <w:t xml:space="preserve">  </w:t>
      </w:r>
      <w:r>
        <w:rPr>
          <w:sz w:val="19"/>
        </w:rPr>
        <w:t>time</w:t>
      </w:r>
      <w:proofErr w:type="gramEnd"/>
      <w:r>
        <w:rPr>
          <w:spacing w:val="80"/>
          <w:sz w:val="19"/>
        </w:rPr>
        <w:t xml:space="preserve">  </w:t>
      </w:r>
      <w:r>
        <w:rPr>
          <w:sz w:val="19"/>
        </w:rPr>
        <w:t>curve;</w:t>
      </w:r>
      <w:r>
        <w:rPr>
          <w:spacing w:val="80"/>
          <w:sz w:val="19"/>
        </w:rPr>
        <w:t xml:space="preserve">  </w:t>
      </w:r>
      <w:proofErr w:type="spellStart"/>
      <w:r>
        <w:rPr>
          <w:sz w:val="19"/>
        </w:rPr>
        <w:t>Cma</w:t>
      </w:r>
      <w:proofErr w:type="spellEnd"/>
      <w:r>
        <w:rPr>
          <w:spacing w:val="-12"/>
          <w:sz w:val="19"/>
        </w:rPr>
        <w:t xml:space="preserve"> </w:t>
      </w:r>
      <w:r>
        <w:rPr>
          <w:sz w:val="19"/>
        </w:rPr>
        <w:t>x=</w:t>
      </w:r>
      <w:r>
        <w:rPr>
          <w:spacing w:val="80"/>
          <w:sz w:val="19"/>
        </w:rPr>
        <w:t xml:space="preserve">  </w:t>
      </w:r>
      <w:r>
        <w:rPr>
          <w:sz w:val="19"/>
        </w:rPr>
        <w:t>ma</w:t>
      </w:r>
      <w:r>
        <w:rPr>
          <w:spacing w:val="-12"/>
          <w:sz w:val="19"/>
        </w:rPr>
        <w:t xml:space="preserve"> </w:t>
      </w:r>
      <w:proofErr w:type="spellStart"/>
      <w:r>
        <w:rPr>
          <w:sz w:val="19"/>
        </w:rPr>
        <w:t>ximum</w:t>
      </w:r>
      <w:proofErr w:type="spellEnd"/>
      <w:r>
        <w:rPr>
          <w:spacing w:val="80"/>
          <w:sz w:val="19"/>
        </w:rPr>
        <w:t xml:space="preserve">  </w:t>
      </w:r>
      <w:proofErr w:type="spellStart"/>
      <w:r>
        <w:rPr>
          <w:sz w:val="19"/>
        </w:rPr>
        <w:t>pla</w:t>
      </w:r>
      <w:proofErr w:type="spellEnd"/>
      <w:r>
        <w:rPr>
          <w:spacing w:val="-12"/>
          <w:sz w:val="19"/>
        </w:rPr>
        <w:t xml:space="preserve"> </w:t>
      </w:r>
      <w:proofErr w:type="spellStart"/>
      <w:r>
        <w:rPr>
          <w:sz w:val="19"/>
        </w:rPr>
        <w:t>sma</w:t>
      </w:r>
      <w:proofErr w:type="spellEnd"/>
      <w:r>
        <w:rPr>
          <w:spacing w:val="80"/>
          <w:sz w:val="19"/>
        </w:rPr>
        <w:t xml:space="preserve">  </w:t>
      </w:r>
      <w:r>
        <w:rPr>
          <w:sz w:val="19"/>
        </w:rPr>
        <w:t>concentration;</w:t>
      </w:r>
      <w:r>
        <w:rPr>
          <w:spacing w:val="80"/>
          <w:sz w:val="19"/>
        </w:rPr>
        <w:t xml:space="preserve">  </w:t>
      </w:r>
      <w:r>
        <w:rPr>
          <w:sz w:val="19"/>
        </w:rPr>
        <w:t>CYP=cytochrome</w:t>
      </w:r>
      <w:r>
        <w:rPr>
          <w:spacing w:val="80"/>
          <w:sz w:val="19"/>
        </w:rPr>
        <w:t xml:space="preserve">  </w:t>
      </w:r>
      <w:r>
        <w:rPr>
          <w:sz w:val="19"/>
        </w:rPr>
        <w:t>P450; PK=</w:t>
      </w:r>
      <w:proofErr w:type="spellStart"/>
      <w:r>
        <w:rPr>
          <w:sz w:val="19"/>
        </w:rPr>
        <w:t>pha</w:t>
      </w:r>
      <w:proofErr w:type="spellEnd"/>
      <w:r>
        <w:rPr>
          <w:spacing w:val="-20"/>
          <w:sz w:val="19"/>
        </w:rPr>
        <w:t xml:space="preserve"> </w:t>
      </w:r>
      <w:proofErr w:type="spellStart"/>
      <w:r>
        <w:rPr>
          <w:sz w:val="19"/>
        </w:rPr>
        <w:t>rma</w:t>
      </w:r>
      <w:proofErr w:type="spellEnd"/>
      <w:r>
        <w:rPr>
          <w:spacing w:val="-20"/>
          <w:sz w:val="19"/>
        </w:rPr>
        <w:t xml:space="preserve"> </w:t>
      </w:r>
      <w:proofErr w:type="spellStart"/>
      <w:r>
        <w:rPr>
          <w:sz w:val="19"/>
        </w:rPr>
        <w:t>cokinetics</w:t>
      </w:r>
      <w:proofErr w:type="spellEnd"/>
      <w:r>
        <w:rPr>
          <w:sz w:val="19"/>
        </w:rPr>
        <w:t>; CI=confidence interval</w:t>
      </w:r>
    </w:p>
    <w:p w14:paraId="378082CB" w14:textId="77777777" w:rsidR="001825E2" w:rsidRDefault="001825E2" w:rsidP="00CB00A7">
      <w:pPr>
        <w:pStyle w:val="BodyText"/>
        <w:spacing w:before="32"/>
        <w:jc w:val="left"/>
        <w:rPr>
          <w:sz w:val="19"/>
        </w:rPr>
      </w:pPr>
    </w:p>
    <w:p w14:paraId="582689ED" w14:textId="77777777" w:rsidR="001825E2" w:rsidRDefault="000839A5" w:rsidP="00CB00A7">
      <w:pPr>
        <w:pStyle w:val="Heading4"/>
        <w:spacing w:before="0"/>
        <w:jc w:val="left"/>
      </w:pPr>
      <w:r>
        <w:t>Medicines</w:t>
      </w:r>
      <w:r>
        <w:rPr>
          <w:spacing w:val="11"/>
        </w:rPr>
        <w:t xml:space="preserve"> </w:t>
      </w:r>
      <w:r>
        <w:t>that</w:t>
      </w:r>
      <w:r>
        <w:rPr>
          <w:spacing w:val="-13"/>
        </w:rPr>
        <w:t xml:space="preserve"> </w:t>
      </w:r>
      <w:r>
        <w:t>Decrease</w:t>
      </w:r>
      <w:r>
        <w:rPr>
          <w:spacing w:val="4"/>
        </w:rPr>
        <w:t xml:space="preserve"> </w:t>
      </w:r>
      <w:r>
        <w:t>Heart Rate</w:t>
      </w:r>
      <w:r>
        <w:rPr>
          <w:spacing w:val="-9"/>
        </w:rPr>
        <w:t xml:space="preserve"> </w:t>
      </w:r>
      <w:r>
        <w:t>(HR)</w:t>
      </w:r>
      <w:r>
        <w:rPr>
          <w:spacing w:val="2"/>
        </w:rPr>
        <w:t xml:space="preserve"> </w:t>
      </w:r>
      <w:r>
        <w:t>and/or</w:t>
      </w:r>
      <w:r>
        <w:rPr>
          <w:spacing w:val="2"/>
        </w:rPr>
        <w:t xml:space="preserve"> </w:t>
      </w:r>
      <w:r>
        <w:t>Prolong</w:t>
      </w:r>
      <w:r>
        <w:rPr>
          <w:spacing w:val="-7"/>
        </w:rPr>
        <w:t xml:space="preserve"> </w:t>
      </w:r>
      <w:r>
        <w:t>the</w:t>
      </w:r>
      <w:r>
        <w:rPr>
          <w:spacing w:val="5"/>
        </w:rPr>
        <w:t xml:space="preserve"> </w:t>
      </w:r>
      <w:r>
        <w:t>PR</w:t>
      </w:r>
      <w:r>
        <w:rPr>
          <w:spacing w:val="-15"/>
        </w:rPr>
        <w:t xml:space="preserve"> </w:t>
      </w:r>
      <w:r>
        <w:rPr>
          <w:spacing w:val="-2"/>
        </w:rPr>
        <w:t>Interval</w:t>
      </w:r>
    </w:p>
    <w:p w14:paraId="59861D51" w14:textId="77777777" w:rsidR="001825E2" w:rsidRDefault="000839A5" w:rsidP="00CB00A7">
      <w:pPr>
        <w:pStyle w:val="BodyText"/>
        <w:spacing w:before="114" w:line="242" w:lineRule="auto"/>
        <w:ind w:left="218" w:right="219"/>
        <w:jc w:val="left"/>
      </w:pPr>
      <w:r>
        <w:t xml:space="preserve">Tofacitinib results in a decrease in heart rate and an increase in the PR interval (see Section 4.4 Special Warnings and Precautions </w:t>
      </w:r>
      <w:proofErr w:type="gramStart"/>
      <w:r>
        <w:t>For</w:t>
      </w:r>
      <w:proofErr w:type="gramEnd"/>
      <w:r>
        <w:t xml:space="preserve"> Use, Cardiovascular). Caution should be observed if</w:t>
      </w:r>
      <w:r>
        <w:rPr>
          <w:spacing w:val="20"/>
        </w:rPr>
        <w:t xml:space="preserve"> </w:t>
      </w:r>
      <w:r>
        <w:t>XELJANZ</w:t>
      </w:r>
      <w:r>
        <w:rPr>
          <w:spacing w:val="16"/>
        </w:rPr>
        <w:t xml:space="preserve"> </w:t>
      </w:r>
      <w:r>
        <w:t>or</w:t>
      </w:r>
      <w:r>
        <w:rPr>
          <w:spacing w:val="8"/>
        </w:rPr>
        <w:t xml:space="preserve"> </w:t>
      </w:r>
      <w:r>
        <w:t>XELJANZ</w:t>
      </w:r>
      <w:r>
        <w:rPr>
          <w:spacing w:val="2"/>
        </w:rPr>
        <w:t xml:space="preserve"> </w:t>
      </w:r>
      <w:r>
        <w:t>XR</w:t>
      </w:r>
      <w:r>
        <w:rPr>
          <w:spacing w:val="17"/>
        </w:rPr>
        <w:t xml:space="preserve"> </w:t>
      </w:r>
      <w:r>
        <w:t>are</w:t>
      </w:r>
      <w:r>
        <w:rPr>
          <w:spacing w:val="11"/>
        </w:rPr>
        <w:t xml:space="preserve"> </w:t>
      </w:r>
      <w:r>
        <w:t>used</w:t>
      </w:r>
      <w:r>
        <w:rPr>
          <w:spacing w:val="27"/>
        </w:rPr>
        <w:t xml:space="preserve"> </w:t>
      </w:r>
      <w:r>
        <w:t>concomitantly</w:t>
      </w:r>
      <w:r>
        <w:rPr>
          <w:spacing w:val="13"/>
        </w:rPr>
        <w:t xml:space="preserve"> </w:t>
      </w:r>
      <w:r>
        <w:t>with</w:t>
      </w:r>
      <w:r>
        <w:rPr>
          <w:spacing w:val="14"/>
        </w:rPr>
        <w:t xml:space="preserve"> </w:t>
      </w:r>
      <w:r>
        <w:t>medicines</w:t>
      </w:r>
      <w:r>
        <w:rPr>
          <w:spacing w:val="9"/>
        </w:rPr>
        <w:t xml:space="preserve"> </w:t>
      </w:r>
      <w:r>
        <w:t>that</w:t>
      </w:r>
      <w:r>
        <w:rPr>
          <w:spacing w:val="21"/>
        </w:rPr>
        <w:t xml:space="preserve"> </w:t>
      </w:r>
      <w:r>
        <w:t>lower</w:t>
      </w:r>
      <w:r>
        <w:rPr>
          <w:spacing w:val="8"/>
        </w:rPr>
        <w:t xml:space="preserve"> </w:t>
      </w:r>
      <w:r>
        <w:t>heart</w:t>
      </w:r>
      <w:r>
        <w:rPr>
          <w:spacing w:val="21"/>
        </w:rPr>
        <w:t xml:space="preserve"> </w:t>
      </w:r>
      <w:proofErr w:type="gramStart"/>
      <w:r>
        <w:rPr>
          <w:spacing w:val="-4"/>
        </w:rPr>
        <w:t>rate</w:t>
      </w:r>
      <w:proofErr w:type="gramEnd"/>
    </w:p>
    <w:p w14:paraId="091F8C90" w14:textId="77777777" w:rsidR="001825E2" w:rsidRDefault="001825E2" w:rsidP="00CB00A7">
      <w:pPr>
        <w:spacing w:line="242" w:lineRule="auto"/>
        <w:sectPr w:rsidR="001825E2">
          <w:pgSz w:w="11910" w:h="16850"/>
          <w:pgMar w:top="1360" w:right="1220" w:bottom="980" w:left="1220" w:header="0" w:footer="785" w:gutter="0"/>
          <w:cols w:space="720"/>
        </w:sectPr>
      </w:pPr>
    </w:p>
    <w:p w14:paraId="1A602584" w14:textId="77777777" w:rsidR="001825E2" w:rsidRDefault="000839A5" w:rsidP="00CB00A7">
      <w:pPr>
        <w:pStyle w:val="BodyText"/>
        <w:spacing w:before="76" w:line="242" w:lineRule="auto"/>
        <w:ind w:left="219" w:right="213"/>
        <w:jc w:val="left"/>
      </w:pPr>
      <w:bookmarkStart w:id="34" w:name="Combination_with_Other_Therapies"/>
      <w:bookmarkStart w:id="35" w:name="Paediatric_Population"/>
      <w:bookmarkStart w:id="36" w:name="4.6_Fertility,_Pregnancy_and_Lactation"/>
      <w:bookmarkStart w:id="37" w:name="Effects_on_fertility"/>
      <w:bookmarkStart w:id="38" w:name="Use_in_pregnancy_-_Category_D"/>
      <w:bookmarkEnd w:id="34"/>
      <w:bookmarkEnd w:id="35"/>
      <w:bookmarkEnd w:id="36"/>
      <w:bookmarkEnd w:id="37"/>
      <w:bookmarkEnd w:id="38"/>
      <w:r>
        <w:lastRenderedPageBreak/>
        <w:t>and/or prolong the PR interval, such as antiarrhythmics, beta blockers, alpha2 adrenoceptor agonists, non-dihydropyridine calcium channel blockers, digitalis glycosides, cholinesterase inhibitors, sphingosine-1</w:t>
      </w:r>
      <w:r>
        <w:rPr>
          <w:spacing w:val="40"/>
        </w:rPr>
        <w:t xml:space="preserve"> </w:t>
      </w:r>
      <w:r>
        <w:t>phosphate receptor modulators, and some HIV</w:t>
      </w:r>
      <w:r>
        <w:rPr>
          <w:spacing w:val="-2"/>
        </w:rPr>
        <w:t xml:space="preserve"> </w:t>
      </w:r>
      <w:r>
        <w:t>protease inhibitors.</w:t>
      </w:r>
    </w:p>
    <w:p w14:paraId="758BEB14" w14:textId="77777777" w:rsidR="001825E2" w:rsidRDefault="000839A5" w:rsidP="00CB00A7">
      <w:pPr>
        <w:pStyle w:val="Heading4"/>
        <w:spacing w:before="229"/>
        <w:ind w:left="219"/>
        <w:jc w:val="left"/>
      </w:pPr>
      <w:r>
        <w:t>Combination</w:t>
      </w:r>
      <w:r>
        <w:rPr>
          <w:spacing w:val="-6"/>
        </w:rPr>
        <w:t xml:space="preserve"> </w:t>
      </w:r>
      <w:r>
        <w:t>with</w:t>
      </w:r>
      <w:r>
        <w:rPr>
          <w:spacing w:val="8"/>
        </w:rPr>
        <w:t xml:space="preserve"> </w:t>
      </w:r>
      <w:r>
        <w:t>Other</w:t>
      </w:r>
      <w:r>
        <w:rPr>
          <w:spacing w:val="-9"/>
        </w:rPr>
        <w:t xml:space="preserve"> </w:t>
      </w:r>
      <w:r>
        <w:rPr>
          <w:spacing w:val="-2"/>
        </w:rPr>
        <w:t>Therapies</w:t>
      </w:r>
    </w:p>
    <w:p w14:paraId="13C64BF7" w14:textId="77777777" w:rsidR="001825E2" w:rsidRDefault="000839A5" w:rsidP="00CB00A7">
      <w:pPr>
        <w:pStyle w:val="BodyText"/>
        <w:spacing w:before="128"/>
        <w:ind w:left="215" w:right="206" w:firstLine="4"/>
        <w:jc w:val="left"/>
      </w:pPr>
      <w:r>
        <w:t>XELJANZ and XELJANZ</w:t>
      </w:r>
      <w:r>
        <w:rPr>
          <w:spacing w:val="-5"/>
        </w:rPr>
        <w:t xml:space="preserve"> </w:t>
      </w:r>
      <w:r>
        <w:t>XR have not been studied and should not be used in combination with biological agents such as TNF antagonists, interleukin (IL)-1R antagonists, IL-6R antagonists, anti-CD20 monoclonal antibodies, IL-17 antagonists, IL-12/IL-23 antagonists, anti-integrins, selective co-stimulation modulators, and/or potent immunosuppressants such</w:t>
      </w:r>
      <w:r>
        <w:rPr>
          <w:spacing w:val="40"/>
        </w:rPr>
        <w:t xml:space="preserve"> </w:t>
      </w:r>
      <w:r>
        <w:t xml:space="preserve">as azathioprine, 6-mercaptopurine, tacrolimus and ciclosporin because of the possibility of increased immunosuppression and increased risk of infection (see Section 4.3 </w:t>
      </w:r>
      <w:r>
        <w:rPr>
          <w:spacing w:val="-2"/>
        </w:rPr>
        <w:t>Contraindica</w:t>
      </w:r>
      <w:r>
        <w:rPr>
          <w:spacing w:val="-2"/>
        </w:rPr>
        <w:t>tions).</w:t>
      </w:r>
    </w:p>
    <w:p w14:paraId="395CF336" w14:textId="77777777" w:rsidR="001825E2" w:rsidRDefault="000839A5" w:rsidP="00CB00A7">
      <w:pPr>
        <w:pStyle w:val="BodyText"/>
        <w:spacing w:before="229" w:line="247" w:lineRule="auto"/>
        <w:ind w:left="215" w:right="228"/>
        <w:jc w:val="left"/>
      </w:pPr>
      <w:r>
        <w:t>There was</w:t>
      </w:r>
      <w:r>
        <w:rPr>
          <w:spacing w:val="-4"/>
        </w:rPr>
        <w:t xml:space="preserve"> </w:t>
      </w:r>
      <w:r>
        <w:t>a higher incidence</w:t>
      </w:r>
      <w:r>
        <w:rPr>
          <w:spacing w:val="-2"/>
        </w:rPr>
        <w:t xml:space="preserve"> </w:t>
      </w:r>
      <w:r>
        <w:t>of adverse</w:t>
      </w:r>
      <w:r>
        <w:rPr>
          <w:spacing w:val="-2"/>
        </w:rPr>
        <w:t xml:space="preserve"> </w:t>
      </w:r>
      <w:r>
        <w:t>events</w:t>
      </w:r>
      <w:r>
        <w:rPr>
          <w:spacing w:val="-4"/>
        </w:rPr>
        <w:t xml:space="preserve"> </w:t>
      </w:r>
      <w:r>
        <w:t>for</w:t>
      </w:r>
      <w:r>
        <w:rPr>
          <w:spacing w:val="-5"/>
        </w:rPr>
        <w:t xml:space="preserve"> </w:t>
      </w:r>
      <w:r>
        <w:t>the</w:t>
      </w:r>
      <w:r>
        <w:rPr>
          <w:spacing w:val="-2"/>
        </w:rPr>
        <w:t xml:space="preserve"> </w:t>
      </w:r>
      <w:r>
        <w:t>combination of XELJANZ with MTX versus XELJANZ as</w:t>
      </w:r>
      <w:r>
        <w:rPr>
          <w:spacing w:val="-7"/>
        </w:rPr>
        <w:t xml:space="preserve"> </w:t>
      </w:r>
      <w:r>
        <w:t>monotherapy in RA clinical</w:t>
      </w:r>
      <w:r>
        <w:rPr>
          <w:spacing w:val="40"/>
        </w:rPr>
        <w:t xml:space="preserve"> </w:t>
      </w:r>
      <w:r>
        <w:t>studies.</w:t>
      </w:r>
    </w:p>
    <w:p w14:paraId="3DEB2619" w14:textId="77777777" w:rsidR="001825E2" w:rsidRDefault="000839A5" w:rsidP="00CB00A7">
      <w:pPr>
        <w:pStyle w:val="BodyText"/>
        <w:spacing w:before="226" w:line="247" w:lineRule="auto"/>
        <w:ind w:left="213" w:right="236"/>
        <w:jc w:val="left"/>
      </w:pPr>
      <w:r>
        <w:t>The use of XELJANZ or XELJANZ</w:t>
      </w:r>
      <w:r>
        <w:rPr>
          <w:spacing w:val="-1"/>
        </w:rPr>
        <w:t xml:space="preserve"> </w:t>
      </w:r>
      <w:r>
        <w:t>XR in combination with phosphodiesterase 4 inhibitors has not been studied in XELJANZ clinical trials.</w:t>
      </w:r>
    </w:p>
    <w:p w14:paraId="012171DD" w14:textId="77777777" w:rsidR="001825E2" w:rsidRDefault="000839A5" w:rsidP="00CB00A7">
      <w:pPr>
        <w:pStyle w:val="Heading4"/>
        <w:spacing w:before="227"/>
        <w:ind w:left="213"/>
        <w:jc w:val="left"/>
      </w:pPr>
      <w:proofErr w:type="spellStart"/>
      <w:r>
        <w:t>Paediatric</w:t>
      </w:r>
      <w:proofErr w:type="spellEnd"/>
      <w:r>
        <w:rPr>
          <w:spacing w:val="4"/>
        </w:rPr>
        <w:t xml:space="preserve"> </w:t>
      </w:r>
      <w:r>
        <w:rPr>
          <w:spacing w:val="-2"/>
        </w:rPr>
        <w:t>Population</w:t>
      </w:r>
    </w:p>
    <w:p w14:paraId="7B19EA85" w14:textId="77777777" w:rsidR="001825E2" w:rsidRDefault="000839A5" w:rsidP="00CB00A7">
      <w:pPr>
        <w:pStyle w:val="BodyText"/>
        <w:spacing w:before="114"/>
        <w:ind w:left="213"/>
        <w:jc w:val="left"/>
      </w:pPr>
      <w:r>
        <w:t>Drug-drug</w:t>
      </w:r>
      <w:r>
        <w:rPr>
          <w:spacing w:val="-7"/>
        </w:rPr>
        <w:t xml:space="preserve"> </w:t>
      </w:r>
      <w:r>
        <w:t>interaction</w:t>
      </w:r>
      <w:r>
        <w:rPr>
          <w:spacing w:val="-3"/>
        </w:rPr>
        <w:t xml:space="preserve"> </w:t>
      </w:r>
      <w:r>
        <w:t>studies</w:t>
      </w:r>
      <w:r>
        <w:rPr>
          <w:spacing w:val="-19"/>
        </w:rPr>
        <w:t xml:space="preserve"> </w:t>
      </w:r>
      <w:r>
        <w:t>have</w:t>
      </w:r>
      <w:r>
        <w:rPr>
          <w:spacing w:val="9"/>
        </w:rPr>
        <w:t xml:space="preserve"> </w:t>
      </w:r>
      <w:r>
        <w:t>only</w:t>
      </w:r>
      <w:r>
        <w:rPr>
          <w:spacing w:val="-3"/>
        </w:rPr>
        <w:t xml:space="preserve"> </w:t>
      </w:r>
      <w:r>
        <w:t>been</w:t>
      </w:r>
      <w:r>
        <w:rPr>
          <w:spacing w:val="-3"/>
        </w:rPr>
        <w:t xml:space="preserve"> </w:t>
      </w:r>
      <w:r>
        <w:t>performed</w:t>
      </w:r>
      <w:r>
        <w:rPr>
          <w:spacing w:val="11"/>
        </w:rPr>
        <w:t xml:space="preserve"> </w:t>
      </w:r>
      <w:r>
        <w:t>in</w:t>
      </w:r>
      <w:r>
        <w:rPr>
          <w:spacing w:val="12"/>
        </w:rPr>
        <w:t xml:space="preserve"> </w:t>
      </w:r>
      <w:r>
        <w:rPr>
          <w:spacing w:val="-2"/>
        </w:rPr>
        <w:t>adults.</w:t>
      </w:r>
    </w:p>
    <w:p w14:paraId="2C46FC36" w14:textId="77777777" w:rsidR="001825E2" w:rsidRDefault="000839A5" w:rsidP="00CB00A7">
      <w:pPr>
        <w:pStyle w:val="Heading2"/>
        <w:numPr>
          <w:ilvl w:val="1"/>
          <w:numId w:val="11"/>
        </w:numPr>
        <w:tabs>
          <w:tab w:val="left" w:pos="638"/>
        </w:tabs>
        <w:spacing w:before="241"/>
        <w:ind w:left="638" w:hanging="418"/>
      </w:pPr>
      <w:r>
        <w:t>Fertility,</w:t>
      </w:r>
      <w:r>
        <w:rPr>
          <w:spacing w:val="16"/>
        </w:rPr>
        <w:t xml:space="preserve"> </w:t>
      </w:r>
      <w:r>
        <w:t>Pregnancy</w:t>
      </w:r>
      <w:r>
        <w:rPr>
          <w:spacing w:val="-18"/>
        </w:rPr>
        <w:t xml:space="preserve"> </w:t>
      </w:r>
      <w:r>
        <w:t>and</w:t>
      </w:r>
      <w:r>
        <w:rPr>
          <w:spacing w:val="-19"/>
        </w:rPr>
        <w:t xml:space="preserve"> </w:t>
      </w:r>
      <w:r>
        <w:rPr>
          <w:spacing w:val="-2"/>
        </w:rPr>
        <w:t>Lactation</w:t>
      </w:r>
    </w:p>
    <w:p w14:paraId="3A46676E" w14:textId="77777777" w:rsidR="001825E2" w:rsidRDefault="000839A5" w:rsidP="00CB00A7">
      <w:pPr>
        <w:pStyle w:val="Heading4"/>
        <w:spacing w:before="241"/>
        <w:jc w:val="left"/>
      </w:pPr>
      <w:r>
        <w:t>Effects</w:t>
      </w:r>
      <w:r>
        <w:rPr>
          <w:spacing w:val="1"/>
        </w:rPr>
        <w:t xml:space="preserve"> </w:t>
      </w:r>
      <w:r>
        <w:t>on</w:t>
      </w:r>
      <w:r>
        <w:rPr>
          <w:spacing w:val="-6"/>
        </w:rPr>
        <w:t xml:space="preserve"> </w:t>
      </w:r>
      <w:r>
        <w:rPr>
          <w:spacing w:val="-2"/>
        </w:rPr>
        <w:t>fertility</w:t>
      </w:r>
    </w:p>
    <w:p w14:paraId="39FAA933" w14:textId="77777777" w:rsidR="001825E2" w:rsidRDefault="000839A5" w:rsidP="00CB00A7">
      <w:pPr>
        <w:pStyle w:val="BodyText"/>
        <w:spacing w:before="131" w:line="237" w:lineRule="auto"/>
        <w:ind w:left="217" w:right="212" w:firstLine="2"/>
        <w:jc w:val="left"/>
      </w:pPr>
      <w:r>
        <w:t>In rats, tofacitinib had no effects on male fertility, sperm motility, or sperm concentration at doses up to 100</w:t>
      </w:r>
      <w:r>
        <w:rPr>
          <w:spacing w:val="-2"/>
        </w:rPr>
        <w:t xml:space="preserve"> </w:t>
      </w:r>
      <w:r>
        <w:t>mg/kg/day (55</w:t>
      </w:r>
      <w:r>
        <w:rPr>
          <w:spacing w:val="-2"/>
        </w:rPr>
        <w:t xml:space="preserve"> </w:t>
      </w:r>
      <w:r>
        <w:t>times the human unbound drug AUC at 10</w:t>
      </w:r>
      <w:r>
        <w:rPr>
          <w:spacing w:val="-2"/>
        </w:rPr>
        <w:t xml:space="preserve"> </w:t>
      </w:r>
      <w:r>
        <w:t>mg twice daily; extrapolated from values from other rat studies). Treatment-related effects on</w:t>
      </w:r>
      <w:r>
        <w:rPr>
          <w:spacing w:val="-5"/>
        </w:rPr>
        <w:t xml:space="preserve"> </w:t>
      </w:r>
      <w:r>
        <w:t>female fertility were</w:t>
      </w:r>
      <w:r>
        <w:rPr>
          <w:spacing w:val="-3"/>
        </w:rPr>
        <w:t xml:space="preserve"> </w:t>
      </w:r>
      <w:r>
        <w:t xml:space="preserve">noted at </w:t>
      </w:r>
      <w:r>
        <w:rPr>
          <w:rFonts w:ascii="Symbol" w:hAnsi="Symbol"/>
        </w:rPr>
        <w:t></w:t>
      </w:r>
      <w:r>
        <w:t>10</w:t>
      </w:r>
      <w:r>
        <w:rPr>
          <w:spacing w:val="-1"/>
        </w:rPr>
        <w:t xml:space="preserve"> </w:t>
      </w:r>
      <w:r>
        <w:t>mg/kg/day</w:t>
      </w:r>
      <w:r>
        <w:rPr>
          <w:spacing w:val="-1"/>
        </w:rPr>
        <w:t xml:space="preserve"> </w:t>
      </w:r>
      <w:r>
        <w:t>in rats</w:t>
      </w:r>
      <w:r>
        <w:rPr>
          <w:spacing w:val="-5"/>
        </w:rPr>
        <w:t xml:space="preserve"> </w:t>
      </w:r>
      <w:r>
        <w:t>(9</w:t>
      </w:r>
      <w:r>
        <w:rPr>
          <w:spacing w:val="-1"/>
        </w:rPr>
        <w:t xml:space="preserve"> </w:t>
      </w:r>
      <w:r>
        <w:t>times the</w:t>
      </w:r>
      <w:r>
        <w:rPr>
          <w:spacing w:val="-3"/>
        </w:rPr>
        <w:t xml:space="preserve"> </w:t>
      </w:r>
      <w:r>
        <w:t>human unbound AUC at 10</w:t>
      </w:r>
      <w:r>
        <w:rPr>
          <w:spacing w:val="-1"/>
        </w:rPr>
        <w:t xml:space="preserve"> </w:t>
      </w:r>
      <w:r>
        <w:t>mg</w:t>
      </w:r>
      <w:r>
        <w:rPr>
          <w:spacing w:val="-1"/>
        </w:rPr>
        <w:t xml:space="preserve"> </w:t>
      </w:r>
      <w:r>
        <w:t>twice</w:t>
      </w:r>
      <w:r>
        <w:rPr>
          <w:spacing w:val="-3"/>
        </w:rPr>
        <w:t xml:space="preserve"> </w:t>
      </w:r>
      <w:r>
        <w:t>daily; based on extrapolation from values from other rat studies).</w:t>
      </w:r>
    </w:p>
    <w:p w14:paraId="6039D2E1" w14:textId="77777777" w:rsidR="001825E2" w:rsidRDefault="000839A5" w:rsidP="00CB00A7">
      <w:pPr>
        <w:pStyle w:val="Heading4"/>
        <w:ind w:left="217"/>
        <w:jc w:val="left"/>
      </w:pPr>
      <w:r>
        <w:t>Use</w:t>
      </w:r>
      <w:r>
        <w:rPr>
          <w:spacing w:val="-6"/>
        </w:rPr>
        <w:t xml:space="preserve"> </w:t>
      </w:r>
      <w:r>
        <w:t>in</w:t>
      </w:r>
      <w:r>
        <w:rPr>
          <w:spacing w:val="-3"/>
        </w:rPr>
        <w:t xml:space="preserve"> </w:t>
      </w:r>
      <w:r>
        <w:t>pregnancy</w:t>
      </w:r>
      <w:r>
        <w:rPr>
          <w:spacing w:val="8"/>
        </w:rPr>
        <w:t xml:space="preserve"> </w:t>
      </w:r>
      <w:r>
        <w:t>-</w:t>
      </w:r>
      <w:r>
        <w:rPr>
          <w:spacing w:val="-9"/>
        </w:rPr>
        <w:t xml:space="preserve"> </w:t>
      </w:r>
      <w:r>
        <w:t>Category</w:t>
      </w:r>
      <w:r>
        <w:rPr>
          <w:spacing w:val="9"/>
        </w:rPr>
        <w:t xml:space="preserve"> </w:t>
      </w:r>
      <w:r>
        <w:rPr>
          <w:spacing w:val="-10"/>
        </w:rPr>
        <w:t>D</w:t>
      </w:r>
    </w:p>
    <w:p w14:paraId="255BFB46" w14:textId="77777777" w:rsidR="001825E2" w:rsidRDefault="000839A5" w:rsidP="00CB00A7">
      <w:pPr>
        <w:pStyle w:val="BodyText"/>
        <w:spacing w:before="114" w:line="242" w:lineRule="auto"/>
        <w:ind w:left="218" w:right="207" w:firstLine="1"/>
        <w:jc w:val="left"/>
      </w:pPr>
      <w:r>
        <w:t>There are no</w:t>
      </w:r>
      <w:r>
        <w:rPr>
          <w:spacing w:val="-1"/>
        </w:rPr>
        <w:t xml:space="preserve"> </w:t>
      </w:r>
      <w:r>
        <w:t>adequate</w:t>
      </w:r>
      <w:r>
        <w:rPr>
          <w:spacing w:val="-3"/>
        </w:rPr>
        <w:t xml:space="preserve"> </w:t>
      </w:r>
      <w:r>
        <w:t>and well-controlled studies</w:t>
      </w:r>
      <w:r>
        <w:rPr>
          <w:spacing w:val="-5"/>
        </w:rPr>
        <w:t xml:space="preserve"> </w:t>
      </w:r>
      <w:r>
        <w:t>on</w:t>
      </w:r>
      <w:r>
        <w:rPr>
          <w:spacing w:val="-1"/>
        </w:rPr>
        <w:t xml:space="preserve"> </w:t>
      </w:r>
      <w:r>
        <w:t>the</w:t>
      </w:r>
      <w:r>
        <w:rPr>
          <w:spacing w:val="-3"/>
        </w:rPr>
        <w:t xml:space="preserve"> </w:t>
      </w:r>
      <w:r>
        <w:t>use</w:t>
      </w:r>
      <w:r>
        <w:rPr>
          <w:spacing w:val="-3"/>
        </w:rPr>
        <w:t xml:space="preserve"> </w:t>
      </w:r>
      <w:r>
        <w:t>of XELJANZ or</w:t>
      </w:r>
      <w:r>
        <w:rPr>
          <w:spacing w:val="-6"/>
        </w:rPr>
        <w:t xml:space="preserve"> </w:t>
      </w:r>
      <w:r>
        <w:t>XELJANZ XR in pregnant women. Tofacitinib has been shown to be teratogenic in rats and rabbits, and to have effects</w:t>
      </w:r>
      <w:r>
        <w:rPr>
          <w:spacing w:val="-6"/>
        </w:rPr>
        <w:t xml:space="preserve"> </w:t>
      </w:r>
      <w:r>
        <w:t>in rats on parturition, and peri/postnatal development.</w:t>
      </w:r>
    </w:p>
    <w:p w14:paraId="54C377BB" w14:textId="77777777" w:rsidR="001825E2" w:rsidRDefault="000839A5" w:rsidP="00CB00A7">
      <w:pPr>
        <w:pStyle w:val="BodyText"/>
        <w:spacing w:before="229"/>
        <w:ind w:left="215" w:right="207" w:firstLine="3"/>
        <w:jc w:val="left"/>
      </w:pPr>
      <w:r>
        <w:t>In an embryo-fetal development</w:t>
      </w:r>
      <w:r>
        <w:rPr>
          <w:spacing w:val="40"/>
        </w:rPr>
        <w:t xml:space="preserve"> </w:t>
      </w:r>
      <w:r>
        <w:t>(EFD) study in rats given 30,</w:t>
      </w:r>
      <w:r>
        <w:rPr>
          <w:spacing w:val="-2"/>
        </w:rPr>
        <w:t xml:space="preserve"> </w:t>
      </w:r>
      <w:r>
        <w:t>100,</w:t>
      </w:r>
      <w:r>
        <w:rPr>
          <w:spacing w:val="-2"/>
        </w:rPr>
        <w:t xml:space="preserve"> </w:t>
      </w:r>
      <w:r>
        <w:t>or</w:t>
      </w:r>
      <w:r>
        <w:rPr>
          <w:spacing w:val="-7"/>
        </w:rPr>
        <w:t xml:space="preserve"> </w:t>
      </w:r>
      <w:r>
        <w:t>300</w:t>
      </w:r>
      <w:r>
        <w:rPr>
          <w:spacing w:val="-2"/>
        </w:rPr>
        <w:t xml:space="preserve"> </w:t>
      </w:r>
      <w:r>
        <w:t xml:space="preserve">mg/kg/day, maternal toxicity was observed at doses </w:t>
      </w:r>
      <w:r>
        <w:rPr>
          <w:rFonts w:ascii="Symbol" w:hAnsi="Symbol"/>
        </w:rPr>
        <w:t></w:t>
      </w:r>
      <w:r>
        <w:t>100</w:t>
      </w:r>
      <w:r>
        <w:rPr>
          <w:spacing w:val="-1"/>
        </w:rPr>
        <w:t xml:space="preserve"> </w:t>
      </w:r>
      <w:r>
        <w:t xml:space="preserve">mg/kg/day. Observations included </w:t>
      </w:r>
      <w:proofErr w:type="spellStart"/>
      <w:r>
        <w:t>postimplantation</w:t>
      </w:r>
      <w:proofErr w:type="spellEnd"/>
      <w:r>
        <w:t xml:space="preserve"> loss, consisting of early and late resorptions and consequently a reduced number of viable fetuses, and decreased uterine weight. Fetal developmental effects were observed at 100</w:t>
      </w:r>
      <w:r>
        <w:rPr>
          <w:spacing w:val="-3"/>
        </w:rPr>
        <w:t xml:space="preserve"> </w:t>
      </w:r>
      <w:r>
        <w:t>mg/kg/day</w:t>
      </w:r>
      <w:r>
        <w:rPr>
          <w:spacing w:val="-3"/>
        </w:rPr>
        <w:t xml:space="preserve"> </w:t>
      </w:r>
      <w:r>
        <w:t>(</w:t>
      </w:r>
      <w:r>
        <w:rPr>
          <w:rFonts w:ascii="Symbol" w:hAnsi="Symbol"/>
        </w:rPr>
        <w:t></w:t>
      </w:r>
      <w:r>
        <w:t>101</w:t>
      </w:r>
      <w:r>
        <w:rPr>
          <w:spacing w:val="-3"/>
        </w:rPr>
        <w:t xml:space="preserve"> </w:t>
      </w:r>
      <w:r>
        <w:t>times</w:t>
      </w:r>
      <w:r>
        <w:rPr>
          <w:spacing w:val="-7"/>
        </w:rPr>
        <w:t xml:space="preserve"> </w:t>
      </w:r>
      <w:r>
        <w:t>the</w:t>
      </w:r>
      <w:r>
        <w:rPr>
          <w:spacing w:val="-5"/>
        </w:rPr>
        <w:t xml:space="preserve"> </w:t>
      </w:r>
      <w:r>
        <w:t>unbound drug</w:t>
      </w:r>
      <w:r>
        <w:rPr>
          <w:spacing w:val="-3"/>
        </w:rPr>
        <w:t xml:space="preserve"> </w:t>
      </w:r>
      <w:r>
        <w:t>human</w:t>
      </w:r>
      <w:r>
        <w:rPr>
          <w:spacing w:val="-3"/>
        </w:rPr>
        <w:t xml:space="preserve"> </w:t>
      </w:r>
      <w:r>
        <w:t>AUC at 10</w:t>
      </w:r>
      <w:r>
        <w:rPr>
          <w:spacing w:val="-3"/>
        </w:rPr>
        <w:t xml:space="preserve"> </w:t>
      </w:r>
      <w:r>
        <w:t>mg</w:t>
      </w:r>
      <w:r>
        <w:rPr>
          <w:spacing w:val="-3"/>
        </w:rPr>
        <w:t xml:space="preserve"> </w:t>
      </w:r>
      <w:r>
        <w:t>twice</w:t>
      </w:r>
      <w:r>
        <w:rPr>
          <w:spacing w:val="-5"/>
        </w:rPr>
        <w:t xml:space="preserve"> </w:t>
      </w:r>
      <w:r>
        <w:t>daily). Teratogenic effects consisted of external and soft tissue malformations of anasarca and membranous</w:t>
      </w:r>
      <w:r>
        <w:rPr>
          <w:spacing w:val="-4"/>
        </w:rPr>
        <w:t xml:space="preserve"> </w:t>
      </w:r>
      <w:r>
        <w:t>ventricular septal defects, respectively, and skeletal malformations</w:t>
      </w:r>
      <w:r>
        <w:rPr>
          <w:spacing w:val="-4"/>
        </w:rPr>
        <w:t xml:space="preserve"> </w:t>
      </w:r>
      <w:r>
        <w:t xml:space="preserve">or variations (absent cervical arch; bent femur, fibula, humerus, radius, scapula, tibia, and ulna; </w:t>
      </w:r>
      <w:proofErr w:type="spellStart"/>
      <w:r>
        <w:t>sternoschisis</w:t>
      </w:r>
      <w:proofErr w:type="spellEnd"/>
      <w:r>
        <w:t xml:space="preserve">; absent rib; misshapen femur; branched rib; fused rib; fused </w:t>
      </w:r>
      <w:proofErr w:type="spellStart"/>
      <w:r>
        <w:t>sternebra</w:t>
      </w:r>
      <w:proofErr w:type="spellEnd"/>
      <w:r>
        <w:t xml:space="preserve">; and </w:t>
      </w:r>
      <w:proofErr w:type="spellStart"/>
      <w:r>
        <w:t>hemicentric</w:t>
      </w:r>
      <w:proofErr w:type="spellEnd"/>
      <w:r>
        <w:t xml:space="preserve"> thoracic centrum). The no observed adverse effect level (NOAEL) for maternal and</w:t>
      </w:r>
      <w:r>
        <w:rPr>
          <w:spacing w:val="-1"/>
        </w:rPr>
        <w:t xml:space="preserve"> </w:t>
      </w:r>
      <w:r>
        <w:t>development</w:t>
      </w:r>
      <w:r>
        <w:t>al</w:t>
      </w:r>
      <w:r>
        <w:rPr>
          <w:spacing w:val="-8"/>
        </w:rPr>
        <w:t xml:space="preserve"> </w:t>
      </w:r>
      <w:r>
        <w:t>toxicity</w:t>
      </w:r>
      <w:r>
        <w:rPr>
          <w:spacing w:val="-1"/>
        </w:rPr>
        <w:t xml:space="preserve"> </w:t>
      </w:r>
      <w:r>
        <w:t>in</w:t>
      </w:r>
      <w:r>
        <w:rPr>
          <w:spacing w:val="-1"/>
        </w:rPr>
        <w:t xml:space="preserve"> </w:t>
      </w:r>
      <w:r>
        <w:t>this</w:t>
      </w:r>
      <w:r>
        <w:rPr>
          <w:spacing w:val="-5"/>
        </w:rPr>
        <w:t xml:space="preserve"> </w:t>
      </w:r>
      <w:r>
        <w:t>study</w:t>
      </w:r>
      <w:r>
        <w:rPr>
          <w:spacing w:val="-1"/>
        </w:rPr>
        <w:t xml:space="preserve"> </w:t>
      </w:r>
      <w:r>
        <w:t>was</w:t>
      </w:r>
      <w:r>
        <w:rPr>
          <w:spacing w:val="-5"/>
        </w:rPr>
        <w:t xml:space="preserve"> </w:t>
      </w:r>
      <w:r>
        <w:t>30</w:t>
      </w:r>
      <w:r>
        <w:rPr>
          <w:spacing w:val="-1"/>
        </w:rPr>
        <w:t xml:space="preserve"> </w:t>
      </w:r>
      <w:r>
        <w:t>mg/kg/day,</w:t>
      </w:r>
      <w:r>
        <w:rPr>
          <w:spacing w:val="-1"/>
        </w:rPr>
        <w:t xml:space="preserve"> </w:t>
      </w:r>
      <w:r>
        <w:t>a</w:t>
      </w:r>
      <w:r>
        <w:rPr>
          <w:spacing w:val="-3"/>
        </w:rPr>
        <w:t xml:space="preserve"> </w:t>
      </w:r>
      <w:r>
        <w:t>dose</w:t>
      </w:r>
      <w:r>
        <w:rPr>
          <w:spacing w:val="-3"/>
        </w:rPr>
        <w:t xml:space="preserve"> </w:t>
      </w:r>
      <w:r>
        <w:t>at which</w:t>
      </w:r>
      <w:r>
        <w:rPr>
          <w:spacing w:val="-1"/>
        </w:rPr>
        <w:t xml:space="preserve"> </w:t>
      </w:r>
      <w:r>
        <w:t>the</w:t>
      </w:r>
      <w:r>
        <w:rPr>
          <w:spacing w:val="-3"/>
        </w:rPr>
        <w:t xml:space="preserve"> </w:t>
      </w:r>
      <w:r>
        <w:t>unbound</w:t>
      </w:r>
      <w:r>
        <w:rPr>
          <w:spacing w:val="-1"/>
        </w:rPr>
        <w:t xml:space="preserve"> </w:t>
      </w:r>
      <w:r>
        <w:t>drug AUC was ~40</w:t>
      </w:r>
      <w:r>
        <w:rPr>
          <w:spacing w:val="-4"/>
        </w:rPr>
        <w:t xml:space="preserve"> </w:t>
      </w:r>
      <w:r>
        <w:t>times the human AUC at 10 mg twice daily.</w:t>
      </w:r>
    </w:p>
    <w:p w14:paraId="69D52FD3" w14:textId="77777777" w:rsidR="001825E2" w:rsidRDefault="001825E2" w:rsidP="00CB00A7">
      <w:pPr>
        <w:sectPr w:rsidR="001825E2">
          <w:pgSz w:w="11910" w:h="16850"/>
          <w:pgMar w:top="1360" w:right="1220" w:bottom="980" w:left="1220" w:header="0" w:footer="785" w:gutter="0"/>
          <w:cols w:space="720"/>
        </w:sectPr>
      </w:pPr>
    </w:p>
    <w:p w14:paraId="3298AB43" w14:textId="77777777" w:rsidR="001825E2" w:rsidRDefault="000839A5" w:rsidP="00CB00A7">
      <w:pPr>
        <w:pStyle w:val="BodyText"/>
        <w:spacing w:before="76"/>
        <w:ind w:left="218" w:right="200" w:firstLine="1"/>
        <w:jc w:val="left"/>
      </w:pPr>
      <w:bookmarkStart w:id="39" w:name="Use_in_lactation"/>
      <w:bookmarkStart w:id="40" w:name="4.7_Effects_on_Ability_to_Drive_and_Use_"/>
      <w:bookmarkStart w:id="41" w:name="4.8_Adverse_Effects_(Undesirable_Effects"/>
      <w:bookmarkEnd w:id="39"/>
      <w:bookmarkEnd w:id="40"/>
      <w:bookmarkEnd w:id="41"/>
      <w:r>
        <w:lastRenderedPageBreak/>
        <w:t>In an EFD</w:t>
      </w:r>
      <w:r>
        <w:rPr>
          <w:spacing w:val="40"/>
        </w:rPr>
        <w:t xml:space="preserve"> </w:t>
      </w:r>
      <w:r>
        <w:t>study in rabbits given 10, 30, or</w:t>
      </w:r>
      <w:r>
        <w:rPr>
          <w:spacing w:val="-5"/>
        </w:rPr>
        <w:t xml:space="preserve"> </w:t>
      </w:r>
      <w:r>
        <w:t>100 mg/kg/day, maternal toxicity was not observed. Fetal developmental effects were observed at ≥30</w:t>
      </w:r>
      <w:r>
        <w:rPr>
          <w:spacing w:val="-2"/>
        </w:rPr>
        <w:t xml:space="preserve"> </w:t>
      </w:r>
      <w:r>
        <w:t xml:space="preserve">mg/kg/day. Teratogenic effects included </w:t>
      </w:r>
      <w:proofErr w:type="spellStart"/>
      <w:r>
        <w:t>thoracogastroschisis</w:t>
      </w:r>
      <w:proofErr w:type="spellEnd"/>
      <w:r>
        <w:t>, omphalocele, membranous ventricular septal defects, and cranial/skeletal malformations (microstomia, microphthalmia), mid-line and tail defects. The NOAELs for maternal and developmental toxicity in this study were 100</w:t>
      </w:r>
      <w:r>
        <w:rPr>
          <w:spacing w:val="-1"/>
        </w:rPr>
        <w:t xml:space="preserve"> </w:t>
      </w:r>
      <w:r>
        <w:t>and 10</w:t>
      </w:r>
      <w:r>
        <w:rPr>
          <w:spacing w:val="-1"/>
        </w:rPr>
        <w:t xml:space="preserve"> </w:t>
      </w:r>
      <w:r>
        <w:t>mg/kg/day, doses</w:t>
      </w:r>
      <w:r>
        <w:rPr>
          <w:spacing w:val="-4"/>
        </w:rPr>
        <w:t xml:space="preserve"> </w:t>
      </w:r>
      <w:r>
        <w:t>at which the</w:t>
      </w:r>
      <w:r>
        <w:rPr>
          <w:spacing w:val="-2"/>
        </w:rPr>
        <w:t xml:space="preserve"> </w:t>
      </w:r>
      <w:r>
        <w:t>total</w:t>
      </w:r>
      <w:r>
        <w:rPr>
          <w:spacing w:val="-7"/>
        </w:rPr>
        <w:t xml:space="preserve"> </w:t>
      </w:r>
      <w:r>
        <w:t>drug AUCs</w:t>
      </w:r>
      <w:r>
        <w:rPr>
          <w:spacing w:val="-4"/>
        </w:rPr>
        <w:t xml:space="preserve"> </w:t>
      </w:r>
      <w:r>
        <w:t>were</w:t>
      </w:r>
      <w:r>
        <w:rPr>
          <w:spacing w:val="-2"/>
        </w:rPr>
        <w:t xml:space="preserve"> </w:t>
      </w:r>
      <w:r>
        <w:t>~32-</w:t>
      </w:r>
      <w:r>
        <w:rPr>
          <w:spacing w:val="-6"/>
        </w:rPr>
        <w:t xml:space="preserve"> </w:t>
      </w:r>
      <w:r>
        <w:t>and 1.5</w:t>
      </w:r>
      <w:r>
        <w:rPr>
          <w:spacing w:val="-15"/>
        </w:rPr>
        <w:t xml:space="preserve"> </w:t>
      </w:r>
      <w:r>
        <w:t>times, respectively, the</w:t>
      </w:r>
      <w:r>
        <w:rPr>
          <w:spacing w:val="-2"/>
        </w:rPr>
        <w:t xml:space="preserve"> </w:t>
      </w:r>
      <w:r>
        <w:t>human AUC at 10 mg twice daily.</w:t>
      </w:r>
    </w:p>
    <w:p w14:paraId="25EEFB9D" w14:textId="77777777" w:rsidR="001825E2" w:rsidRDefault="000839A5" w:rsidP="00CB00A7">
      <w:pPr>
        <w:pStyle w:val="BodyText"/>
        <w:spacing w:before="243"/>
        <w:ind w:left="216" w:right="220" w:firstLine="1"/>
        <w:jc w:val="left"/>
      </w:pPr>
      <w:r>
        <w:t>In a perinatal/postnatal rat study, there were reductions in live litter size, postnatal survival, and pup body weights at 50</w:t>
      </w:r>
      <w:r>
        <w:rPr>
          <w:spacing w:val="-4"/>
        </w:rPr>
        <w:t xml:space="preserve"> </w:t>
      </w:r>
      <w:r>
        <w:t>mg/kg/day (~51</w:t>
      </w:r>
      <w:r>
        <w:rPr>
          <w:spacing w:val="-4"/>
        </w:rPr>
        <w:t xml:space="preserve"> </w:t>
      </w:r>
      <w:r>
        <w:t>times the unbound exposure in humans at 5</w:t>
      </w:r>
      <w:r>
        <w:rPr>
          <w:spacing w:val="-4"/>
        </w:rPr>
        <w:t xml:space="preserve"> </w:t>
      </w:r>
      <w:r>
        <w:t>mg twice daily, based</w:t>
      </w:r>
      <w:r>
        <w:rPr>
          <w:spacing w:val="40"/>
        </w:rPr>
        <w:t xml:space="preserve"> </w:t>
      </w:r>
      <w:r>
        <w:t>on extrapolation from values from other rat</w:t>
      </w:r>
      <w:r>
        <w:rPr>
          <w:spacing w:val="40"/>
        </w:rPr>
        <w:t xml:space="preserve"> </w:t>
      </w:r>
      <w:r>
        <w:t>studies). At 10 mg/kg/day (~12</w:t>
      </w:r>
      <w:r>
        <w:rPr>
          <w:spacing w:val="-6"/>
        </w:rPr>
        <w:t xml:space="preserve"> </w:t>
      </w:r>
      <w:r>
        <w:t>times the unbound</w:t>
      </w:r>
      <w:r>
        <w:rPr>
          <w:spacing w:val="40"/>
        </w:rPr>
        <w:t xml:space="preserve"> </w:t>
      </w:r>
      <w:r>
        <w:t>exposure in humans at 10</w:t>
      </w:r>
      <w:r>
        <w:rPr>
          <w:spacing w:val="-6"/>
        </w:rPr>
        <w:t xml:space="preserve"> </w:t>
      </w:r>
      <w:r>
        <w:t>mg twice daily, based on extrapolation from values from other rat studies), no effect occurred on sexual maturation or the ability of the F1</w:t>
      </w:r>
      <w:r>
        <w:rPr>
          <w:spacing w:val="-7"/>
        </w:rPr>
        <w:t xml:space="preserve"> </w:t>
      </w:r>
      <w:r>
        <w:t>generation rats to learn, mate, and produce</w:t>
      </w:r>
      <w:r>
        <w:rPr>
          <w:spacing w:val="-10"/>
        </w:rPr>
        <w:t xml:space="preserve"> </w:t>
      </w:r>
      <w:r>
        <w:t>viable F2 generation fetuses.</w:t>
      </w:r>
    </w:p>
    <w:p w14:paraId="5C377A71" w14:textId="77777777" w:rsidR="001825E2" w:rsidRDefault="000839A5" w:rsidP="00CB00A7">
      <w:pPr>
        <w:pStyle w:val="BodyText"/>
        <w:spacing w:before="235" w:line="242" w:lineRule="auto"/>
        <w:ind w:left="216" w:right="214"/>
        <w:jc w:val="left"/>
      </w:pPr>
      <w:r>
        <w:t>In the Phase</w:t>
      </w:r>
      <w:r>
        <w:rPr>
          <w:spacing w:val="-3"/>
        </w:rPr>
        <w:t xml:space="preserve"> </w:t>
      </w:r>
      <w:r>
        <w:t>2, Phase</w:t>
      </w:r>
      <w:r>
        <w:rPr>
          <w:spacing w:val="-3"/>
        </w:rPr>
        <w:t xml:space="preserve"> </w:t>
      </w:r>
      <w:proofErr w:type="gramStart"/>
      <w:r>
        <w:t>3</w:t>
      </w:r>
      <w:proofErr w:type="gramEnd"/>
      <w:r>
        <w:t xml:space="preserve"> and long-term extension studies in RA patients, 14</w:t>
      </w:r>
      <w:r>
        <w:rPr>
          <w:spacing w:val="-2"/>
        </w:rPr>
        <w:t xml:space="preserve"> </w:t>
      </w:r>
      <w:r>
        <w:t>maternal pregnancies were</w:t>
      </w:r>
      <w:r>
        <w:rPr>
          <w:spacing w:val="-6"/>
        </w:rPr>
        <w:t xml:space="preserve"> </w:t>
      </w:r>
      <w:r>
        <w:t>reported in</w:t>
      </w:r>
      <w:r>
        <w:rPr>
          <w:spacing w:val="-4"/>
        </w:rPr>
        <w:t xml:space="preserve"> </w:t>
      </w:r>
      <w:r>
        <w:t>patients</w:t>
      </w:r>
      <w:r>
        <w:rPr>
          <w:spacing w:val="-7"/>
        </w:rPr>
        <w:t xml:space="preserve"> </w:t>
      </w:r>
      <w:r>
        <w:t>treated with</w:t>
      </w:r>
      <w:r>
        <w:rPr>
          <w:spacing w:val="-4"/>
        </w:rPr>
        <w:t xml:space="preserve"> </w:t>
      </w:r>
      <w:r>
        <w:t>tofacitinib.</w:t>
      </w:r>
      <w:r>
        <w:rPr>
          <w:spacing w:val="-4"/>
        </w:rPr>
        <w:t xml:space="preserve"> </w:t>
      </w:r>
      <w:r>
        <w:t>Pregnancy</w:t>
      </w:r>
      <w:r>
        <w:rPr>
          <w:spacing w:val="-4"/>
        </w:rPr>
        <w:t xml:space="preserve"> </w:t>
      </w:r>
      <w:r>
        <w:t>outcomes</w:t>
      </w:r>
      <w:r>
        <w:rPr>
          <w:spacing w:val="-7"/>
        </w:rPr>
        <w:t xml:space="preserve"> </w:t>
      </w:r>
      <w:r>
        <w:t>comprised full-term</w:t>
      </w:r>
      <w:r>
        <w:rPr>
          <w:spacing w:val="-10"/>
        </w:rPr>
        <w:t xml:space="preserve"> </w:t>
      </w:r>
      <w:r>
        <w:t>normal</w:t>
      </w:r>
      <w:r>
        <w:rPr>
          <w:spacing w:val="-10"/>
        </w:rPr>
        <w:t xml:space="preserve"> </w:t>
      </w:r>
      <w:r>
        <w:t>newborn</w:t>
      </w:r>
      <w:r>
        <w:rPr>
          <w:spacing w:val="-3"/>
        </w:rPr>
        <w:t xml:space="preserve"> </w:t>
      </w:r>
      <w:r>
        <w:t>(6</w:t>
      </w:r>
      <w:r>
        <w:rPr>
          <w:spacing w:val="-3"/>
        </w:rPr>
        <w:t xml:space="preserve"> </w:t>
      </w:r>
      <w:r>
        <w:t>cases), spontaneous</w:t>
      </w:r>
      <w:r>
        <w:rPr>
          <w:spacing w:val="-7"/>
        </w:rPr>
        <w:t xml:space="preserve"> </w:t>
      </w:r>
      <w:r>
        <w:t>abortion (3),</w:t>
      </w:r>
      <w:r>
        <w:rPr>
          <w:spacing w:val="-3"/>
        </w:rPr>
        <w:t xml:space="preserve"> </w:t>
      </w:r>
      <w:r>
        <w:t>elective</w:t>
      </w:r>
      <w:r>
        <w:rPr>
          <w:spacing w:val="-5"/>
        </w:rPr>
        <w:t xml:space="preserve"> </w:t>
      </w:r>
      <w:r>
        <w:t>termination (2), lost to follow-up</w:t>
      </w:r>
      <w:r>
        <w:rPr>
          <w:spacing w:val="-2"/>
        </w:rPr>
        <w:t xml:space="preserve"> </w:t>
      </w:r>
      <w:r>
        <w:t>(2)</w:t>
      </w:r>
      <w:r>
        <w:rPr>
          <w:spacing w:val="-7"/>
        </w:rPr>
        <w:t xml:space="preserve"> </w:t>
      </w:r>
      <w:r>
        <w:t>and low birth</w:t>
      </w:r>
      <w:r>
        <w:rPr>
          <w:spacing w:val="-2"/>
        </w:rPr>
        <w:t xml:space="preserve"> </w:t>
      </w:r>
      <w:r>
        <w:t>weight (1).</w:t>
      </w:r>
      <w:r>
        <w:rPr>
          <w:spacing w:val="-2"/>
        </w:rPr>
        <w:t xml:space="preserve"> </w:t>
      </w:r>
      <w:r>
        <w:t>A spontaneous abortion</w:t>
      </w:r>
      <w:r>
        <w:rPr>
          <w:spacing w:val="-2"/>
        </w:rPr>
        <w:t xml:space="preserve"> </w:t>
      </w:r>
      <w:r>
        <w:t>occurred in</w:t>
      </w:r>
      <w:r>
        <w:rPr>
          <w:spacing w:val="-2"/>
        </w:rPr>
        <w:t xml:space="preserve"> </w:t>
      </w:r>
      <w:r>
        <w:t>the</w:t>
      </w:r>
      <w:r>
        <w:rPr>
          <w:spacing w:val="-4"/>
        </w:rPr>
        <w:t xml:space="preserve"> </w:t>
      </w:r>
      <w:r>
        <w:t>only</w:t>
      </w:r>
      <w:r>
        <w:rPr>
          <w:spacing w:val="-2"/>
        </w:rPr>
        <w:t xml:space="preserve"> </w:t>
      </w:r>
      <w:r>
        <w:t>maternal pregnancy in patients treated with placebo.</w:t>
      </w:r>
    </w:p>
    <w:p w14:paraId="57613B08" w14:textId="77777777" w:rsidR="001825E2" w:rsidRDefault="000839A5" w:rsidP="00CB00A7">
      <w:pPr>
        <w:pStyle w:val="BodyText"/>
        <w:spacing w:before="226"/>
        <w:ind w:left="214" w:right="202" w:firstLine="1"/>
        <w:jc w:val="left"/>
      </w:pPr>
      <w:r>
        <w:t>XELJANZ or XELJANZ XR should</w:t>
      </w:r>
      <w:r>
        <w:rPr>
          <w:spacing w:val="28"/>
        </w:rPr>
        <w:t xml:space="preserve"> </w:t>
      </w:r>
      <w:r>
        <w:t xml:space="preserve">not be used during pregnancy or by women attempting to become pregnant. </w:t>
      </w:r>
      <w:proofErr w:type="spellStart"/>
      <w:r>
        <w:t>omen</w:t>
      </w:r>
      <w:proofErr w:type="spellEnd"/>
      <w:r>
        <w:t xml:space="preserve"> of reproductive potential should be advised to use effective contraception both during treatment with XELJANZ or XELJANZ XR and after</w:t>
      </w:r>
      <w:r>
        <w:rPr>
          <w:spacing w:val="40"/>
        </w:rPr>
        <w:t xml:space="preserve"> </w:t>
      </w:r>
      <w:r>
        <w:t>discontinuing therapy. The extended pharmacodynamic effects of XELJANZ or XELJANZ XR should be considered when determining how long to continue effective contraception</w:t>
      </w:r>
      <w:r>
        <w:rPr>
          <w:spacing w:val="40"/>
        </w:rPr>
        <w:t xml:space="preserve"> </w:t>
      </w:r>
      <w:r>
        <w:t>after discontinuing XELJANZ or XELJANZ XR therapy.</w:t>
      </w:r>
    </w:p>
    <w:p w14:paraId="48229705" w14:textId="77777777" w:rsidR="001825E2" w:rsidRDefault="000839A5" w:rsidP="00CB00A7">
      <w:pPr>
        <w:pStyle w:val="Heading4"/>
        <w:ind w:left="214"/>
        <w:jc w:val="left"/>
      </w:pPr>
      <w:r>
        <w:t>Use</w:t>
      </w:r>
      <w:r>
        <w:rPr>
          <w:spacing w:val="-7"/>
        </w:rPr>
        <w:t xml:space="preserve"> </w:t>
      </w:r>
      <w:r>
        <w:t>in</w:t>
      </w:r>
      <w:r>
        <w:rPr>
          <w:spacing w:val="-1"/>
        </w:rPr>
        <w:t xml:space="preserve"> </w:t>
      </w:r>
      <w:proofErr w:type="gramStart"/>
      <w:r>
        <w:rPr>
          <w:spacing w:val="-2"/>
        </w:rPr>
        <w:t>lactation</w:t>
      </w:r>
      <w:proofErr w:type="gramEnd"/>
    </w:p>
    <w:p w14:paraId="720870FB" w14:textId="77777777" w:rsidR="001825E2" w:rsidRDefault="000839A5" w:rsidP="00CB00A7">
      <w:pPr>
        <w:pStyle w:val="BodyText"/>
        <w:spacing w:before="114" w:line="242" w:lineRule="auto"/>
        <w:ind w:left="213" w:right="204"/>
        <w:jc w:val="left"/>
      </w:pPr>
      <w:r>
        <w:t>Tofacitinib was secreted in the milk of lactating rats. It is not known whether tofacitinib is secreted in</w:t>
      </w:r>
      <w:r>
        <w:rPr>
          <w:spacing w:val="-5"/>
        </w:rPr>
        <w:t xml:space="preserve"> </w:t>
      </w:r>
      <w:r>
        <w:t>human</w:t>
      </w:r>
      <w:r>
        <w:rPr>
          <w:spacing w:val="-5"/>
        </w:rPr>
        <w:t xml:space="preserve"> </w:t>
      </w:r>
      <w:r>
        <w:t>milk. Women</w:t>
      </w:r>
      <w:r>
        <w:rPr>
          <w:spacing w:val="-5"/>
        </w:rPr>
        <w:t xml:space="preserve"> </w:t>
      </w:r>
      <w:r>
        <w:t>should not breastfeed while</w:t>
      </w:r>
      <w:r>
        <w:rPr>
          <w:spacing w:val="-7"/>
        </w:rPr>
        <w:t xml:space="preserve"> </w:t>
      </w:r>
      <w:r>
        <w:t>being</w:t>
      </w:r>
      <w:r>
        <w:rPr>
          <w:spacing w:val="-5"/>
        </w:rPr>
        <w:t xml:space="preserve"> </w:t>
      </w:r>
      <w:r>
        <w:t>treated with</w:t>
      </w:r>
      <w:r>
        <w:rPr>
          <w:spacing w:val="-5"/>
        </w:rPr>
        <w:t xml:space="preserve"> </w:t>
      </w:r>
      <w:r>
        <w:t>XELJANZ</w:t>
      </w:r>
      <w:r>
        <w:rPr>
          <w:spacing w:val="-2"/>
        </w:rPr>
        <w:t xml:space="preserve"> </w:t>
      </w:r>
      <w:r>
        <w:t>or XELJANZ</w:t>
      </w:r>
      <w:r>
        <w:rPr>
          <w:spacing w:val="-5"/>
        </w:rPr>
        <w:t xml:space="preserve"> </w:t>
      </w:r>
      <w:r>
        <w:t>XR.</w:t>
      </w:r>
    </w:p>
    <w:p w14:paraId="48E3490A" w14:textId="77777777" w:rsidR="001825E2" w:rsidRDefault="000839A5" w:rsidP="00CB00A7">
      <w:pPr>
        <w:pStyle w:val="Heading2"/>
        <w:numPr>
          <w:ilvl w:val="1"/>
          <w:numId w:val="11"/>
        </w:numPr>
        <w:tabs>
          <w:tab w:val="left" w:pos="638"/>
        </w:tabs>
        <w:spacing w:before="221"/>
        <w:ind w:left="638" w:hanging="418"/>
      </w:pPr>
      <w:r>
        <w:t>Effects</w:t>
      </w:r>
      <w:r>
        <w:rPr>
          <w:spacing w:val="-11"/>
        </w:rPr>
        <w:t xml:space="preserve"> </w:t>
      </w:r>
      <w:r>
        <w:t>on</w:t>
      </w:r>
      <w:r>
        <w:rPr>
          <w:spacing w:val="-13"/>
        </w:rPr>
        <w:t xml:space="preserve"> </w:t>
      </w:r>
      <w:r>
        <w:t>Ability</w:t>
      </w:r>
      <w:r>
        <w:rPr>
          <w:spacing w:val="4"/>
        </w:rPr>
        <w:t xml:space="preserve"> </w:t>
      </w:r>
      <w:r>
        <w:t>to</w:t>
      </w:r>
      <w:r>
        <w:rPr>
          <w:spacing w:val="4"/>
        </w:rPr>
        <w:t xml:space="preserve"> </w:t>
      </w:r>
      <w:r>
        <w:t>Drive</w:t>
      </w:r>
      <w:r>
        <w:rPr>
          <w:spacing w:val="-11"/>
        </w:rPr>
        <w:t xml:space="preserve"> </w:t>
      </w:r>
      <w:r>
        <w:t>and</w:t>
      </w:r>
      <w:r>
        <w:rPr>
          <w:spacing w:val="-13"/>
        </w:rPr>
        <w:t xml:space="preserve"> </w:t>
      </w:r>
      <w:r>
        <w:t>Use</w:t>
      </w:r>
      <w:r>
        <w:rPr>
          <w:spacing w:val="5"/>
        </w:rPr>
        <w:t xml:space="preserve"> </w:t>
      </w:r>
      <w:r>
        <w:rPr>
          <w:spacing w:val="-2"/>
        </w:rPr>
        <w:t>Machines</w:t>
      </w:r>
    </w:p>
    <w:p w14:paraId="5275E836" w14:textId="77777777" w:rsidR="001825E2" w:rsidRDefault="000839A5" w:rsidP="00CB00A7">
      <w:pPr>
        <w:pStyle w:val="BodyText"/>
        <w:spacing w:before="255"/>
        <w:ind w:left="220"/>
        <w:jc w:val="left"/>
      </w:pPr>
      <w:r>
        <w:t>No formal</w:t>
      </w:r>
      <w:r>
        <w:rPr>
          <w:spacing w:val="-4"/>
        </w:rPr>
        <w:t xml:space="preserve"> </w:t>
      </w:r>
      <w:r>
        <w:t>studies</w:t>
      </w:r>
      <w:r>
        <w:rPr>
          <w:spacing w:val="-1"/>
        </w:rPr>
        <w:t xml:space="preserve"> </w:t>
      </w:r>
      <w:r>
        <w:t>have</w:t>
      </w:r>
      <w:r>
        <w:rPr>
          <w:spacing w:val="1"/>
        </w:rPr>
        <w:t xml:space="preserve"> </w:t>
      </w:r>
      <w:r>
        <w:t>been</w:t>
      </w:r>
      <w:r>
        <w:rPr>
          <w:spacing w:val="3"/>
        </w:rPr>
        <w:t xml:space="preserve"> </w:t>
      </w:r>
      <w:r>
        <w:t>conducted</w:t>
      </w:r>
      <w:r>
        <w:rPr>
          <w:spacing w:val="3"/>
        </w:rPr>
        <w:t xml:space="preserve"> </w:t>
      </w:r>
      <w:r>
        <w:t>on</w:t>
      </w:r>
      <w:r>
        <w:rPr>
          <w:spacing w:val="-13"/>
        </w:rPr>
        <w:t xml:space="preserve"> </w:t>
      </w:r>
      <w:r>
        <w:t>effects</w:t>
      </w:r>
      <w:r>
        <w:rPr>
          <w:spacing w:val="-17"/>
        </w:rPr>
        <w:t xml:space="preserve"> </w:t>
      </w:r>
      <w:r>
        <w:t>on</w:t>
      </w:r>
      <w:r>
        <w:rPr>
          <w:spacing w:val="3"/>
        </w:rPr>
        <w:t xml:space="preserve"> </w:t>
      </w:r>
      <w:r>
        <w:t>the</w:t>
      </w:r>
      <w:r>
        <w:rPr>
          <w:spacing w:val="-15"/>
        </w:rPr>
        <w:t xml:space="preserve"> </w:t>
      </w:r>
      <w:r>
        <w:t>ability</w:t>
      </w:r>
      <w:r>
        <w:rPr>
          <w:spacing w:val="19"/>
        </w:rPr>
        <w:t xml:space="preserve"> </w:t>
      </w:r>
      <w:r>
        <w:t>to</w:t>
      </w:r>
      <w:r>
        <w:rPr>
          <w:spacing w:val="3"/>
        </w:rPr>
        <w:t xml:space="preserve"> </w:t>
      </w:r>
      <w:r>
        <w:t>drive</w:t>
      </w:r>
      <w:r>
        <w:rPr>
          <w:spacing w:val="-15"/>
        </w:rPr>
        <w:t xml:space="preserve"> </w:t>
      </w:r>
      <w:r>
        <w:t>and</w:t>
      </w:r>
      <w:r>
        <w:rPr>
          <w:spacing w:val="19"/>
        </w:rPr>
        <w:t xml:space="preserve"> </w:t>
      </w:r>
      <w:r>
        <w:t>use</w:t>
      </w:r>
      <w:r>
        <w:rPr>
          <w:spacing w:val="1"/>
        </w:rPr>
        <w:t xml:space="preserve"> </w:t>
      </w:r>
      <w:r>
        <w:rPr>
          <w:spacing w:val="-2"/>
        </w:rPr>
        <w:t>machines.</w:t>
      </w:r>
    </w:p>
    <w:p w14:paraId="105A48D2" w14:textId="77777777" w:rsidR="001825E2" w:rsidRDefault="000839A5" w:rsidP="00CB00A7">
      <w:pPr>
        <w:pStyle w:val="Heading2"/>
        <w:numPr>
          <w:ilvl w:val="1"/>
          <w:numId w:val="11"/>
        </w:numPr>
        <w:tabs>
          <w:tab w:val="left" w:pos="638"/>
        </w:tabs>
        <w:ind w:left="638" w:hanging="418"/>
      </w:pPr>
      <w:r>
        <w:t>Adverse</w:t>
      </w:r>
      <w:r>
        <w:rPr>
          <w:spacing w:val="-7"/>
        </w:rPr>
        <w:t xml:space="preserve"> </w:t>
      </w:r>
      <w:r>
        <w:t>Effects</w:t>
      </w:r>
      <w:r>
        <w:rPr>
          <w:spacing w:val="-5"/>
        </w:rPr>
        <w:t xml:space="preserve"> </w:t>
      </w:r>
      <w:r>
        <w:t>(Undesirable</w:t>
      </w:r>
      <w:r>
        <w:rPr>
          <w:spacing w:val="-24"/>
        </w:rPr>
        <w:t xml:space="preserve"> </w:t>
      </w:r>
      <w:r>
        <w:rPr>
          <w:spacing w:val="-2"/>
        </w:rPr>
        <w:t>Effects)</w:t>
      </w:r>
    </w:p>
    <w:p w14:paraId="72A854A9" w14:textId="77777777" w:rsidR="001825E2" w:rsidRDefault="000839A5" w:rsidP="00CB00A7">
      <w:pPr>
        <w:spacing w:before="240"/>
        <w:ind w:left="220"/>
        <w:rPr>
          <w:i/>
          <w:sz w:val="24"/>
        </w:rPr>
      </w:pPr>
      <w:r>
        <w:rPr>
          <w:i/>
          <w:sz w:val="24"/>
          <w:u w:val="single"/>
        </w:rPr>
        <w:t>Rheumatoid</w:t>
      </w:r>
      <w:r>
        <w:rPr>
          <w:i/>
          <w:spacing w:val="-7"/>
          <w:sz w:val="24"/>
          <w:u w:val="single"/>
        </w:rPr>
        <w:t xml:space="preserve"> </w:t>
      </w:r>
      <w:r>
        <w:rPr>
          <w:i/>
          <w:spacing w:val="-2"/>
          <w:sz w:val="24"/>
          <w:u w:val="single"/>
        </w:rPr>
        <w:t>Arthritis</w:t>
      </w:r>
    </w:p>
    <w:p w14:paraId="3EC4D653" w14:textId="77777777" w:rsidR="001825E2" w:rsidRDefault="000839A5" w:rsidP="00CB00A7">
      <w:pPr>
        <w:pStyle w:val="BodyText"/>
        <w:spacing w:before="129"/>
        <w:ind w:left="217" w:right="214" w:firstLine="2"/>
        <w:jc w:val="left"/>
      </w:pPr>
      <w:r>
        <w:t>The following data include 6</w:t>
      </w:r>
      <w:r>
        <w:rPr>
          <w:spacing w:val="-15"/>
        </w:rPr>
        <w:t xml:space="preserve"> </w:t>
      </w:r>
      <w:r>
        <w:t xml:space="preserve">double-blind, controlled, </w:t>
      </w:r>
      <w:proofErr w:type="spellStart"/>
      <w:r>
        <w:t>multicentre</w:t>
      </w:r>
      <w:proofErr w:type="spellEnd"/>
      <w:r>
        <w:t xml:space="preserve"> studies of varying durations</w:t>
      </w:r>
      <w:r>
        <w:rPr>
          <w:spacing w:val="-1"/>
        </w:rPr>
        <w:t xml:space="preserve"> </w:t>
      </w:r>
      <w:r>
        <w:t>from</w:t>
      </w:r>
      <w:r>
        <w:rPr>
          <w:spacing w:val="-5"/>
        </w:rPr>
        <w:t xml:space="preserve"> </w:t>
      </w:r>
      <w:r>
        <w:t>6 to 24 months</w:t>
      </w:r>
      <w:r>
        <w:rPr>
          <w:spacing w:val="-1"/>
        </w:rPr>
        <w:t xml:space="preserve"> </w:t>
      </w:r>
      <w:r>
        <w:t>(Studies</w:t>
      </w:r>
      <w:r>
        <w:rPr>
          <w:spacing w:val="-1"/>
        </w:rPr>
        <w:t xml:space="preserve"> </w:t>
      </w:r>
      <w:r>
        <w:t xml:space="preserve">I to VI, see Section 5.1 Pharmacodynamic Properties, Clinical Trials). In these studies, 3200 patients were </w:t>
      </w:r>
      <w:proofErr w:type="spellStart"/>
      <w:r>
        <w:t>randomised</w:t>
      </w:r>
      <w:proofErr w:type="spellEnd"/>
      <w:r>
        <w:t xml:space="preserve"> and treated with doses of XELJANZ 5</w:t>
      </w:r>
      <w:r>
        <w:rPr>
          <w:spacing w:val="-2"/>
        </w:rPr>
        <w:t xml:space="preserve"> </w:t>
      </w:r>
      <w:r>
        <w:t>mg twice daily (616</w:t>
      </w:r>
      <w:r>
        <w:rPr>
          <w:spacing w:val="-1"/>
        </w:rPr>
        <w:t xml:space="preserve"> </w:t>
      </w:r>
      <w:r>
        <w:t>patients) or 10</w:t>
      </w:r>
      <w:r>
        <w:rPr>
          <w:spacing w:val="-1"/>
        </w:rPr>
        <w:t xml:space="preserve"> </w:t>
      </w:r>
      <w:r>
        <w:t>mg twice daily (642</w:t>
      </w:r>
      <w:r>
        <w:rPr>
          <w:spacing w:val="-1"/>
        </w:rPr>
        <w:t xml:space="preserve"> </w:t>
      </w:r>
      <w:r>
        <w:t>patients) monotherapy and XELJANZ 5</w:t>
      </w:r>
      <w:r>
        <w:rPr>
          <w:spacing w:val="-1"/>
        </w:rPr>
        <w:t xml:space="preserve"> </w:t>
      </w:r>
      <w:r>
        <w:t>mg twice daily (973</w:t>
      </w:r>
      <w:r>
        <w:rPr>
          <w:spacing w:val="-1"/>
        </w:rPr>
        <w:t xml:space="preserve"> </w:t>
      </w:r>
      <w:r>
        <w:t>patients) or 10</w:t>
      </w:r>
      <w:r>
        <w:rPr>
          <w:spacing w:val="-1"/>
        </w:rPr>
        <w:t xml:space="preserve"> </w:t>
      </w:r>
      <w:r>
        <w:t>mg twice daily (969</w:t>
      </w:r>
      <w:r>
        <w:rPr>
          <w:spacing w:val="-1"/>
        </w:rPr>
        <w:t xml:space="preserve"> </w:t>
      </w:r>
      <w:r>
        <w:t>patients) in combination with DMARDs (including MTX).</w:t>
      </w:r>
    </w:p>
    <w:p w14:paraId="205EFC9B" w14:textId="77777777" w:rsidR="001825E2" w:rsidRDefault="000839A5" w:rsidP="00CB00A7">
      <w:pPr>
        <w:pStyle w:val="BodyText"/>
        <w:spacing w:before="235" w:line="242" w:lineRule="auto"/>
        <w:ind w:left="217" w:right="205"/>
        <w:jc w:val="left"/>
      </w:pPr>
      <w:r>
        <w:t>All patients in these studies had moderate to severe active RA. The XELJANZ study population had a mean age of 52</w:t>
      </w:r>
      <w:r>
        <w:rPr>
          <w:spacing w:val="-2"/>
        </w:rPr>
        <w:t xml:space="preserve"> </w:t>
      </w:r>
      <w:r>
        <w:t>years and 83% were female. The highest proportions of patients in the clinical</w:t>
      </w:r>
      <w:r>
        <w:rPr>
          <w:spacing w:val="36"/>
        </w:rPr>
        <w:t xml:space="preserve"> </w:t>
      </w:r>
      <w:r>
        <w:t>studies</w:t>
      </w:r>
      <w:r>
        <w:rPr>
          <w:spacing w:val="-13"/>
        </w:rPr>
        <w:t xml:space="preserve"> </w:t>
      </w:r>
      <w:r>
        <w:t>were either White (62%) or Asian (24%).</w:t>
      </w:r>
    </w:p>
    <w:p w14:paraId="770D809A" w14:textId="77777777" w:rsidR="001825E2" w:rsidRDefault="001825E2" w:rsidP="00CB00A7">
      <w:pPr>
        <w:spacing w:line="242" w:lineRule="auto"/>
        <w:sectPr w:rsidR="001825E2">
          <w:pgSz w:w="11910" w:h="16850"/>
          <w:pgMar w:top="1360" w:right="1220" w:bottom="980" w:left="1220" w:header="0" w:footer="785" w:gutter="0"/>
          <w:cols w:space="720"/>
        </w:sectPr>
      </w:pPr>
    </w:p>
    <w:p w14:paraId="5C0B79EC" w14:textId="77777777" w:rsidR="001825E2" w:rsidRDefault="000839A5" w:rsidP="00CB00A7">
      <w:pPr>
        <w:pStyle w:val="BodyText"/>
        <w:spacing w:before="76" w:line="242" w:lineRule="auto"/>
        <w:ind w:left="219" w:right="218"/>
        <w:jc w:val="left"/>
      </w:pPr>
      <w:r>
        <w:lastRenderedPageBreak/>
        <w:t>The long-term safety population includes all patients who participated in a double-blind, controlled study</w:t>
      </w:r>
      <w:r>
        <w:rPr>
          <w:spacing w:val="-2"/>
        </w:rPr>
        <w:t xml:space="preserve"> </w:t>
      </w:r>
      <w:r>
        <w:t>(including</w:t>
      </w:r>
      <w:r>
        <w:rPr>
          <w:spacing w:val="-2"/>
        </w:rPr>
        <w:t xml:space="preserve"> </w:t>
      </w:r>
      <w:r>
        <w:t>earlier</w:t>
      </w:r>
      <w:r>
        <w:rPr>
          <w:spacing w:val="-7"/>
        </w:rPr>
        <w:t xml:space="preserve"> </w:t>
      </w:r>
      <w:r>
        <w:t>development phase</w:t>
      </w:r>
      <w:r>
        <w:rPr>
          <w:spacing w:val="-4"/>
        </w:rPr>
        <w:t xml:space="preserve"> </w:t>
      </w:r>
      <w:r>
        <w:t>studies)</w:t>
      </w:r>
      <w:r>
        <w:rPr>
          <w:spacing w:val="-7"/>
        </w:rPr>
        <w:t xml:space="preserve"> </w:t>
      </w:r>
      <w:r>
        <w:t>and then</w:t>
      </w:r>
      <w:r>
        <w:rPr>
          <w:spacing w:val="-2"/>
        </w:rPr>
        <w:t xml:space="preserve"> </w:t>
      </w:r>
      <w:r>
        <w:t>participated in</w:t>
      </w:r>
      <w:r>
        <w:rPr>
          <w:spacing w:val="-2"/>
        </w:rPr>
        <w:t xml:space="preserve"> </w:t>
      </w:r>
      <w:r>
        <w:t>one</w:t>
      </w:r>
      <w:r>
        <w:rPr>
          <w:spacing w:val="-4"/>
        </w:rPr>
        <w:t xml:space="preserve"> </w:t>
      </w:r>
      <w:r>
        <w:t>of two long-term safety studies.</w:t>
      </w:r>
    </w:p>
    <w:p w14:paraId="3F5134D1" w14:textId="77777777" w:rsidR="001825E2" w:rsidRDefault="000839A5" w:rsidP="00CB00A7">
      <w:pPr>
        <w:pStyle w:val="BodyText"/>
        <w:spacing w:before="229"/>
        <w:ind w:left="218" w:right="204"/>
        <w:jc w:val="left"/>
      </w:pPr>
      <w:r>
        <w:t>A total</w:t>
      </w:r>
      <w:r>
        <w:rPr>
          <w:spacing w:val="-9"/>
        </w:rPr>
        <w:t xml:space="preserve"> </w:t>
      </w:r>
      <w:r>
        <w:t>of 6194</w:t>
      </w:r>
      <w:r>
        <w:rPr>
          <w:spacing w:val="-2"/>
        </w:rPr>
        <w:t xml:space="preserve"> </w:t>
      </w:r>
      <w:r>
        <w:t>patients</w:t>
      </w:r>
      <w:r>
        <w:rPr>
          <w:spacing w:val="-6"/>
        </w:rPr>
        <w:t xml:space="preserve"> </w:t>
      </w:r>
      <w:r>
        <w:t>(phase</w:t>
      </w:r>
      <w:r>
        <w:rPr>
          <w:spacing w:val="-4"/>
        </w:rPr>
        <w:t xml:space="preserve"> </w:t>
      </w:r>
      <w:r>
        <w:t>1,</w:t>
      </w:r>
      <w:r>
        <w:rPr>
          <w:spacing w:val="-2"/>
        </w:rPr>
        <w:t xml:space="preserve"> </w:t>
      </w:r>
      <w:r>
        <w:t>2,</w:t>
      </w:r>
      <w:r>
        <w:rPr>
          <w:spacing w:val="-2"/>
        </w:rPr>
        <w:t xml:space="preserve"> </w:t>
      </w:r>
      <w:r>
        <w:t>3,</w:t>
      </w:r>
      <w:r>
        <w:rPr>
          <w:spacing w:val="-2"/>
        </w:rPr>
        <w:t xml:space="preserve"> </w:t>
      </w:r>
      <w:r>
        <w:t>and long-term</w:t>
      </w:r>
      <w:r>
        <w:rPr>
          <w:spacing w:val="-9"/>
        </w:rPr>
        <w:t xml:space="preserve"> </w:t>
      </w:r>
      <w:r>
        <w:t>extension studies)</w:t>
      </w:r>
      <w:r>
        <w:rPr>
          <w:spacing w:val="-7"/>
        </w:rPr>
        <w:t xml:space="preserve"> </w:t>
      </w:r>
      <w:r>
        <w:t>were</w:t>
      </w:r>
      <w:r>
        <w:rPr>
          <w:spacing w:val="-4"/>
        </w:rPr>
        <w:t xml:space="preserve"> </w:t>
      </w:r>
      <w:r>
        <w:t>treated with</w:t>
      </w:r>
      <w:r>
        <w:rPr>
          <w:spacing w:val="-2"/>
        </w:rPr>
        <w:t xml:space="preserve"> </w:t>
      </w:r>
      <w:r>
        <w:t>any dose of XELJANZ with a mean duration of 3</w:t>
      </w:r>
      <w:r>
        <w:rPr>
          <w:spacing w:val="-3"/>
        </w:rPr>
        <w:t xml:space="preserve"> </w:t>
      </w:r>
      <w:r>
        <w:t>years, with 19,405.8</w:t>
      </w:r>
      <w:r>
        <w:rPr>
          <w:spacing w:val="-2"/>
        </w:rPr>
        <w:t xml:space="preserve"> </w:t>
      </w:r>
      <w:r>
        <w:t>patient-years of accumulated</w:t>
      </w:r>
      <w:r>
        <w:rPr>
          <w:spacing w:val="40"/>
        </w:rPr>
        <w:t xml:space="preserve"> </w:t>
      </w:r>
      <w:r>
        <w:t>total drug exposure based</w:t>
      </w:r>
      <w:r>
        <w:rPr>
          <w:spacing w:val="40"/>
        </w:rPr>
        <w:t xml:space="preserve"> </w:t>
      </w:r>
      <w:r>
        <w:t>on up to 8 years of</w:t>
      </w:r>
      <w:r>
        <w:rPr>
          <w:spacing w:val="40"/>
        </w:rPr>
        <w:t xml:space="preserve"> </w:t>
      </w:r>
      <w:r>
        <w:t>continuous exposure</w:t>
      </w:r>
      <w:r>
        <w:rPr>
          <w:spacing w:val="40"/>
        </w:rPr>
        <w:t xml:space="preserve"> </w:t>
      </w:r>
      <w:r>
        <w:t xml:space="preserve">to </w:t>
      </w:r>
      <w:r>
        <w:rPr>
          <w:spacing w:val="-2"/>
        </w:rPr>
        <w:t>XELJANZ.</w:t>
      </w:r>
    </w:p>
    <w:p w14:paraId="296406DA" w14:textId="77777777" w:rsidR="001825E2" w:rsidRDefault="000839A5" w:rsidP="00CB00A7">
      <w:pPr>
        <w:pStyle w:val="BodyText"/>
        <w:spacing w:before="246"/>
        <w:ind w:left="215" w:right="216" w:firstLine="2"/>
        <w:jc w:val="left"/>
      </w:pPr>
      <w:r>
        <w:t>Safety</w:t>
      </w:r>
      <w:r>
        <w:rPr>
          <w:spacing w:val="-2"/>
        </w:rPr>
        <w:t xml:space="preserve"> </w:t>
      </w:r>
      <w:r>
        <w:t>information</w:t>
      </w:r>
      <w:r>
        <w:rPr>
          <w:spacing w:val="-2"/>
        </w:rPr>
        <w:t xml:space="preserve"> </w:t>
      </w:r>
      <w:r>
        <w:t>is</w:t>
      </w:r>
      <w:r>
        <w:rPr>
          <w:spacing w:val="-6"/>
        </w:rPr>
        <w:t xml:space="preserve"> </w:t>
      </w:r>
      <w:r>
        <w:t>also</w:t>
      </w:r>
      <w:r>
        <w:rPr>
          <w:spacing w:val="-2"/>
        </w:rPr>
        <w:t xml:space="preserve"> </w:t>
      </w:r>
      <w:r>
        <w:t>included for</w:t>
      </w:r>
      <w:r>
        <w:rPr>
          <w:spacing w:val="-7"/>
        </w:rPr>
        <w:t xml:space="preserve"> </w:t>
      </w:r>
      <w:r>
        <w:t>one</w:t>
      </w:r>
      <w:r>
        <w:rPr>
          <w:spacing w:val="-4"/>
        </w:rPr>
        <w:t xml:space="preserve"> </w:t>
      </w:r>
      <w:r>
        <w:t>large</w:t>
      </w:r>
      <w:r>
        <w:rPr>
          <w:spacing w:val="-4"/>
        </w:rPr>
        <w:t xml:space="preserve"> </w:t>
      </w:r>
      <w:r>
        <w:t xml:space="preserve">(N=4362), </w:t>
      </w:r>
      <w:proofErr w:type="spellStart"/>
      <w:r>
        <w:t>randomised</w:t>
      </w:r>
      <w:proofErr w:type="spellEnd"/>
      <w:r>
        <w:t xml:space="preserve"> PASS</w:t>
      </w:r>
      <w:r>
        <w:rPr>
          <w:spacing w:val="-1"/>
        </w:rPr>
        <w:t xml:space="preserve"> </w:t>
      </w:r>
      <w:r>
        <w:t>in</w:t>
      </w:r>
      <w:r>
        <w:rPr>
          <w:spacing w:val="-2"/>
        </w:rPr>
        <w:t xml:space="preserve"> </w:t>
      </w:r>
      <w:r>
        <w:t>RA patients who were 50</w:t>
      </w:r>
      <w:r>
        <w:rPr>
          <w:spacing w:val="-3"/>
        </w:rPr>
        <w:t xml:space="preserve"> </w:t>
      </w:r>
      <w:r>
        <w:t xml:space="preserve">years or older with at least one additional cardiovascular risk factor (CV risk factors defined as: current cigarette smoker, diagnosis of hypertension, diabetes mellitus, family history of premature coronary heart disease, history of coronary artery disease including a history of </w:t>
      </w:r>
      <w:proofErr w:type="spellStart"/>
      <w:r>
        <w:t>revascularisation</w:t>
      </w:r>
      <w:proofErr w:type="spellEnd"/>
      <w:r>
        <w:t xml:space="preserve"> procedure, coronary artery bypass grafting, myocardial infarction,</w:t>
      </w:r>
      <w:r>
        <w:rPr>
          <w:spacing w:val="-5"/>
        </w:rPr>
        <w:t xml:space="preserve"> </w:t>
      </w:r>
      <w:r>
        <w:t>cardiac</w:t>
      </w:r>
      <w:r>
        <w:rPr>
          <w:spacing w:val="-6"/>
        </w:rPr>
        <w:t xml:space="preserve"> </w:t>
      </w:r>
      <w:r>
        <w:t>arrest,</w:t>
      </w:r>
      <w:r>
        <w:rPr>
          <w:spacing w:val="-5"/>
        </w:rPr>
        <w:t xml:space="preserve"> </w:t>
      </w:r>
      <w:r>
        <w:t>unstable</w:t>
      </w:r>
      <w:r>
        <w:rPr>
          <w:spacing w:val="-6"/>
        </w:rPr>
        <w:t xml:space="preserve"> </w:t>
      </w:r>
      <w:r>
        <w:t>angina,</w:t>
      </w:r>
      <w:r>
        <w:rPr>
          <w:spacing w:val="-5"/>
        </w:rPr>
        <w:t xml:space="preserve"> </w:t>
      </w:r>
      <w:r>
        <w:t>acute</w:t>
      </w:r>
      <w:r>
        <w:rPr>
          <w:spacing w:val="-6"/>
        </w:rPr>
        <w:t xml:space="preserve"> </w:t>
      </w:r>
      <w:r>
        <w:t xml:space="preserve">coronary </w:t>
      </w:r>
      <w:r>
        <w:t>syndrome,</w:t>
      </w:r>
      <w:r>
        <w:rPr>
          <w:spacing w:val="-5"/>
        </w:rPr>
        <w:t xml:space="preserve"> </w:t>
      </w:r>
      <w:r>
        <w:t xml:space="preserve">and presence of extra-articular disease associated with RA, e.g., nodules, </w:t>
      </w:r>
      <w:proofErr w:type="spellStart"/>
      <w:r>
        <w:t>Sjögren’s</w:t>
      </w:r>
      <w:proofErr w:type="spellEnd"/>
      <w:r>
        <w:t xml:space="preserve"> syndrome, anemia of chronic disease, pulmonary manifestations), and were on a stable background dose of </w:t>
      </w:r>
      <w:r>
        <w:rPr>
          <w:spacing w:val="-2"/>
        </w:rPr>
        <w:t>methotrexate.</w:t>
      </w:r>
    </w:p>
    <w:p w14:paraId="7D679343" w14:textId="77777777" w:rsidR="001825E2" w:rsidRDefault="000839A5" w:rsidP="00CB00A7">
      <w:pPr>
        <w:pStyle w:val="BodyText"/>
        <w:spacing w:before="231"/>
        <w:ind w:left="212" w:right="211" w:firstLine="3"/>
        <w:jc w:val="left"/>
      </w:pPr>
      <w:r>
        <w:t xml:space="preserve">Patients were </w:t>
      </w:r>
      <w:proofErr w:type="spellStart"/>
      <w:r>
        <w:t>randomised</w:t>
      </w:r>
      <w:proofErr w:type="spellEnd"/>
      <w:r>
        <w:t xml:space="preserve"> to </w:t>
      </w:r>
      <w:proofErr w:type="gramStart"/>
      <w:r>
        <w:t>open-label</w:t>
      </w:r>
      <w:proofErr w:type="gramEnd"/>
      <w:r>
        <w:t xml:space="preserve"> tofacitinib 10 mg twice daily, tofacitinib 5 mg twice daily, or a TNF inhibitor (TNF inhibitor was either etanercept 50 mg once weekly or adalimumab 40 mg every other week) in a 1:1:1 ratio. The co-primary endpoints are adjudicated malignancy (excluding NMSC) and adjudicated major adverse cardiovascular events (MACE); cumulative incidence and statistical assessment of endpoints are blinded.</w:t>
      </w:r>
      <w:r>
        <w:rPr>
          <w:spacing w:val="40"/>
        </w:rPr>
        <w:t xml:space="preserve"> </w:t>
      </w:r>
      <w:r>
        <w:t>The study is an event-powered</w:t>
      </w:r>
      <w:r>
        <w:rPr>
          <w:spacing w:val="28"/>
        </w:rPr>
        <w:t xml:space="preserve"> </w:t>
      </w:r>
      <w:r>
        <w:t xml:space="preserve">study that also requires at least 1500 patients to be followed </w:t>
      </w:r>
      <w:r>
        <w:t>for 3 years. The study treatment of tofacitinib 10 mg twice daily has been stopped and the patients were switched to</w:t>
      </w:r>
      <w:r>
        <w:rPr>
          <w:spacing w:val="-6"/>
        </w:rPr>
        <w:t xml:space="preserve"> </w:t>
      </w:r>
      <w:r>
        <w:t>5 mg twice</w:t>
      </w:r>
      <w:r>
        <w:rPr>
          <w:spacing w:val="-8"/>
        </w:rPr>
        <w:t xml:space="preserve"> </w:t>
      </w:r>
      <w:r>
        <w:t>daily because of a dose-dependent signal of PE.</w:t>
      </w:r>
    </w:p>
    <w:p w14:paraId="098968C7" w14:textId="77777777" w:rsidR="001825E2" w:rsidRDefault="000839A5" w:rsidP="00CB00A7">
      <w:pPr>
        <w:spacing w:before="252"/>
        <w:ind w:left="220"/>
        <w:rPr>
          <w:i/>
          <w:sz w:val="24"/>
        </w:rPr>
      </w:pPr>
      <w:r>
        <w:rPr>
          <w:i/>
          <w:sz w:val="24"/>
          <w:u w:val="single"/>
        </w:rPr>
        <w:t>Psoriatic</w:t>
      </w:r>
      <w:r>
        <w:rPr>
          <w:i/>
          <w:spacing w:val="-1"/>
          <w:sz w:val="24"/>
          <w:u w:val="single"/>
        </w:rPr>
        <w:t xml:space="preserve"> </w:t>
      </w:r>
      <w:r>
        <w:rPr>
          <w:i/>
          <w:spacing w:val="-2"/>
          <w:sz w:val="24"/>
          <w:u w:val="single"/>
        </w:rPr>
        <w:t>Arthritis</w:t>
      </w:r>
    </w:p>
    <w:p w14:paraId="77856272" w14:textId="77777777" w:rsidR="001825E2" w:rsidRDefault="000839A5" w:rsidP="00CB00A7">
      <w:pPr>
        <w:pStyle w:val="BodyText"/>
        <w:spacing w:before="118" w:line="235" w:lineRule="auto"/>
        <w:ind w:left="219" w:right="233"/>
        <w:jc w:val="left"/>
      </w:pPr>
      <w:r>
        <w:t>XELJANZ 5 mg twice daily and 10 mg twice daily were studied in 2 double-blind Phase</w:t>
      </w:r>
      <w:r>
        <w:rPr>
          <w:spacing w:val="-4"/>
        </w:rPr>
        <w:t xml:space="preserve"> </w:t>
      </w:r>
      <w:r>
        <w:t>3 clinical trials in patients</w:t>
      </w:r>
      <w:r>
        <w:rPr>
          <w:spacing w:val="-6"/>
        </w:rPr>
        <w:t xml:space="preserve"> </w:t>
      </w:r>
      <w:r>
        <w:t xml:space="preserve">with active </w:t>
      </w:r>
      <w:proofErr w:type="spellStart"/>
      <w:r>
        <w:t>PsA.</w:t>
      </w:r>
      <w:proofErr w:type="spellEnd"/>
    </w:p>
    <w:p w14:paraId="531EAC8B" w14:textId="77777777" w:rsidR="001825E2" w:rsidRDefault="000839A5" w:rsidP="00CB00A7">
      <w:pPr>
        <w:pStyle w:val="BodyText"/>
        <w:spacing w:before="250"/>
        <w:ind w:left="214" w:right="203" w:firstLine="5"/>
        <w:jc w:val="left"/>
      </w:pPr>
      <w:r>
        <w:t xml:space="preserve">Study PsA-I had a duration of 12 months and included 422 patients who had an inadequate response to a </w:t>
      </w:r>
      <w:proofErr w:type="spellStart"/>
      <w:r>
        <w:t>csDMARD</w:t>
      </w:r>
      <w:proofErr w:type="spellEnd"/>
      <w:r>
        <w:t xml:space="preserve"> and who were naïve to treatment with a TNF-inhibitor (</w:t>
      </w:r>
      <w:proofErr w:type="spellStart"/>
      <w:r>
        <w:t>TNFi</w:t>
      </w:r>
      <w:proofErr w:type="spellEnd"/>
      <w:r>
        <w:t xml:space="preserve">) biologic DMARD. Study PsA-I included a 3-month placebo-controlled period </w:t>
      </w:r>
      <w:proofErr w:type="gramStart"/>
      <w:r>
        <w:t>and also</w:t>
      </w:r>
      <w:proofErr w:type="gramEnd"/>
      <w:r>
        <w:t xml:space="preserve"> included adalimumab</w:t>
      </w:r>
      <w:r>
        <w:rPr>
          <w:spacing w:val="-2"/>
        </w:rPr>
        <w:t xml:space="preserve"> </w:t>
      </w:r>
      <w:r>
        <w:t>40 mg</w:t>
      </w:r>
      <w:r>
        <w:rPr>
          <w:spacing w:val="-2"/>
        </w:rPr>
        <w:t xml:space="preserve"> </w:t>
      </w:r>
      <w:r>
        <w:t>subcutaneously</w:t>
      </w:r>
      <w:r>
        <w:rPr>
          <w:spacing w:val="-2"/>
        </w:rPr>
        <w:t xml:space="preserve"> </w:t>
      </w:r>
      <w:r>
        <w:t>once</w:t>
      </w:r>
      <w:r>
        <w:rPr>
          <w:spacing w:val="-4"/>
        </w:rPr>
        <w:t xml:space="preserve"> </w:t>
      </w:r>
      <w:r>
        <w:t>every</w:t>
      </w:r>
      <w:r>
        <w:rPr>
          <w:spacing w:val="-2"/>
        </w:rPr>
        <w:t xml:space="preserve"> </w:t>
      </w:r>
      <w:r>
        <w:t>2</w:t>
      </w:r>
      <w:r>
        <w:rPr>
          <w:spacing w:val="-2"/>
        </w:rPr>
        <w:t xml:space="preserve"> </w:t>
      </w:r>
      <w:r>
        <w:t>weeks</w:t>
      </w:r>
      <w:r>
        <w:rPr>
          <w:spacing w:val="-6"/>
        </w:rPr>
        <w:t xml:space="preserve"> </w:t>
      </w:r>
      <w:r>
        <w:t>for</w:t>
      </w:r>
      <w:r>
        <w:rPr>
          <w:spacing w:val="-8"/>
        </w:rPr>
        <w:t xml:space="preserve"> </w:t>
      </w:r>
      <w:r>
        <w:t>12</w:t>
      </w:r>
      <w:r>
        <w:rPr>
          <w:spacing w:val="-2"/>
        </w:rPr>
        <w:t xml:space="preserve"> </w:t>
      </w:r>
      <w:r>
        <w:t>months.</w:t>
      </w:r>
      <w:r>
        <w:rPr>
          <w:spacing w:val="-3"/>
        </w:rPr>
        <w:t xml:space="preserve"> </w:t>
      </w:r>
      <w:r>
        <w:t>Study</w:t>
      </w:r>
      <w:r>
        <w:rPr>
          <w:spacing w:val="-2"/>
        </w:rPr>
        <w:t xml:space="preserve"> </w:t>
      </w:r>
      <w:r>
        <w:t>PsA-II had a duration of 6 months and included 394</w:t>
      </w:r>
      <w:r>
        <w:rPr>
          <w:spacing w:val="-1"/>
        </w:rPr>
        <w:t xml:space="preserve"> </w:t>
      </w:r>
      <w:r>
        <w:t xml:space="preserve">patients who had an inadequate response to at least one approved </w:t>
      </w:r>
      <w:proofErr w:type="spellStart"/>
      <w:r>
        <w:t>TNFi</w:t>
      </w:r>
      <w:proofErr w:type="spellEnd"/>
      <w:r>
        <w:t xml:space="preserve">. Study PsA-II included a 3-month placebo-controlled period. All patients in the clinical trials were required to receive treatment with a stable dose of a </w:t>
      </w:r>
      <w:proofErr w:type="spellStart"/>
      <w:r>
        <w:t>csDMARD</w:t>
      </w:r>
      <w:proofErr w:type="spellEnd"/>
      <w:r>
        <w:t xml:space="preserve"> [the majority received methotrexate (78.2%)]. In the Phase</w:t>
      </w:r>
      <w:r>
        <w:rPr>
          <w:spacing w:val="-4"/>
        </w:rPr>
        <w:t xml:space="preserve"> </w:t>
      </w:r>
      <w:r>
        <w:t xml:space="preserve">3 clinical trials, patients were </w:t>
      </w:r>
      <w:proofErr w:type="spellStart"/>
      <w:r>
        <w:t>randomised</w:t>
      </w:r>
      <w:proofErr w:type="spellEnd"/>
      <w:r>
        <w:t xml:space="preserve"> and treated with XELJANZ 5 mg twice daily (238 patients) or XELJANZ 10 mg twice daily (236 patients). The study population </w:t>
      </w:r>
      <w:proofErr w:type="spellStart"/>
      <w:r>
        <w:t>ra</w:t>
      </w:r>
      <w:r>
        <w:t>ndomised</w:t>
      </w:r>
      <w:proofErr w:type="spellEnd"/>
      <w:r>
        <w:t xml:space="preserve"> and treated with XELJANZ (474 patients) included 45 (9.5%) patients aged 65</w:t>
      </w:r>
      <w:r>
        <w:rPr>
          <w:spacing w:val="-5"/>
        </w:rPr>
        <w:t xml:space="preserve"> </w:t>
      </w:r>
      <w:r>
        <w:t>years or older and 66 (13.9%) patients with diabetes at baseline.</w:t>
      </w:r>
    </w:p>
    <w:p w14:paraId="5ACE3785" w14:textId="77777777" w:rsidR="001825E2" w:rsidRDefault="000839A5" w:rsidP="00CB00A7">
      <w:pPr>
        <w:pStyle w:val="BodyText"/>
        <w:spacing w:before="244"/>
        <w:ind w:left="212" w:right="205" w:firstLine="1"/>
        <w:jc w:val="left"/>
      </w:pPr>
      <w:r>
        <w:t>An additional long-term, open-label clinical trial was conducted which included 686</w:t>
      </w:r>
      <w:r>
        <w:rPr>
          <w:spacing w:val="-2"/>
        </w:rPr>
        <w:t xml:space="preserve"> </w:t>
      </w:r>
      <w:r>
        <w:t>patients with PsA who originally participated in either of the</w:t>
      </w:r>
      <w:r>
        <w:rPr>
          <w:spacing w:val="-2"/>
        </w:rPr>
        <w:t xml:space="preserve"> </w:t>
      </w:r>
      <w:r>
        <w:t>2 double-blind, controlled clinical</w:t>
      </w:r>
      <w:r>
        <w:rPr>
          <w:spacing w:val="-7"/>
        </w:rPr>
        <w:t xml:space="preserve"> </w:t>
      </w:r>
      <w:r>
        <w:t>trials. Patients</w:t>
      </w:r>
      <w:r>
        <w:rPr>
          <w:spacing w:val="-6"/>
        </w:rPr>
        <w:t xml:space="preserve"> </w:t>
      </w:r>
      <w:r>
        <w:t>who</w:t>
      </w:r>
      <w:r>
        <w:rPr>
          <w:spacing w:val="-1"/>
        </w:rPr>
        <w:t xml:space="preserve"> </w:t>
      </w:r>
      <w:r>
        <w:t>participated in</w:t>
      </w:r>
      <w:r>
        <w:rPr>
          <w:spacing w:val="-1"/>
        </w:rPr>
        <w:t xml:space="preserve"> </w:t>
      </w:r>
      <w:r>
        <w:t>this</w:t>
      </w:r>
      <w:r>
        <w:rPr>
          <w:spacing w:val="-5"/>
        </w:rPr>
        <w:t xml:space="preserve"> </w:t>
      </w:r>
      <w:r>
        <w:t>open-label clinical</w:t>
      </w:r>
      <w:r>
        <w:rPr>
          <w:spacing w:val="-8"/>
        </w:rPr>
        <w:t xml:space="preserve"> </w:t>
      </w:r>
      <w:r>
        <w:t>trial were</w:t>
      </w:r>
      <w:r>
        <w:rPr>
          <w:spacing w:val="-3"/>
        </w:rPr>
        <w:t xml:space="preserve"> </w:t>
      </w:r>
      <w:r>
        <w:t>initially</w:t>
      </w:r>
      <w:r>
        <w:rPr>
          <w:spacing w:val="-1"/>
        </w:rPr>
        <w:t xml:space="preserve"> </w:t>
      </w:r>
      <w:r>
        <w:t>treated with</w:t>
      </w:r>
      <w:r>
        <w:rPr>
          <w:spacing w:val="-15"/>
        </w:rPr>
        <w:t xml:space="preserve"> </w:t>
      </w:r>
      <w:r>
        <w:t>XELJANZ 5</w:t>
      </w:r>
      <w:r>
        <w:rPr>
          <w:spacing w:val="-2"/>
        </w:rPr>
        <w:t xml:space="preserve"> </w:t>
      </w:r>
      <w:r>
        <w:t>mg</w:t>
      </w:r>
      <w:r>
        <w:rPr>
          <w:spacing w:val="58"/>
        </w:rPr>
        <w:t xml:space="preserve"> </w:t>
      </w:r>
      <w:r>
        <w:t>twice</w:t>
      </w:r>
      <w:r>
        <w:rPr>
          <w:spacing w:val="40"/>
        </w:rPr>
        <w:t xml:space="preserve"> </w:t>
      </w:r>
      <w:r>
        <w:t>daily.</w:t>
      </w:r>
      <w:r>
        <w:rPr>
          <w:spacing w:val="58"/>
        </w:rPr>
        <w:t xml:space="preserve"> </w:t>
      </w:r>
      <w:r>
        <w:t>Starting</w:t>
      </w:r>
      <w:r>
        <w:rPr>
          <w:spacing w:val="57"/>
        </w:rPr>
        <w:t xml:space="preserve"> </w:t>
      </w:r>
      <w:r>
        <w:t>at</w:t>
      </w:r>
      <w:r>
        <w:rPr>
          <w:spacing w:val="66"/>
        </w:rPr>
        <w:t xml:space="preserve"> </w:t>
      </w:r>
      <w:r>
        <w:t>Month</w:t>
      </w:r>
      <w:r>
        <w:rPr>
          <w:spacing w:val="57"/>
        </w:rPr>
        <w:t xml:space="preserve"> </w:t>
      </w:r>
      <w:r>
        <w:t>1,</w:t>
      </w:r>
      <w:r>
        <w:rPr>
          <w:spacing w:val="57"/>
        </w:rPr>
        <w:t xml:space="preserve"> </w:t>
      </w:r>
      <w:r>
        <w:t>escalation</w:t>
      </w:r>
      <w:r>
        <w:rPr>
          <w:spacing w:val="58"/>
        </w:rPr>
        <w:t xml:space="preserve"> </w:t>
      </w:r>
      <w:r>
        <w:t>to</w:t>
      </w:r>
      <w:r>
        <w:rPr>
          <w:spacing w:val="43"/>
        </w:rPr>
        <w:t xml:space="preserve"> </w:t>
      </w:r>
      <w:r>
        <w:t>XELJANZ</w:t>
      </w:r>
      <w:r>
        <w:rPr>
          <w:spacing w:val="45"/>
        </w:rPr>
        <w:t xml:space="preserve"> </w:t>
      </w:r>
      <w:r>
        <w:t>10</w:t>
      </w:r>
      <w:r>
        <w:rPr>
          <w:spacing w:val="58"/>
        </w:rPr>
        <w:t xml:space="preserve"> </w:t>
      </w:r>
      <w:r>
        <w:t>mg</w:t>
      </w:r>
      <w:r>
        <w:rPr>
          <w:spacing w:val="57"/>
        </w:rPr>
        <w:t xml:space="preserve"> </w:t>
      </w:r>
      <w:r>
        <w:t>twice</w:t>
      </w:r>
      <w:r>
        <w:rPr>
          <w:spacing w:val="41"/>
        </w:rPr>
        <w:t xml:space="preserve"> </w:t>
      </w:r>
      <w:r>
        <w:t>daily</w:t>
      </w:r>
      <w:r>
        <w:rPr>
          <w:spacing w:val="58"/>
        </w:rPr>
        <w:t xml:space="preserve"> </w:t>
      </w:r>
      <w:r>
        <w:rPr>
          <w:spacing w:val="-5"/>
        </w:rPr>
        <w:t>was</w:t>
      </w:r>
    </w:p>
    <w:p w14:paraId="3434E027" w14:textId="77777777" w:rsidR="001825E2" w:rsidRDefault="001825E2" w:rsidP="00CB00A7">
      <w:pPr>
        <w:sectPr w:rsidR="001825E2">
          <w:pgSz w:w="11910" w:h="16850"/>
          <w:pgMar w:top="1360" w:right="1220" w:bottom="980" w:left="1220" w:header="0" w:footer="785" w:gutter="0"/>
          <w:cols w:space="720"/>
        </w:sectPr>
      </w:pPr>
    </w:p>
    <w:p w14:paraId="6B881527" w14:textId="77777777" w:rsidR="001825E2" w:rsidRDefault="000839A5" w:rsidP="00CB00A7">
      <w:pPr>
        <w:pStyle w:val="BodyText"/>
        <w:spacing w:before="80" w:line="235" w:lineRule="auto"/>
        <w:ind w:left="219" w:right="233"/>
        <w:jc w:val="left"/>
      </w:pPr>
      <w:r>
        <w:lastRenderedPageBreak/>
        <w:t>permitted at investigator discretion; subsequent dose reduction to 5 mg twice daily was also permitted.</w:t>
      </w:r>
      <w:r>
        <w:rPr>
          <w:spacing w:val="-6"/>
        </w:rPr>
        <w:t xml:space="preserve"> </w:t>
      </w:r>
      <w:r>
        <w:t>This</w:t>
      </w:r>
      <w:r>
        <w:rPr>
          <w:spacing w:val="40"/>
        </w:rPr>
        <w:t xml:space="preserve"> </w:t>
      </w:r>
      <w:r>
        <w:t>limits the interpretation of the long-term safety</w:t>
      </w:r>
      <w:r>
        <w:rPr>
          <w:spacing w:val="-6"/>
        </w:rPr>
        <w:t xml:space="preserve"> </w:t>
      </w:r>
      <w:r>
        <w:t>data</w:t>
      </w:r>
      <w:r>
        <w:rPr>
          <w:spacing w:val="-8"/>
        </w:rPr>
        <w:t xml:space="preserve"> </w:t>
      </w:r>
      <w:r>
        <w:t>with</w:t>
      </w:r>
      <w:r>
        <w:rPr>
          <w:spacing w:val="-6"/>
        </w:rPr>
        <w:t xml:space="preserve"> </w:t>
      </w:r>
      <w:r>
        <w:t>respect</w:t>
      </w:r>
      <w:r>
        <w:rPr>
          <w:spacing w:val="40"/>
        </w:rPr>
        <w:t xml:space="preserve"> </w:t>
      </w:r>
      <w:r>
        <w:t>to</w:t>
      </w:r>
      <w:r>
        <w:rPr>
          <w:spacing w:val="-6"/>
        </w:rPr>
        <w:t xml:space="preserve"> </w:t>
      </w:r>
      <w:r>
        <w:t>dose.</w:t>
      </w:r>
    </w:p>
    <w:p w14:paraId="5EA062F7" w14:textId="77777777" w:rsidR="001825E2" w:rsidRDefault="000839A5" w:rsidP="00CB00A7">
      <w:pPr>
        <w:pStyle w:val="BodyText"/>
        <w:spacing w:before="250"/>
        <w:ind w:left="218" w:right="219"/>
        <w:jc w:val="left"/>
      </w:pPr>
      <w:r>
        <w:t>Of the 783</w:t>
      </w:r>
      <w:r>
        <w:rPr>
          <w:spacing w:val="-1"/>
        </w:rPr>
        <w:t xml:space="preserve"> </w:t>
      </w:r>
      <w:r>
        <w:t>patients</w:t>
      </w:r>
      <w:r>
        <w:rPr>
          <w:spacing w:val="-5"/>
        </w:rPr>
        <w:t xml:space="preserve"> </w:t>
      </w:r>
      <w:r>
        <w:t>who received</w:t>
      </w:r>
      <w:r>
        <w:rPr>
          <w:spacing w:val="28"/>
        </w:rPr>
        <w:t xml:space="preserve"> </w:t>
      </w:r>
      <w:r>
        <w:t>XELJANZ doses of</w:t>
      </w:r>
      <w:r>
        <w:rPr>
          <w:spacing w:val="23"/>
        </w:rPr>
        <w:t xml:space="preserve"> </w:t>
      </w:r>
      <w:r>
        <w:t>5</w:t>
      </w:r>
      <w:r>
        <w:rPr>
          <w:spacing w:val="-1"/>
        </w:rPr>
        <w:t xml:space="preserve"> </w:t>
      </w:r>
      <w:r>
        <w:t>mg</w:t>
      </w:r>
      <w:r>
        <w:rPr>
          <w:spacing w:val="-1"/>
        </w:rPr>
        <w:t xml:space="preserve"> </w:t>
      </w:r>
      <w:r>
        <w:t>twice</w:t>
      </w:r>
      <w:r>
        <w:rPr>
          <w:spacing w:val="-3"/>
        </w:rPr>
        <w:t xml:space="preserve"> </w:t>
      </w:r>
      <w:r>
        <w:t>daily or 10</w:t>
      </w:r>
      <w:r>
        <w:rPr>
          <w:spacing w:val="-1"/>
        </w:rPr>
        <w:t xml:space="preserve"> </w:t>
      </w:r>
      <w:r>
        <w:t>mg twice daily in PsA clinical trials, 713 received treatment for 6</w:t>
      </w:r>
      <w:r>
        <w:rPr>
          <w:spacing w:val="-2"/>
        </w:rPr>
        <w:t xml:space="preserve"> </w:t>
      </w:r>
      <w:r>
        <w:t>months or longer, of whom 635</w:t>
      </w:r>
      <w:r>
        <w:rPr>
          <w:spacing w:val="-2"/>
        </w:rPr>
        <w:t xml:space="preserve"> </w:t>
      </w:r>
      <w:r>
        <w:t>received treatment for</w:t>
      </w:r>
      <w:r>
        <w:rPr>
          <w:spacing w:val="-6"/>
        </w:rPr>
        <w:t xml:space="preserve"> </w:t>
      </w:r>
      <w:r>
        <w:t>one</w:t>
      </w:r>
      <w:r>
        <w:rPr>
          <w:spacing w:val="-3"/>
        </w:rPr>
        <w:t xml:space="preserve"> </w:t>
      </w:r>
      <w:r>
        <w:t>year</w:t>
      </w:r>
      <w:r>
        <w:rPr>
          <w:spacing w:val="-6"/>
        </w:rPr>
        <w:t xml:space="preserve"> </w:t>
      </w:r>
      <w:r>
        <w:t>or longer, of whom</w:t>
      </w:r>
      <w:r>
        <w:rPr>
          <w:spacing w:val="-8"/>
        </w:rPr>
        <w:t xml:space="preserve"> </w:t>
      </w:r>
      <w:r>
        <w:t>335 received treatment for</w:t>
      </w:r>
      <w:r>
        <w:rPr>
          <w:spacing w:val="-6"/>
        </w:rPr>
        <w:t xml:space="preserve"> </w:t>
      </w:r>
      <w:r>
        <w:t>greater than</w:t>
      </w:r>
      <w:r>
        <w:rPr>
          <w:spacing w:val="-1"/>
        </w:rPr>
        <w:t xml:space="preserve"> </w:t>
      </w:r>
      <w:r>
        <w:t>or equal to 24 months.</w:t>
      </w:r>
    </w:p>
    <w:p w14:paraId="4A0189DA" w14:textId="77777777" w:rsidR="001825E2" w:rsidRDefault="000839A5" w:rsidP="00CB00A7">
      <w:pPr>
        <w:spacing w:before="231"/>
        <w:ind w:left="220"/>
        <w:rPr>
          <w:i/>
          <w:sz w:val="24"/>
        </w:rPr>
      </w:pPr>
      <w:r>
        <w:rPr>
          <w:i/>
          <w:sz w:val="24"/>
          <w:u w:val="single"/>
        </w:rPr>
        <w:t>Ankylosing</w:t>
      </w:r>
      <w:r>
        <w:rPr>
          <w:i/>
          <w:spacing w:val="-4"/>
          <w:sz w:val="24"/>
          <w:u w:val="single"/>
        </w:rPr>
        <w:t xml:space="preserve"> </w:t>
      </w:r>
      <w:r>
        <w:rPr>
          <w:i/>
          <w:spacing w:val="-2"/>
          <w:sz w:val="24"/>
          <w:u w:val="single"/>
        </w:rPr>
        <w:t>Spondylitis</w:t>
      </w:r>
    </w:p>
    <w:p w14:paraId="38124E28" w14:textId="77777777" w:rsidR="001825E2" w:rsidRDefault="000839A5" w:rsidP="00CB00A7">
      <w:pPr>
        <w:pStyle w:val="BodyText"/>
        <w:spacing w:before="129" w:line="242" w:lineRule="auto"/>
        <w:ind w:left="219" w:right="213"/>
        <w:jc w:val="left"/>
      </w:pPr>
      <w:r>
        <w:t xml:space="preserve">XELJANZ 5 mg twice daily was studied in patients with active AS in a </w:t>
      </w:r>
      <w:proofErr w:type="spellStart"/>
      <w:r>
        <w:t>randomised</w:t>
      </w:r>
      <w:proofErr w:type="spellEnd"/>
      <w:r>
        <w:t xml:space="preserve"> double- blind placebo-controlled Phase 3 clinical trial (Study AS-I) and included in a </w:t>
      </w:r>
      <w:proofErr w:type="spellStart"/>
      <w:r>
        <w:t>randomised</w:t>
      </w:r>
      <w:proofErr w:type="spellEnd"/>
      <w:r>
        <w:t xml:space="preserve"> dose-ranging double-blind placebo-controlled</w:t>
      </w:r>
      <w:r>
        <w:rPr>
          <w:spacing w:val="40"/>
        </w:rPr>
        <w:t xml:space="preserve"> </w:t>
      </w:r>
      <w:r>
        <w:t>Phase 2 clinical trial (Study</w:t>
      </w:r>
      <w:r>
        <w:rPr>
          <w:spacing w:val="-8"/>
        </w:rPr>
        <w:t xml:space="preserve"> </w:t>
      </w:r>
      <w:r>
        <w:t>AS-II).</w:t>
      </w:r>
    </w:p>
    <w:p w14:paraId="314D25D4" w14:textId="77777777" w:rsidR="001825E2" w:rsidRDefault="000839A5" w:rsidP="00CB00A7">
      <w:pPr>
        <w:pStyle w:val="BodyText"/>
        <w:spacing w:before="229"/>
        <w:ind w:left="217" w:right="204"/>
        <w:jc w:val="left"/>
      </w:pPr>
      <w:r>
        <w:t>Study AS-I enrolled</w:t>
      </w:r>
      <w:r>
        <w:rPr>
          <w:spacing w:val="38"/>
        </w:rPr>
        <w:t xml:space="preserve"> </w:t>
      </w:r>
      <w:r>
        <w:t>patients who had</w:t>
      </w:r>
      <w:r>
        <w:rPr>
          <w:spacing w:val="38"/>
        </w:rPr>
        <w:t xml:space="preserve"> </w:t>
      </w:r>
      <w:r>
        <w:t>an inadequate response to at least 2 NSAIDs. Study AS-I included a</w:t>
      </w:r>
      <w:r>
        <w:rPr>
          <w:spacing w:val="-9"/>
        </w:rPr>
        <w:t xml:space="preserve"> </w:t>
      </w:r>
      <w:r>
        <w:t>16-week</w:t>
      </w:r>
      <w:r>
        <w:rPr>
          <w:spacing w:val="-7"/>
        </w:rPr>
        <w:t xml:space="preserve"> </w:t>
      </w:r>
      <w:r>
        <w:t>double-blind treatment period in</w:t>
      </w:r>
      <w:r>
        <w:rPr>
          <w:spacing w:val="-7"/>
        </w:rPr>
        <w:t xml:space="preserve"> </w:t>
      </w:r>
      <w:r>
        <w:t>which</w:t>
      </w:r>
      <w:r>
        <w:rPr>
          <w:spacing w:val="-7"/>
        </w:rPr>
        <w:t xml:space="preserve"> </w:t>
      </w:r>
      <w:r>
        <w:t>patients</w:t>
      </w:r>
      <w:r>
        <w:rPr>
          <w:spacing w:val="-11"/>
        </w:rPr>
        <w:t xml:space="preserve"> </w:t>
      </w:r>
      <w:r>
        <w:t>received XELJANZ 5 mg or placebo twice daily and a 32-week open-label treatment period in which all patients received XELJANZ 5 mg twice daily.</w:t>
      </w:r>
    </w:p>
    <w:p w14:paraId="77B112EC" w14:textId="77777777" w:rsidR="001825E2" w:rsidRDefault="000839A5" w:rsidP="00CB00A7">
      <w:pPr>
        <w:pStyle w:val="BodyText"/>
        <w:spacing w:before="246"/>
        <w:ind w:left="216" w:right="221" w:firstLine="1"/>
        <w:jc w:val="left"/>
      </w:pPr>
      <w:r>
        <w:t>Study AS-II enrolled patients who had an inadequate response to at least 2 NSAIDs. This clinical trial included a 12-week double-blind treatment period in which patients received either</w:t>
      </w:r>
      <w:r>
        <w:rPr>
          <w:spacing w:val="-7"/>
        </w:rPr>
        <w:t xml:space="preserve"> </w:t>
      </w:r>
      <w:r>
        <w:t>XELJANZ 2</w:t>
      </w:r>
      <w:r>
        <w:rPr>
          <w:spacing w:val="-2"/>
        </w:rPr>
        <w:t xml:space="preserve"> </w:t>
      </w:r>
      <w:r>
        <w:t>mg,</w:t>
      </w:r>
      <w:r>
        <w:rPr>
          <w:spacing w:val="-2"/>
        </w:rPr>
        <w:t xml:space="preserve"> </w:t>
      </w:r>
      <w:r>
        <w:t>5</w:t>
      </w:r>
      <w:r>
        <w:rPr>
          <w:spacing w:val="-2"/>
        </w:rPr>
        <w:t xml:space="preserve"> </w:t>
      </w:r>
      <w:r>
        <w:t>mg,</w:t>
      </w:r>
      <w:r>
        <w:rPr>
          <w:spacing w:val="-2"/>
        </w:rPr>
        <w:t xml:space="preserve"> </w:t>
      </w:r>
      <w:r>
        <w:t>10</w:t>
      </w:r>
      <w:r>
        <w:rPr>
          <w:spacing w:val="-2"/>
        </w:rPr>
        <w:t xml:space="preserve"> </w:t>
      </w:r>
      <w:proofErr w:type="gramStart"/>
      <w:r>
        <w:t>mg</w:t>
      </w:r>
      <w:proofErr w:type="gramEnd"/>
      <w:r>
        <w:rPr>
          <w:spacing w:val="-2"/>
        </w:rPr>
        <w:t xml:space="preserve"> </w:t>
      </w:r>
      <w:r>
        <w:t>or</w:t>
      </w:r>
      <w:r>
        <w:rPr>
          <w:spacing w:val="-7"/>
        </w:rPr>
        <w:t xml:space="preserve"> </w:t>
      </w:r>
      <w:r>
        <w:t>placebo</w:t>
      </w:r>
      <w:r>
        <w:rPr>
          <w:spacing w:val="-2"/>
        </w:rPr>
        <w:t xml:space="preserve"> </w:t>
      </w:r>
      <w:r>
        <w:t>twice</w:t>
      </w:r>
      <w:r>
        <w:rPr>
          <w:spacing w:val="-4"/>
        </w:rPr>
        <w:t xml:space="preserve"> </w:t>
      </w:r>
      <w:r>
        <w:t>daily. This</w:t>
      </w:r>
      <w:r>
        <w:rPr>
          <w:spacing w:val="-6"/>
        </w:rPr>
        <w:t xml:space="preserve"> </w:t>
      </w:r>
      <w:r>
        <w:t>trial also included a</w:t>
      </w:r>
      <w:r>
        <w:rPr>
          <w:spacing w:val="-4"/>
        </w:rPr>
        <w:t xml:space="preserve"> </w:t>
      </w:r>
      <w:r>
        <w:t>4-week follow-up period.</w:t>
      </w:r>
    </w:p>
    <w:p w14:paraId="5F2FF0ED" w14:textId="77777777" w:rsidR="001825E2" w:rsidRDefault="000839A5" w:rsidP="00CB00A7">
      <w:pPr>
        <w:pStyle w:val="BodyText"/>
        <w:spacing w:before="231"/>
        <w:ind w:left="213" w:right="207" w:firstLine="2"/>
        <w:jc w:val="left"/>
      </w:pPr>
      <w:r>
        <w:t>In</w:t>
      </w:r>
      <w:r>
        <w:rPr>
          <w:spacing w:val="29"/>
        </w:rPr>
        <w:t xml:space="preserve"> </w:t>
      </w:r>
      <w:r>
        <w:t>the</w:t>
      </w:r>
      <w:r>
        <w:rPr>
          <w:spacing w:val="27"/>
        </w:rPr>
        <w:t xml:space="preserve"> </w:t>
      </w:r>
      <w:r>
        <w:t>safety</w:t>
      </w:r>
      <w:r>
        <w:rPr>
          <w:spacing w:val="29"/>
        </w:rPr>
        <w:t xml:space="preserve"> </w:t>
      </w:r>
      <w:r>
        <w:t>population</w:t>
      </w:r>
      <w:r>
        <w:rPr>
          <w:spacing w:val="29"/>
        </w:rPr>
        <w:t xml:space="preserve"> </w:t>
      </w:r>
      <w:r>
        <w:t>of the</w:t>
      </w:r>
      <w:r>
        <w:rPr>
          <w:spacing w:val="27"/>
        </w:rPr>
        <w:t xml:space="preserve"> </w:t>
      </w:r>
      <w:r>
        <w:t>combined</w:t>
      </w:r>
      <w:r>
        <w:rPr>
          <w:spacing w:val="40"/>
        </w:rPr>
        <w:t xml:space="preserve"> </w:t>
      </w:r>
      <w:r>
        <w:t>Phase</w:t>
      </w:r>
      <w:r>
        <w:rPr>
          <w:spacing w:val="27"/>
        </w:rPr>
        <w:t xml:space="preserve"> </w:t>
      </w:r>
      <w:r>
        <w:t>2</w:t>
      </w:r>
      <w:r>
        <w:rPr>
          <w:spacing w:val="29"/>
        </w:rPr>
        <w:t xml:space="preserve"> </w:t>
      </w:r>
      <w:r>
        <w:t>and</w:t>
      </w:r>
      <w:r>
        <w:rPr>
          <w:spacing w:val="29"/>
        </w:rPr>
        <w:t xml:space="preserve"> </w:t>
      </w:r>
      <w:r>
        <w:t>the</w:t>
      </w:r>
      <w:r>
        <w:rPr>
          <w:spacing w:val="27"/>
        </w:rPr>
        <w:t xml:space="preserve"> </w:t>
      </w:r>
      <w:r>
        <w:t>Phase</w:t>
      </w:r>
      <w:r>
        <w:rPr>
          <w:spacing w:val="27"/>
        </w:rPr>
        <w:t xml:space="preserve"> </w:t>
      </w:r>
      <w:r>
        <w:t>3</w:t>
      </w:r>
      <w:r>
        <w:rPr>
          <w:spacing w:val="29"/>
        </w:rPr>
        <w:t xml:space="preserve"> </w:t>
      </w:r>
      <w:r>
        <w:t>clinical trials,</w:t>
      </w:r>
      <w:r>
        <w:rPr>
          <w:spacing w:val="28"/>
        </w:rPr>
        <w:t xml:space="preserve"> </w:t>
      </w:r>
      <w:r>
        <w:t>a</w:t>
      </w:r>
      <w:r>
        <w:rPr>
          <w:spacing w:val="27"/>
        </w:rPr>
        <w:t xml:space="preserve"> </w:t>
      </w:r>
      <w:r>
        <w:t>total of 420</w:t>
      </w:r>
      <w:r>
        <w:rPr>
          <w:spacing w:val="-2"/>
        </w:rPr>
        <w:t xml:space="preserve"> </w:t>
      </w:r>
      <w:r>
        <w:t xml:space="preserve">patients were treated with either XELJANZ 2 mg, 5 </w:t>
      </w:r>
      <w:proofErr w:type="gramStart"/>
      <w:r>
        <w:t>mg</w:t>
      </w:r>
      <w:proofErr w:type="gramEnd"/>
      <w:r>
        <w:t xml:space="preserve"> or 10 mg twice daily. Of these, 316 patients</w:t>
      </w:r>
      <w:r>
        <w:rPr>
          <w:spacing w:val="-1"/>
        </w:rPr>
        <w:t xml:space="preserve"> </w:t>
      </w:r>
      <w:r>
        <w:t>were treated with XELJANZ 5 mg twice daily for</w:t>
      </w:r>
      <w:r>
        <w:rPr>
          <w:spacing w:val="-2"/>
        </w:rPr>
        <w:t xml:space="preserve"> </w:t>
      </w:r>
      <w:r>
        <w:t>up to 48 weeks. Among these 316</w:t>
      </w:r>
      <w:r>
        <w:rPr>
          <w:spacing w:val="-4"/>
        </w:rPr>
        <w:t xml:space="preserve"> </w:t>
      </w:r>
      <w:r>
        <w:t>patients, 253 received</w:t>
      </w:r>
      <w:r>
        <w:rPr>
          <w:spacing w:val="39"/>
        </w:rPr>
        <w:t xml:space="preserve"> </w:t>
      </w:r>
      <w:r>
        <w:t>treatment for 6 months or longer, and among these 253</w:t>
      </w:r>
      <w:r>
        <w:rPr>
          <w:spacing w:val="-4"/>
        </w:rPr>
        <w:t xml:space="preserve"> </w:t>
      </w:r>
      <w:r>
        <w:t xml:space="preserve">patients, 108 received treatment for 12 months or longer. In the combined double-blind placebo- controlled period, 185 patients were </w:t>
      </w:r>
      <w:proofErr w:type="spellStart"/>
      <w:r>
        <w:t>randomised</w:t>
      </w:r>
      <w:proofErr w:type="spellEnd"/>
      <w:r>
        <w:t xml:space="preserve"> to and treated with</w:t>
      </w:r>
      <w:r>
        <w:t xml:space="preserve"> XELJANZ 5</w:t>
      </w:r>
      <w:r>
        <w:rPr>
          <w:spacing w:val="-5"/>
        </w:rPr>
        <w:t xml:space="preserve"> </w:t>
      </w:r>
      <w:r>
        <w:t xml:space="preserve">mg twice daily and 187 were </w:t>
      </w:r>
      <w:proofErr w:type="spellStart"/>
      <w:r>
        <w:t>randomised</w:t>
      </w:r>
      <w:proofErr w:type="spellEnd"/>
      <w:r>
        <w:t xml:space="preserve"> to</w:t>
      </w:r>
      <w:r>
        <w:rPr>
          <w:spacing w:val="-4"/>
        </w:rPr>
        <w:t xml:space="preserve"> </w:t>
      </w:r>
      <w:r>
        <w:t>and treated with</w:t>
      </w:r>
      <w:r>
        <w:rPr>
          <w:spacing w:val="-3"/>
        </w:rPr>
        <w:t xml:space="preserve"> </w:t>
      </w:r>
      <w:r>
        <w:t>placebo for up</w:t>
      </w:r>
      <w:r>
        <w:rPr>
          <w:spacing w:val="-3"/>
        </w:rPr>
        <w:t xml:space="preserve"> </w:t>
      </w:r>
      <w:r>
        <w:t>to 16</w:t>
      </w:r>
      <w:r>
        <w:rPr>
          <w:spacing w:val="-3"/>
        </w:rPr>
        <w:t xml:space="preserve"> </w:t>
      </w:r>
      <w:r>
        <w:t xml:space="preserve">weeks. Concomitant treatment with stable doses of </w:t>
      </w:r>
      <w:proofErr w:type="spellStart"/>
      <w:r>
        <w:t>cDMARDs</w:t>
      </w:r>
      <w:proofErr w:type="spellEnd"/>
      <w:r>
        <w:t xml:space="preserve">, NSAIDs or corticosteroids (≤10 mg/day) was permitted. The study population of 420 patients </w:t>
      </w:r>
      <w:proofErr w:type="spellStart"/>
      <w:r>
        <w:t>randomised</w:t>
      </w:r>
      <w:proofErr w:type="spellEnd"/>
      <w:r>
        <w:t xml:space="preserve"> and treated with XELJANZ included 13 (3.1%) patients aged 65 years or older and 18 (4.3%) patients with</w:t>
      </w:r>
      <w:r>
        <w:rPr>
          <w:spacing w:val="-2"/>
        </w:rPr>
        <w:t xml:space="preserve"> </w:t>
      </w:r>
      <w:r>
        <w:t xml:space="preserve">diabetes at </w:t>
      </w:r>
      <w:r>
        <w:rPr>
          <w:spacing w:val="-2"/>
        </w:rPr>
        <w:t>baseline.</w:t>
      </w:r>
    </w:p>
    <w:p w14:paraId="4D3AA46A" w14:textId="77777777" w:rsidR="001825E2" w:rsidRDefault="000839A5" w:rsidP="00CB00A7">
      <w:pPr>
        <w:spacing w:before="249"/>
        <w:ind w:left="220"/>
        <w:rPr>
          <w:i/>
          <w:sz w:val="24"/>
        </w:rPr>
      </w:pPr>
      <w:r>
        <w:rPr>
          <w:i/>
          <w:sz w:val="24"/>
          <w:u w:val="single"/>
        </w:rPr>
        <w:t>Ulcerative</w:t>
      </w:r>
      <w:r>
        <w:rPr>
          <w:i/>
          <w:spacing w:val="1"/>
          <w:sz w:val="24"/>
          <w:u w:val="single"/>
        </w:rPr>
        <w:t xml:space="preserve"> </w:t>
      </w:r>
      <w:r>
        <w:rPr>
          <w:i/>
          <w:spacing w:val="-2"/>
          <w:sz w:val="24"/>
          <w:u w:val="single"/>
        </w:rPr>
        <w:t>Colitis</w:t>
      </w:r>
    </w:p>
    <w:p w14:paraId="5DC25B0F" w14:textId="77777777" w:rsidR="001825E2" w:rsidRDefault="000839A5" w:rsidP="00CB00A7">
      <w:pPr>
        <w:pStyle w:val="BodyText"/>
        <w:spacing w:before="114"/>
        <w:ind w:left="213" w:right="204" w:firstLine="6"/>
        <w:jc w:val="left"/>
      </w:pPr>
      <w:r>
        <w:t xml:space="preserve">The following safety data were based on 4 </w:t>
      </w:r>
      <w:proofErr w:type="spellStart"/>
      <w:r>
        <w:t>randomised</w:t>
      </w:r>
      <w:proofErr w:type="spellEnd"/>
      <w:r>
        <w:t>, double-blind, placebo-controlled studies: 2 Phase 3 induction studies of identical design (UC-I and UC-II), a Phase 3 maintenance study (UC-III), and 1 dose-ranging Phase</w:t>
      </w:r>
      <w:r>
        <w:rPr>
          <w:spacing w:val="-1"/>
        </w:rPr>
        <w:t xml:space="preserve"> </w:t>
      </w:r>
      <w:r>
        <w:t>2 induction study (UC-V). Patients with moderately to severely active UC were enrolled in the Phase</w:t>
      </w:r>
      <w:r>
        <w:rPr>
          <w:spacing w:val="-4"/>
        </w:rPr>
        <w:t xml:space="preserve"> </w:t>
      </w:r>
      <w:r>
        <w:t>2 and Phase</w:t>
      </w:r>
      <w:r>
        <w:rPr>
          <w:spacing w:val="-4"/>
        </w:rPr>
        <w:t xml:space="preserve"> </w:t>
      </w:r>
      <w:r>
        <w:t xml:space="preserve">3 induction studies. In the induction studies, </w:t>
      </w:r>
      <w:proofErr w:type="spellStart"/>
      <w:r>
        <w:t>randomised</w:t>
      </w:r>
      <w:proofErr w:type="spellEnd"/>
      <w:r>
        <w:t xml:space="preserve"> patients received treatment with XELJANZ 10 mg twice daily</w:t>
      </w:r>
      <w:r>
        <w:rPr>
          <w:spacing w:val="40"/>
        </w:rPr>
        <w:t xml:space="preserve"> </w:t>
      </w:r>
      <w:r>
        <w:t>(938 patients combined) or</w:t>
      </w:r>
      <w:r>
        <w:rPr>
          <w:spacing w:val="40"/>
        </w:rPr>
        <w:t xml:space="preserve"> </w:t>
      </w:r>
      <w:r>
        <w:t>placebo</w:t>
      </w:r>
      <w:r>
        <w:rPr>
          <w:spacing w:val="40"/>
        </w:rPr>
        <w:t xml:space="preserve"> </w:t>
      </w:r>
      <w:r>
        <w:t>(282 patients</w:t>
      </w:r>
      <w:r>
        <w:rPr>
          <w:spacing w:val="40"/>
        </w:rPr>
        <w:t xml:space="preserve"> </w:t>
      </w:r>
      <w:r>
        <w:t>combined) for up to 8 weeks. Patients who completed</w:t>
      </w:r>
      <w:r>
        <w:t xml:space="preserve"> either Study UC-I or Study UC-II and achieved clinical response entered Study UC-III. In Study UC-III, patients were re-</w:t>
      </w:r>
      <w:proofErr w:type="spellStart"/>
      <w:r>
        <w:t>randomised</w:t>
      </w:r>
      <w:proofErr w:type="spellEnd"/>
      <w:r>
        <w:t>, such that 198 patients received XELJANZ</w:t>
      </w:r>
      <w:r>
        <w:rPr>
          <w:spacing w:val="-1"/>
        </w:rPr>
        <w:t xml:space="preserve"> </w:t>
      </w:r>
      <w:r>
        <w:t>5</w:t>
      </w:r>
      <w:r>
        <w:rPr>
          <w:spacing w:val="-4"/>
        </w:rPr>
        <w:t xml:space="preserve"> </w:t>
      </w:r>
      <w:r>
        <w:t>mg twice</w:t>
      </w:r>
      <w:r>
        <w:rPr>
          <w:spacing w:val="-6"/>
        </w:rPr>
        <w:t xml:space="preserve"> </w:t>
      </w:r>
      <w:r>
        <w:t>daily, 196</w:t>
      </w:r>
      <w:r>
        <w:rPr>
          <w:spacing w:val="-4"/>
        </w:rPr>
        <w:t xml:space="preserve"> </w:t>
      </w:r>
      <w:r>
        <w:t>patients received XELJANZ 10</w:t>
      </w:r>
      <w:r>
        <w:rPr>
          <w:spacing w:val="-4"/>
        </w:rPr>
        <w:t xml:space="preserve"> </w:t>
      </w:r>
      <w:r>
        <w:t>mg twice daily, and 198</w:t>
      </w:r>
      <w:r>
        <w:rPr>
          <w:spacing w:val="-1"/>
        </w:rPr>
        <w:t xml:space="preserve"> </w:t>
      </w:r>
      <w:r>
        <w:t>patients received placebo for up to 52</w:t>
      </w:r>
      <w:r>
        <w:rPr>
          <w:spacing w:val="-1"/>
        </w:rPr>
        <w:t xml:space="preserve"> </w:t>
      </w:r>
      <w:r>
        <w:t>weeks. Concomitant use of immunosuppressants or biologics was prohibited during these studies. Concomitant stable doses of oral corticosteroids were allowed in the induction studies, with taper of corticosteroids</w:t>
      </w:r>
      <w:r>
        <w:rPr>
          <w:spacing w:val="40"/>
        </w:rPr>
        <w:t xml:space="preserve"> </w:t>
      </w:r>
      <w:r>
        <w:t>to</w:t>
      </w:r>
      <w:r>
        <w:rPr>
          <w:spacing w:val="40"/>
        </w:rPr>
        <w:t xml:space="preserve"> </w:t>
      </w:r>
      <w:r>
        <w:t>discontin</w:t>
      </w:r>
      <w:r>
        <w:t>uation</w:t>
      </w:r>
      <w:r>
        <w:rPr>
          <w:spacing w:val="40"/>
        </w:rPr>
        <w:t xml:space="preserve"> </w:t>
      </w:r>
      <w:r>
        <w:t>mandated</w:t>
      </w:r>
      <w:r>
        <w:rPr>
          <w:spacing w:val="40"/>
        </w:rPr>
        <w:t xml:space="preserve"> </w:t>
      </w:r>
      <w:r>
        <w:t>within</w:t>
      </w:r>
      <w:r>
        <w:rPr>
          <w:spacing w:val="40"/>
        </w:rPr>
        <w:t xml:space="preserve"> </w:t>
      </w:r>
      <w:r>
        <w:t>15 weeks</w:t>
      </w:r>
      <w:r>
        <w:rPr>
          <w:spacing w:val="40"/>
        </w:rPr>
        <w:t xml:space="preserve"> </w:t>
      </w:r>
      <w:r>
        <w:t>of</w:t>
      </w:r>
      <w:r>
        <w:rPr>
          <w:spacing w:val="40"/>
        </w:rPr>
        <w:t xml:space="preserve"> </w:t>
      </w:r>
      <w:r>
        <w:t>entering</w:t>
      </w:r>
      <w:r>
        <w:rPr>
          <w:spacing w:val="40"/>
        </w:rPr>
        <w:t xml:space="preserve"> </w:t>
      </w:r>
      <w:r>
        <w:t>the</w:t>
      </w:r>
      <w:r>
        <w:rPr>
          <w:spacing w:val="40"/>
        </w:rPr>
        <w:t xml:space="preserve"> </w:t>
      </w:r>
      <w:proofErr w:type="gramStart"/>
      <w:r>
        <w:t>maintenance</w:t>
      </w:r>
      <w:proofErr w:type="gramEnd"/>
    </w:p>
    <w:p w14:paraId="042C4584" w14:textId="77777777" w:rsidR="001825E2" w:rsidRDefault="001825E2" w:rsidP="00CB00A7">
      <w:pPr>
        <w:sectPr w:rsidR="001825E2">
          <w:pgSz w:w="11910" w:h="16850"/>
          <w:pgMar w:top="1360" w:right="1220" w:bottom="980" w:left="1220" w:header="0" w:footer="785" w:gutter="0"/>
          <w:cols w:space="720"/>
        </w:sectPr>
      </w:pPr>
    </w:p>
    <w:p w14:paraId="31737E1E" w14:textId="77777777" w:rsidR="001825E2" w:rsidRDefault="000839A5" w:rsidP="00CB00A7">
      <w:pPr>
        <w:pStyle w:val="BodyText"/>
        <w:spacing w:before="80" w:line="235" w:lineRule="auto"/>
        <w:ind w:left="220" w:right="218" w:hanging="1"/>
        <w:jc w:val="left"/>
      </w:pPr>
      <w:bookmarkStart w:id="42" w:name="Clinical_Trial_Experience"/>
      <w:bookmarkEnd w:id="42"/>
      <w:r>
        <w:lastRenderedPageBreak/>
        <w:t>study.</w:t>
      </w:r>
      <w:r>
        <w:rPr>
          <w:spacing w:val="-15"/>
        </w:rPr>
        <w:t xml:space="preserve"> </w:t>
      </w:r>
      <w:r>
        <w:t>In</w:t>
      </w:r>
      <w:r>
        <w:rPr>
          <w:spacing w:val="-4"/>
        </w:rPr>
        <w:t xml:space="preserve"> </w:t>
      </w:r>
      <w:r>
        <w:t>addition</w:t>
      </w:r>
      <w:r>
        <w:rPr>
          <w:spacing w:val="-2"/>
        </w:rPr>
        <w:t xml:space="preserve"> </w:t>
      </w:r>
      <w:r>
        <w:t>to</w:t>
      </w:r>
      <w:r>
        <w:rPr>
          <w:spacing w:val="-2"/>
        </w:rPr>
        <w:t xml:space="preserve"> </w:t>
      </w:r>
      <w:r>
        <w:t>the</w:t>
      </w:r>
      <w:r>
        <w:rPr>
          <w:spacing w:val="-4"/>
        </w:rPr>
        <w:t xml:space="preserve"> </w:t>
      </w:r>
      <w:r>
        <w:t>induction</w:t>
      </w:r>
      <w:r>
        <w:rPr>
          <w:spacing w:val="-2"/>
        </w:rPr>
        <w:t xml:space="preserve"> </w:t>
      </w:r>
      <w:r>
        <w:t>and maintenance</w:t>
      </w:r>
      <w:r>
        <w:rPr>
          <w:spacing w:val="-4"/>
        </w:rPr>
        <w:t xml:space="preserve"> </w:t>
      </w:r>
      <w:r>
        <w:t>studies,</w:t>
      </w:r>
      <w:r>
        <w:rPr>
          <w:spacing w:val="-2"/>
        </w:rPr>
        <w:t xml:space="preserve"> </w:t>
      </w:r>
      <w:r>
        <w:t>long-term</w:t>
      </w:r>
      <w:r>
        <w:rPr>
          <w:spacing w:val="-9"/>
        </w:rPr>
        <w:t xml:space="preserve"> </w:t>
      </w:r>
      <w:r>
        <w:t>safety</w:t>
      </w:r>
      <w:r>
        <w:rPr>
          <w:spacing w:val="-2"/>
        </w:rPr>
        <w:t xml:space="preserve"> </w:t>
      </w:r>
      <w:r>
        <w:t>was</w:t>
      </w:r>
      <w:r>
        <w:rPr>
          <w:spacing w:val="-6"/>
        </w:rPr>
        <w:t xml:space="preserve"> </w:t>
      </w:r>
      <w:r>
        <w:t>evaluated in an open-label</w:t>
      </w:r>
      <w:r>
        <w:rPr>
          <w:spacing w:val="40"/>
        </w:rPr>
        <w:t xml:space="preserve"> </w:t>
      </w:r>
      <w:r>
        <w:t>long-term extension study (Study UC-IV).</w:t>
      </w:r>
    </w:p>
    <w:p w14:paraId="36BA2256" w14:textId="77777777" w:rsidR="001825E2" w:rsidRDefault="000839A5" w:rsidP="00CB00A7">
      <w:pPr>
        <w:spacing w:before="250"/>
        <w:ind w:left="220"/>
        <w:rPr>
          <w:i/>
          <w:sz w:val="24"/>
        </w:rPr>
      </w:pPr>
      <w:r>
        <w:rPr>
          <w:i/>
          <w:sz w:val="24"/>
          <w:u w:val="single"/>
        </w:rPr>
        <w:t>Juvenile</w:t>
      </w:r>
      <w:r>
        <w:rPr>
          <w:i/>
          <w:spacing w:val="-8"/>
          <w:sz w:val="24"/>
          <w:u w:val="single"/>
        </w:rPr>
        <w:t xml:space="preserve"> </w:t>
      </w:r>
      <w:r>
        <w:rPr>
          <w:i/>
          <w:sz w:val="24"/>
          <w:u w:val="single"/>
        </w:rPr>
        <w:t>Idiopathic</w:t>
      </w:r>
      <w:r>
        <w:rPr>
          <w:i/>
          <w:spacing w:val="3"/>
          <w:sz w:val="24"/>
          <w:u w:val="single"/>
        </w:rPr>
        <w:t xml:space="preserve"> </w:t>
      </w:r>
      <w:r>
        <w:rPr>
          <w:i/>
          <w:spacing w:val="-2"/>
          <w:sz w:val="24"/>
          <w:u w:val="single"/>
        </w:rPr>
        <w:t>Arthritis</w:t>
      </w:r>
    </w:p>
    <w:p w14:paraId="1DC40420" w14:textId="77777777" w:rsidR="001825E2" w:rsidRDefault="000839A5" w:rsidP="00CB00A7">
      <w:pPr>
        <w:pStyle w:val="BodyText"/>
        <w:spacing w:before="114"/>
        <w:ind w:left="216" w:right="227" w:firstLine="3"/>
        <w:jc w:val="left"/>
      </w:pPr>
      <w:r>
        <w:t>The</w:t>
      </w:r>
      <w:r>
        <w:rPr>
          <w:spacing w:val="-8"/>
        </w:rPr>
        <w:t xml:space="preserve"> </w:t>
      </w:r>
      <w:r>
        <w:t>following</w:t>
      </w:r>
      <w:r>
        <w:rPr>
          <w:spacing w:val="-4"/>
        </w:rPr>
        <w:t xml:space="preserve"> </w:t>
      </w:r>
      <w:r>
        <w:t>safety</w:t>
      </w:r>
      <w:r>
        <w:rPr>
          <w:spacing w:val="-4"/>
        </w:rPr>
        <w:t xml:space="preserve"> </w:t>
      </w:r>
      <w:r>
        <w:t>data</w:t>
      </w:r>
      <w:r>
        <w:rPr>
          <w:spacing w:val="-6"/>
        </w:rPr>
        <w:t xml:space="preserve"> </w:t>
      </w:r>
      <w:r>
        <w:t>were</w:t>
      </w:r>
      <w:r>
        <w:rPr>
          <w:spacing w:val="-6"/>
        </w:rPr>
        <w:t xml:space="preserve"> </w:t>
      </w:r>
      <w:r>
        <w:t>based on</w:t>
      </w:r>
      <w:r>
        <w:rPr>
          <w:spacing w:val="-15"/>
        </w:rPr>
        <w:t xml:space="preserve"> </w:t>
      </w:r>
      <w:r>
        <w:t>the</w:t>
      </w:r>
      <w:r>
        <w:rPr>
          <w:spacing w:val="-6"/>
        </w:rPr>
        <w:t xml:space="preserve"> </w:t>
      </w:r>
      <w:r>
        <w:t>double-blind,</w:t>
      </w:r>
      <w:r>
        <w:rPr>
          <w:spacing w:val="-4"/>
        </w:rPr>
        <w:t xml:space="preserve"> </w:t>
      </w:r>
      <w:r>
        <w:t>placebo-controlled Phase</w:t>
      </w:r>
      <w:r>
        <w:rPr>
          <w:spacing w:val="-6"/>
        </w:rPr>
        <w:t xml:space="preserve"> </w:t>
      </w:r>
      <w:r>
        <w:t>3</w:t>
      </w:r>
      <w:r>
        <w:rPr>
          <w:spacing w:val="-4"/>
        </w:rPr>
        <w:t xml:space="preserve"> </w:t>
      </w:r>
      <w:r>
        <w:t>clinical trial</w:t>
      </w:r>
      <w:r>
        <w:rPr>
          <w:spacing w:val="-7"/>
        </w:rPr>
        <w:t xml:space="preserve"> </w:t>
      </w:r>
      <w:r>
        <w:t xml:space="preserve">(Study </w:t>
      </w:r>
      <w:proofErr w:type="spellStart"/>
      <w:r>
        <w:t>pcJIA</w:t>
      </w:r>
      <w:proofErr w:type="spellEnd"/>
      <w:r>
        <w:t>-I)</w:t>
      </w:r>
      <w:r>
        <w:rPr>
          <w:spacing w:val="-6"/>
        </w:rPr>
        <w:t xml:space="preserve"> </w:t>
      </w:r>
      <w:r>
        <w:t>in a</w:t>
      </w:r>
      <w:r>
        <w:rPr>
          <w:spacing w:val="-2"/>
        </w:rPr>
        <w:t xml:space="preserve"> </w:t>
      </w:r>
      <w:r>
        <w:t>total</w:t>
      </w:r>
      <w:r>
        <w:rPr>
          <w:spacing w:val="-7"/>
        </w:rPr>
        <w:t xml:space="preserve"> </w:t>
      </w:r>
      <w:r>
        <w:t>of 225 JIA patients</w:t>
      </w:r>
      <w:r>
        <w:rPr>
          <w:spacing w:val="-4"/>
        </w:rPr>
        <w:t xml:space="preserve"> </w:t>
      </w:r>
      <w:r>
        <w:t>(56 male</w:t>
      </w:r>
      <w:r>
        <w:rPr>
          <w:spacing w:val="-2"/>
        </w:rPr>
        <w:t xml:space="preserve"> </w:t>
      </w:r>
      <w:r>
        <w:t>and 169 female)</w:t>
      </w:r>
      <w:r>
        <w:rPr>
          <w:spacing w:val="-6"/>
        </w:rPr>
        <w:t xml:space="preserve"> </w:t>
      </w:r>
      <w:r>
        <w:t>2 to &lt;18 years of age,</w:t>
      </w:r>
      <w:r>
        <w:rPr>
          <w:spacing w:val="-5"/>
        </w:rPr>
        <w:t xml:space="preserve"> </w:t>
      </w:r>
      <w:r>
        <w:t>treated with</w:t>
      </w:r>
      <w:r>
        <w:rPr>
          <w:spacing w:val="-15"/>
        </w:rPr>
        <w:t xml:space="preserve"> </w:t>
      </w:r>
      <w:r>
        <w:t>XELJANZ</w:t>
      </w:r>
      <w:r>
        <w:rPr>
          <w:spacing w:val="-14"/>
        </w:rPr>
        <w:t xml:space="preserve"> </w:t>
      </w:r>
      <w:r>
        <w:t>dosed at 5</w:t>
      </w:r>
      <w:r>
        <w:rPr>
          <w:spacing w:val="-2"/>
        </w:rPr>
        <w:t xml:space="preserve"> </w:t>
      </w:r>
      <w:r>
        <w:t>mg</w:t>
      </w:r>
      <w:r>
        <w:rPr>
          <w:spacing w:val="-2"/>
        </w:rPr>
        <w:t xml:space="preserve"> </w:t>
      </w:r>
      <w:r>
        <w:t>twice</w:t>
      </w:r>
      <w:r>
        <w:rPr>
          <w:spacing w:val="-4"/>
        </w:rPr>
        <w:t xml:space="preserve"> </w:t>
      </w:r>
      <w:r>
        <w:t>daily</w:t>
      </w:r>
      <w:r>
        <w:rPr>
          <w:spacing w:val="-2"/>
        </w:rPr>
        <w:t xml:space="preserve"> </w:t>
      </w:r>
      <w:r>
        <w:t>or</w:t>
      </w:r>
      <w:r>
        <w:rPr>
          <w:spacing w:val="-7"/>
        </w:rPr>
        <w:t xml:space="preserve"> </w:t>
      </w:r>
      <w:r>
        <w:t>weight based equivalent twice</w:t>
      </w:r>
      <w:r>
        <w:rPr>
          <w:spacing w:val="-4"/>
        </w:rPr>
        <w:t xml:space="preserve"> </w:t>
      </w:r>
      <w:r>
        <w:t>daily with or without concomitant MTX.</w:t>
      </w:r>
    </w:p>
    <w:p w14:paraId="03DF1306" w14:textId="77777777" w:rsidR="001825E2" w:rsidRDefault="000839A5" w:rsidP="00CB00A7">
      <w:pPr>
        <w:pStyle w:val="Heading4"/>
        <w:spacing w:before="246"/>
        <w:ind w:left="216"/>
        <w:jc w:val="left"/>
      </w:pPr>
      <w:r>
        <w:t>Clinical</w:t>
      </w:r>
      <w:r>
        <w:rPr>
          <w:spacing w:val="-5"/>
        </w:rPr>
        <w:t xml:space="preserve"> </w:t>
      </w:r>
      <w:r>
        <w:t>Trial</w:t>
      </w:r>
      <w:r>
        <w:rPr>
          <w:spacing w:val="-5"/>
        </w:rPr>
        <w:t xml:space="preserve"> </w:t>
      </w:r>
      <w:r>
        <w:rPr>
          <w:spacing w:val="-2"/>
        </w:rPr>
        <w:t>Experience</w:t>
      </w:r>
    </w:p>
    <w:p w14:paraId="1FE98707" w14:textId="77777777" w:rsidR="001825E2" w:rsidRDefault="000839A5" w:rsidP="00CB00A7">
      <w:pPr>
        <w:pStyle w:val="BodyText"/>
        <w:spacing w:before="114" w:line="242" w:lineRule="auto"/>
        <w:ind w:left="215" w:right="233"/>
        <w:jc w:val="left"/>
      </w:pPr>
      <w:r>
        <w:t>The most common category of serious adverse reactions in RA, PsA and JIA were serious infections</w:t>
      </w:r>
      <w:r>
        <w:rPr>
          <w:spacing w:val="-5"/>
        </w:rPr>
        <w:t xml:space="preserve"> </w:t>
      </w:r>
      <w:r>
        <w:t>(see</w:t>
      </w:r>
      <w:r>
        <w:rPr>
          <w:spacing w:val="-3"/>
        </w:rPr>
        <w:t xml:space="preserve"> </w:t>
      </w:r>
      <w:r>
        <w:t>Section</w:t>
      </w:r>
      <w:r>
        <w:rPr>
          <w:spacing w:val="-1"/>
        </w:rPr>
        <w:t xml:space="preserve"> </w:t>
      </w:r>
      <w:r>
        <w:t>4.4</w:t>
      </w:r>
      <w:r>
        <w:rPr>
          <w:spacing w:val="-1"/>
        </w:rPr>
        <w:t xml:space="preserve"> </w:t>
      </w:r>
      <w:r>
        <w:t>Special Warnings</w:t>
      </w:r>
      <w:r>
        <w:rPr>
          <w:spacing w:val="-5"/>
        </w:rPr>
        <w:t xml:space="preserve"> </w:t>
      </w:r>
      <w:r>
        <w:t>and Precautions</w:t>
      </w:r>
      <w:r>
        <w:rPr>
          <w:spacing w:val="-5"/>
        </w:rPr>
        <w:t xml:space="preserve"> </w:t>
      </w:r>
      <w:proofErr w:type="gramStart"/>
      <w:r>
        <w:t>For</w:t>
      </w:r>
      <w:proofErr w:type="gramEnd"/>
      <w:r>
        <w:rPr>
          <w:spacing w:val="-6"/>
        </w:rPr>
        <w:t xml:space="preserve"> </w:t>
      </w:r>
      <w:r>
        <w:t>Use)</w:t>
      </w:r>
      <w:r>
        <w:rPr>
          <w:spacing w:val="-7"/>
        </w:rPr>
        <w:t xml:space="preserve"> </w:t>
      </w:r>
      <w:r>
        <w:t>and the</w:t>
      </w:r>
      <w:r>
        <w:rPr>
          <w:spacing w:val="-3"/>
        </w:rPr>
        <w:t xml:space="preserve"> </w:t>
      </w:r>
      <w:r>
        <w:t>most common categories of serious</w:t>
      </w:r>
      <w:r>
        <w:rPr>
          <w:spacing w:val="39"/>
        </w:rPr>
        <w:t xml:space="preserve"> </w:t>
      </w:r>
      <w:r>
        <w:t>adverse</w:t>
      </w:r>
      <w:r>
        <w:rPr>
          <w:spacing w:val="-11"/>
        </w:rPr>
        <w:t xml:space="preserve"> </w:t>
      </w:r>
      <w:r>
        <w:t>reactions in UC</w:t>
      </w:r>
      <w:r>
        <w:rPr>
          <w:spacing w:val="-4"/>
        </w:rPr>
        <w:t xml:space="preserve"> </w:t>
      </w:r>
      <w:r>
        <w:t>were gastrointestinal disorders and infections.</w:t>
      </w:r>
    </w:p>
    <w:p w14:paraId="5CEDD3B5" w14:textId="77777777" w:rsidR="001825E2" w:rsidRDefault="000839A5" w:rsidP="00CB00A7">
      <w:pPr>
        <w:spacing w:before="229"/>
        <w:ind w:left="220"/>
        <w:rPr>
          <w:i/>
          <w:sz w:val="24"/>
        </w:rPr>
      </w:pPr>
      <w:r>
        <w:rPr>
          <w:i/>
          <w:sz w:val="24"/>
          <w:u w:val="single"/>
        </w:rPr>
        <w:t>Rheumatoid</w:t>
      </w:r>
      <w:r>
        <w:rPr>
          <w:i/>
          <w:spacing w:val="-7"/>
          <w:sz w:val="24"/>
          <w:u w:val="single"/>
        </w:rPr>
        <w:t xml:space="preserve"> </w:t>
      </w:r>
      <w:r>
        <w:rPr>
          <w:i/>
          <w:spacing w:val="-2"/>
          <w:sz w:val="24"/>
          <w:u w:val="single"/>
        </w:rPr>
        <w:t>Arthritis</w:t>
      </w:r>
    </w:p>
    <w:p w14:paraId="2ADFC17D" w14:textId="77777777" w:rsidR="001825E2" w:rsidRDefault="000839A5" w:rsidP="00CB00A7">
      <w:pPr>
        <w:pStyle w:val="BodyText"/>
        <w:spacing w:before="129"/>
        <w:ind w:left="219" w:right="218"/>
        <w:jc w:val="left"/>
      </w:pPr>
      <w:r>
        <w:t xml:space="preserve">The </w:t>
      </w:r>
      <w:proofErr w:type="gramStart"/>
      <w:r>
        <w:t>most</w:t>
      </w:r>
      <w:r>
        <w:rPr>
          <w:spacing w:val="40"/>
        </w:rPr>
        <w:t xml:space="preserve"> </w:t>
      </w:r>
      <w:r>
        <w:t>commonly reported</w:t>
      </w:r>
      <w:proofErr w:type="gramEnd"/>
      <w:r>
        <w:rPr>
          <w:spacing w:val="40"/>
        </w:rPr>
        <w:t xml:space="preserve"> </w:t>
      </w:r>
      <w:r>
        <w:t>adverse reactions during the first</w:t>
      </w:r>
      <w:r>
        <w:rPr>
          <w:spacing w:val="40"/>
        </w:rPr>
        <w:t xml:space="preserve"> </w:t>
      </w:r>
      <w:r>
        <w:t>3</w:t>
      </w:r>
      <w:r>
        <w:rPr>
          <w:spacing w:val="-4"/>
        </w:rPr>
        <w:t xml:space="preserve"> </w:t>
      </w:r>
      <w:r>
        <w:t xml:space="preserve">months in controlled clinical trials (occurring in ≥2% of patients treated with XELJANZ monotherapy or in combination with DMARDs) were headache, upper respiratory tract infections, nasopharyngitis, </w:t>
      </w:r>
      <w:proofErr w:type="spellStart"/>
      <w:r>
        <w:t>diarrhoea</w:t>
      </w:r>
      <w:proofErr w:type="spellEnd"/>
      <w:r>
        <w:t>, nausea and hypertension.</w:t>
      </w:r>
    </w:p>
    <w:p w14:paraId="650EA01D" w14:textId="77777777" w:rsidR="001825E2" w:rsidRDefault="000839A5" w:rsidP="00CB00A7">
      <w:pPr>
        <w:pStyle w:val="BodyText"/>
        <w:spacing w:before="231" w:line="242" w:lineRule="auto"/>
        <w:ind w:left="216" w:right="220" w:firstLine="1"/>
        <w:jc w:val="left"/>
      </w:pPr>
      <w:r>
        <w:t>The proportion of patients who discontinued treatment due to any adverse reactions during first 3 months</w:t>
      </w:r>
      <w:r>
        <w:rPr>
          <w:spacing w:val="-1"/>
        </w:rPr>
        <w:t xml:space="preserve"> </w:t>
      </w:r>
      <w:r>
        <w:t>of the double-blind, placebo-</w:t>
      </w:r>
      <w:r>
        <w:rPr>
          <w:spacing w:val="-3"/>
        </w:rPr>
        <w:t xml:space="preserve"> </w:t>
      </w:r>
      <w:r>
        <w:t>or</w:t>
      </w:r>
      <w:r>
        <w:rPr>
          <w:spacing w:val="-2"/>
        </w:rPr>
        <w:t xml:space="preserve"> </w:t>
      </w:r>
      <w:r>
        <w:t>MTX-controlled studies</w:t>
      </w:r>
      <w:r>
        <w:rPr>
          <w:spacing w:val="-1"/>
        </w:rPr>
        <w:t xml:space="preserve"> </w:t>
      </w:r>
      <w:r>
        <w:t>was</w:t>
      </w:r>
      <w:r>
        <w:rPr>
          <w:spacing w:val="-1"/>
        </w:rPr>
        <w:t xml:space="preserve"> </w:t>
      </w:r>
      <w:r>
        <w:t>3.8%</w:t>
      </w:r>
      <w:r>
        <w:rPr>
          <w:spacing w:val="-2"/>
        </w:rPr>
        <w:t xml:space="preserve"> </w:t>
      </w:r>
      <w:r>
        <w:t>for</w:t>
      </w:r>
      <w:r>
        <w:rPr>
          <w:spacing w:val="-2"/>
        </w:rPr>
        <w:t xml:space="preserve"> </w:t>
      </w:r>
      <w:r>
        <w:t>patients taking</w:t>
      </w:r>
      <w:r>
        <w:rPr>
          <w:spacing w:val="-5"/>
        </w:rPr>
        <w:t xml:space="preserve"> </w:t>
      </w:r>
      <w:r>
        <w:t>XELJANZ</w:t>
      </w:r>
      <w:r>
        <w:rPr>
          <w:spacing w:val="-2"/>
        </w:rPr>
        <w:t xml:space="preserve"> </w:t>
      </w:r>
      <w:r>
        <w:t>and 3.2%</w:t>
      </w:r>
      <w:r>
        <w:rPr>
          <w:spacing w:val="-10"/>
        </w:rPr>
        <w:t xml:space="preserve"> </w:t>
      </w:r>
      <w:r>
        <w:t>for</w:t>
      </w:r>
      <w:r>
        <w:rPr>
          <w:spacing w:val="-10"/>
        </w:rPr>
        <w:t xml:space="preserve"> </w:t>
      </w:r>
      <w:r>
        <w:t>placebo-treated patients.</w:t>
      </w:r>
      <w:r>
        <w:rPr>
          <w:spacing w:val="-5"/>
        </w:rPr>
        <w:t xml:space="preserve"> </w:t>
      </w:r>
      <w:r>
        <w:t>The</w:t>
      </w:r>
      <w:r>
        <w:rPr>
          <w:spacing w:val="-7"/>
        </w:rPr>
        <w:t xml:space="preserve"> </w:t>
      </w:r>
      <w:r>
        <w:t>most common</w:t>
      </w:r>
      <w:r>
        <w:rPr>
          <w:spacing w:val="-5"/>
        </w:rPr>
        <w:t xml:space="preserve"> </w:t>
      </w:r>
      <w:r>
        <w:t>adverse reactions that resulted in discontinuation of XELJANZ were infections. The most common infections resulting in discontinuation of therapy were herpes zoster and pneumonia.</w:t>
      </w:r>
    </w:p>
    <w:p w14:paraId="7D217237" w14:textId="77777777" w:rsidR="001825E2" w:rsidRDefault="000839A5" w:rsidP="00CB00A7">
      <w:pPr>
        <w:pStyle w:val="BodyText"/>
        <w:spacing w:before="226" w:line="242" w:lineRule="auto"/>
        <w:ind w:left="216" w:right="213"/>
        <w:jc w:val="left"/>
      </w:pPr>
      <w:r>
        <w:t>Table 3 below lists the adverse events (regardless of causality) occurring in ≥1% of patients treated with XELJANZ during the double-blind, placebo-controlled</w:t>
      </w:r>
      <w:r>
        <w:rPr>
          <w:spacing w:val="40"/>
        </w:rPr>
        <w:t xml:space="preserve"> </w:t>
      </w:r>
      <w:r>
        <w:t>portion of the RA</w:t>
      </w:r>
      <w:r>
        <w:rPr>
          <w:spacing w:val="40"/>
        </w:rPr>
        <w:t xml:space="preserve"> </w:t>
      </w:r>
      <w:r>
        <w:rPr>
          <w:spacing w:val="-2"/>
        </w:rPr>
        <w:t>studies.</w:t>
      </w:r>
    </w:p>
    <w:p w14:paraId="0727A796" w14:textId="77777777" w:rsidR="001825E2" w:rsidRDefault="000839A5" w:rsidP="00CB00A7">
      <w:pPr>
        <w:pStyle w:val="Heading3"/>
        <w:spacing w:before="248" w:line="235" w:lineRule="auto"/>
        <w:ind w:left="1174" w:right="233" w:hanging="959"/>
      </w:pPr>
      <w:r>
        <w:t>Table</w:t>
      </w:r>
      <w:r>
        <w:rPr>
          <w:spacing w:val="-5"/>
        </w:rPr>
        <w:t xml:space="preserve"> </w:t>
      </w:r>
      <w:r>
        <w:t>3: Summary of Adverse Events reported by ≥1% of patients treated with XELJANZ (All Causalities) - double-blind, placebo-controlled portion of</w:t>
      </w:r>
      <w:r>
        <w:rPr>
          <w:spacing w:val="40"/>
        </w:rPr>
        <w:t xml:space="preserve"> </w:t>
      </w:r>
      <w:r>
        <w:t>Phase 3 Studies (up to 3 months)</w:t>
      </w:r>
    </w:p>
    <w:p w14:paraId="1754E5DC" w14:textId="77777777" w:rsidR="001825E2" w:rsidRDefault="001825E2" w:rsidP="00CB00A7">
      <w:pPr>
        <w:pStyle w:val="BodyText"/>
        <w:spacing w:before="2"/>
        <w:jc w:val="left"/>
        <w:rPr>
          <w:b/>
          <w:sz w:val="11"/>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05"/>
        <w:gridCol w:w="1560"/>
        <w:gridCol w:w="1545"/>
        <w:gridCol w:w="1425"/>
        <w:gridCol w:w="1845"/>
      </w:tblGrid>
      <w:tr w:rsidR="001825E2" w14:paraId="6E96B9C3" w14:textId="77777777">
        <w:trPr>
          <w:trHeight w:val="1005"/>
        </w:trPr>
        <w:tc>
          <w:tcPr>
            <w:tcW w:w="2805" w:type="dxa"/>
          </w:tcPr>
          <w:p w14:paraId="2F02DD86" w14:textId="77777777" w:rsidR="001825E2" w:rsidRDefault="000839A5" w:rsidP="00CB00A7">
            <w:pPr>
              <w:pStyle w:val="TableParagraph"/>
              <w:spacing w:line="247" w:lineRule="auto"/>
              <w:ind w:left="652" w:firstLine="30"/>
              <w:jc w:val="left"/>
              <w:rPr>
                <w:b/>
                <w:sz w:val="24"/>
              </w:rPr>
            </w:pPr>
            <w:r>
              <w:rPr>
                <w:b/>
                <w:sz w:val="24"/>
              </w:rPr>
              <w:t>Body</w:t>
            </w:r>
            <w:r>
              <w:rPr>
                <w:b/>
                <w:spacing w:val="-6"/>
                <w:sz w:val="24"/>
              </w:rPr>
              <w:t xml:space="preserve"> </w:t>
            </w:r>
            <w:r>
              <w:rPr>
                <w:b/>
                <w:sz w:val="24"/>
              </w:rPr>
              <w:t>System</w:t>
            </w:r>
            <w:r>
              <w:rPr>
                <w:b/>
                <w:spacing w:val="-11"/>
                <w:sz w:val="24"/>
              </w:rPr>
              <w:t xml:space="preserve"> </w:t>
            </w:r>
            <w:r>
              <w:rPr>
                <w:b/>
                <w:sz w:val="24"/>
              </w:rPr>
              <w:t>/ Adverse</w:t>
            </w:r>
            <w:r>
              <w:rPr>
                <w:b/>
                <w:spacing w:val="-3"/>
                <w:sz w:val="24"/>
              </w:rPr>
              <w:t xml:space="preserve"> </w:t>
            </w:r>
            <w:r>
              <w:rPr>
                <w:b/>
                <w:spacing w:val="-2"/>
                <w:sz w:val="24"/>
              </w:rPr>
              <w:t>Event</w:t>
            </w:r>
          </w:p>
        </w:tc>
        <w:tc>
          <w:tcPr>
            <w:tcW w:w="1560" w:type="dxa"/>
          </w:tcPr>
          <w:p w14:paraId="1BF924CA" w14:textId="77777777" w:rsidR="001825E2" w:rsidRDefault="000839A5" w:rsidP="00CB00A7">
            <w:pPr>
              <w:pStyle w:val="TableParagraph"/>
              <w:spacing w:line="262" w:lineRule="exact"/>
              <w:ind w:left="217"/>
              <w:jc w:val="left"/>
              <w:rPr>
                <w:b/>
                <w:sz w:val="24"/>
              </w:rPr>
            </w:pPr>
            <w:r>
              <w:rPr>
                <w:b/>
                <w:spacing w:val="-2"/>
                <w:sz w:val="24"/>
              </w:rPr>
              <w:t>XELJANZ</w:t>
            </w:r>
          </w:p>
          <w:p w14:paraId="40051B52" w14:textId="77777777" w:rsidR="001825E2" w:rsidRDefault="000839A5" w:rsidP="00CB00A7">
            <w:pPr>
              <w:pStyle w:val="TableParagraph"/>
              <w:spacing w:before="15" w:line="330" w:lineRule="atLeast"/>
              <w:ind w:left="307" w:hanging="30"/>
              <w:jc w:val="left"/>
              <w:rPr>
                <w:b/>
                <w:sz w:val="24"/>
              </w:rPr>
            </w:pPr>
            <w:r>
              <w:rPr>
                <w:b/>
                <w:sz w:val="24"/>
              </w:rPr>
              <w:t>5</w:t>
            </w:r>
            <w:r>
              <w:rPr>
                <w:b/>
                <w:spacing w:val="-10"/>
                <w:sz w:val="24"/>
              </w:rPr>
              <w:t xml:space="preserve"> </w:t>
            </w:r>
            <w:r>
              <w:rPr>
                <w:b/>
                <w:sz w:val="24"/>
              </w:rPr>
              <w:t>mg</w:t>
            </w:r>
            <w:r>
              <w:rPr>
                <w:b/>
                <w:spacing w:val="80"/>
                <w:sz w:val="24"/>
              </w:rPr>
              <w:t xml:space="preserve"> </w:t>
            </w:r>
            <w:r>
              <w:rPr>
                <w:b/>
                <w:sz w:val="24"/>
              </w:rPr>
              <w:t xml:space="preserve">BD </w:t>
            </w:r>
            <w:r>
              <w:rPr>
                <w:b/>
                <w:spacing w:val="-2"/>
                <w:sz w:val="24"/>
              </w:rPr>
              <w:t>(N=1216)</w:t>
            </w:r>
          </w:p>
        </w:tc>
        <w:tc>
          <w:tcPr>
            <w:tcW w:w="1545" w:type="dxa"/>
          </w:tcPr>
          <w:p w14:paraId="1EF5ECA3" w14:textId="77777777" w:rsidR="001825E2" w:rsidRDefault="000839A5" w:rsidP="00CB00A7">
            <w:pPr>
              <w:pStyle w:val="TableParagraph"/>
              <w:spacing w:line="262" w:lineRule="exact"/>
              <w:ind w:left="217"/>
              <w:jc w:val="left"/>
              <w:rPr>
                <w:b/>
                <w:sz w:val="24"/>
              </w:rPr>
            </w:pPr>
            <w:r>
              <w:rPr>
                <w:b/>
                <w:spacing w:val="-2"/>
                <w:sz w:val="24"/>
              </w:rPr>
              <w:t>XELJANZ</w:t>
            </w:r>
          </w:p>
          <w:p w14:paraId="5B83E681" w14:textId="77777777" w:rsidR="001825E2" w:rsidRDefault="000839A5" w:rsidP="00CB00A7">
            <w:pPr>
              <w:pStyle w:val="TableParagraph"/>
              <w:spacing w:before="15" w:line="330" w:lineRule="atLeast"/>
              <w:ind w:left="307" w:hanging="90"/>
              <w:jc w:val="left"/>
              <w:rPr>
                <w:b/>
                <w:sz w:val="24"/>
              </w:rPr>
            </w:pPr>
            <w:r>
              <w:rPr>
                <w:b/>
                <w:sz w:val="24"/>
              </w:rPr>
              <w:t>10</w:t>
            </w:r>
            <w:r>
              <w:rPr>
                <w:b/>
                <w:spacing w:val="-10"/>
                <w:sz w:val="24"/>
              </w:rPr>
              <w:t xml:space="preserve"> </w:t>
            </w:r>
            <w:r>
              <w:rPr>
                <w:b/>
                <w:sz w:val="24"/>
              </w:rPr>
              <w:t>mg</w:t>
            </w:r>
            <w:r>
              <w:rPr>
                <w:b/>
                <w:spacing w:val="80"/>
                <w:sz w:val="24"/>
              </w:rPr>
              <w:t xml:space="preserve"> </w:t>
            </w:r>
            <w:r>
              <w:rPr>
                <w:b/>
                <w:sz w:val="24"/>
              </w:rPr>
              <w:t xml:space="preserve">BD </w:t>
            </w:r>
            <w:r>
              <w:rPr>
                <w:b/>
                <w:spacing w:val="-2"/>
                <w:sz w:val="24"/>
              </w:rPr>
              <w:t>(N=1214)</w:t>
            </w:r>
          </w:p>
        </w:tc>
        <w:tc>
          <w:tcPr>
            <w:tcW w:w="1425" w:type="dxa"/>
          </w:tcPr>
          <w:p w14:paraId="6E2ED307" w14:textId="77777777" w:rsidR="001825E2" w:rsidRDefault="000839A5" w:rsidP="00CB00A7">
            <w:pPr>
              <w:pStyle w:val="TableParagraph"/>
              <w:spacing w:line="262" w:lineRule="exact"/>
              <w:ind w:left="322"/>
              <w:jc w:val="left"/>
              <w:rPr>
                <w:b/>
                <w:sz w:val="24"/>
              </w:rPr>
            </w:pPr>
            <w:r>
              <w:rPr>
                <w:b/>
                <w:spacing w:val="-2"/>
                <w:sz w:val="24"/>
              </w:rPr>
              <w:t>Placebo</w:t>
            </w:r>
          </w:p>
          <w:p w14:paraId="1562B087" w14:textId="77777777" w:rsidR="001825E2" w:rsidRDefault="001825E2" w:rsidP="00CB00A7">
            <w:pPr>
              <w:pStyle w:val="TableParagraph"/>
              <w:spacing w:before="123"/>
              <w:ind w:left="0"/>
              <w:jc w:val="left"/>
              <w:rPr>
                <w:b/>
                <w:sz w:val="24"/>
              </w:rPr>
            </w:pPr>
          </w:p>
          <w:p w14:paraId="061ADDA0" w14:textId="77777777" w:rsidR="001825E2" w:rsidRDefault="000839A5" w:rsidP="00CB00A7">
            <w:pPr>
              <w:pStyle w:val="TableParagraph"/>
              <w:ind w:left="307"/>
              <w:jc w:val="left"/>
              <w:rPr>
                <w:b/>
                <w:sz w:val="24"/>
              </w:rPr>
            </w:pPr>
            <w:r>
              <w:rPr>
                <w:b/>
                <w:spacing w:val="-2"/>
                <w:sz w:val="24"/>
              </w:rPr>
              <w:t>(N=681)</w:t>
            </w:r>
          </w:p>
        </w:tc>
        <w:tc>
          <w:tcPr>
            <w:tcW w:w="1845" w:type="dxa"/>
          </w:tcPr>
          <w:p w14:paraId="4FB4E78A" w14:textId="77777777" w:rsidR="001825E2" w:rsidRDefault="000839A5" w:rsidP="00CB00A7">
            <w:pPr>
              <w:pStyle w:val="TableParagraph"/>
              <w:spacing w:line="262" w:lineRule="exact"/>
              <w:ind w:left="20" w:right="24"/>
              <w:jc w:val="left"/>
              <w:rPr>
                <w:b/>
                <w:sz w:val="24"/>
              </w:rPr>
            </w:pPr>
            <w:r>
              <w:rPr>
                <w:b/>
                <w:spacing w:val="-2"/>
                <w:sz w:val="24"/>
              </w:rPr>
              <w:t>Adalimumab</w:t>
            </w:r>
          </w:p>
          <w:p w14:paraId="6A237D9C" w14:textId="77777777" w:rsidR="001825E2" w:rsidRDefault="000839A5" w:rsidP="00CB00A7">
            <w:pPr>
              <w:pStyle w:val="TableParagraph"/>
              <w:spacing w:before="15" w:line="330" w:lineRule="atLeast"/>
              <w:ind w:left="20" w:right="25"/>
              <w:jc w:val="left"/>
              <w:rPr>
                <w:b/>
                <w:sz w:val="24"/>
              </w:rPr>
            </w:pPr>
            <w:r>
              <w:rPr>
                <w:b/>
                <w:sz w:val="24"/>
              </w:rPr>
              <w:t>40</w:t>
            </w:r>
            <w:r>
              <w:rPr>
                <w:b/>
                <w:spacing w:val="-8"/>
                <w:sz w:val="24"/>
              </w:rPr>
              <w:t xml:space="preserve"> </w:t>
            </w:r>
            <w:r>
              <w:rPr>
                <w:b/>
                <w:sz w:val="24"/>
              </w:rPr>
              <w:t>mg</w:t>
            </w:r>
            <w:r>
              <w:rPr>
                <w:b/>
                <w:spacing w:val="40"/>
                <w:sz w:val="24"/>
              </w:rPr>
              <w:t xml:space="preserve"> </w:t>
            </w:r>
            <w:r>
              <w:rPr>
                <w:b/>
                <w:sz w:val="24"/>
              </w:rPr>
              <w:t>SC</w:t>
            </w:r>
            <w:r>
              <w:rPr>
                <w:b/>
                <w:spacing w:val="50"/>
                <w:sz w:val="24"/>
              </w:rPr>
              <w:t xml:space="preserve"> </w:t>
            </w:r>
            <w:r>
              <w:rPr>
                <w:b/>
                <w:sz w:val="24"/>
              </w:rPr>
              <w:t xml:space="preserve">q2w </w:t>
            </w:r>
            <w:r>
              <w:rPr>
                <w:b/>
                <w:spacing w:val="-2"/>
                <w:sz w:val="24"/>
              </w:rPr>
              <w:t>(N=204)</w:t>
            </w:r>
          </w:p>
        </w:tc>
      </w:tr>
      <w:tr w:rsidR="001825E2" w14:paraId="5E407F54" w14:textId="77777777">
        <w:trPr>
          <w:trHeight w:val="390"/>
        </w:trPr>
        <w:tc>
          <w:tcPr>
            <w:tcW w:w="9180" w:type="dxa"/>
            <w:gridSpan w:val="5"/>
          </w:tcPr>
          <w:p w14:paraId="276163DB" w14:textId="77777777" w:rsidR="001825E2" w:rsidRDefault="000839A5" w:rsidP="00CB00A7">
            <w:pPr>
              <w:pStyle w:val="TableParagraph"/>
              <w:spacing w:before="46"/>
              <w:jc w:val="left"/>
              <w:rPr>
                <w:b/>
                <w:sz w:val="24"/>
              </w:rPr>
            </w:pPr>
            <w:r>
              <w:rPr>
                <w:b/>
                <w:sz w:val="24"/>
              </w:rPr>
              <w:t>Infections</w:t>
            </w:r>
            <w:r>
              <w:rPr>
                <w:b/>
                <w:spacing w:val="5"/>
                <w:sz w:val="24"/>
              </w:rPr>
              <w:t xml:space="preserve"> </w:t>
            </w:r>
            <w:r>
              <w:rPr>
                <w:b/>
                <w:sz w:val="24"/>
              </w:rPr>
              <w:t>and</w:t>
            </w:r>
            <w:r>
              <w:rPr>
                <w:b/>
                <w:spacing w:val="-15"/>
                <w:sz w:val="24"/>
              </w:rPr>
              <w:t xml:space="preserve"> </w:t>
            </w:r>
            <w:r>
              <w:rPr>
                <w:b/>
                <w:spacing w:val="-2"/>
                <w:sz w:val="24"/>
              </w:rPr>
              <w:t>Infestations</w:t>
            </w:r>
          </w:p>
        </w:tc>
      </w:tr>
      <w:tr w:rsidR="001825E2" w14:paraId="0C70CC20" w14:textId="77777777">
        <w:trPr>
          <w:trHeight w:val="660"/>
        </w:trPr>
        <w:tc>
          <w:tcPr>
            <w:tcW w:w="2805" w:type="dxa"/>
          </w:tcPr>
          <w:p w14:paraId="6B61B140" w14:textId="77777777" w:rsidR="001825E2" w:rsidRDefault="000839A5" w:rsidP="00CB00A7">
            <w:pPr>
              <w:pStyle w:val="TableParagraph"/>
              <w:tabs>
                <w:tab w:val="left" w:pos="967"/>
                <w:tab w:val="left" w:pos="2257"/>
              </w:tabs>
              <w:spacing w:before="46" w:line="247" w:lineRule="auto"/>
              <w:ind w:right="103"/>
              <w:jc w:val="left"/>
              <w:rPr>
                <w:sz w:val="24"/>
              </w:rPr>
            </w:pPr>
            <w:r>
              <w:rPr>
                <w:spacing w:val="-2"/>
                <w:sz w:val="24"/>
              </w:rPr>
              <w:t>Upper</w:t>
            </w:r>
            <w:r>
              <w:rPr>
                <w:sz w:val="24"/>
              </w:rPr>
              <w:tab/>
            </w:r>
            <w:r>
              <w:rPr>
                <w:spacing w:val="-2"/>
                <w:sz w:val="24"/>
              </w:rPr>
              <w:t>respiratory</w:t>
            </w:r>
            <w:r>
              <w:rPr>
                <w:sz w:val="24"/>
              </w:rPr>
              <w:tab/>
            </w:r>
            <w:r>
              <w:rPr>
                <w:spacing w:val="-2"/>
                <w:sz w:val="24"/>
              </w:rPr>
              <w:t>tract infection</w:t>
            </w:r>
          </w:p>
        </w:tc>
        <w:tc>
          <w:tcPr>
            <w:tcW w:w="1560" w:type="dxa"/>
          </w:tcPr>
          <w:p w14:paraId="1DD9C822" w14:textId="77777777" w:rsidR="001825E2" w:rsidRDefault="000839A5" w:rsidP="00CB00A7">
            <w:pPr>
              <w:pStyle w:val="TableParagraph"/>
              <w:spacing w:before="46"/>
              <w:ind w:left="60" w:right="26"/>
              <w:jc w:val="left"/>
              <w:rPr>
                <w:sz w:val="24"/>
              </w:rPr>
            </w:pPr>
            <w:r>
              <w:rPr>
                <w:sz w:val="24"/>
              </w:rPr>
              <w:t xml:space="preserve">53 </w:t>
            </w:r>
            <w:r>
              <w:rPr>
                <w:spacing w:val="-2"/>
                <w:sz w:val="24"/>
              </w:rPr>
              <w:t>(4.4)</w:t>
            </w:r>
          </w:p>
        </w:tc>
        <w:tc>
          <w:tcPr>
            <w:tcW w:w="1545" w:type="dxa"/>
          </w:tcPr>
          <w:p w14:paraId="46DF78C6" w14:textId="77777777" w:rsidR="001825E2" w:rsidRDefault="000839A5" w:rsidP="00CB00A7">
            <w:pPr>
              <w:pStyle w:val="TableParagraph"/>
              <w:spacing w:before="46"/>
              <w:ind w:left="50" w:right="1"/>
              <w:jc w:val="left"/>
              <w:rPr>
                <w:sz w:val="24"/>
              </w:rPr>
            </w:pPr>
            <w:r>
              <w:rPr>
                <w:sz w:val="24"/>
              </w:rPr>
              <w:t xml:space="preserve">47 </w:t>
            </w:r>
            <w:r>
              <w:rPr>
                <w:spacing w:val="-2"/>
                <w:sz w:val="24"/>
              </w:rPr>
              <w:t>(3.9)</w:t>
            </w:r>
          </w:p>
        </w:tc>
        <w:tc>
          <w:tcPr>
            <w:tcW w:w="1425" w:type="dxa"/>
          </w:tcPr>
          <w:p w14:paraId="06291528" w14:textId="77777777" w:rsidR="001825E2" w:rsidRDefault="000839A5" w:rsidP="00CB00A7">
            <w:pPr>
              <w:pStyle w:val="TableParagraph"/>
              <w:spacing w:before="46"/>
              <w:ind w:left="61" w:right="11"/>
              <w:jc w:val="left"/>
              <w:rPr>
                <w:sz w:val="24"/>
              </w:rPr>
            </w:pPr>
            <w:r>
              <w:rPr>
                <w:sz w:val="24"/>
              </w:rPr>
              <w:t xml:space="preserve">23 </w:t>
            </w:r>
            <w:r>
              <w:rPr>
                <w:spacing w:val="-2"/>
                <w:sz w:val="24"/>
              </w:rPr>
              <w:t>(3.4)</w:t>
            </w:r>
          </w:p>
        </w:tc>
        <w:tc>
          <w:tcPr>
            <w:tcW w:w="1845" w:type="dxa"/>
          </w:tcPr>
          <w:p w14:paraId="711D4F1C" w14:textId="77777777" w:rsidR="001825E2" w:rsidRDefault="000839A5" w:rsidP="00CB00A7">
            <w:pPr>
              <w:pStyle w:val="TableParagraph"/>
              <w:spacing w:before="46"/>
              <w:ind w:left="25" w:right="5"/>
              <w:jc w:val="left"/>
              <w:rPr>
                <w:sz w:val="24"/>
              </w:rPr>
            </w:pPr>
            <w:r>
              <w:rPr>
                <w:sz w:val="24"/>
              </w:rPr>
              <w:t xml:space="preserve">7 </w:t>
            </w:r>
            <w:r>
              <w:rPr>
                <w:spacing w:val="-2"/>
                <w:sz w:val="24"/>
              </w:rPr>
              <w:t>(3.4)</w:t>
            </w:r>
          </w:p>
        </w:tc>
      </w:tr>
      <w:tr w:rsidR="001825E2" w14:paraId="52930061" w14:textId="77777777">
        <w:trPr>
          <w:trHeight w:val="390"/>
        </w:trPr>
        <w:tc>
          <w:tcPr>
            <w:tcW w:w="2805" w:type="dxa"/>
          </w:tcPr>
          <w:p w14:paraId="5E53B147" w14:textId="77777777" w:rsidR="001825E2" w:rsidRDefault="000839A5" w:rsidP="00CB00A7">
            <w:pPr>
              <w:pStyle w:val="TableParagraph"/>
              <w:spacing w:before="61"/>
              <w:jc w:val="left"/>
              <w:rPr>
                <w:sz w:val="24"/>
              </w:rPr>
            </w:pPr>
            <w:r>
              <w:rPr>
                <w:spacing w:val="-2"/>
                <w:sz w:val="24"/>
              </w:rPr>
              <w:t>Nasopharyngitis</w:t>
            </w:r>
          </w:p>
        </w:tc>
        <w:tc>
          <w:tcPr>
            <w:tcW w:w="1560" w:type="dxa"/>
          </w:tcPr>
          <w:p w14:paraId="4BC4DFD6" w14:textId="77777777" w:rsidR="001825E2" w:rsidRDefault="000839A5" w:rsidP="00CB00A7">
            <w:pPr>
              <w:pStyle w:val="TableParagraph"/>
              <w:spacing w:before="61"/>
              <w:ind w:left="60" w:right="26"/>
              <w:jc w:val="left"/>
              <w:rPr>
                <w:sz w:val="24"/>
              </w:rPr>
            </w:pPr>
            <w:r>
              <w:rPr>
                <w:sz w:val="24"/>
              </w:rPr>
              <w:t xml:space="preserve">48 </w:t>
            </w:r>
            <w:r>
              <w:rPr>
                <w:spacing w:val="-2"/>
                <w:sz w:val="24"/>
              </w:rPr>
              <w:t>(3.9)</w:t>
            </w:r>
          </w:p>
        </w:tc>
        <w:tc>
          <w:tcPr>
            <w:tcW w:w="1545" w:type="dxa"/>
          </w:tcPr>
          <w:p w14:paraId="5ACBF5EC" w14:textId="77777777" w:rsidR="001825E2" w:rsidRDefault="000839A5" w:rsidP="00CB00A7">
            <w:pPr>
              <w:pStyle w:val="TableParagraph"/>
              <w:spacing w:before="61"/>
              <w:ind w:left="50" w:right="1"/>
              <w:jc w:val="left"/>
              <w:rPr>
                <w:sz w:val="24"/>
              </w:rPr>
            </w:pPr>
            <w:r>
              <w:rPr>
                <w:sz w:val="24"/>
              </w:rPr>
              <w:t xml:space="preserve">35 </w:t>
            </w:r>
            <w:r>
              <w:rPr>
                <w:spacing w:val="-2"/>
                <w:sz w:val="24"/>
              </w:rPr>
              <w:t>(2.9)</w:t>
            </w:r>
          </w:p>
        </w:tc>
        <w:tc>
          <w:tcPr>
            <w:tcW w:w="1425" w:type="dxa"/>
          </w:tcPr>
          <w:p w14:paraId="5DA64F20" w14:textId="77777777" w:rsidR="001825E2" w:rsidRDefault="000839A5" w:rsidP="00CB00A7">
            <w:pPr>
              <w:pStyle w:val="TableParagraph"/>
              <w:spacing w:before="61"/>
              <w:ind w:left="61" w:right="12"/>
              <w:jc w:val="left"/>
              <w:rPr>
                <w:sz w:val="24"/>
              </w:rPr>
            </w:pPr>
            <w:r>
              <w:rPr>
                <w:sz w:val="24"/>
              </w:rPr>
              <w:t xml:space="preserve">19 </w:t>
            </w:r>
            <w:r>
              <w:rPr>
                <w:spacing w:val="-2"/>
                <w:sz w:val="24"/>
              </w:rPr>
              <w:t>(2.8)</w:t>
            </w:r>
          </w:p>
        </w:tc>
        <w:tc>
          <w:tcPr>
            <w:tcW w:w="1845" w:type="dxa"/>
          </w:tcPr>
          <w:p w14:paraId="50366A25" w14:textId="77777777" w:rsidR="001825E2" w:rsidRDefault="000839A5" w:rsidP="00CB00A7">
            <w:pPr>
              <w:pStyle w:val="TableParagraph"/>
              <w:spacing w:before="61"/>
              <w:ind w:left="24" w:right="5"/>
              <w:jc w:val="left"/>
              <w:rPr>
                <w:sz w:val="24"/>
              </w:rPr>
            </w:pPr>
            <w:r>
              <w:rPr>
                <w:sz w:val="24"/>
              </w:rPr>
              <w:t xml:space="preserve">7 </w:t>
            </w:r>
            <w:r>
              <w:rPr>
                <w:spacing w:val="-2"/>
                <w:sz w:val="24"/>
              </w:rPr>
              <w:t>(3.4)</w:t>
            </w:r>
          </w:p>
        </w:tc>
      </w:tr>
      <w:tr w:rsidR="001825E2" w14:paraId="30A59205" w14:textId="77777777">
        <w:trPr>
          <w:trHeight w:val="390"/>
        </w:trPr>
        <w:tc>
          <w:tcPr>
            <w:tcW w:w="2805" w:type="dxa"/>
          </w:tcPr>
          <w:p w14:paraId="6C827B80" w14:textId="77777777" w:rsidR="001825E2" w:rsidRDefault="000839A5" w:rsidP="00CB00A7">
            <w:pPr>
              <w:pStyle w:val="TableParagraph"/>
              <w:spacing w:before="61"/>
              <w:jc w:val="left"/>
              <w:rPr>
                <w:sz w:val="24"/>
              </w:rPr>
            </w:pPr>
            <w:r>
              <w:rPr>
                <w:sz w:val="24"/>
              </w:rPr>
              <w:t>Urinary</w:t>
            </w:r>
            <w:r>
              <w:rPr>
                <w:spacing w:val="6"/>
                <w:sz w:val="24"/>
              </w:rPr>
              <w:t xml:space="preserve"> </w:t>
            </w:r>
            <w:r>
              <w:rPr>
                <w:sz w:val="24"/>
              </w:rPr>
              <w:t>tract</w:t>
            </w:r>
            <w:r>
              <w:rPr>
                <w:spacing w:val="-12"/>
                <w:sz w:val="24"/>
              </w:rPr>
              <w:t xml:space="preserve"> </w:t>
            </w:r>
            <w:r>
              <w:rPr>
                <w:spacing w:val="-2"/>
                <w:sz w:val="24"/>
              </w:rPr>
              <w:t>infection</w:t>
            </w:r>
          </w:p>
        </w:tc>
        <w:tc>
          <w:tcPr>
            <w:tcW w:w="1560" w:type="dxa"/>
          </w:tcPr>
          <w:p w14:paraId="64C8DDC6" w14:textId="77777777" w:rsidR="001825E2" w:rsidRDefault="000839A5" w:rsidP="00CB00A7">
            <w:pPr>
              <w:pStyle w:val="TableParagraph"/>
              <w:spacing w:before="61"/>
              <w:ind w:left="60" w:right="25"/>
              <w:jc w:val="left"/>
              <w:rPr>
                <w:sz w:val="24"/>
              </w:rPr>
            </w:pPr>
            <w:r>
              <w:rPr>
                <w:sz w:val="24"/>
              </w:rPr>
              <w:t xml:space="preserve">25 </w:t>
            </w:r>
            <w:r>
              <w:rPr>
                <w:spacing w:val="-2"/>
                <w:sz w:val="24"/>
              </w:rPr>
              <w:t>(2.1)</w:t>
            </w:r>
          </w:p>
        </w:tc>
        <w:tc>
          <w:tcPr>
            <w:tcW w:w="1545" w:type="dxa"/>
          </w:tcPr>
          <w:p w14:paraId="08F0F3F0" w14:textId="77777777" w:rsidR="001825E2" w:rsidRDefault="000839A5" w:rsidP="00CB00A7">
            <w:pPr>
              <w:pStyle w:val="TableParagraph"/>
              <w:spacing w:before="61"/>
              <w:ind w:left="50"/>
              <w:jc w:val="left"/>
              <w:rPr>
                <w:sz w:val="24"/>
              </w:rPr>
            </w:pPr>
            <w:r>
              <w:rPr>
                <w:sz w:val="24"/>
              </w:rPr>
              <w:t xml:space="preserve">24 </w:t>
            </w:r>
            <w:r>
              <w:rPr>
                <w:spacing w:val="-2"/>
                <w:sz w:val="24"/>
              </w:rPr>
              <w:t>(2.0)</w:t>
            </w:r>
          </w:p>
        </w:tc>
        <w:tc>
          <w:tcPr>
            <w:tcW w:w="1425" w:type="dxa"/>
          </w:tcPr>
          <w:p w14:paraId="1ECAED18" w14:textId="77777777" w:rsidR="001825E2" w:rsidRDefault="000839A5" w:rsidP="00CB00A7">
            <w:pPr>
              <w:pStyle w:val="TableParagraph"/>
              <w:spacing w:before="61"/>
              <w:ind w:left="61" w:right="11"/>
              <w:jc w:val="left"/>
              <w:rPr>
                <w:sz w:val="24"/>
              </w:rPr>
            </w:pPr>
            <w:r>
              <w:rPr>
                <w:sz w:val="24"/>
              </w:rPr>
              <w:t xml:space="preserve">12 </w:t>
            </w:r>
            <w:r>
              <w:rPr>
                <w:spacing w:val="-2"/>
                <w:sz w:val="24"/>
              </w:rPr>
              <w:t>(1.8)</w:t>
            </w:r>
          </w:p>
        </w:tc>
        <w:tc>
          <w:tcPr>
            <w:tcW w:w="1845" w:type="dxa"/>
          </w:tcPr>
          <w:p w14:paraId="69F68051" w14:textId="77777777" w:rsidR="001825E2" w:rsidRDefault="000839A5" w:rsidP="00CB00A7">
            <w:pPr>
              <w:pStyle w:val="TableParagraph"/>
              <w:spacing w:before="61"/>
              <w:ind w:left="25" w:right="5"/>
              <w:jc w:val="left"/>
              <w:rPr>
                <w:sz w:val="24"/>
              </w:rPr>
            </w:pPr>
            <w:r>
              <w:rPr>
                <w:sz w:val="24"/>
              </w:rPr>
              <w:t xml:space="preserve">7 </w:t>
            </w:r>
            <w:r>
              <w:rPr>
                <w:spacing w:val="-2"/>
                <w:sz w:val="24"/>
              </w:rPr>
              <w:t>(3.4)</w:t>
            </w:r>
          </w:p>
        </w:tc>
      </w:tr>
      <w:tr w:rsidR="001825E2" w14:paraId="538B6EAC" w14:textId="77777777">
        <w:trPr>
          <w:trHeight w:val="390"/>
        </w:trPr>
        <w:tc>
          <w:tcPr>
            <w:tcW w:w="2805" w:type="dxa"/>
          </w:tcPr>
          <w:p w14:paraId="5ADFA78D" w14:textId="77777777" w:rsidR="001825E2" w:rsidRDefault="000839A5" w:rsidP="00CB00A7">
            <w:pPr>
              <w:pStyle w:val="TableParagraph"/>
              <w:spacing w:before="61"/>
              <w:jc w:val="left"/>
              <w:rPr>
                <w:sz w:val="24"/>
              </w:rPr>
            </w:pPr>
            <w:r>
              <w:rPr>
                <w:spacing w:val="-2"/>
                <w:sz w:val="24"/>
              </w:rPr>
              <w:t>Bronchitis</w:t>
            </w:r>
          </w:p>
        </w:tc>
        <w:tc>
          <w:tcPr>
            <w:tcW w:w="1560" w:type="dxa"/>
          </w:tcPr>
          <w:p w14:paraId="512BAEFA" w14:textId="77777777" w:rsidR="001825E2" w:rsidRDefault="000839A5" w:rsidP="00CB00A7">
            <w:pPr>
              <w:pStyle w:val="TableParagraph"/>
              <w:spacing w:before="61"/>
              <w:ind w:left="60" w:right="25"/>
              <w:jc w:val="left"/>
              <w:rPr>
                <w:sz w:val="24"/>
              </w:rPr>
            </w:pPr>
            <w:r>
              <w:rPr>
                <w:sz w:val="24"/>
              </w:rPr>
              <w:t xml:space="preserve">14 </w:t>
            </w:r>
            <w:r>
              <w:rPr>
                <w:spacing w:val="-2"/>
                <w:sz w:val="24"/>
              </w:rPr>
              <w:t>(1.2)</w:t>
            </w:r>
          </w:p>
        </w:tc>
        <w:tc>
          <w:tcPr>
            <w:tcW w:w="1545" w:type="dxa"/>
          </w:tcPr>
          <w:p w14:paraId="13E49619" w14:textId="77777777" w:rsidR="001825E2" w:rsidRDefault="000839A5" w:rsidP="00CB00A7">
            <w:pPr>
              <w:pStyle w:val="TableParagraph"/>
              <w:spacing w:before="61"/>
              <w:ind w:left="50"/>
              <w:jc w:val="left"/>
              <w:rPr>
                <w:sz w:val="24"/>
              </w:rPr>
            </w:pPr>
            <w:r>
              <w:rPr>
                <w:sz w:val="24"/>
              </w:rPr>
              <w:t xml:space="preserve">13 </w:t>
            </w:r>
            <w:r>
              <w:rPr>
                <w:spacing w:val="-2"/>
                <w:sz w:val="24"/>
              </w:rPr>
              <w:t>(1.1)</w:t>
            </w:r>
          </w:p>
        </w:tc>
        <w:tc>
          <w:tcPr>
            <w:tcW w:w="1425" w:type="dxa"/>
          </w:tcPr>
          <w:p w14:paraId="435EF86D" w14:textId="77777777" w:rsidR="001825E2" w:rsidRDefault="000839A5" w:rsidP="00CB00A7">
            <w:pPr>
              <w:pStyle w:val="TableParagraph"/>
              <w:spacing w:before="61"/>
              <w:ind w:left="61" w:right="11"/>
              <w:jc w:val="left"/>
              <w:rPr>
                <w:sz w:val="24"/>
              </w:rPr>
            </w:pPr>
            <w:r>
              <w:rPr>
                <w:sz w:val="24"/>
              </w:rPr>
              <w:t xml:space="preserve">10 </w:t>
            </w:r>
            <w:r>
              <w:rPr>
                <w:spacing w:val="-2"/>
                <w:sz w:val="24"/>
              </w:rPr>
              <w:t>(1.5)</w:t>
            </w:r>
          </w:p>
        </w:tc>
        <w:tc>
          <w:tcPr>
            <w:tcW w:w="1845" w:type="dxa"/>
          </w:tcPr>
          <w:p w14:paraId="2D6D420B" w14:textId="77777777" w:rsidR="001825E2" w:rsidRDefault="000839A5" w:rsidP="00CB00A7">
            <w:pPr>
              <w:pStyle w:val="TableParagraph"/>
              <w:spacing w:before="61"/>
              <w:ind w:left="25" w:right="5"/>
              <w:jc w:val="left"/>
              <w:rPr>
                <w:sz w:val="24"/>
              </w:rPr>
            </w:pPr>
            <w:r>
              <w:rPr>
                <w:sz w:val="24"/>
              </w:rPr>
              <w:t xml:space="preserve">4 </w:t>
            </w:r>
            <w:r>
              <w:rPr>
                <w:spacing w:val="-2"/>
                <w:sz w:val="24"/>
              </w:rPr>
              <w:t>(2.0)</w:t>
            </w:r>
          </w:p>
        </w:tc>
      </w:tr>
      <w:tr w:rsidR="001825E2" w14:paraId="588FB6DF" w14:textId="77777777">
        <w:trPr>
          <w:trHeight w:val="390"/>
        </w:trPr>
        <w:tc>
          <w:tcPr>
            <w:tcW w:w="2805" w:type="dxa"/>
          </w:tcPr>
          <w:p w14:paraId="27218BAF" w14:textId="77777777" w:rsidR="001825E2" w:rsidRDefault="000839A5" w:rsidP="00CB00A7">
            <w:pPr>
              <w:pStyle w:val="TableParagraph"/>
              <w:spacing w:before="61"/>
              <w:jc w:val="left"/>
              <w:rPr>
                <w:sz w:val="24"/>
              </w:rPr>
            </w:pPr>
            <w:r>
              <w:rPr>
                <w:spacing w:val="-2"/>
                <w:sz w:val="24"/>
              </w:rPr>
              <w:t>Influenza</w:t>
            </w:r>
          </w:p>
        </w:tc>
        <w:tc>
          <w:tcPr>
            <w:tcW w:w="1560" w:type="dxa"/>
          </w:tcPr>
          <w:p w14:paraId="4CF89230" w14:textId="77777777" w:rsidR="001825E2" w:rsidRDefault="000839A5" w:rsidP="00CB00A7">
            <w:pPr>
              <w:pStyle w:val="TableParagraph"/>
              <w:spacing w:before="61"/>
              <w:ind w:left="60" w:right="25"/>
              <w:jc w:val="left"/>
              <w:rPr>
                <w:sz w:val="24"/>
              </w:rPr>
            </w:pPr>
            <w:r>
              <w:rPr>
                <w:sz w:val="24"/>
              </w:rPr>
              <w:t xml:space="preserve">9 </w:t>
            </w:r>
            <w:r>
              <w:rPr>
                <w:spacing w:val="-2"/>
                <w:sz w:val="24"/>
              </w:rPr>
              <w:t>(0.7)</w:t>
            </w:r>
          </w:p>
        </w:tc>
        <w:tc>
          <w:tcPr>
            <w:tcW w:w="1545" w:type="dxa"/>
          </w:tcPr>
          <w:p w14:paraId="770D1E91" w14:textId="77777777" w:rsidR="001825E2" w:rsidRDefault="000839A5" w:rsidP="00CB00A7">
            <w:pPr>
              <w:pStyle w:val="TableParagraph"/>
              <w:spacing w:before="61"/>
              <w:ind w:left="50"/>
              <w:jc w:val="left"/>
              <w:rPr>
                <w:sz w:val="24"/>
              </w:rPr>
            </w:pPr>
            <w:r>
              <w:rPr>
                <w:sz w:val="24"/>
              </w:rPr>
              <w:t xml:space="preserve">14 </w:t>
            </w:r>
            <w:r>
              <w:rPr>
                <w:spacing w:val="-2"/>
                <w:sz w:val="24"/>
              </w:rPr>
              <w:t>(1.2)</w:t>
            </w:r>
          </w:p>
        </w:tc>
        <w:tc>
          <w:tcPr>
            <w:tcW w:w="1425" w:type="dxa"/>
          </w:tcPr>
          <w:p w14:paraId="4D5A866E" w14:textId="77777777" w:rsidR="001825E2" w:rsidRDefault="000839A5" w:rsidP="00CB00A7">
            <w:pPr>
              <w:pStyle w:val="TableParagraph"/>
              <w:spacing w:before="61"/>
              <w:ind w:left="61" w:right="11"/>
              <w:jc w:val="left"/>
              <w:rPr>
                <w:sz w:val="24"/>
              </w:rPr>
            </w:pPr>
            <w:r>
              <w:rPr>
                <w:sz w:val="24"/>
              </w:rPr>
              <w:t xml:space="preserve">5 </w:t>
            </w:r>
            <w:r>
              <w:rPr>
                <w:spacing w:val="-2"/>
                <w:sz w:val="24"/>
              </w:rPr>
              <w:t>(0.7)</w:t>
            </w:r>
          </w:p>
        </w:tc>
        <w:tc>
          <w:tcPr>
            <w:tcW w:w="1845" w:type="dxa"/>
          </w:tcPr>
          <w:p w14:paraId="24E3F737" w14:textId="77777777" w:rsidR="001825E2" w:rsidRDefault="000839A5" w:rsidP="00CB00A7">
            <w:pPr>
              <w:pStyle w:val="TableParagraph"/>
              <w:spacing w:before="61"/>
              <w:ind w:left="25" w:right="5"/>
              <w:jc w:val="left"/>
              <w:rPr>
                <w:sz w:val="24"/>
              </w:rPr>
            </w:pPr>
            <w:r>
              <w:rPr>
                <w:sz w:val="24"/>
              </w:rPr>
              <w:t xml:space="preserve">2 </w:t>
            </w:r>
            <w:r>
              <w:rPr>
                <w:spacing w:val="-2"/>
                <w:sz w:val="24"/>
              </w:rPr>
              <w:t>(1.0)</w:t>
            </w:r>
          </w:p>
        </w:tc>
      </w:tr>
      <w:tr w:rsidR="001825E2" w14:paraId="37074524" w14:textId="77777777">
        <w:trPr>
          <w:trHeight w:val="390"/>
        </w:trPr>
        <w:tc>
          <w:tcPr>
            <w:tcW w:w="2805" w:type="dxa"/>
          </w:tcPr>
          <w:p w14:paraId="1C676434" w14:textId="77777777" w:rsidR="001825E2" w:rsidRDefault="000839A5" w:rsidP="00CB00A7">
            <w:pPr>
              <w:pStyle w:val="TableParagraph"/>
              <w:spacing w:before="61"/>
              <w:jc w:val="left"/>
              <w:rPr>
                <w:sz w:val="24"/>
              </w:rPr>
            </w:pPr>
            <w:r>
              <w:rPr>
                <w:sz w:val="24"/>
              </w:rPr>
              <w:t>Herpes</w:t>
            </w:r>
            <w:r>
              <w:rPr>
                <w:spacing w:val="-9"/>
                <w:sz w:val="24"/>
              </w:rPr>
              <w:t xml:space="preserve"> </w:t>
            </w:r>
            <w:r>
              <w:rPr>
                <w:spacing w:val="-2"/>
                <w:sz w:val="24"/>
              </w:rPr>
              <w:t>zoster</w:t>
            </w:r>
          </w:p>
        </w:tc>
        <w:tc>
          <w:tcPr>
            <w:tcW w:w="1560" w:type="dxa"/>
          </w:tcPr>
          <w:p w14:paraId="457BD48A" w14:textId="77777777" w:rsidR="001825E2" w:rsidRDefault="000839A5" w:rsidP="00CB00A7">
            <w:pPr>
              <w:pStyle w:val="TableParagraph"/>
              <w:spacing w:before="61"/>
              <w:ind w:left="60" w:right="26"/>
              <w:jc w:val="left"/>
              <w:rPr>
                <w:sz w:val="24"/>
              </w:rPr>
            </w:pPr>
            <w:r>
              <w:rPr>
                <w:sz w:val="24"/>
              </w:rPr>
              <w:t xml:space="preserve">5 </w:t>
            </w:r>
            <w:r>
              <w:rPr>
                <w:spacing w:val="-2"/>
                <w:sz w:val="24"/>
              </w:rPr>
              <w:t>(0.4)</w:t>
            </w:r>
          </w:p>
        </w:tc>
        <w:tc>
          <w:tcPr>
            <w:tcW w:w="1545" w:type="dxa"/>
          </w:tcPr>
          <w:p w14:paraId="3A958E12" w14:textId="77777777" w:rsidR="001825E2" w:rsidRDefault="000839A5" w:rsidP="00CB00A7">
            <w:pPr>
              <w:pStyle w:val="TableParagraph"/>
              <w:spacing w:before="61"/>
              <w:ind w:left="50" w:right="1"/>
              <w:jc w:val="left"/>
              <w:rPr>
                <w:sz w:val="24"/>
              </w:rPr>
            </w:pPr>
            <w:r>
              <w:rPr>
                <w:sz w:val="24"/>
              </w:rPr>
              <w:t xml:space="preserve">16 </w:t>
            </w:r>
            <w:r>
              <w:rPr>
                <w:spacing w:val="-2"/>
                <w:sz w:val="24"/>
              </w:rPr>
              <w:t>(1.3)</w:t>
            </w:r>
          </w:p>
        </w:tc>
        <w:tc>
          <w:tcPr>
            <w:tcW w:w="1425" w:type="dxa"/>
          </w:tcPr>
          <w:p w14:paraId="16781D83" w14:textId="77777777" w:rsidR="001825E2" w:rsidRDefault="000839A5" w:rsidP="00CB00A7">
            <w:pPr>
              <w:pStyle w:val="TableParagraph"/>
              <w:spacing w:before="61"/>
              <w:ind w:left="61" w:right="12"/>
              <w:jc w:val="left"/>
              <w:rPr>
                <w:sz w:val="24"/>
              </w:rPr>
            </w:pPr>
            <w:r>
              <w:rPr>
                <w:sz w:val="24"/>
              </w:rPr>
              <w:t xml:space="preserve">2 </w:t>
            </w:r>
            <w:r>
              <w:rPr>
                <w:spacing w:val="-2"/>
                <w:sz w:val="24"/>
              </w:rPr>
              <w:t>(0.3)</w:t>
            </w:r>
          </w:p>
        </w:tc>
        <w:tc>
          <w:tcPr>
            <w:tcW w:w="1845" w:type="dxa"/>
          </w:tcPr>
          <w:p w14:paraId="1910DD52" w14:textId="77777777" w:rsidR="001825E2" w:rsidRDefault="000839A5" w:rsidP="00CB00A7">
            <w:pPr>
              <w:pStyle w:val="TableParagraph"/>
              <w:spacing w:before="61"/>
              <w:ind w:left="20" w:right="6"/>
              <w:jc w:val="left"/>
              <w:rPr>
                <w:sz w:val="24"/>
              </w:rPr>
            </w:pPr>
            <w:r>
              <w:rPr>
                <w:spacing w:val="-10"/>
                <w:sz w:val="24"/>
              </w:rPr>
              <w:t>0</w:t>
            </w:r>
          </w:p>
        </w:tc>
      </w:tr>
      <w:tr w:rsidR="001825E2" w14:paraId="3406B7E8" w14:textId="77777777">
        <w:trPr>
          <w:trHeight w:val="390"/>
        </w:trPr>
        <w:tc>
          <w:tcPr>
            <w:tcW w:w="9180" w:type="dxa"/>
            <w:gridSpan w:val="5"/>
          </w:tcPr>
          <w:p w14:paraId="2CF45251" w14:textId="77777777" w:rsidR="001825E2" w:rsidRDefault="000839A5" w:rsidP="00CB00A7">
            <w:pPr>
              <w:pStyle w:val="TableParagraph"/>
              <w:spacing w:before="61"/>
              <w:jc w:val="left"/>
              <w:rPr>
                <w:b/>
                <w:sz w:val="24"/>
              </w:rPr>
            </w:pPr>
            <w:r>
              <w:rPr>
                <w:b/>
                <w:sz w:val="24"/>
              </w:rPr>
              <w:t>Blood</w:t>
            </w:r>
            <w:r>
              <w:rPr>
                <w:b/>
                <w:spacing w:val="-5"/>
                <w:sz w:val="24"/>
              </w:rPr>
              <w:t xml:space="preserve"> </w:t>
            </w:r>
            <w:r>
              <w:rPr>
                <w:b/>
                <w:sz w:val="24"/>
              </w:rPr>
              <w:t>and</w:t>
            </w:r>
            <w:r>
              <w:rPr>
                <w:b/>
                <w:spacing w:val="-5"/>
                <w:sz w:val="24"/>
              </w:rPr>
              <w:t xml:space="preserve"> </w:t>
            </w:r>
            <w:r>
              <w:rPr>
                <w:b/>
                <w:sz w:val="24"/>
              </w:rPr>
              <w:t>Lymphatic</w:t>
            </w:r>
            <w:r>
              <w:rPr>
                <w:b/>
                <w:spacing w:val="7"/>
                <w:sz w:val="24"/>
              </w:rPr>
              <w:t xml:space="preserve"> </w:t>
            </w:r>
            <w:r>
              <w:rPr>
                <w:b/>
                <w:sz w:val="24"/>
              </w:rPr>
              <w:t>System</w:t>
            </w:r>
            <w:r>
              <w:rPr>
                <w:b/>
                <w:spacing w:val="-10"/>
                <w:sz w:val="24"/>
              </w:rPr>
              <w:t xml:space="preserve"> </w:t>
            </w:r>
            <w:r>
              <w:rPr>
                <w:b/>
                <w:spacing w:val="-2"/>
                <w:sz w:val="24"/>
              </w:rPr>
              <w:t>Disorders</w:t>
            </w:r>
          </w:p>
        </w:tc>
      </w:tr>
    </w:tbl>
    <w:p w14:paraId="00CA07E4" w14:textId="77777777" w:rsidR="001825E2" w:rsidRDefault="001825E2" w:rsidP="00CB00A7">
      <w:pPr>
        <w:rPr>
          <w:sz w:val="24"/>
        </w:rPr>
        <w:sectPr w:rsidR="001825E2">
          <w:pgSz w:w="11910" w:h="16850"/>
          <w:pgMar w:top="1360" w:right="1220" w:bottom="980" w:left="1220" w:header="0" w:footer="785" w:gutter="0"/>
          <w:cols w:space="720"/>
        </w:sect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05"/>
        <w:gridCol w:w="1560"/>
        <w:gridCol w:w="1545"/>
        <w:gridCol w:w="1425"/>
        <w:gridCol w:w="1845"/>
      </w:tblGrid>
      <w:tr w:rsidR="001825E2" w14:paraId="33230702" w14:textId="77777777">
        <w:trPr>
          <w:trHeight w:val="1004"/>
        </w:trPr>
        <w:tc>
          <w:tcPr>
            <w:tcW w:w="2805" w:type="dxa"/>
          </w:tcPr>
          <w:p w14:paraId="619D69AD" w14:textId="77777777" w:rsidR="001825E2" w:rsidRDefault="000839A5" w:rsidP="00CB00A7">
            <w:pPr>
              <w:pStyle w:val="TableParagraph"/>
              <w:spacing w:before="5" w:line="235" w:lineRule="auto"/>
              <w:ind w:left="652" w:firstLine="30"/>
              <w:jc w:val="left"/>
              <w:rPr>
                <w:b/>
                <w:sz w:val="24"/>
              </w:rPr>
            </w:pPr>
            <w:r>
              <w:rPr>
                <w:b/>
                <w:sz w:val="24"/>
              </w:rPr>
              <w:lastRenderedPageBreak/>
              <w:t>Body</w:t>
            </w:r>
            <w:r>
              <w:rPr>
                <w:b/>
                <w:spacing w:val="-6"/>
                <w:sz w:val="24"/>
              </w:rPr>
              <w:t xml:space="preserve"> </w:t>
            </w:r>
            <w:r>
              <w:rPr>
                <w:b/>
                <w:sz w:val="24"/>
              </w:rPr>
              <w:t>System</w:t>
            </w:r>
            <w:r>
              <w:rPr>
                <w:b/>
                <w:spacing w:val="-11"/>
                <w:sz w:val="24"/>
              </w:rPr>
              <w:t xml:space="preserve"> </w:t>
            </w:r>
            <w:r>
              <w:rPr>
                <w:b/>
                <w:sz w:val="24"/>
              </w:rPr>
              <w:t>/ Adverse</w:t>
            </w:r>
            <w:r>
              <w:rPr>
                <w:b/>
                <w:spacing w:val="-3"/>
                <w:sz w:val="24"/>
              </w:rPr>
              <w:t xml:space="preserve"> </w:t>
            </w:r>
            <w:r>
              <w:rPr>
                <w:b/>
                <w:spacing w:val="-2"/>
                <w:sz w:val="24"/>
              </w:rPr>
              <w:t>Event</w:t>
            </w:r>
          </w:p>
        </w:tc>
        <w:tc>
          <w:tcPr>
            <w:tcW w:w="1560" w:type="dxa"/>
          </w:tcPr>
          <w:p w14:paraId="6EEC065C" w14:textId="77777777" w:rsidR="001825E2" w:rsidRDefault="000839A5" w:rsidP="00CB00A7">
            <w:pPr>
              <w:pStyle w:val="TableParagraph"/>
              <w:spacing w:before="1"/>
              <w:ind w:left="217"/>
              <w:jc w:val="left"/>
              <w:rPr>
                <w:b/>
                <w:sz w:val="24"/>
              </w:rPr>
            </w:pPr>
            <w:r>
              <w:rPr>
                <w:b/>
                <w:spacing w:val="-2"/>
                <w:sz w:val="24"/>
              </w:rPr>
              <w:t>XELJANZ</w:t>
            </w:r>
          </w:p>
          <w:p w14:paraId="6FBCEE08" w14:textId="77777777" w:rsidR="001825E2" w:rsidRDefault="000839A5" w:rsidP="00CB00A7">
            <w:pPr>
              <w:pStyle w:val="TableParagraph"/>
              <w:spacing w:line="330" w:lineRule="atLeast"/>
              <w:ind w:left="307" w:hanging="30"/>
              <w:jc w:val="left"/>
              <w:rPr>
                <w:b/>
                <w:sz w:val="24"/>
              </w:rPr>
            </w:pPr>
            <w:r>
              <w:rPr>
                <w:b/>
                <w:sz w:val="24"/>
              </w:rPr>
              <w:t>5</w:t>
            </w:r>
            <w:r>
              <w:rPr>
                <w:b/>
                <w:spacing w:val="-10"/>
                <w:sz w:val="24"/>
              </w:rPr>
              <w:t xml:space="preserve"> </w:t>
            </w:r>
            <w:r>
              <w:rPr>
                <w:b/>
                <w:sz w:val="24"/>
              </w:rPr>
              <w:t>mg</w:t>
            </w:r>
            <w:r>
              <w:rPr>
                <w:b/>
                <w:spacing w:val="80"/>
                <w:sz w:val="24"/>
              </w:rPr>
              <w:t xml:space="preserve"> </w:t>
            </w:r>
            <w:r>
              <w:rPr>
                <w:b/>
                <w:sz w:val="24"/>
              </w:rPr>
              <w:t xml:space="preserve">BD </w:t>
            </w:r>
            <w:r>
              <w:rPr>
                <w:b/>
                <w:spacing w:val="-2"/>
                <w:sz w:val="24"/>
              </w:rPr>
              <w:t>(N=1216)</w:t>
            </w:r>
          </w:p>
        </w:tc>
        <w:tc>
          <w:tcPr>
            <w:tcW w:w="1545" w:type="dxa"/>
          </w:tcPr>
          <w:p w14:paraId="3E04976D" w14:textId="77777777" w:rsidR="001825E2" w:rsidRDefault="000839A5" w:rsidP="00CB00A7">
            <w:pPr>
              <w:pStyle w:val="TableParagraph"/>
              <w:spacing w:before="1"/>
              <w:ind w:left="217"/>
              <w:jc w:val="left"/>
              <w:rPr>
                <w:b/>
                <w:sz w:val="24"/>
              </w:rPr>
            </w:pPr>
            <w:r>
              <w:rPr>
                <w:b/>
                <w:spacing w:val="-2"/>
                <w:sz w:val="24"/>
              </w:rPr>
              <w:t>XELJANZ</w:t>
            </w:r>
          </w:p>
          <w:p w14:paraId="51320770" w14:textId="77777777" w:rsidR="001825E2" w:rsidRDefault="000839A5" w:rsidP="00CB00A7">
            <w:pPr>
              <w:pStyle w:val="TableParagraph"/>
              <w:spacing w:line="330" w:lineRule="atLeast"/>
              <w:ind w:left="307" w:hanging="90"/>
              <w:jc w:val="left"/>
              <w:rPr>
                <w:b/>
                <w:sz w:val="24"/>
              </w:rPr>
            </w:pPr>
            <w:r>
              <w:rPr>
                <w:b/>
                <w:sz w:val="24"/>
              </w:rPr>
              <w:t>10</w:t>
            </w:r>
            <w:r>
              <w:rPr>
                <w:b/>
                <w:spacing w:val="-10"/>
                <w:sz w:val="24"/>
              </w:rPr>
              <w:t xml:space="preserve"> </w:t>
            </w:r>
            <w:r>
              <w:rPr>
                <w:b/>
                <w:sz w:val="24"/>
              </w:rPr>
              <w:t>mg</w:t>
            </w:r>
            <w:r>
              <w:rPr>
                <w:b/>
                <w:spacing w:val="80"/>
                <w:sz w:val="24"/>
              </w:rPr>
              <w:t xml:space="preserve"> </w:t>
            </w:r>
            <w:r>
              <w:rPr>
                <w:b/>
                <w:sz w:val="24"/>
              </w:rPr>
              <w:t xml:space="preserve">BD </w:t>
            </w:r>
            <w:r>
              <w:rPr>
                <w:b/>
                <w:spacing w:val="-2"/>
                <w:sz w:val="24"/>
              </w:rPr>
              <w:t>(N=1214)</w:t>
            </w:r>
          </w:p>
        </w:tc>
        <w:tc>
          <w:tcPr>
            <w:tcW w:w="1425" w:type="dxa"/>
          </w:tcPr>
          <w:p w14:paraId="07544189" w14:textId="77777777" w:rsidR="001825E2" w:rsidRDefault="000839A5" w:rsidP="00CB00A7">
            <w:pPr>
              <w:pStyle w:val="TableParagraph"/>
              <w:spacing w:before="1"/>
              <w:ind w:left="322"/>
              <w:jc w:val="left"/>
              <w:rPr>
                <w:b/>
                <w:sz w:val="24"/>
              </w:rPr>
            </w:pPr>
            <w:r>
              <w:rPr>
                <w:b/>
                <w:spacing w:val="-2"/>
                <w:sz w:val="24"/>
              </w:rPr>
              <w:t>Placebo</w:t>
            </w:r>
          </w:p>
          <w:p w14:paraId="4662E32F" w14:textId="77777777" w:rsidR="001825E2" w:rsidRDefault="001825E2" w:rsidP="00CB00A7">
            <w:pPr>
              <w:pStyle w:val="TableParagraph"/>
              <w:spacing w:before="107"/>
              <w:ind w:left="0"/>
              <w:jc w:val="left"/>
              <w:rPr>
                <w:b/>
                <w:sz w:val="24"/>
              </w:rPr>
            </w:pPr>
          </w:p>
          <w:p w14:paraId="5AB267AD" w14:textId="77777777" w:rsidR="001825E2" w:rsidRDefault="000839A5" w:rsidP="00CB00A7">
            <w:pPr>
              <w:pStyle w:val="TableParagraph"/>
              <w:spacing w:before="1"/>
              <w:ind w:left="307"/>
              <w:jc w:val="left"/>
              <w:rPr>
                <w:b/>
                <w:sz w:val="24"/>
              </w:rPr>
            </w:pPr>
            <w:r>
              <w:rPr>
                <w:b/>
                <w:spacing w:val="-2"/>
                <w:sz w:val="24"/>
              </w:rPr>
              <w:t>(N=681)</w:t>
            </w:r>
          </w:p>
        </w:tc>
        <w:tc>
          <w:tcPr>
            <w:tcW w:w="1845" w:type="dxa"/>
          </w:tcPr>
          <w:p w14:paraId="09403D61" w14:textId="77777777" w:rsidR="001825E2" w:rsidRDefault="000839A5" w:rsidP="00CB00A7">
            <w:pPr>
              <w:pStyle w:val="TableParagraph"/>
              <w:spacing w:before="1" w:line="288" w:lineRule="auto"/>
              <w:ind w:right="117" w:firstLine="5"/>
              <w:jc w:val="left"/>
              <w:rPr>
                <w:b/>
                <w:sz w:val="24"/>
              </w:rPr>
            </w:pPr>
            <w:r>
              <w:rPr>
                <w:b/>
                <w:spacing w:val="-2"/>
                <w:sz w:val="24"/>
              </w:rPr>
              <w:t>Adalimumab</w:t>
            </w:r>
            <w:r>
              <w:rPr>
                <w:b/>
                <w:spacing w:val="40"/>
                <w:sz w:val="24"/>
              </w:rPr>
              <w:t xml:space="preserve"> </w:t>
            </w:r>
            <w:r>
              <w:rPr>
                <w:b/>
                <w:sz w:val="24"/>
              </w:rPr>
              <w:t>40</w:t>
            </w:r>
            <w:r>
              <w:rPr>
                <w:b/>
                <w:spacing w:val="-8"/>
                <w:sz w:val="24"/>
              </w:rPr>
              <w:t xml:space="preserve"> </w:t>
            </w:r>
            <w:r>
              <w:rPr>
                <w:b/>
                <w:sz w:val="24"/>
              </w:rPr>
              <w:t>mg</w:t>
            </w:r>
            <w:r>
              <w:rPr>
                <w:b/>
                <w:spacing w:val="40"/>
                <w:sz w:val="24"/>
              </w:rPr>
              <w:t xml:space="preserve"> </w:t>
            </w:r>
            <w:r>
              <w:rPr>
                <w:b/>
                <w:sz w:val="24"/>
              </w:rPr>
              <w:t>SC</w:t>
            </w:r>
            <w:r>
              <w:rPr>
                <w:b/>
                <w:spacing w:val="40"/>
                <w:sz w:val="24"/>
              </w:rPr>
              <w:t xml:space="preserve"> </w:t>
            </w:r>
            <w:r>
              <w:rPr>
                <w:b/>
                <w:sz w:val="24"/>
              </w:rPr>
              <w:t>q2w</w:t>
            </w:r>
          </w:p>
          <w:p w14:paraId="007F6A70" w14:textId="77777777" w:rsidR="001825E2" w:rsidRDefault="000839A5" w:rsidP="00CB00A7">
            <w:pPr>
              <w:pStyle w:val="TableParagraph"/>
              <w:spacing w:line="274" w:lineRule="exact"/>
              <w:ind w:left="20" w:right="16"/>
              <w:jc w:val="left"/>
              <w:rPr>
                <w:b/>
                <w:sz w:val="24"/>
              </w:rPr>
            </w:pPr>
            <w:r>
              <w:rPr>
                <w:b/>
                <w:spacing w:val="-2"/>
                <w:sz w:val="24"/>
              </w:rPr>
              <w:t>(N=204)</w:t>
            </w:r>
          </w:p>
        </w:tc>
      </w:tr>
      <w:tr w:rsidR="001825E2" w14:paraId="1339D7D1" w14:textId="77777777">
        <w:trPr>
          <w:trHeight w:val="390"/>
        </w:trPr>
        <w:tc>
          <w:tcPr>
            <w:tcW w:w="2805" w:type="dxa"/>
          </w:tcPr>
          <w:p w14:paraId="61D093AB" w14:textId="77777777" w:rsidR="001825E2" w:rsidRDefault="000839A5" w:rsidP="00CB00A7">
            <w:pPr>
              <w:pStyle w:val="TableParagraph"/>
              <w:spacing w:before="61"/>
              <w:jc w:val="left"/>
              <w:rPr>
                <w:sz w:val="24"/>
              </w:rPr>
            </w:pPr>
            <w:proofErr w:type="spellStart"/>
            <w:r>
              <w:rPr>
                <w:spacing w:val="-2"/>
                <w:sz w:val="24"/>
              </w:rPr>
              <w:t>Anaemia</w:t>
            </w:r>
            <w:proofErr w:type="spellEnd"/>
          </w:p>
        </w:tc>
        <w:tc>
          <w:tcPr>
            <w:tcW w:w="1560" w:type="dxa"/>
          </w:tcPr>
          <w:p w14:paraId="19BDF874" w14:textId="77777777" w:rsidR="001825E2" w:rsidRDefault="000839A5" w:rsidP="00CB00A7">
            <w:pPr>
              <w:pStyle w:val="TableParagraph"/>
              <w:spacing w:before="61"/>
              <w:ind w:left="60" w:right="25"/>
              <w:jc w:val="left"/>
              <w:rPr>
                <w:sz w:val="24"/>
              </w:rPr>
            </w:pPr>
            <w:r>
              <w:rPr>
                <w:sz w:val="24"/>
              </w:rPr>
              <w:t xml:space="preserve">15 </w:t>
            </w:r>
            <w:r>
              <w:rPr>
                <w:spacing w:val="-2"/>
                <w:sz w:val="24"/>
              </w:rPr>
              <w:t>(1.2)</w:t>
            </w:r>
          </w:p>
        </w:tc>
        <w:tc>
          <w:tcPr>
            <w:tcW w:w="1545" w:type="dxa"/>
          </w:tcPr>
          <w:p w14:paraId="27F13689" w14:textId="77777777" w:rsidR="001825E2" w:rsidRDefault="000839A5" w:rsidP="00CB00A7">
            <w:pPr>
              <w:pStyle w:val="TableParagraph"/>
              <w:spacing w:before="61"/>
              <w:ind w:left="50"/>
              <w:jc w:val="left"/>
              <w:rPr>
                <w:sz w:val="24"/>
              </w:rPr>
            </w:pPr>
            <w:r>
              <w:rPr>
                <w:sz w:val="24"/>
              </w:rPr>
              <w:t xml:space="preserve">13 </w:t>
            </w:r>
            <w:r>
              <w:rPr>
                <w:spacing w:val="-2"/>
                <w:sz w:val="24"/>
              </w:rPr>
              <w:t>(1.1)</w:t>
            </w:r>
          </w:p>
        </w:tc>
        <w:tc>
          <w:tcPr>
            <w:tcW w:w="1425" w:type="dxa"/>
          </w:tcPr>
          <w:p w14:paraId="6BC5E8AE" w14:textId="77777777" w:rsidR="001825E2" w:rsidRDefault="000839A5" w:rsidP="00CB00A7">
            <w:pPr>
              <w:pStyle w:val="TableParagraph"/>
              <w:spacing w:before="61"/>
              <w:ind w:left="61" w:right="11"/>
              <w:jc w:val="left"/>
              <w:rPr>
                <w:sz w:val="24"/>
              </w:rPr>
            </w:pPr>
            <w:r>
              <w:rPr>
                <w:sz w:val="24"/>
              </w:rPr>
              <w:t xml:space="preserve">8 </w:t>
            </w:r>
            <w:r>
              <w:rPr>
                <w:spacing w:val="-2"/>
                <w:sz w:val="24"/>
              </w:rPr>
              <w:t>(1.2)</w:t>
            </w:r>
          </w:p>
        </w:tc>
        <w:tc>
          <w:tcPr>
            <w:tcW w:w="1845" w:type="dxa"/>
          </w:tcPr>
          <w:p w14:paraId="227C3CEB" w14:textId="77777777" w:rsidR="001825E2" w:rsidRDefault="000839A5" w:rsidP="00CB00A7">
            <w:pPr>
              <w:pStyle w:val="TableParagraph"/>
              <w:spacing w:before="61"/>
              <w:ind w:left="20" w:right="5"/>
              <w:jc w:val="left"/>
              <w:rPr>
                <w:sz w:val="24"/>
              </w:rPr>
            </w:pPr>
            <w:r>
              <w:rPr>
                <w:spacing w:val="-10"/>
                <w:sz w:val="24"/>
              </w:rPr>
              <w:t>0</w:t>
            </w:r>
          </w:p>
        </w:tc>
      </w:tr>
      <w:tr w:rsidR="001825E2" w14:paraId="3C105225" w14:textId="77777777">
        <w:trPr>
          <w:trHeight w:val="390"/>
        </w:trPr>
        <w:tc>
          <w:tcPr>
            <w:tcW w:w="9180" w:type="dxa"/>
            <w:gridSpan w:val="5"/>
          </w:tcPr>
          <w:p w14:paraId="2D193B9A" w14:textId="77777777" w:rsidR="001825E2" w:rsidRDefault="000839A5" w:rsidP="00CB00A7">
            <w:pPr>
              <w:pStyle w:val="TableParagraph"/>
              <w:spacing w:before="61"/>
              <w:jc w:val="left"/>
              <w:rPr>
                <w:b/>
                <w:sz w:val="24"/>
              </w:rPr>
            </w:pPr>
            <w:r>
              <w:rPr>
                <w:b/>
                <w:sz w:val="24"/>
              </w:rPr>
              <w:t>Metabolism</w:t>
            </w:r>
            <w:r>
              <w:rPr>
                <w:b/>
                <w:spacing w:val="8"/>
                <w:sz w:val="24"/>
              </w:rPr>
              <w:t xml:space="preserve"> </w:t>
            </w:r>
            <w:r>
              <w:rPr>
                <w:b/>
                <w:sz w:val="24"/>
              </w:rPr>
              <w:t>and</w:t>
            </w:r>
            <w:r>
              <w:rPr>
                <w:b/>
                <w:spacing w:val="-11"/>
                <w:sz w:val="24"/>
              </w:rPr>
              <w:t xml:space="preserve"> </w:t>
            </w:r>
            <w:r>
              <w:rPr>
                <w:b/>
                <w:sz w:val="24"/>
              </w:rPr>
              <w:t>Nutrition</w:t>
            </w:r>
            <w:r>
              <w:rPr>
                <w:b/>
                <w:spacing w:val="1"/>
                <w:sz w:val="24"/>
              </w:rPr>
              <w:t xml:space="preserve"> </w:t>
            </w:r>
            <w:r>
              <w:rPr>
                <w:b/>
                <w:spacing w:val="-2"/>
                <w:sz w:val="24"/>
              </w:rPr>
              <w:t>Disorders</w:t>
            </w:r>
          </w:p>
        </w:tc>
      </w:tr>
      <w:tr w:rsidR="001825E2" w14:paraId="6FB9D1F0" w14:textId="77777777">
        <w:trPr>
          <w:trHeight w:val="390"/>
        </w:trPr>
        <w:tc>
          <w:tcPr>
            <w:tcW w:w="2805" w:type="dxa"/>
          </w:tcPr>
          <w:p w14:paraId="592C2F0E" w14:textId="77777777" w:rsidR="001825E2" w:rsidRDefault="000839A5" w:rsidP="00CB00A7">
            <w:pPr>
              <w:pStyle w:val="TableParagraph"/>
              <w:spacing w:before="61"/>
              <w:jc w:val="left"/>
              <w:rPr>
                <w:sz w:val="24"/>
              </w:rPr>
            </w:pPr>
            <w:proofErr w:type="spellStart"/>
            <w:r>
              <w:rPr>
                <w:spacing w:val="-2"/>
                <w:sz w:val="24"/>
              </w:rPr>
              <w:t>Hypercholesterolaemia</w:t>
            </w:r>
            <w:proofErr w:type="spellEnd"/>
          </w:p>
        </w:tc>
        <w:tc>
          <w:tcPr>
            <w:tcW w:w="1560" w:type="dxa"/>
          </w:tcPr>
          <w:p w14:paraId="0F160F38" w14:textId="77777777" w:rsidR="001825E2" w:rsidRDefault="000839A5" w:rsidP="00CB00A7">
            <w:pPr>
              <w:pStyle w:val="TableParagraph"/>
              <w:spacing w:before="61"/>
              <w:ind w:left="60" w:right="25"/>
              <w:jc w:val="left"/>
              <w:rPr>
                <w:sz w:val="24"/>
              </w:rPr>
            </w:pPr>
            <w:r>
              <w:rPr>
                <w:sz w:val="24"/>
              </w:rPr>
              <w:t xml:space="preserve">12 </w:t>
            </w:r>
            <w:r>
              <w:rPr>
                <w:spacing w:val="-2"/>
                <w:sz w:val="24"/>
              </w:rPr>
              <w:t>(1.0)</w:t>
            </w:r>
          </w:p>
        </w:tc>
        <w:tc>
          <w:tcPr>
            <w:tcW w:w="1545" w:type="dxa"/>
          </w:tcPr>
          <w:p w14:paraId="5C5296BB" w14:textId="77777777" w:rsidR="001825E2" w:rsidRDefault="000839A5" w:rsidP="00CB00A7">
            <w:pPr>
              <w:pStyle w:val="TableParagraph"/>
              <w:spacing w:before="61"/>
              <w:ind w:left="50"/>
              <w:jc w:val="left"/>
              <w:rPr>
                <w:sz w:val="24"/>
              </w:rPr>
            </w:pPr>
            <w:r>
              <w:rPr>
                <w:sz w:val="24"/>
              </w:rPr>
              <w:t xml:space="preserve">13 </w:t>
            </w:r>
            <w:r>
              <w:rPr>
                <w:spacing w:val="-2"/>
                <w:sz w:val="24"/>
              </w:rPr>
              <w:t>(1.1)</w:t>
            </w:r>
          </w:p>
        </w:tc>
        <w:tc>
          <w:tcPr>
            <w:tcW w:w="1425" w:type="dxa"/>
          </w:tcPr>
          <w:p w14:paraId="676D7765" w14:textId="77777777" w:rsidR="001825E2" w:rsidRDefault="000839A5" w:rsidP="00CB00A7">
            <w:pPr>
              <w:pStyle w:val="TableParagraph"/>
              <w:spacing w:before="61"/>
              <w:ind w:left="61" w:right="11"/>
              <w:jc w:val="left"/>
              <w:rPr>
                <w:sz w:val="24"/>
              </w:rPr>
            </w:pPr>
            <w:r>
              <w:rPr>
                <w:sz w:val="24"/>
              </w:rPr>
              <w:t xml:space="preserve">3 </w:t>
            </w:r>
            <w:r>
              <w:rPr>
                <w:spacing w:val="-2"/>
                <w:sz w:val="24"/>
              </w:rPr>
              <w:t>(0.4)</w:t>
            </w:r>
          </w:p>
        </w:tc>
        <w:tc>
          <w:tcPr>
            <w:tcW w:w="1845" w:type="dxa"/>
          </w:tcPr>
          <w:p w14:paraId="6D8A5A5F" w14:textId="77777777" w:rsidR="001825E2" w:rsidRDefault="000839A5" w:rsidP="00CB00A7">
            <w:pPr>
              <w:pStyle w:val="TableParagraph"/>
              <w:spacing w:before="61"/>
              <w:ind w:left="25" w:right="5"/>
              <w:jc w:val="left"/>
              <w:rPr>
                <w:sz w:val="24"/>
              </w:rPr>
            </w:pPr>
            <w:r>
              <w:rPr>
                <w:sz w:val="24"/>
              </w:rPr>
              <w:t xml:space="preserve">1 </w:t>
            </w:r>
            <w:r>
              <w:rPr>
                <w:spacing w:val="-2"/>
                <w:sz w:val="24"/>
              </w:rPr>
              <w:t>(0.5)</w:t>
            </w:r>
          </w:p>
        </w:tc>
      </w:tr>
      <w:tr w:rsidR="001825E2" w14:paraId="17FB1F7E" w14:textId="77777777">
        <w:trPr>
          <w:trHeight w:val="390"/>
        </w:trPr>
        <w:tc>
          <w:tcPr>
            <w:tcW w:w="9180" w:type="dxa"/>
            <w:gridSpan w:val="5"/>
          </w:tcPr>
          <w:p w14:paraId="46B7E5E3" w14:textId="77777777" w:rsidR="001825E2" w:rsidRDefault="000839A5" w:rsidP="00CB00A7">
            <w:pPr>
              <w:pStyle w:val="TableParagraph"/>
              <w:spacing w:before="61"/>
              <w:jc w:val="left"/>
              <w:rPr>
                <w:b/>
                <w:sz w:val="24"/>
              </w:rPr>
            </w:pPr>
            <w:r>
              <w:rPr>
                <w:b/>
                <w:sz w:val="24"/>
              </w:rPr>
              <w:t>Nervous</w:t>
            </w:r>
            <w:r>
              <w:rPr>
                <w:b/>
                <w:spacing w:val="-8"/>
                <w:sz w:val="24"/>
              </w:rPr>
              <w:t xml:space="preserve"> </w:t>
            </w:r>
            <w:r>
              <w:rPr>
                <w:b/>
                <w:sz w:val="24"/>
              </w:rPr>
              <w:t>System</w:t>
            </w:r>
            <w:r>
              <w:rPr>
                <w:b/>
                <w:spacing w:val="7"/>
                <w:sz w:val="24"/>
              </w:rPr>
              <w:t xml:space="preserve"> </w:t>
            </w:r>
            <w:r>
              <w:rPr>
                <w:b/>
                <w:spacing w:val="-2"/>
                <w:sz w:val="24"/>
              </w:rPr>
              <w:t>Disorders</w:t>
            </w:r>
          </w:p>
        </w:tc>
      </w:tr>
      <w:tr w:rsidR="001825E2" w14:paraId="768C942D" w14:textId="77777777">
        <w:trPr>
          <w:trHeight w:val="390"/>
        </w:trPr>
        <w:tc>
          <w:tcPr>
            <w:tcW w:w="2805" w:type="dxa"/>
          </w:tcPr>
          <w:p w14:paraId="17F3D913" w14:textId="77777777" w:rsidR="001825E2" w:rsidRDefault="000839A5" w:rsidP="00CB00A7">
            <w:pPr>
              <w:pStyle w:val="TableParagraph"/>
              <w:spacing w:before="61"/>
              <w:jc w:val="left"/>
              <w:rPr>
                <w:sz w:val="24"/>
              </w:rPr>
            </w:pPr>
            <w:r>
              <w:rPr>
                <w:spacing w:val="-2"/>
                <w:sz w:val="24"/>
              </w:rPr>
              <w:t>Headache</w:t>
            </w:r>
          </w:p>
        </w:tc>
        <w:tc>
          <w:tcPr>
            <w:tcW w:w="1560" w:type="dxa"/>
          </w:tcPr>
          <w:p w14:paraId="00DB7F81" w14:textId="77777777" w:rsidR="001825E2" w:rsidRDefault="000839A5" w:rsidP="00CB00A7">
            <w:pPr>
              <w:pStyle w:val="TableParagraph"/>
              <w:spacing w:before="61"/>
              <w:ind w:left="60" w:right="25"/>
              <w:jc w:val="left"/>
              <w:rPr>
                <w:sz w:val="24"/>
              </w:rPr>
            </w:pPr>
            <w:r>
              <w:rPr>
                <w:sz w:val="24"/>
              </w:rPr>
              <w:t xml:space="preserve">54 </w:t>
            </w:r>
            <w:r>
              <w:rPr>
                <w:spacing w:val="-2"/>
                <w:sz w:val="24"/>
              </w:rPr>
              <w:t>(4.4)</w:t>
            </w:r>
          </w:p>
        </w:tc>
        <w:tc>
          <w:tcPr>
            <w:tcW w:w="1545" w:type="dxa"/>
          </w:tcPr>
          <w:p w14:paraId="7FB723EB" w14:textId="77777777" w:rsidR="001825E2" w:rsidRDefault="000839A5" w:rsidP="00CB00A7">
            <w:pPr>
              <w:pStyle w:val="TableParagraph"/>
              <w:spacing w:before="61"/>
              <w:ind w:left="50"/>
              <w:jc w:val="left"/>
              <w:rPr>
                <w:sz w:val="24"/>
              </w:rPr>
            </w:pPr>
            <w:r>
              <w:rPr>
                <w:sz w:val="24"/>
              </w:rPr>
              <w:t xml:space="preserve">39 </w:t>
            </w:r>
            <w:r>
              <w:rPr>
                <w:spacing w:val="-2"/>
                <w:sz w:val="24"/>
              </w:rPr>
              <w:t>(3.2)</w:t>
            </w:r>
          </w:p>
        </w:tc>
        <w:tc>
          <w:tcPr>
            <w:tcW w:w="1425" w:type="dxa"/>
          </w:tcPr>
          <w:p w14:paraId="2FE9E715" w14:textId="77777777" w:rsidR="001825E2" w:rsidRDefault="000839A5" w:rsidP="00CB00A7">
            <w:pPr>
              <w:pStyle w:val="TableParagraph"/>
              <w:spacing w:before="61"/>
              <w:ind w:left="61" w:right="11"/>
              <w:jc w:val="left"/>
              <w:rPr>
                <w:sz w:val="24"/>
              </w:rPr>
            </w:pPr>
            <w:r>
              <w:rPr>
                <w:sz w:val="24"/>
              </w:rPr>
              <w:t xml:space="preserve">15 </w:t>
            </w:r>
            <w:r>
              <w:rPr>
                <w:spacing w:val="-2"/>
                <w:sz w:val="24"/>
              </w:rPr>
              <w:t>(2.2)</w:t>
            </w:r>
          </w:p>
        </w:tc>
        <w:tc>
          <w:tcPr>
            <w:tcW w:w="1845" w:type="dxa"/>
          </w:tcPr>
          <w:p w14:paraId="3B52E79F" w14:textId="77777777" w:rsidR="001825E2" w:rsidRDefault="000839A5" w:rsidP="00CB00A7">
            <w:pPr>
              <w:pStyle w:val="TableParagraph"/>
              <w:spacing w:before="61"/>
              <w:ind w:left="25" w:right="5"/>
              <w:jc w:val="left"/>
              <w:rPr>
                <w:sz w:val="24"/>
              </w:rPr>
            </w:pPr>
            <w:r>
              <w:rPr>
                <w:sz w:val="24"/>
              </w:rPr>
              <w:t xml:space="preserve">5 </w:t>
            </w:r>
            <w:r>
              <w:rPr>
                <w:spacing w:val="-2"/>
                <w:sz w:val="24"/>
              </w:rPr>
              <w:t>(2.5)</w:t>
            </w:r>
          </w:p>
        </w:tc>
      </w:tr>
      <w:tr w:rsidR="001825E2" w14:paraId="24659D8B" w14:textId="77777777">
        <w:trPr>
          <w:trHeight w:val="390"/>
        </w:trPr>
        <w:tc>
          <w:tcPr>
            <w:tcW w:w="2805" w:type="dxa"/>
          </w:tcPr>
          <w:p w14:paraId="0A1D8540" w14:textId="77777777" w:rsidR="001825E2" w:rsidRDefault="000839A5" w:rsidP="00CB00A7">
            <w:pPr>
              <w:pStyle w:val="TableParagraph"/>
              <w:spacing w:before="61"/>
              <w:jc w:val="left"/>
              <w:rPr>
                <w:sz w:val="24"/>
              </w:rPr>
            </w:pPr>
            <w:r>
              <w:rPr>
                <w:spacing w:val="-2"/>
                <w:sz w:val="24"/>
              </w:rPr>
              <w:t>Dizziness</w:t>
            </w:r>
          </w:p>
        </w:tc>
        <w:tc>
          <w:tcPr>
            <w:tcW w:w="1560" w:type="dxa"/>
          </w:tcPr>
          <w:p w14:paraId="298DA851" w14:textId="77777777" w:rsidR="001825E2" w:rsidRDefault="000839A5" w:rsidP="00CB00A7">
            <w:pPr>
              <w:pStyle w:val="TableParagraph"/>
              <w:spacing w:before="61"/>
              <w:ind w:left="60" w:right="25"/>
              <w:jc w:val="left"/>
              <w:rPr>
                <w:sz w:val="24"/>
              </w:rPr>
            </w:pPr>
            <w:r>
              <w:rPr>
                <w:sz w:val="24"/>
              </w:rPr>
              <w:t xml:space="preserve">13 </w:t>
            </w:r>
            <w:r>
              <w:rPr>
                <w:spacing w:val="-2"/>
                <w:sz w:val="24"/>
              </w:rPr>
              <w:t>(1.1)</w:t>
            </w:r>
          </w:p>
        </w:tc>
        <w:tc>
          <w:tcPr>
            <w:tcW w:w="1545" w:type="dxa"/>
          </w:tcPr>
          <w:p w14:paraId="3A7EEA84" w14:textId="77777777" w:rsidR="001825E2" w:rsidRDefault="000839A5" w:rsidP="00CB00A7">
            <w:pPr>
              <w:pStyle w:val="TableParagraph"/>
              <w:spacing w:before="61"/>
              <w:ind w:left="50" w:right="1"/>
              <w:jc w:val="left"/>
              <w:rPr>
                <w:sz w:val="24"/>
              </w:rPr>
            </w:pPr>
            <w:r>
              <w:rPr>
                <w:sz w:val="24"/>
              </w:rPr>
              <w:t xml:space="preserve">12 </w:t>
            </w:r>
            <w:r>
              <w:rPr>
                <w:spacing w:val="-2"/>
                <w:sz w:val="24"/>
              </w:rPr>
              <w:t>(1.0)</w:t>
            </w:r>
          </w:p>
        </w:tc>
        <w:tc>
          <w:tcPr>
            <w:tcW w:w="1425" w:type="dxa"/>
          </w:tcPr>
          <w:p w14:paraId="31F7A18C" w14:textId="77777777" w:rsidR="001825E2" w:rsidRDefault="000839A5" w:rsidP="00CB00A7">
            <w:pPr>
              <w:pStyle w:val="TableParagraph"/>
              <w:spacing w:before="61"/>
              <w:ind w:left="61" w:right="12"/>
              <w:jc w:val="left"/>
              <w:rPr>
                <w:sz w:val="24"/>
              </w:rPr>
            </w:pPr>
            <w:r>
              <w:rPr>
                <w:sz w:val="24"/>
              </w:rPr>
              <w:t xml:space="preserve">8 </w:t>
            </w:r>
            <w:r>
              <w:rPr>
                <w:spacing w:val="-2"/>
                <w:sz w:val="24"/>
              </w:rPr>
              <w:t>(1.2)</w:t>
            </w:r>
          </w:p>
        </w:tc>
        <w:tc>
          <w:tcPr>
            <w:tcW w:w="1845" w:type="dxa"/>
          </w:tcPr>
          <w:p w14:paraId="03FD384D" w14:textId="77777777" w:rsidR="001825E2" w:rsidRDefault="000839A5" w:rsidP="00CB00A7">
            <w:pPr>
              <w:pStyle w:val="TableParagraph"/>
              <w:spacing w:before="61"/>
              <w:ind w:left="24" w:right="5"/>
              <w:jc w:val="left"/>
              <w:rPr>
                <w:sz w:val="24"/>
              </w:rPr>
            </w:pPr>
            <w:r>
              <w:rPr>
                <w:sz w:val="24"/>
              </w:rPr>
              <w:t xml:space="preserve">3 </w:t>
            </w:r>
            <w:r>
              <w:rPr>
                <w:spacing w:val="-2"/>
                <w:sz w:val="24"/>
              </w:rPr>
              <w:t>(1.5)</w:t>
            </w:r>
          </w:p>
        </w:tc>
      </w:tr>
      <w:tr w:rsidR="001825E2" w14:paraId="2E6E775C" w14:textId="77777777">
        <w:trPr>
          <w:trHeight w:val="390"/>
        </w:trPr>
        <w:tc>
          <w:tcPr>
            <w:tcW w:w="9180" w:type="dxa"/>
            <w:gridSpan w:val="5"/>
          </w:tcPr>
          <w:p w14:paraId="6959A07B" w14:textId="77777777" w:rsidR="001825E2" w:rsidRDefault="000839A5" w:rsidP="00CB00A7">
            <w:pPr>
              <w:pStyle w:val="TableParagraph"/>
              <w:spacing w:before="61"/>
              <w:jc w:val="left"/>
              <w:rPr>
                <w:b/>
                <w:sz w:val="24"/>
              </w:rPr>
            </w:pPr>
            <w:r>
              <w:rPr>
                <w:b/>
                <w:sz w:val="24"/>
              </w:rPr>
              <w:t>Vascular</w:t>
            </w:r>
            <w:r>
              <w:rPr>
                <w:b/>
                <w:spacing w:val="-8"/>
                <w:sz w:val="24"/>
              </w:rPr>
              <w:t xml:space="preserve"> </w:t>
            </w:r>
            <w:r>
              <w:rPr>
                <w:b/>
                <w:spacing w:val="-2"/>
                <w:sz w:val="24"/>
              </w:rPr>
              <w:t>Disorders</w:t>
            </w:r>
          </w:p>
        </w:tc>
      </w:tr>
      <w:tr w:rsidR="001825E2" w14:paraId="31359BDC" w14:textId="77777777">
        <w:trPr>
          <w:trHeight w:val="390"/>
        </w:trPr>
        <w:tc>
          <w:tcPr>
            <w:tcW w:w="2805" w:type="dxa"/>
          </w:tcPr>
          <w:p w14:paraId="5EE5D4BE" w14:textId="77777777" w:rsidR="001825E2" w:rsidRDefault="000839A5" w:rsidP="00CB00A7">
            <w:pPr>
              <w:pStyle w:val="TableParagraph"/>
              <w:spacing w:before="61"/>
              <w:jc w:val="left"/>
              <w:rPr>
                <w:sz w:val="24"/>
              </w:rPr>
            </w:pPr>
            <w:r>
              <w:rPr>
                <w:spacing w:val="-2"/>
                <w:sz w:val="24"/>
              </w:rPr>
              <w:t>Hypertension</w:t>
            </w:r>
          </w:p>
        </w:tc>
        <w:tc>
          <w:tcPr>
            <w:tcW w:w="1560" w:type="dxa"/>
          </w:tcPr>
          <w:p w14:paraId="321F7270" w14:textId="77777777" w:rsidR="001825E2" w:rsidRDefault="000839A5" w:rsidP="00CB00A7">
            <w:pPr>
              <w:pStyle w:val="TableParagraph"/>
              <w:spacing w:before="61"/>
              <w:ind w:left="60" w:right="25"/>
              <w:jc w:val="left"/>
              <w:rPr>
                <w:sz w:val="24"/>
              </w:rPr>
            </w:pPr>
            <w:r>
              <w:rPr>
                <w:sz w:val="24"/>
              </w:rPr>
              <w:t xml:space="preserve">20 </w:t>
            </w:r>
            <w:r>
              <w:rPr>
                <w:spacing w:val="-2"/>
                <w:sz w:val="24"/>
              </w:rPr>
              <w:t>(1.6)</w:t>
            </w:r>
          </w:p>
        </w:tc>
        <w:tc>
          <w:tcPr>
            <w:tcW w:w="1545" w:type="dxa"/>
          </w:tcPr>
          <w:p w14:paraId="7B75FE5D" w14:textId="77777777" w:rsidR="001825E2" w:rsidRDefault="000839A5" w:rsidP="00CB00A7">
            <w:pPr>
              <w:pStyle w:val="TableParagraph"/>
              <w:spacing w:before="61"/>
              <w:ind w:left="50"/>
              <w:jc w:val="left"/>
              <w:rPr>
                <w:sz w:val="24"/>
              </w:rPr>
            </w:pPr>
            <w:r>
              <w:rPr>
                <w:sz w:val="24"/>
              </w:rPr>
              <w:t xml:space="preserve">27 </w:t>
            </w:r>
            <w:r>
              <w:rPr>
                <w:spacing w:val="-2"/>
                <w:sz w:val="24"/>
              </w:rPr>
              <w:t>(2.2)</w:t>
            </w:r>
          </w:p>
        </w:tc>
        <w:tc>
          <w:tcPr>
            <w:tcW w:w="1425" w:type="dxa"/>
          </w:tcPr>
          <w:p w14:paraId="78AC2127" w14:textId="77777777" w:rsidR="001825E2" w:rsidRDefault="000839A5" w:rsidP="00CB00A7">
            <w:pPr>
              <w:pStyle w:val="TableParagraph"/>
              <w:spacing w:before="61"/>
              <w:ind w:left="61" w:right="11"/>
              <w:jc w:val="left"/>
              <w:rPr>
                <w:sz w:val="24"/>
              </w:rPr>
            </w:pPr>
            <w:r>
              <w:rPr>
                <w:sz w:val="24"/>
              </w:rPr>
              <w:t xml:space="preserve">7 </w:t>
            </w:r>
            <w:r>
              <w:rPr>
                <w:spacing w:val="-2"/>
                <w:sz w:val="24"/>
              </w:rPr>
              <w:t>(1.0)</w:t>
            </w:r>
          </w:p>
        </w:tc>
        <w:tc>
          <w:tcPr>
            <w:tcW w:w="1845" w:type="dxa"/>
          </w:tcPr>
          <w:p w14:paraId="7E80E09B" w14:textId="77777777" w:rsidR="001825E2" w:rsidRDefault="000839A5" w:rsidP="00CB00A7">
            <w:pPr>
              <w:pStyle w:val="TableParagraph"/>
              <w:spacing w:before="61"/>
              <w:ind w:left="20" w:right="5"/>
              <w:jc w:val="left"/>
              <w:rPr>
                <w:sz w:val="24"/>
              </w:rPr>
            </w:pPr>
            <w:r>
              <w:rPr>
                <w:spacing w:val="-10"/>
                <w:sz w:val="24"/>
              </w:rPr>
              <w:t>0</w:t>
            </w:r>
          </w:p>
        </w:tc>
      </w:tr>
      <w:tr w:rsidR="001825E2" w14:paraId="23B0E6A2" w14:textId="77777777">
        <w:trPr>
          <w:trHeight w:val="390"/>
        </w:trPr>
        <w:tc>
          <w:tcPr>
            <w:tcW w:w="9180" w:type="dxa"/>
            <w:gridSpan w:val="5"/>
          </w:tcPr>
          <w:p w14:paraId="70A92302" w14:textId="77777777" w:rsidR="001825E2" w:rsidRDefault="000839A5" w:rsidP="00CB00A7">
            <w:pPr>
              <w:pStyle w:val="TableParagraph"/>
              <w:spacing w:before="61"/>
              <w:jc w:val="left"/>
              <w:rPr>
                <w:b/>
                <w:sz w:val="24"/>
              </w:rPr>
            </w:pPr>
            <w:r>
              <w:rPr>
                <w:b/>
                <w:sz w:val="24"/>
              </w:rPr>
              <w:t>Respiratory,</w:t>
            </w:r>
            <w:r>
              <w:rPr>
                <w:b/>
                <w:spacing w:val="2"/>
                <w:sz w:val="24"/>
              </w:rPr>
              <w:t xml:space="preserve"> </w:t>
            </w:r>
            <w:r>
              <w:rPr>
                <w:b/>
                <w:sz w:val="24"/>
              </w:rPr>
              <w:t>Thoracic</w:t>
            </w:r>
            <w:r>
              <w:rPr>
                <w:b/>
                <w:spacing w:val="-11"/>
                <w:sz w:val="24"/>
              </w:rPr>
              <w:t xml:space="preserve"> </w:t>
            </w:r>
            <w:r>
              <w:rPr>
                <w:b/>
                <w:sz w:val="24"/>
              </w:rPr>
              <w:t>and</w:t>
            </w:r>
            <w:r>
              <w:rPr>
                <w:b/>
                <w:spacing w:val="-9"/>
                <w:sz w:val="24"/>
              </w:rPr>
              <w:t xml:space="preserve"> </w:t>
            </w:r>
            <w:r>
              <w:rPr>
                <w:b/>
                <w:sz w:val="24"/>
              </w:rPr>
              <w:t>Mediastinal</w:t>
            </w:r>
            <w:r>
              <w:rPr>
                <w:b/>
                <w:spacing w:val="10"/>
                <w:sz w:val="24"/>
              </w:rPr>
              <w:t xml:space="preserve"> </w:t>
            </w:r>
            <w:r>
              <w:rPr>
                <w:b/>
                <w:spacing w:val="-2"/>
                <w:sz w:val="24"/>
              </w:rPr>
              <w:t>Disorders</w:t>
            </w:r>
          </w:p>
        </w:tc>
      </w:tr>
      <w:tr w:rsidR="001825E2" w14:paraId="31424E19" w14:textId="77777777">
        <w:trPr>
          <w:trHeight w:val="405"/>
        </w:trPr>
        <w:tc>
          <w:tcPr>
            <w:tcW w:w="2805" w:type="dxa"/>
          </w:tcPr>
          <w:p w14:paraId="548CA5B3" w14:textId="77777777" w:rsidR="001825E2" w:rsidRDefault="000839A5" w:rsidP="00CB00A7">
            <w:pPr>
              <w:pStyle w:val="TableParagraph"/>
              <w:spacing w:before="61"/>
              <w:jc w:val="left"/>
              <w:rPr>
                <w:sz w:val="24"/>
              </w:rPr>
            </w:pPr>
            <w:r>
              <w:rPr>
                <w:spacing w:val="-2"/>
                <w:sz w:val="24"/>
              </w:rPr>
              <w:t>Cough</w:t>
            </w:r>
          </w:p>
        </w:tc>
        <w:tc>
          <w:tcPr>
            <w:tcW w:w="1560" w:type="dxa"/>
          </w:tcPr>
          <w:p w14:paraId="32BD9D7E" w14:textId="77777777" w:rsidR="001825E2" w:rsidRDefault="000839A5" w:rsidP="00CB00A7">
            <w:pPr>
              <w:pStyle w:val="TableParagraph"/>
              <w:spacing w:before="61"/>
              <w:ind w:left="60" w:right="26"/>
              <w:jc w:val="left"/>
              <w:rPr>
                <w:sz w:val="24"/>
              </w:rPr>
            </w:pPr>
            <w:r>
              <w:rPr>
                <w:sz w:val="24"/>
              </w:rPr>
              <w:t xml:space="preserve">11 </w:t>
            </w:r>
            <w:r>
              <w:rPr>
                <w:spacing w:val="-2"/>
                <w:sz w:val="24"/>
              </w:rPr>
              <w:t>(0.9)</w:t>
            </w:r>
          </w:p>
        </w:tc>
        <w:tc>
          <w:tcPr>
            <w:tcW w:w="1545" w:type="dxa"/>
          </w:tcPr>
          <w:p w14:paraId="2F4FBFF8" w14:textId="77777777" w:rsidR="001825E2" w:rsidRDefault="000839A5" w:rsidP="00CB00A7">
            <w:pPr>
              <w:pStyle w:val="TableParagraph"/>
              <w:spacing w:before="61"/>
              <w:ind w:left="50" w:right="1"/>
              <w:jc w:val="left"/>
              <w:rPr>
                <w:sz w:val="24"/>
              </w:rPr>
            </w:pPr>
            <w:r>
              <w:rPr>
                <w:sz w:val="24"/>
              </w:rPr>
              <w:t xml:space="preserve">16 </w:t>
            </w:r>
            <w:r>
              <w:rPr>
                <w:spacing w:val="-2"/>
                <w:sz w:val="24"/>
              </w:rPr>
              <w:t>(1.3)</w:t>
            </w:r>
          </w:p>
        </w:tc>
        <w:tc>
          <w:tcPr>
            <w:tcW w:w="1425" w:type="dxa"/>
          </w:tcPr>
          <w:p w14:paraId="218454BA" w14:textId="77777777" w:rsidR="001825E2" w:rsidRDefault="000839A5" w:rsidP="00CB00A7">
            <w:pPr>
              <w:pStyle w:val="TableParagraph"/>
              <w:spacing w:before="61"/>
              <w:ind w:left="61" w:right="12"/>
              <w:jc w:val="left"/>
              <w:rPr>
                <w:sz w:val="24"/>
              </w:rPr>
            </w:pPr>
            <w:r>
              <w:rPr>
                <w:sz w:val="24"/>
              </w:rPr>
              <w:t xml:space="preserve">11 </w:t>
            </w:r>
            <w:r>
              <w:rPr>
                <w:spacing w:val="-2"/>
                <w:sz w:val="24"/>
              </w:rPr>
              <w:t>(1.6)</w:t>
            </w:r>
          </w:p>
        </w:tc>
        <w:tc>
          <w:tcPr>
            <w:tcW w:w="1845" w:type="dxa"/>
          </w:tcPr>
          <w:p w14:paraId="6CB32FEB" w14:textId="77777777" w:rsidR="001825E2" w:rsidRDefault="000839A5" w:rsidP="00CB00A7">
            <w:pPr>
              <w:pStyle w:val="TableParagraph"/>
              <w:spacing w:before="61"/>
              <w:ind w:left="24" w:right="5"/>
              <w:jc w:val="left"/>
              <w:rPr>
                <w:sz w:val="24"/>
              </w:rPr>
            </w:pPr>
            <w:r>
              <w:rPr>
                <w:sz w:val="24"/>
              </w:rPr>
              <w:t xml:space="preserve">4 </w:t>
            </w:r>
            <w:r>
              <w:rPr>
                <w:spacing w:val="-2"/>
                <w:sz w:val="24"/>
              </w:rPr>
              <w:t>(2.0)</w:t>
            </w:r>
          </w:p>
        </w:tc>
      </w:tr>
      <w:tr w:rsidR="001825E2" w14:paraId="358FD1E5" w14:textId="77777777">
        <w:trPr>
          <w:trHeight w:val="390"/>
        </w:trPr>
        <w:tc>
          <w:tcPr>
            <w:tcW w:w="9180" w:type="dxa"/>
            <w:gridSpan w:val="5"/>
          </w:tcPr>
          <w:p w14:paraId="57BAD525" w14:textId="77777777" w:rsidR="001825E2" w:rsidRDefault="000839A5" w:rsidP="00CB00A7">
            <w:pPr>
              <w:pStyle w:val="TableParagraph"/>
              <w:spacing w:before="46"/>
              <w:jc w:val="left"/>
              <w:rPr>
                <w:b/>
                <w:sz w:val="24"/>
              </w:rPr>
            </w:pPr>
            <w:r>
              <w:rPr>
                <w:b/>
                <w:spacing w:val="-2"/>
                <w:sz w:val="24"/>
              </w:rPr>
              <w:t>Gastrointestinal</w:t>
            </w:r>
            <w:r>
              <w:rPr>
                <w:b/>
                <w:spacing w:val="24"/>
                <w:sz w:val="24"/>
              </w:rPr>
              <w:t xml:space="preserve"> </w:t>
            </w:r>
            <w:r>
              <w:rPr>
                <w:b/>
                <w:spacing w:val="-2"/>
                <w:sz w:val="24"/>
              </w:rPr>
              <w:t>Disorders</w:t>
            </w:r>
          </w:p>
        </w:tc>
      </w:tr>
      <w:tr w:rsidR="001825E2" w14:paraId="20F048AF" w14:textId="77777777">
        <w:trPr>
          <w:trHeight w:val="390"/>
        </w:trPr>
        <w:tc>
          <w:tcPr>
            <w:tcW w:w="2805" w:type="dxa"/>
          </w:tcPr>
          <w:p w14:paraId="697415C8" w14:textId="77777777" w:rsidR="001825E2" w:rsidRDefault="000839A5" w:rsidP="00CB00A7">
            <w:pPr>
              <w:pStyle w:val="TableParagraph"/>
              <w:spacing w:before="46"/>
              <w:jc w:val="left"/>
              <w:rPr>
                <w:sz w:val="24"/>
              </w:rPr>
            </w:pPr>
            <w:proofErr w:type="spellStart"/>
            <w:r>
              <w:rPr>
                <w:spacing w:val="-2"/>
                <w:sz w:val="24"/>
              </w:rPr>
              <w:t>Diarrhoea</w:t>
            </w:r>
            <w:proofErr w:type="spellEnd"/>
          </w:p>
        </w:tc>
        <w:tc>
          <w:tcPr>
            <w:tcW w:w="1560" w:type="dxa"/>
          </w:tcPr>
          <w:p w14:paraId="25748076" w14:textId="77777777" w:rsidR="001825E2" w:rsidRDefault="000839A5" w:rsidP="00CB00A7">
            <w:pPr>
              <w:pStyle w:val="TableParagraph"/>
              <w:spacing w:before="46"/>
              <w:ind w:left="60" w:right="25"/>
              <w:jc w:val="left"/>
              <w:rPr>
                <w:sz w:val="24"/>
              </w:rPr>
            </w:pPr>
            <w:r>
              <w:rPr>
                <w:sz w:val="24"/>
              </w:rPr>
              <w:t xml:space="preserve">45 </w:t>
            </w:r>
            <w:r>
              <w:rPr>
                <w:spacing w:val="-2"/>
                <w:sz w:val="24"/>
              </w:rPr>
              <w:t>(3.7)</w:t>
            </w:r>
          </w:p>
        </w:tc>
        <w:tc>
          <w:tcPr>
            <w:tcW w:w="1545" w:type="dxa"/>
          </w:tcPr>
          <w:p w14:paraId="0170EA70" w14:textId="77777777" w:rsidR="001825E2" w:rsidRDefault="000839A5" w:rsidP="00CB00A7">
            <w:pPr>
              <w:pStyle w:val="TableParagraph"/>
              <w:spacing w:before="46"/>
              <w:ind w:left="50"/>
              <w:jc w:val="left"/>
              <w:rPr>
                <w:sz w:val="24"/>
              </w:rPr>
            </w:pPr>
            <w:r>
              <w:rPr>
                <w:sz w:val="24"/>
              </w:rPr>
              <w:t xml:space="preserve">34 </w:t>
            </w:r>
            <w:r>
              <w:rPr>
                <w:spacing w:val="-2"/>
                <w:sz w:val="24"/>
              </w:rPr>
              <w:t>(2.8)</w:t>
            </w:r>
          </w:p>
        </w:tc>
        <w:tc>
          <w:tcPr>
            <w:tcW w:w="1425" w:type="dxa"/>
          </w:tcPr>
          <w:p w14:paraId="63DE8DAC" w14:textId="77777777" w:rsidR="001825E2" w:rsidRDefault="000839A5" w:rsidP="00CB00A7">
            <w:pPr>
              <w:pStyle w:val="TableParagraph"/>
              <w:spacing w:before="46"/>
              <w:ind w:left="61" w:right="11"/>
              <w:jc w:val="left"/>
              <w:rPr>
                <w:sz w:val="24"/>
              </w:rPr>
            </w:pPr>
            <w:r>
              <w:rPr>
                <w:sz w:val="24"/>
              </w:rPr>
              <w:t xml:space="preserve">16 </w:t>
            </w:r>
            <w:r>
              <w:rPr>
                <w:spacing w:val="-2"/>
                <w:sz w:val="24"/>
              </w:rPr>
              <w:t>(2.3)</w:t>
            </w:r>
          </w:p>
        </w:tc>
        <w:tc>
          <w:tcPr>
            <w:tcW w:w="1845" w:type="dxa"/>
          </w:tcPr>
          <w:p w14:paraId="6BEDE828" w14:textId="77777777" w:rsidR="001825E2" w:rsidRDefault="000839A5" w:rsidP="00CB00A7">
            <w:pPr>
              <w:pStyle w:val="TableParagraph"/>
              <w:spacing w:before="46"/>
              <w:ind w:left="25" w:right="5"/>
              <w:jc w:val="left"/>
              <w:rPr>
                <w:sz w:val="24"/>
              </w:rPr>
            </w:pPr>
            <w:r>
              <w:rPr>
                <w:sz w:val="24"/>
              </w:rPr>
              <w:t xml:space="preserve">2 </w:t>
            </w:r>
            <w:r>
              <w:rPr>
                <w:spacing w:val="-2"/>
                <w:sz w:val="24"/>
              </w:rPr>
              <w:t>(1.0)</w:t>
            </w:r>
          </w:p>
        </w:tc>
      </w:tr>
      <w:tr w:rsidR="001825E2" w14:paraId="74F07786" w14:textId="77777777">
        <w:trPr>
          <w:trHeight w:val="390"/>
        </w:trPr>
        <w:tc>
          <w:tcPr>
            <w:tcW w:w="2805" w:type="dxa"/>
          </w:tcPr>
          <w:p w14:paraId="3D2128AF" w14:textId="77777777" w:rsidR="001825E2" w:rsidRDefault="000839A5" w:rsidP="00CB00A7">
            <w:pPr>
              <w:pStyle w:val="TableParagraph"/>
              <w:spacing w:before="46"/>
              <w:jc w:val="left"/>
              <w:rPr>
                <w:sz w:val="24"/>
              </w:rPr>
            </w:pPr>
            <w:r>
              <w:rPr>
                <w:spacing w:val="-2"/>
                <w:sz w:val="24"/>
              </w:rPr>
              <w:t>Nausea</w:t>
            </w:r>
          </w:p>
        </w:tc>
        <w:tc>
          <w:tcPr>
            <w:tcW w:w="1560" w:type="dxa"/>
          </w:tcPr>
          <w:p w14:paraId="3C228383" w14:textId="77777777" w:rsidR="001825E2" w:rsidRDefault="000839A5" w:rsidP="00CB00A7">
            <w:pPr>
              <w:pStyle w:val="TableParagraph"/>
              <w:spacing w:before="46"/>
              <w:ind w:left="60" w:right="25"/>
              <w:jc w:val="left"/>
              <w:rPr>
                <w:sz w:val="24"/>
              </w:rPr>
            </w:pPr>
            <w:r>
              <w:rPr>
                <w:sz w:val="24"/>
              </w:rPr>
              <w:t xml:space="preserve">32 </w:t>
            </w:r>
            <w:r>
              <w:rPr>
                <w:spacing w:val="-2"/>
                <w:sz w:val="24"/>
              </w:rPr>
              <w:t>(2.6)</w:t>
            </w:r>
          </w:p>
        </w:tc>
        <w:tc>
          <w:tcPr>
            <w:tcW w:w="1545" w:type="dxa"/>
          </w:tcPr>
          <w:p w14:paraId="131C0C70" w14:textId="77777777" w:rsidR="001825E2" w:rsidRDefault="000839A5" w:rsidP="00CB00A7">
            <w:pPr>
              <w:pStyle w:val="TableParagraph"/>
              <w:spacing w:before="46"/>
              <w:ind w:left="50"/>
              <w:jc w:val="left"/>
              <w:rPr>
                <w:sz w:val="24"/>
              </w:rPr>
            </w:pPr>
            <w:r>
              <w:rPr>
                <w:sz w:val="24"/>
              </w:rPr>
              <w:t xml:space="preserve">25 </w:t>
            </w:r>
            <w:r>
              <w:rPr>
                <w:spacing w:val="-2"/>
                <w:sz w:val="24"/>
              </w:rPr>
              <w:t>(2.1)</w:t>
            </w:r>
          </w:p>
        </w:tc>
        <w:tc>
          <w:tcPr>
            <w:tcW w:w="1425" w:type="dxa"/>
          </w:tcPr>
          <w:p w14:paraId="3615E1FB" w14:textId="77777777" w:rsidR="001825E2" w:rsidRDefault="000839A5" w:rsidP="00CB00A7">
            <w:pPr>
              <w:pStyle w:val="TableParagraph"/>
              <w:spacing w:before="46"/>
              <w:ind w:left="61" w:right="11"/>
              <w:jc w:val="left"/>
              <w:rPr>
                <w:sz w:val="24"/>
              </w:rPr>
            </w:pPr>
            <w:r>
              <w:rPr>
                <w:sz w:val="24"/>
              </w:rPr>
              <w:t xml:space="preserve">18 </w:t>
            </w:r>
            <w:r>
              <w:rPr>
                <w:spacing w:val="-2"/>
                <w:sz w:val="24"/>
              </w:rPr>
              <w:t>(2.6)</w:t>
            </w:r>
          </w:p>
        </w:tc>
        <w:tc>
          <w:tcPr>
            <w:tcW w:w="1845" w:type="dxa"/>
          </w:tcPr>
          <w:p w14:paraId="008B23FE" w14:textId="77777777" w:rsidR="001825E2" w:rsidRDefault="000839A5" w:rsidP="00CB00A7">
            <w:pPr>
              <w:pStyle w:val="TableParagraph"/>
              <w:spacing w:before="46"/>
              <w:ind w:left="25" w:right="5"/>
              <w:jc w:val="left"/>
              <w:rPr>
                <w:sz w:val="24"/>
              </w:rPr>
            </w:pPr>
            <w:r>
              <w:rPr>
                <w:sz w:val="24"/>
              </w:rPr>
              <w:t xml:space="preserve">3 </w:t>
            </w:r>
            <w:r>
              <w:rPr>
                <w:spacing w:val="-2"/>
                <w:sz w:val="24"/>
              </w:rPr>
              <w:t>(1.5)</w:t>
            </w:r>
          </w:p>
        </w:tc>
      </w:tr>
      <w:tr w:rsidR="001825E2" w14:paraId="196A60A9" w14:textId="77777777">
        <w:trPr>
          <w:trHeight w:val="390"/>
        </w:trPr>
        <w:tc>
          <w:tcPr>
            <w:tcW w:w="2805" w:type="dxa"/>
          </w:tcPr>
          <w:p w14:paraId="48264EFC" w14:textId="77777777" w:rsidR="001825E2" w:rsidRDefault="000839A5" w:rsidP="00CB00A7">
            <w:pPr>
              <w:pStyle w:val="TableParagraph"/>
              <w:spacing w:before="46"/>
              <w:jc w:val="left"/>
              <w:rPr>
                <w:sz w:val="24"/>
              </w:rPr>
            </w:pPr>
            <w:r>
              <w:rPr>
                <w:spacing w:val="-2"/>
                <w:sz w:val="24"/>
              </w:rPr>
              <w:t>Dyspepsia</w:t>
            </w:r>
          </w:p>
        </w:tc>
        <w:tc>
          <w:tcPr>
            <w:tcW w:w="1560" w:type="dxa"/>
          </w:tcPr>
          <w:p w14:paraId="00B0EFF2" w14:textId="77777777" w:rsidR="001825E2" w:rsidRDefault="000839A5" w:rsidP="00CB00A7">
            <w:pPr>
              <w:pStyle w:val="TableParagraph"/>
              <w:spacing w:before="46"/>
              <w:ind w:left="60" w:right="25"/>
              <w:jc w:val="left"/>
              <w:rPr>
                <w:sz w:val="24"/>
              </w:rPr>
            </w:pPr>
            <w:r>
              <w:rPr>
                <w:sz w:val="24"/>
              </w:rPr>
              <w:t xml:space="preserve">19 </w:t>
            </w:r>
            <w:r>
              <w:rPr>
                <w:spacing w:val="-2"/>
                <w:sz w:val="24"/>
              </w:rPr>
              <w:t>(1.6)</w:t>
            </w:r>
          </w:p>
        </w:tc>
        <w:tc>
          <w:tcPr>
            <w:tcW w:w="1545" w:type="dxa"/>
          </w:tcPr>
          <w:p w14:paraId="1EF1B497" w14:textId="77777777" w:rsidR="001825E2" w:rsidRDefault="000839A5" w:rsidP="00CB00A7">
            <w:pPr>
              <w:pStyle w:val="TableParagraph"/>
              <w:spacing w:before="46"/>
              <w:ind w:left="50"/>
              <w:jc w:val="left"/>
              <w:rPr>
                <w:sz w:val="24"/>
              </w:rPr>
            </w:pPr>
            <w:r>
              <w:rPr>
                <w:sz w:val="24"/>
              </w:rPr>
              <w:t xml:space="preserve">25 </w:t>
            </w:r>
            <w:r>
              <w:rPr>
                <w:spacing w:val="-2"/>
                <w:sz w:val="24"/>
              </w:rPr>
              <w:t>(2.1)</w:t>
            </w:r>
          </w:p>
        </w:tc>
        <w:tc>
          <w:tcPr>
            <w:tcW w:w="1425" w:type="dxa"/>
          </w:tcPr>
          <w:p w14:paraId="39A9B5A3" w14:textId="77777777" w:rsidR="001825E2" w:rsidRDefault="000839A5" w:rsidP="00CB00A7">
            <w:pPr>
              <w:pStyle w:val="TableParagraph"/>
              <w:spacing w:before="46"/>
              <w:ind w:left="61" w:right="11"/>
              <w:jc w:val="left"/>
              <w:rPr>
                <w:sz w:val="24"/>
              </w:rPr>
            </w:pPr>
            <w:r>
              <w:rPr>
                <w:sz w:val="24"/>
              </w:rPr>
              <w:t xml:space="preserve">11 </w:t>
            </w:r>
            <w:r>
              <w:rPr>
                <w:spacing w:val="-2"/>
                <w:sz w:val="24"/>
              </w:rPr>
              <w:t>(1.6)</w:t>
            </w:r>
          </w:p>
        </w:tc>
        <w:tc>
          <w:tcPr>
            <w:tcW w:w="1845" w:type="dxa"/>
          </w:tcPr>
          <w:p w14:paraId="3EA9F6B5" w14:textId="77777777" w:rsidR="001825E2" w:rsidRDefault="000839A5" w:rsidP="00CB00A7">
            <w:pPr>
              <w:pStyle w:val="TableParagraph"/>
              <w:spacing w:before="46"/>
              <w:ind w:left="25" w:right="5"/>
              <w:jc w:val="left"/>
              <w:rPr>
                <w:sz w:val="24"/>
              </w:rPr>
            </w:pPr>
            <w:r>
              <w:rPr>
                <w:sz w:val="24"/>
              </w:rPr>
              <w:t xml:space="preserve">3 </w:t>
            </w:r>
            <w:r>
              <w:rPr>
                <w:spacing w:val="-2"/>
                <w:sz w:val="24"/>
              </w:rPr>
              <w:t>(1.5)</w:t>
            </w:r>
          </w:p>
        </w:tc>
      </w:tr>
      <w:tr w:rsidR="001825E2" w14:paraId="5D27E8C7" w14:textId="77777777">
        <w:trPr>
          <w:trHeight w:val="390"/>
        </w:trPr>
        <w:tc>
          <w:tcPr>
            <w:tcW w:w="2805" w:type="dxa"/>
          </w:tcPr>
          <w:p w14:paraId="210B043F" w14:textId="77777777" w:rsidR="001825E2" w:rsidRDefault="000839A5" w:rsidP="00CB00A7">
            <w:pPr>
              <w:pStyle w:val="TableParagraph"/>
              <w:spacing w:before="46"/>
              <w:jc w:val="left"/>
              <w:rPr>
                <w:sz w:val="24"/>
              </w:rPr>
            </w:pPr>
            <w:r>
              <w:rPr>
                <w:sz w:val="24"/>
              </w:rPr>
              <w:t>Abdominal</w:t>
            </w:r>
            <w:r>
              <w:rPr>
                <w:spacing w:val="-9"/>
                <w:sz w:val="24"/>
              </w:rPr>
              <w:t xml:space="preserve"> </w:t>
            </w:r>
            <w:r>
              <w:rPr>
                <w:sz w:val="24"/>
              </w:rPr>
              <w:t>pain</w:t>
            </w:r>
            <w:r>
              <w:rPr>
                <w:spacing w:val="13"/>
                <w:sz w:val="24"/>
              </w:rPr>
              <w:t xml:space="preserve"> </w:t>
            </w:r>
            <w:r>
              <w:rPr>
                <w:spacing w:val="-4"/>
                <w:sz w:val="24"/>
              </w:rPr>
              <w:t>upper</w:t>
            </w:r>
          </w:p>
        </w:tc>
        <w:tc>
          <w:tcPr>
            <w:tcW w:w="1560" w:type="dxa"/>
          </w:tcPr>
          <w:p w14:paraId="3EAE97FD" w14:textId="77777777" w:rsidR="001825E2" w:rsidRDefault="000839A5" w:rsidP="00CB00A7">
            <w:pPr>
              <w:pStyle w:val="TableParagraph"/>
              <w:spacing w:before="46"/>
              <w:ind w:left="60" w:right="25"/>
              <w:jc w:val="left"/>
              <w:rPr>
                <w:sz w:val="24"/>
              </w:rPr>
            </w:pPr>
            <w:r>
              <w:rPr>
                <w:sz w:val="24"/>
              </w:rPr>
              <w:t xml:space="preserve">23 </w:t>
            </w:r>
            <w:r>
              <w:rPr>
                <w:spacing w:val="-2"/>
                <w:sz w:val="24"/>
              </w:rPr>
              <w:t>(1.9)</w:t>
            </w:r>
          </w:p>
        </w:tc>
        <w:tc>
          <w:tcPr>
            <w:tcW w:w="1545" w:type="dxa"/>
          </w:tcPr>
          <w:p w14:paraId="4B099A1A" w14:textId="77777777" w:rsidR="001825E2" w:rsidRDefault="000839A5" w:rsidP="00CB00A7">
            <w:pPr>
              <w:pStyle w:val="TableParagraph"/>
              <w:spacing w:before="46"/>
              <w:ind w:left="50"/>
              <w:jc w:val="left"/>
              <w:rPr>
                <w:sz w:val="24"/>
              </w:rPr>
            </w:pPr>
            <w:r>
              <w:rPr>
                <w:sz w:val="24"/>
              </w:rPr>
              <w:t xml:space="preserve">13 </w:t>
            </w:r>
            <w:r>
              <w:rPr>
                <w:spacing w:val="-2"/>
                <w:sz w:val="24"/>
              </w:rPr>
              <w:t>(1.1)</w:t>
            </w:r>
          </w:p>
        </w:tc>
        <w:tc>
          <w:tcPr>
            <w:tcW w:w="1425" w:type="dxa"/>
          </w:tcPr>
          <w:p w14:paraId="4A69C571" w14:textId="77777777" w:rsidR="001825E2" w:rsidRDefault="000839A5" w:rsidP="00CB00A7">
            <w:pPr>
              <w:pStyle w:val="TableParagraph"/>
              <w:spacing w:before="46"/>
              <w:ind w:left="61" w:right="12"/>
              <w:jc w:val="left"/>
              <w:rPr>
                <w:sz w:val="24"/>
              </w:rPr>
            </w:pPr>
            <w:r>
              <w:rPr>
                <w:sz w:val="24"/>
              </w:rPr>
              <w:t xml:space="preserve">5 </w:t>
            </w:r>
            <w:r>
              <w:rPr>
                <w:spacing w:val="-2"/>
                <w:sz w:val="24"/>
              </w:rPr>
              <w:t>(0.7)</w:t>
            </w:r>
          </w:p>
        </w:tc>
        <w:tc>
          <w:tcPr>
            <w:tcW w:w="1845" w:type="dxa"/>
          </w:tcPr>
          <w:p w14:paraId="56C84C67" w14:textId="77777777" w:rsidR="001825E2" w:rsidRDefault="000839A5" w:rsidP="00CB00A7">
            <w:pPr>
              <w:pStyle w:val="TableParagraph"/>
              <w:spacing w:before="46"/>
              <w:ind w:left="24" w:right="5"/>
              <w:jc w:val="left"/>
              <w:rPr>
                <w:sz w:val="24"/>
              </w:rPr>
            </w:pPr>
            <w:r>
              <w:rPr>
                <w:sz w:val="24"/>
              </w:rPr>
              <w:t xml:space="preserve">3 </w:t>
            </w:r>
            <w:r>
              <w:rPr>
                <w:spacing w:val="-2"/>
                <w:sz w:val="24"/>
              </w:rPr>
              <w:t>(1.5)</w:t>
            </w:r>
          </w:p>
        </w:tc>
      </w:tr>
      <w:tr w:rsidR="001825E2" w14:paraId="7B1D12C3" w14:textId="77777777">
        <w:trPr>
          <w:trHeight w:val="390"/>
        </w:trPr>
        <w:tc>
          <w:tcPr>
            <w:tcW w:w="2805" w:type="dxa"/>
          </w:tcPr>
          <w:p w14:paraId="5F1A0092" w14:textId="77777777" w:rsidR="001825E2" w:rsidRDefault="000839A5" w:rsidP="00CB00A7">
            <w:pPr>
              <w:pStyle w:val="TableParagraph"/>
              <w:spacing w:before="61"/>
              <w:jc w:val="left"/>
              <w:rPr>
                <w:sz w:val="24"/>
              </w:rPr>
            </w:pPr>
            <w:r>
              <w:rPr>
                <w:spacing w:val="-2"/>
                <w:sz w:val="24"/>
              </w:rPr>
              <w:t>Vomiting</w:t>
            </w:r>
          </w:p>
        </w:tc>
        <w:tc>
          <w:tcPr>
            <w:tcW w:w="1560" w:type="dxa"/>
          </w:tcPr>
          <w:p w14:paraId="0394B88F" w14:textId="77777777" w:rsidR="001825E2" w:rsidRDefault="000839A5" w:rsidP="00CB00A7">
            <w:pPr>
              <w:pStyle w:val="TableParagraph"/>
              <w:spacing w:before="61"/>
              <w:ind w:left="60" w:right="25"/>
              <w:jc w:val="left"/>
              <w:rPr>
                <w:sz w:val="24"/>
              </w:rPr>
            </w:pPr>
            <w:r>
              <w:rPr>
                <w:sz w:val="24"/>
              </w:rPr>
              <w:t xml:space="preserve">21 </w:t>
            </w:r>
            <w:r>
              <w:rPr>
                <w:spacing w:val="-2"/>
                <w:sz w:val="24"/>
              </w:rPr>
              <w:t>(1.7)</w:t>
            </w:r>
          </w:p>
        </w:tc>
        <w:tc>
          <w:tcPr>
            <w:tcW w:w="1545" w:type="dxa"/>
          </w:tcPr>
          <w:p w14:paraId="7B78FF6A" w14:textId="77777777" w:rsidR="001825E2" w:rsidRDefault="000839A5" w:rsidP="00CB00A7">
            <w:pPr>
              <w:pStyle w:val="TableParagraph"/>
              <w:spacing w:before="61"/>
              <w:ind w:left="50"/>
              <w:jc w:val="left"/>
              <w:rPr>
                <w:sz w:val="24"/>
              </w:rPr>
            </w:pPr>
            <w:r>
              <w:rPr>
                <w:sz w:val="24"/>
              </w:rPr>
              <w:t xml:space="preserve">9 </w:t>
            </w:r>
            <w:r>
              <w:rPr>
                <w:spacing w:val="-2"/>
                <w:sz w:val="24"/>
              </w:rPr>
              <w:t>(0.7)</w:t>
            </w:r>
          </w:p>
        </w:tc>
        <w:tc>
          <w:tcPr>
            <w:tcW w:w="1425" w:type="dxa"/>
          </w:tcPr>
          <w:p w14:paraId="6BEB91EC" w14:textId="77777777" w:rsidR="001825E2" w:rsidRDefault="000839A5" w:rsidP="00CB00A7">
            <w:pPr>
              <w:pStyle w:val="TableParagraph"/>
              <w:spacing w:before="61"/>
              <w:ind w:left="61" w:right="12"/>
              <w:jc w:val="left"/>
              <w:rPr>
                <w:sz w:val="24"/>
              </w:rPr>
            </w:pPr>
            <w:r>
              <w:rPr>
                <w:sz w:val="24"/>
              </w:rPr>
              <w:t xml:space="preserve">10 </w:t>
            </w:r>
            <w:r>
              <w:rPr>
                <w:spacing w:val="-2"/>
                <w:sz w:val="24"/>
              </w:rPr>
              <w:t>(1.5)</w:t>
            </w:r>
          </w:p>
        </w:tc>
        <w:tc>
          <w:tcPr>
            <w:tcW w:w="1845" w:type="dxa"/>
          </w:tcPr>
          <w:p w14:paraId="4749F3DC" w14:textId="77777777" w:rsidR="001825E2" w:rsidRDefault="000839A5" w:rsidP="00CB00A7">
            <w:pPr>
              <w:pStyle w:val="TableParagraph"/>
              <w:spacing w:before="61"/>
              <w:ind w:left="20" w:right="6"/>
              <w:jc w:val="left"/>
              <w:rPr>
                <w:sz w:val="24"/>
              </w:rPr>
            </w:pPr>
            <w:r>
              <w:rPr>
                <w:spacing w:val="-10"/>
                <w:sz w:val="24"/>
              </w:rPr>
              <w:t>0</w:t>
            </w:r>
          </w:p>
        </w:tc>
      </w:tr>
      <w:tr w:rsidR="001825E2" w14:paraId="2DE0658B" w14:textId="77777777">
        <w:trPr>
          <w:trHeight w:val="390"/>
        </w:trPr>
        <w:tc>
          <w:tcPr>
            <w:tcW w:w="2805" w:type="dxa"/>
          </w:tcPr>
          <w:p w14:paraId="2565CCDC" w14:textId="77777777" w:rsidR="001825E2" w:rsidRDefault="000839A5" w:rsidP="00CB00A7">
            <w:pPr>
              <w:pStyle w:val="TableParagraph"/>
              <w:spacing w:before="61"/>
              <w:jc w:val="left"/>
              <w:rPr>
                <w:sz w:val="24"/>
              </w:rPr>
            </w:pPr>
            <w:r>
              <w:rPr>
                <w:spacing w:val="-2"/>
                <w:sz w:val="24"/>
              </w:rPr>
              <w:t>Constipation</w:t>
            </w:r>
          </w:p>
        </w:tc>
        <w:tc>
          <w:tcPr>
            <w:tcW w:w="1560" w:type="dxa"/>
          </w:tcPr>
          <w:p w14:paraId="4D70DDE0" w14:textId="77777777" w:rsidR="001825E2" w:rsidRDefault="000839A5" w:rsidP="00CB00A7">
            <w:pPr>
              <w:pStyle w:val="TableParagraph"/>
              <w:spacing w:before="61"/>
              <w:ind w:left="60" w:right="25"/>
              <w:jc w:val="left"/>
              <w:rPr>
                <w:sz w:val="24"/>
              </w:rPr>
            </w:pPr>
            <w:r>
              <w:rPr>
                <w:sz w:val="24"/>
              </w:rPr>
              <w:t xml:space="preserve">16 </w:t>
            </w:r>
            <w:r>
              <w:rPr>
                <w:spacing w:val="-2"/>
                <w:sz w:val="24"/>
              </w:rPr>
              <w:t>(1.3)</w:t>
            </w:r>
          </w:p>
        </w:tc>
        <w:tc>
          <w:tcPr>
            <w:tcW w:w="1545" w:type="dxa"/>
          </w:tcPr>
          <w:p w14:paraId="7DFCBEED" w14:textId="77777777" w:rsidR="001825E2" w:rsidRDefault="000839A5" w:rsidP="00CB00A7">
            <w:pPr>
              <w:pStyle w:val="TableParagraph"/>
              <w:spacing w:before="61"/>
              <w:ind w:left="50"/>
              <w:jc w:val="left"/>
              <w:rPr>
                <w:sz w:val="24"/>
              </w:rPr>
            </w:pPr>
            <w:r>
              <w:rPr>
                <w:sz w:val="24"/>
              </w:rPr>
              <w:t xml:space="preserve">17 </w:t>
            </w:r>
            <w:r>
              <w:rPr>
                <w:spacing w:val="-2"/>
                <w:sz w:val="24"/>
              </w:rPr>
              <w:t>(1.4)</w:t>
            </w:r>
          </w:p>
        </w:tc>
        <w:tc>
          <w:tcPr>
            <w:tcW w:w="1425" w:type="dxa"/>
          </w:tcPr>
          <w:p w14:paraId="64358128" w14:textId="77777777" w:rsidR="001825E2" w:rsidRDefault="000839A5" w:rsidP="00CB00A7">
            <w:pPr>
              <w:pStyle w:val="TableParagraph"/>
              <w:spacing w:before="61"/>
              <w:ind w:left="61" w:right="11"/>
              <w:jc w:val="left"/>
              <w:rPr>
                <w:sz w:val="24"/>
              </w:rPr>
            </w:pPr>
            <w:r>
              <w:rPr>
                <w:sz w:val="24"/>
              </w:rPr>
              <w:t xml:space="preserve">6 </w:t>
            </w:r>
            <w:r>
              <w:rPr>
                <w:spacing w:val="-2"/>
                <w:sz w:val="24"/>
              </w:rPr>
              <w:t>(0.9)</w:t>
            </w:r>
          </w:p>
        </w:tc>
        <w:tc>
          <w:tcPr>
            <w:tcW w:w="1845" w:type="dxa"/>
          </w:tcPr>
          <w:p w14:paraId="73A8CD7F" w14:textId="77777777" w:rsidR="001825E2" w:rsidRDefault="000839A5" w:rsidP="00CB00A7">
            <w:pPr>
              <w:pStyle w:val="TableParagraph"/>
              <w:spacing w:before="61"/>
              <w:ind w:left="25" w:right="5"/>
              <w:jc w:val="left"/>
              <w:rPr>
                <w:sz w:val="24"/>
              </w:rPr>
            </w:pPr>
            <w:r>
              <w:rPr>
                <w:sz w:val="24"/>
              </w:rPr>
              <w:t xml:space="preserve">2 </w:t>
            </w:r>
            <w:r>
              <w:rPr>
                <w:spacing w:val="-2"/>
                <w:sz w:val="24"/>
              </w:rPr>
              <w:t>(1.0)</w:t>
            </w:r>
          </w:p>
        </w:tc>
      </w:tr>
      <w:tr w:rsidR="001825E2" w14:paraId="253D4A55" w14:textId="77777777">
        <w:trPr>
          <w:trHeight w:val="390"/>
        </w:trPr>
        <w:tc>
          <w:tcPr>
            <w:tcW w:w="2805" w:type="dxa"/>
          </w:tcPr>
          <w:p w14:paraId="14A44843" w14:textId="77777777" w:rsidR="001825E2" w:rsidRDefault="000839A5" w:rsidP="00CB00A7">
            <w:pPr>
              <w:pStyle w:val="TableParagraph"/>
              <w:spacing w:before="61"/>
              <w:jc w:val="left"/>
              <w:rPr>
                <w:sz w:val="24"/>
              </w:rPr>
            </w:pPr>
            <w:r>
              <w:rPr>
                <w:spacing w:val="-2"/>
                <w:sz w:val="24"/>
              </w:rPr>
              <w:t>Gastritis</w:t>
            </w:r>
          </w:p>
        </w:tc>
        <w:tc>
          <w:tcPr>
            <w:tcW w:w="1560" w:type="dxa"/>
          </w:tcPr>
          <w:p w14:paraId="7D74DFBE" w14:textId="77777777" w:rsidR="001825E2" w:rsidRDefault="000839A5" w:rsidP="00CB00A7">
            <w:pPr>
              <w:pStyle w:val="TableParagraph"/>
              <w:spacing w:before="61"/>
              <w:ind w:left="60" w:right="25"/>
              <w:jc w:val="left"/>
              <w:rPr>
                <w:sz w:val="24"/>
              </w:rPr>
            </w:pPr>
            <w:r>
              <w:rPr>
                <w:sz w:val="24"/>
              </w:rPr>
              <w:t xml:space="preserve">12 </w:t>
            </w:r>
            <w:r>
              <w:rPr>
                <w:spacing w:val="-2"/>
                <w:sz w:val="24"/>
              </w:rPr>
              <w:t>(1.0)</w:t>
            </w:r>
          </w:p>
        </w:tc>
        <w:tc>
          <w:tcPr>
            <w:tcW w:w="1545" w:type="dxa"/>
          </w:tcPr>
          <w:p w14:paraId="07B87F14" w14:textId="77777777" w:rsidR="001825E2" w:rsidRDefault="000839A5" w:rsidP="00CB00A7">
            <w:pPr>
              <w:pStyle w:val="TableParagraph"/>
              <w:spacing w:before="61"/>
              <w:ind w:left="50"/>
              <w:jc w:val="left"/>
              <w:rPr>
                <w:sz w:val="24"/>
              </w:rPr>
            </w:pPr>
            <w:r>
              <w:rPr>
                <w:sz w:val="24"/>
              </w:rPr>
              <w:t xml:space="preserve">16 </w:t>
            </w:r>
            <w:r>
              <w:rPr>
                <w:spacing w:val="-2"/>
                <w:sz w:val="24"/>
              </w:rPr>
              <w:t>(1.3)</w:t>
            </w:r>
          </w:p>
        </w:tc>
        <w:tc>
          <w:tcPr>
            <w:tcW w:w="1425" w:type="dxa"/>
          </w:tcPr>
          <w:p w14:paraId="4BEFC9E7" w14:textId="77777777" w:rsidR="001825E2" w:rsidRDefault="000839A5" w:rsidP="00CB00A7">
            <w:pPr>
              <w:pStyle w:val="TableParagraph"/>
              <w:spacing w:before="61"/>
              <w:ind w:left="61" w:right="11"/>
              <w:jc w:val="left"/>
              <w:rPr>
                <w:sz w:val="24"/>
              </w:rPr>
            </w:pPr>
            <w:r>
              <w:rPr>
                <w:sz w:val="24"/>
              </w:rPr>
              <w:t xml:space="preserve">7 </w:t>
            </w:r>
            <w:r>
              <w:rPr>
                <w:spacing w:val="-2"/>
                <w:sz w:val="24"/>
              </w:rPr>
              <w:t>(1.0)</w:t>
            </w:r>
          </w:p>
        </w:tc>
        <w:tc>
          <w:tcPr>
            <w:tcW w:w="1845" w:type="dxa"/>
          </w:tcPr>
          <w:p w14:paraId="49218021" w14:textId="77777777" w:rsidR="001825E2" w:rsidRDefault="000839A5" w:rsidP="00CB00A7">
            <w:pPr>
              <w:pStyle w:val="TableParagraph"/>
              <w:spacing w:before="61"/>
              <w:ind w:left="20" w:right="5"/>
              <w:jc w:val="left"/>
              <w:rPr>
                <w:sz w:val="24"/>
              </w:rPr>
            </w:pPr>
            <w:r>
              <w:rPr>
                <w:spacing w:val="-10"/>
                <w:sz w:val="24"/>
              </w:rPr>
              <w:t>0</w:t>
            </w:r>
          </w:p>
        </w:tc>
      </w:tr>
      <w:tr w:rsidR="001825E2" w14:paraId="53F0AD02" w14:textId="77777777">
        <w:trPr>
          <w:trHeight w:val="390"/>
        </w:trPr>
        <w:tc>
          <w:tcPr>
            <w:tcW w:w="2805" w:type="dxa"/>
          </w:tcPr>
          <w:p w14:paraId="3B595846" w14:textId="77777777" w:rsidR="001825E2" w:rsidRDefault="000839A5" w:rsidP="00CB00A7">
            <w:pPr>
              <w:pStyle w:val="TableParagraph"/>
              <w:spacing w:before="61"/>
              <w:jc w:val="left"/>
              <w:rPr>
                <w:sz w:val="24"/>
              </w:rPr>
            </w:pPr>
            <w:r>
              <w:rPr>
                <w:sz w:val="24"/>
              </w:rPr>
              <w:t>Abdominal</w:t>
            </w:r>
            <w:r>
              <w:rPr>
                <w:spacing w:val="-2"/>
                <w:sz w:val="24"/>
              </w:rPr>
              <w:t xml:space="preserve"> </w:t>
            </w:r>
            <w:r>
              <w:rPr>
                <w:spacing w:val="-4"/>
                <w:sz w:val="24"/>
              </w:rPr>
              <w:t>pain</w:t>
            </w:r>
          </w:p>
        </w:tc>
        <w:tc>
          <w:tcPr>
            <w:tcW w:w="1560" w:type="dxa"/>
          </w:tcPr>
          <w:p w14:paraId="6D9C5483" w14:textId="77777777" w:rsidR="001825E2" w:rsidRDefault="000839A5" w:rsidP="00CB00A7">
            <w:pPr>
              <w:pStyle w:val="TableParagraph"/>
              <w:spacing w:before="61"/>
              <w:ind w:left="60" w:right="26"/>
              <w:jc w:val="left"/>
              <w:rPr>
                <w:sz w:val="24"/>
              </w:rPr>
            </w:pPr>
            <w:r>
              <w:rPr>
                <w:sz w:val="24"/>
              </w:rPr>
              <w:t xml:space="preserve">10 </w:t>
            </w:r>
            <w:r>
              <w:rPr>
                <w:spacing w:val="-2"/>
                <w:sz w:val="24"/>
              </w:rPr>
              <w:t>(0.8)</w:t>
            </w:r>
          </w:p>
        </w:tc>
        <w:tc>
          <w:tcPr>
            <w:tcW w:w="1545" w:type="dxa"/>
          </w:tcPr>
          <w:p w14:paraId="216312B0" w14:textId="77777777" w:rsidR="001825E2" w:rsidRDefault="000839A5" w:rsidP="00CB00A7">
            <w:pPr>
              <w:pStyle w:val="TableParagraph"/>
              <w:spacing w:before="61"/>
              <w:ind w:left="50" w:right="1"/>
              <w:jc w:val="left"/>
              <w:rPr>
                <w:sz w:val="24"/>
              </w:rPr>
            </w:pPr>
            <w:r>
              <w:rPr>
                <w:sz w:val="24"/>
              </w:rPr>
              <w:t xml:space="preserve">13 </w:t>
            </w:r>
            <w:r>
              <w:rPr>
                <w:spacing w:val="-2"/>
                <w:sz w:val="24"/>
              </w:rPr>
              <w:t>(1.1)</w:t>
            </w:r>
          </w:p>
        </w:tc>
        <w:tc>
          <w:tcPr>
            <w:tcW w:w="1425" w:type="dxa"/>
          </w:tcPr>
          <w:p w14:paraId="70D0AF65" w14:textId="77777777" w:rsidR="001825E2" w:rsidRDefault="000839A5" w:rsidP="00CB00A7">
            <w:pPr>
              <w:pStyle w:val="TableParagraph"/>
              <w:spacing w:before="61"/>
              <w:ind w:left="61" w:right="12"/>
              <w:jc w:val="left"/>
              <w:rPr>
                <w:sz w:val="24"/>
              </w:rPr>
            </w:pPr>
            <w:r>
              <w:rPr>
                <w:sz w:val="24"/>
              </w:rPr>
              <w:t xml:space="preserve">7 </w:t>
            </w:r>
            <w:r>
              <w:rPr>
                <w:spacing w:val="-2"/>
                <w:sz w:val="24"/>
              </w:rPr>
              <w:t>(1.0)</w:t>
            </w:r>
          </w:p>
        </w:tc>
        <w:tc>
          <w:tcPr>
            <w:tcW w:w="1845" w:type="dxa"/>
          </w:tcPr>
          <w:p w14:paraId="10E59E25" w14:textId="77777777" w:rsidR="001825E2" w:rsidRDefault="000839A5" w:rsidP="00CB00A7">
            <w:pPr>
              <w:pStyle w:val="TableParagraph"/>
              <w:spacing w:before="61"/>
              <w:ind w:left="24" w:right="5"/>
              <w:jc w:val="left"/>
              <w:rPr>
                <w:sz w:val="24"/>
              </w:rPr>
            </w:pPr>
            <w:r>
              <w:rPr>
                <w:sz w:val="24"/>
              </w:rPr>
              <w:t xml:space="preserve">2 </w:t>
            </w:r>
            <w:r>
              <w:rPr>
                <w:spacing w:val="-2"/>
                <w:sz w:val="24"/>
              </w:rPr>
              <w:t>(1.0)</w:t>
            </w:r>
          </w:p>
        </w:tc>
      </w:tr>
      <w:tr w:rsidR="001825E2" w14:paraId="432A23E0" w14:textId="77777777">
        <w:trPr>
          <w:trHeight w:val="390"/>
        </w:trPr>
        <w:tc>
          <w:tcPr>
            <w:tcW w:w="2805" w:type="dxa"/>
          </w:tcPr>
          <w:p w14:paraId="532A0F13" w14:textId="77777777" w:rsidR="001825E2" w:rsidRDefault="000839A5" w:rsidP="00CB00A7">
            <w:pPr>
              <w:pStyle w:val="TableParagraph"/>
              <w:spacing w:before="61"/>
              <w:jc w:val="left"/>
              <w:rPr>
                <w:sz w:val="24"/>
              </w:rPr>
            </w:pPr>
            <w:r>
              <w:rPr>
                <w:spacing w:val="-2"/>
                <w:sz w:val="24"/>
              </w:rPr>
              <w:t>Gastroenteritis</w:t>
            </w:r>
          </w:p>
        </w:tc>
        <w:tc>
          <w:tcPr>
            <w:tcW w:w="1560" w:type="dxa"/>
          </w:tcPr>
          <w:p w14:paraId="0F913495" w14:textId="77777777" w:rsidR="001825E2" w:rsidRDefault="000839A5" w:rsidP="00CB00A7">
            <w:pPr>
              <w:pStyle w:val="TableParagraph"/>
              <w:spacing w:before="61"/>
              <w:ind w:left="60" w:right="26"/>
              <w:jc w:val="left"/>
              <w:rPr>
                <w:sz w:val="24"/>
              </w:rPr>
            </w:pPr>
            <w:r>
              <w:rPr>
                <w:sz w:val="24"/>
              </w:rPr>
              <w:t xml:space="preserve">12 </w:t>
            </w:r>
            <w:r>
              <w:rPr>
                <w:spacing w:val="-2"/>
                <w:sz w:val="24"/>
              </w:rPr>
              <w:t>(1.0)</w:t>
            </w:r>
          </w:p>
        </w:tc>
        <w:tc>
          <w:tcPr>
            <w:tcW w:w="1545" w:type="dxa"/>
          </w:tcPr>
          <w:p w14:paraId="509AE217" w14:textId="77777777" w:rsidR="001825E2" w:rsidRDefault="000839A5" w:rsidP="00CB00A7">
            <w:pPr>
              <w:pStyle w:val="TableParagraph"/>
              <w:spacing w:before="61"/>
              <w:ind w:left="50" w:right="1"/>
              <w:jc w:val="left"/>
              <w:rPr>
                <w:sz w:val="24"/>
              </w:rPr>
            </w:pPr>
            <w:r>
              <w:rPr>
                <w:sz w:val="24"/>
              </w:rPr>
              <w:t xml:space="preserve">13 </w:t>
            </w:r>
            <w:r>
              <w:rPr>
                <w:spacing w:val="-2"/>
                <w:sz w:val="24"/>
              </w:rPr>
              <w:t>(1.1)</w:t>
            </w:r>
          </w:p>
        </w:tc>
        <w:tc>
          <w:tcPr>
            <w:tcW w:w="1425" w:type="dxa"/>
          </w:tcPr>
          <w:p w14:paraId="60E05B67" w14:textId="77777777" w:rsidR="001825E2" w:rsidRDefault="000839A5" w:rsidP="00CB00A7">
            <w:pPr>
              <w:pStyle w:val="TableParagraph"/>
              <w:spacing w:before="61"/>
              <w:ind w:left="61" w:right="12"/>
              <w:jc w:val="left"/>
              <w:rPr>
                <w:sz w:val="24"/>
              </w:rPr>
            </w:pPr>
            <w:r>
              <w:rPr>
                <w:sz w:val="24"/>
              </w:rPr>
              <w:t xml:space="preserve">5 </w:t>
            </w:r>
            <w:r>
              <w:rPr>
                <w:spacing w:val="-2"/>
                <w:sz w:val="24"/>
              </w:rPr>
              <w:t>(0.7)</w:t>
            </w:r>
          </w:p>
        </w:tc>
        <w:tc>
          <w:tcPr>
            <w:tcW w:w="1845" w:type="dxa"/>
          </w:tcPr>
          <w:p w14:paraId="1A1F7076" w14:textId="77777777" w:rsidR="001825E2" w:rsidRDefault="000839A5" w:rsidP="00CB00A7">
            <w:pPr>
              <w:pStyle w:val="TableParagraph"/>
              <w:spacing w:before="61"/>
              <w:ind w:left="20" w:right="6"/>
              <w:jc w:val="left"/>
              <w:rPr>
                <w:sz w:val="24"/>
              </w:rPr>
            </w:pPr>
            <w:r>
              <w:rPr>
                <w:spacing w:val="-10"/>
                <w:sz w:val="24"/>
              </w:rPr>
              <w:t>0</w:t>
            </w:r>
          </w:p>
        </w:tc>
      </w:tr>
      <w:tr w:rsidR="001825E2" w14:paraId="556CB662" w14:textId="77777777">
        <w:trPr>
          <w:trHeight w:val="390"/>
        </w:trPr>
        <w:tc>
          <w:tcPr>
            <w:tcW w:w="9180" w:type="dxa"/>
            <w:gridSpan w:val="5"/>
          </w:tcPr>
          <w:p w14:paraId="42AF2D61" w14:textId="77777777" w:rsidR="001825E2" w:rsidRDefault="000839A5" w:rsidP="00CB00A7">
            <w:pPr>
              <w:pStyle w:val="TableParagraph"/>
              <w:spacing w:before="61"/>
              <w:jc w:val="left"/>
              <w:rPr>
                <w:b/>
                <w:sz w:val="24"/>
              </w:rPr>
            </w:pPr>
            <w:r>
              <w:rPr>
                <w:b/>
                <w:sz w:val="24"/>
              </w:rPr>
              <w:t>Musculoskeletal</w:t>
            </w:r>
            <w:r>
              <w:rPr>
                <w:b/>
                <w:spacing w:val="8"/>
                <w:sz w:val="24"/>
              </w:rPr>
              <w:t xml:space="preserve"> </w:t>
            </w:r>
            <w:r>
              <w:rPr>
                <w:b/>
                <w:sz w:val="24"/>
              </w:rPr>
              <w:t>and</w:t>
            </w:r>
            <w:r>
              <w:rPr>
                <w:b/>
                <w:spacing w:val="-10"/>
                <w:sz w:val="24"/>
              </w:rPr>
              <w:t xml:space="preserve"> </w:t>
            </w:r>
            <w:r>
              <w:rPr>
                <w:b/>
                <w:sz w:val="24"/>
              </w:rPr>
              <w:t>Connective Tissue</w:t>
            </w:r>
            <w:r>
              <w:rPr>
                <w:b/>
                <w:spacing w:val="-12"/>
                <w:sz w:val="24"/>
              </w:rPr>
              <w:t xml:space="preserve"> </w:t>
            </w:r>
            <w:r>
              <w:rPr>
                <w:b/>
                <w:spacing w:val="-2"/>
                <w:sz w:val="24"/>
              </w:rPr>
              <w:t>Disorders</w:t>
            </w:r>
          </w:p>
        </w:tc>
      </w:tr>
      <w:tr w:rsidR="001825E2" w14:paraId="787F7A54" w14:textId="77777777">
        <w:trPr>
          <w:trHeight w:val="390"/>
        </w:trPr>
        <w:tc>
          <w:tcPr>
            <w:tcW w:w="2805" w:type="dxa"/>
          </w:tcPr>
          <w:p w14:paraId="469DA6C4" w14:textId="77777777" w:rsidR="001825E2" w:rsidRDefault="000839A5" w:rsidP="00CB00A7">
            <w:pPr>
              <w:pStyle w:val="TableParagraph"/>
              <w:spacing w:before="61"/>
              <w:jc w:val="left"/>
              <w:rPr>
                <w:sz w:val="24"/>
              </w:rPr>
            </w:pPr>
            <w:r>
              <w:rPr>
                <w:sz w:val="24"/>
              </w:rPr>
              <w:t>Rheumatoid</w:t>
            </w:r>
            <w:r>
              <w:rPr>
                <w:spacing w:val="-7"/>
                <w:sz w:val="24"/>
              </w:rPr>
              <w:t xml:space="preserve"> </w:t>
            </w:r>
            <w:r>
              <w:rPr>
                <w:spacing w:val="-2"/>
                <w:sz w:val="24"/>
              </w:rPr>
              <w:t>arthritis</w:t>
            </w:r>
          </w:p>
        </w:tc>
        <w:tc>
          <w:tcPr>
            <w:tcW w:w="1560" w:type="dxa"/>
          </w:tcPr>
          <w:p w14:paraId="29138CE3" w14:textId="77777777" w:rsidR="001825E2" w:rsidRDefault="000839A5" w:rsidP="00CB00A7">
            <w:pPr>
              <w:pStyle w:val="TableParagraph"/>
              <w:spacing w:before="61"/>
              <w:ind w:left="60" w:right="25"/>
              <w:jc w:val="left"/>
              <w:rPr>
                <w:sz w:val="24"/>
              </w:rPr>
            </w:pPr>
            <w:r>
              <w:rPr>
                <w:sz w:val="24"/>
              </w:rPr>
              <w:t xml:space="preserve">17 </w:t>
            </w:r>
            <w:r>
              <w:rPr>
                <w:spacing w:val="-2"/>
                <w:sz w:val="24"/>
              </w:rPr>
              <w:t>(1.4)</w:t>
            </w:r>
          </w:p>
        </w:tc>
        <w:tc>
          <w:tcPr>
            <w:tcW w:w="1545" w:type="dxa"/>
          </w:tcPr>
          <w:p w14:paraId="6E10B894" w14:textId="77777777" w:rsidR="001825E2" w:rsidRDefault="000839A5" w:rsidP="00CB00A7">
            <w:pPr>
              <w:pStyle w:val="TableParagraph"/>
              <w:spacing w:before="61"/>
              <w:ind w:left="50"/>
              <w:jc w:val="left"/>
              <w:rPr>
                <w:sz w:val="24"/>
              </w:rPr>
            </w:pPr>
            <w:r>
              <w:rPr>
                <w:sz w:val="24"/>
              </w:rPr>
              <w:t xml:space="preserve">5 </w:t>
            </w:r>
            <w:r>
              <w:rPr>
                <w:spacing w:val="-2"/>
                <w:sz w:val="24"/>
              </w:rPr>
              <w:t>(0.4)</w:t>
            </w:r>
          </w:p>
        </w:tc>
        <w:tc>
          <w:tcPr>
            <w:tcW w:w="1425" w:type="dxa"/>
          </w:tcPr>
          <w:p w14:paraId="1285F6FC" w14:textId="77777777" w:rsidR="001825E2" w:rsidRDefault="000839A5" w:rsidP="00CB00A7">
            <w:pPr>
              <w:pStyle w:val="TableParagraph"/>
              <w:spacing w:before="61"/>
              <w:ind w:left="61" w:right="11"/>
              <w:jc w:val="left"/>
              <w:rPr>
                <w:sz w:val="24"/>
              </w:rPr>
            </w:pPr>
            <w:r>
              <w:rPr>
                <w:sz w:val="24"/>
              </w:rPr>
              <w:t xml:space="preserve">17 </w:t>
            </w:r>
            <w:r>
              <w:rPr>
                <w:spacing w:val="-2"/>
                <w:sz w:val="24"/>
              </w:rPr>
              <w:t>(2.5)</w:t>
            </w:r>
          </w:p>
        </w:tc>
        <w:tc>
          <w:tcPr>
            <w:tcW w:w="1845" w:type="dxa"/>
          </w:tcPr>
          <w:p w14:paraId="3860E6B5" w14:textId="77777777" w:rsidR="001825E2" w:rsidRDefault="000839A5" w:rsidP="00CB00A7">
            <w:pPr>
              <w:pStyle w:val="TableParagraph"/>
              <w:spacing w:before="61"/>
              <w:ind w:left="25" w:right="5"/>
              <w:jc w:val="left"/>
              <w:rPr>
                <w:sz w:val="24"/>
              </w:rPr>
            </w:pPr>
            <w:r>
              <w:rPr>
                <w:sz w:val="24"/>
              </w:rPr>
              <w:t xml:space="preserve">1 </w:t>
            </w:r>
            <w:r>
              <w:rPr>
                <w:spacing w:val="-2"/>
                <w:sz w:val="24"/>
              </w:rPr>
              <w:t>(0.5)</w:t>
            </w:r>
          </w:p>
        </w:tc>
      </w:tr>
      <w:tr w:rsidR="001825E2" w14:paraId="0DB5A1FE" w14:textId="77777777">
        <w:trPr>
          <w:trHeight w:val="390"/>
        </w:trPr>
        <w:tc>
          <w:tcPr>
            <w:tcW w:w="2805" w:type="dxa"/>
          </w:tcPr>
          <w:p w14:paraId="4D84DAC8" w14:textId="77777777" w:rsidR="001825E2" w:rsidRDefault="000839A5" w:rsidP="00CB00A7">
            <w:pPr>
              <w:pStyle w:val="TableParagraph"/>
              <w:spacing w:before="61"/>
              <w:jc w:val="left"/>
              <w:rPr>
                <w:sz w:val="24"/>
              </w:rPr>
            </w:pPr>
            <w:r>
              <w:rPr>
                <w:sz w:val="24"/>
              </w:rPr>
              <w:t>Back</w:t>
            </w:r>
            <w:r>
              <w:rPr>
                <w:spacing w:val="-2"/>
                <w:sz w:val="24"/>
              </w:rPr>
              <w:t xml:space="preserve"> </w:t>
            </w:r>
            <w:r>
              <w:rPr>
                <w:spacing w:val="-4"/>
                <w:sz w:val="24"/>
              </w:rPr>
              <w:t>pain</w:t>
            </w:r>
          </w:p>
        </w:tc>
        <w:tc>
          <w:tcPr>
            <w:tcW w:w="1560" w:type="dxa"/>
          </w:tcPr>
          <w:p w14:paraId="7CCA04A4" w14:textId="77777777" w:rsidR="001825E2" w:rsidRDefault="000839A5" w:rsidP="00CB00A7">
            <w:pPr>
              <w:pStyle w:val="TableParagraph"/>
              <w:spacing w:before="61"/>
              <w:ind w:left="60" w:right="25"/>
              <w:jc w:val="left"/>
              <w:rPr>
                <w:sz w:val="24"/>
              </w:rPr>
            </w:pPr>
            <w:r>
              <w:rPr>
                <w:sz w:val="24"/>
              </w:rPr>
              <w:t xml:space="preserve">18 </w:t>
            </w:r>
            <w:r>
              <w:rPr>
                <w:spacing w:val="-2"/>
                <w:sz w:val="24"/>
              </w:rPr>
              <w:t>(1.5)</w:t>
            </w:r>
          </w:p>
        </w:tc>
        <w:tc>
          <w:tcPr>
            <w:tcW w:w="1545" w:type="dxa"/>
          </w:tcPr>
          <w:p w14:paraId="6D210D8C" w14:textId="77777777" w:rsidR="001825E2" w:rsidRDefault="000839A5" w:rsidP="00CB00A7">
            <w:pPr>
              <w:pStyle w:val="TableParagraph"/>
              <w:spacing w:before="61"/>
              <w:ind w:left="50"/>
              <w:jc w:val="left"/>
              <w:rPr>
                <w:sz w:val="24"/>
              </w:rPr>
            </w:pPr>
            <w:r>
              <w:rPr>
                <w:sz w:val="24"/>
              </w:rPr>
              <w:t xml:space="preserve">20 </w:t>
            </w:r>
            <w:r>
              <w:rPr>
                <w:spacing w:val="-2"/>
                <w:sz w:val="24"/>
              </w:rPr>
              <w:t>(1.6)</w:t>
            </w:r>
          </w:p>
        </w:tc>
        <w:tc>
          <w:tcPr>
            <w:tcW w:w="1425" w:type="dxa"/>
          </w:tcPr>
          <w:p w14:paraId="2811AB5F" w14:textId="77777777" w:rsidR="001825E2" w:rsidRDefault="000839A5" w:rsidP="00CB00A7">
            <w:pPr>
              <w:pStyle w:val="TableParagraph"/>
              <w:spacing w:before="61"/>
              <w:ind w:left="61" w:right="11"/>
              <w:jc w:val="left"/>
              <w:rPr>
                <w:sz w:val="24"/>
              </w:rPr>
            </w:pPr>
            <w:r>
              <w:rPr>
                <w:sz w:val="24"/>
              </w:rPr>
              <w:t xml:space="preserve">5 </w:t>
            </w:r>
            <w:r>
              <w:rPr>
                <w:spacing w:val="-2"/>
                <w:sz w:val="24"/>
              </w:rPr>
              <w:t>(0.7)</w:t>
            </w:r>
          </w:p>
        </w:tc>
        <w:tc>
          <w:tcPr>
            <w:tcW w:w="1845" w:type="dxa"/>
          </w:tcPr>
          <w:p w14:paraId="48E82A90" w14:textId="77777777" w:rsidR="001825E2" w:rsidRDefault="000839A5" w:rsidP="00CB00A7">
            <w:pPr>
              <w:pStyle w:val="TableParagraph"/>
              <w:spacing w:before="61"/>
              <w:ind w:left="25" w:right="5"/>
              <w:jc w:val="left"/>
              <w:rPr>
                <w:sz w:val="24"/>
              </w:rPr>
            </w:pPr>
            <w:r>
              <w:rPr>
                <w:sz w:val="24"/>
              </w:rPr>
              <w:t xml:space="preserve">1 </w:t>
            </w:r>
            <w:r>
              <w:rPr>
                <w:spacing w:val="-2"/>
                <w:sz w:val="24"/>
              </w:rPr>
              <w:t>(0.5)</w:t>
            </w:r>
          </w:p>
        </w:tc>
      </w:tr>
      <w:tr w:rsidR="001825E2" w14:paraId="5F148728" w14:textId="77777777">
        <w:trPr>
          <w:trHeight w:val="390"/>
        </w:trPr>
        <w:tc>
          <w:tcPr>
            <w:tcW w:w="2805" w:type="dxa"/>
          </w:tcPr>
          <w:p w14:paraId="0C145249" w14:textId="77777777" w:rsidR="001825E2" w:rsidRDefault="000839A5" w:rsidP="00CB00A7">
            <w:pPr>
              <w:pStyle w:val="TableParagraph"/>
              <w:spacing w:before="61"/>
              <w:jc w:val="left"/>
              <w:rPr>
                <w:sz w:val="24"/>
              </w:rPr>
            </w:pPr>
            <w:r>
              <w:rPr>
                <w:spacing w:val="-2"/>
                <w:sz w:val="24"/>
              </w:rPr>
              <w:t>Arthralgia</w:t>
            </w:r>
          </w:p>
        </w:tc>
        <w:tc>
          <w:tcPr>
            <w:tcW w:w="1560" w:type="dxa"/>
          </w:tcPr>
          <w:p w14:paraId="02A5792A" w14:textId="77777777" w:rsidR="001825E2" w:rsidRDefault="000839A5" w:rsidP="00CB00A7">
            <w:pPr>
              <w:pStyle w:val="TableParagraph"/>
              <w:spacing w:before="61"/>
              <w:ind w:left="60" w:right="26"/>
              <w:jc w:val="left"/>
              <w:rPr>
                <w:sz w:val="24"/>
              </w:rPr>
            </w:pPr>
            <w:r>
              <w:rPr>
                <w:sz w:val="24"/>
              </w:rPr>
              <w:t xml:space="preserve">13 </w:t>
            </w:r>
            <w:r>
              <w:rPr>
                <w:spacing w:val="-2"/>
                <w:sz w:val="24"/>
              </w:rPr>
              <w:t>(1.1)</w:t>
            </w:r>
          </w:p>
        </w:tc>
        <w:tc>
          <w:tcPr>
            <w:tcW w:w="1545" w:type="dxa"/>
          </w:tcPr>
          <w:p w14:paraId="2125EE0B" w14:textId="77777777" w:rsidR="001825E2" w:rsidRDefault="000839A5" w:rsidP="00CB00A7">
            <w:pPr>
              <w:pStyle w:val="TableParagraph"/>
              <w:spacing w:before="61"/>
              <w:ind w:left="50" w:right="1"/>
              <w:jc w:val="left"/>
              <w:rPr>
                <w:sz w:val="24"/>
              </w:rPr>
            </w:pPr>
            <w:r>
              <w:rPr>
                <w:sz w:val="24"/>
              </w:rPr>
              <w:t xml:space="preserve">9 </w:t>
            </w:r>
            <w:r>
              <w:rPr>
                <w:spacing w:val="-2"/>
                <w:sz w:val="24"/>
              </w:rPr>
              <w:t>(0.7)</w:t>
            </w:r>
          </w:p>
        </w:tc>
        <w:tc>
          <w:tcPr>
            <w:tcW w:w="1425" w:type="dxa"/>
          </w:tcPr>
          <w:p w14:paraId="4729CECD" w14:textId="77777777" w:rsidR="001825E2" w:rsidRDefault="000839A5" w:rsidP="00CB00A7">
            <w:pPr>
              <w:pStyle w:val="TableParagraph"/>
              <w:spacing w:before="61"/>
              <w:ind w:left="61" w:right="12"/>
              <w:jc w:val="left"/>
              <w:rPr>
                <w:sz w:val="24"/>
              </w:rPr>
            </w:pPr>
            <w:r>
              <w:rPr>
                <w:sz w:val="24"/>
              </w:rPr>
              <w:t xml:space="preserve">16 </w:t>
            </w:r>
            <w:r>
              <w:rPr>
                <w:spacing w:val="-2"/>
                <w:sz w:val="24"/>
              </w:rPr>
              <w:t>(2.3)</w:t>
            </w:r>
          </w:p>
        </w:tc>
        <w:tc>
          <w:tcPr>
            <w:tcW w:w="1845" w:type="dxa"/>
          </w:tcPr>
          <w:p w14:paraId="29EF5ECC" w14:textId="77777777" w:rsidR="001825E2" w:rsidRDefault="000839A5" w:rsidP="00CB00A7">
            <w:pPr>
              <w:pStyle w:val="TableParagraph"/>
              <w:spacing w:before="61"/>
              <w:ind w:left="24" w:right="5"/>
              <w:jc w:val="left"/>
              <w:rPr>
                <w:sz w:val="24"/>
              </w:rPr>
            </w:pPr>
            <w:r>
              <w:rPr>
                <w:sz w:val="24"/>
              </w:rPr>
              <w:t xml:space="preserve">4 </w:t>
            </w:r>
            <w:r>
              <w:rPr>
                <w:spacing w:val="-2"/>
                <w:sz w:val="24"/>
              </w:rPr>
              <w:t>(2.0)</w:t>
            </w:r>
          </w:p>
        </w:tc>
      </w:tr>
      <w:tr w:rsidR="001825E2" w14:paraId="486CFB69" w14:textId="77777777">
        <w:trPr>
          <w:trHeight w:val="390"/>
        </w:trPr>
        <w:tc>
          <w:tcPr>
            <w:tcW w:w="9180" w:type="dxa"/>
            <w:gridSpan w:val="5"/>
          </w:tcPr>
          <w:p w14:paraId="3191FB93" w14:textId="77777777" w:rsidR="001825E2" w:rsidRDefault="000839A5" w:rsidP="00CB00A7">
            <w:pPr>
              <w:pStyle w:val="TableParagraph"/>
              <w:spacing w:before="61"/>
              <w:jc w:val="left"/>
              <w:rPr>
                <w:b/>
                <w:sz w:val="24"/>
              </w:rPr>
            </w:pPr>
            <w:r>
              <w:rPr>
                <w:b/>
                <w:sz w:val="24"/>
              </w:rPr>
              <w:t>General</w:t>
            </w:r>
            <w:r>
              <w:rPr>
                <w:b/>
                <w:spacing w:val="-15"/>
                <w:sz w:val="24"/>
              </w:rPr>
              <w:t xml:space="preserve"> </w:t>
            </w:r>
            <w:r>
              <w:rPr>
                <w:b/>
                <w:sz w:val="24"/>
              </w:rPr>
              <w:t>Disorders and</w:t>
            </w:r>
            <w:r>
              <w:rPr>
                <w:b/>
                <w:spacing w:val="-9"/>
                <w:sz w:val="24"/>
              </w:rPr>
              <w:t xml:space="preserve"> </w:t>
            </w:r>
            <w:r>
              <w:rPr>
                <w:b/>
                <w:sz w:val="24"/>
              </w:rPr>
              <w:t>Administration</w:t>
            </w:r>
            <w:r>
              <w:rPr>
                <w:b/>
                <w:spacing w:val="17"/>
                <w:sz w:val="24"/>
              </w:rPr>
              <w:t xml:space="preserve"> </w:t>
            </w:r>
            <w:r>
              <w:rPr>
                <w:b/>
                <w:sz w:val="24"/>
              </w:rPr>
              <w:t>Site</w:t>
            </w:r>
            <w:r>
              <w:rPr>
                <w:b/>
                <w:spacing w:val="-10"/>
                <w:sz w:val="24"/>
              </w:rPr>
              <w:t xml:space="preserve"> </w:t>
            </w:r>
            <w:r>
              <w:rPr>
                <w:b/>
                <w:spacing w:val="-2"/>
                <w:sz w:val="24"/>
              </w:rPr>
              <w:t>Conditions</w:t>
            </w:r>
          </w:p>
        </w:tc>
      </w:tr>
      <w:tr w:rsidR="001825E2" w14:paraId="0B59535D" w14:textId="77777777">
        <w:trPr>
          <w:trHeight w:val="405"/>
        </w:trPr>
        <w:tc>
          <w:tcPr>
            <w:tcW w:w="2805" w:type="dxa"/>
          </w:tcPr>
          <w:p w14:paraId="17F5D027" w14:textId="77777777" w:rsidR="001825E2" w:rsidRDefault="000839A5" w:rsidP="00CB00A7">
            <w:pPr>
              <w:pStyle w:val="TableParagraph"/>
              <w:spacing w:before="61"/>
              <w:jc w:val="left"/>
              <w:rPr>
                <w:sz w:val="24"/>
              </w:rPr>
            </w:pPr>
            <w:r>
              <w:rPr>
                <w:sz w:val="24"/>
              </w:rPr>
              <w:t>Oedema</w:t>
            </w:r>
            <w:r>
              <w:rPr>
                <w:spacing w:val="-7"/>
                <w:sz w:val="24"/>
              </w:rPr>
              <w:t xml:space="preserve"> </w:t>
            </w:r>
            <w:r>
              <w:rPr>
                <w:spacing w:val="-2"/>
                <w:sz w:val="24"/>
              </w:rPr>
              <w:t>peripheral</w:t>
            </w:r>
          </w:p>
        </w:tc>
        <w:tc>
          <w:tcPr>
            <w:tcW w:w="1560" w:type="dxa"/>
          </w:tcPr>
          <w:p w14:paraId="4C3F15F3" w14:textId="77777777" w:rsidR="001825E2" w:rsidRDefault="000839A5" w:rsidP="00CB00A7">
            <w:pPr>
              <w:pStyle w:val="TableParagraph"/>
              <w:spacing w:before="61"/>
              <w:ind w:left="60" w:right="26"/>
              <w:jc w:val="left"/>
              <w:rPr>
                <w:sz w:val="24"/>
              </w:rPr>
            </w:pPr>
            <w:r>
              <w:rPr>
                <w:sz w:val="24"/>
              </w:rPr>
              <w:t xml:space="preserve">17 </w:t>
            </w:r>
            <w:r>
              <w:rPr>
                <w:spacing w:val="-2"/>
                <w:sz w:val="24"/>
              </w:rPr>
              <w:t>(1.4)</w:t>
            </w:r>
          </w:p>
        </w:tc>
        <w:tc>
          <w:tcPr>
            <w:tcW w:w="1545" w:type="dxa"/>
          </w:tcPr>
          <w:p w14:paraId="2B39E472" w14:textId="77777777" w:rsidR="001825E2" w:rsidRDefault="000839A5" w:rsidP="00CB00A7">
            <w:pPr>
              <w:pStyle w:val="TableParagraph"/>
              <w:spacing w:before="61"/>
              <w:ind w:left="50" w:right="1"/>
              <w:jc w:val="left"/>
              <w:rPr>
                <w:sz w:val="24"/>
              </w:rPr>
            </w:pPr>
            <w:r>
              <w:rPr>
                <w:sz w:val="24"/>
              </w:rPr>
              <w:t xml:space="preserve">21 </w:t>
            </w:r>
            <w:r>
              <w:rPr>
                <w:spacing w:val="-2"/>
                <w:sz w:val="24"/>
              </w:rPr>
              <w:t>(1.7)</w:t>
            </w:r>
          </w:p>
        </w:tc>
        <w:tc>
          <w:tcPr>
            <w:tcW w:w="1425" w:type="dxa"/>
          </w:tcPr>
          <w:p w14:paraId="66FDA2BB" w14:textId="77777777" w:rsidR="001825E2" w:rsidRDefault="000839A5" w:rsidP="00CB00A7">
            <w:pPr>
              <w:pStyle w:val="TableParagraph"/>
              <w:spacing w:before="61"/>
              <w:ind w:left="61" w:right="12"/>
              <w:jc w:val="left"/>
              <w:rPr>
                <w:sz w:val="24"/>
              </w:rPr>
            </w:pPr>
            <w:r>
              <w:rPr>
                <w:sz w:val="24"/>
              </w:rPr>
              <w:t xml:space="preserve">16 </w:t>
            </w:r>
            <w:r>
              <w:rPr>
                <w:spacing w:val="-2"/>
                <w:sz w:val="24"/>
              </w:rPr>
              <w:t>(2.3)</w:t>
            </w:r>
          </w:p>
        </w:tc>
        <w:tc>
          <w:tcPr>
            <w:tcW w:w="1845" w:type="dxa"/>
          </w:tcPr>
          <w:p w14:paraId="2B58DE6A" w14:textId="77777777" w:rsidR="001825E2" w:rsidRDefault="000839A5" w:rsidP="00CB00A7">
            <w:pPr>
              <w:pStyle w:val="TableParagraph"/>
              <w:spacing w:before="61"/>
              <w:ind w:left="24" w:right="5"/>
              <w:jc w:val="left"/>
              <w:rPr>
                <w:sz w:val="24"/>
              </w:rPr>
            </w:pPr>
            <w:r>
              <w:rPr>
                <w:sz w:val="24"/>
              </w:rPr>
              <w:t xml:space="preserve">3 </w:t>
            </w:r>
            <w:r>
              <w:rPr>
                <w:spacing w:val="-2"/>
                <w:sz w:val="24"/>
              </w:rPr>
              <w:t>(1.5)</w:t>
            </w:r>
          </w:p>
        </w:tc>
      </w:tr>
      <w:tr w:rsidR="001825E2" w14:paraId="46C92453" w14:textId="77777777">
        <w:trPr>
          <w:trHeight w:val="390"/>
        </w:trPr>
        <w:tc>
          <w:tcPr>
            <w:tcW w:w="2805" w:type="dxa"/>
          </w:tcPr>
          <w:p w14:paraId="7CDFDBDE" w14:textId="77777777" w:rsidR="001825E2" w:rsidRDefault="000839A5" w:rsidP="00CB00A7">
            <w:pPr>
              <w:pStyle w:val="TableParagraph"/>
              <w:spacing w:before="46"/>
              <w:jc w:val="left"/>
              <w:rPr>
                <w:sz w:val="24"/>
              </w:rPr>
            </w:pPr>
            <w:r>
              <w:rPr>
                <w:spacing w:val="-2"/>
                <w:sz w:val="24"/>
              </w:rPr>
              <w:t>Pyrexia</w:t>
            </w:r>
          </w:p>
        </w:tc>
        <w:tc>
          <w:tcPr>
            <w:tcW w:w="1560" w:type="dxa"/>
          </w:tcPr>
          <w:p w14:paraId="3302BF9F" w14:textId="77777777" w:rsidR="001825E2" w:rsidRDefault="000839A5" w:rsidP="00CB00A7">
            <w:pPr>
              <w:pStyle w:val="TableParagraph"/>
              <w:spacing w:before="46"/>
              <w:ind w:left="60" w:right="25"/>
              <w:jc w:val="left"/>
              <w:rPr>
                <w:sz w:val="24"/>
              </w:rPr>
            </w:pPr>
            <w:r>
              <w:rPr>
                <w:sz w:val="24"/>
              </w:rPr>
              <w:t xml:space="preserve">13 </w:t>
            </w:r>
            <w:r>
              <w:rPr>
                <w:spacing w:val="-2"/>
                <w:sz w:val="24"/>
              </w:rPr>
              <w:t>(1.1)</w:t>
            </w:r>
          </w:p>
        </w:tc>
        <w:tc>
          <w:tcPr>
            <w:tcW w:w="1545" w:type="dxa"/>
          </w:tcPr>
          <w:p w14:paraId="0B7E06DD" w14:textId="77777777" w:rsidR="001825E2" w:rsidRDefault="000839A5" w:rsidP="00CB00A7">
            <w:pPr>
              <w:pStyle w:val="TableParagraph"/>
              <w:spacing w:before="46"/>
              <w:ind w:left="50"/>
              <w:jc w:val="left"/>
              <w:rPr>
                <w:sz w:val="24"/>
              </w:rPr>
            </w:pPr>
            <w:r>
              <w:rPr>
                <w:sz w:val="24"/>
              </w:rPr>
              <w:t xml:space="preserve">7 </w:t>
            </w:r>
            <w:r>
              <w:rPr>
                <w:spacing w:val="-2"/>
                <w:sz w:val="24"/>
              </w:rPr>
              <w:t>(0.6)</w:t>
            </w:r>
          </w:p>
        </w:tc>
        <w:tc>
          <w:tcPr>
            <w:tcW w:w="1425" w:type="dxa"/>
          </w:tcPr>
          <w:p w14:paraId="7CDA066D" w14:textId="77777777" w:rsidR="001825E2" w:rsidRDefault="000839A5" w:rsidP="00CB00A7">
            <w:pPr>
              <w:pStyle w:val="TableParagraph"/>
              <w:spacing w:before="46"/>
              <w:ind w:left="61" w:right="11"/>
              <w:jc w:val="left"/>
              <w:rPr>
                <w:sz w:val="24"/>
              </w:rPr>
            </w:pPr>
            <w:r>
              <w:rPr>
                <w:sz w:val="24"/>
              </w:rPr>
              <w:t xml:space="preserve">5 </w:t>
            </w:r>
            <w:r>
              <w:rPr>
                <w:spacing w:val="-2"/>
                <w:sz w:val="24"/>
              </w:rPr>
              <w:t>(0.7)</w:t>
            </w:r>
          </w:p>
        </w:tc>
        <w:tc>
          <w:tcPr>
            <w:tcW w:w="1845" w:type="dxa"/>
          </w:tcPr>
          <w:p w14:paraId="53358200" w14:textId="77777777" w:rsidR="001825E2" w:rsidRDefault="000839A5" w:rsidP="00CB00A7">
            <w:pPr>
              <w:pStyle w:val="TableParagraph"/>
              <w:spacing w:before="46"/>
              <w:ind w:left="25" w:right="5"/>
              <w:jc w:val="left"/>
              <w:rPr>
                <w:sz w:val="24"/>
              </w:rPr>
            </w:pPr>
            <w:r>
              <w:rPr>
                <w:sz w:val="24"/>
              </w:rPr>
              <w:t xml:space="preserve">1 </w:t>
            </w:r>
            <w:r>
              <w:rPr>
                <w:spacing w:val="-2"/>
                <w:sz w:val="24"/>
              </w:rPr>
              <w:t>(0.5)</w:t>
            </w:r>
          </w:p>
        </w:tc>
      </w:tr>
      <w:tr w:rsidR="001825E2" w14:paraId="2246DBA1" w14:textId="77777777">
        <w:trPr>
          <w:trHeight w:val="390"/>
        </w:trPr>
        <w:tc>
          <w:tcPr>
            <w:tcW w:w="9180" w:type="dxa"/>
            <w:gridSpan w:val="5"/>
          </w:tcPr>
          <w:p w14:paraId="2D835454" w14:textId="77777777" w:rsidR="001825E2" w:rsidRDefault="000839A5" w:rsidP="00CB00A7">
            <w:pPr>
              <w:pStyle w:val="TableParagraph"/>
              <w:spacing w:before="46"/>
              <w:jc w:val="left"/>
              <w:rPr>
                <w:b/>
                <w:sz w:val="24"/>
              </w:rPr>
            </w:pPr>
            <w:r>
              <w:rPr>
                <w:b/>
                <w:spacing w:val="-2"/>
                <w:sz w:val="24"/>
              </w:rPr>
              <w:t>Investigations</w:t>
            </w:r>
          </w:p>
        </w:tc>
      </w:tr>
      <w:tr w:rsidR="001825E2" w14:paraId="79D22229" w14:textId="77777777">
        <w:trPr>
          <w:trHeight w:val="660"/>
        </w:trPr>
        <w:tc>
          <w:tcPr>
            <w:tcW w:w="2805" w:type="dxa"/>
          </w:tcPr>
          <w:p w14:paraId="13648369" w14:textId="77777777" w:rsidR="001825E2" w:rsidRDefault="000839A5" w:rsidP="00CB00A7">
            <w:pPr>
              <w:pStyle w:val="TableParagraph"/>
              <w:spacing w:before="46" w:line="247" w:lineRule="auto"/>
              <w:jc w:val="left"/>
              <w:rPr>
                <w:sz w:val="24"/>
              </w:rPr>
            </w:pPr>
            <w:r>
              <w:rPr>
                <w:sz w:val="24"/>
              </w:rPr>
              <w:t xml:space="preserve">Blood creatine </w:t>
            </w:r>
            <w:r>
              <w:rPr>
                <w:spacing w:val="-2"/>
                <w:sz w:val="24"/>
              </w:rPr>
              <w:t>phosphokinase</w:t>
            </w:r>
            <w:r>
              <w:rPr>
                <w:spacing w:val="-13"/>
                <w:sz w:val="24"/>
              </w:rPr>
              <w:t xml:space="preserve"> </w:t>
            </w:r>
            <w:r>
              <w:rPr>
                <w:spacing w:val="-2"/>
                <w:sz w:val="24"/>
              </w:rPr>
              <w:t>increased</w:t>
            </w:r>
          </w:p>
        </w:tc>
        <w:tc>
          <w:tcPr>
            <w:tcW w:w="1560" w:type="dxa"/>
          </w:tcPr>
          <w:p w14:paraId="12121768" w14:textId="77777777" w:rsidR="001825E2" w:rsidRDefault="000839A5" w:rsidP="00CB00A7">
            <w:pPr>
              <w:pStyle w:val="TableParagraph"/>
              <w:spacing w:before="46"/>
              <w:ind w:left="60" w:right="26"/>
              <w:jc w:val="left"/>
              <w:rPr>
                <w:sz w:val="24"/>
              </w:rPr>
            </w:pPr>
            <w:r>
              <w:rPr>
                <w:sz w:val="24"/>
              </w:rPr>
              <w:t xml:space="preserve">9 </w:t>
            </w:r>
            <w:r>
              <w:rPr>
                <w:spacing w:val="-2"/>
                <w:sz w:val="24"/>
              </w:rPr>
              <w:t>(0.7)</w:t>
            </w:r>
          </w:p>
        </w:tc>
        <w:tc>
          <w:tcPr>
            <w:tcW w:w="1545" w:type="dxa"/>
          </w:tcPr>
          <w:p w14:paraId="5B18B677" w14:textId="77777777" w:rsidR="001825E2" w:rsidRDefault="000839A5" w:rsidP="00CB00A7">
            <w:pPr>
              <w:pStyle w:val="TableParagraph"/>
              <w:spacing w:before="46"/>
              <w:ind w:left="50" w:right="1"/>
              <w:jc w:val="left"/>
              <w:rPr>
                <w:sz w:val="24"/>
              </w:rPr>
            </w:pPr>
            <w:r>
              <w:rPr>
                <w:sz w:val="24"/>
              </w:rPr>
              <w:t xml:space="preserve">26 </w:t>
            </w:r>
            <w:r>
              <w:rPr>
                <w:spacing w:val="-2"/>
                <w:sz w:val="24"/>
              </w:rPr>
              <w:t>(2.1)</w:t>
            </w:r>
          </w:p>
        </w:tc>
        <w:tc>
          <w:tcPr>
            <w:tcW w:w="1425" w:type="dxa"/>
          </w:tcPr>
          <w:p w14:paraId="5E1CCA39" w14:textId="77777777" w:rsidR="001825E2" w:rsidRDefault="000839A5" w:rsidP="00CB00A7">
            <w:pPr>
              <w:pStyle w:val="TableParagraph"/>
              <w:spacing w:before="46"/>
              <w:ind w:left="61" w:right="12"/>
              <w:jc w:val="left"/>
              <w:rPr>
                <w:sz w:val="24"/>
              </w:rPr>
            </w:pPr>
            <w:r>
              <w:rPr>
                <w:sz w:val="24"/>
              </w:rPr>
              <w:t xml:space="preserve">3 </w:t>
            </w:r>
            <w:r>
              <w:rPr>
                <w:spacing w:val="-2"/>
                <w:sz w:val="24"/>
              </w:rPr>
              <w:t>(0.4)</w:t>
            </w:r>
          </w:p>
        </w:tc>
        <w:tc>
          <w:tcPr>
            <w:tcW w:w="1845" w:type="dxa"/>
          </w:tcPr>
          <w:p w14:paraId="1186C221" w14:textId="77777777" w:rsidR="001825E2" w:rsidRDefault="000839A5" w:rsidP="00CB00A7">
            <w:pPr>
              <w:pStyle w:val="TableParagraph"/>
              <w:spacing w:before="46"/>
              <w:ind w:left="24" w:right="5"/>
              <w:jc w:val="left"/>
              <w:rPr>
                <w:sz w:val="24"/>
              </w:rPr>
            </w:pPr>
            <w:r>
              <w:rPr>
                <w:sz w:val="24"/>
              </w:rPr>
              <w:t xml:space="preserve">1 </w:t>
            </w:r>
            <w:r>
              <w:rPr>
                <w:spacing w:val="-2"/>
                <w:sz w:val="24"/>
              </w:rPr>
              <w:t>(0.5)</w:t>
            </w:r>
          </w:p>
        </w:tc>
      </w:tr>
      <w:tr w:rsidR="001825E2" w14:paraId="307552F3" w14:textId="77777777">
        <w:trPr>
          <w:trHeight w:val="660"/>
        </w:trPr>
        <w:tc>
          <w:tcPr>
            <w:tcW w:w="2805" w:type="dxa"/>
          </w:tcPr>
          <w:p w14:paraId="0D756540" w14:textId="77777777" w:rsidR="001825E2" w:rsidRDefault="000839A5" w:rsidP="00CB00A7">
            <w:pPr>
              <w:pStyle w:val="TableParagraph"/>
              <w:spacing w:before="65" w:line="235" w:lineRule="auto"/>
              <w:jc w:val="left"/>
              <w:rPr>
                <w:sz w:val="24"/>
              </w:rPr>
            </w:pPr>
            <w:r>
              <w:rPr>
                <w:spacing w:val="-2"/>
                <w:sz w:val="24"/>
              </w:rPr>
              <w:t>Alanine</w:t>
            </w:r>
            <w:r>
              <w:rPr>
                <w:spacing w:val="-5"/>
                <w:sz w:val="24"/>
              </w:rPr>
              <w:t xml:space="preserve"> </w:t>
            </w:r>
            <w:r>
              <w:rPr>
                <w:spacing w:val="-2"/>
                <w:sz w:val="24"/>
              </w:rPr>
              <w:t>aminotransferase increased</w:t>
            </w:r>
          </w:p>
        </w:tc>
        <w:tc>
          <w:tcPr>
            <w:tcW w:w="1560" w:type="dxa"/>
          </w:tcPr>
          <w:p w14:paraId="6BBA0085" w14:textId="77777777" w:rsidR="001825E2" w:rsidRDefault="000839A5" w:rsidP="00CB00A7">
            <w:pPr>
              <w:pStyle w:val="TableParagraph"/>
              <w:spacing w:before="61"/>
              <w:ind w:left="60" w:right="25"/>
              <w:jc w:val="left"/>
              <w:rPr>
                <w:sz w:val="24"/>
              </w:rPr>
            </w:pPr>
            <w:r>
              <w:rPr>
                <w:sz w:val="24"/>
              </w:rPr>
              <w:t xml:space="preserve">14 </w:t>
            </w:r>
            <w:r>
              <w:rPr>
                <w:spacing w:val="-2"/>
                <w:sz w:val="24"/>
              </w:rPr>
              <w:t>(1.2)</w:t>
            </w:r>
          </w:p>
        </w:tc>
        <w:tc>
          <w:tcPr>
            <w:tcW w:w="1545" w:type="dxa"/>
          </w:tcPr>
          <w:p w14:paraId="59B2D7F7" w14:textId="77777777" w:rsidR="001825E2" w:rsidRDefault="000839A5" w:rsidP="00CB00A7">
            <w:pPr>
              <w:pStyle w:val="TableParagraph"/>
              <w:spacing w:before="61"/>
              <w:ind w:left="50"/>
              <w:jc w:val="left"/>
              <w:rPr>
                <w:sz w:val="24"/>
              </w:rPr>
            </w:pPr>
            <w:r>
              <w:rPr>
                <w:sz w:val="24"/>
              </w:rPr>
              <w:t xml:space="preserve">15 </w:t>
            </w:r>
            <w:r>
              <w:rPr>
                <w:spacing w:val="-2"/>
                <w:sz w:val="24"/>
              </w:rPr>
              <w:t>(1.2)</w:t>
            </w:r>
          </w:p>
        </w:tc>
        <w:tc>
          <w:tcPr>
            <w:tcW w:w="1425" w:type="dxa"/>
          </w:tcPr>
          <w:p w14:paraId="3D13FD11" w14:textId="77777777" w:rsidR="001825E2" w:rsidRDefault="000839A5" w:rsidP="00CB00A7">
            <w:pPr>
              <w:pStyle w:val="TableParagraph"/>
              <w:spacing w:before="61"/>
              <w:ind w:left="61" w:right="11"/>
              <w:jc w:val="left"/>
              <w:rPr>
                <w:sz w:val="24"/>
              </w:rPr>
            </w:pPr>
            <w:r>
              <w:rPr>
                <w:sz w:val="24"/>
              </w:rPr>
              <w:t xml:space="preserve">7 </w:t>
            </w:r>
            <w:r>
              <w:rPr>
                <w:spacing w:val="-2"/>
                <w:sz w:val="24"/>
              </w:rPr>
              <w:t>(1.0)</w:t>
            </w:r>
          </w:p>
        </w:tc>
        <w:tc>
          <w:tcPr>
            <w:tcW w:w="1845" w:type="dxa"/>
          </w:tcPr>
          <w:p w14:paraId="42E042F4" w14:textId="77777777" w:rsidR="001825E2" w:rsidRDefault="000839A5" w:rsidP="00CB00A7">
            <w:pPr>
              <w:pStyle w:val="TableParagraph"/>
              <w:spacing w:before="61"/>
              <w:ind w:left="25" w:right="5"/>
              <w:jc w:val="left"/>
              <w:rPr>
                <w:sz w:val="24"/>
              </w:rPr>
            </w:pPr>
            <w:r>
              <w:rPr>
                <w:sz w:val="24"/>
              </w:rPr>
              <w:t xml:space="preserve">1 </w:t>
            </w:r>
            <w:r>
              <w:rPr>
                <w:spacing w:val="-2"/>
                <w:sz w:val="24"/>
              </w:rPr>
              <w:t>(0.5)</w:t>
            </w:r>
          </w:p>
        </w:tc>
      </w:tr>
    </w:tbl>
    <w:p w14:paraId="1FFBF29F" w14:textId="77777777" w:rsidR="001825E2" w:rsidRDefault="001825E2" w:rsidP="00CB00A7">
      <w:pPr>
        <w:rPr>
          <w:sz w:val="24"/>
        </w:rPr>
        <w:sectPr w:rsidR="001825E2">
          <w:type w:val="continuous"/>
          <w:pgSz w:w="11910" w:h="16850"/>
          <w:pgMar w:top="1420" w:right="1220" w:bottom="980" w:left="1220" w:header="0" w:footer="785" w:gutter="0"/>
          <w:cols w:space="720"/>
        </w:sect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05"/>
        <w:gridCol w:w="1560"/>
        <w:gridCol w:w="1545"/>
        <w:gridCol w:w="1425"/>
        <w:gridCol w:w="1845"/>
      </w:tblGrid>
      <w:tr w:rsidR="001825E2" w14:paraId="438D92FD" w14:textId="77777777">
        <w:trPr>
          <w:trHeight w:val="1004"/>
        </w:trPr>
        <w:tc>
          <w:tcPr>
            <w:tcW w:w="2805" w:type="dxa"/>
          </w:tcPr>
          <w:p w14:paraId="1F977609" w14:textId="77777777" w:rsidR="001825E2" w:rsidRDefault="000839A5" w:rsidP="00CB00A7">
            <w:pPr>
              <w:pStyle w:val="TableParagraph"/>
              <w:spacing w:before="5" w:line="235" w:lineRule="auto"/>
              <w:ind w:left="652" w:firstLine="30"/>
              <w:jc w:val="left"/>
              <w:rPr>
                <w:b/>
                <w:sz w:val="24"/>
              </w:rPr>
            </w:pPr>
            <w:r>
              <w:rPr>
                <w:b/>
                <w:sz w:val="24"/>
              </w:rPr>
              <w:lastRenderedPageBreak/>
              <w:t>Body</w:t>
            </w:r>
            <w:r>
              <w:rPr>
                <w:b/>
                <w:spacing w:val="-6"/>
                <w:sz w:val="24"/>
              </w:rPr>
              <w:t xml:space="preserve"> </w:t>
            </w:r>
            <w:r>
              <w:rPr>
                <w:b/>
                <w:sz w:val="24"/>
              </w:rPr>
              <w:t>System</w:t>
            </w:r>
            <w:r>
              <w:rPr>
                <w:b/>
                <w:spacing w:val="-11"/>
                <w:sz w:val="24"/>
              </w:rPr>
              <w:t xml:space="preserve"> </w:t>
            </w:r>
            <w:r>
              <w:rPr>
                <w:b/>
                <w:sz w:val="24"/>
              </w:rPr>
              <w:t>/ Adverse</w:t>
            </w:r>
            <w:r>
              <w:rPr>
                <w:b/>
                <w:spacing w:val="-3"/>
                <w:sz w:val="24"/>
              </w:rPr>
              <w:t xml:space="preserve"> </w:t>
            </w:r>
            <w:r>
              <w:rPr>
                <w:b/>
                <w:spacing w:val="-2"/>
                <w:sz w:val="24"/>
              </w:rPr>
              <w:t>Event</w:t>
            </w:r>
          </w:p>
        </w:tc>
        <w:tc>
          <w:tcPr>
            <w:tcW w:w="1560" w:type="dxa"/>
          </w:tcPr>
          <w:p w14:paraId="1097FA8F" w14:textId="77777777" w:rsidR="001825E2" w:rsidRDefault="000839A5" w:rsidP="00CB00A7">
            <w:pPr>
              <w:pStyle w:val="TableParagraph"/>
              <w:spacing w:before="1"/>
              <w:ind w:left="217"/>
              <w:jc w:val="left"/>
              <w:rPr>
                <w:b/>
                <w:sz w:val="24"/>
              </w:rPr>
            </w:pPr>
            <w:r>
              <w:rPr>
                <w:b/>
                <w:spacing w:val="-2"/>
                <w:sz w:val="24"/>
              </w:rPr>
              <w:t>XELJANZ</w:t>
            </w:r>
          </w:p>
          <w:p w14:paraId="3173F7C6" w14:textId="77777777" w:rsidR="001825E2" w:rsidRDefault="000839A5" w:rsidP="00CB00A7">
            <w:pPr>
              <w:pStyle w:val="TableParagraph"/>
              <w:spacing w:line="330" w:lineRule="atLeast"/>
              <w:ind w:left="307" w:hanging="30"/>
              <w:jc w:val="left"/>
              <w:rPr>
                <w:b/>
                <w:sz w:val="24"/>
              </w:rPr>
            </w:pPr>
            <w:r>
              <w:rPr>
                <w:b/>
                <w:sz w:val="24"/>
              </w:rPr>
              <w:t>5</w:t>
            </w:r>
            <w:r>
              <w:rPr>
                <w:b/>
                <w:spacing w:val="-10"/>
                <w:sz w:val="24"/>
              </w:rPr>
              <w:t xml:space="preserve"> </w:t>
            </w:r>
            <w:r>
              <w:rPr>
                <w:b/>
                <w:sz w:val="24"/>
              </w:rPr>
              <w:t>mg</w:t>
            </w:r>
            <w:r>
              <w:rPr>
                <w:b/>
                <w:spacing w:val="80"/>
                <w:sz w:val="24"/>
              </w:rPr>
              <w:t xml:space="preserve"> </w:t>
            </w:r>
            <w:r>
              <w:rPr>
                <w:b/>
                <w:sz w:val="24"/>
              </w:rPr>
              <w:t xml:space="preserve">BD </w:t>
            </w:r>
            <w:r>
              <w:rPr>
                <w:b/>
                <w:spacing w:val="-2"/>
                <w:sz w:val="24"/>
              </w:rPr>
              <w:t>(N=1216)</w:t>
            </w:r>
          </w:p>
        </w:tc>
        <w:tc>
          <w:tcPr>
            <w:tcW w:w="1545" w:type="dxa"/>
          </w:tcPr>
          <w:p w14:paraId="48F526C5" w14:textId="77777777" w:rsidR="001825E2" w:rsidRDefault="000839A5" w:rsidP="00CB00A7">
            <w:pPr>
              <w:pStyle w:val="TableParagraph"/>
              <w:spacing w:before="1"/>
              <w:ind w:left="217"/>
              <w:jc w:val="left"/>
              <w:rPr>
                <w:b/>
                <w:sz w:val="24"/>
              </w:rPr>
            </w:pPr>
            <w:r>
              <w:rPr>
                <w:b/>
                <w:spacing w:val="-2"/>
                <w:sz w:val="24"/>
              </w:rPr>
              <w:t>XELJANZ</w:t>
            </w:r>
          </w:p>
          <w:p w14:paraId="7FDD241C" w14:textId="77777777" w:rsidR="001825E2" w:rsidRDefault="000839A5" w:rsidP="00CB00A7">
            <w:pPr>
              <w:pStyle w:val="TableParagraph"/>
              <w:spacing w:line="330" w:lineRule="atLeast"/>
              <w:ind w:left="307" w:hanging="90"/>
              <w:jc w:val="left"/>
              <w:rPr>
                <w:b/>
                <w:sz w:val="24"/>
              </w:rPr>
            </w:pPr>
            <w:r>
              <w:rPr>
                <w:b/>
                <w:sz w:val="24"/>
              </w:rPr>
              <w:t>10</w:t>
            </w:r>
            <w:r>
              <w:rPr>
                <w:b/>
                <w:spacing w:val="-10"/>
                <w:sz w:val="24"/>
              </w:rPr>
              <w:t xml:space="preserve"> </w:t>
            </w:r>
            <w:r>
              <w:rPr>
                <w:b/>
                <w:sz w:val="24"/>
              </w:rPr>
              <w:t>mg</w:t>
            </w:r>
            <w:r>
              <w:rPr>
                <w:b/>
                <w:spacing w:val="80"/>
                <w:sz w:val="24"/>
              </w:rPr>
              <w:t xml:space="preserve"> </w:t>
            </w:r>
            <w:r>
              <w:rPr>
                <w:b/>
                <w:sz w:val="24"/>
              </w:rPr>
              <w:t xml:space="preserve">BD </w:t>
            </w:r>
            <w:r>
              <w:rPr>
                <w:b/>
                <w:spacing w:val="-2"/>
                <w:sz w:val="24"/>
              </w:rPr>
              <w:t>(N=1214)</w:t>
            </w:r>
          </w:p>
        </w:tc>
        <w:tc>
          <w:tcPr>
            <w:tcW w:w="1425" w:type="dxa"/>
          </w:tcPr>
          <w:p w14:paraId="61BF507D" w14:textId="77777777" w:rsidR="001825E2" w:rsidRDefault="000839A5" w:rsidP="00CB00A7">
            <w:pPr>
              <w:pStyle w:val="TableParagraph"/>
              <w:spacing w:before="1"/>
              <w:ind w:left="322"/>
              <w:jc w:val="left"/>
              <w:rPr>
                <w:b/>
                <w:sz w:val="24"/>
              </w:rPr>
            </w:pPr>
            <w:r>
              <w:rPr>
                <w:b/>
                <w:spacing w:val="-2"/>
                <w:sz w:val="24"/>
              </w:rPr>
              <w:t>Placebo</w:t>
            </w:r>
          </w:p>
          <w:p w14:paraId="037FB13E" w14:textId="77777777" w:rsidR="001825E2" w:rsidRDefault="001825E2" w:rsidP="00CB00A7">
            <w:pPr>
              <w:pStyle w:val="TableParagraph"/>
              <w:spacing w:before="107"/>
              <w:ind w:left="0"/>
              <w:jc w:val="left"/>
              <w:rPr>
                <w:b/>
                <w:sz w:val="24"/>
              </w:rPr>
            </w:pPr>
          </w:p>
          <w:p w14:paraId="54BF453B" w14:textId="77777777" w:rsidR="001825E2" w:rsidRDefault="000839A5" w:rsidP="00CB00A7">
            <w:pPr>
              <w:pStyle w:val="TableParagraph"/>
              <w:spacing w:before="1"/>
              <w:ind w:left="307"/>
              <w:jc w:val="left"/>
              <w:rPr>
                <w:b/>
                <w:sz w:val="24"/>
              </w:rPr>
            </w:pPr>
            <w:r>
              <w:rPr>
                <w:b/>
                <w:spacing w:val="-2"/>
                <w:sz w:val="24"/>
              </w:rPr>
              <w:t>(N=681)</w:t>
            </w:r>
          </w:p>
        </w:tc>
        <w:tc>
          <w:tcPr>
            <w:tcW w:w="1845" w:type="dxa"/>
          </w:tcPr>
          <w:p w14:paraId="48CFBAA1" w14:textId="77777777" w:rsidR="001825E2" w:rsidRDefault="000839A5" w:rsidP="00CB00A7">
            <w:pPr>
              <w:pStyle w:val="TableParagraph"/>
              <w:spacing w:before="1" w:line="288" w:lineRule="auto"/>
              <w:ind w:right="117" w:firstLine="5"/>
              <w:jc w:val="left"/>
              <w:rPr>
                <w:b/>
                <w:sz w:val="24"/>
              </w:rPr>
            </w:pPr>
            <w:r>
              <w:rPr>
                <w:b/>
                <w:spacing w:val="-2"/>
                <w:sz w:val="24"/>
              </w:rPr>
              <w:t>Adalimumab</w:t>
            </w:r>
            <w:r>
              <w:rPr>
                <w:b/>
                <w:spacing w:val="40"/>
                <w:sz w:val="24"/>
              </w:rPr>
              <w:t xml:space="preserve"> </w:t>
            </w:r>
            <w:r>
              <w:rPr>
                <w:b/>
                <w:sz w:val="24"/>
              </w:rPr>
              <w:t>40</w:t>
            </w:r>
            <w:r>
              <w:rPr>
                <w:b/>
                <w:spacing w:val="-8"/>
                <w:sz w:val="24"/>
              </w:rPr>
              <w:t xml:space="preserve"> </w:t>
            </w:r>
            <w:r>
              <w:rPr>
                <w:b/>
                <w:sz w:val="24"/>
              </w:rPr>
              <w:t>mg</w:t>
            </w:r>
            <w:r>
              <w:rPr>
                <w:b/>
                <w:spacing w:val="40"/>
                <w:sz w:val="24"/>
              </w:rPr>
              <w:t xml:space="preserve"> </w:t>
            </w:r>
            <w:r>
              <w:rPr>
                <w:b/>
                <w:sz w:val="24"/>
              </w:rPr>
              <w:t>SC</w:t>
            </w:r>
            <w:r>
              <w:rPr>
                <w:b/>
                <w:spacing w:val="40"/>
                <w:sz w:val="24"/>
              </w:rPr>
              <w:t xml:space="preserve"> </w:t>
            </w:r>
            <w:r>
              <w:rPr>
                <w:b/>
                <w:sz w:val="24"/>
              </w:rPr>
              <w:t>q2w</w:t>
            </w:r>
          </w:p>
          <w:p w14:paraId="6437964A" w14:textId="77777777" w:rsidR="001825E2" w:rsidRDefault="000839A5" w:rsidP="00CB00A7">
            <w:pPr>
              <w:pStyle w:val="TableParagraph"/>
              <w:spacing w:line="274" w:lineRule="exact"/>
              <w:ind w:left="20" w:right="16"/>
              <w:jc w:val="left"/>
              <w:rPr>
                <w:b/>
                <w:sz w:val="24"/>
              </w:rPr>
            </w:pPr>
            <w:r>
              <w:rPr>
                <w:b/>
                <w:spacing w:val="-2"/>
                <w:sz w:val="24"/>
              </w:rPr>
              <w:t>(N=204)</w:t>
            </w:r>
          </w:p>
        </w:tc>
      </w:tr>
      <w:tr w:rsidR="001825E2" w14:paraId="55A93F48" w14:textId="77777777">
        <w:trPr>
          <w:trHeight w:val="390"/>
        </w:trPr>
        <w:tc>
          <w:tcPr>
            <w:tcW w:w="2805" w:type="dxa"/>
          </w:tcPr>
          <w:p w14:paraId="294CC249" w14:textId="77777777" w:rsidR="001825E2" w:rsidRDefault="000839A5" w:rsidP="00CB00A7">
            <w:pPr>
              <w:pStyle w:val="TableParagraph"/>
              <w:spacing w:before="61"/>
              <w:jc w:val="left"/>
              <w:rPr>
                <w:sz w:val="24"/>
              </w:rPr>
            </w:pPr>
            <w:r>
              <w:rPr>
                <w:sz w:val="24"/>
              </w:rPr>
              <w:t>Weight</w:t>
            </w:r>
            <w:r>
              <w:rPr>
                <w:spacing w:val="-3"/>
                <w:sz w:val="24"/>
              </w:rPr>
              <w:t xml:space="preserve"> </w:t>
            </w:r>
            <w:r>
              <w:rPr>
                <w:spacing w:val="-2"/>
                <w:sz w:val="24"/>
              </w:rPr>
              <w:t>increased</w:t>
            </w:r>
          </w:p>
        </w:tc>
        <w:tc>
          <w:tcPr>
            <w:tcW w:w="1560" w:type="dxa"/>
          </w:tcPr>
          <w:p w14:paraId="00C64436" w14:textId="77777777" w:rsidR="001825E2" w:rsidRDefault="000839A5" w:rsidP="00CB00A7">
            <w:pPr>
              <w:pStyle w:val="TableParagraph"/>
              <w:spacing w:before="61"/>
              <w:ind w:left="60" w:right="25"/>
              <w:jc w:val="left"/>
              <w:rPr>
                <w:sz w:val="24"/>
              </w:rPr>
            </w:pPr>
            <w:r>
              <w:rPr>
                <w:sz w:val="24"/>
              </w:rPr>
              <w:t xml:space="preserve">11 </w:t>
            </w:r>
            <w:r>
              <w:rPr>
                <w:spacing w:val="-2"/>
                <w:sz w:val="24"/>
              </w:rPr>
              <w:t>(0.9)</w:t>
            </w:r>
          </w:p>
        </w:tc>
        <w:tc>
          <w:tcPr>
            <w:tcW w:w="1545" w:type="dxa"/>
          </w:tcPr>
          <w:p w14:paraId="51338F5A" w14:textId="77777777" w:rsidR="001825E2" w:rsidRDefault="000839A5" w:rsidP="00CB00A7">
            <w:pPr>
              <w:pStyle w:val="TableParagraph"/>
              <w:spacing w:before="61"/>
              <w:ind w:left="50"/>
              <w:jc w:val="left"/>
              <w:rPr>
                <w:sz w:val="24"/>
              </w:rPr>
            </w:pPr>
            <w:r>
              <w:rPr>
                <w:sz w:val="24"/>
              </w:rPr>
              <w:t xml:space="preserve">13 </w:t>
            </w:r>
            <w:r>
              <w:rPr>
                <w:spacing w:val="-2"/>
                <w:sz w:val="24"/>
              </w:rPr>
              <w:t>(1.1)</w:t>
            </w:r>
          </w:p>
        </w:tc>
        <w:tc>
          <w:tcPr>
            <w:tcW w:w="1425" w:type="dxa"/>
          </w:tcPr>
          <w:p w14:paraId="420F5154" w14:textId="77777777" w:rsidR="001825E2" w:rsidRDefault="000839A5" w:rsidP="00CB00A7">
            <w:pPr>
              <w:pStyle w:val="TableParagraph"/>
              <w:spacing w:before="61"/>
              <w:ind w:left="0" w:right="360"/>
              <w:jc w:val="left"/>
              <w:rPr>
                <w:sz w:val="24"/>
              </w:rPr>
            </w:pPr>
            <w:r>
              <w:rPr>
                <w:sz w:val="24"/>
              </w:rPr>
              <w:t xml:space="preserve">4 </w:t>
            </w:r>
            <w:r>
              <w:rPr>
                <w:spacing w:val="-2"/>
                <w:sz w:val="24"/>
              </w:rPr>
              <w:t>(0.6)</w:t>
            </w:r>
          </w:p>
        </w:tc>
        <w:tc>
          <w:tcPr>
            <w:tcW w:w="1845" w:type="dxa"/>
          </w:tcPr>
          <w:p w14:paraId="60AFDC74" w14:textId="77777777" w:rsidR="001825E2" w:rsidRDefault="000839A5" w:rsidP="00CB00A7">
            <w:pPr>
              <w:pStyle w:val="TableParagraph"/>
              <w:spacing w:before="61"/>
              <w:ind w:left="24" w:right="5"/>
              <w:jc w:val="left"/>
              <w:rPr>
                <w:sz w:val="24"/>
              </w:rPr>
            </w:pPr>
            <w:r>
              <w:rPr>
                <w:sz w:val="24"/>
              </w:rPr>
              <w:t xml:space="preserve">2 </w:t>
            </w:r>
            <w:r>
              <w:rPr>
                <w:spacing w:val="-2"/>
                <w:sz w:val="24"/>
              </w:rPr>
              <w:t>(1.0)</w:t>
            </w:r>
          </w:p>
        </w:tc>
      </w:tr>
      <w:tr w:rsidR="001825E2" w14:paraId="2CF8E3F2" w14:textId="77777777">
        <w:trPr>
          <w:trHeight w:val="390"/>
        </w:trPr>
        <w:tc>
          <w:tcPr>
            <w:tcW w:w="9180" w:type="dxa"/>
            <w:gridSpan w:val="5"/>
          </w:tcPr>
          <w:p w14:paraId="58ED91A2" w14:textId="77777777" w:rsidR="001825E2" w:rsidRDefault="000839A5" w:rsidP="00CB00A7">
            <w:pPr>
              <w:pStyle w:val="TableParagraph"/>
              <w:spacing w:before="61"/>
              <w:jc w:val="left"/>
              <w:rPr>
                <w:b/>
                <w:sz w:val="24"/>
              </w:rPr>
            </w:pPr>
            <w:r>
              <w:rPr>
                <w:b/>
                <w:sz w:val="24"/>
              </w:rPr>
              <w:t>Injury,</w:t>
            </w:r>
            <w:r>
              <w:rPr>
                <w:b/>
                <w:spacing w:val="-6"/>
                <w:sz w:val="24"/>
              </w:rPr>
              <w:t xml:space="preserve"> </w:t>
            </w:r>
            <w:r>
              <w:rPr>
                <w:b/>
                <w:sz w:val="24"/>
              </w:rPr>
              <w:t>Poisoning</w:t>
            </w:r>
            <w:r>
              <w:rPr>
                <w:b/>
                <w:spacing w:val="7"/>
                <w:sz w:val="24"/>
              </w:rPr>
              <w:t xml:space="preserve"> </w:t>
            </w:r>
            <w:r>
              <w:rPr>
                <w:b/>
                <w:sz w:val="24"/>
              </w:rPr>
              <w:t>and</w:t>
            </w:r>
            <w:r>
              <w:rPr>
                <w:b/>
                <w:spacing w:val="-4"/>
                <w:sz w:val="24"/>
              </w:rPr>
              <w:t xml:space="preserve"> </w:t>
            </w:r>
            <w:r>
              <w:rPr>
                <w:b/>
                <w:sz w:val="24"/>
              </w:rPr>
              <w:t>Procedural</w:t>
            </w:r>
            <w:r>
              <w:rPr>
                <w:b/>
                <w:spacing w:val="-12"/>
                <w:sz w:val="24"/>
              </w:rPr>
              <w:t xml:space="preserve"> </w:t>
            </w:r>
            <w:r>
              <w:rPr>
                <w:b/>
                <w:spacing w:val="-2"/>
                <w:sz w:val="24"/>
              </w:rPr>
              <w:t>Complications</w:t>
            </w:r>
          </w:p>
        </w:tc>
      </w:tr>
      <w:tr w:rsidR="001825E2" w14:paraId="6B46DC67" w14:textId="77777777">
        <w:trPr>
          <w:trHeight w:val="390"/>
        </w:trPr>
        <w:tc>
          <w:tcPr>
            <w:tcW w:w="2805" w:type="dxa"/>
          </w:tcPr>
          <w:p w14:paraId="634D8A90" w14:textId="77777777" w:rsidR="001825E2" w:rsidRDefault="000839A5" w:rsidP="00CB00A7">
            <w:pPr>
              <w:pStyle w:val="TableParagraph"/>
              <w:spacing w:before="61"/>
              <w:jc w:val="left"/>
              <w:rPr>
                <w:sz w:val="24"/>
              </w:rPr>
            </w:pPr>
            <w:r>
              <w:rPr>
                <w:spacing w:val="-4"/>
                <w:sz w:val="24"/>
              </w:rPr>
              <w:t>Fall</w:t>
            </w:r>
          </w:p>
        </w:tc>
        <w:tc>
          <w:tcPr>
            <w:tcW w:w="1560" w:type="dxa"/>
          </w:tcPr>
          <w:p w14:paraId="30C99360" w14:textId="77777777" w:rsidR="001825E2" w:rsidRDefault="000839A5" w:rsidP="00CB00A7">
            <w:pPr>
              <w:pStyle w:val="TableParagraph"/>
              <w:spacing w:before="61"/>
              <w:ind w:left="60" w:right="25"/>
              <w:jc w:val="left"/>
              <w:rPr>
                <w:sz w:val="24"/>
              </w:rPr>
            </w:pPr>
            <w:r>
              <w:rPr>
                <w:sz w:val="24"/>
              </w:rPr>
              <w:t xml:space="preserve">7 </w:t>
            </w:r>
            <w:r>
              <w:rPr>
                <w:spacing w:val="-2"/>
                <w:sz w:val="24"/>
              </w:rPr>
              <w:t>(0.6)</w:t>
            </w:r>
          </w:p>
        </w:tc>
        <w:tc>
          <w:tcPr>
            <w:tcW w:w="1545" w:type="dxa"/>
          </w:tcPr>
          <w:p w14:paraId="40279447" w14:textId="77777777" w:rsidR="001825E2" w:rsidRDefault="000839A5" w:rsidP="00CB00A7">
            <w:pPr>
              <w:pStyle w:val="TableParagraph"/>
              <w:spacing w:before="61"/>
              <w:ind w:left="50"/>
              <w:jc w:val="left"/>
              <w:rPr>
                <w:sz w:val="24"/>
              </w:rPr>
            </w:pPr>
            <w:r>
              <w:rPr>
                <w:sz w:val="24"/>
              </w:rPr>
              <w:t xml:space="preserve">13 </w:t>
            </w:r>
            <w:r>
              <w:rPr>
                <w:spacing w:val="-2"/>
                <w:sz w:val="24"/>
              </w:rPr>
              <w:t>(1.1)</w:t>
            </w:r>
          </w:p>
        </w:tc>
        <w:tc>
          <w:tcPr>
            <w:tcW w:w="1425" w:type="dxa"/>
          </w:tcPr>
          <w:p w14:paraId="49704FCB" w14:textId="77777777" w:rsidR="001825E2" w:rsidRDefault="000839A5" w:rsidP="00CB00A7">
            <w:pPr>
              <w:pStyle w:val="TableParagraph"/>
              <w:spacing w:before="61"/>
              <w:ind w:left="0" w:right="360"/>
              <w:jc w:val="left"/>
              <w:rPr>
                <w:sz w:val="24"/>
              </w:rPr>
            </w:pPr>
            <w:r>
              <w:rPr>
                <w:sz w:val="24"/>
              </w:rPr>
              <w:t xml:space="preserve">4 </w:t>
            </w:r>
            <w:r>
              <w:rPr>
                <w:spacing w:val="-2"/>
                <w:sz w:val="24"/>
              </w:rPr>
              <w:t>(0.6)</w:t>
            </w:r>
          </w:p>
        </w:tc>
        <w:tc>
          <w:tcPr>
            <w:tcW w:w="1845" w:type="dxa"/>
          </w:tcPr>
          <w:p w14:paraId="74B1FD14" w14:textId="77777777" w:rsidR="001825E2" w:rsidRDefault="000839A5" w:rsidP="00CB00A7">
            <w:pPr>
              <w:pStyle w:val="TableParagraph"/>
              <w:spacing w:before="61"/>
              <w:ind w:left="24" w:right="5"/>
              <w:jc w:val="left"/>
              <w:rPr>
                <w:sz w:val="24"/>
              </w:rPr>
            </w:pPr>
            <w:r>
              <w:rPr>
                <w:sz w:val="24"/>
              </w:rPr>
              <w:t xml:space="preserve">1 </w:t>
            </w:r>
            <w:r>
              <w:rPr>
                <w:spacing w:val="-2"/>
                <w:sz w:val="24"/>
              </w:rPr>
              <w:t>(0.5)</w:t>
            </w:r>
          </w:p>
        </w:tc>
      </w:tr>
    </w:tbl>
    <w:p w14:paraId="18824A3D" w14:textId="77777777" w:rsidR="001825E2" w:rsidRDefault="000839A5" w:rsidP="00CB00A7">
      <w:pPr>
        <w:spacing w:before="18"/>
        <w:ind w:left="220"/>
        <w:rPr>
          <w:sz w:val="19"/>
        </w:rPr>
      </w:pPr>
      <w:r>
        <w:rPr>
          <w:sz w:val="19"/>
        </w:rPr>
        <w:t>Abbreviations:</w:t>
      </w:r>
      <w:r>
        <w:rPr>
          <w:spacing w:val="26"/>
          <w:sz w:val="19"/>
        </w:rPr>
        <w:t xml:space="preserve"> </w:t>
      </w:r>
      <w:r>
        <w:rPr>
          <w:sz w:val="19"/>
        </w:rPr>
        <w:t>BD=twice</w:t>
      </w:r>
      <w:r>
        <w:rPr>
          <w:spacing w:val="65"/>
          <w:sz w:val="19"/>
        </w:rPr>
        <w:t xml:space="preserve"> </w:t>
      </w:r>
      <w:r>
        <w:rPr>
          <w:sz w:val="19"/>
        </w:rPr>
        <w:t>daily;</w:t>
      </w:r>
      <w:r>
        <w:rPr>
          <w:spacing w:val="27"/>
          <w:sz w:val="19"/>
        </w:rPr>
        <w:t xml:space="preserve"> </w:t>
      </w:r>
      <w:r>
        <w:rPr>
          <w:sz w:val="19"/>
        </w:rPr>
        <w:t>SC</w:t>
      </w:r>
      <w:r>
        <w:rPr>
          <w:spacing w:val="24"/>
          <w:sz w:val="19"/>
        </w:rPr>
        <w:t xml:space="preserve"> </w:t>
      </w:r>
      <w:r>
        <w:rPr>
          <w:sz w:val="19"/>
        </w:rPr>
        <w:t>q2w</w:t>
      </w:r>
      <w:r>
        <w:rPr>
          <w:spacing w:val="31"/>
          <w:sz w:val="19"/>
        </w:rPr>
        <w:t xml:space="preserve"> </w:t>
      </w:r>
      <w:r>
        <w:rPr>
          <w:sz w:val="19"/>
        </w:rPr>
        <w:t>=</w:t>
      </w:r>
      <w:r>
        <w:rPr>
          <w:spacing w:val="10"/>
          <w:sz w:val="19"/>
        </w:rPr>
        <w:t xml:space="preserve"> </w:t>
      </w:r>
      <w:r>
        <w:rPr>
          <w:sz w:val="19"/>
        </w:rPr>
        <w:t>subcutaneously</w:t>
      </w:r>
      <w:r>
        <w:rPr>
          <w:spacing w:val="7"/>
          <w:sz w:val="19"/>
        </w:rPr>
        <w:t xml:space="preserve"> </w:t>
      </w:r>
      <w:r>
        <w:rPr>
          <w:sz w:val="19"/>
        </w:rPr>
        <w:t>once every</w:t>
      </w:r>
      <w:r>
        <w:rPr>
          <w:spacing w:val="8"/>
          <w:sz w:val="19"/>
        </w:rPr>
        <w:t xml:space="preserve"> </w:t>
      </w:r>
      <w:r>
        <w:rPr>
          <w:sz w:val="19"/>
        </w:rPr>
        <w:t>2</w:t>
      </w:r>
      <w:r>
        <w:rPr>
          <w:spacing w:val="29"/>
          <w:sz w:val="19"/>
        </w:rPr>
        <w:t xml:space="preserve"> </w:t>
      </w:r>
      <w:r>
        <w:rPr>
          <w:spacing w:val="-2"/>
          <w:sz w:val="19"/>
        </w:rPr>
        <w:t>weeks.</w:t>
      </w:r>
    </w:p>
    <w:p w14:paraId="5966D283" w14:textId="77777777" w:rsidR="001825E2" w:rsidRDefault="001825E2" w:rsidP="00CB00A7">
      <w:pPr>
        <w:pStyle w:val="BodyText"/>
        <w:spacing w:before="26"/>
        <w:jc w:val="left"/>
        <w:rPr>
          <w:sz w:val="19"/>
        </w:rPr>
      </w:pPr>
    </w:p>
    <w:p w14:paraId="58A6C8F3" w14:textId="77777777" w:rsidR="001825E2" w:rsidRDefault="000839A5" w:rsidP="00CB00A7">
      <w:pPr>
        <w:spacing w:before="1"/>
        <w:ind w:left="220"/>
        <w:rPr>
          <w:i/>
          <w:sz w:val="24"/>
        </w:rPr>
      </w:pPr>
      <w:r>
        <w:rPr>
          <w:i/>
          <w:sz w:val="24"/>
          <w:u w:val="single"/>
        </w:rPr>
        <w:t xml:space="preserve">Psoriatic </w:t>
      </w:r>
      <w:r>
        <w:rPr>
          <w:i/>
          <w:spacing w:val="-2"/>
          <w:sz w:val="24"/>
          <w:u w:val="single"/>
        </w:rPr>
        <w:t>Arthritis</w:t>
      </w:r>
    </w:p>
    <w:p w14:paraId="1177F88F" w14:textId="77777777" w:rsidR="001825E2" w:rsidRDefault="000839A5" w:rsidP="00CB00A7">
      <w:pPr>
        <w:pStyle w:val="BodyText"/>
        <w:spacing w:before="114" w:line="242" w:lineRule="auto"/>
        <w:ind w:left="219" w:right="211"/>
        <w:jc w:val="left"/>
      </w:pPr>
      <w:r>
        <w:t xml:space="preserve">In active PsA, the </w:t>
      </w:r>
      <w:proofErr w:type="gramStart"/>
      <w:r>
        <w:t>most commonly reported</w:t>
      </w:r>
      <w:proofErr w:type="gramEnd"/>
      <w:r>
        <w:t xml:space="preserve"> adverse reactions during the first 12</w:t>
      </w:r>
      <w:r>
        <w:rPr>
          <w:spacing w:val="-1"/>
        </w:rPr>
        <w:t xml:space="preserve"> </w:t>
      </w:r>
      <w:r>
        <w:t>weeks in placebo-controlled clinical</w:t>
      </w:r>
      <w:r>
        <w:rPr>
          <w:spacing w:val="-9"/>
        </w:rPr>
        <w:t xml:space="preserve"> </w:t>
      </w:r>
      <w:r>
        <w:t>trials</w:t>
      </w:r>
      <w:r>
        <w:rPr>
          <w:spacing w:val="-7"/>
        </w:rPr>
        <w:t xml:space="preserve"> </w:t>
      </w:r>
      <w:r>
        <w:t>(occurring in</w:t>
      </w:r>
      <w:r>
        <w:rPr>
          <w:spacing w:val="-3"/>
        </w:rPr>
        <w:t xml:space="preserve"> </w:t>
      </w:r>
      <w:r>
        <w:t>≥</w:t>
      </w:r>
      <w:r>
        <w:rPr>
          <w:spacing w:val="-13"/>
        </w:rPr>
        <w:t xml:space="preserve"> </w:t>
      </w:r>
      <w:r>
        <w:t>2%</w:t>
      </w:r>
      <w:r>
        <w:rPr>
          <w:spacing w:val="-7"/>
        </w:rPr>
        <w:t xml:space="preserve"> </w:t>
      </w:r>
      <w:r>
        <w:t>of patients</w:t>
      </w:r>
      <w:r>
        <w:rPr>
          <w:spacing w:val="-7"/>
        </w:rPr>
        <w:t xml:space="preserve"> </w:t>
      </w:r>
      <w:r>
        <w:t>treated with</w:t>
      </w:r>
      <w:r>
        <w:rPr>
          <w:spacing w:val="-15"/>
        </w:rPr>
        <w:t xml:space="preserve"> </w:t>
      </w:r>
      <w:r>
        <w:t xml:space="preserve">XELJANZ and at least 1% greater than the rate observed in patients on placebo) were bronchitis, </w:t>
      </w:r>
      <w:proofErr w:type="spellStart"/>
      <w:r>
        <w:t>diarrhoea</w:t>
      </w:r>
      <w:proofErr w:type="spellEnd"/>
      <w:r>
        <w:t>, dyspepsia, fatigue, headache, nasopharyngitis, pharyngitis.</w:t>
      </w:r>
    </w:p>
    <w:p w14:paraId="4287371A" w14:textId="77777777" w:rsidR="001825E2" w:rsidRDefault="000839A5" w:rsidP="00CB00A7">
      <w:pPr>
        <w:pStyle w:val="BodyText"/>
        <w:spacing w:before="235"/>
        <w:ind w:left="219" w:right="200"/>
        <w:jc w:val="left"/>
      </w:pPr>
      <w:r>
        <w:t>The proportion of</w:t>
      </w:r>
      <w:r>
        <w:rPr>
          <w:spacing w:val="38"/>
        </w:rPr>
        <w:t xml:space="preserve"> </w:t>
      </w:r>
      <w:r>
        <w:t>patients who discontinued treatment due to any adverse reactions during the first 12 weeks of the double-blind placebo-controlled studies was 3.2% for XELJANZ treated patients and 2.5% for placebo-treated patients. The most common infection resulting</w:t>
      </w:r>
      <w:r>
        <w:rPr>
          <w:spacing w:val="40"/>
        </w:rPr>
        <w:t xml:space="preserve"> </w:t>
      </w:r>
      <w:r>
        <w:t>in discontinuation of therapy was sinusitis.</w:t>
      </w:r>
    </w:p>
    <w:p w14:paraId="5859C047" w14:textId="77777777" w:rsidR="001825E2" w:rsidRDefault="000839A5" w:rsidP="00CB00A7">
      <w:pPr>
        <w:pStyle w:val="BodyText"/>
        <w:spacing w:before="250" w:line="235" w:lineRule="auto"/>
        <w:ind w:left="219" w:right="200"/>
        <w:jc w:val="left"/>
      </w:pPr>
      <w:r>
        <w:t>Overall, the safety profile observed in patients with active PsA treated with XELJANZ was consistent with the safety profile in patients with RA.</w:t>
      </w:r>
    </w:p>
    <w:p w14:paraId="063249D9" w14:textId="77777777" w:rsidR="001825E2" w:rsidRDefault="000839A5" w:rsidP="00CB00A7">
      <w:pPr>
        <w:spacing w:before="235"/>
        <w:ind w:left="220"/>
        <w:rPr>
          <w:i/>
          <w:sz w:val="24"/>
        </w:rPr>
      </w:pPr>
      <w:r>
        <w:rPr>
          <w:i/>
          <w:sz w:val="24"/>
          <w:u w:val="single"/>
        </w:rPr>
        <w:t>Ankylosing</w:t>
      </w:r>
      <w:r>
        <w:rPr>
          <w:i/>
          <w:spacing w:val="-4"/>
          <w:sz w:val="24"/>
          <w:u w:val="single"/>
        </w:rPr>
        <w:t xml:space="preserve"> </w:t>
      </w:r>
      <w:r>
        <w:rPr>
          <w:i/>
          <w:spacing w:val="-2"/>
          <w:sz w:val="24"/>
          <w:u w:val="single"/>
        </w:rPr>
        <w:t>Spondylitis</w:t>
      </w:r>
    </w:p>
    <w:p w14:paraId="5247CC71" w14:textId="77777777" w:rsidR="001825E2" w:rsidRDefault="000839A5" w:rsidP="00CB00A7">
      <w:pPr>
        <w:pStyle w:val="BodyText"/>
        <w:spacing w:before="129"/>
        <w:ind w:left="219" w:right="201"/>
        <w:jc w:val="left"/>
      </w:pPr>
      <w:r>
        <w:t>In active AS,</w:t>
      </w:r>
      <w:r>
        <w:rPr>
          <w:spacing w:val="-3"/>
        </w:rPr>
        <w:t xml:space="preserve"> </w:t>
      </w:r>
      <w:r>
        <w:t xml:space="preserve">the </w:t>
      </w:r>
      <w:proofErr w:type="gramStart"/>
      <w:r>
        <w:t>most commonly reported</w:t>
      </w:r>
      <w:proofErr w:type="gramEnd"/>
      <w:r>
        <w:t xml:space="preserve"> adverse reactions during the</w:t>
      </w:r>
      <w:r>
        <w:rPr>
          <w:spacing w:val="-5"/>
        </w:rPr>
        <w:t xml:space="preserve"> </w:t>
      </w:r>
      <w:r>
        <w:t>first 16 weeks in the controlled clinical</w:t>
      </w:r>
      <w:r>
        <w:rPr>
          <w:spacing w:val="-11"/>
        </w:rPr>
        <w:t xml:space="preserve"> </w:t>
      </w:r>
      <w:r>
        <w:t>trials (occurring in</w:t>
      </w:r>
      <w:r>
        <w:rPr>
          <w:spacing w:val="-4"/>
        </w:rPr>
        <w:t xml:space="preserve"> </w:t>
      </w:r>
      <w:r>
        <w:t>≥2%</w:t>
      </w:r>
      <w:r>
        <w:rPr>
          <w:spacing w:val="-9"/>
        </w:rPr>
        <w:t xml:space="preserve"> </w:t>
      </w:r>
      <w:r>
        <w:t>of patients</w:t>
      </w:r>
      <w:r>
        <w:rPr>
          <w:spacing w:val="-8"/>
        </w:rPr>
        <w:t xml:space="preserve"> </w:t>
      </w:r>
      <w:r>
        <w:t>treated with</w:t>
      </w:r>
      <w:r>
        <w:rPr>
          <w:spacing w:val="-15"/>
        </w:rPr>
        <w:t xml:space="preserve"> </w:t>
      </w:r>
      <w:r>
        <w:t>XELJANZ</w:t>
      </w:r>
      <w:r>
        <w:rPr>
          <w:spacing w:val="-1"/>
        </w:rPr>
        <w:t xml:space="preserve"> </w:t>
      </w:r>
      <w:r>
        <w:t>and at least 1% greater than the rate observed in patients on placebo) were upper respiratory tract infection, influenza and fatigue.</w:t>
      </w:r>
    </w:p>
    <w:p w14:paraId="277AF740" w14:textId="77777777" w:rsidR="001825E2" w:rsidRDefault="000839A5" w:rsidP="00CB00A7">
      <w:pPr>
        <w:spacing w:before="231"/>
        <w:ind w:left="220"/>
        <w:rPr>
          <w:i/>
          <w:sz w:val="24"/>
        </w:rPr>
      </w:pPr>
      <w:r>
        <w:rPr>
          <w:i/>
          <w:sz w:val="24"/>
          <w:u w:val="single"/>
        </w:rPr>
        <w:t>Ulcerative</w:t>
      </w:r>
      <w:r>
        <w:rPr>
          <w:i/>
          <w:spacing w:val="1"/>
          <w:sz w:val="24"/>
          <w:u w:val="single"/>
        </w:rPr>
        <w:t xml:space="preserve"> </w:t>
      </w:r>
      <w:r>
        <w:rPr>
          <w:i/>
          <w:spacing w:val="-2"/>
          <w:sz w:val="24"/>
          <w:u w:val="single"/>
        </w:rPr>
        <w:t>Colitis</w:t>
      </w:r>
    </w:p>
    <w:p w14:paraId="336C10D1" w14:textId="77777777" w:rsidR="001825E2" w:rsidRDefault="000839A5" w:rsidP="00CB00A7">
      <w:pPr>
        <w:pStyle w:val="BodyText"/>
        <w:spacing w:before="129"/>
        <w:ind w:left="218" w:right="217" w:firstLine="1"/>
        <w:jc w:val="left"/>
      </w:pPr>
      <w:r>
        <w:t>The adverse reactions that occurred in at least 2% of patients receiving XELJANZ 10</w:t>
      </w:r>
      <w:r>
        <w:rPr>
          <w:spacing w:val="-2"/>
        </w:rPr>
        <w:t xml:space="preserve"> </w:t>
      </w:r>
      <w:r>
        <w:t>mg twice daily and at least 1% greater than that observed in patients receiving placebo in the induction studies (Study</w:t>
      </w:r>
      <w:r>
        <w:rPr>
          <w:spacing w:val="-5"/>
        </w:rPr>
        <w:t xml:space="preserve"> </w:t>
      </w:r>
      <w:r>
        <w:t>UC-I, Study</w:t>
      </w:r>
      <w:r>
        <w:rPr>
          <w:spacing w:val="-5"/>
        </w:rPr>
        <w:t xml:space="preserve"> </w:t>
      </w:r>
      <w:r>
        <w:t>UC-II,</w:t>
      </w:r>
      <w:r>
        <w:rPr>
          <w:spacing w:val="-6"/>
        </w:rPr>
        <w:t xml:space="preserve"> </w:t>
      </w:r>
      <w:r>
        <w:t>and Study</w:t>
      </w:r>
      <w:r>
        <w:rPr>
          <w:spacing w:val="-5"/>
        </w:rPr>
        <w:t xml:space="preserve"> </w:t>
      </w:r>
      <w:r>
        <w:t>UC-V)</w:t>
      </w:r>
      <w:r>
        <w:rPr>
          <w:spacing w:val="-10"/>
        </w:rPr>
        <w:t xml:space="preserve"> </w:t>
      </w:r>
      <w:r>
        <w:t>were increased blood creatine phosphokinase, nasopharyngitis,</w:t>
      </w:r>
      <w:r>
        <w:rPr>
          <w:spacing w:val="40"/>
        </w:rPr>
        <w:t xml:space="preserve"> </w:t>
      </w:r>
      <w:r>
        <w:t>pyrexia, and headache.</w:t>
      </w:r>
    </w:p>
    <w:p w14:paraId="53CDEF1A" w14:textId="77777777" w:rsidR="001825E2" w:rsidRDefault="000839A5" w:rsidP="00CB00A7">
      <w:pPr>
        <w:pStyle w:val="BodyText"/>
        <w:spacing w:before="231" w:line="242" w:lineRule="auto"/>
        <w:ind w:left="218" w:right="203"/>
        <w:jc w:val="left"/>
      </w:pPr>
      <w:r>
        <w:t>In induction and maintenance studies, across all treatment groups, the most common categories of serious adverse reactions were gastrointestinal disorders and infections, and the most common serious</w:t>
      </w:r>
      <w:r>
        <w:rPr>
          <w:spacing w:val="40"/>
        </w:rPr>
        <w:t xml:space="preserve"> </w:t>
      </w:r>
      <w:r>
        <w:t>adverse</w:t>
      </w:r>
      <w:r>
        <w:rPr>
          <w:spacing w:val="-9"/>
        </w:rPr>
        <w:t xml:space="preserve"> </w:t>
      </w:r>
      <w:r>
        <w:t>reaction was worsening of UC.</w:t>
      </w:r>
    </w:p>
    <w:p w14:paraId="1E5A95BC" w14:textId="77777777" w:rsidR="001825E2" w:rsidRDefault="000839A5" w:rsidP="00CB00A7">
      <w:pPr>
        <w:pStyle w:val="BodyText"/>
        <w:spacing w:before="244"/>
        <w:ind w:left="219" w:right="219"/>
        <w:jc w:val="left"/>
      </w:pPr>
      <w:r>
        <w:t>In the controlled clinical studies for UC, 1 case of breast cancer was reported in a placebo- treated</w:t>
      </w:r>
      <w:r>
        <w:rPr>
          <w:spacing w:val="80"/>
        </w:rPr>
        <w:t xml:space="preserve"> </w:t>
      </w:r>
      <w:r>
        <w:t>patient</w:t>
      </w:r>
      <w:r>
        <w:rPr>
          <w:spacing w:val="80"/>
        </w:rPr>
        <w:t xml:space="preserve"> </w:t>
      </w:r>
      <w:r>
        <w:t>and</w:t>
      </w:r>
      <w:r>
        <w:rPr>
          <w:spacing w:val="80"/>
        </w:rPr>
        <w:t xml:space="preserve"> </w:t>
      </w:r>
      <w:r>
        <w:t>no</w:t>
      </w:r>
      <w:r>
        <w:rPr>
          <w:spacing w:val="80"/>
        </w:rPr>
        <w:t xml:space="preserve"> </w:t>
      </w:r>
      <w:r>
        <w:t>cases</w:t>
      </w:r>
      <w:r>
        <w:rPr>
          <w:spacing w:val="80"/>
        </w:rPr>
        <w:t xml:space="preserve"> </w:t>
      </w:r>
      <w:r>
        <w:t>of</w:t>
      </w:r>
      <w:r>
        <w:rPr>
          <w:spacing w:val="80"/>
        </w:rPr>
        <w:t xml:space="preserve"> </w:t>
      </w:r>
      <w:r>
        <w:t>solid</w:t>
      </w:r>
      <w:r>
        <w:rPr>
          <w:spacing w:val="80"/>
        </w:rPr>
        <w:t xml:space="preserve"> </w:t>
      </w:r>
      <w:r>
        <w:t>cancers</w:t>
      </w:r>
      <w:r>
        <w:rPr>
          <w:spacing w:val="80"/>
        </w:rPr>
        <w:t xml:space="preserve"> </w:t>
      </w:r>
      <w:r>
        <w:t>or</w:t>
      </w:r>
      <w:r>
        <w:rPr>
          <w:spacing w:val="40"/>
        </w:rPr>
        <w:t xml:space="preserve"> </w:t>
      </w:r>
      <w:r>
        <w:t>lymphoma</w:t>
      </w:r>
      <w:r>
        <w:rPr>
          <w:spacing w:val="80"/>
        </w:rPr>
        <w:t xml:space="preserve"> </w:t>
      </w:r>
      <w:r>
        <w:t>were</w:t>
      </w:r>
      <w:r>
        <w:rPr>
          <w:spacing w:val="80"/>
        </w:rPr>
        <w:t xml:space="preserve"> </w:t>
      </w:r>
      <w:r>
        <w:t>observed</w:t>
      </w:r>
      <w:r>
        <w:rPr>
          <w:spacing w:val="80"/>
        </w:rPr>
        <w:t xml:space="preserve"> </w:t>
      </w:r>
      <w:r>
        <w:t>in XELJANZ-treated patients.</w:t>
      </w:r>
      <w:r>
        <w:rPr>
          <w:spacing w:val="-3"/>
        </w:rPr>
        <w:t xml:space="preserve"> </w:t>
      </w:r>
      <w:r>
        <w:t>Malignancies</w:t>
      </w:r>
      <w:r>
        <w:rPr>
          <w:spacing w:val="-7"/>
        </w:rPr>
        <w:t xml:space="preserve"> </w:t>
      </w:r>
      <w:r>
        <w:t>have</w:t>
      </w:r>
      <w:r>
        <w:rPr>
          <w:spacing w:val="-5"/>
        </w:rPr>
        <w:t xml:space="preserve"> </w:t>
      </w:r>
      <w:r>
        <w:t>also</w:t>
      </w:r>
      <w:r>
        <w:rPr>
          <w:spacing w:val="-3"/>
        </w:rPr>
        <w:t xml:space="preserve"> </w:t>
      </w:r>
      <w:r>
        <w:t>been</w:t>
      </w:r>
      <w:r>
        <w:rPr>
          <w:spacing w:val="-3"/>
        </w:rPr>
        <w:t xml:space="preserve"> </w:t>
      </w:r>
      <w:r>
        <w:t>observed in</w:t>
      </w:r>
      <w:r>
        <w:rPr>
          <w:spacing w:val="-3"/>
        </w:rPr>
        <w:t xml:space="preserve"> </w:t>
      </w:r>
      <w:r>
        <w:t>the</w:t>
      </w:r>
      <w:r>
        <w:rPr>
          <w:spacing w:val="-5"/>
        </w:rPr>
        <w:t xml:space="preserve"> </w:t>
      </w:r>
      <w:r>
        <w:t>long-term extension study</w:t>
      </w:r>
      <w:r>
        <w:rPr>
          <w:spacing w:val="-5"/>
        </w:rPr>
        <w:t xml:space="preserve"> </w:t>
      </w:r>
      <w:r>
        <w:t>in patients with</w:t>
      </w:r>
      <w:r>
        <w:rPr>
          <w:spacing w:val="-5"/>
        </w:rPr>
        <w:t xml:space="preserve"> </w:t>
      </w:r>
      <w:r>
        <w:t>UC treated with</w:t>
      </w:r>
      <w:r>
        <w:rPr>
          <w:spacing w:val="-5"/>
        </w:rPr>
        <w:t xml:space="preserve"> </w:t>
      </w:r>
      <w:r>
        <w:t>XELJANZ,</w:t>
      </w:r>
      <w:r>
        <w:rPr>
          <w:spacing w:val="-6"/>
        </w:rPr>
        <w:t xml:space="preserve"> </w:t>
      </w:r>
      <w:r>
        <w:t>including</w:t>
      </w:r>
      <w:r>
        <w:rPr>
          <w:spacing w:val="-5"/>
        </w:rPr>
        <w:t xml:space="preserve"> </w:t>
      </w:r>
      <w:r>
        <w:t>solid cancers and lymphoma.</w:t>
      </w:r>
    </w:p>
    <w:p w14:paraId="142F063F" w14:textId="77777777" w:rsidR="001825E2" w:rsidRDefault="000839A5" w:rsidP="00CB00A7">
      <w:pPr>
        <w:pStyle w:val="BodyText"/>
        <w:spacing w:before="231"/>
        <w:ind w:left="218" w:right="208"/>
        <w:jc w:val="left"/>
      </w:pPr>
      <w:r>
        <w:t>In induction and maintenance</w:t>
      </w:r>
      <w:r>
        <w:rPr>
          <w:spacing w:val="-1"/>
        </w:rPr>
        <w:t xml:space="preserve"> </w:t>
      </w:r>
      <w:r>
        <w:t>studies, the</w:t>
      </w:r>
      <w:r>
        <w:rPr>
          <w:spacing w:val="-1"/>
        </w:rPr>
        <w:t xml:space="preserve"> </w:t>
      </w:r>
      <w:r>
        <w:t>most frequent reason for</w:t>
      </w:r>
      <w:r>
        <w:rPr>
          <w:spacing w:val="-4"/>
        </w:rPr>
        <w:t xml:space="preserve"> </w:t>
      </w:r>
      <w:r>
        <w:t>study discontinuation was worsening of UC. Excluding discontinuations due to worsening of UC, the proportion of patients</w:t>
      </w:r>
      <w:r>
        <w:rPr>
          <w:spacing w:val="-4"/>
        </w:rPr>
        <w:t xml:space="preserve"> </w:t>
      </w:r>
      <w:r>
        <w:t>who discontinued due</w:t>
      </w:r>
      <w:r>
        <w:rPr>
          <w:spacing w:val="-2"/>
        </w:rPr>
        <w:t xml:space="preserve"> </w:t>
      </w:r>
      <w:r>
        <w:t>to adverse</w:t>
      </w:r>
      <w:r>
        <w:rPr>
          <w:spacing w:val="-2"/>
        </w:rPr>
        <w:t xml:space="preserve"> </w:t>
      </w:r>
      <w:r>
        <w:t>reactions</w:t>
      </w:r>
      <w:r>
        <w:rPr>
          <w:spacing w:val="-4"/>
        </w:rPr>
        <w:t xml:space="preserve"> </w:t>
      </w:r>
      <w:r>
        <w:t>was less than 5% in any of the</w:t>
      </w:r>
      <w:r>
        <w:rPr>
          <w:spacing w:val="-2"/>
        </w:rPr>
        <w:t xml:space="preserve"> </w:t>
      </w:r>
      <w:r>
        <w:t>XELJANZ or placebo treatment groups in these</w:t>
      </w:r>
      <w:r>
        <w:rPr>
          <w:spacing w:val="-1"/>
        </w:rPr>
        <w:t xml:space="preserve"> </w:t>
      </w:r>
      <w:r>
        <w:t>studies.</w:t>
      </w:r>
    </w:p>
    <w:p w14:paraId="6B0F5429" w14:textId="77777777" w:rsidR="001825E2" w:rsidRDefault="001825E2" w:rsidP="00CB00A7">
      <w:pPr>
        <w:sectPr w:rsidR="001825E2">
          <w:type w:val="continuous"/>
          <w:pgSz w:w="11910" w:h="16850"/>
          <w:pgMar w:top="1420" w:right="1220" w:bottom="980" w:left="1220" w:header="0" w:footer="785" w:gutter="0"/>
          <w:cols w:space="720"/>
        </w:sectPr>
      </w:pPr>
    </w:p>
    <w:p w14:paraId="461C885A" w14:textId="77777777" w:rsidR="001825E2" w:rsidRDefault="000839A5" w:rsidP="00CB00A7">
      <w:pPr>
        <w:pStyle w:val="BodyText"/>
        <w:spacing w:before="80" w:line="235" w:lineRule="auto"/>
        <w:ind w:left="219" w:right="200"/>
        <w:jc w:val="left"/>
      </w:pPr>
      <w:r>
        <w:lastRenderedPageBreak/>
        <w:t>Overall, the safety profile observed in patients with UC treated with XELJANZ was</w:t>
      </w:r>
      <w:r>
        <w:rPr>
          <w:spacing w:val="40"/>
        </w:rPr>
        <w:t xml:space="preserve"> </w:t>
      </w:r>
      <w:r>
        <w:t>consistent with</w:t>
      </w:r>
      <w:r>
        <w:rPr>
          <w:spacing w:val="-1"/>
        </w:rPr>
        <w:t xml:space="preserve"> </w:t>
      </w:r>
      <w:r>
        <w:t>the safety</w:t>
      </w:r>
      <w:r>
        <w:rPr>
          <w:spacing w:val="-1"/>
        </w:rPr>
        <w:t xml:space="preserve"> </w:t>
      </w:r>
      <w:r>
        <w:t>profile of XELJANZ in the RA indication.</w:t>
      </w:r>
    </w:p>
    <w:p w14:paraId="4FA7CE6B" w14:textId="77777777" w:rsidR="001825E2" w:rsidRDefault="000839A5" w:rsidP="00CB00A7">
      <w:pPr>
        <w:pStyle w:val="BodyText"/>
        <w:spacing w:before="250" w:line="242" w:lineRule="auto"/>
        <w:ind w:left="219" w:right="209"/>
        <w:jc w:val="left"/>
      </w:pPr>
      <w:r>
        <w:t>Table 4</w:t>
      </w:r>
      <w:r>
        <w:rPr>
          <w:spacing w:val="-1"/>
        </w:rPr>
        <w:t xml:space="preserve"> </w:t>
      </w:r>
      <w:r>
        <w:t>below lists</w:t>
      </w:r>
      <w:r>
        <w:rPr>
          <w:spacing w:val="-5"/>
        </w:rPr>
        <w:t xml:space="preserve"> </w:t>
      </w:r>
      <w:r>
        <w:t>the</w:t>
      </w:r>
      <w:r>
        <w:rPr>
          <w:spacing w:val="-3"/>
        </w:rPr>
        <w:t xml:space="preserve"> </w:t>
      </w:r>
      <w:r>
        <w:t>treatment-emergent adverse</w:t>
      </w:r>
      <w:r>
        <w:rPr>
          <w:spacing w:val="-3"/>
        </w:rPr>
        <w:t xml:space="preserve"> </w:t>
      </w:r>
      <w:r>
        <w:t>events (all</w:t>
      </w:r>
      <w:r>
        <w:rPr>
          <w:spacing w:val="-8"/>
        </w:rPr>
        <w:t xml:space="preserve"> </w:t>
      </w:r>
      <w:r>
        <w:t>causality) occurring in</w:t>
      </w:r>
      <w:r>
        <w:rPr>
          <w:spacing w:val="-1"/>
        </w:rPr>
        <w:t xml:space="preserve"> </w:t>
      </w:r>
      <w:r>
        <w:t>≥2% of patients in any treatment group, during the Phase 2 and Phase 3 induction studies in the UC clinical program.</w:t>
      </w:r>
    </w:p>
    <w:p w14:paraId="73A6C405" w14:textId="77777777" w:rsidR="001825E2" w:rsidRDefault="001825E2" w:rsidP="00CB00A7">
      <w:pPr>
        <w:pStyle w:val="BodyText"/>
        <w:spacing w:before="70"/>
        <w:jc w:val="left"/>
      </w:pPr>
    </w:p>
    <w:p w14:paraId="5FBAFC42" w14:textId="77777777" w:rsidR="001825E2" w:rsidRDefault="000839A5" w:rsidP="00CB00A7">
      <w:pPr>
        <w:pStyle w:val="Heading3"/>
        <w:spacing w:before="0"/>
        <w:ind w:left="1240" w:right="213" w:hanging="1020"/>
      </w:pPr>
      <w:r>
        <w:t>Table</w:t>
      </w:r>
      <w:r>
        <w:rPr>
          <w:spacing w:val="-3"/>
        </w:rPr>
        <w:t xml:space="preserve"> </w:t>
      </w:r>
      <w:r>
        <w:t>4:</w:t>
      </w:r>
      <w:r>
        <w:rPr>
          <w:spacing w:val="40"/>
        </w:rPr>
        <w:t xml:space="preserve"> </w:t>
      </w:r>
      <w:r>
        <w:t xml:space="preserve">Treatment-Emergent Adverse Events (All Causality) occurring in </w:t>
      </w:r>
      <w:r>
        <w:rPr>
          <w:rFonts w:ascii="Symbol" w:hAnsi="Symbol"/>
        </w:rPr>
        <w:t></w:t>
      </w:r>
      <w:r>
        <w:t xml:space="preserve">2% of patients in any treatment group during the Phase 2 and Phase 3 induction studies in the UC clinical </w:t>
      </w:r>
      <w:proofErr w:type="gramStart"/>
      <w:r>
        <w:t>program</w:t>
      </w:r>
      <w:proofErr w:type="gramEnd"/>
    </w:p>
    <w:p w14:paraId="236C6757" w14:textId="77777777" w:rsidR="001825E2" w:rsidRDefault="001825E2" w:rsidP="00CB00A7">
      <w:pPr>
        <w:pStyle w:val="BodyText"/>
        <w:spacing w:after="1"/>
        <w:jc w:val="left"/>
        <w:rPr>
          <w:b/>
          <w:sz w:val="10"/>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35"/>
        <w:gridCol w:w="2130"/>
        <w:gridCol w:w="2475"/>
      </w:tblGrid>
      <w:tr w:rsidR="001825E2" w14:paraId="0B9B20DD" w14:textId="77777777">
        <w:trPr>
          <w:trHeight w:val="674"/>
        </w:trPr>
        <w:tc>
          <w:tcPr>
            <w:tcW w:w="4635" w:type="dxa"/>
          </w:tcPr>
          <w:p w14:paraId="10C535A5" w14:textId="77777777" w:rsidR="001825E2" w:rsidRDefault="000839A5" w:rsidP="00CB00A7">
            <w:pPr>
              <w:pStyle w:val="TableParagraph"/>
              <w:spacing w:before="65" w:line="235" w:lineRule="auto"/>
              <w:ind w:left="1957" w:right="1938"/>
              <w:jc w:val="left"/>
              <w:rPr>
                <w:b/>
                <w:sz w:val="24"/>
              </w:rPr>
            </w:pPr>
            <w:r>
              <w:rPr>
                <w:b/>
                <w:spacing w:val="-8"/>
                <w:sz w:val="24"/>
              </w:rPr>
              <w:t xml:space="preserve">SOC </w:t>
            </w:r>
            <w:r>
              <w:rPr>
                <w:b/>
                <w:spacing w:val="-6"/>
                <w:sz w:val="24"/>
              </w:rPr>
              <w:t>PT</w:t>
            </w:r>
          </w:p>
        </w:tc>
        <w:tc>
          <w:tcPr>
            <w:tcW w:w="2130" w:type="dxa"/>
          </w:tcPr>
          <w:p w14:paraId="78A7C7E4" w14:textId="77777777" w:rsidR="001825E2" w:rsidRDefault="000839A5" w:rsidP="00CB00A7">
            <w:pPr>
              <w:pStyle w:val="TableParagraph"/>
              <w:spacing w:before="65" w:line="235" w:lineRule="auto"/>
              <w:ind w:left="607" w:right="414" w:firstLine="74"/>
              <w:jc w:val="left"/>
              <w:rPr>
                <w:b/>
                <w:sz w:val="24"/>
              </w:rPr>
            </w:pPr>
            <w:r>
              <w:rPr>
                <w:b/>
                <w:spacing w:val="-2"/>
                <w:sz w:val="24"/>
              </w:rPr>
              <w:t xml:space="preserve">Placebo </w:t>
            </w:r>
            <w:r>
              <w:rPr>
                <w:b/>
                <w:sz w:val="24"/>
              </w:rPr>
              <w:t>(N</w:t>
            </w:r>
            <w:r>
              <w:rPr>
                <w:b/>
                <w:spacing w:val="1"/>
                <w:sz w:val="24"/>
              </w:rPr>
              <w:t xml:space="preserve"> </w:t>
            </w:r>
            <w:r>
              <w:rPr>
                <w:b/>
                <w:sz w:val="24"/>
              </w:rPr>
              <w:t>=</w:t>
            </w:r>
            <w:r>
              <w:rPr>
                <w:b/>
                <w:spacing w:val="-4"/>
                <w:sz w:val="24"/>
              </w:rPr>
              <w:t xml:space="preserve"> 282)</w:t>
            </w:r>
          </w:p>
        </w:tc>
        <w:tc>
          <w:tcPr>
            <w:tcW w:w="2475" w:type="dxa"/>
          </w:tcPr>
          <w:p w14:paraId="57AC6492" w14:textId="77777777" w:rsidR="001825E2" w:rsidRDefault="000839A5" w:rsidP="00CB00A7">
            <w:pPr>
              <w:pStyle w:val="TableParagraph"/>
              <w:spacing w:before="65" w:line="235" w:lineRule="auto"/>
              <w:ind w:left="772" w:hanging="630"/>
              <w:jc w:val="left"/>
              <w:rPr>
                <w:b/>
                <w:sz w:val="24"/>
              </w:rPr>
            </w:pPr>
            <w:r>
              <w:rPr>
                <w:b/>
                <w:sz w:val="24"/>
              </w:rPr>
              <w:t>XELJANZ</w:t>
            </w:r>
            <w:r>
              <w:rPr>
                <w:b/>
                <w:spacing w:val="-26"/>
                <w:sz w:val="24"/>
              </w:rPr>
              <w:t xml:space="preserve"> </w:t>
            </w:r>
            <w:r>
              <w:rPr>
                <w:b/>
                <w:sz w:val="24"/>
              </w:rPr>
              <w:t>10</w:t>
            </w:r>
            <w:r>
              <w:rPr>
                <w:b/>
                <w:spacing w:val="-5"/>
                <w:sz w:val="24"/>
              </w:rPr>
              <w:t xml:space="preserve"> </w:t>
            </w:r>
            <w:r>
              <w:rPr>
                <w:b/>
                <w:sz w:val="24"/>
              </w:rPr>
              <w:t>mg</w:t>
            </w:r>
            <w:r>
              <w:rPr>
                <w:b/>
                <w:spacing w:val="-3"/>
                <w:sz w:val="24"/>
              </w:rPr>
              <w:t xml:space="preserve"> </w:t>
            </w:r>
            <w:r>
              <w:rPr>
                <w:b/>
                <w:sz w:val="24"/>
              </w:rPr>
              <w:t>BD (N = 938)</w:t>
            </w:r>
          </w:p>
        </w:tc>
      </w:tr>
      <w:tr w:rsidR="001825E2" w14:paraId="1851E3F3" w14:textId="77777777">
        <w:trPr>
          <w:trHeight w:val="390"/>
        </w:trPr>
        <w:tc>
          <w:tcPr>
            <w:tcW w:w="4635" w:type="dxa"/>
          </w:tcPr>
          <w:p w14:paraId="5948805F" w14:textId="77777777" w:rsidR="001825E2" w:rsidRDefault="001825E2" w:rsidP="00CB00A7">
            <w:pPr>
              <w:pStyle w:val="TableParagraph"/>
              <w:ind w:left="0"/>
              <w:jc w:val="left"/>
            </w:pPr>
          </w:p>
        </w:tc>
        <w:tc>
          <w:tcPr>
            <w:tcW w:w="2130" w:type="dxa"/>
          </w:tcPr>
          <w:p w14:paraId="4D719E4B" w14:textId="77777777" w:rsidR="001825E2" w:rsidRDefault="000839A5" w:rsidP="00CB00A7">
            <w:pPr>
              <w:pStyle w:val="TableParagraph"/>
              <w:spacing w:before="61"/>
              <w:ind w:left="49"/>
              <w:jc w:val="left"/>
              <w:rPr>
                <w:sz w:val="24"/>
              </w:rPr>
            </w:pPr>
            <w:r>
              <w:rPr>
                <w:sz w:val="24"/>
              </w:rPr>
              <w:t xml:space="preserve">n </w:t>
            </w:r>
            <w:r>
              <w:rPr>
                <w:spacing w:val="-5"/>
                <w:sz w:val="24"/>
              </w:rPr>
              <w:t>(%)</w:t>
            </w:r>
          </w:p>
        </w:tc>
        <w:tc>
          <w:tcPr>
            <w:tcW w:w="2475" w:type="dxa"/>
          </w:tcPr>
          <w:p w14:paraId="1AD27EA9" w14:textId="77777777" w:rsidR="001825E2" w:rsidRDefault="000839A5" w:rsidP="00CB00A7">
            <w:pPr>
              <w:pStyle w:val="TableParagraph"/>
              <w:spacing w:before="61"/>
              <w:ind w:left="35"/>
              <w:jc w:val="left"/>
              <w:rPr>
                <w:sz w:val="24"/>
              </w:rPr>
            </w:pPr>
            <w:r>
              <w:rPr>
                <w:sz w:val="24"/>
              </w:rPr>
              <w:t xml:space="preserve">n </w:t>
            </w:r>
            <w:r>
              <w:rPr>
                <w:spacing w:val="-5"/>
                <w:sz w:val="24"/>
              </w:rPr>
              <w:t>(%)</w:t>
            </w:r>
          </w:p>
        </w:tc>
      </w:tr>
      <w:tr w:rsidR="001825E2" w14:paraId="516D6768" w14:textId="77777777">
        <w:trPr>
          <w:trHeight w:val="390"/>
        </w:trPr>
        <w:tc>
          <w:tcPr>
            <w:tcW w:w="4635" w:type="dxa"/>
          </w:tcPr>
          <w:p w14:paraId="18A2B0DB" w14:textId="77777777" w:rsidR="001825E2" w:rsidRDefault="000839A5" w:rsidP="00CB00A7">
            <w:pPr>
              <w:pStyle w:val="TableParagraph"/>
              <w:spacing w:before="61"/>
              <w:jc w:val="left"/>
              <w:rPr>
                <w:b/>
                <w:sz w:val="24"/>
              </w:rPr>
            </w:pPr>
            <w:r>
              <w:rPr>
                <w:b/>
                <w:sz w:val="24"/>
              </w:rPr>
              <w:t>Blood</w:t>
            </w:r>
            <w:r>
              <w:rPr>
                <w:b/>
                <w:spacing w:val="-8"/>
                <w:sz w:val="24"/>
              </w:rPr>
              <w:t xml:space="preserve"> </w:t>
            </w:r>
            <w:r>
              <w:rPr>
                <w:b/>
                <w:sz w:val="24"/>
              </w:rPr>
              <w:t>and</w:t>
            </w:r>
            <w:r>
              <w:rPr>
                <w:b/>
                <w:spacing w:val="-7"/>
                <w:sz w:val="24"/>
              </w:rPr>
              <w:t xml:space="preserve"> </w:t>
            </w:r>
            <w:r>
              <w:rPr>
                <w:b/>
                <w:sz w:val="24"/>
              </w:rPr>
              <w:t>lymphatic</w:t>
            </w:r>
            <w:r>
              <w:rPr>
                <w:b/>
                <w:spacing w:val="2"/>
                <w:sz w:val="24"/>
              </w:rPr>
              <w:t xml:space="preserve"> </w:t>
            </w:r>
            <w:r>
              <w:rPr>
                <w:b/>
                <w:sz w:val="24"/>
              </w:rPr>
              <w:t>system</w:t>
            </w:r>
            <w:r>
              <w:rPr>
                <w:b/>
                <w:spacing w:val="14"/>
                <w:sz w:val="24"/>
              </w:rPr>
              <w:t xml:space="preserve"> </w:t>
            </w:r>
            <w:r>
              <w:rPr>
                <w:b/>
                <w:spacing w:val="-2"/>
                <w:sz w:val="24"/>
              </w:rPr>
              <w:t>disorders</w:t>
            </w:r>
          </w:p>
        </w:tc>
        <w:tc>
          <w:tcPr>
            <w:tcW w:w="2130" w:type="dxa"/>
          </w:tcPr>
          <w:p w14:paraId="3467714A" w14:textId="77777777" w:rsidR="001825E2" w:rsidRDefault="000839A5" w:rsidP="00CB00A7">
            <w:pPr>
              <w:pStyle w:val="TableParagraph"/>
              <w:spacing w:before="61"/>
              <w:ind w:left="49" w:right="15"/>
              <w:jc w:val="left"/>
              <w:rPr>
                <w:b/>
                <w:sz w:val="24"/>
              </w:rPr>
            </w:pPr>
            <w:r>
              <w:rPr>
                <w:b/>
                <w:sz w:val="24"/>
              </w:rPr>
              <w:t xml:space="preserve">9 </w:t>
            </w:r>
            <w:r>
              <w:rPr>
                <w:b/>
                <w:spacing w:val="-2"/>
                <w:sz w:val="24"/>
              </w:rPr>
              <w:t>(3.19)</w:t>
            </w:r>
          </w:p>
        </w:tc>
        <w:tc>
          <w:tcPr>
            <w:tcW w:w="2475" w:type="dxa"/>
          </w:tcPr>
          <w:p w14:paraId="7F71F267" w14:textId="77777777" w:rsidR="001825E2" w:rsidRDefault="000839A5" w:rsidP="00CB00A7">
            <w:pPr>
              <w:pStyle w:val="TableParagraph"/>
              <w:spacing w:before="61"/>
              <w:ind w:left="35" w:right="16"/>
              <w:jc w:val="left"/>
              <w:rPr>
                <w:b/>
                <w:sz w:val="24"/>
              </w:rPr>
            </w:pPr>
            <w:r>
              <w:rPr>
                <w:b/>
                <w:sz w:val="24"/>
              </w:rPr>
              <w:t xml:space="preserve">22 </w:t>
            </w:r>
            <w:r>
              <w:rPr>
                <w:b/>
                <w:spacing w:val="-2"/>
                <w:sz w:val="24"/>
              </w:rPr>
              <w:t>(2.35)</w:t>
            </w:r>
          </w:p>
        </w:tc>
      </w:tr>
      <w:tr w:rsidR="001825E2" w14:paraId="4BF64E58" w14:textId="77777777">
        <w:trPr>
          <w:trHeight w:val="390"/>
        </w:trPr>
        <w:tc>
          <w:tcPr>
            <w:tcW w:w="4635" w:type="dxa"/>
          </w:tcPr>
          <w:p w14:paraId="6D24E2B6" w14:textId="77777777" w:rsidR="001825E2" w:rsidRDefault="000839A5" w:rsidP="00CB00A7">
            <w:pPr>
              <w:pStyle w:val="TableParagraph"/>
              <w:spacing w:before="61"/>
              <w:ind w:left="472"/>
              <w:jc w:val="left"/>
              <w:rPr>
                <w:sz w:val="24"/>
              </w:rPr>
            </w:pPr>
            <w:proofErr w:type="spellStart"/>
            <w:r>
              <w:rPr>
                <w:spacing w:val="-2"/>
                <w:sz w:val="24"/>
              </w:rPr>
              <w:t>Anaemia</w:t>
            </w:r>
            <w:proofErr w:type="spellEnd"/>
          </w:p>
        </w:tc>
        <w:tc>
          <w:tcPr>
            <w:tcW w:w="2130" w:type="dxa"/>
          </w:tcPr>
          <w:p w14:paraId="3B1A4978" w14:textId="77777777" w:rsidR="001825E2" w:rsidRDefault="000839A5" w:rsidP="00CB00A7">
            <w:pPr>
              <w:pStyle w:val="TableParagraph"/>
              <w:spacing w:before="61"/>
              <w:ind w:left="49" w:right="15"/>
              <w:jc w:val="left"/>
              <w:rPr>
                <w:sz w:val="24"/>
              </w:rPr>
            </w:pPr>
            <w:r>
              <w:rPr>
                <w:sz w:val="24"/>
              </w:rPr>
              <w:t xml:space="preserve">9 </w:t>
            </w:r>
            <w:r>
              <w:rPr>
                <w:spacing w:val="-2"/>
                <w:sz w:val="24"/>
              </w:rPr>
              <w:t>(3.19)</w:t>
            </w:r>
          </w:p>
        </w:tc>
        <w:tc>
          <w:tcPr>
            <w:tcW w:w="2475" w:type="dxa"/>
          </w:tcPr>
          <w:p w14:paraId="7A81430D" w14:textId="77777777" w:rsidR="001825E2" w:rsidRDefault="000839A5" w:rsidP="00CB00A7">
            <w:pPr>
              <w:pStyle w:val="TableParagraph"/>
              <w:spacing w:before="61"/>
              <w:ind w:left="35" w:right="16"/>
              <w:jc w:val="left"/>
              <w:rPr>
                <w:sz w:val="24"/>
              </w:rPr>
            </w:pPr>
            <w:r>
              <w:rPr>
                <w:sz w:val="24"/>
              </w:rPr>
              <w:t xml:space="preserve">22 </w:t>
            </w:r>
            <w:r>
              <w:rPr>
                <w:spacing w:val="-2"/>
                <w:sz w:val="24"/>
              </w:rPr>
              <w:t>(2.35)</w:t>
            </w:r>
          </w:p>
        </w:tc>
      </w:tr>
      <w:tr w:rsidR="001825E2" w14:paraId="35EF475E" w14:textId="77777777">
        <w:trPr>
          <w:trHeight w:val="390"/>
        </w:trPr>
        <w:tc>
          <w:tcPr>
            <w:tcW w:w="4635" w:type="dxa"/>
          </w:tcPr>
          <w:p w14:paraId="4328734A" w14:textId="77777777" w:rsidR="001825E2" w:rsidRDefault="000839A5" w:rsidP="00CB00A7">
            <w:pPr>
              <w:pStyle w:val="TableParagraph"/>
              <w:spacing w:before="61"/>
              <w:jc w:val="left"/>
              <w:rPr>
                <w:b/>
                <w:sz w:val="24"/>
              </w:rPr>
            </w:pPr>
            <w:r>
              <w:rPr>
                <w:b/>
                <w:spacing w:val="-2"/>
                <w:sz w:val="24"/>
              </w:rPr>
              <w:t>Gastrointestinal</w:t>
            </w:r>
            <w:r>
              <w:rPr>
                <w:b/>
                <w:spacing w:val="24"/>
                <w:sz w:val="24"/>
              </w:rPr>
              <w:t xml:space="preserve"> </w:t>
            </w:r>
            <w:r>
              <w:rPr>
                <w:b/>
                <w:spacing w:val="-2"/>
                <w:sz w:val="24"/>
              </w:rPr>
              <w:t>disorders</w:t>
            </w:r>
          </w:p>
        </w:tc>
        <w:tc>
          <w:tcPr>
            <w:tcW w:w="2130" w:type="dxa"/>
          </w:tcPr>
          <w:p w14:paraId="01DBB840" w14:textId="77777777" w:rsidR="001825E2" w:rsidRDefault="000839A5" w:rsidP="00CB00A7">
            <w:pPr>
              <w:pStyle w:val="TableParagraph"/>
              <w:spacing w:before="61"/>
              <w:ind w:left="49" w:right="14"/>
              <w:jc w:val="left"/>
              <w:rPr>
                <w:b/>
                <w:sz w:val="24"/>
              </w:rPr>
            </w:pPr>
            <w:r>
              <w:rPr>
                <w:b/>
                <w:sz w:val="24"/>
              </w:rPr>
              <w:t xml:space="preserve">40 </w:t>
            </w:r>
            <w:r>
              <w:rPr>
                <w:b/>
                <w:spacing w:val="-2"/>
                <w:sz w:val="24"/>
              </w:rPr>
              <w:t>(14.18)</w:t>
            </w:r>
          </w:p>
        </w:tc>
        <w:tc>
          <w:tcPr>
            <w:tcW w:w="2475" w:type="dxa"/>
          </w:tcPr>
          <w:p w14:paraId="653824F9" w14:textId="77777777" w:rsidR="001825E2" w:rsidRDefault="000839A5" w:rsidP="00CB00A7">
            <w:pPr>
              <w:pStyle w:val="TableParagraph"/>
              <w:spacing w:before="61"/>
              <w:ind w:left="35" w:right="15"/>
              <w:jc w:val="left"/>
              <w:rPr>
                <w:b/>
                <w:sz w:val="24"/>
              </w:rPr>
            </w:pPr>
            <w:r>
              <w:rPr>
                <w:b/>
                <w:sz w:val="24"/>
              </w:rPr>
              <w:t xml:space="preserve">72 </w:t>
            </w:r>
            <w:r>
              <w:rPr>
                <w:b/>
                <w:spacing w:val="-2"/>
                <w:sz w:val="24"/>
              </w:rPr>
              <w:t>(7.68)</w:t>
            </w:r>
          </w:p>
        </w:tc>
      </w:tr>
      <w:tr w:rsidR="001825E2" w14:paraId="10C0B8A5" w14:textId="77777777">
        <w:trPr>
          <w:trHeight w:val="390"/>
        </w:trPr>
        <w:tc>
          <w:tcPr>
            <w:tcW w:w="4635" w:type="dxa"/>
          </w:tcPr>
          <w:p w14:paraId="3791A2A3" w14:textId="77777777" w:rsidR="001825E2" w:rsidRDefault="000839A5" w:rsidP="00CB00A7">
            <w:pPr>
              <w:pStyle w:val="TableParagraph"/>
              <w:spacing w:before="61"/>
              <w:ind w:left="472"/>
              <w:jc w:val="left"/>
              <w:rPr>
                <w:sz w:val="24"/>
              </w:rPr>
            </w:pPr>
            <w:r>
              <w:rPr>
                <w:sz w:val="24"/>
              </w:rPr>
              <w:t>Abdominal</w:t>
            </w:r>
            <w:r>
              <w:rPr>
                <w:spacing w:val="-6"/>
                <w:sz w:val="24"/>
              </w:rPr>
              <w:t xml:space="preserve"> </w:t>
            </w:r>
            <w:r>
              <w:rPr>
                <w:spacing w:val="-4"/>
                <w:sz w:val="24"/>
              </w:rPr>
              <w:t>pain</w:t>
            </w:r>
          </w:p>
        </w:tc>
        <w:tc>
          <w:tcPr>
            <w:tcW w:w="2130" w:type="dxa"/>
          </w:tcPr>
          <w:p w14:paraId="6919179C" w14:textId="77777777" w:rsidR="001825E2" w:rsidRDefault="000839A5" w:rsidP="00CB00A7">
            <w:pPr>
              <w:pStyle w:val="TableParagraph"/>
              <w:spacing w:before="61"/>
              <w:ind w:left="49" w:right="15"/>
              <w:jc w:val="left"/>
              <w:rPr>
                <w:sz w:val="24"/>
              </w:rPr>
            </w:pPr>
            <w:r>
              <w:rPr>
                <w:sz w:val="24"/>
              </w:rPr>
              <w:t xml:space="preserve">11 </w:t>
            </w:r>
            <w:r>
              <w:rPr>
                <w:spacing w:val="-2"/>
                <w:sz w:val="24"/>
              </w:rPr>
              <w:t>(3.90)</w:t>
            </w:r>
          </w:p>
        </w:tc>
        <w:tc>
          <w:tcPr>
            <w:tcW w:w="2475" w:type="dxa"/>
          </w:tcPr>
          <w:p w14:paraId="02ABB80F" w14:textId="77777777" w:rsidR="001825E2" w:rsidRDefault="000839A5" w:rsidP="00CB00A7">
            <w:pPr>
              <w:pStyle w:val="TableParagraph"/>
              <w:spacing w:before="61"/>
              <w:ind w:left="35" w:right="16"/>
              <w:jc w:val="left"/>
              <w:rPr>
                <w:sz w:val="24"/>
              </w:rPr>
            </w:pPr>
            <w:r>
              <w:rPr>
                <w:sz w:val="24"/>
              </w:rPr>
              <w:t xml:space="preserve">25 </w:t>
            </w:r>
            <w:r>
              <w:rPr>
                <w:spacing w:val="-2"/>
                <w:sz w:val="24"/>
              </w:rPr>
              <w:t>(2.67)</w:t>
            </w:r>
          </w:p>
        </w:tc>
      </w:tr>
      <w:tr w:rsidR="001825E2" w14:paraId="58A30B95" w14:textId="77777777">
        <w:trPr>
          <w:trHeight w:val="390"/>
        </w:trPr>
        <w:tc>
          <w:tcPr>
            <w:tcW w:w="4635" w:type="dxa"/>
          </w:tcPr>
          <w:p w14:paraId="4C785754" w14:textId="77777777" w:rsidR="001825E2" w:rsidRDefault="000839A5" w:rsidP="00CB00A7">
            <w:pPr>
              <w:pStyle w:val="TableParagraph"/>
              <w:spacing w:before="61"/>
              <w:ind w:left="472"/>
              <w:jc w:val="left"/>
              <w:rPr>
                <w:sz w:val="24"/>
              </w:rPr>
            </w:pPr>
            <w:r>
              <w:rPr>
                <w:sz w:val="24"/>
              </w:rPr>
              <w:t>Colitis</w:t>
            </w:r>
            <w:r>
              <w:rPr>
                <w:spacing w:val="2"/>
                <w:sz w:val="24"/>
              </w:rPr>
              <w:t xml:space="preserve"> </w:t>
            </w:r>
            <w:r>
              <w:rPr>
                <w:spacing w:val="-2"/>
                <w:sz w:val="24"/>
              </w:rPr>
              <w:t>ulcerative</w:t>
            </w:r>
          </w:p>
        </w:tc>
        <w:tc>
          <w:tcPr>
            <w:tcW w:w="2130" w:type="dxa"/>
          </w:tcPr>
          <w:p w14:paraId="3FBB03A3" w14:textId="77777777" w:rsidR="001825E2" w:rsidRDefault="000839A5" w:rsidP="00CB00A7">
            <w:pPr>
              <w:pStyle w:val="TableParagraph"/>
              <w:spacing w:before="61"/>
              <w:ind w:left="49" w:right="15"/>
              <w:jc w:val="left"/>
              <w:rPr>
                <w:sz w:val="24"/>
              </w:rPr>
            </w:pPr>
            <w:r>
              <w:rPr>
                <w:sz w:val="24"/>
              </w:rPr>
              <w:t xml:space="preserve">20 </w:t>
            </w:r>
            <w:r>
              <w:rPr>
                <w:spacing w:val="-2"/>
                <w:sz w:val="24"/>
              </w:rPr>
              <w:t>(7.09)</w:t>
            </w:r>
          </w:p>
        </w:tc>
        <w:tc>
          <w:tcPr>
            <w:tcW w:w="2475" w:type="dxa"/>
          </w:tcPr>
          <w:p w14:paraId="0487610E" w14:textId="77777777" w:rsidR="001825E2" w:rsidRDefault="000839A5" w:rsidP="00CB00A7">
            <w:pPr>
              <w:pStyle w:val="TableParagraph"/>
              <w:spacing w:before="61"/>
              <w:ind w:left="35" w:right="16"/>
              <w:jc w:val="left"/>
              <w:rPr>
                <w:sz w:val="24"/>
              </w:rPr>
            </w:pPr>
            <w:r>
              <w:rPr>
                <w:sz w:val="24"/>
              </w:rPr>
              <w:t xml:space="preserve">26 </w:t>
            </w:r>
            <w:r>
              <w:rPr>
                <w:spacing w:val="-2"/>
                <w:sz w:val="24"/>
              </w:rPr>
              <w:t>(2.77)</w:t>
            </w:r>
          </w:p>
        </w:tc>
      </w:tr>
      <w:tr w:rsidR="001825E2" w14:paraId="433EDB3A" w14:textId="77777777">
        <w:trPr>
          <w:trHeight w:val="390"/>
        </w:trPr>
        <w:tc>
          <w:tcPr>
            <w:tcW w:w="4635" w:type="dxa"/>
          </w:tcPr>
          <w:p w14:paraId="0200477F" w14:textId="77777777" w:rsidR="001825E2" w:rsidRDefault="000839A5" w:rsidP="00CB00A7">
            <w:pPr>
              <w:pStyle w:val="TableParagraph"/>
              <w:spacing w:before="61"/>
              <w:ind w:left="472"/>
              <w:jc w:val="left"/>
              <w:rPr>
                <w:sz w:val="24"/>
              </w:rPr>
            </w:pPr>
            <w:r>
              <w:rPr>
                <w:spacing w:val="-2"/>
                <w:sz w:val="24"/>
              </w:rPr>
              <w:t>Nausea</w:t>
            </w:r>
          </w:p>
        </w:tc>
        <w:tc>
          <w:tcPr>
            <w:tcW w:w="2130" w:type="dxa"/>
          </w:tcPr>
          <w:p w14:paraId="5FC389FC" w14:textId="77777777" w:rsidR="001825E2" w:rsidRDefault="000839A5" w:rsidP="00CB00A7">
            <w:pPr>
              <w:pStyle w:val="TableParagraph"/>
              <w:spacing w:before="61"/>
              <w:ind w:left="49" w:right="15"/>
              <w:jc w:val="left"/>
              <w:rPr>
                <w:sz w:val="24"/>
              </w:rPr>
            </w:pPr>
            <w:r>
              <w:rPr>
                <w:sz w:val="24"/>
              </w:rPr>
              <w:t xml:space="preserve">11 </w:t>
            </w:r>
            <w:r>
              <w:rPr>
                <w:spacing w:val="-2"/>
                <w:sz w:val="24"/>
              </w:rPr>
              <w:t>(3.90)</w:t>
            </w:r>
          </w:p>
        </w:tc>
        <w:tc>
          <w:tcPr>
            <w:tcW w:w="2475" w:type="dxa"/>
          </w:tcPr>
          <w:p w14:paraId="6B9160E3" w14:textId="77777777" w:rsidR="001825E2" w:rsidRDefault="000839A5" w:rsidP="00CB00A7">
            <w:pPr>
              <w:pStyle w:val="TableParagraph"/>
              <w:spacing w:before="61"/>
              <w:ind w:left="35" w:right="16"/>
              <w:jc w:val="left"/>
              <w:rPr>
                <w:sz w:val="24"/>
              </w:rPr>
            </w:pPr>
            <w:r>
              <w:rPr>
                <w:sz w:val="24"/>
              </w:rPr>
              <w:t xml:space="preserve">28 </w:t>
            </w:r>
            <w:r>
              <w:rPr>
                <w:spacing w:val="-2"/>
                <w:sz w:val="24"/>
              </w:rPr>
              <w:t>(2.99)</w:t>
            </w:r>
          </w:p>
        </w:tc>
      </w:tr>
      <w:tr w:rsidR="001825E2" w14:paraId="07B01B04" w14:textId="77777777">
        <w:trPr>
          <w:trHeight w:val="675"/>
        </w:trPr>
        <w:tc>
          <w:tcPr>
            <w:tcW w:w="4635" w:type="dxa"/>
          </w:tcPr>
          <w:p w14:paraId="5D6D1629" w14:textId="77777777" w:rsidR="001825E2" w:rsidRDefault="000839A5" w:rsidP="00CB00A7">
            <w:pPr>
              <w:pStyle w:val="TableParagraph"/>
              <w:spacing w:before="65" w:line="235" w:lineRule="auto"/>
              <w:jc w:val="left"/>
              <w:rPr>
                <w:b/>
                <w:sz w:val="24"/>
              </w:rPr>
            </w:pPr>
            <w:r>
              <w:rPr>
                <w:b/>
                <w:sz w:val="24"/>
              </w:rPr>
              <w:t>General</w:t>
            </w:r>
            <w:r>
              <w:rPr>
                <w:b/>
                <w:spacing w:val="-15"/>
                <w:sz w:val="24"/>
              </w:rPr>
              <w:t xml:space="preserve"> </w:t>
            </w:r>
            <w:r>
              <w:rPr>
                <w:b/>
                <w:sz w:val="24"/>
              </w:rPr>
              <w:t>disorders</w:t>
            </w:r>
            <w:r>
              <w:rPr>
                <w:b/>
                <w:spacing w:val="-14"/>
                <w:sz w:val="24"/>
              </w:rPr>
              <w:t xml:space="preserve"> </w:t>
            </w:r>
            <w:r>
              <w:rPr>
                <w:b/>
                <w:sz w:val="24"/>
              </w:rPr>
              <w:t>and</w:t>
            </w:r>
            <w:r>
              <w:rPr>
                <w:b/>
                <w:spacing w:val="-15"/>
                <w:sz w:val="24"/>
              </w:rPr>
              <w:t xml:space="preserve"> </w:t>
            </w:r>
            <w:r>
              <w:rPr>
                <w:b/>
                <w:sz w:val="24"/>
              </w:rPr>
              <w:t>administrative</w:t>
            </w:r>
            <w:r>
              <w:rPr>
                <w:b/>
                <w:spacing w:val="7"/>
                <w:sz w:val="24"/>
              </w:rPr>
              <w:t xml:space="preserve"> </w:t>
            </w:r>
            <w:r>
              <w:rPr>
                <w:b/>
                <w:sz w:val="24"/>
              </w:rPr>
              <w:t xml:space="preserve">site </w:t>
            </w:r>
            <w:r>
              <w:rPr>
                <w:b/>
                <w:spacing w:val="-2"/>
                <w:sz w:val="24"/>
              </w:rPr>
              <w:t>conditions</w:t>
            </w:r>
          </w:p>
        </w:tc>
        <w:tc>
          <w:tcPr>
            <w:tcW w:w="2130" w:type="dxa"/>
          </w:tcPr>
          <w:p w14:paraId="3CF817C8" w14:textId="77777777" w:rsidR="001825E2" w:rsidRDefault="000839A5" w:rsidP="00CB00A7">
            <w:pPr>
              <w:pStyle w:val="TableParagraph"/>
              <w:spacing w:before="61"/>
              <w:ind w:left="49" w:right="15"/>
              <w:jc w:val="left"/>
              <w:rPr>
                <w:b/>
                <w:sz w:val="24"/>
              </w:rPr>
            </w:pPr>
            <w:r>
              <w:rPr>
                <w:b/>
                <w:sz w:val="24"/>
              </w:rPr>
              <w:t xml:space="preserve">4 </w:t>
            </w:r>
            <w:r>
              <w:rPr>
                <w:b/>
                <w:spacing w:val="-2"/>
                <w:sz w:val="24"/>
              </w:rPr>
              <w:t>(1.42)</w:t>
            </w:r>
          </w:p>
        </w:tc>
        <w:tc>
          <w:tcPr>
            <w:tcW w:w="2475" w:type="dxa"/>
          </w:tcPr>
          <w:p w14:paraId="14B53B49" w14:textId="77777777" w:rsidR="001825E2" w:rsidRDefault="000839A5" w:rsidP="00CB00A7">
            <w:pPr>
              <w:pStyle w:val="TableParagraph"/>
              <w:spacing w:before="61"/>
              <w:ind w:left="35" w:right="16"/>
              <w:jc w:val="left"/>
              <w:rPr>
                <w:b/>
                <w:sz w:val="24"/>
              </w:rPr>
            </w:pPr>
            <w:r>
              <w:rPr>
                <w:b/>
                <w:sz w:val="24"/>
              </w:rPr>
              <w:t xml:space="preserve">24 </w:t>
            </w:r>
            <w:r>
              <w:rPr>
                <w:b/>
                <w:spacing w:val="-2"/>
                <w:sz w:val="24"/>
              </w:rPr>
              <w:t>(2.56)</w:t>
            </w:r>
          </w:p>
        </w:tc>
      </w:tr>
      <w:tr w:rsidR="001825E2" w14:paraId="4B526E5D" w14:textId="77777777">
        <w:trPr>
          <w:trHeight w:val="390"/>
        </w:trPr>
        <w:tc>
          <w:tcPr>
            <w:tcW w:w="4635" w:type="dxa"/>
          </w:tcPr>
          <w:p w14:paraId="0A092479" w14:textId="77777777" w:rsidR="001825E2" w:rsidRDefault="000839A5" w:rsidP="00CB00A7">
            <w:pPr>
              <w:pStyle w:val="TableParagraph"/>
              <w:spacing w:before="46"/>
              <w:ind w:left="472"/>
              <w:jc w:val="left"/>
              <w:rPr>
                <w:sz w:val="24"/>
              </w:rPr>
            </w:pPr>
            <w:r>
              <w:rPr>
                <w:spacing w:val="-2"/>
                <w:sz w:val="24"/>
              </w:rPr>
              <w:t>Pyrexia</w:t>
            </w:r>
          </w:p>
        </w:tc>
        <w:tc>
          <w:tcPr>
            <w:tcW w:w="2130" w:type="dxa"/>
          </w:tcPr>
          <w:p w14:paraId="1BC8FC64" w14:textId="77777777" w:rsidR="001825E2" w:rsidRDefault="000839A5" w:rsidP="00CB00A7">
            <w:pPr>
              <w:pStyle w:val="TableParagraph"/>
              <w:spacing w:before="46"/>
              <w:ind w:left="49" w:right="15"/>
              <w:jc w:val="left"/>
              <w:rPr>
                <w:sz w:val="24"/>
              </w:rPr>
            </w:pPr>
            <w:r>
              <w:rPr>
                <w:sz w:val="24"/>
              </w:rPr>
              <w:t xml:space="preserve">4 </w:t>
            </w:r>
            <w:r>
              <w:rPr>
                <w:spacing w:val="-2"/>
                <w:sz w:val="24"/>
              </w:rPr>
              <w:t>(1.42)</w:t>
            </w:r>
          </w:p>
        </w:tc>
        <w:tc>
          <w:tcPr>
            <w:tcW w:w="2475" w:type="dxa"/>
          </w:tcPr>
          <w:p w14:paraId="08875848" w14:textId="77777777" w:rsidR="001825E2" w:rsidRDefault="000839A5" w:rsidP="00CB00A7">
            <w:pPr>
              <w:pStyle w:val="TableParagraph"/>
              <w:spacing w:before="46"/>
              <w:ind w:left="35" w:right="16"/>
              <w:jc w:val="left"/>
              <w:rPr>
                <w:sz w:val="24"/>
              </w:rPr>
            </w:pPr>
            <w:r>
              <w:rPr>
                <w:sz w:val="24"/>
              </w:rPr>
              <w:t xml:space="preserve">24 </w:t>
            </w:r>
            <w:r>
              <w:rPr>
                <w:spacing w:val="-2"/>
                <w:sz w:val="24"/>
              </w:rPr>
              <w:t>(2.56)</w:t>
            </w:r>
          </w:p>
        </w:tc>
      </w:tr>
      <w:tr w:rsidR="001825E2" w14:paraId="7E48EB3C" w14:textId="77777777">
        <w:trPr>
          <w:trHeight w:val="390"/>
        </w:trPr>
        <w:tc>
          <w:tcPr>
            <w:tcW w:w="4635" w:type="dxa"/>
          </w:tcPr>
          <w:p w14:paraId="3460C612" w14:textId="77777777" w:rsidR="001825E2" w:rsidRDefault="000839A5" w:rsidP="00CB00A7">
            <w:pPr>
              <w:pStyle w:val="TableParagraph"/>
              <w:spacing w:before="61"/>
              <w:jc w:val="left"/>
              <w:rPr>
                <w:b/>
                <w:sz w:val="24"/>
              </w:rPr>
            </w:pPr>
            <w:r>
              <w:rPr>
                <w:b/>
                <w:sz w:val="24"/>
              </w:rPr>
              <w:t>Infections</w:t>
            </w:r>
            <w:r>
              <w:rPr>
                <w:b/>
                <w:spacing w:val="5"/>
                <w:sz w:val="24"/>
              </w:rPr>
              <w:t xml:space="preserve"> </w:t>
            </w:r>
            <w:r>
              <w:rPr>
                <w:b/>
                <w:sz w:val="24"/>
              </w:rPr>
              <w:t>and</w:t>
            </w:r>
            <w:r>
              <w:rPr>
                <w:b/>
                <w:spacing w:val="-15"/>
                <w:sz w:val="24"/>
              </w:rPr>
              <w:t xml:space="preserve"> </w:t>
            </w:r>
            <w:r>
              <w:rPr>
                <w:b/>
                <w:spacing w:val="-2"/>
                <w:sz w:val="24"/>
              </w:rPr>
              <w:t>infestations</w:t>
            </w:r>
          </w:p>
        </w:tc>
        <w:tc>
          <w:tcPr>
            <w:tcW w:w="2130" w:type="dxa"/>
          </w:tcPr>
          <w:p w14:paraId="7F9B63AC" w14:textId="77777777" w:rsidR="001825E2" w:rsidRDefault="000839A5" w:rsidP="00CB00A7">
            <w:pPr>
              <w:pStyle w:val="TableParagraph"/>
              <w:spacing w:before="61"/>
              <w:ind w:left="49" w:right="15"/>
              <w:jc w:val="left"/>
              <w:rPr>
                <w:b/>
                <w:sz w:val="24"/>
              </w:rPr>
            </w:pPr>
            <w:r>
              <w:rPr>
                <w:b/>
                <w:sz w:val="24"/>
              </w:rPr>
              <w:t xml:space="preserve">20 </w:t>
            </w:r>
            <w:r>
              <w:rPr>
                <w:b/>
                <w:spacing w:val="-2"/>
                <w:sz w:val="24"/>
              </w:rPr>
              <w:t>(7.09)</w:t>
            </w:r>
          </w:p>
        </w:tc>
        <w:tc>
          <w:tcPr>
            <w:tcW w:w="2475" w:type="dxa"/>
          </w:tcPr>
          <w:p w14:paraId="074BB41A" w14:textId="77777777" w:rsidR="001825E2" w:rsidRDefault="000839A5" w:rsidP="00CB00A7">
            <w:pPr>
              <w:pStyle w:val="TableParagraph"/>
              <w:spacing w:before="61"/>
              <w:ind w:left="35" w:right="16"/>
              <w:jc w:val="left"/>
              <w:rPr>
                <w:b/>
                <w:sz w:val="24"/>
              </w:rPr>
            </w:pPr>
            <w:r>
              <w:rPr>
                <w:b/>
                <w:sz w:val="24"/>
              </w:rPr>
              <w:t xml:space="preserve">82 </w:t>
            </w:r>
            <w:r>
              <w:rPr>
                <w:b/>
                <w:spacing w:val="-2"/>
                <w:sz w:val="24"/>
              </w:rPr>
              <w:t>(8.74)</w:t>
            </w:r>
          </w:p>
        </w:tc>
      </w:tr>
      <w:tr w:rsidR="001825E2" w14:paraId="0B740812" w14:textId="77777777">
        <w:trPr>
          <w:trHeight w:val="390"/>
        </w:trPr>
        <w:tc>
          <w:tcPr>
            <w:tcW w:w="4635" w:type="dxa"/>
          </w:tcPr>
          <w:p w14:paraId="4E7559ED" w14:textId="77777777" w:rsidR="001825E2" w:rsidRDefault="000839A5" w:rsidP="00CB00A7">
            <w:pPr>
              <w:pStyle w:val="TableParagraph"/>
              <w:spacing w:before="61"/>
              <w:ind w:left="472"/>
              <w:jc w:val="left"/>
              <w:rPr>
                <w:sz w:val="24"/>
              </w:rPr>
            </w:pPr>
            <w:r>
              <w:rPr>
                <w:spacing w:val="-2"/>
                <w:sz w:val="24"/>
              </w:rPr>
              <w:t>Nasopharyngitis</w:t>
            </w:r>
          </w:p>
        </w:tc>
        <w:tc>
          <w:tcPr>
            <w:tcW w:w="2130" w:type="dxa"/>
          </w:tcPr>
          <w:p w14:paraId="0707C021" w14:textId="77777777" w:rsidR="001825E2" w:rsidRDefault="000839A5" w:rsidP="00CB00A7">
            <w:pPr>
              <w:pStyle w:val="TableParagraph"/>
              <w:spacing w:before="61"/>
              <w:ind w:left="49" w:right="15"/>
              <w:jc w:val="left"/>
              <w:rPr>
                <w:sz w:val="24"/>
              </w:rPr>
            </w:pPr>
            <w:r>
              <w:rPr>
                <w:sz w:val="24"/>
              </w:rPr>
              <w:t xml:space="preserve">14 </w:t>
            </w:r>
            <w:r>
              <w:rPr>
                <w:spacing w:val="-2"/>
                <w:sz w:val="24"/>
              </w:rPr>
              <w:t>(4.96)</w:t>
            </w:r>
          </w:p>
        </w:tc>
        <w:tc>
          <w:tcPr>
            <w:tcW w:w="2475" w:type="dxa"/>
          </w:tcPr>
          <w:p w14:paraId="4F625C19" w14:textId="77777777" w:rsidR="001825E2" w:rsidRDefault="000839A5" w:rsidP="00CB00A7">
            <w:pPr>
              <w:pStyle w:val="TableParagraph"/>
              <w:spacing w:before="61"/>
              <w:ind w:left="35" w:right="16"/>
              <w:jc w:val="left"/>
              <w:rPr>
                <w:sz w:val="24"/>
              </w:rPr>
            </w:pPr>
            <w:r>
              <w:rPr>
                <w:sz w:val="24"/>
              </w:rPr>
              <w:t xml:space="preserve">56 </w:t>
            </w:r>
            <w:r>
              <w:rPr>
                <w:spacing w:val="-2"/>
                <w:sz w:val="24"/>
              </w:rPr>
              <w:t>(5.97)</w:t>
            </w:r>
          </w:p>
        </w:tc>
      </w:tr>
      <w:tr w:rsidR="001825E2" w14:paraId="71ED7CBC" w14:textId="77777777">
        <w:trPr>
          <w:trHeight w:val="390"/>
        </w:trPr>
        <w:tc>
          <w:tcPr>
            <w:tcW w:w="4635" w:type="dxa"/>
          </w:tcPr>
          <w:p w14:paraId="7D665DF9" w14:textId="77777777" w:rsidR="001825E2" w:rsidRDefault="000839A5" w:rsidP="00CB00A7">
            <w:pPr>
              <w:pStyle w:val="TableParagraph"/>
              <w:spacing w:before="61"/>
              <w:ind w:left="472"/>
              <w:jc w:val="left"/>
              <w:rPr>
                <w:sz w:val="24"/>
              </w:rPr>
            </w:pPr>
            <w:r>
              <w:rPr>
                <w:sz w:val="24"/>
              </w:rPr>
              <w:t>Upper</w:t>
            </w:r>
            <w:r>
              <w:rPr>
                <w:spacing w:val="-11"/>
                <w:sz w:val="24"/>
              </w:rPr>
              <w:t xml:space="preserve"> </w:t>
            </w:r>
            <w:r>
              <w:rPr>
                <w:sz w:val="24"/>
              </w:rPr>
              <w:t>respiratory</w:t>
            </w:r>
            <w:r>
              <w:rPr>
                <w:spacing w:val="8"/>
                <w:sz w:val="24"/>
              </w:rPr>
              <w:t xml:space="preserve"> </w:t>
            </w:r>
            <w:r>
              <w:rPr>
                <w:sz w:val="24"/>
              </w:rPr>
              <w:t>tract</w:t>
            </w:r>
            <w:r>
              <w:rPr>
                <w:spacing w:val="2"/>
                <w:sz w:val="24"/>
              </w:rPr>
              <w:t xml:space="preserve"> </w:t>
            </w:r>
            <w:r>
              <w:rPr>
                <w:spacing w:val="-2"/>
                <w:sz w:val="24"/>
              </w:rPr>
              <w:t>infection</w:t>
            </w:r>
          </w:p>
        </w:tc>
        <w:tc>
          <w:tcPr>
            <w:tcW w:w="2130" w:type="dxa"/>
          </w:tcPr>
          <w:p w14:paraId="5B300594" w14:textId="77777777" w:rsidR="001825E2" w:rsidRDefault="000839A5" w:rsidP="00CB00A7">
            <w:pPr>
              <w:pStyle w:val="TableParagraph"/>
              <w:spacing w:before="61"/>
              <w:ind w:left="49" w:right="15"/>
              <w:jc w:val="left"/>
              <w:rPr>
                <w:sz w:val="24"/>
              </w:rPr>
            </w:pPr>
            <w:r>
              <w:rPr>
                <w:sz w:val="24"/>
              </w:rPr>
              <w:t xml:space="preserve">6 </w:t>
            </w:r>
            <w:r>
              <w:rPr>
                <w:spacing w:val="-2"/>
                <w:sz w:val="24"/>
              </w:rPr>
              <w:t>(2.13)</w:t>
            </w:r>
          </w:p>
        </w:tc>
        <w:tc>
          <w:tcPr>
            <w:tcW w:w="2475" w:type="dxa"/>
          </w:tcPr>
          <w:p w14:paraId="5C52DCCD" w14:textId="77777777" w:rsidR="001825E2" w:rsidRDefault="000839A5" w:rsidP="00CB00A7">
            <w:pPr>
              <w:pStyle w:val="TableParagraph"/>
              <w:spacing w:before="61"/>
              <w:ind w:left="35" w:right="16"/>
              <w:jc w:val="left"/>
              <w:rPr>
                <w:sz w:val="24"/>
              </w:rPr>
            </w:pPr>
            <w:r>
              <w:rPr>
                <w:sz w:val="24"/>
              </w:rPr>
              <w:t xml:space="preserve">26 </w:t>
            </w:r>
            <w:r>
              <w:rPr>
                <w:spacing w:val="-2"/>
                <w:sz w:val="24"/>
              </w:rPr>
              <w:t>(2.77)</w:t>
            </w:r>
          </w:p>
        </w:tc>
      </w:tr>
      <w:tr w:rsidR="001825E2" w14:paraId="061F5D28" w14:textId="77777777">
        <w:trPr>
          <w:trHeight w:val="390"/>
        </w:trPr>
        <w:tc>
          <w:tcPr>
            <w:tcW w:w="4635" w:type="dxa"/>
          </w:tcPr>
          <w:p w14:paraId="3ED73773" w14:textId="77777777" w:rsidR="001825E2" w:rsidRDefault="000839A5" w:rsidP="00CB00A7">
            <w:pPr>
              <w:pStyle w:val="TableParagraph"/>
              <w:spacing w:before="61"/>
              <w:jc w:val="left"/>
              <w:rPr>
                <w:b/>
                <w:sz w:val="24"/>
              </w:rPr>
            </w:pPr>
            <w:r>
              <w:rPr>
                <w:b/>
                <w:spacing w:val="-2"/>
                <w:sz w:val="24"/>
              </w:rPr>
              <w:t>Investigations</w:t>
            </w:r>
          </w:p>
        </w:tc>
        <w:tc>
          <w:tcPr>
            <w:tcW w:w="2130" w:type="dxa"/>
          </w:tcPr>
          <w:p w14:paraId="61771A0E" w14:textId="77777777" w:rsidR="001825E2" w:rsidRDefault="000839A5" w:rsidP="00CB00A7">
            <w:pPr>
              <w:pStyle w:val="TableParagraph"/>
              <w:spacing w:before="61"/>
              <w:ind w:left="49" w:right="15"/>
              <w:jc w:val="left"/>
              <w:rPr>
                <w:b/>
                <w:sz w:val="24"/>
              </w:rPr>
            </w:pPr>
            <w:r>
              <w:rPr>
                <w:b/>
                <w:sz w:val="24"/>
              </w:rPr>
              <w:t xml:space="preserve">3 </w:t>
            </w:r>
            <w:r>
              <w:rPr>
                <w:b/>
                <w:spacing w:val="-2"/>
                <w:sz w:val="24"/>
              </w:rPr>
              <w:t>(1.06)</w:t>
            </w:r>
          </w:p>
        </w:tc>
        <w:tc>
          <w:tcPr>
            <w:tcW w:w="2475" w:type="dxa"/>
          </w:tcPr>
          <w:p w14:paraId="312F7EC7" w14:textId="77777777" w:rsidR="001825E2" w:rsidRDefault="000839A5" w:rsidP="00CB00A7">
            <w:pPr>
              <w:pStyle w:val="TableParagraph"/>
              <w:spacing w:before="61"/>
              <w:ind w:left="35" w:right="16"/>
              <w:jc w:val="left"/>
              <w:rPr>
                <w:b/>
                <w:sz w:val="24"/>
              </w:rPr>
            </w:pPr>
            <w:r>
              <w:rPr>
                <w:b/>
                <w:sz w:val="24"/>
              </w:rPr>
              <w:t xml:space="preserve">25 </w:t>
            </w:r>
            <w:r>
              <w:rPr>
                <w:b/>
                <w:spacing w:val="-2"/>
                <w:sz w:val="24"/>
              </w:rPr>
              <w:t>(2.67)</w:t>
            </w:r>
          </w:p>
        </w:tc>
      </w:tr>
      <w:tr w:rsidR="001825E2" w14:paraId="0C437B03" w14:textId="77777777">
        <w:trPr>
          <w:trHeight w:val="390"/>
        </w:trPr>
        <w:tc>
          <w:tcPr>
            <w:tcW w:w="4635" w:type="dxa"/>
          </w:tcPr>
          <w:p w14:paraId="7C45783B" w14:textId="77777777" w:rsidR="001825E2" w:rsidRDefault="000839A5" w:rsidP="00CB00A7">
            <w:pPr>
              <w:pStyle w:val="TableParagraph"/>
              <w:spacing w:before="61"/>
              <w:ind w:left="472"/>
              <w:jc w:val="left"/>
              <w:rPr>
                <w:sz w:val="24"/>
              </w:rPr>
            </w:pPr>
            <w:r>
              <w:rPr>
                <w:sz w:val="24"/>
              </w:rPr>
              <w:t>Blood</w:t>
            </w:r>
            <w:r>
              <w:rPr>
                <w:spacing w:val="-9"/>
                <w:sz w:val="24"/>
              </w:rPr>
              <w:t xml:space="preserve"> </w:t>
            </w:r>
            <w:r>
              <w:rPr>
                <w:sz w:val="24"/>
              </w:rPr>
              <w:t>creatine</w:t>
            </w:r>
            <w:r>
              <w:rPr>
                <w:spacing w:val="2"/>
                <w:sz w:val="24"/>
              </w:rPr>
              <w:t xml:space="preserve"> </w:t>
            </w:r>
            <w:r>
              <w:rPr>
                <w:sz w:val="24"/>
              </w:rPr>
              <w:t>phosphokinase</w:t>
            </w:r>
            <w:r>
              <w:rPr>
                <w:spacing w:val="3"/>
                <w:sz w:val="24"/>
              </w:rPr>
              <w:t xml:space="preserve"> </w:t>
            </w:r>
            <w:r>
              <w:rPr>
                <w:spacing w:val="-2"/>
                <w:sz w:val="24"/>
              </w:rPr>
              <w:t>increased</w:t>
            </w:r>
          </w:p>
        </w:tc>
        <w:tc>
          <w:tcPr>
            <w:tcW w:w="2130" w:type="dxa"/>
          </w:tcPr>
          <w:p w14:paraId="10227230" w14:textId="77777777" w:rsidR="001825E2" w:rsidRDefault="000839A5" w:rsidP="00CB00A7">
            <w:pPr>
              <w:pStyle w:val="TableParagraph"/>
              <w:spacing w:before="61"/>
              <w:ind w:left="49" w:right="15"/>
              <w:jc w:val="left"/>
              <w:rPr>
                <w:sz w:val="24"/>
              </w:rPr>
            </w:pPr>
            <w:r>
              <w:rPr>
                <w:sz w:val="24"/>
              </w:rPr>
              <w:t xml:space="preserve">3 </w:t>
            </w:r>
            <w:r>
              <w:rPr>
                <w:spacing w:val="-2"/>
                <w:sz w:val="24"/>
              </w:rPr>
              <w:t>(1.06)</w:t>
            </w:r>
          </w:p>
        </w:tc>
        <w:tc>
          <w:tcPr>
            <w:tcW w:w="2475" w:type="dxa"/>
          </w:tcPr>
          <w:p w14:paraId="14834D91" w14:textId="77777777" w:rsidR="001825E2" w:rsidRDefault="000839A5" w:rsidP="00CB00A7">
            <w:pPr>
              <w:pStyle w:val="TableParagraph"/>
              <w:spacing w:before="61"/>
              <w:ind w:left="35" w:right="16"/>
              <w:jc w:val="left"/>
              <w:rPr>
                <w:sz w:val="24"/>
              </w:rPr>
            </w:pPr>
            <w:r>
              <w:rPr>
                <w:sz w:val="24"/>
              </w:rPr>
              <w:t xml:space="preserve">25 </w:t>
            </w:r>
            <w:r>
              <w:rPr>
                <w:spacing w:val="-2"/>
                <w:sz w:val="24"/>
              </w:rPr>
              <w:t>(2.67)</w:t>
            </w:r>
          </w:p>
        </w:tc>
      </w:tr>
      <w:tr w:rsidR="001825E2" w14:paraId="3EBB2752" w14:textId="77777777">
        <w:trPr>
          <w:trHeight w:val="390"/>
        </w:trPr>
        <w:tc>
          <w:tcPr>
            <w:tcW w:w="4635" w:type="dxa"/>
          </w:tcPr>
          <w:p w14:paraId="13D2D292" w14:textId="77777777" w:rsidR="001825E2" w:rsidRDefault="000839A5" w:rsidP="00CB00A7">
            <w:pPr>
              <w:pStyle w:val="TableParagraph"/>
              <w:spacing w:before="61"/>
              <w:ind w:left="472"/>
              <w:jc w:val="left"/>
              <w:rPr>
                <w:sz w:val="24"/>
              </w:rPr>
            </w:pPr>
            <w:r>
              <w:rPr>
                <w:sz w:val="24"/>
              </w:rPr>
              <w:t>Elevated</w:t>
            </w:r>
            <w:r>
              <w:rPr>
                <w:spacing w:val="-8"/>
                <w:sz w:val="24"/>
              </w:rPr>
              <w:t xml:space="preserve"> </w:t>
            </w:r>
            <w:r>
              <w:rPr>
                <w:sz w:val="24"/>
              </w:rPr>
              <w:t xml:space="preserve">cholesterol </w:t>
            </w:r>
            <w:r>
              <w:rPr>
                <w:spacing w:val="-2"/>
                <w:sz w:val="24"/>
              </w:rPr>
              <w:t>levels*</w:t>
            </w:r>
          </w:p>
        </w:tc>
        <w:tc>
          <w:tcPr>
            <w:tcW w:w="2130" w:type="dxa"/>
          </w:tcPr>
          <w:p w14:paraId="19E4F286" w14:textId="77777777" w:rsidR="001825E2" w:rsidRDefault="000839A5" w:rsidP="00CB00A7">
            <w:pPr>
              <w:pStyle w:val="TableParagraph"/>
              <w:spacing w:before="61"/>
              <w:ind w:left="49" w:right="15"/>
              <w:jc w:val="left"/>
              <w:rPr>
                <w:sz w:val="24"/>
              </w:rPr>
            </w:pPr>
            <w:r>
              <w:rPr>
                <w:sz w:val="24"/>
              </w:rPr>
              <w:t xml:space="preserve">0 </w:t>
            </w:r>
            <w:r>
              <w:rPr>
                <w:spacing w:val="-2"/>
                <w:sz w:val="24"/>
              </w:rPr>
              <w:t>(0.0)</w:t>
            </w:r>
          </w:p>
        </w:tc>
        <w:tc>
          <w:tcPr>
            <w:tcW w:w="2475" w:type="dxa"/>
          </w:tcPr>
          <w:p w14:paraId="7F38BD17" w14:textId="77777777" w:rsidR="001825E2" w:rsidRDefault="000839A5" w:rsidP="00CB00A7">
            <w:pPr>
              <w:pStyle w:val="TableParagraph"/>
              <w:spacing w:before="61"/>
              <w:ind w:left="35" w:right="16"/>
              <w:jc w:val="left"/>
              <w:rPr>
                <w:sz w:val="24"/>
              </w:rPr>
            </w:pPr>
            <w:r>
              <w:rPr>
                <w:sz w:val="24"/>
              </w:rPr>
              <w:t xml:space="preserve">31 </w:t>
            </w:r>
            <w:r>
              <w:rPr>
                <w:spacing w:val="-2"/>
                <w:sz w:val="24"/>
              </w:rPr>
              <w:t>(3.3)</w:t>
            </w:r>
          </w:p>
        </w:tc>
      </w:tr>
      <w:tr w:rsidR="001825E2" w14:paraId="51306C60" w14:textId="77777777">
        <w:trPr>
          <w:trHeight w:val="675"/>
        </w:trPr>
        <w:tc>
          <w:tcPr>
            <w:tcW w:w="4635" w:type="dxa"/>
          </w:tcPr>
          <w:p w14:paraId="2CE05A52" w14:textId="77777777" w:rsidR="001825E2" w:rsidRDefault="000839A5" w:rsidP="00CB00A7">
            <w:pPr>
              <w:pStyle w:val="TableParagraph"/>
              <w:spacing w:before="65" w:line="235" w:lineRule="auto"/>
              <w:jc w:val="left"/>
              <w:rPr>
                <w:b/>
                <w:sz w:val="24"/>
              </w:rPr>
            </w:pPr>
            <w:r>
              <w:rPr>
                <w:b/>
                <w:sz w:val="24"/>
              </w:rPr>
              <w:t>Musculoskeletal</w:t>
            </w:r>
            <w:r>
              <w:rPr>
                <w:b/>
                <w:spacing w:val="-7"/>
                <w:sz w:val="24"/>
              </w:rPr>
              <w:t xml:space="preserve"> </w:t>
            </w:r>
            <w:r>
              <w:rPr>
                <w:b/>
                <w:sz w:val="24"/>
              </w:rPr>
              <w:t>and</w:t>
            </w:r>
            <w:r>
              <w:rPr>
                <w:b/>
                <w:spacing w:val="-15"/>
                <w:sz w:val="24"/>
              </w:rPr>
              <w:t xml:space="preserve"> </w:t>
            </w:r>
            <w:r>
              <w:rPr>
                <w:b/>
                <w:sz w:val="24"/>
              </w:rPr>
              <w:t>connective</w:t>
            </w:r>
            <w:r>
              <w:rPr>
                <w:b/>
                <w:spacing w:val="-12"/>
                <w:sz w:val="24"/>
              </w:rPr>
              <w:t xml:space="preserve"> </w:t>
            </w:r>
            <w:r>
              <w:rPr>
                <w:b/>
                <w:sz w:val="24"/>
              </w:rPr>
              <w:t xml:space="preserve">tissue </w:t>
            </w:r>
            <w:r>
              <w:rPr>
                <w:b/>
                <w:spacing w:val="-2"/>
                <w:sz w:val="24"/>
              </w:rPr>
              <w:t>disorders</w:t>
            </w:r>
          </w:p>
        </w:tc>
        <w:tc>
          <w:tcPr>
            <w:tcW w:w="2130" w:type="dxa"/>
          </w:tcPr>
          <w:p w14:paraId="35F5B3FC" w14:textId="77777777" w:rsidR="001825E2" w:rsidRDefault="000839A5" w:rsidP="00CB00A7">
            <w:pPr>
              <w:pStyle w:val="TableParagraph"/>
              <w:spacing w:before="61"/>
              <w:ind w:left="49" w:right="15"/>
              <w:jc w:val="left"/>
              <w:rPr>
                <w:b/>
                <w:sz w:val="24"/>
              </w:rPr>
            </w:pPr>
            <w:r>
              <w:rPr>
                <w:b/>
                <w:sz w:val="24"/>
              </w:rPr>
              <w:t xml:space="preserve">12 </w:t>
            </w:r>
            <w:r>
              <w:rPr>
                <w:b/>
                <w:spacing w:val="-2"/>
                <w:sz w:val="24"/>
              </w:rPr>
              <w:t>(4.26)</w:t>
            </w:r>
          </w:p>
        </w:tc>
        <w:tc>
          <w:tcPr>
            <w:tcW w:w="2475" w:type="dxa"/>
          </w:tcPr>
          <w:p w14:paraId="2E06AD3B" w14:textId="77777777" w:rsidR="001825E2" w:rsidRDefault="000839A5" w:rsidP="00CB00A7">
            <w:pPr>
              <w:pStyle w:val="TableParagraph"/>
              <w:spacing w:before="61"/>
              <w:ind w:left="35" w:right="16"/>
              <w:jc w:val="left"/>
              <w:rPr>
                <w:b/>
                <w:sz w:val="24"/>
              </w:rPr>
            </w:pPr>
            <w:r>
              <w:rPr>
                <w:b/>
                <w:sz w:val="24"/>
              </w:rPr>
              <w:t xml:space="preserve">27 </w:t>
            </w:r>
            <w:r>
              <w:rPr>
                <w:b/>
                <w:spacing w:val="-2"/>
                <w:sz w:val="24"/>
              </w:rPr>
              <w:t>(2.88)</w:t>
            </w:r>
          </w:p>
        </w:tc>
      </w:tr>
      <w:tr w:rsidR="001825E2" w14:paraId="17A7AF9F" w14:textId="77777777">
        <w:trPr>
          <w:trHeight w:val="390"/>
        </w:trPr>
        <w:tc>
          <w:tcPr>
            <w:tcW w:w="4635" w:type="dxa"/>
          </w:tcPr>
          <w:p w14:paraId="49BA84B4" w14:textId="77777777" w:rsidR="001825E2" w:rsidRDefault="000839A5" w:rsidP="00CB00A7">
            <w:pPr>
              <w:pStyle w:val="TableParagraph"/>
              <w:spacing w:before="46"/>
              <w:ind w:left="472"/>
              <w:jc w:val="left"/>
              <w:rPr>
                <w:sz w:val="24"/>
              </w:rPr>
            </w:pPr>
            <w:r>
              <w:rPr>
                <w:spacing w:val="-2"/>
                <w:sz w:val="24"/>
              </w:rPr>
              <w:t>Arthralgia</w:t>
            </w:r>
          </w:p>
        </w:tc>
        <w:tc>
          <w:tcPr>
            <w:tcW w:w="2130" w:type="dxa"/>
          </w:tcPr>
          <w:p w14:paraId="1381C177" w14:textId="77777777" w:rsidR="001825E2" w:rsidRDefault="000839A5" w:rsidP="00CB00A7">
            <w:pPr>
              <w:pStyle w:val="TableParagraph"/>
              <w:spacing w:before="46"/>
              <w:ind w:left="49" w:right="15"/>
              <w:jc w:val="left"/>
              <w:rPr>
                <w:sz w:val="24"/>
              </w:rPr>
            </w:pPr>
            <w:r>
              <w:rPr>
                <w:sz w:val="24"/>
              </w:rPr>
              <w:t xml:space="preserve">12 </w:t>
            </w:r>
            <w:r>
              <w:rPr>
                <w:spacing w:val="-2"/>
                <w:sz w:val="24"/>
              </w:rPr>
              <w:t>(4.26)</w:t>
            </w:r>
          </w:p>
        </w:tc>
        <w:tc>
          <w:tcPr>
            <w:tcW w:w="2475" w:type="dxa"/>
          </w:tcPr>
          <w:p w14:paraId="73E79E10" w14:textId="77777777" w:rsidR="001825E2" w:rsidRDefault="000839A5" w:rsidP="00CB00A7">
            <w:pPr>
              <w:pStyle w:val="TableParagraph"/>
              <w:spacing w:before="46"/>
              <w:ind w:left="35" w:right="16"/>
              <w:jc w:val="left"/>
              <w:rPr>
                <w:sz w:val="24"/>
              </w:rPr>
            </w:pPr>
            <w:r>
              <w:rPr>
                <w:sz w:val="24"/>
              </w:rPr>
              <w:t xml:space="preserve">27 </w:t>
            </w:r>
            <w:r>
              <w:rPr>
                <w:spacing w:val="-2"/>
                <w:sz w:val="24"/>
              </w:rPr>
              <w:t>(2.88)</w:t>
            </w:r>
          </w:p>
        </w:tc>
      </w:tr>
      <w:tr w:rsidR="001825E2" w14:paraId="05C8A11E" w14:textId="77777777">
        <w:trPr>
          <w:trHeight w:val="390"/>
        </w:trPr>
        <w:tc>
          <w:tcPr>
            <w:tcW w:w="4635" w:type="dxa"/>
          </w:tcPr>
          <w:p w14:paraId="17091824" w14:textId="77777777" w:rsidR="001825E2" w:rsidRDefault="000839A5" w:rsidP="00CB00A7">
            <w:pPr>
              <w:pStyle w:val="TableParagraph"/>
              <w:spacing w:before="46"/>
              <w:jc w:val="left"/>
              <w:rPr>
                <w:b/>
                <w:sz w:val="24"/>
              </w:rPr>
            </w:pPr>
            <w:r>
              <w:rPr>
                <w:b/>
                <w:sz w:val="24"/>
              </w:rPr>
              <w:t>Nervous</w:t>
            </w:r>
            <w:r>
              <w:rPr>
                <w:b/>
                <w:spacing w:val="-10"/>
                <w:sz w:val="24"/>
              </w:rPr>
              <w:t xml:space="preserve"> </w:t>
            </w:r>
            <w:r>
              <w:rPr>
                <w:b/>
                <w:sz w:val="24"/>
              </w:rPr>
              <w:t>system</w:t>
            </w:r>
            <w:r>
              <w:rPr>
                <w:b/>
                <w:spacing w:val="4"/>
                <w:sz w:val="24"/>
              </w:rPr>
              <w:t xml:space="preserve"> </w:t>
            </w:r>
            <w:r>
              <w:rPr>
                <w:b/>
                <w:spacing w:val="-2"/>
                <w:sz w:val="24"/>
              </w:rPr>
              <w:t>disorders</w:t>
            </w:r>
          </w:p>
        </w:tc>
        <w:tc>
          <w:tcPr>
            <w:tcW w:w="2130" w:type="dxa"/>
          </w:tcPr>
          <w:p w14:paraId="52EFEB74" w14:textId="77777777" w:rsidR="001825E2" w:rsidRDefault="000839A5" w:rsidP="00CB00A7">
            <w:pPr>
              <w:pStyle w:val="TableParagraph"/>
              <w:spacing w:before="46"/>
              <w:ind w:left="49" w:right="15"/>
              <w:jc w:val="left"/>
              <w:rPr>
                <w:b/>
                <w:sz w:val="24"/>
              </w:rPr>
            </w:pPr>
            <w:r>
              <w:rPr>
                <w:b/>
                <w:sz w:val="24"/>
              </w:rPr>
              <w:t xml:space="preserve">19 </w:t>
            </w:r>
            <w:r>
              <w:rPr>
                <w:b/>
                <w:spacing w:val="-2"/>
                <w:sz w:val="24"/>
              </w:rPr>
              <w:t>(6.74)</w:t>
            </w:r>
          </w:p>
        </w:tc>
        <w:tc>
          <w:tcPr>
            <w:tcW w:w="2475" w:type="dxa"/>
          </w:tcPr>
          <w:p w14:paraId="59289AD4" w14:textId="77777777" w:rsidR="001825E2" w:rsidRDefault="000839A5" w:rsidP="00CB00A7">
            <w:pPr>
              <w:pStyle w:val="TableParagraph"/>
              <w:spacing w:before="46"/>
              <w:ind w:left="35" w:right="16"/>
              <w:jc w:val="left"/>
              <w:rPr>
                <w:b/>
                <w:sz w:val="24"/>
              </w:rPr>
            </w:pPr>
            <w:r>
              <w:rPr>
                <w:b/>
                <w:sz w:val="24"/>
              </w:rPr>
              <w:t xml:space="preserve">73 </w:t>
            </w:r>
            <w:r>
              <w:rPr>
                <w:b/>
                <w:spacing w:val="-2"/>
                <w:sz w:val="24"/>
              </w:rPr>
              <w:t>(7.78)</w:t>
            </w:r>
          </w:p>
        </w:tc>
      </w:tr>
      <w:tr w:rsidR="001825E2" w14:paraId="3A96FD4E" w14:textId="77777777">
        <w:trPr>
          <w:trHeight w:val="390"/>
        </w:trPr>
        <w:tc>
          <w:tcPr>
            <w:tcW w:w="4635" w:type="dxa"/>
          </w:tcPr>
          <w:p w14:paraId="7CD9B72A" w14:textId="77777777" w:rsidR="001825E2" w:rsidRDefault="000839A5" w:rsidP="00CB00A7">
            <w:pPr>
              <w:pStyle w:val="TableParagraph"/>
              <w:spacing w:before="46"/>
              <w:ind w:left="472"/>
              <w:jc w:val="left"/>
              <w:rPr>
                <w:sz w:val="24"/>
              </w:rPr>
            </w:pPr>
            <w:r>
              <w:rPr>
                <w:spacing w:val="-2"/>
                <w:sz w:val="24"/>
              </w:rPr>
              <w:t>Headache</w:t>
            </w:r>
          </w:p>
        </w:tc>
        <w:tc>
          <w:tcPr>
            <w:tcW w:w="2130" w:type="dxa"/>
          </w:tcPr>
          <w:p w14:paraId="4754BA19" w14:textId="77777777" w:rsidR="001825E2" w:rsidRDefault="000839A5" w:rsidP="00CB00A7">
            <w:pPr>
              <w:pStyle w:val="TableParagraph"/>
              <w:spacing w:before="46"/>
              <w:ind w:left="49" w:right="15"/>
              <w:jc w:val="left"/>
              <w:rPr>
                <w:sz w:val="24"/>
              </w:rPr>
            </w:pPr>
            <w:r>
              <w:rPr>
                <w:sz w:val="24"/>
              </w:rPr>
              <w:t xml:space="preserve">19 </w:t>
            </w:r>
            <w:r>
              <w:rPr>
                <w:spacing w:val="-2"/>
                <w:sz w:val="24"/>
              </w:rPr>
              <w:t>(6.74)</w:t>
            </w:r>
          </w:p>
        </w:tc>
        <w:tc>
          <w:tcPr>
            <w:tcW w:w="2475" w:type="dxa"/>
          </w:tcPr>
          <w:p w14:paraId="18742408" w14:textId="77777777" w:rsidR="001825E2" w:rsidRDefault="000839A5" w:rsidP="00CB00A7">
            <w:pPr>
              <w:pStyle w:val="TableParagraph"/>
              <w:spacing w:before="46"/>
              <w:ind w:left="35" w:right="16"/>
              <w:jc w:val="left"/>
              <w:rPr>
                <w:sz w:val="24"/>
              </w:rPr>
            </w:pPr>
            <w:r>
              <w:rPr>
                <w:sz w:val="24"/>
              </w:rPr>
              <w:t xml:space="preserve">73 </w:t>
            </w:r>
            <w:r>
              <w:rPr>
                <w:spacing w:val="-2"/>
                <w:sz w:val="24"/>
              </w:rPr>
              <w:t>(7.78)</w:t>
            </w:r>
          </w:p>
        </w:tc>
      </w:tr>
      <w:tr w:rsidR="001825E2" w14:paraId="6414F618" w14:textId="77777777">
        <w:trPr>
          <w:trHeight w:val="660"/>
        </w:trPr>
        <w:tc>
          <w:tcPr>
            <w:tcW w:w="4635" w:type="dxa"/>
          </w:tcPr>
          <w:p w14:paraId="4D806E3B" w14:textId="77777777" w:rsidR="001825E2" w:rsidRDefault="000839A5" w:rsidP="00CB00A7">
            <w:pPr>
              <w:pStyle w:val="TableParagraph"/>
              <w:spacing w:before="65" w:line="235" w:lineRule="auto"/>
              <w:jc w:val="left"/>
              <w:rPr>
                <w:b/>
                <w:sz w:val="24"/>
              </w:rPr>
            </w:pPr>
            <w:r>
              <w:rPr>
                <w:b/>
                <w:sz w:val="24"/>
              </w:rPr>
              <w:t>Respiratory,</w:t>
            </w:r>
            <w:r>
              <w:rPr>
                <w:b/>
                <w:spacing w:val="-12"/>
                <w:sz w:val="24"/>
              </w:rPr>
              <w:t xml:space="preserve"> </w:t>
            </w:r>
            <w:proofErr w:type="gramStart"/>
            <w:r>
              <w:rPr>
                <w:b/>
                <w:sz w:val="24"/>
              </w:rPr>
              <w:t>thoracic</w:t>
            </w:r>
            <w:proofErr w:type="gramEnd"/>
            <w:r>
              <w:rPr>
                <w:b/>
                <w:spacing w:val="-12"/>
                <w:sz w:val="24"/>
              </w:rPr>
              <w:t xml:space="preserve"> </w:t>
            </w:r>
            <w:r>
              <w:rPr>
                <w:b/>
                <w:sz w:val="24"/>
              </w:rPr>
              <w:t>and</w:t>
            </w:r>
            <w:r>
              <w:rPr>
                <w:b/>
                <w:spacing w:val="-15"/>
                <w:sz w:val="24"/>
              </w:rPr>
              <w:t xml:space="preserve"> </w:t>
            </w:r>
            <w:r>
              <w:rPr>
                <w:b/>
                <w:sz w:val="24"/>
              </w:rPr>
              <w:t xml:space="preserve">mediastinal </w:t>
            </w:r>
            <w:r>
              <w:rPr>
                <w:b/>
                <w:spacing w:val="-2"/>
                <w:sz w:val="24"/>
              </w:rPr>
              <w:t>disorders</w:t>
            </w:r>
          </w:p>
        </w:tc>
        <w:tc>
          <w:tcPr>
            <w:tcW w:w="2130" w:type="dxa"/>
          </w:tcPr>
          <w:p w14:paraId="53119F8E" w14:textId="77777777" w:rsidR="001825E2" w:rsidRDefault="000839A5" w:rsidP="00CB00A7">
            <w:pPr>
              <w:pStyle w:val="TableParagraph"/>
              <w:spacing w:before="61"/>
              <w:ind w:left="49" w:right="15"/>
              <w:jc w:val="left"/>
              <w:rPr>
                <w:b/>
                <w:sz w:val="24"/>
              </w:rPr>
            </w:pPr>
            <w:r>
              <w:rPr>
                <w:b/>
                <w:sz w:val="24"/>
              </w:rPr>
              <w:t xml:space="preserve">7 </w:t>
            </w:r>
            <w:r>
              <w:rPr>
                <w:b/>
                <w:spacing w:val="-2"/>
                <w:sz w:val="24"/>
              </w:rPr>
              <w:t>(2.48)</w:t>
            </w:r>
          </w:p>
        </w:tc>
        <w:tc>
          <w:tcPr>
            <w:tcW w:w="2475" w:type="dxa"/>
          </w:tcPr>
          <w:p w14:paraId="6622E76C" w14:textId="77777777" w:rsidR="001825E2" w:rsidRDefault="000839A5" w:rsidP="00CB00A7">
            <w:pPr>
              <w:pStyle w:val="TableParagraph"/>
              <w:spacing w:before="61"/>
              <w:ind w:left="35" w:right="16"/>
              <w:jc w:val="left"/>
              <w:rPr>
                <w:b/>
                <w:sz w:val="24"/>
              </w:rPr>
            </w:pPr>
            <w:r>
              <w:rPr>
                <w:b/>
                <w:sz w:val="24"/>
              </w:rPr>
              <w:t xml:space="preserve">13 </w:t>
            </w:r>
            <w:r>
              <w:rPr>
                <w:b/>
                <w:spacing w:val="-2"/>
                <w:sz w:val="24"/>
              </w:rPr>
              <w:t>(1.39)</w:t>
            </w:r>
          </w:p>
        </w:tc>
      </w:tr>
      <w:tr w:rsidR="001825E2" w14:paraId="4A79EE3F" w14:textId="77777777">
        <w:trPr>
          <w:trHeight w:val="390"/>
        </w:trPr>
        <w:tc>
          <w:tcPr>
            <w:tcW w:w="4635" w:type="dxa"/>
          </w:tcPr>
          <w:p w14:paraId="1331EB16" w14:textId="77777777" w:rsidR="001825E2" w:rsidRDefault="000839A5" w:rsidP="00CB00A7">
            <w:pPr>
              <w:pStyle w:val="TableParagraph"/>
              <w:spacing w:before="61"/>
              <w:ind w:left="472"/>
              <w:jc w:val="left"/>
              <w:rPr>
                <w:sz w:val="24"/>
              </w:rPr>
            </w:pPr>
            <w:r>
              <w:rPr>
                <w:spacing w:val="-2"/>
                <w:sz w:val="24"/>
              </w:rPr>
              <w:t>Cough</w:t>
            </w:r>
          </w:p>
        </w:tc>
        <w:tc>
          <w:tcPr>
            <w:tcW w:w="2130" w:type="dxa"/>
          </w:tcPr>
          <w:p w14:paraId="7D1461D6" w14:textId="77777777" w:rsidR="001825E2" w:rsidRDefault="000839A5" w:rsidP="00CB00A7">
            <w:pPr>
              <w:pStyle w:val="TableParagraph"/>
              <w:spacing w:before="61"/>
              <w:ind w:left="49" w:right="15"/>
              <w:jc w:val="left"/>
              <w:rPr>
                <w:sz w:val="24"/>
              </w:rPr>
            </w:pPr>
            <w:r>
              <w:rPr>
                <w:sz w:val="24"/>
              </w:rPr>
              <w:t xml:space="preserve">7 </w:t>
            </w:r>
            <w:r>
              <w:rPr>
                <w:spacing w:val="-2"/>
                <w:sz w:val="24"/>
              </w:rPr>
              <w:t>(2.48)</w:t>
            </w:r>
          </w:p>
        </w:tc>
        <w:tc>
          <w:tcPr>
            <w:tcW w:w="2475" w:type="dxa"/>
          </w:tcPr>
          <w:p w14:paraId="11FA4D73" w14:textId="77777777" w:rsidR="001825E2" w:rsidRDefault="000839A5" w:rsidP="00CB00A7">
            <w:pPr>
              <w:pStyle w:val="TableParagraph"/>
              <w:spacing w:before="61"/>
              <w:ind w:left="35" w:right="16"/>
              <w:jc w:val="left"/>
              <w:rPr>
                <w:sz w:val="24"/>
              </w:rPr>
            </w:pPr>
            <w:r>
              <w:rPr>
                <w:sz w:val="24"/>
              </w:rPr>
              <w:t xml:space="preserve">13 </w:t>
            </w:r>
            <w:r>
              <w:rPr>
                <w:spacing w:val="-2"/>
                <w:sz w:val="24"/>
              </w:rPr>
              <w:t>(1.39)</w:t>
            </w:r>
          </w:p>
        </w:tc>
      </w:tr>
      <w:tr w:rsidR="001825E2" w14:paraId="4D306049" w14:textId="77777777">
        <w:trPr>
          <w:trHeight w:val="390"/>
        </w:trPr>
        <w:tc>
          <w:tcPr>
            <w:tcW w:w="4635" w:type="dxa"/>
          </w:tcPr>
          <w:p w14:paraId="42B5CCF0" w14:textId="77777777" w:rsidR="001825E2" w:rsidRDefault="000839A5" w:rsidP="00CB00A7">
            <w:pPr>
              <w:pStyle w:val="TableParagraph"/>
              <w:spacing w:before="61"/>
              <w:jc w:val="left"/>
              <w:rPr>
                <w:b/>
                <w:sz w:val="24"/>
              </w:rPr>
            </w:pPr>
            <w:r>
              <w:rPr>
                <w:b/>
                <w:sz w:val="24"/>
              </w:rPr>
              <w:t>Skin</w:t>
            </w:r>
            <w:r>
              <w:rPr>
                <w:b/>
                <w:spacing w:val="-6"/>
                <w:sz w:val="24"/>
              </w:rPr>
              <w:t xml:space="preserve"> </w:t>
            </w:r>
            <w:r>
              <w:rPr>
                <w:b/>
                <w:sz w:val="24"/>
              </w:rPr>
              <w:t>and</w:t>
            </w:r>
            <w:r>
              <w:rPr>
                <w:b/>
                <w:spacing w:val="-6"/>
                <w:sz w:val="24"/>
              </w:rPr>
              <w:t xml:space="preserve"> </w:t>
            </w:r>
            <w:r>
              <w:rPr>
                <w:b/>
                <w:sz w:val="24"/>
              </w:rPr>
              <w:t>subcutaneous</w:t>
            </w:r>
            <w:r>
              <w:rPr>
                <w:b/>
                <w:spacing w:val="-11"/>
                <w:sz w:val="24"/>
              </w:rPr>
              <w:t xml:space="preserve"> </w:t>
            </w:r>
            <w:r>
              <w:rPr>
                <w:b/>
                <w:sz w:val="24"/>
              </w:rPr>
              <w:t>tissue</w:t>
            </w:r>
            <w:r>
              <w:rPr>
                <w:b/>
                <w:spacing w:val="19"/>
                <w:sz w:val="24"/>
              </w:rPr>
              <w:t xml:space="preserve"> </w:t>
            </w:r>
            <w:r>
              <w:rPr>
                <w:b/>
                <w:spacing w:val="-2"/>
                <w:sz w:val="24"/>
              </w:rPr>
              <w:t>disorders</w:t>
            </w:r>
          </w:p>
        </w:tc>
        <w:tc>
          <w:tcPr>
            <w:tcW w:w="2130" w:type="dxa"/>
          </w:tcPr>
          <w:p w14:paraId="5383FC29" w14:textId="77777777" w:rsidR="001825E2" w:rsidRDefault="000839A5" w:rsidP="00CB00A7">
            <w:pPr>
              <w:pStyle w:val="TableParagraph"/>
              <w:spacing w:before="61"/>
              <w:ind w:left="49" w:right="15"/>
              <w:jc w:val="left"/>
              <w:rPr>
                <w:b/>
                <w:sz w:val="24"/>
              </w:rPr>
            </w:pPr>
            <w:r>
              <w:rPr>
                <w:b/>
                <w:sz w:val="24"/>
              </w:rPr>
              <w:t xml:space="preserve">1 </w:t>
            </w:r>
            <w:r>
              <w:rPr>
                <w:b/>
                <w:spacing w:val="-2"/>
                <w:sz w:val="24"/>
              </w:rPr>
              <w:t>(0.35)</w:t>
            </w:r>
          </w:p>
        </w:tc>
        <w:tc>
          <w:tcPr>
            <w:tcW w:w="2475" w:type="dxa"/>
          </w:tcPr>
          <w:p w14:paraId="096D9D18" w14:textId="77777777" w:rsidR="001825E2" w:rsidRDefault="000839A5" w:rsidP="00CB00A7">
            <w:pPr>
              <w:pStyle w:val="TableParagraph"/>
              <w:spacing w:before="61"/>
              <w:ind w:left="35" w:right="16"/>
              <w:jc w:val="left"/>
              <w:rPr>
                <w:b/>
                <w:sz w:val="24"/>
              </w:rPr>
            </w:pPr>
            <w:r>
              <w:rPr>
                <w:b/>
                <w:sz w:val="24"/>
              </w:rPr>
              <w:t xml:space="preserve">25 </w:t>
            </w:r>
            <w:r>
              <w:rPr>
                <w:b/>
                <w:spacing w:val="-2"/>
                <w:sz w:val="24"/>
              </w:rPr>
              <w:t>(2.67)</w:t>
            </w:r>
          </w:p>
        </w:tc>
      </w:tr>
      <w:tr w:rsidR="001825E2" w14:paraId="5B4D7D21" w14:textId="77777777">
        <w:trPr>
          <w:trHeight w:val="390"/>
        </w:trPr>
        <w:tc>
          <w:tcPr>
            <w:tcW w:w="4635" w:type="dxa"/>
          </w:tcPr>
          <w:p w14:paraId="53EA9DB2" w14:textId="77777777" w:rsidR="001825E2" w:rsidRDefault="000839A5" w:rsidP="00CB00A7">
            <w:pPr>
              <w:pStyle w:val="TableParagraph"/>
              <w:spacing w:before="61"/>
              <w:ind w:left="472"/>
              <w:jc w:val="left"/>
              <w:rPr>
                <w:sz w:val="24"/>
              </w:rPr>
            </w:pPr>
            <w:r>
              <w:rPr>
                <w:spacing w:val="-4"/>
                <w:sz w:val="24"/>
              </w:rPr>
              <w:t>Acne</w:t>
            </w:r>
          </w:p>
        </w:tc>
        <w:tc>
          <w:tcPr>
            <w:tcW w:w="2130" w:type="dxa"/>
          </w:tcPr>
          <w:p w14:paraId="6AB092F3" w14:textId="77777777" w:rsidR="001825E2" w:rsidRDefault="000839A5" w:rsidP="00CB00A7">
            <w:pPr>
              <w:pStyle w:val="TableParagraph"/>
              <w:spacing w:before="61"/>
              <w:ind w:left="49" w:right="15"/>
              <w:jc w:val="left"/>
              <w:rPr>
                <w:sz w:val="24"/>
              </w:rPr>
            </w:pPr>
            <w:r>
              <w:rPr>
                <w:sz w:val="24"/>
              </w:rPr>
              <w:t xml:space="preserve">1 </w:t>
            </w:r>
            <w:r>
              <w:rPr>
                <w:spacing w:val="-2"/>
                <w:sz w:val="24"/>
              </w:rPr>
              <w:t>(0.35)</w:t>
            </w:r>
          </w:p>
        </w:tc>
        <w:tc>
          <w:tcPr>
            <w:tcW w:w="2475" w:type="dxa"/>
          </w:tcPr>
          <w:p w14:paraId="13025397" w14:textId="77777777" w:rsidR="001825E2" w:rsidRDefault="000839A5" w:rsidP="00CB00A7">
            <w:pPr>
              <w:pStyle w:val="TableParagraph"/>
              <w:spacing w:before="61"/>
              <w:ind w:left="35" w:right="16"/>
              <w:jc w:val="left"/>
              <w:rPr>
                <w:sz w:val="24"/>
              </w:rPr>
            </w:pPr>
            <w:r>
              <w:rPr>
                <w:sz w:val="24"/>
              </w:rPr>
              <w:t xml:space="preserve">25 </w:t>
            </w:r>
            <w:r>
              <w:rPr>
                <w:spacing w:val="-2"/>
                <w:sz w:val="24"/>
              </w:rPr>
              <w:t>(2.67)</w:t>
            </w:r>
          </w:p>
        </w:tc>
      </w:tr>
    </w:tbl>
    <w:p w14:paraId="46C63A72" w14:textId="77777777" w:rsidR="001825E2" w:rsidRDefault="001825E2" w:rsidP="00CB00A7">
      <w:pPr>
        <w:rPr>
          <w:sz w:val="24"/>
        </w:rPr>
        <w:sectPr w:rsidR="001825E2">
          <w:pgSz w:w="11910" w:h="16850"/>
          <w:pgMar w:top="1360" w:right="1220" w:bottom="980" w:left="1220" w:header="0" w:footer="785" w:gutter="0"/>
          <w:cols w:space="720"/>
        </w:sectPr>
      </w:pPr>
    </w:p>
    <w:p w14:paraId="3DBD10FD" w14:textId="77777777" w:rsidR="001825E2" w:rsidRDefault="000839A5" w:rsidP="00CB00A7">
      <w:pPr>
        <w:spacing w:before="73"/>
        <w:ind w:left="1240" w:right="213" w:hanging="1020"/>
        <w:rPr>
          <w:b/>
          <w:sz w:val="24"/>
        </w:rPr>
      </w:pPr>
      <w:r>
        <w:rPr>
          <w:b/>
          <w:sz w:val="24"/>
        </w:rPr>
        <w:lastRenderedPageBreak/>
        <w:t>Table</w:t>
      </w:r>
      <w:r>
        <w:rPr>
          <w:b/>
          <w:spacing w:val="-3"/>
          <w:sz w:val="24"/>
        </w:rPr>
        <w:t xml:space="preserve"> </w:t>
      </w:r>
      <w:r>
        <w:rPr>
          <w:b/>
          <w:sz w:val="24"/>
        </w:rPr>
        <w:t>4:</w:t>
      </w:r>
      <w:r>
        <w:rPr>
          <w:b/>
          <w:spacing w:val="40"/>
          <w:sz w:val="24"/>
        </w:rPr>
        <w:t xml:space="preserve"> </w:t>
      </w:r>
      <w:r>
        <w:rPr>
          <w:b/>
          <w:sz w:val="24"/>
        </w:rPr>
        <w:t xml:space="preserve">Treatment-Emergent Adverse Events (All Causality) occurring in </w:t>
      </w:r>
      <w:r>
        <w:rPr>
          <w:rFonts w:ascii="Symbol" w:hAnsi="Symbol"/>
          <w:b/>
          <w:sz w:val="24"/>
        </w:rPr>
        <w:t></w:t>
      </w:r>
      <w:r>
        <w:rPr>
          <w:b/>
          <w:sz w:val="24"/>
        </w:rPr>
        <w:t xml:space="preserve">2% of patients in any treatment group during the Phase 2 and Phase 3 induction studies in the UC clinical </w:t>
      </w:r>
      <w:proofErr w:type="gramStart"/>
      <w:r>
        <w:rPr>
          <w:b/>
          <w:sz w:val="24"/>
        </w:rPr>
        <w:t>program</w:t>
      </w:r>
      <w:proofErr w:type="gramEnd"/>
    </w:p>
    <w:p w14:paraId="19419121" w14:textId="77777777" w:rsidR="001825E2" w:rsidRDefault="001825E2" w:rsidP="00CB00A7">
      <w:pPr>
        <w:pStyle w:val="BodyText"/>
        <w:spacing w:before="1"/>
        <w:jc w:val="left"/>
        <w:rPr>
          <w:b/>
          <w:sz w:val="10"/>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35"/>
        <w:gridCol w:w="2130"/>
        <w:gridCol w:w="2475"/>
      </w:tblGrid>
      <w:tr w:rsidR="001825E2" w14:paraId="1152BC9C" w14:textId="77777777">
        <w:trPr>
          <w:trHeight w:val="675"/>
        </w:trPr>
        <w:tc>
          <w:tcPr>
            <w:tcW w:w="4635" w:type="dxa"/>
          </w:tcPr>
          <w:p w14:paraId="036962F4" w14:textId="77777777" w:rsidR="001825E2" w:rsidRDefault="000839A5" w:rsidP="00CB00A7">
            <w:pPr>
              <w:pStyle w:val="TableParagraph"/>
              <w:spacing w:before="65" w:line="235" w:lineRule="auto"/>
              <w:ind w:left="1957" w:right="1938"/>
              <w:jc w:val="left"/>
              <w:rPr>
                <w:b/>
                <w:sz w:val="24"/>
              </w:rPr>
            </w:pPr>
            <w:r>
              <w:rPr>
                <w:b/>
                <w:spacing w:val="-8"/>
                <w:sz w:val="24"/>
              </w:rPr>
              <w:t xml:space="preserve">SOC </w:t>
            </w:r>
            <w:r>
              <w:rPr>
                <w:b/>
                <w:spacing w:val="-6"/>
                <w:sz w:val="24"/>
              </w:rPr>
              <w:t>PT</w:t>
            </w:r>
          </w:p>
        </w:tc>
        <w:tc>
          <w:tcPr>
            <w:tcW w:w="2130" w:type="dxa"/>
          </w:tcPr>
          <w:p w14:paraId="7D05D472" w14:textId="77777777" w:rsidR="001825E2" w:rsidRDefault="000839A5" w:rsidP="00CB00A7">
            <w:pPr>
              <w:pStyle w:val="TableParagraph"/>
              <w:spacing w:before="65" w:line="235" w:lineRule="auto"/>
              <w:ind w:left="607" w:right="414" w:firstLine="74"/>
              <w:jc w:val="left"/>
              <w:rPr>
                <w:b/>
                <w:sz w:val="24"/>
              </w:rPr>
            </w:pPr>
            <w:r>
              <w:rPr>
                <w:b/>
                <w:spacing w:val="-2"/>
                <w:sz w:val="24"/>
              </w:rPr>
              <w:t xml:space="preserve">Placebo </w:t>
            </w:r>
            <w:r>
              <w:rPr>
                <w:b/>
                <w:sz w:val="24"/>
              </w:rPr>
              <w:t>(N</w:t>
            </w:r>
            <w:r>
              <w:rPr>
                <w:b/>
                <w:spacing w:val="1"/>
                <w:sz w:val="24"/>
              </w:rPr>
              <w:t xml:space="preserve"> </w:t>
            </w:r>
            <w:r>
              <w:rPr>
                <w:b/>
                <w:sz w:val="24"/>
              </w:rPr>
              <w:t>=</w:t>
            </w:r>
            <w:r>
              <w:rPr>
                <w:b/>
                <w:spacing w:val="-4"/>
                <w:sz w:val="24"/>
              </w:rPr>
              <w:t xml:space="preserve"> 282)</w:t>
            </w:r>
          </w:p>
        </w:tc>
        <w:tc>
          <w:tcPr>
            <w:tcW w:w="2475" w:type="dxa"/>
          </w:tcPr>
          <w:p w14:paraId="63B42740" w14:textId="77777777" w:rsidR="001825E2" w:rsidRDefault="000839A5" w:rsidP="00CB00A7">
            <w:pPr>
              <w:pStyle w:val="TableParagraph"/>
              <w:spacing w:before="65" w:line="235" w:lineRule="auto"/>
              <w:ind w:left="772" w:hanging="630"/>
              <w:jc w:val="left"/>
              <w:rPr>
                <w:b/>
                <w:sz w:val="24"/>
              </w:rPr>
            </w:pPr>
            <w:r>
              <w:rPr>
                <w:b/>
                <w:sz w:val="24"/>
              </w:rPr>
              <w:t>XELJANZ</w:t>
            </w:r>
            <w:r>
              <w:rPr>
                <w:b/>
                <w:spacing w:val="-26"/>
                <w:sz w:val="24"/>
              </w:rPr>
              <w:t xml:space="preserve"> </w:t>
            </w:r>
            <w:r>
              <w:rPr>
                <w:b/>
                <w:sz w:val="24"/>
              </w:rPr>
              <w:t>10</w:t>
            </w:r>
            <w:r>
              <w:rPr>
                <w:b/>
                <w:spacing w:val="-5"/>
                <w:sz w:val="24"/>
              </w:rPr>
              <w:t xml:space="preserve"> </w:t>
            </w:r>
            <w:r>
              <w:rPr>
                <w:b/>
                <w:sz w:val="24"/>
              </w:rPr>
              <w:t>mg</w:t>
            </w:r>
            <w:r>
              <w:rPr>
                <w:b/>
                <w:spacing w:val="-3"/>
                <w:sz w:val="24"/>
              </w:rPr>
              <w:t xml:space="preserve"> </w:t>
            </w:r>
            <w:r>
              <w:rPr>
                <w:b/>
                <w:sz w:val="24"/>
              </w:rPr>
              <w:t>BD (N = 938)</w:t>
            </w:r>
          </w:p>
        </w:tc>
      </w:tr>
      <w:tr w:rsidR="001825E2" w14:paraId="74A01C9E" w14:textId="77777777">
        <w:trPr>
          <w:trHeight w:val="915"/>
        </w:trPr>
        <w:tc>
          <w:tcPr>
            <w:tcW w:w="9240" w:type="dxa"/>
            <w:gridSpan w:val="3"/>
          </w:tcPr>
          <w:p w14:paraId="2E1A77E7" w14:textId="77777777" w:rsidR="001825E2" w:rsidRDefault="000839A5" w:rsidP="00CB00A7">
            <w:pPr>
              <w:pStyle w:val="TableParagraph"/>
              <w:spacing w:before="2" w:line="247" w:lineRule="auto"/>
              <w:ind w:right="87"/>
              <w:jc w:val="left"/>
              <w:rPr>
                <w:sz w:val="19"/>
              </w:rPr>
            </w:pPr>
            <w:r>
              <w:rPr>
                <w:sz w:val="19"/>
              </w:rPr>
              <w:t>Abbreviations:</w:t>
            </w:r>
            <w:r>
              <w:rPr>
                <w:spacing w:val="17"/>
                <w:sz w:val="19"/>
              </w:rPr>
              <w:t xml:space="preserve"> </w:t>
            </w:r>
            <w:r>
              <w:rPr>
                <w:sz w:val="19"/>
              </w:rPr>
              <w:t>BD =</w:t>
            </w:r>
            <w:r>
              <w:rPr>
                <w:spacing w:val="22"/>
                <w:sz w:val="19"/>
              </w:rPr>
              <w:t xml:space="preserve"> </w:t>
            </w:r>
            <w:r>
              <w:rPr>
                <w:sz w:val="19"/>
              </w:rPr>
              <w:t>twice</w:t>
            </w:r>
            <w:r>
              <w:rPr>
                <w:spacing w:val="40"/>
                <w:sz w:val="19"/>
              </w:rPr>
              <w:t xml:space="preserve"> </w:t>
            </w:r>
            <w:r>
              <w:rPr>
                <w:sz w:val="19"/>
              </w:rPr>
              <w:t>da</w:t>
            </w:r>
            <w:r>
              <w:rPr>
                <w:spacing w:val="-26"/>
                <w:sz w:val="19"/>
              </w:rPr>
              <w:t xml:space="preserve"> </w:t>
            </w:r>
            <w:proofErr w:type="spellStart"/>
            <w:r>
              <w:rPr>
                <w:sz w:val="19"/>
              </w:rPr>
              <w:t>ily</w:t>
            </w:r>
            <w:proofErr w:type="spellEnd"/>
            <w:r>
              <w:rPr>
                <w:sz w:val="19"/>
              </w:rPr>
              <w:t>;</w:t>
            </w:r>
            <w:r>
              <w:rPr>
                <w:spacing w:val="-3"/>
                <w:sz w:val="19"/>
              </w:rPr>
              <w:t xml:space="preserve"> </w:t>
            </w:r>
            <w:r>
              <w:rPr>
                <w:sz w:val="19"/>
              </w:rPr>
              <w:t>PT</w:t>
            </w:r>
            <w:r>
              <w:rPr>
                <w:spacing w:val="29"/>
                <w:sz w:val="19"/>
              </w:rPr>
              <w:t xml:space="preserve"> </w:t>
            </w:r>
            <w:r>
              <w:rPr>
                <w:sz w:val="19"/>
              </w:rPr>
              <w:t>=</w:t>
            </w:r>
            <w:r>
              <w:rPr>
                <w:spacing w:val="22"/>
                <w:sz w:val="19"/>
              </w:rPr>
              <w:t xml:space="preserve"> </w:t>
            </w:r>
            <w:r>
              <w:rPr>
                <w:sz w:val="19"/>
              </w:rPr>
              <w:t>preferred</w:t>
            </w:r>
            <w:r>
              <w:rPr>
                <w:spacing w:val="19"/>
                <w:sz w:val="19"/>
              </w:rPr>
              <w:t xml:space="preserve"> </w:t>
            </w:r>
            <w:r>
              <w:rPr>
                <w:sz w:val="19"/>
              </w:rPr>
              <w:t>term;</w:t>
            </w:r>
            <w:r>
              <w:rPr>
                <w:spacing w:val="17"/>
                <w:sz w:val="19"/>
              </w:rPr>
              <w:t xml:space="preserve"> </w:t>
            </w:r>
            <w:r>
              <w:rPr>
                <w:sz w:val="19"/>
              </w:rPr>
              <w:t>SOC</w:t>
            </w:r>
            <w:r>
              <w:rPr>
                <w:spacing w:val="34"/>
                <w:sz w:val="19"/>
              </w:rPr>
              <w:t xml:space="preserve"> </w:t>
            </w:r>
            <w:r>
              <w:rPr>
                <w:sz w:val="19"/>
              </w:rPr>
              <w:t>=</w:t>
            </w:r>
            <w:r>
              <w:rPr>
                <w:spacing w:val="22"/>
                <w:sz w:val="19"/>
              </w:rPr>
              <w:t xml:space="preserve"> </w:t>
            </w:r>
            <w:r>
              <w:rPr>
                <w:sz w:val="19"/>
              </w:rPr>
              <w:t>system organ</w:t>
            </w:r>
            <w:r>
              <w:rPr>
                <w:spacing w:val="19"/>
                <w:sz w:val="19"/>
              </w:rPr>
              <w:t xml:space="preserve"> </w:t>
            </w:r>
            <w:r>
              <w:rPr>
                <w:sz w:val="19"/>
              </w:rPr>
              <w:t>class;</w:t>
            </w:r>
            <w:r>
              <w:rPr>
                <w:spacing w:val="17"/>
                <w:sz w:val="19"/>
              </w:rPr>
              <w:t xml:space="preserve"> </w:t>
            </w:r>
            <w:r>
              <w:rPr>
                <w:sz w:val="19"/>
              </w:rPr>
              <w:t>UC</w:t>
            </w:r>
            <w:r>
              <w:rPr>
                <w:spacing w:val="34"/>
                <w:sz w:val="19"/>
              </w:rPr>
              <w:t xml:space="preserve"> </w:t>
            </w:r>
            <w:r>
              <w:rPr>
                <w:sz w:val="19"/>
              </w:rPr>
              <w:t>=</w:t>
            </w:r>
            <w:r>
              <w:rPr>
                <w:spacing w:val="22"/>
                <w:sz w:val="19"/>
              </w:rPr>
              <w:t xml:space="preserve"> </w:t>
            </w:r>
            <w:r>
              <w:rPr>
                <w:sz w:val="19"/>
              </w:rPr>
              <w:t>ulcerative colitis. Subjects</w:t>
            </w:r>
            <w:r>
              <w:rPr>
                <w:spacing w:val="34"/>
                <w:sz w:val="19"/>
              </w:rPr>
              <w:t xml:space="preserve"> </w:t>
            </w:r>
            <w:r>
              <w:rPr>
                <w:sz w:val="19"/>
              </w:rPr>
              <w:t>are only</w:t>
            </w:r>
            <w:r>
              <w:rPr>
                <w:spacing w:val="40"/>
                <w:sz w:val="19"/>
              </w:rPr>
              <w:t xml:space="preserve"> </w:t>
            </w:r>
            <w:r>
              <w:rPr>
                <w:sz w:val="19"/>
              </w:rPr>
              <w:t>counted</w:t>
            </w:r>
            <w:r>
              <w:rPr>
                <w:spacing w:val="23"/>
                <w:sz w:val="19"/>
              </w:rPr>
              <w:t xml:space="preserve"> </w:t>
            </w:r>
            <w:r>
              <w:rPr>
                <w:sz w:val="19"/>
              </w:rPr>
              <w:t>once per</w:t>
            </w:r>
            <w:r>
              <w:rPr>
                <w:spacing w:val="40"/>
                <w:sz w:val="19"/>
              </w:rPr>
              <w:t xml:space="preserve"> </w:t>
            </w:r>
            <w:r>
              <w:rPr>
                <w:sz w:val="19"/>
              </w:rPr>
              <w:t>treatment for</w:t>
            </w:r>
            <w:r>
              <w:rPr>
                <w:spacing w:val="-2"/>
                <w:sz w:val="19"/>
              </w:rPr>
              <w:t xml:space="preserve"> </w:t>
            </w:r>
            <w:r>
              <w:rPr>
                <w:sz w:val="19"/>
              </w:rPr>
              <w:t>each</w:t>
            </w:r>
            <w:r>
              <w:rPr>
                <w:spacing w:val="23"/>
                <w:sz w:val="19"/>
              </w:rPr>
              <w:t xml:space="preserve"> </w:t>
            </w:r>
            <w:r>
              <w:rPr>
                <w:sz w:val="19"/>
              </w:rPr>
              <w:t>row.</w:t>
            </w:r>
          </w:p>
          <w:p w14:paraId="48769A7B" w14:textId="77777777" w:rsidR="001825E2" w:rsidRDefault="000839A5" w:rsidP="00CB00A7">
            <w:pPr>
              <w:pStyle w:val="TableParagraph"/>
              <w:jc w:val="left"/>
              <w:rPr>
                <w:sz w:val="19"/>
              </w:rPr>
            </w:pPr>
            <w:r>
              <w:rPr>
                <w:sz w:val="19"/>
              </w:rPr>
              <w:t>*includes:</w:t>
            </w:r>
            <w:r>
              <w:rPr>
                <w:spacing w:val="51"/>
                <w:sz w:val="19"/>
              </w:rPr>
              <w:t xml:space="preserve"> </w:t>
            </w:r>
            <w:proofErr w:type="spellStart"/>
            <w:r>
              <w:rPr>
                <w:sz w:val="19"/>
              </w:rPr>
              <w:t>hypercholesterola</w:t>
            </w:r>
            <w:proofErr w:type="spellEnd"/>
            <w:r>
              <w:rPr>
                <w:spacing w:val="-14"/>
                <w:sz w:val="19"/>
              </w:rPr>
              <w:t xml:space="preserve"> </w:t>
            </w:r>
            <w:proofErr w:type="spellStart"/>
            <w:proofErr w:type="gramStart"/>
            <w:r>
              <w:rPr>
                <w:sz w:val="19"/>
              </w:rPr>
              <w:t>emia</w:t>
            </w:r>
            <w:proofErr w:type="spellEnd"/>
            <w:r>
              <w:rPr>
                <w:spacing w:val="-13"/>
                <w:sz w:val="19"/>
              </w:rPr>
              <w:t xml:space="preserve"> </w:t>
            </w:r>
            <w:r>
              <w:rPr>
                <w:sz w:val="19"/>
              </w:rPr>
              <w:t>,</w:t>
            </w:r>
            <w:proofErr w:type="gramEnd"/>
            <w:r>
              <w:rPr>
                <w:spacing w:val="3"/>
                <w:sz w:val="19"/>
              </w:rPr>
              <w:t xml:space="preserve"> </w:t>
            </w:r>
            <w:proofErr w:type="spellStart"/>
            <w:r>
              <w:rPr>
                <w:sz w:val="19"/>
              </w:rPr>
              <w:t>hyperlipida</w:t>
            </w:r>
            <w:proofErr w:type="spellEnd"/>
            <w:r>
              <w:rPr>
                <w:spacing w:val="-14"/>
                <w:sz w:val="19"/>
              </w:rPr>
              <w:t xml:space="preserve"> </w:t>
            </w:r>
            <w:proofErr w:type="spellStart"/>
            <w:r>
              <w:rPr>
                <w:sz w:val="19"/>
              </w:rPr>
              <w:t>emia</w:t>
            </w:r>
            <w:proofErr w:type="spellEnd"/>
            <w:r>
              <w:rPr>
                <w:sz w:val="19"/>
              </w:rPr>
              <w:t>,</w:t>
            </w:r>
            <w:r>
              <w:rPr>
                <w:spacing w:val="3"/>
                <w:sz w:val="19"/>
              </w:rPr>
              <w:t xml:space="preserve"> </w:t>
            </w:r>
            <w:r>
              <w:rPr>
                <w:sz w:val="19"/>
              </w:rPr>
              <w:t>blood</w:t>
            </w:r>
            <w:r>
              <w:rPr>
                <w:spacing w:val="55"/>
                <w:sz w:val="19"/>
              </w:rPr>
              <w:t xml:space="preserve"> </w:t>
            </w:r>
            <w:r>
              <w:rPr>
                <w:sz w:val="19"/>
              </w:rPr>
              <w:t>cholesterol</w:t>
            </w:r>
            <w:r>
              <w:rPr>
                <w:spacing w:val="51"/>
                <w:sz w:val="19"/>
              </w:rPr>
              <w:t xml:space="preserve"> </w:t>
            </w:r>
            <w:r>
              <w:rPr>
                <w:sz w:val="19"/>
              </w:rPr>
              <w:t>increased,</w:t>
            </w:r>
            <w:r>
              <w:rPr>
                <w:spacing w:val="32"/>
                <w:sz w:val="19"/>
              </w:rPr>
              <w:t xml:space="preserve"> </w:t>
            </w:r>
            <w:proofErr w:type="spellStart"/>
            <w:r>
              <w:rPr>
                <w:sz w:val="19"/>
              </w:rPr>
              <w:t>dyslipidaemia</w:t>
            </w:r>
            <w:proofErr w:type="spellEnd"/>
            <w:r>
              <w:rPr>
                <w:sz w:val="19"/>
              </w:rPr>
              <w:t>,</w:t>
            </w:r>
            <w:r>
              <w:rPr>
                <w:spacing w:val="2"/>
                <w:sz w:val="19"/>
              </w:rPr>
              <w:t xml:space="preserve"> </w:t>
            </w:r>
            <w:r>
              <w:rPr>
                <w:spacing w:val="-2"/>
                <w:sz w:val="19"/>
              </w:rPr>
              <w:t>blood</w:t>
            </w:r>
          </w:p>
          <w:p w14:paraId="0911380E" w14:textId="77777777" w:rsidR="001825E2" w:rsidRDefault="000839A5" w:rsidP="00CB00A7">
            <w:pPr>
              <w:pStyle w:val="TableParagraph"/>
              <w:spacing w:before="22" w:line="202" w:lineRule="exact"/>
              <w:jc w:val="left"/>
              <w:rPr>
                <w:sz w:val="19"/>
              </w:rPr>
            </w:pPr>
            <w:r>
              <w:rPr>
                <w:sz w:val="19"/>
              </w:rPr>
              <w:t>triglycerides</w:t>
            </w:r>
            <w:r>
              <w:rPr>
                <w:spacing w:val="70"/>
                <w:sz w:val="19"/>
              </w:rPr>
              <w:t xml:space="preserve"> </w:t>
            </w:r>
            <w:r>
              <w:rPr>
                <w:sz w:val="19"/>
              </w:rPr>
              <w:t>increased,</w:t>
            </w:r>
            <w:r>
              <w:rPr>
                <w:spacing w:val="6"/>
                <w:sz w:val="19"/>
              </w:rPr>
              <w:t xml:space="preserve"> </w:t>
            </w:r>
            <w:r>
              <w:rPr>
                <w:sz w:val="19"/>
              </w:rPr>
              <w:t>low</w:t>
            </w:r>
            <w:r>
              <w:rPr>
                <w:spacing w:val="24"/>
                <w:sz w:val="19"/>
              </w:rPr>
              <w:t xml:space="preserve"> </w:t>
            </w:r>
            <w:r>
              <w:rPr>
                <w:sz w:val="19"/>
              </w:rPr>
              <w:t>density</w:t>
            </w:r>
            <w:r>
              <w:rPr>
                <w:spacing w:val="22"/>
                <w:sz w:val="19"/>
              </w:rPr>
              <w:t xml:space="preserve"> </w:t>
            </w:r>
            <w:r>
              <w:rPr>
                <w:sz w:val="19"/>
              </w:rPr>
              <w:t>lipoprotein</w:t>
            </w:r>
            <w:r>
              <w:rPr>
                <w:spacing w:val="42"/>
                <w:sz w:val="19"/>
              </w:rPr>
              <w:t xml:space="preserve"> </w:t>
            </w:r>
            <w:r>
              <w:rPr>
                <w:sz w:val="19"/>
              </w:rPr>
              <w:t>increased,</w:t>
            </w:r>
            <w:r>
              <w:rPr>
                <w:spacing w:val="7"/>
                <w:sz w:val="19"/>
              </w:rPr>
              <w:t xml:space="preserve"> </w:t>
            </w:r>
            <w:r>
              <w:rPr>
                <w:sz w:val="19"/>
              </w:rPr>
              <w:t>low</w:t>
            </w:r>
            <w:r>
              <w:rPr>
                <w:spacing w:val="43"/>
                <w:sz w:val="19"/>
              </w:rPr>
              <w:t xml:space="preserve"> </w:t>
            </w:r>
            <w:r>
              <w:rPr>
                <w:sz w:val="19"/>
              </w:rPr>
              <w:t>density</w:t>
            </w:r>
            <w:r>
              <w:rPr>
                <w:spacing w:val="3"/>
                <w:sz w:val="19"/>
              </w:rPr>
              <w:t xml:space="preserve"> </w:t>
            </w:r>
            <w:r>
              <w:rPr>
                <w:sz w:val="19"/>
              </w:rPr>
              <w:t>lipoprotein</w:t>
            </w:r>
            <w:r>
              <w:rPr>
                <w:spacing w:val="42"/>
                <w:sz w:val="19"/>
              </w:rPr>
              <w:t xml:space="preserve"> </w:t>
            </w:r>
            <w:proofErr w:type="spellStart"/>
            <w:r>
              <w:rPr>
                <w:sz w:val="19"/>
              </w:rPr>
              <w:t>abnorma</w:t>
            </w:r>
            <w:proofErr w:type="spellEnd"/>
            <w:r>
              <w:rPr>
                <w:spacing w:val="-24"/>
                <w:sz w:val="19"/>
              </w:rPr>
              <w:t xml:space="preserve"> </w:t>
            </w:r>
            <w:r>
              <w:rPr>
                <w:sz w:val="19"/>
              </w:rPr>
              <w:t>l,</w:t>
            </w:r>
            <w:r>
              <w:rPr>
                <w:spacing w:val="-14"/>
                <w:sz w:val="19"/>
              </w:rPr>
              <w:t xml:space="preserve"> </w:t>
            </w:r>
            <w:r>
              <w:rPr>
                <w:sz w:val="19"/>
              </w:rPr>
              <w:t>or</w:t>
            </w:r>
            <w:r>
              <w:rPr>
                <w:spacing w:val="5"/>
                <w:sz w:val="19"/>
              </w:rPr>
              <w:t xml:space="preserve"> </w:t>
            </w:r>
            <w:r>
              <w:rPr>
                <w:sz w:val="19"/>
              </w:rPr>
              <w:t>lipids</w:t>
            </w:r>
            <w:r>
              <w:rPr>
                <w:spacing w:val="50"/>
                <w:sz w:val="19"/>
              </w:rPr>
              <w:t xml:space="preserve"> </w:t>
            </w:r>
            <w:proofErr w:type="spellStart"/>
            <w:r>
              <w:rPr>
                <w:sz w:val="19"/>
              </w:rPr>
              <w:t>increa</w:t>
            </w:r>
            <w:proofErr w:type="spellEnd"/>
            <w:r>
              <w:rPr>
                <w:spacing w:val="-24"/>
                <w:sz w:val="19"/>
              </w:rPr>
              <w:t xml:space="preserve"> </w:t>
            </w:r>
            <w:r>
              <w:rPr>
                <w:spacing w:val="-4"/>
                <w:sz w:val="19"/>
              </w:rPr>
              <w:t>sed.</w:t>
            </w:r>
          </w:p>
        </w:tc>
      </w:tr>
    </w:tbl>
    <w:p w14:paraId="3D76C7B2" w14:textId="77777777" w:rsidR="001825E2" w:rsidRDefault="000839A5" w:rsidP="00CB00A7">
      <w:pPr>
        <w:spacing w:before="241"/>
        <w:ind w:left="220"/>
        <w:rPr>
          <w:i/>
          <w:sz w:val="24"/>
        </w:rPr>
      </w:pPr>
      <w:r>
        <w:rPr>
          <w:i/>
          <w:sz w:val="24"/>
        </w:rPr>
        <w:t>Maintenance</w:t>
      </w:r>
      <w:r>
        <w:rPr>
          <w:i/>
          <w:spacing w:val="11"/>
          <w:sz w:val="24"/>
        </w:rPr>
        <w:t xml:space="preserve"> </w:t>
      </w:r>
      <w:r>
        <w:rPr>
          <w:i/>
          <w:sz w:val="24"/>
        </w:rPr>
        <w:t>Trial</w:t>
      </w:r>
      <w:r>
        <w:rPr>
          <w:i/>
          <w:spacing w:val="-5"/>
          <w:sz w:val="24"/>
        </w:rPr>
        <w:t xml:space="preserve"> </w:t>
      </w:r>
      <w:r>
        <w:rPr>
          <w:i/>
          <w:sz w:val="24"/>
        </w:rPr>
        <w:t>(Study</w:t>
      </w:r>
      <w:r>
        <w:rPr>
          <w:i/>
          <w:spacing w:val="-13"/>
          <w:sz w:val="24"/>
        </w:rPr>
        <w:t xml:space="preserve"> </w:t>
      </w:r>
      <w:r>
        <w:rPr>
          <w:i/>
          <w:sz w:val="24"/>
        </w:rPr>
        <w:t>UC-</w:t>
      </w:r>
      <w:r>
        <w:rPr>
          <w:i/>
          <w:spacing w:val="-4"/>
          <w:sz w:val="24"/>
        </w:rPr>
        <w:t>III)</w:t>
      </w:r>
    </w:p>
    <w:p w14:paraId="10D7B987" w14:textId="77777777" w:rsidR="001825E2" w:rsidRDefault="000839A5" w:rsidP="00CB00A7">
      <w:pPr>
        <w:pStyle w:val="BodyText"/>
        <w:spacing w:before="118" w:line="235" w:lineRule="auto"/>
        <w:ind w:left="219" w:right="206"/>
        <w:jc w:val="left"/>
      </w:pPr>
      <w:r>
        <w:t>Common adverse</w:t>
      </w:r>
      <w:r>
        <w:rPr>
          <w:spacing w:val="-1"/>
        </w:rPr>
        <w:t xml:space="preserve"> </w:t>
      </w:r>
      <w:r>
        <w:t>reactions</w:t>
      </w:r>
      <w:r>
        <w:rPr>
          <w:spacing w:val="-3"/>
        </w:rPr>
        <w:t xml:space="preserve"> </w:t>
      </w:r>
      <w:r>
        <w:t>reported in ≥4%</w:t>
      </w:r>
      <w:r>
        <w:rPr>
          <w:spacing w:val="-4"/>
        </w:rPr>
        <w:t xml:space="preserve"> </w:t>
      </w:r>
      <w:r>
        <w:t>of patients</w:t>
      </w:r>
      <w:r>
        <w:rPr>
          <w:spacing w:val="-3"/>
        </w:rPr>
        <w:t xml:space="preserve"> </w:t>
      </w:r>
      <w:r>
        <w:t>treated with either</w:t>
      </w:r>
      <w:r>
        <w:rPr>
          <w:spacing w:val="-4"/>
        </w:rPr>
        <w:t xml:space="preserve"> </w:t>
      </w:r>
      <w:r>
        <w:t>dose</w:t>
      </w:r>
      <w:r>
        <w:rPr>
          <w:spacing w:val="-1"/>
        </w:rPr>
        <w:t xml:space="preserve"> </w:t>
      </w:r>
      <w:r>
        <w:t>of</w:t>
      </w:r>
      <w:r>
        <w:rPr>
          <w:spacing w:val="-5"/>
        </w:rPr>
        <w:t xml:space="preserve"> </w:t>
      </w:r>
      <w:r>
        <w:t>XELJANZ and ≥1% greater than</w:t>
      </w:r>
      <w:r>
        <w:rPr>
          <w:spacing w:val="-12"/>
        </w:rPr>
        <w:t xml:space="preserve"> </w:t>
      </w:r>
      <w:r>
        <w:t>reported in patients receiving placebo are shown</w:t>
      </w:r>
      <w:r>
        <w:rPr>
          <w:spacing w:val="-11"/>
        </w:rPr>
        <w:t xml:space="preserve"> </w:t>
      </w:r>
      <w:r>
        <w:t>in Table 5.</w:t>
      </w:r>
    </w:p>
    <w:p w14:paraId="3EF53CEB" w14:textId="77777777" w:rsidR="001825E2" w:rsidRDefault="000839A5" w:rsidP="00CB00A7">
      <w:pPr>
        <w:pStyle w:val="Heading3"/>
        <w:spacing w:before="254" w:line="235" w:lineRule="auto"/>
        <w:ind w:left="1239" w:right="227" w:hanging="1021"/>
      </w:pPr>
      <w:r>
        <w:t>Table</w:t>
      </w:r>
      <w:r>
        <w:rPr>
          <w:spacing w:val="-4"/>
        </w:rPr>
        <w:t xml:space="preserve"> </w:t>
      </w:r>
      <w:r>
        <w:t>5:</w:t>
      </w:r>
      <w:r>
        <w:rPr>
          <w:spacing w:val="40"/>
        </w:rPr>
        <w:t xml:space="preserve"> </w:t>
      </w:r>
      <w:r>
        <w:t>Common Adverse Reactions* in UC Patients during the Maintenance Trial (Study UC-III)</w:t>
      </w:r>
    </w:p>
    <w:p w14:paraId="612EEB25" w14:textId="77777777" w:rsidR="001825E2" w:rsidRDefault="001825E2" w:rsidP="00CB00A7">
      <w:pPr>
        <w:pStyle w:val="BodyText"/>
        <w:spacing w:before="2"/>
        <w:jc w:val="left"/>
        <w:rPr>
          <w:b/>
          <w:sz w:val="11"/>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1695"/>
        <w:gridCol w:w="1695"/>
        <w:gridCol w:w="1710"/>
      </w:tblGrid>
      <w:tr w:rsidR="001825E2" w14:paraId="1A0E00C2" w14:textId="77777777">
        <w:trPr>
          <w:trHeight w:val="990"/>
        </w:trPr>
        <w:tc>
          <w:tcPr>
            <w:tcW w:w="4080" w:type="dxa"/>
            <w:vMerge w:val="restart"/>
          </w:tcPr>
          <w:p w14:paraId="5FFFDA3C" w14:textId="77777777" w:rsidR="001825E2" w:rsidRDefault="000839A5" w:rsidP="00CB00A7">
            <w:pPr>
              <w:pStyle w:val="TableParagraph"/>
              <w:spacing w:before="46"/>
              <w:ind w:left="111"/>
              <w:jc w:val="left"/>
              <w:rPr>
                <w:b/>
                <w:sz w:val="24"/>
              </w:rPr>
            </w:pPr>
            <w:r>
              <w:rPr>
                <w:b/>
                <w:sz w:val="24"/>
              </w:rPr>
              <w:t xml:space="preserve">Preferred </w:t>
            </w:r>
            <w:r>
              <w:rPr>
                <w:b/>
                <w:spacing w:val="-4"/>
                <w:sz w:val="24"/>
              </w:rPr>
              <w:t>Term</w:t>
            </w:r>
          </w:p>
        </w:tc>
        <w:tc>
          <w:tcPr>
            <w:tcW w:w="1695" w:type="dxa"/>
          </w:tcPr>
          <w:p w14:paraId="756409EF" w14:textId="77777777" w:rsidR="001825E2" w:rsidRDefault="000839A5" w:rsidP="00CB00A7">
            <w:pPr>
              <w:pStyle w:val="TableParagraph"/>
              <w:spacing w:before="46"/>
              <w:ind w:left="40" w:right="12"/>
              <w:jc w:val="left"/>
              <w:rPr>
                <w:b/>
                <w:sz w:val="24"/>
              </w:rPr>
            </w:pPr>
            <w:r>
              <w:rPr>
                <w:b/>
                <w:spacing w:val="-2"/>
                <w:sz w:val="24"/>
              </w:rPr>
              <w:t>XELJANZ</w:t>
            </w:r>
          </w:p>
          <w:p w14:paraId="19DE035F" w14:textId="77777777" w:rsidR="001825E2" w:rsidRDefault="000839A5" w:rsidP="00CB00A7">
            <w:pPr>
              <w:pStyle w:val="TableParagraph"/>
              <w:spacing w:before="73" w:line="235" w:lineRule="auto"/>
              <w:ind w:left="29" w:right="13"/>
              <w:jc w:val="left"/>
              <w:rPr>
                <w:b/>
                <w:sz w:val="24"/>
              </w:rPr>
            </w:pPr>
            <w:r>
              <w:rPr>
                <w:b/>
                <w:sz w:val="24"/>
              </w:rPr>
              <w:t>5</w:t>
            </w:r>
            <w:r>
              <w:rPr>
                <w:b/>
                <w:spacing w:val="-15"/>
                <w:sz w:val="24"/>
              </w:rPr>
              <w:t xml:space="preserve"> </w:t>
            </w:r>
            <w:r>
              <w:rPr>
                <w:b/>
                <w:sz w:val="24"/>
              </w:rPr>
              <w:t>mg</w:t>
            </w:r>
            <w:r>
              <w:rPr>
                <w:b/>
                <w:spacing w:val="-15"/>
                <w:sz w:val="24"/>
              </w:rPr>
              <w:t xml:space="preserve"> </w:t>
            </w:r>
            <w:r>
              <w:rPr>
                <w:b/>
                <w:sz w:val="24"/>
              </w:rPr>
              <w:t xml:space="preserve">Twice </w:t>
            </w:r>
            <w:r>
              <w:rPr>
                <w:b/>
                <w:spacing w:val="-2"/>
                <w:sz w:val="24"/>
              </w:rPr>
              <w:t>Daily</w:t>
            </w:r>
          </w:p>
        </w:tc>
        <w:tc>
          <w:tcPr>
            <w:tcW w:w="1695" w:type="dxa"/>
          </w:tcPr>
          <w:p w14:paraId="75341C90" w14:textId="77777777" w:rsidR="001825E2" w:rsidRDefault="000839A5" w:rsidP="00CB00A7">
            <w:pPr>
              <w:pStyle w:val="TableParagraph"/>
              <w:spacing w:before="45"/>
              <w:ind w:left="41" w:right="12"/>
              <w:jc w:val="left"/>
              <w:rPr>
                <w:b/>
                <w:sz w:val="24"/>
              </w:rPr>
            </w:pPr>
            <w:r>
              <w:rPr>
                <w:b/>
                <w:spacing w:val="-2"/>
                <w:sz w:val="24"/>
              </w:rPr>
              <w:t>XELJANZ</w:t>
            </w:r>
          </w:p>
          <w:p w14:paraId="6B38C455" w14:textId="77777777" w:rsidR="001825E2" w:rsidRDefault="000839A5" w:rsidP="00CB00A7">
            <w:pPr>
              <w:pStyle w:val="TableParagraph"/>
              <w:spacing w:before="74" w:line="235" w:lineRule="auto"/>
              <w:ind w:left="29" w:right="13"/>
              <w:jc w:val="left"/>
              <w:rPr>
                <w:b/>
                <w:sz w:val="24"/>
              </w:rPr>
            </w:pPr>
            <w:r>
              <w:rPr>
                <w:b/>
                <w:sz w:val="24"/>
              </w:rPr>
              <w:t>10</w:t>
            </w:r>
            <w:r>
              <w:rPr>
                <w:b/>
                <w:spacing w:val="-15"/>
                <w:sz w:val="24"/>
              </w:rPr>
              <w:t xml:space="preserve"> </w:t>
            </w:r>
            <w:r>
              <w:rPr>
                <w:b/>
                <w:sz w:val="24"/>
              </w:rPr>
              <w:t>mg</w:t>
            </w:r>
            <w:r>
              <w:rPr>
                <w:b/>
                <w:spacing w:val="-15"/>
                <w:sz w:val="24"/>
              </w:rPr>
              <w:t xml:space="preserve"> </w:t>
            </w:r>
            <w:r>
              <w:rPr>
                <w:b/>
                <w:sz w:val="24"/>
              </w:rPr>
              <w:t xml:space="preserve">Twice </w:t>
            </w:r>
            <w:r>
              <w:rPr>
                <w:b/>
                <w:spacing w:val="-2"/>
                <w:sz w:val="24"/>
              </w:rPr>
              <w:t>Daily</w:t>
            </w:r>
          </w:p>
        </w:tc>
        <w:tc>
          <w:tcPr>
            <w:tcW w:w="1710" w:type="dxa"/>
          </w:tcPr>
          <w:p w14:paraId="7BD0F32D" w14:textId="77777777" w:rsidR="001825E2" w:rsidRDefault="000839A5" w:rsidP="00CB00A7">
            <w:pPr>
              <w:pStyle w:val="TableParagraph"/>
              <w:spacing w:before="45"/>
              <w:ind w:left="47" w:right="5"/>
              <w:jc w:val="left"/>
              <w:rPr>
                <w:b/>
                <w:sz w:val="24"/>
              </w:rPr>
            </w:pPr>
            <w:r>
              <w:rPr>
                <w:b/>
                <w:spacing w:val="-2"/>
                <w:sz w:val="24"/>
              </w:rPr>
              <w:t>Placebo</w:t>
            </w:r>
          </w:p>
        </w:tc>
      </w:tr>
      <w:tr w:rsidR="001825E2" w14:paraId="4853A1C4" w14:textId="77777777">
        <w:trPr>
          <w:trHeight w:val="735"/>
        </w:trPr>
        <w:tc>
          <w:tcPr>
            <w:tcW w:w="4080" w:type="dxa"/>
            <w:vMerge/>
            <w:tcBorders>
              <w:top w:val="nil"/>
            </w:tcBorders>
          </w:tcPr>
          <w:p w14:paraId="263FCC40" w14:textId="77777777" w:rsidR="001825E2" w:rsidRDefault="001825E2" w:rsidP="00CB00A7">
            <w:pPr>
              <w:rPr>
                <w:sz w:val="2"/>
                <w:szCs w:val="2"/>
              </w:rPr>
            </w:pPr>
          </w:p>
        </w:tc>
        <w:tc>
          <w:tcPr>
            <w:tcW w:w="1695" w:type="dxa"/>
          </w:tcPr>
          <w:p w14:paraId="788B6872" w14:textId="77777777" w:rsidR="001825E2" w:rsidRDefault="000839A5" w:rsidP="00CB00A7">
            <w:pPr>
              <w:pStyle w:val="TableParagraph"/>
              <w:spacing w:before="7" w:line="330" w:lineRule="atLeast"/>
              <w:ind w:left="697" w:right="95" w:hanging="210"/>
              <w:jc w:val="left"/>
              <w:rPr>
                <w:b/>
                <w:sz w:val="24"/>
              </w:rPr>
            </w:pPr>
            <w:r>
              <w:rPr>
                <w:b/>
                <w:sz w:val="24"/>
              </w:rPr>
              <w:t>N</w:t>
            </w:r>
            <w:r>
              <w:rPr>
                <w:b/>
                <w:spacing w:val="-15"/>
                <w:sz w:val="24"/>
              </w:rPr>
              <w:t xml:space="preserve"> </w:t>
            </w:r>
            <w:r>
              <w:rPr>
                <w:b/>
                <w:sz w:val="24"/>
              </w:rPr>
              <w:t>=</w:t>
            </w:r>
            <w:r>
              <w:rPr>
                <w:b/>
                <w:spacing w:val="-15"/>
                <w:sz w:val="24"/>
              </w:rPr>
              <w:t xml:space="preserve"> </w:t>
            </w:r>
            <w:r>
              <w:rPr>
                <w:b/>
                <w:sz w:val="24"/>
              </w:rPr>
              <w:t xml:space="preserve">198 </w:t>
            </w:r>
            <w:r>
              <w:rPr>
                <w:b/>
                <w:spacing w:val="-4"/>
                <w:sz w:val="24"/>
              </w:rPr>
              <w:t>(%)</w:t>
            </w:r>
          </w:p>
        </w:tc>
        <w:tc>
          <w:tcPr>
            <w:tcW w:w="1695" w:type="dxa"/>
          </w:tcPr>
          <w:p w14:paraId="1732DC45" w14:textId="77777777" w:rsidR="001825E2" w:rsidRDefault="000839A5" w:rsidP="00CB00A7">
            <w:pPr>
              <w:pStyle w:val="TableParagraph"/>
              <w:spacing w:before="7" w:line="330" w:lineRule="atLeast"/>
              <w:ind w:left="652" w:right="95" w:hanging="195"/>
              <w:jc w:val="left"/>
              <w:rPr>
                <w:b/>
                <w:sz w:val="24"/>
              </w:rPr>
            </w:pPr>
            <w:r>
              <w:rPr>
                <w:b/>
                <w:sz w:val="24"/>
              </w:rPr>
              <w:t>N</w:t>
            </w:r>
            <w:r>
              <w:rPr>
                <w:b/>
                <w:spacing w:val="-15"/>
                <w:sz w:val="24"/>
              </w:rPr>
              <w:t xml:space="preserve"> </w:t>
            </w:r>
            <w:r>
              <w:rPr>
                <w:b/>
                <w:sz w:val="24"/>
              </w:rPr>
              <w:t>=</w:t>
            </w:r>
            <w:r>
              <w:rPr>
                <w:b/>
                <w:spacing w:val="-15"/>
                <w:sz w:val="24"/>
              </w:rPr>
              <w:t xml:space="preserve"> </w:t>
            </w:r>
            <w:r>
              <w:rPr>
                <w:b/>
                <w:sz w:val="24"/>
              </w:rPr>
              <w:t xml:space="preserve">196 </w:t>
            </w:r>
            <w:r>
              <w:rPr>
                <w:b/>
                <w:spacing w:val="-4"/>
                <w:sz w:val="24"/>
              </w:rPr>
              <w:t>(%)</w:t>
            </w:r>
          </w:p>
        </w:tc>
        <w:tc>
          <w:tcPr>
            <w:tcW w:w="1710" w:type="dxa"/>
          </w:tcPr>
          <w:p w14:paraId="15390A7A" w14:textId="77777777" w:rsidR="001825E2" w:rsidRDefault="000839A5" w:rsidP="00CB00A7">
            <w:pPr>
              <w:pStyle w:val="TableParagraph"/>
              <w:spacing w:before="7" w:line="330" w:lineRule="atLeast"/>
              <w:ind w:left="667" w:right="95" w:hanging="195"/>
              <w:jc w:val="left"/>
              <w:rPr>
                <w:b/>
                <w:sz w:val="24"/>
              </w:rPr>
            </w:pPr>
            <w:r>
              <w:rPr>
                <w:b/>
                <w:sz w:val="24"/>
              </w:rPr>
              <w:t>N</w:t>
            </w:r>
            <w:r>
              <w:rPr>
                <w:b/>
                <w:spacing w:val="-15"/>
                <w:sz w:val="24"/>
              </w:rPr>
              <w:t xml:space="preserve"> </w:t>
            </w:r>
            <w:r>
              <w:rPr>
                <w:b/>
                <w:sz w:val="24"/>
              </w:rPr>
              <w:t>=</w:t>
            </w:r>
            <w:r>
              <w:rPr>
                <w:b/>
                <w:spacing w:val="-15"/>
                <w:sz w:val="24"/>
              </w:rPr>
              <w:t xml:space="preserve"> </w:t>
            </w:r>
            <w:r>
              <w:rPr>
                <w:b/>
                <w:sz w:val="24"/>
              </w:rPr>
              <w:t xml:space="preserve">198 </w:t>
            </w:r>
            <w:r>
              <w:rPr>
                <w:b/>
                <w:spacing w:val="-4"/>
                <w:sz w:val="24"/>
              </w:rPr>
              <w:t>(%)</w:t>
            </w:r>
          </w:p>
        </w:tc>
      </w:tr>
      <w:tr w:rsidR="001825E2" w14:paraId="447AB4E8" w14:textId="77777777">
        <w:trPr>
          <w:trHeight w:val="390"/>
        </w:trPr>
        <w:tc>
          <w:tcPr>
            <w:tcW w:w="4080" w:type="dxa"/>
          </w:tcPr>
          <w:p w14:paraId="4B71C5ED" w14:textId="77777777" w:rsidR="001825E2" w:rsidRDefault="000839A5" w:rsidP="00CB00A7">
            <w:pPr>
              <w:pStyle w:val="TableParagraph"/>
              <w:spacing w:before="61"/>
              <w:jc w:val="left"/>
              <w:rPr>
                <w:sz w:val="24"/>
              </w:rPr>
            </w:pPr>
            <w:r>
              <w:rPr>
                <w:spacing w:val="-2"/>
                <w:sz w:val="24"/>
              </w:rPr>
              <w:t>Nasopharyngitis</w:t>
            </w:r>
          </w:p>
        </w:tc>
        <w:tc>
          <w:tcPr>
            <w:tcW w:w="1695" w:type="dxa"/>
          </w:tcPr>
          <w:p w14:paraId="66C2FA40" w14:textId="77777777" w:rsidR="001825E2" w:rsidRDefault="000839A5" w:rsidP="00CB00A7">
            <w:pPr>
              <w:pStyle w:val="TableParagraph"/>
              <w:spacing w:before="61"/>
              <w:ind w:left="29" w:right="14"/>
              <w:jc w:val="left"/>
              <w:rPr>
                <w:sz w:val="24"/>
              </w:rPr>
            </w:pPr>
            <w:r>
              <w:rPr>
                <w:spacing w:val="-5"/>
                <w:sz w:val="24"/>
              </w:rPr>
              <w:t>10</w:t>
            </w:r>
          </w:p>
        </w:tc>
        <w:tc>
          <w:tcPr>
            <w:tcW w:w="1695" w:type="dxa"/>
          </w:tcPr>
          <w:p w14:paraId="61074B54" w14:textId="77777777" w:rsidR="001825E2" w:rsidRDefault="000839A5" w:rsidP="00CB00A7">
            <w:pPr>
              <w:pStyle w:val="TableParagraph"/>
              <w:spacing w:before="61"/>
              <w:ind w:left="29" w:right="14"/>
              <w:jc w:val="left"/>
              <w:rPr>
                <w:sz w:val="24"/>
              </w:rPr>
            </w:pPr>
            <w:r>
              <w:rPr>
                <w:spacing w:val="-5"/>
                <w:sz w:val="24"/>
              </w:rPr>
              <w:t>14</w:t>
            </w:r>
          </w:p>
        </w:tc>
        <w:tc>
          <w:tcPr>
            <w:tcW w:w="1710" w:type="dxa"/>
          </w:tcPr>
          <w:p w14:paraId="6FE1CCCD" w14:textId="77777777" w:rsidR="001825E2" w:rsidRDefault="000839A5" w:rsidP="00CB00A7">
            <w:pPr>
              <w:pStyle w:val="TableParagraph"/>
              <w:spacing w:before="61"/>
              <w:ind w:left="42" w:right="12"/>
              <w:jc w:val="left"/>
              <w:rPr>
                <w:sz w:val="24"/>
              </w:rPr>
            </w:pPr>
            <w:r>
              <w:rPr>
                <w:spacing w:val="-10"/>
                <w:sz w:val="24"/>
              </w:rPr>
              <w:t>6</w:t>
            </w:r>
          </w:p>
        </w:tc>
      </w:tr>
      <w:tr w:rsidR="001825E2" w14:paraId="0F19EC35" w14:textId="77777777">
        <w:trPr>
          <w:trHeight w:val="390"/>
        </w:trPr>
        <w:tc>
          <w:tcPr>
            <w:tcW w:w="4080" w:type="dxa"/>
          </w:tcPr>
          <w:p w14:paraId="327AF96E" w14:textId="77777777" w:rsidR="001825E2" w:rsidRDefault="000839A5" w:rsidP="00CB00A7">
            <w:pPr>
              <w:pStyle w:val="TableParagraph"/>
              <w:spacing w:before="61"/>
              <w:jc w:val="left"/>
              <w:rPr>
                <w:sz w:val="24"/>
              </w:rPr>
            </w:pPr>
            <w:r>
              <w:rPr>
                <w:sz w:val="24"/>
              </w:rPr>
              <w:t>Elevated</w:t>
            </w:r>
            <w:r>
              <w:rPr>
                <w:spacing w:val="-8"/>
                <w:sz w:val="24"/>
              </w:rPr>
              <w:t xml:space="preserve"> </w:t>
            </w:r>
            <w:r>
              <w:rPr>
                <w:sz w:val="24"/>
              </w:rPr>
              <w:t xml:space="preserve">cholesterol </w:t>
            </w:r>
            <w:r>
              <w:rPr>
                <w:spacing w:val="-2"/>
                <w:sz w:val="24"/>
              </w:rPr>
              <w:t>levels**</w:t>
            </w:r>
          </w:p>
        </w:tc>
        <w:tc>
          <w:tcPr>
            <w:tcW w:w="1695" w:type="dxa"/>
          </w:tcPr>
          <w:p w14:paraId="32BFBFF0" w14:textId="77777777" w:rsidR="001825E2" w:rsidRDefault="000839A5" w:rsidP="00CB00A7">
            <w:pPr>
              <w:pStyle w:val="TableParagraph"/>
              <w:spacing w:before="61"/>
              <w:ind w:left="29" w:right="15"/>
              <w:jc w:val="left"/>
              <w:rPr>
                <w:sz w:val="24"/>
              </w:rPr>
            </w:pPr>
            <w:r>
              <w:rPr>
                <w:spacing w:val="-10"/>
                <w:sz w:val="24"/>
              </w:rPr>
              <w:t>5</w:t>
            </w:r>
          </w:p>
        </w:tc>
        <w:tc>
          <w:tcPr>
            <w:tcW w:w="1695" w:type="dxa"/>
          </w:tcPr>
          <w:p w14:paraId="01331EE7" w14:textId="77777777" w:rsidR="001825E2" w:rsidRDefault="000839A5" w:rsidP="00CB00A7">
            <w:pPr>
              <w:pStyle w:val="TableParagraph"/>
              <w:spacing w:before="61"/>
              <w:ind w:left="29" w:right="15"/>
              <w:jc w:val="left"/>
              <w:rPr>
                <w:sz w:val="24"/>
              </w:rPr>
            </w:pPr>
            <w:r>
              <w:rPr>
                <w:spacing w:val="-10"/>
                <w:sz w:val="24"/>
              </w:rPr>
              <w:t>9</w:t>
            </w:r>
          </w:p>
        </w:tc>
        <w:tc>
          <w:tcPr>
            <w:tcW w:w="1710" w:type="dxa"/>
          </w:tcPr>
          <w:p w14:paraId="213526B0" w14:textId="77777777" w:rsidR="001825E2" w:rsidRDefault="000839A5" w:rsidP="00CB00A7">
            <w:pPr>
              <w:pStyle w:val="TableParagraph"/>
              <w:spacing w:before="61"/>
              <w:ind w:left="42" w:right="13"/>
              <w:jc w:val="left"/>
              <w:rPr>
                <w:sz w:val="24"/>
              </w:rPr>
            </w:pPr>
            <w:r>
              <w:rPr>
                <w:spacing w:val="-10"/>
                <w:sz w:val="24"/>
              </w:rPr>
              <w:t>1</w:t>
            </w:r>
          </w:p>
        </w:tc>
      </w:tr>
      <w:tr w:rsidR="001825E2" w14:paraId="5247E0A4" w14:textId="77777777">
        <w:trPr>
          <w:trHeight w:val="390"/>
        </w:trPr>
        <w:tc>
          <w:tcPr>
            <w:tcW w:w="4080" w:type="dxa"/>
          </w:tcPr>
          <w:p w14:paraId="70876A0E" w14:textId="77777777" w:rsidR="001825E2" w:rsidRDefault="000839A5" w:rsidP="00CB00A7">
            <w:pPr>
              <w:pStyle w:val="TableParagraph"/>
              <w:spacing w:before="61"/>
              <w:jc w:val="left"/>
              <w:rPr>
                <w:sz w:val="24"/>
              </w:rPr>
            </w:pPr>
            <w:r>
              <w:rPr>
                <w:spacing w:val="-2"/>
                <w:sz w:val="24"/>
              </w:rPr>
              <w:t>Headache</w:t>
            </w:r>
          </w:p>
        </w:tc>
        <w:tc>
          <w:tcPr>
            <w:tcW w:w="1695" w:type="dxa"/>
          </w:tcPr>
          <w:p w14:paraId="15FC9782" w14:textId="77777777" w:rsidR="001825E2" w:rsidRDefault="000839A5" w:rsidP="00CB00A7">
            <w:pPr>
              <w:pStyle w:val="TableParagraph"/>
              <w:spacing w:before="61"/>
              <w:ind w:left="29" w:right="14"/>
              <w:jc w:val="left"/>
              <w:rPr>
                <w:sz w:val="24"/>
              </w:rPr>
            </w:pPr>
            <w:r>
              <w:rPr>
                <w:spacing w:val="-10"/>
                <w:sz w:val="24"/>
              </w:rPr>
              <w:t>9</w:t>
            </w:r>
          </w:p>
        </w:tc>
        <w:tc>
          <w:tcPr>
            <w:tcW w:w="1695" w:type="dxa"/>
          </w:tcPr>
          <w:p w14:paraId="164D0E33" w14:textId="77777777" w:rsidR="001825E2" w:rsidRDefault="000839A5" w:rsidP="00CB00A7">
            <w:pPr>
              <w:pStyle w:val="TableParagraph"/>
              <w:spacing w:before="61"/>
              <w:ind w:left="29" w:right="14"/>
              <w:jc w:val="left"/>
              <w:rPr>
                <w:sz w:val="24"/>
              </w:rPr>
            </w:pPr>
            <w:r>
              <w:rPr>
                <w:spacing w:val="-10"/>
                <w:sz w:val="24"/>
              </w:rPr>
              <w:t>3</w:t>
            </w:r>
          </w:p>
        </w:tc>
        <w:tc>
          <w:tcPr>
            <w:tcW w:w="1710" w:type="dxa"/>
          </w:tcPr>
          <w:p w14:paraId="2526884E" w14:textId="77777777" w:rsidR="001825E2" w:rsidRDefault="000839A5" w:rsidP="00CB00A7">
            <w:pPr>
              <w:pStyle w:val="TableParagraph"/>
              <w:spacing w:before="61"/>
              <w:ind w:left="42" w:right="12"/>
              <w:jc w:val="left"/>
              <w:rPr>
                <w:sz w:val="24"/>
              </w:rPr>
            </w:pPr>
            <w:r>
              <w:rPr>
                <w:spacing w:val="-10"/>
                <w:sz w:val="24"/>
              </w:rPr>
              <w:t>6</w:t>
            </w:r>
          </w:p>
        </w:tc>
      </w:tr>
      <w:tr w:rsidR="001825E2" w14:paraId="39ED0C8F" w14:textId="77777777">
        <w:trPr>
          <w:trHeight w:val="390"/>
        </w:trPr>
        <w:tc>
          <w:tcPr>
            <w:tcW w:w="4080" w:type="dxa"/>
          </w:tcPr>
          <w:p w14:paraId="2A81D849" w14:textId="77777777" w:rsidR="001825E2" w:rsidRDefault="000839A5" w:rsidP="00CB00A7">
            <w:pPr>
              <w:pStyle w:val="TableParagraph"/>
              <w:spacing w:before="61"/>
              <w:jc w:val="left"/>
              <w:rPr>
                <w:sz w:val="24"/>
              </w:rPr>
            </w:pPr>
            <w:r>
              <w:rPr>
                <w:sz w:val="24"/>
              </w:rPr>
              <w:t>Upper</w:t>
            </w:r>
            <w:r>
              <w:rPr>
                <w:spacing w:val="-11"/>
                <w:sz w:val="24"/>
              </w:rPr>
              <w:t xml:space="preserve"> </w:t>
            </w:r>
            <w:r>
              <w:rPr>
                <w:sz w:val="24"/>
              </w:rPr>
              <w:t>respiratory</w:t>
            </w:r>
            <w:r>
              <w:rPr>
                <w:spacing w:val="7"/>
                <w:sz w:val="24"/>
              </w:rPr>
              <w:t xml:space="preserve"> </w:t>
            </w:r>
            <w:r>
              <w:rPr>
                <w:sz w:val="24"/>
              </w:rPr>
              <w:t>tract</w:t>
            </w:r>
            <w:r>
              <w:rPr>
                <w:spacing w:val="2"/>
                <w:sz w:val="24"/>
              </w:rPr>
              <w:t xml:space="preserve"> </w:t>
            </w:r>
            <w:r>
              <w:rPr>
                <w:spacing w:val="-2"/>
                <w:sz w:val="24"/>
              </w:rPr>
              <w:t>infection</w:t>
            </w:r>
          </w:p>
        </w:tc>
        <w:tc>
          <w:tcPr>
            <w:tcW w:w="1695" w:type="dxa"/>
          </w:tcPr>
          <w:p w14:paraId="525320CA" w14:textId="77777777" w:rsidR="001825E2" w:rsidRDefault="000839A5" w:rsidP="00CB00A7">
            <w:pPr>
              <w:pStyle w:val="TableParagraph"/>
              <w:spacing w:before="61"/>
              <w:ind w:left="29" w:right="15"/>
              <w:jc w:val="left"/>
              <w:rPr>
                <w:sz w:val="24"/>
              </w:rPr>
            </w:pPr>
            <w:r>
              <w:rPr>
                <w:spacing w:val="-10"/>
                <w:sz w:val="24"/>
              </w:rPr>
              <w:t>7</w:t>
            </w:r>
          </w:p>
        </w:tc>
        <w:tc>
          <w:tcPr>
            <w:tcW w:w="1695" w:type="dxa"/>
          </w:tcPr>
          <w:p w14:paraId="5A1DCF08" w14:textId="77777777" w:rsidR="001825E2" w:rsidRDefault="000839A5" w:rsidP="00CB00A7">
            <w:pPr>
              <w:pStyle w:val="TableParagraph"/>
              <w:spacing w:before="61"/>
              <w:ind w:left="29" w:right="15"/>
              <w:jc w:val="left"/>
              <w:rPr>
                <w:sz w:val="24"/>
              </w:rPr>
            </w:pPr>
            <w:r>
              <w:rPr>
                <w:spacing w:val="-10"/>
                <w:sz w:val="24"/>
              </w:rPr>
              <w:t>6</w:t>
            </w:r>
          </w:p>
        </w:tc>
        <w:tc>
          <w:tcPr>
            <w:tcW w:w="1710" w:type="dxa"/>
          </w:tcPr>
          <w:p w14:paraId="449C4417" w14:textId="77777777" w:rsidR="001825E2" w:rsidRDefault="000839A5" w:rsidP="00CB00A7">
            <w:pPr>
              <w:pStyle w:val="TableParagraph"/>
              <w:spacing w:before="61"/>
              <w:ind w:left="42" w:right="13"/>
              <w:jc w:val="left"/>
              <w:rPr>
                <w:sz w:val="24"/>
              </w:rPr>
            </w:pPr>
            <w:r>
              <w:rPr>
                <w:spacing w:val="-10"/>
                <w:sz w:val="24"/>
              </w:rPr>
              <w:t>4</w:t>
            </w:r>
          </w:p>
        </w:tc>
      </w:tr>
      <w:tr w:rsidR="001825E2" w14:paraId="07D1DABB" w14:textId="77777777">
        <w:trPr>
          <w:trHeight w:val="390"/>
        </w:trPr>
        <w:tc>
          <w:tcPr>
            <w:tcW w:w="4080" w:type="dxa"/>
          </w:tcPr>
          <w:p w14:paraId="56079A7F" w14:textId="77777777" w:rsidR="001825E2" w:rsidRDefault="000839A5" w:rsidP="00CB00A7">
            <w:pPr>
              <w:pStyle w:val="TableParagraph"/>
              <w:spacing w:before="61"/>
              <w:jc w:val="left"/>
              <w:rPr>
                <w:sz w:val="24"/>
              </w:rPr>
            </w:pPr>
            <w:r>
              <w:rPr>
                <w:sz w:val="24"/>
              </w:rPr>
              <w:t>Increased</w:t>
            </w:r>
            <w:r>
              <w:rPr>
                <w:spacing w:val="-9"/>
                <w:sz w:val="24"/>
              </w:rPr>
              <w:t xml:space="preserve"> </w:t>
            </w:r>
            <w:r>
              <w:rPr>
                <w:sz w:val="24"/>
              </w:rPr>
              <w:t>blood</w:t>
            </w:r>
            <w:r>
              <w:rPr>
                <w:spacing w:val="6"/>
                <w:sz w:val="24"/>
              </w:rPr>
              <w:t xml:space="preserve"> </w:t>
            </w:r>
            <w:r>
              <w:rPr>
                <w:sz w:val="24"/>
              </w:rPr>
              <w:t>creatine</w:t>
            </w:r>
            <w:r>
              <w:rPr>
                <w:spacing w:val="-9"/>
                <w:sz w:val="24"/>
              </w:rPr>
              <w:t xml:space="preserve"> </w:t>
            </w:r>
            <w:r>
              <w:rPr>
                <w:spacing w:val="-2"/>
                <w:sz w:val="24"/>
              </w:rPr>
              <w:t>phosphokinase</w:t>
            </w:r>
          </w:p>
        </w:tc>
        <w:tc>
          <w:tcPr>
            <w:tcW w:w="1695" w:type="dxa"/>
          </w:tcPr>
          <w:p w14:paraId="7CBEDE16" w14:textId="77777777" w:rsidR="001825E2" w:rsidRDefault="000839A5" w:rsidP="00CB00A7">
            <w:pPr>
              <w:pStyle w:val="TableParagraph"/>
              <w:spacing w:before="61"/>
              <w:ind w:left="29" w:right="15"/>
              <w:jc w:val="left"/>
              <w:rPr>
                <w:sz w:val="24"/>
              </w:rPr>
            </w:pPr>
            <w:r>
              <w:rPr>
                <w:spacing w:val="-10"/>
                <w:sz w:val="24"/>
              </w:rPr>
              <w:t>3</w:t>
            </w:r>
          </w:p>
        </w:tc>
        <w:tc>
          <w:tcPr>
            <w:tcW w:w="1695" w:type="dxa"/>
          </w:tcPr>
          <w:p w14:paraId="415AFE09" w14:textId="77777777" w:rsidR="001825E2" w:rsidRDefault="000839A5" w:rsidP="00CB00A7">
            <w:pPr>
              <w:pStyle w:val="TableParagraph"/>
              <w:spacing w:before="61"/>
              <w:ind w:left="29" w:right="15"/>
              <w:jc w:val="left"/>
              <w:rPr>
                <w:sz w:val="24"/>
              </w:rPr>
            </w:pPr>
            <w:r>
              <w:rPr>
                <w:spacing w:val="-10"/>
                <w:sz w:val="24"/>
              </w:rPr>
              <w:t>7</w:t>
            </w:r>
          </w:p>
        </w:tc>
        <w:tc>
          <w:tcPr>
            <w:tcW w:w="1710" w:type="dxa"/>
          </w:tcPr>
          <w:p w14:paraId="5AD0657A" w14:textId="77777777" w:rsidR="001825E2" w:rsidRDefault="000839A5" w:rsidP="00CB00A7">
            <w:pPr>
              <w:pStyle w:val="TableParagraph"/>
              <w:spacing w:before="61"/>
              <w:ind w:left="42" w:right="13"/>
              <w:jc w:val="left"/>
              <w:rPr>
                <w:sz w:val="24"/>
              </w:rPr>
            </w:pPr>
            <w:r>
              <w:rPr>
                <w:spacing w:val="-10"/>
                <w:sz w:val="24"/>
              </w:rPr>
              <w:t>2</w:t>
            </w:r>
          </w:p>
        </w:tc>
      </w:tr>
      <w:tr w:rsidR="001825E2" w14:paraId="30E4F383" w14:textId="77777777">
        <w:trPr>
          <w:trHeight w:val="390"/>
        </w:trPr>
        <w:tc>
          <w:tcPr>
            <w:tcW w:w="4080" w:type="dxa"/>
          </w:tcPr>
          <w:p w14:paraId="18C0F082" w14:textId="77777777" w:rsidR="001825E2" w:rsidRDefault="000839A5" w:rsidP="00CB00A7">
            <w:pPr>
              <w:pStyle w:val="TableParagraph"/>
              <w:spacing w:before="61"/>
              <w:jc w:val="left"/>
              <w:rPr>
                <w:sz w:val="24"/>
              </w:rPr>
            </w:pPr>
            <w:r>
              <w:rPr>
                <w:spacing w:val="-4"/>
                <w:sz w:val="24"/>
              </w:rPr>
              <w:t>Rash</w:t>
            </w:r>
          </w:p>
        </w:tc>
        <w:tc>
          <w:tcPr>
            <w:tcW w:w="1695" w:type="dxa"/>
          </w:tcPr>
          <w:p w14:paraId="3CD76406" w14:textId="77777777" w:rsidR="001825E2" w:rsidRDefault="000839A5" w:rsidP="00CB00A7">
            <w:pPr>
              <w:pStyle w:val="TableParagraph"/>
              <w:spacing w:before="61"/>
              <w:ind w:left="29" w:right="15"/>
              <w:jc w:val="left"/>
              <w:rPr>
                <w:sz w:val="24"/>
              </w:rPr>
            </w:pPr>
            <w:r>
              <w:rPr>
                <w:spacing w:val="-10"/>
                <w:sz w:val="24"/>
              </w:rPr>
              <w:t>3</w:t>
            </w:r>
          </w:p>
        </w:tc>
        <w:tc>
          <w:tcPr>
            <w:tcW w:w="1695" w:type="dxa"/>
          </w:tcPr>
          <w:p w14:paraId="2E2507E2" w14:textId="77777777" w:rsidR="001825E2" w:rsidRDefault="000839A5" w:rsidP="00CB00A7">
            <w:pPr>
              <w:pStyle w:val="TableParagraph"/>
              <w:spacing w:before="61"/>
              <w:ind w:left="29" w:right="15"/>
              <w:jc w:val="left"/>
              <w:rPr>
                <w:sz w:val="24"/>
              </w:rPr>
            </w:pPr>
            <w:r>
              <w:rPr>
                <w:spacing w:val="-10"/>
                <w:sz w:val="24"/>
              </w:rPr>
              <w:t>6</w:t>
            </w:r>
          </w:p>
        </w:tc>
        <w:tc>
          <w:tcPr>
            <w:tcW w:w="1710" w:type="dxa"/>
          </w:tcPr>
          <w:p w14:paraId="5DAC2A70" w14:textId="77777777" w:rsidR="001825E2" w:rsidRDefault="000839A5" w:rsidP="00CB00A7">
            <w:pPr>
              <w:pStyle w:val="TableParagraph"/>
              <w:spacing w:before="61"/>
              <w:ind w:left="42" w:right="13"/>
              <w:jc w:val="left"/>
              <w:rPr>
                <w:sz w:val="24"/>
              </w:rPr>
            </w:pPr>
            <w:r>
              <w:rPr>
                <w:spacing w:val="-10"/>
                <w:sz w:val="24"/>
              </w:rPr>
              <w:t>4</w:t>
            </w:r>
          </w:p>
        </w:tc>
      </w:tr>
      <w:tr w:rsidR="001825E2" w14:paraId="63BCFABC" w14:textId="77777777">
        <w:trPr>
          <w:trHeight w:val="390"/>
        </w:trPr>
        <w:tc>
          <w:tcPr>
            <w:tcW w:w="4080" w:type="dxa"/>
          </w:tcPr>
          <w:p w14:paraId="5A5EC6D9" w14:textId="77777777" w:rsidR="001825E2" w:rsidRDefault="000839A5" w:rsidP="00CB00A7">
            <w:pPr>
              <w:pStyle w:val="TableParagraph"/>
              <w:spacing w:before="61"/>
              <w:jc w:val="left"/>
              <w:rPr>
                <w:sz w:val="24"/>
              </w:rPr>
            </w:pPr>
            <w:proofErr w:type="spellStart"/>
            <w:r>
              <w:rPr>
                <w:spacing w:val="-2"/>
                <w:sz w:val="24"/>
              </w:rPr>
              <w:t>Diarrhoea</w:t>
            </w:r>
            <w:proofErr w:type="spellEnd"/>
          </w:p>
        </w:tc>
        <w:tc>
          <w:tcPr>
            <w:tcW w:w="1695" w:type="dxa"/>
          </w:tcPr>
          <w:p w14:paraId="00FF6002" w14:textId="77777777" w:rsidR="001825E2" w:rsidRDefault="000839A5" w:rsidP="00CB00A7">
            <w:pPr>
              <w:pStyle w:val="TableParagraph"/>
              <w:spacing w:before="61"/>
              <w:ind w:left="29" w:right="14"/>
              <w:jc w:val="left"/>
              <w:rPr>
                <w:sz w:val="24"/>
              </w:rPr>
            </w:pPr>
            <w:r>
              <w:rPr>
                <w:spacing w:val="-10"/>
                <w:sz w:val="24"/>
              </w:rPr>
              <w:t>2</w:t>
            </w:r>
          </w:p>
        </w:tc>
        <w:tc>
          <w:tcPr>
            <w:tcW w:w="1695" w:type="dxa"/>
          </w:tcPr>
          <w:p w14:paraId="6012D2CA" w14:textId="77777777" w:rsidR="001825E2" w:rsidRDefault="000839A5" w:rsidP="00CB00A7">
            <w:pPr>
              <w:pStyle w:val="TableParagraph"/>
              <w:spacing w:before="61"/>
              <w:ind w:left="29" w:right="14"/>
              <w:jc w:val="left"/>
              <w:rPr>
                <w:sz w:val="24"/>
              </w:rPr>
            </w:pPr>
            <w:r>
              <w:rPr>
                <w:spacing w:val="-10"/>
                <w:sz w:val="24"/>
              </w:rPr>
              <w:t>5</w:t>
            </w:r>
          </w:p>
        </w:tc>
        <w:tc>
          <w:tcPr>
            <w:tcW w:w="1710" w:type="dxa"/>
          </w:tcPr>
          <w:p w14:paraId="4D2D73B6" w14:textId="77777777" w:rsidR="001825E2" w:rsidRDefault="000839A5" w:rsidP="00CB00A7">
            <w:pPr>
              <w:pStyle w:val="TableParagraph"/>
              <w:spacing w:before="61"/>
              <w:ind w:left="42" w:right="12"/>
              <w:jc w:val="left"/>
              <w:rPr>
                <w:sz w:val="24"/>
              </w:rPr>
            </w:pPr>
            <w:r>
              <w:rPr>
                <w:spacing w:val="-10"/>
                <w:sz w:val="24"/>
              </w:rPr>
              <w:t>3</w:t>
            </w:r>
          </w:p>
        </w:tc>
      </w:tr>
      <w:tr w:rsidR="001825E2" w14:paraId="45D4B11F" w14:textId="77777777">
        <w:trPr>
          <w:trHeight w:val="390"/>
        </w:trPr>
        <w:tc>
          <w:tcPr>
            <w:tcW w:w="4080" w:type="dxa"/>
          </w:tcPr>
          <w:p w14:paraId="63EBF488" w14:textId="77777777" w:rsidR="001825E2" w:rsidRDefault="000839A5" w:rsidP="00CB00A7">
            <w:pPr>
              <w:pStyle w:val="TableParagraph"/>
              <w:spacing w:before="61"/>
              <w:jc w:val="left"/>
              <w:rPr>
                <w:sz w:val="24"/>
              </w:rPr>
            </w:pPr>
            <w:r>
              <w:rPr>
                <w:sz w:val="24"/>
              </w:rPr>
              <w:t>Herpes</w:t>
            </w:r>
            <w:r>
              <w:rPr>
                <w:spacing w:val="-9"/>
                <w:sz w:val="24"/>
              </w:rPr>
              <w:t xml:space="preserve"> </w:t>
            </w:r>
            <w:r>
              <w:rPr>
                <w:spacing w:val="-2"/>
                <w:sz w:val="24"/>
              </w:rPr>
              <w:t>zoster</w:t>
            </w:r>
          </w:p>
        </w:tc>
        <w:tc>
          <w:tcPr>
            <w:tcW w:w="1695" w:type="dxa"/>
          </w:tcPr>
          <w:p w14:paraId="6E10F75F" w14:textId="77777777" w:rsidR="001825E2" w:rsidRDefault="000839A5" w:rsidP="00CB00A7">
            <w:pPr>
              <w:pStyle w:val="TableParagraph"/>
              <w:spacing w:before="61"/>
              <w:ind w:left="29" w:right="14"/>
              <w:jc w:val="left"/>
              <w:rPr>
                <w:sz w:val="24"/>
              </w:rPr>
            </w:pPr>
            <w:r>
              <w:rPr>
                <w:spacing w:val="-10"/>
                <w:sz w:val="24"/>
              </w:rPr>
              <w:t>1</w:t>
            </w:r>
          </w:p>
        </w:tc>
        <w:tc>
          <w:tcPr>
            <w:tcW w:w="1695" w:type="dxa"/>
          </w:tcPr>
          <w:p w14:paraId="1BEEDBEB" w14:textId="77777777" w:rsidR="001825E2" w:rsidRDefault="000839A5" w:rsidP="00CB00A7">
            <w:pPr>
              <w:pStyle w:val="TableParagraph"/>
              <w:spacing w:before="61"/>
              <w:ind w:left="29" w:right="14"/>
              <w:jc w:val="left"/>
              <w:rPr>
                <w:sz w:val="24"/>
              </w:rPr>
            </w:pPr>
            <w:r>
              <w:rPr>
                <w:spacing w:val="-10"/>
                <w:sz w:val="24"/>
              </w:rPr>
              <w:t>5</w:t>
            </w:r>
          </w:p>
        </w:tc>
        <w:tc>
          <w:tcPr>
            <w:tcW w:w="1710" w:type="dxa"/>
          </w:tcPr>
          <w:p w14:paraId="35778922" w14:textId="77777777" w:rsidR="001825E2" w:rsidRDefault="000839A5" w:rsidP="00CB00A7">
            <w:pPr>
              <w:pStyle w:val="TableParagraph"/>
              <w:spacing w:before="61"/>
              <w:ind w:left="42" w:right="12"/>
              <w:jc w:val="left"/>
              <w:rPr>
                <w:sz w:val="24"/>
              </w:rPr>
            </w:pPr>
            <w:r>
              <w:rPr>
                <w:spacing w:val="-10"/>
                <w:sz w:val="24"/>
              </w:rPr>
              <w:t>1</w:t>
            </w:r>
          </w:p>
        </w:tc>
      </w:tr>
      <w:tr w:rsidR="001825E2" w14:paraId="45C73DD1" w14:textId="77777777">
        <w:trPr>
          <w:trHeight w:val="390"/>
        </w:trPr>
        <w:tc>
          <w:tcPr>
            <w:tcW w:w="4080" w:type="dxa"/>
          </w:tcPr>
          <w:p w14:paraId="0B9BCEF4" w14:textId="77777777" w:rsidR="001825E2" w:rsidRDefault="000839A5" w:rsidP="00CB00A7">
            <w:pPr>
              <w:pStyle w:val="TableParagraph"/>
              <w:spacing w:before="61"/>
              <w:jc w:val="left"/>
              <w:rPr>
                <w:sz w:val="24"/>
              </w:rPr>
            </w:pPr>
            <w:r>
              <w:rPr>
                <w:spacing w:val="-2"/>
                <w:sz w:val="24"/>
              </w:rPr>
              <w:t>Gastroenteritis</w:t>
            </w:r>
          </w:p>
        </w:tc>
        <w:tc>
          <w:tcPr>
            <w:tcW w:w="1695" w:type="dxa"/>
          </w:tcPr>
          <w:p w14:paraId="735F0E33" w14:textId="77777777" w:rsidR="001825E2" w:rsidRDefault="000839A5" w:rsidP="00CB00A7">
            <w:pPr>
              <w:pStyle w:val="TableParagraph"/>
              <w:spacing w:before="61"/>
              <w:ind w:left="29" w:right="14"/>
              <w:jc w:val="left"/>
              <w:rPr>
                <w:sz w:val="24"/>
              </w:rPr>
            </w:pPr>
            <w:r>
              <w:rPr>
                <w:spacing w:val="-10"/>
                <w:sz w:val="24"/>
              </w:rPr>
              <w:t>3</w:t>
            </w:r>
          </w:p>
        </w:tc>
        <w:tc>
          <w:tcPr>
            <w:tcW w:w="1695" w:type="dxa"/>
          </w:tcPr>
          <w:p w14:paraId="20B0B723" w14:textId="77777777" w:rsidR="001825E2" w:rsidRDefault="000839A5" w:rsidP="00CB00A7">
            <w:pPr>
              <w:pStyle w:val="TableParagraph"/>
              <w:spacing w:before="61"/>
              <w:ind w:left="29" w:right="14"/>
              <w:jc w:val="left"/>
              <w:rPr>
                <w:sz w:val="24"/>
              </w:rPr>
            </w:pPr>
            <w:r>
              <w:rPr>
                <w:spacing w:val="-10"/>
                <w:sz w:val="24"/>
              </w:rPr>
              <w:t>4</w:t>
            </w:r>
          </w:p>
        </w:tc>
        <w:tc>
          <w:tcPr>
            <w:tcW w:w="1710" w:type="dxa"/>
          </w:tcPr>
          <w:p w14:paraId="366E6FE4" w14:textId="77777777" w:rsidR="001825E2" w:rsidRDefault="000839A5" w:rsidP="00CB00A7">
            <w:pPr>
              <w:pStyle w:val="TableParagraph"/>
              <w:spacing w:before="61"/>
              <w:ind w:left="42" w:right="12"/>
              <w:jc w:val="left"/>
              <w:rPr>
                <w:sz w:val="24"/>
              </w:rPr>
            </w:pPr>
            <w:r>
              <w:rPr>
                <w:spacing w:val="-10"/>
                <w:sz w:val="24"/>
              </w:rPr>
              <w:t>3</w:t>
            </w:r>
          </w:p>
        </w:tc>
      </w:tr>
      <w:tr w:rsidR="001825E2" w14:paraId="4AB66776" w14:textId="77777777">
        <w:trPr>
          <w:trHeight w:val="390"/>
        </w:trPr>
        <w:tc>
          <w:tcPr>
            <w:tcW w:w="4080" w:type="dxa"/>
          </w:tcPr>
          <w:p w14:paraId="079B596A" w14:textId="77777777" w:rsidR="001825E2" w:rsidRDefault="000839A5" w:rsidP="00CB00A7">
            <w:pPr>
              <w:pStyle w:val="TableParagraph"/>
              <w:spacing w:before="61"/>
              <w:jc w:val="left"/>
              <w:rPr>
                <w:sz w:val="24"/>
              </w:rPr>
            </w:pPr>
            <w:proofErr w:type="spellStart"/>
            <w:r>
              <w:rPr>
                <w:spacing w:val="-2"/>
                <w:sz w:val="24"/>
              </w:rPr>
              <w:t>Anaemia</w:t>
            </w:r>
            <w:proofErr w:type="spellEnd"/>
          </w:p>
        </w:tc>
        <w:tc>
          <w:tcPr>
            <w:tcW w:w="1695" w:type="dxa"/>
          </w:tcPr>
          <w:p w14:paraId="6DC1ECDB" w14:textId="77777777" w:rsidR="001825E2" w:rsidRDefault="000839A5" w:rsidP="00CB00A7">
            <w:pPr>
              <w:pStyle w:val="TableParagraph"/>
              <w:spacing w:before="61"/>
              <w:ind w:left="29" w:right="14"/>
              <w:jc w:val="left"/>
              <w:rPr>
                <w:sz w:val="24"/>
              </w:rPr>
            </w:pPr>
            <w:r>
              <w:rPr>
                <w:spacing w:val="-10"/>
                <w:sz w:val="24"/>
              </w:rPr>
              <w:t>4</w:t>
            </w:r>
          </w:p>
        </w:tc>
        <w:tc>
          <w:tcPr>
            <w:tcW w:w="1695" w:type="dxa"/>
          </w:tcPr>
          <w:p w14:paraId="43A873FC" w14:textId="77777777" w:rsidR="001825E2" w:rsidRDefault="000839A5" w:rsidP="00CB00A7">
            <w:pPr>
              <w:pStyle w:val="TableParagraph"/>
              <w:spacing w:before="61"/>
              <w:ind w:left="29" w:right="14"/>
              <w:jc w:val="left"/>
              <w:rPr>
                <w:sz w:val="24"/>
              </w:rPr>
            </w:pPr>
            <w:r>
              <w:rPr>
                <w:spacing w:val="-10"/>
                <w:sz w:val="24"/>
              </w:rPr>
              <w:t>2</w:t>
            </w:r>
          </w:p>
        </w:tc>
        <w:tc>
          <w:tcPr>
            <w:tcW w:w="1710" w:type="dxa"/>
          </w:tcPr>
          <w:p w14:paraId="30767013" w14:textId="77777777" w:rsidR="001825E2" w:rsidRDefault="000839A5" w:rsidP="00CB00A7">
            <w:pPr>
              <w:pStyle w:val="TableParagraph"/>
              <w:spacing w:before="61"/>
              <w:ind w:left="42" w:right="12"/>
              <w:jc w:val="left"/>
              <w:rPr>
                <w:sz w:val="24"/>
              </w:rPr>
            </w:pPr>
            <w:r>
              <w:rPr>
                <w:spacing w:val="-10"/>
                <w:sz w:val="24"/>
              </w:rPr>
              <w:t>2</w:t>
            </w:r>
          </w:p>
        </w:tc>
      </w:tr>
      <w:tr w:rsidR="001825E2" w14:paraId="25075E03" w14:textId="77777777">
        <w:trPr>
          <w:trHeight w:val="390"/>
        </w:trPr>
        <w:tc>
          <w:tcPr>
            <w:tcW w:w="4080" w:type="dxa"/>
          </w:tcPr>
          <w:p w14:paraId="52ABFC8C" w14:textId="77777777" w:rsidR="001825E2" w:rsidRDefault="000839A5" w:rsidP="00CB00A7">
            <w:pPr>
              <w:pStyle w:val="TableParagraph"/>
              <w:spacing w:before="61"/>
              <w:jc w:val="left"/>
              <w:rPr>
                <w:sz w:val="24"/>
              </w:rPr>
            </w:pPr>
            <w:r>
              <w:rPr>
                <w:spacing w:val="-2"/>
                <w:sz w:val="24"/>
              </w:rPr>
              <w:t>Nausea</w:t>
            </w:r>
          </w:p>
        </w:tc>
        <w:tc>
          <w:tcPr>
            <w:tcW w:w="1695" w:type="dxa"/>
          </w:tcPr>
          <w:p w14:paraId="2B04692B" w14:textId="77777777" w:rsidR="001825E2" w:rsidRDefault="000839A5" w:rsidP="00CB00A7">
            <w:pPr>
              <w:pStyle w:val="TableParagraph"/>
              <w:spacing w:before="61"/>
              <w:ind w:left="29" w:right="14"/>
              <w:jc w:val="left"/>
              <w:rPr>
                <w:sz w:val="24"/>
              </w:rPr>
            </w:pPr>
            <w:r>
              <w:rPr>
                <w:spacing w:val="-10"/>
                <w:sz w:val="24"/>
              </w:rPr>
              <w:t>1</w:t>
            </w:r>
          </w:p>
        </w:tc>
        <w:tc>
          <w:tcPr>
            <w:tcW w:w="1695" w:type="dxa"/>
          </w:tcPr>
          <w:p w14:paraId="63435615" w14:textId="77777777" w:rsidR="001825E2" w:rsidRDefault="000839A5" w:rsidP="00CB00A7">
            <w:pPr>
              <w:pStyle w:val="TableParagraph"/>
              <w:spacing w:before="61"/>
              <w:ind w:left="29" w:right="14"/>
              <w:jc w:val="left"/>
              <w:rPr>
                <w:sz w:val="24"/>
              </w:rPr>
            </w:pPr>
            <w:r>
              <w:rPr>
                <w:spacing w:val="-10"/>
                <w:sz w:val="24"/>
              </w:rPr>
              <w:t>4</w:t>
            </w:r>
          </w:p>
        </w:tc>
        <w:tc>
          <w:tcPr>
            <w:tcW w:w="1710" w:type="dxa"/>
          </w:tcPr>
          <w:p w14:paraId="294A5E10" w14:textId="77777777" w:rsidR="001825E2" w:rsidRDefault="000839A5" w:rsidP="00CB00A7">
            <w:pPr>
              <w:pStyle w:val="TableParagraph"/>
              <w:spacing w:before="61"/>
              <w:ind w:left="42" w:right="12"/>
              <w:jc w:val="left"/>
              <w:rPr>
                <w:sz w:val="24"/>
              </w:rPr>
            </w:pPr>
            <w:r>
              <w:rPr>
                <w:spacing w:val="-10"/>
                <w:sz w:val="24"/>
              </w:rPr>
              <w:t>3</w:t>
            </w:r>
          </w:p>
        </w:tc>
      </w:tr>
    </w:tbl>
    <w:p w14:paraId="26AE5688" w14:textId="77777777" w:rsidR="001825E2" w:rsidRDefault="000839A5" w:rsidP="00CB00A7">
      <w:pPr>
        <w:spacing w:before="2"/>
        <w:ind w:left="220"/>
        <w:rPr>
          <w:sz w:val="19"/>
        </w:rPr>
      </w:pPr>
      <w:r>
        <w:rPr>
          <w:sz w:val="19"/>
        </w:rPr>
        <w:t>*</w:t>
      </w:r>
      <w:r>
        <w:rPr>
          <w:spacing w:val="23"/>
          <w:sz w:val="19"/>
        </w:rPr>
        <w:t xml:space="preserve"> </w:t>
      </w:r>
      <w:proofErr w:type="gramStart"/>
      <w:r>
        <w:rPr>
          <w:sz w:val="19"/>
        </w:rPr>
        <w:t>reported</w:t>
      </w:r>
      <w:proofErr w:type="gramEnd"/>
      <w:r>
        <w:rPr>
          <w:spacing w:val="25"/>
          <w:sz w:val="19"/>
        </w:rPr>
        <w:t xml:space="preserve"> </w:t>
      </w:r>
      <w:r>
        <w:rPr>
          <w:sz w:val="19"/>
        </w:rPr>
        <w:t>in</w:t>
      </w:r>
      <w:r>
        <w:rPr>
          <w:spacing w:val="23"/>
          <w:sz w:val="19"/>
        </w:rPr>
        <w:t xml:space="preserve"> </w:t>
      </w:r>
      <w:r>
        <w:rPr>
          <w:sz w:val="19"/>
        </w:rPr>
        <w:t>≥4%</w:t>
      </w:r>
      <w:r>
        <w:rPr>
          <w:spacing w:val="39"/>
          <w:sz w:val="19"/>
        </w:rPr>
        <w:t xml:space="preserve"> </w:t>
      </w:r>
      <w:r>
        <w:rPr>
          <w:sz w:val="19"/>
        </w:rPr>
        <w:t>of</w:t>
      </w:r>
      <w:r>
        <w:rPr>
          <w:spacing w:val="6"/>
          <w:sz w:val="19"/>
        </w:rPr>
        <w:t xml:space="preserve"> </w:t>
      </w:r>
      <w:r>
        <w:rPr>
          <w:sz w:val="19"/>
        </w:rPr>
        <w:t>patients</w:t>
      </w:r>
      <w:r>
        <w:rPr>
          <w:spacing w:val="-8"/>
          <w:sz w:val="19"/>
        </w:rPr>
        <w:t xml:space="preserve"> </w:t>
      </w:r>
      <w:r>
        <w:rPr>
          <w:sz w:val="19"/>
        </w:rPr>
        <w:t>treated</w:t>
      </w:r>
      <w:r>
        <w:rPr>
          <w:spacing w:val="4"/>
          <w:sz w:val="19"/>
        </w:rPr>
        <w:t xml:space="preserve"> </w:t>
      </w:r>
      <w:r>
        <w:rPr>
          <w:sz w:val="19"/>
        </w:rPr>
        <w:t>with</w:t>
      </w:r>
      <w:r>
        <w:rPr>
          <w:spacing w:val="46"/>
          <w:sz w:val="19"/>
        </w:rPr>
        <w:t xml:space="preserve"> </w:t>
      </w:r>
      <w:r>
        <w:rPr>
          <w:sz w:val="19"/>
        </w:rPr>
        <w:t>either</w:t>
      </w:r>
      <w:r>
        <w:rPr>
          <w:spacing w:val="27"/>
          <w:sz w:val="19"/>
        </w:rPr>
        <w:t xml:space="preserve"> </w:t>
      </w:r>
      <w:r>
        <w:rPr>
          <w:sz w:val="19"/>
        </w:rPr>
        <w:t>dose</w:t>
      </w:r>
      <w:r>
        <w:rPr>
          <w:spacing w:val="-3"/>
          <w:sz w:val="19"/>
        </w:rPr>
        <w:t xml:space="preserve"> </w:t>
      </w:r>
      <w:r>
        <w:rPr>
          <w:sz w:val="19"/>
        </w:rPr>
        <w:t>of</w:t>
      </w:r>
      <w:r>
        <w:rPr>
          <w:spacing w:val="28"/>
          <w:sz w:val="19"/>
        </w:rPr>
        <w:t xml:space="preserve"> </w:t>
      </w:r>
      <w:r>
        <w:rPr>
          <w:sz w:val="19"/>
        </w:rPr>
        <w:t>XELJANZ</w:t>
      </w:r>
      <w:r>
        <w:rPr>
          <w:spacing w:val="77"/>
          <w:sz w:val="19"/>
        </w:rPr>
        <w:t xml:space="preserve"> </w:t>
      </w:r>
      <w:r>
        <w:rPr>
          <w:sz w:val="19"/>
        </w:rPr>
        <w:t>and</w:t>
      </w:r>
      <w:r>
        <w:rPr>
          <w:spacing w:val="3"/>
          <w:sz w:val="19"/>
        </w:rPr>
        <w:t xml:space="preserve"> </w:t>
      </w:r>
      <w:r>
        <w:rPr>
          <w:sz w:val="19"/>
        </w:rPr>
        <w:t>≥1%</w:t>
      </w:r>
      <w:r>
        <w:rPr>
          <w:spacing w:val="18"/>
          <w:sz w:val="19"/>
        </w:rPr>
        <w:t xml:space="preserve"> </w:t>
      </w:r>
      <w:r>
        <w:rPr>
          <w:sz w:val="19"/>
        </w:rPr>
        <w:t>greater</w:t>
      </w:r>
      <w:r>
        <w:rPr>
          <w:spacing w:val="6"/>
          <w:sz w:val="19"/>
        </w:rPr>
        <w:t xml:space="preserve"> </w:t>
      </w:r>
      <w:r>
        <w:rPr>
          <w:sz w:val="19"/>
        </w:rPr>
        <w:t>than</w:t>
      </w:r>
      <w:r>
        <w:rPr>
          <w:spacing w:val="5"/>
          <w:sz w:val="19"/>
        </w:rPr>
        <w:t xml:space="preserve"> </w:t>
      </w:r>
      <w:r>
        <w:rPr>
          <w:sz w:val="19"/>
        </w:rPr>
        <w:t>reported</w:t>
      </w:r>
      <w:r>
        <w:rPr>
          <w:spacing w:val="4"/>
          <w:sz w:val="19"/>
        </w:rPr>
        <w:t xml:space="preserve"> </w:t>
      </w:r>
      <w:r>
        <w:rPr>
          <w:sz w:val="19"/>
        </w:rPr>
        <w:t>for</w:t>
      </w:r>
      <w:r>
        <w:rPr>
          <w:spacing w:val="7"/>
          <w:sz w:val="19"/>
        </w:rPr>
        <w:t xml:space="preserve"> </w:t>
      </w:r>
      <w:r>
        <w:rPr>
          <w:spacing w:val="-2"/>
          <w:sz w:val="19"/>
        </w:rPr>
        <w:t>placebo.</w:t>
      </w:r>
    </w:p>
    <w:p w14:paraId="093A7727" w14:textId="77777777" w:rsidR="001825E2" w:rsidRDefault="000839A5" w:rsidP="00CB00A7">
      <w:pPr>
        <w:spacing w:before="22" w:line="247" w:lineRule="auto"/>
        <w:ind w:left="220" w:right="210"/>
        <w:rPr>
          <w:sz w:val="19"/>
        </w:rPr>
      </w:pPr>
      <w:r>
        <w:rPr>
          <w:sz w:val="19"/>
        </w:rPr>
        <w:t>**</w:t>
      </w:r>
      <w:r>
        <w:rPr>
          <w:spacing w:val="40"/>
          <w:sz w:val="19"/>
        </w:rPr>
        <w:t xml:space="preserve"> </w:t>
      </w:r>
      <w:r>
        <w:rPr>
          <w:sz w:val="19"/>
        </w:rPr>
        <w:t>includes</w:t>
      </w:r>
      <w:r>
        <w:rPr>
          <w:spacing w:val="40"/>
          <w:sz w:val="19"/>
        </w:rPr>
        <w:t xml:space="preserve"> </w:t>
      </w:r>
      <w:proofErr w:type="spellStart"/>
      <w:proofErr w:type="gramStart"/>
      <w:r>
        <w:rPr>
          <w:sz w:val="19"/>
        </w:rPr>
        <w:t>hypercholesterolaemia</w:t>
      </w:r>
      <w:proofErr w:type="spellEnd"/>
      <w:r>
        <w:rPr>
          <w:spacing w:val="-12"/>
          <w:sz w:val="19"/>
        </w:rPr>
        <w:t xml:space="preserve"> </w:t>
      </w:r>
      <w:r>
        <w:rPr>
          <w:sz w:val="19"/>
        </w:rPr>
        <w:t>,</w:t>
      </w:r>
      <w:proofErr w:type="gramEnd"/>
      <w:r>
        <w:rPr>
          <w:spacing w:val="40"/>
          <w:sz w:val="19"/>
        </w:rPr>
        <w:t xml:space="preserve"> </w:t>
      </w:r>
      <w:proofErr w:type="spellStart"/>
      <w:r>
        <w:rPr>
          <w:sz w:val="19"/>
        </w:rPr>
        <w:t>hyperlip</w:t>
      </w:r>
      <w:proofErr w:type="spellEnd"/>
      <w:r>
        <w:rPr>
          <w:spacing w:val="-12"/>
          <w:sz w:val="19"/>
        </w:rPr>
        <w:t xml:space="preserve"> </w:t>
      </w:r>
      <w:proofErr w:type="spellStart"/>
      <w:r>
        <w:rPr>
          <w:sz w:val="19"/>
        </w:rPr>
        <w:t>ida</w:t>
      </w:r>
      <w:proofErr w:type="spellEnd"/>
      <w:r>
        <w:rPr>
          <w:spacing w:val="-12"/>
          <w:sz w:val="19"/>
        </w:rPr>
        <w:t xml:space="preserve"> </w:t>
      </w:r>
      <w:proofErr w:type="spellStart"/>
      <w:r>
        <w:rPr>
          <w:sz w:val="19"/>
        </w:rPr>
        <w:t>emia</w:t>
      </w:r>
      <w:proofErr w:type="spellEnd"/>
      <w:r>
        <w:rPr>
          <w:spacing w:val="-12"/>
          <w:sz w:val="19"/>
        </w:rPr>
        <w:t xml:space="preserve"> </w:t>
      </w:r>
      <w:r>
        <w:rPr>
          <w:sz w:val="19"/>
        </w:rPr>
        <w:t>,</w:t>
      </w:r>
      <w:r>
        <w:rPr>
          <w:spacing w:val="40"/>
          <w:sz w:val="19"/>
        </w:rPr>
        <w:t xml:space="preserve"> </w:t>
      </w:r>
      <w:r>
        <w:rPr>
          <w:sz w:val="19"/>
        </w:rPr>
        <w:t>blood</w:t>
      </w:r>
      <w:r>
        <w:rPr>
          <w:spacing w:val="40"/>
          <w:sz w:val="19"/>
        </w:rPr>
        <w:t xml:space="preserve"> </w:t>
      </w:r>
      <w:r>
        <w:rPr>
          <w:sz w:val="19"/>
        </w:rPr>
        <w:t>cholesterol</w:t>
      </w:r>
      <w:r>
        <w:rPr>
          <w:spacing w:val="40"/>
          <w:sz w:val="19"/>
        </w:rPr>
        <w:t xml:space="preserve"> </w:t>
      </w:r>
      <w:r>
        <w:rPr>
          <w:sz w:val="19"/>
        </w:rPr>
        <w:t>increased,</w:t>
      </w:r>
      <w:r>
        <w:rPr>
          <w:spacing w:val="40"/>
          <w:sz w:val="19"/>
        </w:rPr>
        <w:t xml:space="preserve"> </w:t>
      </w:r>
      <w:proofErr w:type="spellStart"/>
      <w:r>
        <w:rPr>
          <w:sz w:val="19"/>
        </w:rPr>
        <w:t>dyslipidaemia</w:t>
      </w:r>
      <w:proofErr w:type="spellEnd"/>
      <w:r>
        <w:rPr>
          <w:spacing w:val="-12"/>
          <w:sz w:val="19"/>
        </w:rPr>
        <w:t xml:space="preserve"> </w:t>
      </w:r>
      <w:r>
        <w:rPr>
          <w:sz w:val="19"/>
        </w:rPr>
        <w:t>,</w:t>
      </w:r>
      <w:r>
        <w:rPr>
          <w:spacing w:val="40"/>
          <w:sz w:val="19"/>
        </w:rPr>
        <w:t xml:space="preserve"> </w:t>
      </w:r>
      <w:r>
        <w:rPr>
          <w:sz w:val="19"/>
        </w:rPr>
        <w:t>blood triglycerides</w:t>
      </w:r>
      <w:r>
        <w:rPr>
          <w:spacing w:val="80"/>
          <w:sz w:val="19"/>
        </w:rPr>
        <w:t xml:space="preserve"> </w:t>
      </w:r>
      <w:r>
        <w:rPr>
          <w:sz w:val="19"/>
        </w:rPr>
        <w:t>increased, low</w:t>
      </w:r>
      <w:r>
        <w:rPr>
          <w:spacing w:val="38"/>
          <w:sz w:val="19"/>
        </w:rPr>
        <w:t xml:space="preserve"> </w:t>
      </w:r>
      <w:r>
        <w:rPr>
          <w:sz w:val="19"/>
        </w:rPr>
        <w:t>density</w:t>
      </w:r>
      <w:r>
        <w:rPr>
          <w:spacing w:val="36"/>
          <w:sz w:val="19"/>
        </w:rPr>
        <w:t xml:space="preserve"> </w:t>
      </w:r>
      <w:r>
        <w:rPr>
          <w:sz w:val="19"/>
        </w:rPr>
        <w:t>lipoprotein</w:t>
      </w:r>
      <w:r>
        <w:rPr>
          <w:spacing w:val="40"/>
          <w:sz w:val="19"/>
        </w:rPr>
        <w:t xml:space="preserve"> </w:t>
      </w:r>
      <w:r>
        <w:rPr>
          <w:sz w:val="19"/>
        </w:rPr>
        <w:t>increased, low</w:t>
      </w:r>
      <w:r>
        <w:rPr>
          <w:spacing w:val="40"/>
          <w:sz w:val="19"/>
        </w:rPr>
        <w:t xml:space="preserve"> </w:t>
      </w:r>
      <w:r>
        <w:rPr>
          <w:sz w:val="19"/>
        </w:rPr>
        <w:t>density lipoprotein</w:t>
      </w:r>
      <w:r>
        <w:rPr>
          <w:spacing w:val="40"/>
          <w:sz w:val="19"/>
        </w:rPr>
        <w:t xml:space="preserve"> </w:t>
      </w:r>
      <w:r>
        <w:rPr>
          <w:sz w:val="19"/>
        </w:rPr>
        <w:t>abnormal,</w:t>
      </w:r>
      <w:r>
        <w:rPr>
          <w:spacing w:val="-7"/>
          <w:sz w:val="19"/>
        </w:rPr>
        <w:t xml:space="preserve"> </w:t>
      </w:r>
      <w:r>
        <w:rPr>
          <w:sz w:val="19"/>
        </w:rPr>
        <w:t>or lipids</w:t>
      </w:r>
      <w:r>
        <w:rPr>
          <w:spacing w:val="40"/>
          <w:sz w:val="19"/>
        </w:rPr>
        <w:t xml:space="preserve"> </w:t>
      </w:r>
      <w:proofErr w:type="spellStart"/>
      <w:r>
        <w:rPr>
          <w:sz w:val="19"/>
        </w:rPr>
        <w:t>increa</w:t>
      </w:r>
      <w:proofErr w:type="spellEnd"/>
      <w:r>
        <w:rPr>
          <w:spacing w:val="-20"/>
          <w:sz w:val="19"/>
        </w:rPr>
        <w:t xml:space="preserve"> </w:t>
      </w:r>
      <w:r>
        <w:rPr>
          <w:sz w:val="19"/>
        </w:rPr>
        <w:t>sed.</w:t>
      </w:r>
    </w:p>
    <w:p w14:paraId="22F9BB2F" w14:textId="77777777" w:rsidR="001825E2" w:rsidRDefault="001825E2" w:rsidP="00CB00A7">
      <w:pPr>
        <w:pStyle w:val="BodyText"/>
        <w:spacing w:before="19"/>
        <w:jc w:val="left"/>
        <w:rPr>
          <w:sz w:val="19"/>
        </w:rPr>
      </w:pPr>
    </w:p>
    <w:p w14:paraId="618EAD66" w14:textId="77777777" w:rsidR="001825E2" w:rsidRDefault="000839A5" w:rsidP="00CB00A7">
      <w:pPr>
        <w:pStyle w:val="BodyText"/>
        <w:spacing w:before="1" w:line="242" w:lineRule="auto"/>
        <w:ind w:left="219" w:right="203"/>
        <w:jc w:val="left"/>
      </w:pPr>
      <w:r>
        <w:t xml:space="preserve">In the 52-week maintenance study, no malignancies were reported in patients treated with XELJANZ 10 mg twice daily or 5 mg twice daily. In the long-term extension study, malignancies (including solid cancers, lymphomas and NMSC) were observed more often in patients treated with XELJANZ 10 mg twice daily (see Section 4.4 Special Warnings and Precautions </w:t>
      </w:r>
      <w:proofErr w:type="gramStart"/>
      <w:r>
        <w:t>For</w:t>
      </w:r>
      <w:proofErr w:type="gramEnd"/>
      <w:r>
        <w:t xml:space="preserve"> Use). Four cases of pulmonary embolism were reported in patients taking XELJANZ 10 mg twice daily, including one fatality in a patient with advanced cancer (see Section 4.4 Special Warnings and Precautions </w:t>
      </w:r>
      <w:proofErr w:type="gramStart"/>
      <w:r>
        <w:t>For</w:t>
      </w:r>
      <w:proofErr w:type="gramEnd"/>
      <w:r>
        <w:t xml:space="preserve"> Use).</w:t>
      </w:r>
    </w:p>
    <w:p w14:paraId="399F0C27" w14:textId="77777777" w:rsidR="001825E2" w:rsidRDefault="001825E2" w:rsidP="00CB00A7">
      <w:pPr>
        <w:spacing w:line="242" w:lineRule="auto"/>
        <w:sectPr w:rsidR="001825E2">
          <w:pgSz w:w="11910" w:h="16850"/>
          <w:pgMar w:top="1480" w:right="1220" w:bottom="980" w:left="1220" w:header="0" w:footer="785" w:gutter="0"/>
          <w:cols w:space="720"/>
        </w:sectPr>
      </w:pPr>
    </w:p>
    <w:p w14:paraId="25A215CD" w14:textId="77777777" w:rsidR="001825E2" w:rsidRDefault="000839A5" w:rsidP="00CB00A7">
      <w:pPr>
        <w:pStyle w:val="BodyText"/>
        <w:spacing w:before="76"/>
        <w:ind w:left="219" w:right="206"/>
        <w:jc w:val="left"/>
      </w:pPr>
      <w:bookmarkStart w:id="43" w:name="Adverse_Drug_Reactions_for_XELJANZ"/>
      <w:bookmarkEnd w:id="43"/>
      <w:r>
        <w:lastRenderedPageBreak/>
        <w:t>Dose-dependent adverse reactions seen across indications in patients treated with</w:t>
      </w:r>
      <w:r>
        <w:rPr>
          <w:spacing w:val="-4"/>
        </w:rPr>
        <w:t xml:space="preserve"> </w:t>
      </w:r>
      <w:r>
        <w:t>XELJANZ 10 mg twice daily, in comparison to 5 mg twice daily, include the following: herpes zoster infections (incidence rates in UC patients for 10 mg twice daily and 5 mg twice daily were 6.64</w:t>
      </w:r>
      <w:r>
        <w:rPr>
          <w:spacing w:val="-1"/>
        </w:rPr>
        <w:t xml:space="preserve"> </w:t>
      </w:r>
      <w:r>
        <w:t>events</w:t>
      </w:r>
      <w:r>
        <w:rPr>
          <w:spacing w:val="-5"/>
        </w:rPr>
        <w:t xml:space="preserve"> </w:t>
      </w:r>
      <w:r>
        <w:t>per</w:t>
      </w:r>
      <w:r>
        <w:rPr>
          <w:spacing w:val="-6"/>
        </w:rPr>
        <w:t xml:space="preserve"> </w:t>
      </w:r>
      <w:r>
        <w:t>100</w:t>
      </w:r>
      <w:r>
        <w:rPr>
          <w:spacing w:val="-1"/>
        </w:rPr>
        <w:t xml:space="preserve"> </w:t>
      </w:r>
      <w:r>
        <w:t>patient-years</w:t>
      </w:r>
      <w:r>
        <w:rPr>
          <w:spacing w:val="-5"/>
        </w:rPr>
        <w:t xml:space="preserve"> </w:t>
      </w:r>
      <w:r>
        <w:t>and 2.05</w:t>
      </w:r>
      <w:r>
        <w:rPr>
          <w:spacing w:val="-1"/>
        </w:rPr>
        <w:t xml:space="preserve"> </w:t>
      </w:r>
      <w:r>
        <w:t>events</w:t>
      </w:r>
      <w:r>
        <w:rPr>
          <w:spacing w:val="-5"/>
        </w:rPr>
        <w:t xml:space="preserve"> </w:t>
      </w:r>
      <w:r>
        <w:t>per 100</w:t>
      </w:r>
      <w:r>
        <w:rPr>
          <w:spacing w:val="-1"/>
        </w:rPr>
        <w:t xml:space="preserve"> </w:t>
      </w:r>
      <w:r>
        <w:t>patient-years,</w:t>
      </w:r>
      <w:r>
        <w:rPr>
          <w:spacing w:val="-1"/>
        </w:rPr>
        <w:t xml:space="preserve"> </w:t>
      </w:r>
      <w:r>
        <w:t>respectively), serious infections (incidence rates in UC patients for 10 mg twice daily and 5 mg twice daily were 0.64 events per 100 patient-years and 1.35 events per 100 patient-years, respectively), and NMSC (incidence</w:t>
      </w:r>
      <w:r>
        <w:rPr>
          <w:spacing w:val="-1"/>
        </w:rPr>
        <w:t xml:space="preserve"> </w:t>
      </w:r>
      <w:r>
        <w:t>rates in UC patients</w:t>
      </w:r>
      <w:r>
        <w:rPr>
          <w:spacing w:val="-3"/>
        </w:rPr>
        <w:t xml:space="preserve"> </w:t>
      </w:r>
      <w:r>
        <w:t>for</w:t>
      </w:r>
      <w:r>
        <w:rPr>
          <w:spacing w:val="-4"/>
        </w:rPr>
        <w:t xml:space="preserve"> </w:t>
      </w:r>
      <w:r>
        <w:t>1</w:t>
      </w:r>
      <w:r>
        <w:t>0 mg twice</w:t>
      </w:r>
      <w:r>
        <w:rPr>
          <w:spacing w:val="-1"/>
        </w:rPr>
        <w:t xml:space="preserve"> </w:t>
      </w:r>
      <w:r>
        <w:t>daily and 5 mg twice</w:t>
      </w:r>
      <w:r>
        <w:rPr>
          <w:spacing w:val="-1"/>
        </w:rPr>
        <w:t xml:space="preserve"> </w:t>
      </w:r>
      <w:r>
        <w:t>daily were</w:t>
      </w:r>
      <w:r>
        <w:rPr>
          <w:spacing w:val="-1"/>
        </w:rPr>
        <w:t xml:space="preserve"> </w:t>
      </w:r>
      <w:r>
        <w:t>1.91 events</w:t>
      </w:r>
      <w:r>
        <w:rPr>
          <w:spacing w:val="-2"/>
        </w:rPr>
        <w:t xml:space="preserve"> </w:t>
      </w:r>
      <w:r>
        <w:t>per</w:t>
      </w:r>
      <w:r>
        <w:rPr>
          <w:spacing w:val="-3"/>
        </w:rPr>
        <w:t xml:space="preserve"> </w:t>
      </w:r>
      <w:r>
        <w:t>100 patient-years</w:t>
      </w:r>
      <w:r>
        <w:rPr>
          <w:spacing w:val="-2"/>
        </w:rPr>
        <w:t xml:space="preserve"> </w:t>
      </w:r>
      <w:r>
        <w:t>and 0 events</w:t>
      </w:r>
      <w:r>
        <w:rPr>
          <w:spacing w:val="-2"/>
        </w:rPr>
        <w:t xml:space="preserve"> </w:t>
      </w:r>
      <w:r>
        <w:t>per</w:t>
      </w:r>
      <w:r>
        <w:rPr>
          <w:spacing w:val="-3"/>
        </w:rPr>
        <w:t xml:space="preserve"> </w:t>
      </w:r>
      <w:r>
        <w:t>100 patient-years, respectively)</w:t>
      </w:r>
      <w:r>
        <w:rPr>
          <w:spacing w:val="-3"/>
        </w:rPr>
        <w:t xml:space="preserve"> </w:t>
      </w:r>
      <w:r>
        <w:t>(see Section 4.4 Special Warnings and Precautions For Use).</w:t>
      </w:r>
    </w:p>
    <w:p w14:paraId="562B26F3" w14:textId="77777777" w:rsidR="001825E2" w:rsidRDefault="000839A5" w:rsidP="00CB00A7">
      <w:pPr>
        <w:spacing w:before="246"/>
        <w:ind w:left="220"/>
        <w:rPr>
          <w:i/>
          <w:sz w:val="24"/>
        </w:rPr>
      </w:pPr>
      <w:r>
        <w:rPr>
          <w:i/>
          <w:sz w:val="24"/>
          <w:u w:val="single"/>
        </w:rPr>
        <w:t>Juvenile</w:t>
      </w:r>
      <w:r>
        <w:rPr>
          <w:i/>
          <w:spacing w:val="-8"/>
          <w:sz w:val="24"/>
          <w:u w:val="single"/>
        </w:rPr>
        <w:t xml:space="preserve"> </w:t>
      </w:r>
      <w:r>
        <w:rPr>
          <w:i/>
          <w:sz w:val="24"/>
          <w:u w:val="single"/>
        </w:rPr>
        <w:t>Idiopathic</w:t>
      </w:r>
      <w:r>
        <w:rPr>
          <w:i/>
          <w:spacing w:val="3"/>
          <w:sz w:val="24"/>
          <w:u w:val="single"/>
        </w:rPr>
        <w:t xml:space="preserve"> </w:t>
      </w:r>
      <w:r>
        <w:rPr>
          <w:i/>
          <w:spacing w:val="-2"/>
          <w:sz w:val="24"/>
          <w:u w:val="single"/>
        </w:rPr>
        <w:t>Arthritis</w:t>
      </w:r>
    </w:p>
    <w:p w14:paraId="50820B13" w14:textId="77777777" w:rsidR="001825E2" w:rsidRDefault="000839A5" w:rsidP="00CB00A7">
      <w:pPr>
        <w:pStyle w:val="BodyText"/>
        <w:spacing w:before="114"/>
        <w:ind w:left="220" w:right="197" w:hanging="1"/>
        <w:jc w:val="left"/>
      </w:pPr>
      <w:r>
        <w:t xml:space="preserve">The adverse reactions in JIA patients in the clinical development program were consistent in type and frequency with those seen in adult RA patients, </w:t>
      </w:r>
      <w:proofErr w:type="gramStart"/>
      <w:r>
        <w:t>with the exception of</w:t>
      </w:r>
      <w:proofErr w:type="gramEnd"/>
      <w:r>
        <w:t xml:space="preserve"> some</w:t>
      </w:r>
      <w:r>
        <w:rPr>
          <w:spacing w:val="40"/>
        </w:rPr>
        <w:t xml:space="preserve"> </w:t>
      </w:r>
      <w:r>
        <w:t xml:space="preserve">infections (influenza, pharyngitis, sinusitis, viral infection) and gastrointestinal or general disorders (abdominal pain, nausea, vomiting, pyrexia, headache, cough), which were more common in the JIA </w:t>
      </w:r>
      <w:proofErr w:type="spellStart"/>
      <w:r>
        <w:t>paediatric</w:t>
      </w:r>
      <w:proofErr w:type="spellEnd"/>
      <w:r>
        <w:t xml:space="preserve"> population. MTX was the most frequent concomitant </w:t>
      </w:r>
      <w:proofErr w:type="spellStart"/>
      <w:r>
        <w:t>csDMARD</w:t>
      </w:r>
      <w:proofErr w:type="spellEnd"/>
      <w:r>
        <w:t xml:space="preserve"> used (on Day 1, 156 of 157 patients on </w:t>
      </w:r>
      <w:proofErr w:type="spellStart"/>
      <w:r>
        <w:t>csDMARDs</w:t>
      </w:r>
      <w:proofErr w:type="spellEnd"/>
      <w:r>
        <w:t xml:space="preserve"> took MTX). There are insufficient data regarding</w:t>
      </w:r>
      <w:r>
        <w:rPr>
          <w:spacing w:val="-4"/>
        </w:rPr>
        <w:t xml:space="preserve"> </w:t>
      </w:r>
      <w:r>
        <w:t>the safety profile of tofacitinib used concomitantly with</w:t>
      </w:r>
      <w:r>
        <w:rPr>
          <w:spacing w:val="-4"/>
        </w:rPr>
        <w:t xml:space="preserve"> </w:t>
      </w:r>
      <w:r>
        <w:t xml:space="preserve">any other </w:t>
      </w:r>
      <w:proofErr w:type="spellStart"/>
      <w:r>
        <w:rPr>
          <w:spacing w:val="-2"/>
        </w:rPr>
        <w:t>csDMARDs</w:t>
      </w:r>
      <w:proofErr w:type="spellEnd"/>
      <w:r>
        <w:rPr>
          <w:spacing w:val="-2"/>
        </w:rPr>
        <w:t>.</w:t>
      </w:r>
    </w:p>
    <w:p w14:paraId="27EFA6BB" w14:textId="77777777" w:rsidR="001825E2" w:rsidRDefault="000839A5" w:rsidP="00CB00A7">
      <w:pPr>
        <w:pStyle w:val="BodyText"/>
        <w:spacing w:before="237" w:line="242" w:lineRule="auto"/>
        <w:ind w:left="218" w:right="223" w:firstLine="1"/>
        <w:jc w:val="left"/>
      </w:pPr>
      <w:r>
        <w:t xml:space="preserve">In the pivotal Phase 3 (Study </w:t>
      </w:r>
      <w:proofErr w:type="spellStart"/>
      <w:r>
        <w:t>pcJIA</w:t>
      </w:r>
      <w:proofErr w:type="spellEnd"/>
      <w:r>
        <w:t>-I [A3921104]), in patients with juvenile idiopathic arthritis</w:t>
      </w:r>
      <w:r>
        <w:rPr>
          <w:spacing w:val="-6"/>
        </w:rPr>
        <w:t xml:space="preserve"> </w:t>
      </w:r>
      <w:r>
        <w:t>aged 2</w:t>
      </w:r>
      <w:r>
        <w:rPr>
          <w:spacing w:val="-2"/>
        </w:rPr>
        <w:t xml:space="preserve"> </w:t>
      </w:r>
      <w:r>
        <w:t>to</w:t>
      </w:r>
      <w:r>
        <w:rPr>
          <w:spacing w:val="-2"/>
        </w:rPr>
        <w:t xml:space="preserve"> </w:t>
      </w:r>
      <w:r>
        <w:t>&lt;18 years</w:t>
      </w:r>
      <w:r>
        <w:rPr>
          <w:spacing w:val="-6"/>
        </w:rPr>
        <w:t xml:space="preserve"> </w:t>
      </w:r>
      <w:r>
        <w:t>of age, the</w:t>
      </w:r>
      <w:r>
        <w:rPr>
          <w:spacing w:val="-4"/>
        </w:rPr>
        <w:t xml:space="preserve"> </w:t>
      </w:r>
      <w:proofErr w:type="gramStart"/>
      <w:r>
        <w:t>most commonly reported</w:t>
      </w:r>
      <w:proofErr w:type="gramEnd"/>
      <w:r>
        <w:t xml:space="preserve"> adverse</w:t>
      </w:r>
      <w:r>
        <w:rPr>
          <w:spacing w:val="-4"/>
        </w:rPr>
        <w:t xml:space="preserve"> </w:t>
      </w:r>
      <w:r>
        <w:t>reactions occurring in ≥5% of patients treated with tofacitinib dosed at 5 mg twice daily or weight-based equivalent twice daily were upper respiratory tract infections, headache, nasopharyngitis, pyrexia, nausea and vomiting.</w:t>
      </w:r>
    </w:p>
    <w:p w14:paraId="2FDC0AB5" w14:textId="77777777" w:rsidR="001825E2" w:rsidRDefault="000839A5" w:rsidP="00CB00A7">
      <w:pPr>
        <w:pStyle w:val="Heading4"/>
        <w:spacing w:before="227"/>
        <w:ind w:left="218"/>
        <w:jc w:val="left"/>
      </w:pPr>
      <w:r>
        <w:t>Adverse</w:t>
      </w:r>
      <w:r>
        <w:rPr>
          <w:spacing w:val="-8"/>
        </w:rPr>
        <w:t xml:space="preserve"> </w:t>
      </w:r>
      <w:r>
        <w:t>Drug</w:t>
      </w:r>
      <w:r>
        <w:rPr>
          <w:spacing w:val="-5"/>
        </w:rPr>
        <w:t xml:space="preserve"> </w:t>
      </w:r>
      <w:r>
        <w:t>Reactions</w:t>
      </w:r>
      <w:r>
        <w:rPr>
          <w:spacing w:val="5"/>
        </w:rPr>
        <w:t xml:space="preserve"> </w:t>
      </w:r>
      <w:r>
        <w:t>for</w:t>
      </w:r>
      <w:r>
        <w:rPr>
          <w:spacing w:val="5"/>
        </w:rPr>
        <w:t xml:space="preserve"> </w:t>
      </w:r>
      <w:r>
        <w:rPr>
          <w:spacing w:val="-2"/>
        </w:rPr>
        <w:t>XELJANZ</w:t>
      </w:r>
    </w:p>
    <w:p w14:paraId="27939321" w14:textId="77777777" w:rsidR="001825E2" w:rsidRDefault="000839A5" w:rsidP="00CB00A7">
      <w:pPr>
        <w:pStyle w:val="BodyText"/>
        <w:spacing w:before="131" w:line="237" w:lineRule="auto"/>
        <w:ind w:left="217" w:right="228" w:firstLine="1"/>
        <w:jc w:val="left"/>
      </w:pPr>
      <w:r>
        <w:t xml:space="preserve">The Adverse Drug Reactions (ADRs) listed below are from </w:t>
      </w:r>
      <w:proofErr w:type="spellStart"/>
      <w:r>
        <w:t>randomised</w:t>
      </w:r>
      <w:proofErr w:type="spellEnd"/>
      <w:r>
        <w:t xml:space="preserve"> Phase 3 clinical studies for rheumatoid arthritis, plaque psoriasis, psoriatic arthritis, ankylosing spondylitis, ulcerative colitis and juvenile idiopathic arthritis, and are presented by System Organ Class (SOC) and frequency categories, defined using the following convention: very common (≥10%); common (≥1% to</w:t>
      </w:r>
      <w:r>
        <w:rPr>
          <w:spacing w:val="-10"/>
        </w:rPr>
        <w:t xml:space="preserve"> </w:t>
      </w:r>
      <w:r>
        <w:t>&lt;10%), uncommon (≥0.1% to &lt;1%) or rare (≥0.01% to &lt;0.1%).</w:t>
      </w:r>
    </w:p>
    <w:p w14:paraId="63801681" w14:textId="77777777" w:rsidR="001825E2" w:rsidRDefault="000839A5" w:rsidP="00CB00A7">
      <w:pPr>
        <w:pStyle w:val="Heading4"/>
        <w:spacing w:before="252"/>
        <w:ind w:left="217"/>
        <w:jc w:val="left"/>
      </w:pPr>
      <w:r>
        <w:t>Blood</w:t>
      </w:r>
      <w:r>
        <w:rPr>
          <w:spacing w:val="-5"/>
        </w:rPr>
        <w:t xml:space="preserve"> </w:t>
      </w:r>
      <w:r>
        <w:t>and</w:t>
      </w:r>
      <w:r>
        <w:rPr>
          <w:spacing w:val="-5"/>
        </w:rPr>
        <w:t xml:space="preserve"> </w:t>
      </w:r>
      <w:r>
        <w:t>Lymphatic</w:t>
      </w:r>
      <w:r>
        <w:rPr>
          <w:spacing w:val="-6"/>
        </w:rPr>
        <w:t xml:space="preserve"> </w:t>
      </w:r>
      <w:r>
        <w:t>System</w:t>
      </w:r>
      <w:r>
        <w:rPr>
          <w:spacing w:val="17"/>
        </w:rPr>
        <w:t xml:space="preserve"> </w:t>
      </w:r>
      <w:r>
        <w:rPr>
          <w:spacing w:val="-2"/>
        </w:rPr>
        <w:t>Disorders</w:t>
      </w:r>
    </w:p>
    <w:p w14:paraId="43EC3193" w14:textId="77777777" w:rsidR="001825E2" w:rsidRDefault="000839A5" w:rsidP="00CB00A7">
      <w:pPr>
        <w:spacing w:before="114"/>
        <w:ind w:left="217"/>
        <w:rPr>
          <w:sz w:val="24"/>
        </w:rPr>
      </w:pPr>
      <w:r>
        <w:rPr>
          <w:i/>
          <w:sz w:val="24"/>
        </w:rPr>
        <w:t>Common:</w:t>
      </w:r>
      <w:r>
        <w:rPr>
          <w:i/>
          <w:spacing w:val="-5"/>
          <w:sz w:val="24"/>
        </w:rPr>
        <w:t xml:space="preserve"> </w:t>
      </w:r>
      <w:proofErr w:type="spellStart"/>
      <w:r>
        <w:rPr>
          <w:spacing w:val="-2"/>
          <w:sz w:val="24"/>
        </w:rPr>
        <w:t>Anaemia</w:t>
      </w:r>
      <w:proofErr w:type="spellEnd"/>
      <w:r>
        <w:rPr>
          <w:spacing w:val="-2"/>
          <w:sz w:val="24"/>
        </w:rPr>
        <w:t>.</w:t>
      </w:r>
    </w:p>
    <w:p w14:paraId="57369EA8" w14:textId="77777777" w:rsidR="001825E2" w:rsidRDefault="000839A5" w:rsidP="00CB00A7">
      <w:pPr>
        <w:spacing w:before="114"/>
        <w:ind w:left="217"/>
        <w:rPr>
          <w:sz w:val="24"/>
        </w:rPr>
      </w:pPr>
      <w:r>
        <w:rPr>
          <w:i/>
          <w:sz w:val="24"/>
        </w:rPr>
        <w:t>Uncommon:</w:t>
      </w:r>
      <w:r>
        <w:rPr>
          <w:i/>
          <w:spacing w:val="-21"/>
          <w:sz w:val="24"/>
        </w:rPr>
        <w:t xml:space="preserve"> </w:t>
      </w:r>
      <w:r>
        <w:rPr>
          <w:sz w:val="24"/>
        </w:rPr>
        <w:t>Leucopenia,</w:t>
      </w:r>
      <w:r>
        <w:rPr>
          <w:spacing w:val="1"/>
          <w:sz w:val="24"/>
        </w:rPr>
        <w:t xml:space="preserve"> </w:t>
      </w:r>
      <w:r>
        <w:rPr>
          <w:sz w:val="24"/>
        </w:rPr>
        <w:t>lymphopenia,</w:t>
      </w:r>
      <w:r>
        <w:rPr>
          <w:spacing w:val="7"/>
          <w:sz w:val="24"/>
        </w:rPr>
        <w:t xml:space="preserve"> </w:t>
      </w:r>
      <w:r>
        <w:rPr>
          <w:spacing w:val="-2"/>
          <w:sz w:val="24"/>
        </w:rPr>
        <w:t>neutropenia.</w:t>
      </w:r>
    </w:p>
    <w:p w14:paraId="65716D18" w14:textId="77777777" w:rsidR="001825E2" w:rsidRDefault="000839A5" w:rsidP="00CB00A7">
      <w:pPr>
        <w:pStyle w:val="Heading4"/>
        <w:ind w:left="217"/>
        <w:jc w:val="left"/>
      </w:pPr>
      <w:r>
        <w:rPr>
          <w:spacing w:val="-2"/>
        </w:rPr>
        <w:t>Gastrointestinal</w:t>
      </w:r>
      <w:r>
        <w:rPr>
          <w:spacing w:val="29"/>
        </w:rPr>
        <w:t xml:space="preserve"> </w:t>
      </w:r>
      <w:r>
        <w:rPr>
          <w:spacing w:val="-2"/>
        </w:rPr>
        <w:t>Disorders</w:t>
      </w:r>
    </w:p>
    <w:p w14:paraId="4B73184C" w14:textId="77777777" w:rsidR="001825E2" w:rsidRDefault="000839A5" w:rsidP="00CB00A7">
      <w:pPr>
        <w:pStyle w:val="BodyText"/>
        <w:spacing w:before="114"/>
        <w:ind w:left="217"/>
        <w:jc w:val="left"/>
      </w:pPr>
      <w:r>
        <w:rPr>
          <w:i/>
        </w:rPr>
        <w:t>Common:</w:t>
      </w:r>
      <w:r>
        <w:rPr>
          <w:i/>
          <w:spacing w:val="-23"/>
        </w:rPr>
        <w:t xml:space="preserve"> </w:t>
      </w:r>
      <w:r>
        <w:t>Abdominal</w:t>
      </w:r>
      <w:r>
        <w:rPr>
          <w:spacing w:val="-14"/>
        </w:rPr>
        <w:t xml:space="preserve"> </w:t>
      </w:r>
      <w:r>
        <w:t>pain,</w:t>
      </w:r>
      <w:r>
        <w:rPr>
          <w:spacing w:val="10"/>
        </w:rPr>
        <w:t xml:space="preserve"> </w:t>
      </w:r>
      <w:r>
        <w:t>vomiting,</w:t>
      </w:r>
      <w:r>
        <w:rPr>
          <w:spacing w:val="9"/>
        </w:rPr>
        <w:t xml:space="preserve"> </w:t>
      </w:r>
      <w:proofErr w:type="spellStart"/>
      <w:r>
        <w:t>diarrhoea</w:t>
      </w:r>
      <w:proofErr w:type="spellEnd"/>
      <w:r>
        <w:t>,</w:t>
      </w:r>
      <w:r>
        <w:rPr>
          <w:spacing w:val="-4"/>
        </w:rPr>
        <w:t xml:space="preserve"> </w:t>
      </w:r>
      <w:r>
        <w:t>nausea,</w:t>
      </w:r>
      <w:r>
        <w:rPr>
          <w:spacing w:val="10"/>
        </w:rPr>
        <w:t xml:space="preserve"> </w:t>
      </w:r>
      <w:r>
        <w:t>gastritis,</w:t>
      </w:r>
      <w:r>
        <w:rPr>
          <w:spacing w:val="-4"/>
        </w:rPr>
        <w:t xml:space="preserve"> </w:t>
      </w:r>
      <w:r>
        <w:rPr>
          <w:spacing w:val="-2"/>
        </w:rPr>
        <w:t>dyspepsia.</w:t>
      </w:r>
    </w:p>
    <w:p w14:paraId="1977E8A3" w14:textId="77777777" w:rsidR="001825E2" w:rsidRDefault="000839A5" w:rsidP="00CB00A7">
      <w:pPr>
        <w:pStyle w:val="Heading4"/>
        <w:ind w:left="217"/>
        <w:jc w:val="left"/>
      </w:pPr>
      <w:r>
        <w:t>General</w:t>
      </w:r>
      <w:r>
        <w:rPr>
          <w:spacing w:val="-15"/>
        </w:rPr>
        <w:t xml:space="preserve"> </w:t>
      </w:r>
      <w:r>
        <w:t>Disorders</w:t>
      </w:r>
      <w:r>
        <w:rPr>
          <w:spacing w:val="-2"/>
        </w:rPr>
        <w:t xml:space="preserve"> </w:t>
      </w:r>
      <w:r>
        <w:t>and</w:t>
      </w:r>
      <w:r>
        <w:rPr>
          <w:spacing w:val="-10"/>
        </w:rPr>
        <w:t xml:space="preserve"> </w:t>
      </w:r>
      <w:r>
        <w:t>Administration</w:t>
      </w:r>
      <w:r>
        <w:rPr>
          <w:spacing w:val="16"/>
        </w:rPr>
        <w:t xml:space="preserve"> </w:t>
      </w:r>
      <w:r>
        <w:t>Site</w:t>
      </w:r>
      <w:r>
        <w:rPr>
          <w:spacing w:val="1"/>
        </w:rPr>
        <w:t xml:space="preserve"> </w:t>
      </w:r>
      <w:r>
        <w:rPr>
          <w:spacing w:val="-2"/>
        </w:rPr>
        <w:t>Conditions</w:t>
      </w:r>
    </w:p>
    <w:p w14:paraId="28248491" w14:textId="77777777" w:rsidR="001825E2" w:rsidRDefault="000839A5" w:rsidP="00CB00A7">
      <w:pPr>
        <w:pStyle w:val="BodyText"/>
        <w:spacing w:before="114"/>
        <w:ind w:left="216"/>
        <w:jc w:val="left"/>
      </w:pPr>
      <w:r>
        <w:rPr>
          <w:i/>
        </w:rPr>
        <w:t>Common:</w:t>
      </w:r>
      <w:r>
        <w:rPr>
          <w:i/>
          <w:spacing w:val="-21"/>
        </w:rPr>
        <w:t xml:space="preserve"> </w:t>
      </w:r>
      <w:r>
        <w:t>Pyrexia,</w:t>
      </w:r>
      <w:r>
        <w:rPr>
          <w:spacing w:val="4"/>
        </w:rPr>
        <w:t xml:space="preserve"> </w:t>
      </w:r>
      <w:r>
        <w:t>oedema</w:t>
      </w:r>
      <w:r>
        <w:rPr>
          <w:spacing w:val="-8"/>
        </w:rPr>
        <w:t xml:space="preserve"> </w:t>
      </w:r>
      <w:r>
        <w:t>peripheral,</w:t>
      </w:r>
      <w:r>
        <w:rPr>
          <w:spacing w:val="22"/>
        </w:rPr>
        <w:t xml:space="preserve"> </w:t>
      </w:r>
      <w:r>
        <w:rPr>
          <w:spacing w:val="-2"/>
        </w:rPr>
        <w:t>fatigue.</w:t>
      </w:r>
    </w:p>
    <w:p w14:paraId="1BFE6FDE" w14:textId="77777777" w:rsidR="001825E2" w:rsidRDefault="000839A5" w:rsidP="00CB00A7">
      <w:pPr>
        <w:pStyle w:val="Heading4"/>
        <w:spacing w:before="234"/>
        <w:ind w:left="216"/>
        <w:jc w:val="left"/>
      </w:pPr>
      <w:r>
        <w:rPr>
          <w:spacing w:val="-2"/>
        </w:rPr>
        <w:t>Hepatobiliary</w:t>
      </w:r>
      <w:r>
        <w:rPr>
          <w:spacing w:val="28"/>
        </w:rPr>
        <w:t xml:space="preserve"> </w:t>
      </w:r>
      <w:r>
        <w:rPr>
          <w:spacing w:val="-2"/>
        </w:rPr>
        <w:t>Disorders</w:t>
      </w:r>
    </w:p>
    <w:p w14:paraId="0B164C2D" w14:textId="77777777" w:rsidR="001825E2" w:rsidRDefault="000839A5" w:rsidP="00CB00A7">
      <w:pPr>
        <w:spacing w:before="129"/>
        <w:ind w:left="216"/>
        <w:rPr>
          <w:sz w:val="24"/>
        </w:rPr>
      </w:pPr>
      <w:r>
        <w:rPr>
          <w:i/>
          <w:sz w:val="24"/>
        </w:rPr>
        <w:t>Uncommon:</w:t>
      </w:r>
      <w:r>
        <w:rPr>
          <w:i/>
          <w:spacing w:val="-14"/>
          <w:sz w:val="24"/>
        </w:rPr>
        <w:t xml:space="preserve"> </w:t>
      </w:r>
      <w:r>
        <w:rPr>
          <w:sz w:val="24"/>
        </w:rPr>
        <w:t>Hepatic</w:t>
      </w:r>
      <w:r>
        <w:rPr>
          <w:spacing w:val="10"/>
          <w:sz w:val="24"/>
        </w:rPr>
        <w:t xml:space="preserve"> </w:t>
      </w:r>
      <w:r>
        <w:rPr>
          <w:spacing w:val="-2"/>
          <w:sz w:val="24"/>
        </w:rPr>
        <w:t>steatosis.</w:t>
      </w:r>
    </w:p>
    <w:p w14:paraId="71751A7C" w14:textId="77777777" w:rsidR="001825E2" w:rsidRDefault="001825E2" w:rsidP="00CB00A7">
      <w:pPr>
        <w:rPr>
          <w:sz w:val="24"/>
        </w:rPr>
        <w:sectPr w:rsidR="001825E2">
          <w:pgSz w:w="11910" w:h="16850"/>
          <w:pgMar w:top="1360" w:right="1220" w:bottom="980" w:left="1220" w:header="0" w:footer="785" w:gutter="0"/>
          <w:cols w:space="720"/>
        </w:sectPr>
      </w:pPr>
    </w:p>
    <w:p w14:paraId="3485F378" w14:textId="77777777" w:rsidR="001825E2" w:rsidRDefault="000839A5" w:rsidP="00CB00A7">
      <w:pPr>
        <w:pStyle w:val="Heading4"/>
        <w:spacing w:before="76"/>
        <w:jc w:val="left"/>
      </w:pPr>
      <w:r>
        <w:lastRenderedPageBreak/>
        <w:t>Infections</w:t>
      </w:r>
      <w:r>
        <w:rPr>
          <w:spacing w:val="11"/>
        </w:rPr>
        <w:t xml:space="preserve"> </w:t>
      </w:r>
      <w:r>
        <w:t>and</w:t>
      </w:r>
      <w:r>
        <w:rPr>
          <w:spacing w:val="-9"/>
        </w:rPr>
        <w:t xml:space="preserve"> </w:t>
      </w:r>
      <w:r>
        <w:rPr>
          <w:spacing w:val="-2"/>
        </w:rPr>
        <w:t>Infestations</w:t>
      </w:r>
    </w:p>
    <w:p w14:paraId="11DA1624" w14:textId="77777777" w:rsidR="001825E2" w:rsidRDefault="000839A5" w:rsidP="00CB00A7">
      <w:pPr>
        <w:pStyle w:val="BodyText"/>
        <w:spacing w:before="114" w:line="247" w:lineRule="auto"/>
        <w:ind w:left="219" w:right="233"/>
        <w:jc w:val="left"/>
      </w:pPr>
      <w:r>
        <w:rPr>
          <w:i/>
        </w:rPr>
        <w:t xml:space="preserve">Common: </w:t>
      </w:r>
      <w:r>
        <w:t>Pneumonia, influenza, herpes zoster, urinary tract infection, sinusitis, bronchitis, nasopharyngitis, pharyngitis.</w:t>
      </w:r>
    </w:p>
    <w:p w14:paraId="76902ADB" w14:textId="77777777" w:rsidR="001825E2" w:rsidRDefault="000839A5" w:rsidP="00CB00A7">
      <w:pPr>
        <w:pStyle w:val="BodyText"/>
        <w:spacing w:before="106" w:line="247" w:lineRule="auto"/>
        <w:ind w:left="218" w:right="234"/>
        <w:jc w:val="left"/>
      </w:pPr>
      <w:r>
        <w:rPr>
          <w:i/>
        </w:rPr>
        <w:t xml:space="preserve">Uncommon: </w:t>
      </w:r>
      <w:r>
        <w:t>Tuberculosis, diverticulitis, pyelonephritis, cellulitis, herpes simplex, gastroenteritis viral, viral infection.</w:t>
      </w:r>
    </w:p>
    <w:p w14:paraId="13C91437" w14:textId="77777777" w:rsidR="001825E2" w:rsidRDefault="000839A5" w:rsidP="00CB00A7">
      <w:pPr>
        <w:pStyle w:val="BodyText"/>
        <w:spacing w:before="102" w:line="242" w:lineRule="auto"/>
        <w:ind w:left="219" w:right="218" w:hanging="2"/>
        <w:jc w:val="left"/>
      </w:pPr>
      <w:r>
        <w:rPr>
          <w:i/>
        </w:rPr>
        <w:t xml:space="preserve">Rare: </w:t>
      </w:r>
      <w:r>
        <w:t>Sepsis, tuberculosis of central nervous system</w:t>
      </w:r>
      <w:r>
        <w:rPr>
          <w:position w:val="8"/>
          <w:sz w:val="16"/>
        </w:rPr>
        <w:t>^</w:t>
      </w:r>
      <w:r>
        <w:t>, encephalitis</w:t>
      </w:r>
      <w:r>
        <w:rPr>
          <w:position w:val="8"/>
          <w:sz w:val="16"/>
        </w:rPr>
        <w:t>^</w:t>
      </w:r>
      <w:r>
        <w:t xml:space="preserve">, </w:t>
      </w:r>
      <w:proofErr w:type="spellStart"/>
      <w:r>
        <w:t>necrotising</w:t>
      </w:r>
      <w:proofErr w:type="spellEnd"/>
      <w:r>
        <w:t xml:space="preserve"> fasciitis</w:t>
      </w:r>
      <w:r>
        <w:rPr>
          <w:position w:val="8"/>
          <w:sz w:val="16"/>
        </w:rPr>
        <w:t>^</w:t>
      </w:r>
      <w:r>
        <w:t>, meningitis cryptococcal</w:t>
      </w:r>
      <w:r>
        <w:rPr>
          <w:position w:val="7"/>
          <w:sz w:val="16"/>
        </w:rPr>
        <w:t>^</w:t>
      </w:r>
      <w:r>
        <w:t>, disseminated tuberculosis, urosepsis</w:t>
      </w:r>
      <w:r>
        <w:rPr>
          <w:position w:val="7"/>
          <w:sz w:val="16"/>
        </w:rPr>
        <w:t>^</w:t>
      </w:r>
      <w:r>
        <w:t xml:space="preserve">, </w:t>
      </w:r>
      <w:r>
        <w:rPr>
          <w:i/>
        </w:rPr>
        <w:t xml:space="preserve">Pneumocystis </w:t>
      </w:r>
      <w:proofErr w:type="spellStart"/>
      <w:r>
        <w:rPr>
          <w:i/>
        </w:rPr>
        <w:t>jiroveci</w:t>
      </w:r>
      <w:proofErr w:type="spellEnd"/>
      <w:r>
        <w:rPr>
          <w:i/>
        </w:rPr>
        <w:t xml:space="preserve"> </w:t>
      </w:r>
      <w:r>
        <w:t>pneumonia, pneumococcal pneumonia</w:t>
      </w:r>
      <w:r>
        <w:rPr>
          <w:position w:val="7"/>
          <w:sz w:val="16"/>
        </w:rPr>
        <w:t>^</w:t>
      </w:r>
      <w:r>
        <w:t xml:space="preserve">, staphylococcal </w:t>
      </w:r>
      <w:proofErr w:type="spellStart"/>
      <w:r>
        <w:t>bacteraemia</w:t>
      </w:r>
      <w:proofErr w:type="spellEnd"/>
      <w:r>
        <w:rPr>
          <w:position w:val="7"/>
          <w:sz w:val="16"/>
        </w:rPr>
        <w:t>^</w:t>
      </w:r>
      <w:r>
        <w:t>, atypical mycobacterial infection</w:t>
      </w:r>
      <w:r>
        <w:rPr>
          <w:position w:val="7"/>
          <w:sz w:val="16"/>
        </w:rPr>
        <w:t>^</w:t>
      </w:r>
      <w:r>
        <w:t xml:space="preserve">, </w:t>
      </w:r>
      <w:r>
        <w:rPr>
          <w:i/>
        </w:rPr>
        <w:t xml:space="preserve">Mycobacterium avium </w:t>
      </w:r>
      <w:r>
        <w:t>complex infection</w:t>
      </w:r>
      <w:r>
        <w:rPr>
          <w:position w:val="7"/>
          <w:sz w:val="16"/>
        </w:rPr>
        <w:t>^</w:t>
      </w:r>
      <w:r>
        <w:t xml:space="preserve">, cytomegalovirus infection, </w:t>
      </w:r>
      <w:proofErr w:type="spellStart"/>
      <w:r>
        <w:t>bacteraemia</w:t>
      </w:r>
      <w:proofErr w:type="spellEnd"/>
      <w:r>
        <w:rPr>
          <w:position w:val="7"/>
          <w:sz w:val="16"/>
        </w:rPr>
        <w:t>^</w:t>
      </w:r>
      <w:r>
        <w:t>, bacterial pneumonia, bacterial arthritis.</w:t>
      </w:r>
    </w:p>
    <w:p w14:paraId="241930D0" w14:textId="77777777" w:rsidR="001825E2" w:rsidRDefault="000839A5" w:rsidP="00CB00A7">
      <w:pPr>
        <w:pStyle w:val="Heading4"/>
        <w:spacing w:before="226"/>
        <w:jc w:val="left"/>
      </w:pPr>
      <w:r>
        <w:t>Injury,</w:t>
      </w:r>
      <w:r>
        <w:rPr>
          <w:spacing w:val="-1"/>
        </w:rPr>
        <w:t xml:space="preserve"> </w:t>
      </w:r>
      <w:r>
        <w:t>Poisoning</w:t>
      </w:r>
      <w:r>
        <w:rPr>
          <w:spacing w:val="5"/>
        </w:rPr>
        <w:t xml:space="preserve"> </w:t>
      </w:r>
      <w:r>
        <w:t>and</w:t>
      </w:r>
      <w:r>
        <w:rPr>
          <w:spacing w:val="-15"/>
        </w:rPr>
        <w:t xml:space="preserve"> </w:t>
      </w:r>
      <w:r>
        <w:t>Procedural</w:t>
      </w:r>
      <w:r>
        <w:rPr>
          <w:spacing w:val="-1"/>
        </w:rPr>
        <w:t xml:space="preserve"> </w:t>
      </w:r>
      <w:r>
        <w:rPr>
          <w:spacing w:val="-2"/>
        </w:rPr>
        <w:t>Complications</w:t>
      </w:r>
    </w:p>
    <w:p w14:paraId="75726331" w14:textId="77777777" w:rsidR="001825E2" w:rsidRDefault="000839A5" w:rsidP="00CB00A7">
      <w:pPr>
        <w:spacing w:before="114"/>
        <w:ind w:left="220"/>
        <w:rPr>
          <w:sz w:val="24"/>
        </w:rPr>
      </w:pPr>
      <w:r>
        <w:rPr>
          <w:i/>
          <w:sz w:val="24"/>
        </w:rPr>
        <w:t>Uncommon:</w:t>
      </w:r>
      <w:r>
        <w:rPr>
          <w:i/>
          <w:spacing w:val="-21"/>
          <w:sz w:val="24"/>
        </w:rPr>
        <w:t xml:space="preserve"> </w:t>
      </w:r>
      <w:r>
        <w:rPr>
          <w:sz w:val="24"/>
        </w:rPr>
        <w:t>Ligament</w:t>
      </w:r>
      <w:r>
        <w:rPr>
          <w:spacing w:val="-7"/>
          <w:sz w:val="24"/>
        </w:rPr>
        <w:t xml:space="preserve"> </w:t>
      </w:r>
      <w:r>
        <w:rPr>
          <w:sz w:val="24"/>
        </w:rPr>
        <w:t>sprain,</w:t>
      </w:r>
      <w:r>
        <w:rPr>
          <w:spacing w:val="18"/>
          <w:sz w:val="24"/>
        </w:rPr>
        <w:t xml:space="preserve"> </w:t>
      </w:r>
      <w:r>
        <w:rPr>
          <w:sz w:val="24"/>
        </w:rPr>
        <w:t>muscle</w:t>
      </w:r>
      <w:r>
        <w:rPr>
          <w:spacing w:val="3"/>
          <w:sz w:val="24"/>
        </w:rPr>
        <w:t xml:space="preserve"> </w:t>
      </w:r>
      <w:r>
        <w:rPr>
          <w:spacing w:val="-2"/>
          <w:sz w:val="24"/>
        </w:rPr>
        <w:t>strain</w:t>
      </w:r>
    </w:p>
    <w:p w14:paraId="40544184" w14:textId="77777777" w:rsidR="001825E2" w:rsidRDefault="000839A5" w:rsidP="00CB00A7">
      <w:pPr>
        <w:pStyle w:val="Heading4"/>
        <w:ind w:left="219"/>
        <w:jc w:val="left"/>
      </w:pPr>
      <w:r>
        <w:rPr>
          <w:spacing w:val="-2"/>
        </w:rPr>
        <w:t>Investigations</w:t>
      </w:r>
    </w:p>
    <w:p w14:paraId="7B624263" w14:textId="77777777" w:rsidR="001825E2" w:rsidRDefault="000839A5" w:rsidP="00CB00A7">
      <w:pPr>
        <w:pStyle w:val="BodyText"/>
        <w:spacing w:before="114" w:line="247" w:lineRule="auto"/>
        <w:ind w:left="219"/>
        <w:jc w:val="left"/>
      </w:pPr>
      <w:r>
        <w:rPr>
          <w:i/>
        </w:rPr>
        <w:t>Common:</w:t>
      </w:r>
      <w:r>
        <w:rPr>
          <w:i/>
          <w:spacing w:val="80"/>
        </w:rPr>
        <w:t xml:space="preserve"> </w:t>
      </w:r>
      <w:r>
        <w:t>Gamma</w:t>
      </w:r>
      <w:r>
        <w:rPr>
          <w:spacing w:val="80"/>
        </w:rPr>
        <w:t xml:space="preserve"> </w:t>
      </w:r>
      <w:proofErr w:type="spellStart"/>
      <w:r>
        <w:t>glutamyltransferase</w:t>
      </w:r>
      <w:proofErr w:type="spellEnd"/>
      <w:r>
        <w:rPr>
          <w:spacing w:val="80"/>
        </w:rPr>
        <w:t xml:space="preserve"> </w:t>
      </w:r>
      <w:r>
        <w:t>increased,</w:t>
      </w:r>
      <w:r>
        <w:rPr>
          <w:spacing w:val="80"/>
        </w:rPr>
        <w:t xml:space="preserve"> </w:t>
      </w:r>
      <w:r>
        <w:t>blood</w:t>
      </w:r>
      <w:r>
        <w:rPr>
          <w:spacing w:val="80"/>
          <w:w w:val="150"/>
        </w:rPr>
        <w:t xml:space="preserve"> </w:t>
      </w:r>
      <w:r>
        <w:t>cholesterol</w:t>
      </w:r>
      <w:r>
        <w:rPr>
          <w:spacing w:val="80"/>
        </w:rPr>
        <w:t xml:space="preserve"> </w:t>
      </w:r>
      <w:r>
        <w:t>increased,</w:t>
      </w:r>
      <w:r>
        <w:rPr>
          <w:spacing w:val="80"/>
        </w:rPr>
        <w:t xml:space="preserve"> </w:t>
      </w:r>
      <w:r>
        <w:t>weight</w:t>
      </w:r>
      <w:r>
        <w:rPr>
          <w:spacing w:val="40"/>
        </w:rPr>
        <w:t xml:space="preserve"> </w:t>
      </w:r>
      <w:r>
        <w:t>increased, blood creatine phosphokinase increased.</w:t>
      </w:r>
    </w:p>
    <w:p w14:paraId="0399BD37" w14:textId="77777777" w:rsidR="001825E2" w:rsidRDefault="000839A5" w:rsidP="00CB00A7">
      <w:pPr>
        <w:pStyle w:val="BodyText"/>
        <w:spacing w:before="111" w:line="235" w:lineRule="auto"/>
        <w:ind w:left="219"/>
        <w:jc w:val="left"/>
      </w:pPr>
      <w:r>
        <w:rPr>
          <w:i/>
        </w:rPr>
        <w:t xml:space="preserve">Uncommon: </w:t>
      </w:r>
      <w:r>
        <w:t xml:space="preserve">Hepatic enzyme increased, transaminases increased, blood creatinine increased, liver function test abnormal, </w:t>
      </w:r>
      <w:proofErr w:type="gramStart"/>
      <w:r>
        <w:t>low density</w:t>
      </w:r>
      <w:proofErr w:type="gramEnd"/>
      <w:r>
        <w:t xml:space="preserve"> lipoprotein increased.</w:t>
      </w:r>
    </w:p>
    <w:p w14:paraId="3BFC942A" w14:textId="77777777" w:rsidR="001825E2" w:rsidRDefault="000839A5" w:rsidP="00CB00A7">
      <w:pPr>
        <w:pStyle w:val="Heading4"/>
        <w:ind w:left="219"/>
        <w:jc w:val="left"/>
      </w:pPr>
      <w:r>
        <w:t>Metabolism</w:t>
      </w:r>
      <w:r>
        <w:rPr>
          <w:spacing w:val="3"/>
        </w:rPr>
        <w:t xml:space="preserve"> </w:t>
      </w:r>
      <w:r>
        <w:t>and</w:t>
      </w:r>
      <w:r>
        <w:rPr>
          <w:spacing w:val="-14"/>
        </w:rPr>
        <w:t xml:space="preserve"> </w:t>
      </w:r>
      <w:r>
        <w:t>Nutrition</w:t>
      </w:r>
      <w:r>
        <w:rPr>
          <w:spacing w:val="10"/>
        </w:rPr>
        <w:t xml:space="preserve"> </w:t>
      </w:r>
      <w:r>
        <w:rPr>
          <w:spacing w:val="-2"/>
        </w:rPr>
        <w:t>Disorders</w:t>
      </w:r>
    </w:p>
    <w:p w14:paraId="63CCD70A" w14:textId="77777777" w:rsidR="001825E2" w:rsidRDefault="000839A5" w:rsidP="00CB00A7">
      <w:pPr>
        <w:spacing w:before="114"/>
        <w:ind w:left="219"/>
        <w:rPr>
          <w:sz w:val="24"/>
        </w:rPr>
      </w:pPr>
      <w:r>
        <w:rPr>
          <w:i/>
          <w:sz w:val="24"/>
        </w:rPr>
        <w:t>Common:</w:t>
      </w:r>
      <w:r>
        <w:rPr>
          <w:i/>
          <w:spacing w:val="-5"/>
          <w:sz w:val="24"/>
        </w:rPr>
        <w:t xml:space="preserve"> </w:t>
      </w:r>
      <w:proofErr w:type="spellStart"/>
      <w:r>
        <w:rPr>
          <w:spacing w:val="-2"/>
          <w:sz w:val="24"/>
        </w:rPr>
        <w:t>Hyperlipidaemia</w:t>
      </w:r>
      <w:proofErr w:type="spellEnd"/>
      <w:r>
        <w:rPr>
          <w:spacing w:val="-2"/>
          <w:sz w:val="24"/>
        </w:rPr>
        <w:t>.</w:t>
      </w:r>
    </w:p>
    <w:p w14:paraId="446274EC" w14:textId="77777777" w:rsidR="001825E2" w:rsidRDefault="000839A5" w:rsidP="00CB00A7">
      <w:pPr>
        <w:spacing w:before="129"/>
        <w:ind w:left="219"/>
        <w:rPr>
          <w:sz w:val="24"/>
        </w:rPr>
      </w:pPr>
      <w:r>
        <w:rPr>
          <w:i/>
          <w:sz w:val="24"/>
        </w:rPr>
        <w:t>Uncommon:</w:t>
      </w:r>
      <w:r>
        <w:rPr>
          <w:i/>
          <w:spacing w:val="-21"/>
          <w:sz w:val="24"/>
        </w:rPr>
        <w:t xml:space="preserve"> </w:t>
      </w:r>
      <w:proofErr w:type="spellStart"/>
      <w:r>
        <w:rPr>
          <w:sz w:val="24"/>
        </w:rPr>
        <w:t>Dyslipidaemia</w:t>
      </w:r>
      <w:proofErr w:type="spellEnd"/>
      <w:r>
        <w:rPr>
          <w:sz w:val="24"/>
        </w:rPr>
        <w:t>,</w:t>
      </w:r>
      <w:r>
        <w:rPr>
          <w:spacing w:val="6"/>
          <w:sz w:val="24"/>
        </w:rPr>
        <w:t xml:space="preserve"> </w:t>
      </w:r>
      <w:r>
        <w:rPr>
          <w:spacing w:val="-2"/>
          <w:sz w:val="24"/>
        </w:rPr>
        <w:t>dehydration.</w:t>
      </w:r>
    </w:p>
    <w:p w14:paraId="102C56DB" w14:textId="77777777" w:rsidR="001825E2" w:rsidRDefault="000839A5" w:rsidP="00CB00A7">
      <w:pPr>
        <w:pStyle w:val="Heading4"/>
        <w:spacing w:before="234"/>
        <w:ind w:left="218"/>
        <w:jc w:val="left"/>
      </w:pPr>
      <w:r>
        <w:t>Musculoskeletal</w:t>
      </w:r>
      <w:r>
        <w:rPr>
          <w:spacing w:val="17"/>
        </w:rPr>
        <w:t xml:space="preserve"> </w:t>
      </w:r>
      <w:r>
        <w:t>and</w:t>
      </w:r>
      <w:r>
        <w:rPr>
          <w:spacing w:val="-13"/>
        </w:rPr>
        <w:t xml:space="preserve"> </w:t>
      </w:r>
      <w:r>
        <w:t>Connective</w:t>
      </w:r>
      <w:r>
        <w:rPr>
          <w:spacing w:val="-14"/>
        </w:rPr>
        <w:t xml:space="preserve"> </w:t>
      </w:r>
      <w:r>
        <w:t>Tissue</w:t>
      </w:r>
      <w:r>
        <w:rPr>
          <w:spacing w:val="-2"/>
        </w:rPr>
        <w:t xml:space="preserve"> Disorders</w:t>
      </w:r>
    </w:p>
    <w:p w14:paraId="100CD03A" w14:textId="77777777" w:rsidR="001825E2" w:rsidRDefault="000839A5" w:rsidP="00CB00A7">
      <w:pPr>
        <w:spacing w:before="114"/>
        <w:ind w:left="218"/>
        <w:rPr>
          <w:sz w:val="24"/>
        </w:rPr>
      </w:pPr>
      <w:r>
        <w:rPr>
          <w:i/>
          <w:sz w:val="24"/>
        </w:rPr>
        <w:t>Common:</w:t>
      </w:r>
      <w:r>
        <w:rPr>
          <w:i/>
          <w:spacing w:val="-5"/>
          <w:sz w:val="24"/>
        </w:rPr>
        <w:t xml:space="preserve"> </w:t>
      </w:r>
      <w:r>
        <w:rPr>
          <w:spacing w:val="-2"/>
          <w:sz w:val="24"/>
        </w:rPr>
        <w:t>Arthralgia.</w:t>
      </w:r>
    </w:p>
    <w:p w14:paraId="569CEB2E" w14:textId="77777777" w:rsidR="001825E2" w:rsidRDefault="000839A5" w:rsidP="00CB00A7">
      <w:pPr>
        <w:pStyle w:val="BodyText"/>
        <w:spacing w:before="129"/>
        <w:ind w:left="218"/>
        <w:jc w:val="left"/>
      </w:pPr>
      <w:r>
        <w:rPr>
          <w:i/>
        </w:rPr>
        <w:t>Uncommon:</w:t>
      </w:r>
      <w:r>
        <w:rPr>
          <w:i/>
          <w:spacing w:val="-21"/>
        </w:rPr>
        <w:t xml:space="preserve"> </w:t>
      </w:r>
      <w:r>
        <w:t>Musculoskeletal</w:t>
      </w:r>
      <w:r>
        <w:rPr>
          <w:spacing w:val="10"/>
        </w:rPr>
        <w:t xml:space="preserve"> </w:t>
      </w:r>
      <w:r>
        <w:t>pain,</w:t>
      </w:r>
      <w:r>
        <w:rPr>
          <w:spacing w:val="9"/>
        </w:rPr>
        <w:t xml:space="preserve"> </w:t>
      </w:r>
      <w:r>
        <w:t>tendonitis,</w:t>
      </w:r>
      <w:r>
        <w:rPr>
          <w:spacing w:val="-15"/>
        </w:rPr>
        <w:t xml:space="preserve"> </w:t>
      </w:r>
      <w:r>
        <w:t>joint</w:t>
      </w:r>
      <w:r>
        <w:rPr>
          <w:spacing w:val="3"/>
        </w:rPr>
        <w:t xml:space="preserve"> </w:t>
      </w:r>
      <w:r>
        <w:rPr>
          <w:spacing w:val="-2"/>
        </w:rPr>
        <w:t>swelling.</w:t>
      </w:r>
    </w:p>
    <w:p w14:paraId="5CF720B2" w14:textId="77777777" w:rsidR="001825E2" w:rsidRDefault="000839A5" w:rsidP="00CB00A7">
      <w:pPr>
        <w:pStyle w:val="Heading4"/>
        <w:spacing w:before="234"/>
        <w:ind w:left="217"/>
        <w:jc w:val="left"/>
      </w:pPr>
      <w:r>
        <w:t>Neoplasm</w:t>
      </w:r>
      <w:r>
        <w:rPr>
          <w:spacing w:val="-4"/>
        </w:rPr>
        <w:t xml:space="preserve"> </w:t>
      </w:r>
      <w:r>
        <w:t>Benign,</w:t>
      </w:r>
      <w:r>
        <w:rPr>
          <w:spacing w:val="-9"/>
        </w:rPr>
        <w:t xml:space="preserve"> </w:t>
      </w:r>
      <w:r>
        <w:t>Malignant</w:t>
      </w:r>
      <w:r>
        <w:rPr>
          <w:spacing w:val="-2"/>
        </w:rPr>
        <w:t xml:space="preserve"> </w:t>
      </w:r>
      <w:r>
        <w:t>and</w:t>
      </w:r>
      <w:r>
        <w:rPr>
          <w:spacing w:val="-8"/>
        </w:rPr>
        <w:t xml:space="preserve"> </w:t>
      </w:r>
      <w:r>
        <w:t>Unspecified</w:t>
      </w:r>
      <w:r>
        <w:rPr>
          <w:spacing w:val="4"/>
        </w:rPr>
        <w:t xml:space="preserve"> </w:t>
      </w:r>
      <w:r>
        <w:t>(Including</w:t>
      </w:r>
      <w:r>
        <w:rPr>
          <w:spacing w:val="17"/>
        </w:rPr>
        <w:t xml:space="preserve"> </w:t>
      </w:r>
      <w:r>
        <w:t>Cysts</w:t>
      </w:r>
      <w:r>
        <w:rPr>
          <w:spacing w:val="-12"/>
        </w:rPr>
        <w:t xml:space="preserve"> </w:t>
      </w:r>
      <w:r>
        <w:t>and</w:t>
      </w:r>
      <w:r>
        <w:rPr>
          <w:spacing w:val="-8"/>
        </w:rPr>
        <w:t xml:space="preserve"> </w:t>
      </w:r>
      <w:r>
        <w:rPr>
          <w:spacing w:val="-2"/>
        </w:rPr>
        <w:t>Polyps)</w:t>
      </w:r>
    </w:p>
    <w:p w14:paraId="0FAE3677" w14:textId="77777777" w:rsidR="001825E2" w:rsidRDefault="000839A5" w:rsidP="00CB00A7">
      <w:pPr>
        <w:spacing w:before="129"/>
        <w:ind w:left="217"/>
        <w:rPr>
          <w:sz w:val="16"/>
        </w:rPr>
      </w:pPr>
      <w:r>
        <w:rPr>
          <w:i/>
          <w:sz w:val="24"/>
        </w:rPr>
        <w:t>Uncommon:</w:t>
      </w:r>
      <w:r>
        <w:rPr>
          <w:i/>
          <w:spacing w:val="-20"/>
          <w:sz w:val="24"/>
        </w:rPr>
        <w:t xml:space="preserve"> </w:t>
      </w:r>
      <w:r>
        <w:rPr>
          <w:sz w:val="24"/>
        </w:rPr>
        <w:t>Nonmelanoma</w:t>
      </w:r>
      <w:r>
        <w:rPr>
          <w:spacing w:val="4"/>
          <w:sz w:val="24"/>
        </w:rPr>
        <w:t xml:space="preserve"> </w:t>
      </w:r>
      <w:r>
        <w:rPr>
          <w:sz w:val="24"/>
        </w:rPr>
        <w:t>skin</w:t>
      </w:r>
      <w:r>
        <w:rPr>
          <w:spacing w:val="10"/>
          <w:sz w:val="24"/>
        </w:rPr>
        <w:t xml:space="preserve"> </w:t>
      </w:r>
      <w:proofErr w:type="gramStart"/>
      <w:r>
        <w:rPr>
          <w:spacing w:val="-2"/>
          <w:sz w:val="24"/>
        </w:rPr>
        <w:t>cancers.</w:t>
      </w:r>
      <w:r>
        <w:rPr>
          <w:spacing w:val="-2"/>
          <w:position w:val="7"/>
          <w:sz w:val="16"/>
        </w:rPr>
        <w:t>§</w:t>
      </w:r>
      <w:proofErr w:type="gramEnd"/>
    </w:p>
    <w:p w14:paraId="296C38FE" w14:textId="77777777" w:rsidR="001825E2" w:rsidRDefault="000839A5" w:rsidP="00CB00A7">
      <w:pPr>
        <w:pStyle w:val="Heading4"/>
        <w:spacing w:before="234"/>
        <w:jc w:val="left"/>
      </w:pPr>
      <w:r>
        <w:t>Nervous</w:t>
      </w:r>
      <w:r>
        <w:rPr>
          <w:spacing w:val="-11"/>
        </w:rPr>
        <w:t xml:space="preserve"> </w:t>
      </w:r>
      <w:r>
        <w:t xml:space="preserve">System </w:t>
      </w:r>
      <w:r>
        <w:rPr>
          <w:spacing w:val="-2"/>
        </w:rPr>
        <w:t>Disorders</w:t>
      </w:r>
    </w:p>
    <w:p w14:paraId="37D31FDF" w14:textId="77777777" w:rsidR="001825E2" w:rsidRDefault="000839A5" w:rsidP="00CB00A7">
      <w:pPr>
        <w:spacing w:before="114"/>
        <w:ind w:left="220"/>
        <w:rPr>
          <w:sz w:val="24"/>
        </w:rPr>
      </w:pPr>
      <w:r>
        <w:rPr>
          <w:i/>
          <w:sz w:val="24"/>
        </w:rPr>
        <w:t>Common:</w:t>
      </w:r>
      <w:r>
        <w:rPr>
          <w:i/>
          <w:spacing w:val="-5"/>
          <w:sz w:val="24"/>
        </w:rPr>
        <w:t xml:space="preserve"> </w:t>
      </w:r>
      <w:r>
        <w:rPr>
          <w:spacing w:val="-2"/>
          <w:sz w:val="24"/>
        </w:rPr>
        <w:t>Headache.</w:t>
      </w:r>
    </w:p>
    <w:p w14:paraId="397A7F4F" w14:textId="77777777" w:rsidR="001825E2" w:rsidRDefault="000839A5" w:rsidP="00CB00A7">
      <w:pPr>
        <w:spacing w:before="129"/>
        <w:ind w:left="219"/>
        <w:rPr>
          <w:sz w:val="24"/>
        </w:rPr>
      </w:pPr>
      <w:r>
        <w:rPr>
          <w:i/>
          <w:sz w:val="24"/>
        </w:rPr>
        <w:t>Uncommon:</w:t>
      </w:r>
      <w:r>
        <w:rPr>
          <w:i/>
          <w:spacing w:val="-5"/>
          <w:sz w:val="24"/>
        </w:rPr>
        <w:t xml:space="preserve"> </w:t>
      </w:r>
      <w:proofErr w:type="spellStart"/>
      <w:r>
        <w:rPr>
          <w:spacing w:val="-2"/>
          <w:sz w:val="24"/>
        </w:rPr>
        <w:t>Paraesthesia</w:t>
      </w:r>
      <w:proofErr w:type="spellEnd"/>
      <w:r>
        <w:rPr>
          <w:spacing w:val="-2"/>
          <w:sz w:val="24"/>
        </w:rPr>
        <w:t>.</w:t>
      </w:r>
    </w:p>
    <w:p w14:paraId="2B72D69D" w14:textId="77777777" w:rsidR="001825E2" w:rsidRDefault="000839A5" w:rsidP="00CB00A7">
      <w:pPr>
        <w:pStyle w:val="Heading4"/>
        <w:spacing w:before="234"/>
        <w:ind w:left="219"/>
        <w:jc w:val="left"/>
      </w:pPr>
      <w:r>
        <w:t>Psychiatric</w:t>
      </w:r>
      <w:r>
        <w:rPr>
          <w:spacing w:val="-2"/>
        </w:rPr>
        <w:t xml:space="preserve"> Disorders</w:t>
      </w:r>
    </w:p>
    <w:p w14:paraId="6FA00180" w14:textId="77777777" w:rsidR="001825E2" w:rsidRDefault="000839A5" w:rsidP="00CB00A7">
      <w:pPr>
        <w:spacing w:before="129"/>
        <w:ind w:left="219"/>
        <w:rPr>
          <w:sz w:val="24"/>
        </w:rPr>
      </w:pPr>
      <w:r>
        <w:rPr>
          <w:i/>
          <w:sz w:val="24"/>
        </w:rPr>
        <w:t>Uncommon:</w:t>
      </w:r>
      <w:r>
        <w:rPr>
          <w:i/>
          <w:spacing w:val="-4"/>
          <w:sz w:val="24"/>
        </w:rPr>
        <w:t xml:space="preserve"> </w:t>
      </w:r>
      <w:r>
        <w:rPr>
          <w:spacing w:val="-2"/>
          <w:sz w:val="24"/>
        </w:rPr>
        <w:t>Insomnia.</w:t>
      </w:r>
    </w:p>
    <w:p w14:paraId="68667BBE" w14:textId="77777777" w:rsidR="001825E2" w:rsidRDefault="000839A5" w:rsidP="00CB00A7">
      <w:pPr>
        <w:pStyle w:val="Heading4"/>
        <w:spacing w:before="234"/>
        <w:ind w:left="219"/>
        <w:jc w:val="left"/>
      </w:pPr>
      <w:r>
        <w:t>Respiratory,</w:t>
      </w:r>
      <w:r>
        <w:rPr>
          <w:spacing w:val="-2"/>
        </w:rPr>
        <w:t xml:space="preserve"> </w:t>
      </w:r>
      <w:r>
        <w:t>Thoracic</w:t>
      </w:r>
      <w:r>
        <w:rPr>
          <w:spacing w:val="-3"/>
        </w:rPr>
        <w:t xml:space="preserve"> </w:t>
      </w:r>
      <w:r>
        <w:t>and</w:t>
      </w:r>
      <w:r>
        <w:rPr>
          <w:spacing w:val="-13"/>
        </w:rPr>
        <w:t xml:space="preserve"> </w:t>
      </w:r>
      <w:r>
        <w:t>Mediastinal</w:t>
      </w:r>
      <w:r>
        <w:rPr>
          <w:spacing w:val="5"/>
        </w:rPr>
        <w:t xml:space="preserve"> </w:t>
      </w:r>
      <w:r>
        <w:rPr>
          <w:spacing w:val="-2"/>
        </w:rPr>
        <w:t>Disorders</w:t>
      </w:r>
    </w:p>
    <w:p w14:paraId="3EA605C2" w14:textId="77777777" w:rsidR="001825E2" w:rsidRDefault="000839A5" w:rsidP="00CB00A7">
      <w:pPr>
        <w:spacing w:before="114"/>
        <w:ind w:left="219"/>
        <w:rPr>
          <w:sz w:val="24"/>
        </w:rPr>
      </w:pPr>
      <w:r>
        <w:rPr>
          <w:i/>
          <w:sz w:val="24"/>
        </w:rPr>
        <w:t>Common:</w:t>
      </w:r>
      <w:r>
        <w:rPr>
          <w:i/>
          <w:spacing w:val="-7"/>
          <w:sz w:val="24"/>
        </w:rPr>
        <w:t xml:space="preserve"> </w:t>
      </w:r>
      <w:r>
        <w:rPr>
          <w:spacing w:val="-2"/>
          <w:sz w:val="24"/>
        </w:rPr>
        <w:t>Cough.</w:t>
      </w:r>
    </w:p>
    <w:p w14:paraId="0237C63C" w14:textId="77777777" w:rsidR="001825E2" w:rsidRDefault="000839A5" w:rsidP="00CB00A7">
      <w:pPr>
        <w:spacing w:before="129"/>
        <w:ind w:left="219"/>
        <w:rPr>
          <w:sz w:val="24"/>
        </w:rPr>
      </w:pPr>
      <w:r>
        <w:rPr>
          <w:i/>
          <w:sz w:val="24"/>
        </w:rPr>
        <w:t>Uncommon:</w:t>
      </w:r>
      <w:r>
        <w:rPr>
          <w:i/>
          <w:spacing w:val="-20"/>
          <w:sz w:val="24"/>
        </w:rPr>
        <w:t xml:space="preserve"> </w:t>
      </w:r>
      <w:proofErr w:type="spellStart"/>
      <w:r>
        <w:rPr>
          <w:sz w:val="24"/>
        </w:rPr>
        <w:t>Dyspnoea</w:t>
      </w:r>
      <w:proofErr w:type="spellEnd"/>
      <w:r>
        <w:rPr>
          <w:sz w:val="24"/>
        </w:rPr>
        <w:t>,</w:t>
      </w:r>
      <w:r>
        <w:rPr>
          <w:spacing w:val="1"/>
          <w:sz w:val="24"/>
        </w:rPr>
        <w:t xml:space="preserve"> </w:t>
      </w:r>
      <w:r>
        <w:rPr>
          <w:sz w:val="24"/>
        </w:rPr>
        <w:t>sinus</w:t>
      </w:r>
      <w:r>
        <w:rPr>
          <w:spacing w:val="12"/>
          <w:sz w:val="24"/>
        </w:rPr>
        <w:t xml:space="preserve"> </w:t>
      </w:r>
      <w:r>
        <w:rPr>
          <w:spacing w:val="-2"/>
          <w:sz w:val="24"/>
        </w:rPr>
        <w:t>congestion.</w:t>
      </w:r>
    </w:p>
    <w:p w14:paraId="30BCAEB6" w14:textId="77777777" w:rsidR="001825E2" w:rsidRDefault="000839A5" w:rsidP="00CB00A7">
      <w:pPr>
        <w:pStyle w:val="Heading4"/>
        <w:spacing w:before="234"/>
        <w:ind w:left="219"/>
        <w:jc w:val="left"/>
      </w:pPr>
      <w:r>
        <w:t>Skin</w:t>
      </w:r>
      <w:r>
        <w:rPr>
          <w:spacing w:val="-5"/>
        </w:rPr>
        <w:t xml:space="preserve"> </w:t>
      </w:r>
      <w:r>
        <w:t>and</w:t>
      </w:r>
      <w:r>
        <w:rPr>
          <w:spacing w:val="-5"/>
        </w:rPr>
        <w:t xml:space="preserve"> </w:t>
      </w:r>
      <w:r>
        <w:t>Subcutaneous</w:t>
      </w:r>
      <w:r>
        <w:rPr>
          <w:spacing w:val="5"/>
        </w:rPr>
        <w:t xml:space="preserve"> </w:t>
      </w:r>
      <w:r>
        <w:t>Tissue</w:t>
      </w:r>
      <w:r>
        <w:rPr>
          <w:spacing w:val="-7"/>
        </w:rPr>
        <w:t xml:space="preserve"> </w:t>
      </w:r>
      <w:r>
        <w:rPr>
          <w:spacing w:val="-2"/>
        </w:rPr>
        <w:t>Disorders</w:t>
      </w:r>
    </w:p>
    <w:p w14:paraId="51873776" w14:textId="77777777" w:rsidR="001825E2" w:rsidRDefault="000839A5" w:rsidP="00CB00A7">
      <w:pPr>
        <w:spacing w:before="129"/>
        <w:ind w:left="219"/>
        <w:rPr>
          <w:sz w:val="24"/>
        </w:rPr>
      </w:pPr>
      <w:r>
        <w:rPr>
          <w:i/>
          <w:sz w:val="24"/>
        </w:rPr>
        <w:t>Common:</w:t>
      </w:r>
      <w:r>
        <w:rPr>
          <w:i/>
          <w:spacing w:val="-4"/>
          <w:sz w:val="24"/>
        </w:rPr>
        <w:t xml:space="preserve"> </w:t>
      </w:r>
      <w:r>
        <w:rPr>
          <w:spacing w:val="-2"/>
          <w:sz w:val="24"/>
        </w:rPr>
        <w:t>Rash.</w:t>
      </w:r>
    </w:p>
    <w:p w14:paraId="4B679550" w14:textId="77777777" w:rsidR="001825E2" w:rsidRDefault="001825E2" w:rsidP="00CB00A7">
      <w:pPr>
        <w:rPr>
          <w:sz w:val="24"/>
        </w:rPr>
        <w:sectPr w:rsidR="001825E2">
          <w:pgSz w:w="11910" w:h="16850"/>
          <w:pgMar w:top="1360" w:right="1220" w:bottom="980" w:left="1220" w:header="0" w:footer="785" w:gutter="0"/>
          <w:cols w:space="720"/>
        </w:sectPr>
      </w:pPr>
    </w:p>
    <w:p w14:paraId="5FD80A08" w14:textId="77777777" w:rsidR="001825E2" w:rsidRDefault="000839A5" w:rsidP="00CB00A7">
      <w:pPr>
        <w:spacing w:before="76"/>
        <w:ind w:left="220"/>
        <w:rPr>
          <w:sz w:val="24"/>
        </w:rPr>
      </w:pPr>
      <w:bookmarkStart w:id="44" w:name="Overall_Infections"/>
      <w:bookmarkEnd w:id="44"/>
      <w:r>
        <w:rPr>
          <w:i/>
          <w:sz w:val="24"/>
        </w:rPr>
        <w:lastRenderedPageBreak/>
        <w:t>Uncommon:</w:t>
      </w:r>
      <w:r>
        <w:rPr>
          <w:i/>
          <w:spacing w:val="-17"/>
          <w:sz w:val="24"/>
        </w:rPr>
        <w:t xml:space="preserve"> </w:t>
      </w:r>
      <w:r>
        <w:rPr>
          <w:sz w:val="24"/>
        </w:rPr>
        <w:t>Erythema,</w:t>
      </w:r>
      <w:r>
        <w:rPr>
          <w:spacing w:val="7"/>
          <w:sz w:val="24"/>
        </w:rPr>
        <w:t xml:space="preserve"> </w:t>
      </w:r>
      <w:r>
        <w:rPr>
          <w:spacing w:val="-2"/>
          <w:sz w:val="24"/>
        </w:rPr>
        <w:t>pruritus.</w:t>
      </w:r>
    </w:p>
    <w:p w14:paraId="7E05CB4A" w14:textId="77777777" w:rsidR="001825E2" w:rsidRDefault="000839A5" w:rsidP="00CB00A7">
      <w:pPr>
        <w:pStyle w:val="Heading4"/>
        <w:spacing w:before="234"/>
        <w:jc w:val="left"/>
      </w:pPr>
      <w:r>
        <w:t>Vascular</w:t>
      </w:r>
      <w:r>
        <w:rPr>
          <w:spacing w:val="2"/>
        </w:rPr>
        <w:t xml:space="preserve"> </w:t>
      </w:r>
      <w:r>
        <w:rPr>
          <w:spacing w:val="-2"/>
        </w:rPr>
        <w:t>Disorders</w:t>
      </w:r>
    </w:p>
    <w:p w14:paraId="3F54D5C9" w14:textId="77777777" w:rsidR="001825E2" w:rsidRDefault="000839A5" w:rsidP="00CB00A7">
      <w:pPr>
        <w:spacing w:before="129"/>
        <w:ind w:left="220"/>
        <w:rPr>
          <w:sz w:val="24"/>
        </w:rPr>
      </w:pPr>
      <w:r>
        <w:rPr>
          <w:i/>
          <w:sz w:val="24"/>
        </w:rPr>
        <w:t>Common:</w:t>
      </w:r>
      <w:r>
        <w:rPr>
          <w:i/>
          <w:spacing w:val="-5"/>
          <w:sz w:val="24"/>
        </w:rPr>
        <w:t xml:space="preserve"> </w:t>
      </w:r>
      <w:r>
        <w:rPr>
          <w:spacing w:val="-2"/>
          <w:sz w:val="24"/>
        </w:rPr>
        <w:t>Hypertension.</w:t>
      </w:r>
    </w:p>
    <w:p w14:paraId="349A5C42" w14:textId="77777777" w:rsidR="001825E2" w:rsidRDefault="000839A5" w:rsidP="00CB00A7">
      <w:pPr>
        <w:spacing w:before="114"/>
        <w:ind w:left="220"/>
        <w:rPr>
          <w:sz w:val="24"/>
        </w:rPr>
      </w:pPr>
      <w:r>
        <w:rPr>
          <w:i/>
          <w:sz w:val="24"/>
        </w:rPr>
        <w:t>Uncommon:</w:t>
      </w:r>
      <w:r>
        <w:rPr>
          <w:i/>
          <w:spacing w:val="-13"/>
          <w:sz w:val="24"/>
        </w:rPr>
        <w:t xml:space="preserve"> </w:t>
      </w:r>
      <w:r>
        <w:rPr>
          <w:sz w:val="24"/>
        </w:rPr>
        <w:t>Venous</w:t>
      </w:r>
      <w:r>
        <w:rPr>
          <w:spacing w:val="8"/>
          <w:sz w:val="24"/>
        </w:rPr>
        <w:t xml:space="preserve"> </w:t>
      </w:r>
      <w:r>
        <w:rPr>
          <w:spacing w:val="-2"/>
          <w:sz w:val="24"/>
        </w:rPr>
        <w:t>thromboembolism</w:t>
      </w:r>
      <w:r>
        <w:rPr>
          <w:spacing w:val="-2"/>
          <w:position w:val="7"/>
          <w:sz w:val="16"/>
        </w:rPr>
        <w:t>#</w:t>
      </w:r>
      <w:r>
        <w:rPr>
          <w:spacing w:val="-2"/>
          <w:sz w:val="24"/>
        </w:rPr>
        <w:t>.</w:t>
      </w:r>
    </w:p>
    <w:p w14:paraId="20D21A75" w14:textId="77777777" w:rsidR="001825E2" w:rsidRDefault="000839A5" w:rsidP="00CB00A7">
      <w:pPr>
        <w:spacing w:before="130" w:line="247" w:lineRule="auto"/>
        <w:ind w:left="505" w:hanging="286"/>
        <w:rPr>
          <w:sz w:val="19"/>
        </w:rPr>
      </w:pPr>
      <w:proofErr w:type="gramStart"/>
      <w:r>
        <w:rPr>
          <w:sz w:val="19"/>
        </w:rPr>
        <w:t>^</w:t>
      </w:r>
      <w:r>
        <w:rPr>
          <w:spacing w:val="76"/>
          <w:sz w:val="19"/>
        </w:rPr>
        <w:t xml:space="preserve">  </w:t>
      </w:r>
      <w:r>
        <w:rPr>
          <w:sz w:val="19"/>
        </w:rPr>
        <w:t>These</w:t>
      </w:r>
      <w:proofErr w:type="gramEnd"/>
      <w:r>
        <w:rPr>
          <w:spacing w:val="32"/>
          <w:sz w:val="19"/>
        </w:rPr>
        <w:t xml:space="preserve"> </w:t>
      </w:r>
      <w:r>
        <w:rPr>
          <w:sz w:val="19"/>
        </w:rPr>
        <w:t>ADRs</w:t>
      </w:r>
      <w:r>
        <w:rPr>
          <w:spacing w:val="27"/>
          <w:sz w:val="19"/>
        </w:rPr>
        <w:t xml:space="preserve"> </w:t>
      </w:r>
      <w:r>
        <w:rPr>
          <w:sz w:val="19"/>
        </w:rPr>
        <w:t>have</w:t>
      </w:r>
      <w:r>
        <w:rPr>
          <w:spacing w:val="34"/>
          <w:sz w:val="19"/>
        </w:rPr>
        <w:t xml:space="preserve"> </w:t>
      </w:r>
      <w:r>
        <w:rPr>
          <w:sz w:val="19"/>
        </w:rPr>
        <w:t>only</w:t>
      </w:r>
      <w:r>
        <w:rPr>
          <w:spacing w:val="39"/>
          <w:sz w:val="19"/>
        </w:rPr>
        <w:t xml:space="preserve"> </w:t>
      </w:r>
      <w:r>
        <w:rPr>
          <w:sz w:val="19"/>
        </w:rPr>
        <w:t>been</w:t>
      </w:r>
      <w:r>
        <w:rPr>
          <w:spacing w:val="39"/>
          <w:sz w:val="19"/>
        </w:rPr>
        <w:t xml:space="preserve"> </w:t>
      </w:r>
      <w:r>
        <w:rPr>
          <w:sz w:val="19"/>
        </w:rPr>
        <w:t>reported</w:t>
      </w:r>
      <w:r>
        <w:rPr>
          <w:spacing w:val="39"/>
          <w:sz w:val="19"/>
        </w:rPr>
        <w:t xml:space="preserve"> </w:t>
      </w:r>
      <w:r>
        <w:rPr>
          <w:sz w:val="19"/>
        </w:rPr>
        <w:t>in</w:t>
      </w:r>
      <w:r>
        <w:rPr>
          <w:spacing w:val="39"/>
          <w:sz w:val="19"/>
        </w:rPr>
        <w:t xml:space="preserve"> </w:t>
      </w:r>
      <w:r>
        <w:rPr>
          <w:sz w:val="19"/>
        </w:rPr>
        <w:t>open-la</w:t>
      </w:r>
      <w:r>
        <w:rPr>
          <w:spacing w:val="-26"/>
          <w:sz w:val="19"/>
        </w:rPr>
        <w:t xml:space="preserve"> </w:t>
      </w:r>
      <w:r>
        <w:rPr>
          <w:sz w:val="19"/>
        </w:rPr>
        <w:t>bel</w:t>
      </w:r>
      <w:r>
        <w:rPr>
          <w:spacing w:val="17"/>
          <w:sz w:val="19"/>
        </w:rPr>
        <w:t xml:space="preserve"> </w:t>
      </w:r>
      <w:r>
        <w:rPr>
          <w:sz w:val="19"/>
        </w:rPr>
        <w:t>long-term</w:t>
      </w:r>
      <w:r>
        <w:rPr>
          <w:spacing w:val="40"/>
          <w:sz w:val="19"/>
        </w:rPr>
        <w:t xml:space="preserve"> </w:t>
      </w:r>
      <w:r>
        <w:rPr>
          <w:sz w:val="19"/>
        </w:rPr>
        <w:t>extension</w:t>
      </w:r>
      <w:r>
        <w:rPr>
          <w:spacing w:val="39"/>
          <w:sz w:val="19"/>
        </w:rPr>
        <w:t xml:space="preserve"> </w:t>
      </w:r>
      <w:r>
        <w:rPr>
          <w:sz w:val="19"/>
        </w:rPr>
        <w:t>studies;</w:t>
      </w:r>
      <w:r>
        <w:rPr>
          <w:spacing w:val="36"/>
          <w:sz w:val="19"/>
        </w:rPr>
        <w:t xml:space="preserve"> </w:t>
      </w:r>
      <w:r>
        <w:rPr>
          <w:sz w:val="19"/>
        </w:rPr>
        <w:t>therefore,</w:t>
      </w:r>
      <w:r>
        <w:rPr>
          <w:spacing w:val="23"/>
          <w:sz w:val="19"/>
        </w:rPr>
        <w:t xml:space="preserve"> </w:t>
      </w:r>
      <w:r>
        <w:rPr>
          <w:sz w:val="19"/>
        </w:rPr>
        <w:t>the</w:t>
      </w:r>
      <w:r>
        <w:rPr>
          <w:spacing w:val="13"/>
          <w:sz w:val="19"/>
        </w:rPr>
        <w:t xml:space="preserve"> </w:t>
      </w:r>
      <w:r>
        <w:rPr>
          <w:sz w:val="19"/>
        </w:rPr>
        <w:t>frequency</w:t>
      </w:r>
      <w:r>
        <w:rPr>
          <w:spacing w:val="39"/>
          <w:sz w:val="19"/>
        </w:rPr>
        <w:t xml:space="preserve"> </w:t>
      </w:r>
      <w:r>
        <w:rPr>
          <w:sz w:val="19"/>
        </w:rPr>
        <w:t>of these ADRs</w:t>
      </w:r>
      <w:r>
        <w:rPr>
          <w:spacing w:val="40"/>
          <w:sz w:val="19"/>
        </w:rPr>
        <w:t xml:space="preserve"> </w:t>
      </w:r>
      <w:r>
        <w:rPr>
          <w:sz w:val="19"/>
        </w:rPr>
        <w:t>in</w:t>
      </w:r>
      <w:r>
        <w:rPr>
          <w:spacing w:val="40"/>
          <w:sz w:val="19"/>
        </w:rPr>
        <w:t xml:space="preserve"> </w:t>
      </w:r>
      <w:proofErr w:type="spellStart"/>
      <w:r>
        <w:rPr>
          <w:sz w:val="19"/>
        </w:rPr>
        <w:t>Pha</w:t>
      </w:r>
      <w:proofErr w:type="spellEnd"/>
      <w:r>
        <w:rPr>
          <w:spacing w:val="-18"/>
          <w:sz w:val="19"/>
        </w:rPr>
        <w:t xml:space="preserve"> </w:t>
      </w:r>
      <w:r>
        <w:rPr>
          <w:sz w:val="19"/>
        </w:rPr>
        <w:t xml:space="preserve">se 3 </w:t>
      </w:r>
      <w:proofErr w:type="spellStart"/>
      <w:r>
        <w:rPr>
          <w:sz w:val="19"/>
        </w:rPr>
        <w:t>randomised</w:t>
      </w:r>
      <w:proofErr w:type="spellEnd"/>
      <w:r>
        <w:rPr>
          <w:sz w:val="19"/>
        </w:rPr>
        <w:t xml:space="preserve"> </w:t>
      </w:r>
      <w:proofErr w:type="spellStart"/>
      <w:r>
        <w:rPr>
          <w:sz w:val="19"/>
        </w:rPr>
        <w:t>tria</w:t>
      </w:r>
      <w:proofErr w:type="spellEnd"/>
      <w:r>
        <w:rPr>
          <w:spacing w:val="-18"/>
          <w:sz w:val="19"/>
        </w:rPr>
        <w:t xml:space="preserve"> </w:t>
      </w:r>
      <w:r>
        <w:rPr>
          <w:sz w:val="19"/>
        </w:rPr>
        <w:t xml:space="preserve">ls was </w:t>
      </w:r>
      <w:proofErr w:type="spellStart"/>
      <w:r>
        <w:rPr>
          <w:sz w:val="19"/>
        </w:rPr>
        <w:t>estima</w:t>
      </w:r>
      <w:proofErr w:type="spellEnd"/>
      <w:r>
        <w:rPr>
          <w:spacing w:val="-18"/>
          <w:sz w:val="19"/>
        </w:rPr>
        <w:t xml:space="preserve"> </w:t>
      </w:r>
      <w:r>
        <w:rPr>
          <w:sz w:val="19"/>
        </w:rPr>
        <w:t>ted.</w:t>
      </w:r>
    </w:p>
    <w:p w14:paraId="374DC31C" w14:textId="77777777" w:rsidR="001825E2" w:rsidRDefault="000839A5" w:rsidP="00CB00A7">
      <w:pPr>
        <w:spacing w:line="264" w:lineRule="auto"/>
        <w:ind w:left="504" w:right="201" w:hanging="285"/>
        <w:rPr>
          <w:sz w:val="19"/>
        </w:rPr>
      </w:pPr>
      <w:proofErr w:type="gramStart"/>
      <w:r>
        <w:rPr>
          <w:sz w:val="19"/>
        </w:rPr>
        <w:t>§</w:t>
      </w:r>
      <w:r>
        <w:rPr>
          <w:spacing w:val="76"/>
          <w:sz w:val="19"/>
        </w:rPr>
        <w:t xml:space="preserve">  </w:t>
      </w:r>
      <w:proofErr w:type="spellStart"/>
      <w:r>
        <w:rPr>
          <w:sz w:val="19"/>
        </w:rPr>
        <w:t>Nonmela</w:t>
      </w:r>
      <w:proofErr w:type="spellEnd"/>
      <w:proofErr w:type="gramEnd"/>
      <w:r>
        <w:rPr>
          <w:spacing w:val="-25"/>
          <w:sz w:val="19"/>
        </w:rPr>
        <w:t xml:space="preserve"> </w:t>
      </w:r>
      <w:proofErr w:type="spellStart"/>
      <w:r>
        <w:rPr>
          <w:sz w:val="19"/>
        </w:rPr>
        <w:t>noma</w:t>
      </w:r>
      <w:proofErr w:type="spellEnd"/>
      <w:r>
        <w:rPr>
          <w:spacing w:val="40"/>
          <w:sz w:val="19"/>
        </w:rPr>
        <w:t xml:space="preserve"> </w:t>
      </w:r>
      <w:r>
        <w:rPr>
          <w:sz w:val="19"/>
        </w:rPr>
        <w:t>skin</w:t>
      </w:r>
      <w:r>
        <w:rPr>
          <w:spacing w:val="40"/>
          <w:sz w:val="19"/>
        </w:rPr>
        <w:t xml:space="preserve"> </w:t>
      </w:r>
      <w:r>
        <w:rPr>
          <w:sz w:val="19"/>
        </w:rPr>
        <w:t>cancer</w:t>
      </w:r>
      <w:r>
        <w:rPr>
          <w:spacing w:val="24"/>
          <w:sz w:val="19"/>
        </w:rPr>
        <w:t xml:space="preserve"> </w:t>
      </w:r>
      <w:r>
        <w:rPr>
          <w:sz w:val="19"/>
        </w:rPr>
        <w:t>is</w:t>
      </w:r>
      <w:r>
        <w:rPr>
          <w:spacing w:val="40"/>
          <w:sz w:val="19"/>
        </w:rPr>
        <w:t xml:space="preserve"> </w:t>
      </w:r>
      <w:r>
        <w:rPr>
          <w:sz w:val="19"/>
        </w:rPr>
        <w:t>not</w:t>
      </w:r>
      <w:r>
        <w:rPr>
          <w:spacing w:val="39"/>
          <w:sz w:val="19"/>
        </w:rPr>
        <w:t xml:space="preserve"> </w:t>
      </w:r>
      <w:r>
        <w:rPr>
          <w:sz w:val="19"/>
        </w:rPr>
        <w:t>a</w:t>
      </w:r>
      <w:r>
        <w:rPr>
          <w:spacing w:val="40"/>
          <w:sz w:val="19"/>
        </w:rPr>
        <w:t xml:space="preserve"> </w:t>
      </w:r>
      <w:r>
        <w:rPr>
          <w:sz w:val="19"/>
        </w:rPr>
        <w:t>preferred</w:t>
      </w:r>
      <w:r>
        <w:rPr>
          <w:spacing w:val="40"/>
          <w:sz w:val="19"/>
        </w:rPr>
        <w:t xml:space="preserve"> </w:t>
      </w:r>
      <w:r>
        <w:rPr>
          <w:sz w:val="19"/>
        </w:rPr>
        <w:t>term.</w:t>
      </w:r>
      <w:r>
        <w:rPr>
          <w:spacing w:val="26"/>
          <w:sz w:val="19"/>
        </w:rPr>
        <w:t xml:space="preserve"> </w:t>
      </w:r>
      <w:r>
        <w:rPr>
          <w:sz w:val="19"/>
        </w:rPr>
        <w:t>The</w:t>
      </w:r>
      <w:r>
        <w:rPr>
          <w:spacing w:val="35"/>
          <w:sz w:val="19"/>
        </w:rPr>
        <w:t xml:space="preserve"> </w:t>
      </w:r>
      <w:r>
        <w:rPr>
          <w:sz w:val="19"/>
        </w:rPr>
        <w:t>frequency</w:t>
      </w:r>
      <w:r>
        <w:rPr>
          <w:spacing w:val="40"/>
          <w:sz w:val="19"/>
        </w:rPr>
        <w:t xml:space="preserve"> </w:t>
      </w:r>
      <w:r>
        <w:rPr>
          <w:sz w:val="19"/>
        </w:rPr>
        <w:t>is</w:t>
      </w:r>
      <w:r>
        <w:rPr>
          <w:spacing w:val="30"/>
          <w:sz w:val="19"/>
        </w:rPr>
        <w:t xml:space="preserve"> </w:t>
      </w:r>
      <w:r>
        <w:rPr>
          <w:sz w:val="19"/>
        </w:rPr>
        <w:t>determined</w:t>
      </w:r>
      <w:r>
        <w:rPr>
          <w:spacing w:val="40"/>
          <w:sz w:val="19"/>
        </w:rPr>
        <w:t xml:space="preserve"> </w:t>
      </w:r>
      <w:r>
        <w:rPr>
          <w:sz w:val="19"/>
        </w:rPr>
        <w:t>by</w:t>
      </w:r>
      <w:r>
        <w:rPr>
          <w:spacing w:val="40"/>
          <w:sz w:val="19"/>
        </w:rPr>
        <w:t xml:space="preserve"> </w:t>
      </w:r>
      <w:r>
        <w:rPr>
          <w:sz w:val="19"/>
        </w:rPr>
        <w:t>combining</w:t>
      </w:r>
      <w:r>
        <w:rPr>
          <w:spacing w:val="40"/>
          <w:sz w:val="19"/>
        </w:rPr>
        <w:t xml:space="preserve"> </w:t>
      </w:r>
      <w:r>
        <w:rPr>
          <w:sz w:val="19"/>
        </w:rPr>
        <w:t>frequencies for</w:t>
      </w:r>
      <w:r>
        <w:rPr>
          <w:spacing w:val="27"/>
          <w:sz w:val="19"/>
        </w:rPr>
        <w:t xml:space="preserve"> </w:t>
      </w:r>
      <w:r>
        <w:rPr>
          <w:sz w:val="19"/>
        </w:rPr>
        <w:t>the</w:t>
      </w:r>
      <w:r>
        <w:rPr>
          <w:spacing w:val="40"/>
          <w:sz w:val="19"/>
        </w:rPr>
        <w:t xml:space="preserve"> </w:t>
      </w:r>
      <w:proofErr w:type="gramStart"/>
      <w:r>
        <w:rPr>
          <w:sz w:val="19"/>
        </w:rPr>
        <w:t>PT’s</w:t>
      </w:r>
      <w:proofErr w:type="gramEnd"/>
      <w:r>
        <w:rPr>
          <w:spacing w:val="40"/>
          <w:sz w:val="19"/>
        </w:rPr>
        <w:t xml:space="preserve"> </w:t>
      </w:r>
      <w:r>
        <w:rPr>
          <w:sz w:val="19"/>
        </w:rPr>
        <w:t>of</w:t>
      </w:r>
      <w:r>
        <w:rPr>
          <w:spacing w:val="40"/>
          <w:sz w:val="19"/>
        </w:rPr>
        <w:t xml:space="preserve"> </w:t>
      </w:r>
      <w:r>
        <w:rPr>
          <w:sz w:val="19"/>
        </w:rPr>
        <w:t>basal</w:t>
      </w:r>
      <w:r>
        <w:rPr>
          <w:spacing w:val="-9"/>
          <w:sz w:val="19"/>
        </w:rPr>
        <w:t xml:space="preserve"> </w:t>
      </w:r>
      <w:r>
        <w:rPr>
          <w:sz w:val="19"/>
        </w:rPr>
        <w:t>cell</w:t>
      </w:r>
      <w:r>
        <w:rPr>
          <w:spacing w:val="40"/>
          <w:sz w:val="19"/>
        </w:rPr>
        <w:t xml:space="preserve"> </w:t>
      </w:r>
      <w:r>
        <w:rPr>
          <w:sz w:val="19"/>
        </w:rPr>
        <w:t>carcinoma</w:t>
      </w:r>
      <w:r>
        <w:rPr>
          <w:spacing w:val="40"/>
          <w:sz w:val="19"/>
        </w:rPr>
        <w:t xml:space="preserve"> </w:t>
      </w:r>
      <w:r>
        <w:rPr>
          <w:sz w:val="19"/>
        </w:rPr>
        <w:t>and</w:t>
      </w:r>
      <w:r>
        <w:rPr>
          <w:spacing w:val="24"/>
          <w:sz w:val="19"/>
        </w:rPr>
        <w:t xml:space="preserve"> </w:t>
      </w:r>
      <w:r>
        <w:rPr>
          <w:sz w:val="19"/>
        </w:rPr>
        <w:t>squamous cell</w:t>
      </w:r>
      <w:r>
        <w:rPr>
          <w:spacing w:val="40"/>
          <w:sz w:val="19"/>
        </w:rPr>
        <w:t xml:space="preserve"> </w:t>
      </w:r>
      <w:r>
        <w:rPr>
          <w:sz w:val="19"/>
        </w:rPr>
        <w:t>carcinoma.</w:t>
      </w:r>
    </w:p>
    <w:p w14:paraId="3D42E363" w14:textId="77777777" w:rsidR="001825E2" w:rsidRDefault="000839A5" w:rsidP="00CB00A7">
      <w:pPr>
        <w:spacing w:line="203" w:lineRule="exact"/>
        <w:ind w:left="219"/>
        <w:rPr>
          <w:sz w:val="19"/>
        </w:rPr>
      </w:pPr>
      <w:r>
        <w:rPr>
          <w:sz w:val="19"/>
        </w:rPr>
        <w:t>#</w:t>
      </w:r>
      <w:r>
        <w:rPr>
          <w:spacing w:val="69"/>
          <w:w w:val="150"/>
          <w:sz w:val="19"/>
        </w:rPr>
        <w:t xml:space="preserve">  </w:t>
      </w:r>
      <w:r>
        <w:rPr>
          <w:sz w:val="19"/>
        </w:rPr>
        <w:t>Venous</w:t>
      </w:r>
      <w:r>
        <w:rPr>
          <w:spacing w:val="19"/>
          <w:sz w:val="19"/>
        </w:rPr>
        <w:t xml:space="preserve"> </w:t>
      </w:r>
      <w:r>
        <w:rPr>
          <w:sz w:val="19"/>
        </w:rPr>
        <w:t>thromboembolism</w:t>
      </w:r>
      <w:r>
        <w:rPr>
          <w:spacing w:val="16"/>
          <w:sz w:val="19"/>
        </w:rPr>
        <w:t xml:space="preserve"> </w:t>
      </w:r>
      <w:r>
        <w:rPr>
          <w:sz w:val="19"/>
        </w:rPr>
        <w:t>(e.g.,</w:t>
      </w:r>
      <w:r>
        <w:rPr>
          <w:spacing w:val="59"/>
          <w:sz w:val="19"/>
        </w:rPr>
        <w:t xml:space="preserve"> </w:t>
      </w:r>
      <w:r>
        <w:rPr>
          <w:sz w:val="19"/>
        </w:rPr>
        <w:t>pulmonary</w:t>
      </w:r>
      <w:r>
        <w:rPr>
          <w:spacing w:val="9"/>
          <w:sz w:val="19"/>
        </w:rPr>
        <w:t xml:space="preserve"> </w:t>
      </w:r>
      <w:r>
        <w:rPr>
          <w:sz w:val="19"/>
        </w:rPr>
        <w:t>embolism,</w:t>
      </w:r>
      <w:r>
        <w:rPr>
          <w:spacing w:val="-9"/>
          <w:sz w:val="19"/>
        </w:rPr>
        <w:t xml:space="preserve"> </w:t>
      </w:r>
      <w:r>
        <w:rPr>
          <w:sz w:val="19"/>
        </w:rPr>
        <w:t>deep</w:t>
      </w:r>
      <w:r>
        <w:rPr>
          <w:spacing w:val="32"/>
          <w:sz w:val="19"/>
        </w:rPr>
        <w:t xml:space="preserve"> </w:t>
      </w:r>
      <w:r>
        <w:rPr>
          <w:sz w:val="19"/>
        </w:rPr>
        <w:t>vein</w:t>
      </w:r>
      <w:r>
        <w:rPr>
          <w:spacing w:val="32"/>
          <w:sz w:val="19"/>
        </w:rPr>
        <w:t xml:space="preserve"> </w:t>
      </w:r>
      <w:r>
        <w:rPr>
          <w:sz w:val="19"/>
        </w:rPr>
        <w:t>thrombosis,</w:t>
      </w:r>
      <w:r>
        <w:rPr>
          <w:spacing w:val="13"/>
          <w:sz w:val="19"/>
        </w:rPr>
        <w:t xml:space="preserve"> </w:t>
      </w:r>
      <w:r>
        <w:rPr>
          <w:sz w:val="19"/>
        </w:rPr>
        <w:t>retina</w:t>
      </w:r>
      <w:r>
        <w:rPr>
          <w:spacing w:val="-21"/>
          <w:sz w:val="19"/>
        </w:rPr>
        <w:t xml:space="preserve"> </w:t>
      </w:r>
      <w:r>
        <w:rPr>
          <w:sz w:val="19"/>
        </w:rPr>
        <w:t>l</w:t>
      </w:r>
      <w:r>
        <w:rPr>
          <w:spacing w:val="6"/>
          <w:sz w:val="19"/>
        </w:rPr>
        <w:t xml:space="preserve"> </w:t>
      </w:r>
      <w:r>
        <w:rPr>
          <w:sz w:val="19"/>
        </w:rPr>
        <w:t>venous</w:t>
      </w:r>
      <w:r>
        <w:rPr>
          <w:spacing w:val="-4"/>
          <w:sz w:val="19"/>
        </w:rPr>
        <w:t xml:space="preserve"> </w:t>
      </w:r>
      <w:r>
        <w:rPr>
          <w:spacing w:val="-2"/>
          <w:sz w:val="19"/>
        </w:rPr>
        <w:t>thrombosis).</w:t>
      </w:r>
    </w:p>
    <w:p w14:paraId="4A1A1B1D" w14:textId="77777777" w:rsidR="001825E2" w:rsidRDefault="001825E2" w:rsidP="00CB00A7">
      <w:pPr>
        <w:pStyle w:val="BodyText"/>
        <w:spacing w:before="26"/>
        <w:jc w:val="left"/>
        <w:rPr>
          <w:sz w:val="19"/>
        </w:rPr>
      </w:pPr>
    </w:p>
    <w:p w14:paraId="668F12AE" w14:textId="77777777" w:rsidR="001825E2" w:rsidRDefault="000839A5" w:rsidP="00CB00A7">
      <w:pPr>
        <w:pStyle w:val="Heading4"/>
        <w:spacing w:before="1"/>
        <w:jc w:val="left"/>
      </w:pPr>
      <w:r>
        <w:t>Overall</w:t>
      </w:r>
      <w:r>
        <w:rPr>
          <w:spacing w:val="-1"/>
        </w:rPr>
        <w:t xml:space="preserve"> </w:t>
      </w:r>
      <w:r>
        <w:rPr>
          <w:spacing w:val="-2"/>
        </w:rPr>
        <w:t>Infections</w:t>
      </w:r>
    </w:p>
    <w:p w14:paraId="19CC93AD" w14:textId="77777777" w:rsidR="001825E2" w:rsidRDefault="000839A5" w:rsidP="00CB00A7">
      <w:pPr>
        <w:spacing w:before="129"/>
        <w:ind w:left="220"/>
        <w:rPr>
          <w:i/>
          <w:sz w:val="24"/>
        </w:rPr>
      </w:pPr>
      <w:r>
        <w:rPr>
          <w:i/>
          <w:sz w:val="24"/>
          <w:u w:val="single"/>
        </w:rPr>
        <w:t>Rheumatoid</w:t>
      </w:r>
      <w:r>
        <w:rPr>
          <w:i/>
          <w:spacing w:val="-7"/>
          <w:sz w:val="24"/>
          <w:u w:val="single"/>
        </w:rPr>
        <w:t xml:space="preserve"> </w:t>
      </w:r>
      <w:r>
        <w:rPr>
          <w:i/>
          <w:spacing w:val="-2"/>
          <w:sz w:val="24"/>
          <w:u w:val="single"/>
        </w:rPr>
        <w:t>Arthritis</w:t>
      </w:r>
    </w:p>
    <w:p w14:paraId="584A0DFE" w14:textId="77777777" w:rsidR="001825E2" w:rsidRDefault="000839A5" w:rsidP="00CB00A7">
      <w:pPr>
        <w:pStyle w:val="BodyText"/>
        <w:spacing w:before="114"/>
        <w:ind w:left="217" w:right="202" w:firstLine="2"/>
        <w:jc w:val="left"/>
      </w:pPr>
      <w:r>
        <w:t>In</w:t>
      </w:r>
      <w:r>
        <w:rPr>
          <w:spacing w:val="-1"/>
        </w:rPr>
        <w:t xml:space="preserve"> </w:t>
      </w:r>
      <w:r>
        <w:t>the</w:t>
      </w:r>
      <w:r>
        <w:rPr>
          <w:spacing w:val="-3"/>
        </w:rPr>
        <w:t xml:space="preserve"> </w:t>
      </w:r>
      <w:r>
        <w:t>controlled portion</w:t>
      </w:r>
      <w:r>
        <w:rPr>
          <w:spacing w:val="-1"/>
        </w:rPr>
        <w:t xml:space="preserve"> </w:t>
      </w:r>
      <w:r>
        <w:t>(0-3 months)</w:t>
      </w:r>
      <w:r>
        <w:rPr>
          <w:spacing w:val="-6"/>
        </w:rPr>
        <w:t xml:space="preserve"> </w:t>
      </w:r>
      <w:r>
        <w:t>of the</w:t>
      </w:r>
      <w:r>
        <w:rPr>
          <w:spacing w:val="-3"/>
        </w:rPr>
        <w:t xml:space="preserve"> </w:t>
      </w:r>
      <w:r>
        <w:t>phase</w:t>
      </w:r>
      <w:r>
        <w:rPr>
          <w:spacing w:val="-3"/>
        </w:rPr>
        <w:t xml:space="preserve"> </w:t>
      </w:r>
      <w:r>
        <w:t>3 monotherapy</w:t>
      </w:r>
      <w:r>
        <w:rPr>
          <w:spacing w:val="-1"/>
        </w:rPr>
        <w:t xml:space="preserve"> </w:t>
      </w:r>
      <w:r>
        <w:t>studies</w:t>
      </w:r>
      <w:r>
        <w:rPr>
          <w:spacing w:val="-5"/>
        </w:rPr>
        <w:t xml:space="preserve"> </w:t>
      </w:r>
      <w:r>
        <w:t>(I and VI),</w:t>
      </w:r>
      <w:r>
        <w:rPr>
          <w:spacing w:val="-1"/>
        </w:rPr>
        <w:t xml:space="preserve"> </w:t>
      </w:r>
      <w:r>
        <w:t>the</w:t>
      </w:r>
      <w:r>
        <w:rPr>
          <w:spacing w:val="-3"/>
        </w:rPr>
        <w:t xml:space="preserve"> </w:t>
      </w:r>
      <w:r>
        <w:t>rate of infections in the 5</w:t>
      </w:r>
      <w:r>
        <w:rPr>
          <w:spacing w:val="-2"/>
        </w:rPr>
        <w:t xml:space="preserve"> </w:t>
      </w:r>
      <w:r>
        <w:t>mg twice daily and 10</w:t>
      </w:r>
      <w:r>
        <w:rPr>
          <w:spacing w:val="-2"/>
        </w:rPr>
        <w:t xml:space="preserve"> </w:t>
      </w:r>
      <w:r>
        <w:t>mg twice daily XELJANZ monotherapy groups were 16.1% and 17.8%, respectively, compared to 18.9% in the placebo group. In the controlled portion</w:t>
      </w:r>
      <w:r>
        <w:rPr>
          <w:spacing w:val="-2"/>
        </w:rPr>
        <w:t xml:space="preserve"> </w:t>
      </w:r>
      <w:r>
        <w:t>(0-3 months)</w:t>
      </w:r>
      <w:r>
        <w:rPr>
          <w:spacing w:val="-8"/>
        </w:rPr>
        <w:t xml:space="preserve"> </w:t>
      </w:r>
      <w:r>
        <w:t>of the</w:t>
      </w:r>
      <w:r>
        <w:rPr>
          <w:spacing w:val="-4"/>
        </w:rPr>
        <w:t xml:space="preserve"> </w:t>
      </w:r>
      <w:r>
        <w:t>phase</w:t>
      </w:r>
      <w:r>
        <w:rPr>
          <w:spacing w:val="-4"/>
        </w:rPr>
        <w:t xml:space="preserve"> </w:t>
      </w:r>
      <w:r>
        <w:t>3</w:t>
      </w:r>
      <w:r>
        <w:rPr>
          <w:spacing w:val="-2"/>
        </w:rPr>
        <w:t xml:space="preserve"> </w:t>
      </w:r>
      <w:r>
        <w:t>studies</w:t>
      </w:r>
      <w:r>
        <w:rPr>
          <w:spacing w:val="-6"/>
        </w:rPr>
        <w:t xml:space="preserve"> </w:t>
      </w:r>
      <w:r>
        <w:t>II</w:t>
      </w:r>
      <w:r>
        <w:rPr>
          <w:spacing w:val="-7"/>
        </w:rPr>
        <w:t xml:space="preserve"> </w:t>
      </w:r>
      <w:r>
        <w:t>to</w:t>
      </w:r>
      <w:r>
        <w:rPr>
          <w:spacing w:val="-2"/>
        </w:rPr>
        <w:t xml:space="preserve"> </w:t>
      </w:r>
      <w:r>
        <w:t>V with</w:t>
      </w:r>
      <w:r>
        <w:rPr>
          <w:spacing w:val="-2"/>
        </w:rPr>
        <w:t xml:space="preserve"> </w:t>
      </w:r>
      <w:r>
        <w:t>background DMARDs,</w:t>
      </w:r>
      <w:r>
        <w:rPr>
          <w:spacing w:val="-2"/>
        </w:rPr>
        <w:t xml:space="preserve"> </w:t>
      </w:r>
      <w:r>
        <w:t>the rates of infections in the 5</w:t>
      </w:r>
      <w:r>
        <w:rPr>
          <w:spacing w:val="-3"/>
        </w:rPr>
        <w:t xml:space="preserve"> </w:t>
      </w:r>
      <w:r>
        <w:t>mg twice daily and 10</w:t>
      </w:r>
      <w:r>
        <w:rPr>
          <w:spacing w:val="-3"/>
        </w:rPr>
        <w:t xml:space="preserve"> </w:t>
      </w:r>
      <w:r>
        <w:t>mg twice daily XELJANZ plus DMARD groups were 21.3% and</w:t>
      </w:r>
      <w:r>
        <w:rPr>
          <w:spacing w:val="40"/>
        </w:rPr>
        <w:t xml:space="preserve"> </w:t>
      </w:r>
      <w:r>
        <w:t>21.8%, respectively, compared</w:t>
      </w:r>
      <w:r>
        <w:rPr>
          <w:spacing w:val="40"/>
        </w:rPr>
        <w:t xml:space="preserve"> </w:t>
      </w:r>
      <w:r>
        <w:t>to 18.4% in</w:t>
      </w:r>
      <w:r>
        <w:rPr>
          <w:spacing w:val="40"/>
        </w:rPr>
        <w:t xml:space="preserve"> </w:t>
      </w:r>
      <w:r>
        <w:t>the placebo plus DMARD group. In the controlled portion (0-6</w:t>
      </w:r>
      <w:r>
        <w:rPr>
          <w:spacing w:val="-1"/>
        </w:rPr>
        <w:t xml:space="preserve"> </w:t>
      </w:r>
      <w:r>
        <w:t>months) of the phase</w:t>
      </w:r>
      <w:r>
        <w:rPr>
          <w:spacing w:val="-3"/>
        </w:rPr>
        <w:t xml:space="preserve"> </w:t>
      </w:r>
      <w:r>
        <w:t xml:space="preserve">3 studies II to IV with background DMARDs, </w:t>
      </w:r>
      <w:r>
        <w:t>the rates of infections in the 5</w:t>
      </w:r>
      <w:r>
        <w:rPr>
          <w:spacing w:val="-3"/>
        </w:rPr>
        <w:t xml:space="preserve"> </w:t>
      </w:r>
      <w:r>
        <w:t>mg twice daily and 10</w:t>
      </w:r>
      <w:r>
        <w:rPr>
          <w:spacing w:val="-3"/>
        </w:rPr>
        <w:t xml:space="preserve"> </w:t>
      </w:r>
      <w:r>
        <w:t>mg twice daily XELJANZ plus</w:t>
      </w:r>
      <w:r>
        <w:rPr>
          <w:spacing w:val="-4"/>
        </w:rPr>
        <w:t xml:space="preserve"> </w:t>
      </w:r>
      <w:r>
        <w:t>DMARD groups</w:t>
      </w:r>
      <w:r>
        <w:rPr>
          <w:spacing w:val="-4"/>
        </w:rPr>
        <w:t xml:space="preserve"> </w:t>
      </w:r>
      <w:r>
        <w:t>were</w:t>
      </w:r>
      <w:r>
        <w:rPr>
          <w:spacing w:val="-2"/>
        </w:rPr>
        <w:t xml:space="preserve"> </w:t>
      </w:r>
      <w:r>
        <w:t>34.6%</w:t>
      </w:r>
      <w:r>
        <w:rPr>
          <w:spacing w:val="-5"/>
        </w:rPr>
        <w:t xml:space="preserve"> </w:t>
      </w:r>
      <w:r>
        <w:t>and 32.8%, respectively, compared to 21.3%</w:t>
      </w:r>
      <w:r>
        <w:rPr>
          <w:spacing w:val="-5"/>
        </w:rPr>
        <w:t xml:space="preserve"> </w:t>
      </w:r>
      <w:r>
        <w:t>in the placebo plus DMARD group.</w:t>
      </w:r>
    </w:p>
    <w:p w14:paraId="2C07A151" w14:textId="77777777" w:rsidR="001825E2" w:rsidRDefault="000839A5" w:rsidP="00CB00A7">
      <w:pPr>
        <w:pStyle w:val="BodyText"/>
        <w:spacing w:before="244" w:line="235" w:lineRule="auto"/>
        <w:ind w:left="217" w:right="220"/>
        <w:jc w:val="left"/>
      </w:pPr>
      <w:r>
        <w:t xml:space="preserve">The </w:t>
      </w:r>
      <w:proofErr w:type="gramStart"/>
      <w:r>
        <w:t>most commonly reported</w:t>
      </w:r>
      <w:proofErr w:type="gramEnd"/>
      <w:r>
        <w:t xml:space="preserve"> infections were upper respiratory tract infections and nasopharyngitis (3.7% and 3.2%, respectively).</w:t>
      </w:r>
    </w:p>
    <w:p w14:paraId="3BC46450" w14:textId="77777777" w:rsidR="001825E2" w:rsidRDefault="000839A5" w:rsidP="00CB00A7">
      <w:pPr>
        <w:pStyle w:val="BodyText"/>
        <w:spacing w:before="250" w:line="242" w:lineRule="auto"/>
        <w:ind w:left="217" w:right="219" w:hanging="1"/>
        <w:jc w:val="left"/>
      </w:pPr>
      <w:r>
        <w:t>The overall rate of infections</w:t>
      </w:r>
      <w:r>
        <w:rPr>
          <w:spacing w:val="-1"/>
        </w:rPr>
        <w:t xml:space="preserve"> </w:t>
      </w:r>
      <w:r>
        <w:t>with XELJANZ in the long-term</w:t>
      </w:r>
      <w:r>
        <w:rPr>
          <w:spacing w:val="-4"/>
        </w:rPr>
        <w:t xml:space="preserve"> </w:t>
      </w:r>
      <w:r>
        <w:t>safety all</w:t>
      </w:r>
      <w:r>
        <w:rPr>
          <w:spacing w:val="-4"/>
        </w:rPr>
        <w:t xml:space="preserve"> </w:t>
      </w:r>
      <w:r>
        <w:t>exposure population (total</w:t>
      </w:r>
      <w:r>
        <w:rPr>
          <w:spacing w:val="-8"/>
        </w:rPr>
        <w:t xml:space="preserve"> </w:t>
      </w:r>
      <w:r>
        <w:t>4867</w:t>
      </w:r>
      <w:r>
        <w:rPr>
          <w:spacing w:val="-1"/>
        </w:rPr>
        <w:t xml:space="preserve"> </w:t>
      </w:r>
      <w:r>
        <w:t>patients)</w:t>
      </w:r>
      <w:r>
        <w:rPr>
          <w:spacing w:val="-6"/>
        </w:rPr>
        <w:t xml:space="preserve"> </w:t>
      </w:r>
      <w:r>
        <w:t>was</w:t>
      </w:r>
      <w:r>
        <w:rPr>
          <w:spacing w:val="-5"/>
        </w:rPr>
        <w:t xml:space="preserve"> </w:t>
      </w:r>
      <w:r>
        <w:t>72.1</w:t>
      </w:r>
      <w:r>
        <w:rPr>
          <w:spacing w:val="-1"/>
        </w:rPr>
        <w:t xml:space="preserve"> </w:t>
      </w:r>
      <w:r>
        <w:t>events</w:t>
      </w:r>
      <w:r>
        <w:rPr>
          <w:spacing w:val="-5"/>
        </w:rPr>
        <w:t xml:space="preserve"> </w:t>
      </w:r>
      <w:r>
        <w:t>per</w:t>
      </w:r>
      <w:r>
        <w:rPr>
          <w:spacing w:val="-6"/>
        </w:rPr>
        <w:t xml:space="preserve"> </w:t>
      </w:r>
      <w:r>
        <w:t>100</w:t>
      </w:r>
      <w:r>
        <w:rPr>
          <w:spacing w:val="-1"/>
        </w:rPr>
        <w:t xml:space="preserve"> </w:t>
      </w:r>
      <w:r>
        <w:t>patient-years (71.8</w:t>
      </w:r>
      <w:r>
        <w:rPr>
          <w:spacing w:val="-1"/>
        </w:rPr>
        <w:t xml:space="preserve"> </w:t>
      </w:r>
      <w:r>
        <w:t>and 72.2</w:t>
      </w:r>
      <w:r>
        <w:rPr>
          <w:spacing w:val="-1"/>
        </w:rPr>
        <w:t xml:space="preserve"> </w:t>
      </w:r>
      <w:r>
        <w:t>events</w:t>
      </w:r>
      <w:r>
        <w:rPr>
          <w:spacing w:val="-5"/>
        </w:rPr>
        <w:t xml:space="preserve"> </w:t>
      </w:r>
      <w:r>
        <w:t>for</w:t>
      </w:r>
      <w:r>
        <w:rPr>
          <w:spacing w:val="-6"/>
        </w:rPr>
        <w:t xml:space="preserve"> </w:t>
      </w:r>
      <w:r>
        <w:t>5</w:t>
      </w:r>
      <w:r>
        <w:rPr>
          <w:spacing w:val="-1"/>
        </w:rPr>
        <w:t xml:space="preserve"> </w:t>
      </w:r>
      <w:r>
        <w:t>mg</w:t>
      </w:r>
      <w:r>
        <w:rPr>
          <w:spacing w:val="-1"/>
        </w:rPr>
        <w:t xml:space="preserve"> </w:t>
      </w:r>
      <w:r>
        <w:t>and 10</w:t>
      </w:r>
      <w:r>
        <w:rPr>
          <w:spacing w:val="-2"/>
        </w:rPr>
        <w:t xml:space="preserve"> </w:t>
      </w:r>
      <w:r>
        <w:t>mg</w:t>
      </w:r>
      <w:r>
        <w:rPr>
          <w:spacing w:val="30"/>
        </w:rPr>
        <w:t xml:space="preserve"> </w:t>
      </w:r>
      <w:r>
        <w:t>twice</w:t>
      </w:r>
      <w:r>
        <w:rPr>
          <w:spacing w:val="29"/>
        </w:rPr>
        <w:t xml:space="preserve"> </w:t>
      </w:r>
      <w:r>
        <w:t>daily,</w:t>
      </w:r>
      <w:r>
        <w:rPr>
          <w:spacing w:val="30"/>
        </w:rPr>
        <w:t xml:space="preserve"> </w:t>
      </w:r>
      <w:r>
        <w:t>respectively).</w:t>
      </w:r>
      <w:r>
        <w:rPr>
          <w:spacing w:val="31"/>
        </w:rPr>
        <w:t xml:space="preserve"> </w:t>
      </w:r>
      <w:r>
        <w:t>For</w:t>
      </w:r>
      <w:r>
        <w:rPr>
          <w:spacing w:val="41"/>
        </w:rPr>
        <w:t xml:space="preserve"> </w:t>
      </w:r>
      <w:r>
        <w:t>patients</w:t>
      </w:r>
      <w:r>
        <w:rPr>
          <w:spacing w:val="26"/>
        </w:rPr>
        <w:t xml:space="preserve"> </w:t>
      </w:r>
      <w:r>
        <w:t>on</w:t>
      </w:r>
      <w:r>
        <w:rPr>
          <w:spacing w:val="31"/>
        </w:rPr>
        <w:t xml:space="preserve"> </w:t>
      </w:r>
      <w:r>
        <w:t>monotherapy</w:t>
      </w:r>
      <w:r>
        <w:rPr>
          <w:spacing w:val="45"/>
        </w:rPr>
        <w:t xml:space="preserve"> </w:t>
      </w:r>
      <w:r>
        <w:t>(total</w:t>
      </w:r>
      <w:r>
        <w:rPr>
          <w:spacing w:val="24"/>
        </w:rPr>
        <w:t xml:space="preserve"> </w:t>
      </w:r>
      <w:r>
        <w:t>1750),</w:t>
      </w:r>
      <w:r>
        <w:rPr>
          <w:spacing w:val="45"/>
        </w:rPr>
        <w:t xml:space="preserve"> </w:t>
      </w:r>
      <w:r>
        <w:t>the</w:t>
      </w:r>
      <w:r>
        <w:rPr>
          <w:spacing w:val="29"/>
        </w:rPr>
        <w:t xml:space="preserve"> </w:t>
      </w:r>
      <w:r>
        <w:t>rates</w:t>
      </w:r>
      <w:r>
        <w:rPr>
          <w:spacing w:val="27"/>
        </w:rPr>
        <w:t xml:space="preserve"> </w:t>
      </w:r>
      <w:proofErr w:type="gramStart"/>
      <w:r>
        <w:rPr>
          <w:spacing w:val="-4"/>
        </w:rPr>
        <w:t>were</w:t>
      </w:r>
      <w:proofErr w:type="gramEnd"/>
    </w:p>
    <w:p w14:paraId="78491A44" w14:textId="77777777" w:rsidR="001825E2" w:rsidRDefault="000839A5" w:rsidP="00CB00A7">
      <w:pPr>
        <w:pStyle w:val="BodyText"/>
        <w:spacing w:line="242" w:lineRule="auto"/>
        <w:ind w:left="217" w:right="200"/>
        <w:jc w:val="left"/>
      </w:pPr>
      <w:r>
        <w:t>75.3</w:t>
      </w:r>
      <w:r>
        <w:rPr>
          <w:spacing w:val="-1"/>
        </w:rPr>
        <w:t xml:space="preserve"> </w:t>
      </w:r>
      <w:r>
        <w:t>and 64.2</w:t>
      </w:r>
      <w:r>
        <w:rPr>
          <w:spacing w:val="-1"/>
        </w:rPr>
        <w:t xml:space="preserve"> </w:t>
      </w:r>
      <w:r>
        <w:t>events per 100</w:t>
      </w:r>
      <w:r>
        <w:rPr>
          <w:spacing w:val="-1"/>
        </w:rPr>
        <w:t xml:space="preserve"> </w:t>
      </w:r>
      <w:r>
        <w:t>patient-years for 5</w:t>
      </w:r>
      <w:r>
        <w:rPr>
          <w:spacing w:val="-2"/>
        </w:rPr>
        <w:t xml:space="preserve"> </w:t>
      </w:r>
      <w:r>
        <w:t>mg and 10</w:t>
      </w:r>
      <w:r>
        <w:rPr>
          <w:spacing w:val="-1"/>
        </w:rPr>
        <w:t xml:space="preserve"> </w:t>
      </w:r>
      <w:r>
        <w:t>mg twice</w:t>
      </w:r>
      <w:r>
        <w:rPr>
          <w:spacing w:val="-3"/>
        </w:rPr>
        <w:t xml:space="preserve"> </w:t>
      </w:r>
      <w:r>
        <w:t>daily, respectively. For patients</w:t>
      </w:r>
      <w:r>
        <w:rPr>
          <w:spacing w:val="40"/>
        </w:rPr>
        <w:t xml:space="preserve"> </w:t>
      </w:r>
      <w:r>
        <w:t>on</w:t>
      </w:r>
      <w:r>
        <w:rPr>
          <w:spacing w:val="40"/>
        </w:rPr>
        <w:t xml:space="preserve"> </w:t>
      </w:r>
      <w:r>
        <w:t>background</w:t>
      </w:r>
      <w:r>
        <w:rPr>
          <w:spacing w:val="40"/>
        </w:rPr>
        <w:t xml:space="preserve"> </w:t>
      </w:r>
      <w:r>
        <w:t>DMARDs</w:t>
      </w:r>
      <w:r>
        <w:rPr>
          <w:spacing w:val="40"/>
        </w:rPr>
        <w:t xml:space="preserve"> </w:t>
      </w:r>
      <w:r>
        <w:t>(total</w:t>
      </w:r>
      <w:r>
        <w:rPr>
          <w:spacing w:val="40"/>
        </w:rPr>
        <w:t xml:space="preserve"> </w:t>
      </w:r>
      <w:r>
        <w:t>3117),</w:t>
      </w:r>
      <w:r>
        <w:rPr>
          <w:spacing w:val="40"/>
        </w:rPr>
        <w:t xml:space="preserve"> </w:t>
      </w:r>
      <w:r>
        <w:t>the</w:t>
      </w:r>
      <w:r>
        <w:rPr>
          <w:spacing w:val="40"/>
        </w:rPr>
        <w:t xml:space="preserve"> </w:t>
      </w:r>
      <w:r>
        <w:t>rates</w:t>
      </w:r>
      <w:r>
        <w:rPr>
          <w:spacing w:val="40"/>
        </w:rPr>
        <w:t xml:space="preserve"> </w:t>
      </w:r>
      <w:r>
        <w:t>were</w:t>
      </w:r>
      <w:r>
        <w:rPr>
          <w:spacing w:val="40"/>
        </w:rPr>
        <w:t xml:space="preserve"> </w:t>
      </w:r>
      <w:r>
        <w:t>69.7</w:t>
      </w:r>
      <w:r>
        <w:rPr>
          <w:spacing w:val="-2"/>
        </w:rPr>
        <w:t xml:space="preserve"> </w:t>
      </w:r>
      <w:r>
        <w:t>and 76.5</w:t>
      </w:r>
      <w:r>
        <w:rPr>
          <w:spacing w:val="-2"/>
        </w:rPr>
        <w:t xml:space="preserve"> </w:t>
      </w:r>
      <w:r>
        <w:t>events</w:t>
      </w:r>
      <w:r>
        <w:rPr>
          <w:spacing w:val="40"/>
        </w:rPr>
        <w:t xml:space="preserve"> </w:t>
      </w:r>
      <w:r>
        <w:t>per 100 patient-years for</w:t>
      </w:r>
      <w:r>
        <w:rPr>
          <w:spacing w:val="-12"/>
        </w:rPr>
        <w:t xml:space="preserve"> </w:t>
      </w:r>
      <w:r>
        <w:t>5 mg and 10 mg twice daily, respectively.</w:t>
      </w:r>
    </w:p>
    <w:p w14:paraId="27818E4D" w14:textId="77777777" w:rsidR="001825E2" w:rsidRDefault="000839A5" w:rsidP="00CB00A7">
      <w:pPr>
        <w:pStyle w:val="BodyText"/>
        <w:spacing w:before="218" w:line="242" w:lineRule="auto"/>
        <w:ind w:left="216" w:right="217"/>
        <w:jc w:val="left"/>
      </w:pPr>
      <w:r>
        <w:t>Infections were also reported</w:t>
      </w:r>
      <w:r>
        <w:rPr>
          <w:spacing w:val="22"/>
        </w:rPr>
        <w:t xml:space="preserve"> </w:t>
      </w:r>
      <w:r>
        <w:t xml:space="preserve">in a </w:t>
      </w:r>
      <w:proofErr w:type="gramStart"/>
      <w:r>
        <w:t xml:space="preserve">large </w:t>
      </w:r>
      <w:proofErr w:type="spellStart"/>
      <w:r>
        <w:t>randomised</w:t>
      </w:r>
      <w:proofErr w:type="spellEnd"/>
      <w:proofErr w:type="gramEnd"/>
      <w:r>
        <w:rPr>
          <w:spacing w:val="22"/>
        </w:rPr>
        <w:t xml:space="preserve"> </w:t>
      </w:r>
      <w:r>
        <w:t>PASS in RA patients</w:t>
      </w:r>
      <w:r>
        <w:rPr>
          <w:spacing w:val="-9"/>
        </w:rPr>
        <w:t xml:space="preserve"> </w:t>
      </w:r>
      <w:r>
        <w:t>who</w:t>
      </w:r>
      <w:r>
        <w:rPr>
          <w:spacing w:val="-5"/>
        </w:rPr>
        <w:t xml:space="preserve"> </w:t>
      </w:r>
      <w:r>
        <w:t>were 50 years or</w:t>
      </w:r>
      <w:r>
        <w:rPr>
          <w:spacing w:val="-7"/>
        </w:rPr>
        <w:t xml:space="preserve"> </w:t>
      </w:r>
      <w:r>
        <w:t>older</w:t>
      </w:r>
      <w:r>
        <w:rPr>
          <w:spacing w:val="-7"/>
        </w:rPr>
        <w:t xml:space="preserve"> </w:t>
      </w:r>
      <w:r>
        <w:t>with</w:t>
      </w:r>
      <w:r>
        <w:rPr>
          <w:spacing w:val="-2"/>
        </w:rPr>
        <w:t xml:space="preserve"> </w:t>
      </w:r>
      <w:r>
        <w:t>at least one</w:t>
      </w:r>
      <w:r>
        <w:rPr>
          <w:spacing w:val="-4"/>
        </w:rPr>
        <w:t xml:space="preserve"> </w:t>
      </w:r>
      <w:r>
        <w:t>additional</w:t>
      </w:r>
      <w:r>
        <w:rPr>
          <w:spacing w:val="-9"/>
        </w:rPr>
        <w:t xml:space="preserve"> </w:t>
      </w:r>
      <w:r>
        <w:t>cardiovascular risk</w:t>
      </w:r>
      <w:r>
        <w:rPr>
          <w:spacing w:val="-2"/>
        </w:rPr>
        <w:t xml:space="preserve"> </w:t>
      </w:r>
      <w:r>
        <w:t>factor. The</w:t>
      </w:r>
      <w:r>
        <w:rPr>
          <w:spacing w:val="-4"/>
        </w:rPr>
        <w:t xml:space="preserve"> </w:t>
      </w:r>
      <w:r>
        <w:t>incidence</w:t>
      </w:r>
      <w:r>
        <w:rPr>
          <w:spacing w:val="-4"/>
        </w:rPr>
        <w:t xml:space="preserve"> </w:t>
      </w:r>
      <w:r>
        <w:t>rates</w:t>
      </w:r>
      <w:r>
        <w:rPr>
          <w:spacing w:val="-6"/>
        </w:rPr>
        <w:t xml:space="preserve"> </w:t>
      </w:r>
      <w:r>
        <w:t>(IRs)</w:t>
      </w:r>
      <w:r>
        <w:rPr>
          <w:spacing w:val="-7"/>
        </w:rPr>
        <w:t xml:space="preserve"> </w:t>
      </w:r>
      <w:r>
        <w:t>(95% CI)</w:t>
      </w:r>
      <w:r>
        <w:rPr>
          <w:spacing w:val="-11"/>
        </w:rPr>
        <w:t xml:space="preserve"> </w:t>
      </w:r>
      <w:r>
        <w:t>and hazard ratios (HRs) (95% CI) are presented as follows:</w:t>
      </w:r>
    </w:p>
    <w:p w14:paraId="303CF385" w14:textId="77777777" w:rsidR="001825E2" w:rsidRDefault="000839A5" w:rsidP="00CB00A7">
      <w:pPr>
        <w:pStyle w:val="ListParagraph"/>
        <w:numPr>
          <w:ilvl w:val="0"/>
          <w:numId w:val="7"/>
        </w:numPr>
        <w:tabs>
          <w:tab w:val="left" w:pos="635"/>
        </w:tabs>
        <w:spacing w:before="231" w:line="237" w:lineRule="auto"/>
        <w:ind w:right="222" w:hanging="419"/>
        <w:jc w:val="left"/>
        <w:rPr>
          <w:sz w:val="24"/>
        </w:rPr>
      </w:pPr>
      <w:r>
        <w:rPr>
          <w:sz w:val="24"/>
        </w:rPr>
        <w:t>The IRs (95% CI) for all infections for XELJANZ 5 mg twice daily, XELJANZ 10 mg twice daily, all XELJANZ (combines 5 mg twice daily and 10 mg twice</w:t>
      </w:r>
      <w:r>
        <w:rPr>
          <w:spacing w:val="-4"/>
          <w:sz w:val="24"/>
        </w:rPr>
        <w:t xml:space="preserve"> </w:t>
      </w:r>
      <w:r>
        <w:rPr>
          <w:sz w:val="24"/>
        </w:rPr>
        <w:t>daily treatment arms), and</w:t>
      </w:r>
      <w:r>
        <w:rPr>
          <w:spacing w:val="23"/>
          <w:sz w:val="24"/>
        </w:rPr>
        <w:t xml:space="preserve"> </w:t>
      </w:r>
      <w:r>
        <w:rPr>
          <w:sz w:val="24"/>
        </w:rPr>
        <w:t>TNF inhibitor were 41.74 (39.21, 44.39), 48.73 (45.82, 51.77), 45.02 (43.10,</w:t>
      </w:r>
    </w:p>
    <w:p w14:paraId="2D56FD19" w14:textId="77777777" w:rsidR="001825E2" w:rsidRDefault="000839A5" w:rsidP="00CB00A7">
      <w:pPr>
        <w:pStyle w:val="BodyText"/>
        <w:spacing w:before="11" w:line="235" w:lineRule="auto"/>
        <w:ind w:left="635" w:right="221"/>
        <w:jc w:val="left"/>
      </w:pPr>
      <w:r>
        <w:t>47.01), and 34.24</w:t>
      </w:r>
      <w:r>
        <w:rPr>
          <w:spacing w:val="-6"/>
        </w:rPr>
        <w:t xml:space="preserve"> </w:t>
      </w:r>
      <w:r>
        <w:t>(32.07, 36.53) patients</w:t>
      </w:r>
      <w:r>
        <w:rPr>
          <w:spacing w:val="-8"/>
        </w:rPr>
        <w:t xml:space="preserve"> </w:t>
      </w:r>
      <w:r>
        <w:t>with events per 100 patient-years, respectively. Compared with</w:t>
      </w:r>
      <w:r>
        <w:rPr>
          <w:spacing w:val="-3"/>
        </w:rPr>
        <w:t xml:space="preserve"> </w:t>
      </w:r>
      <w:r>
        <w:t>TNF</w:t>
      </w:r>
      <w:r>
        <w:rPr>
          <w:spacing w:val="-2"/>
        </w:rPr>
        <w:t xml:space="preserve"> </w:t>
      </w:r>
      <w:r>
        <w:t>inhibitor,</w:t>
      </w:r>
      <w:r>
        <w:rPr>
          <w:spacing w:val="-3"/>
        </w:rPr>
        <w:t xml:space="preserve"> </w:t>
      </w:r>
      <w:r>
        <w:t>the</w:t>
      </w:r>
      <w:r>
        <w:rPr>
          <w:spacing w:val="-5"/>
        </w:rPr>
        <w:t xml:space="preserve"> </w:t>
      </w:r>
      <w:r>
        <w:t>hazard ratio</w:t>
      </w:r>
      <w:r>
        <w:rPr>
          <w:spacing w:val="-3"/>
        </w:rPr>
        <w:t xml:space="preserve"> </w:t>
      </w:r>
      <w:r>
        <w:t>(HR)</w:t>
      </w:r>
      <w:r>
        <w:rPr>
          <w:spacing w:val="-7"/>
        </w:rPr>
        <w:t xml:space="preserve"> </w:t>
      </w:r>
      <w:r>
        <w:t>(95%</w:t>
      </w:r>
      <w:r>
        <w:rPr>
          <w:spacing w:val="-7"/>
        </w:rPr>
        <w:t xml:space="preserve"> </w:t>
      </w:r>
      <w:r>
        <w:t>CI)</w:t>
      </w:r>
      <w:r>
        <w:rPr>
          <w:spacing w:val="-7"/>
        </w:rPr>
        <w:t xml:space="preserve"> </w:t>
      </w:r>
      <w:r>
        <w:t>for</w:t>
      </w:r>
      <w:r>
        <w:rPr>
          <w:spacing w:val="-7"/>
        </w:rPr>
        <w:t xml:space="preserve"> </w:t>
      </w:r>
      <w:r>
        <w:t>XELJANZ 5</w:t>
      </w:r>
      <w:r>
        <w:rPr>
          <w:spacing w:val="-3"/>
        </w:rPr>
        <w:t xml:space="preserve"> </w:t>
      </w:r>
      <w:r>
        <w:t>mg</w:t>
      </w:r>
      <w:r>
        <w:rPr>
          <w:spacing w:val="-3"/>
        </w:rPr>
        <w:t xml:space="preserve"> </w:t>
      </w:r>
      <w:r>
        <w:t>twice daily,</w:t>
      </w:r>
      <w:r>
        <w:rPr>
          <w:spacing w:val="43"/>
        </w:rPr>
        <w:t xml:space="preserve"> </w:t>
      </w:r>
      <w:r>
        <w:t>XELJANZ</w:t>
      </w:r>
      <w:r>
        <w:rPr>
          <w:spacing w:val="47"/>
        </w:rPr>
        <w:t xml:space="preserve"> </w:t>
      </w:r>
      <w:r>
        <w:t>10</w:t>
      </w:r>
      <w:r>
        <w:rPr>
          <w:spacing w:val="44"/>
        </w:rPr>
        <w:t xml:space="preserve"> </w:t>
      </w:r>
      <w:r>
        <w:t>mg</w:t>
      </w:r>
      <w:r>
        <w:rPr>
          <w:spacing w:val="43"/>
        </w:rPr>
        <w:t xml:space="preserve"> </w:t>
      </w:r>
      <w:r>
        <w:t>twice</w:t>
      </w:r>
      <w:r>
        <w:rPr>
          <w:spacing w:val="42"/>
        </w:rPr>
        <w:t xml:space="preserve"> </w:t>
      </w:r>
      <w:r>
        <w:t>daily,</w:t>
      </w:r>
      <w:r>
        <w:rPr>
          <w:spacing w:val="44"/>
        </w:rPr>
        <w:t xml:space="preserve"> </w:t>
      </w:r>
      <w:r>
        <w:t>and</w:t>
      </w:r>
      <w:r>
        <w:rPr>
          <w:spacing w:val="44"/>
        </w:rPr>
        <w:t xml:space="preserve"> </w:t>
      </w:r>
      <w:r>
        <w:t>all</w:t>
      </w:r>
      <w:r>
        <w:rPr>
          <w:spacing w:val="37"/>
        </w:rPr>
        <w:t xml:space="preserve"> </w:t>
      </w:r>
      <w:r>
        <w:t>XELJANZ</w:t>
      </w:r>
      <w:r>
        <w:rPr>
          <w:spacing w:val="31"/>
        </w:rPr>
        <w:t xml:space="preserve"> </w:t>
      </w:r>
      <w:r>
        <w:t>were</w:t>
      </w:r>
      <w:r>
        <w:rPr>
          <w:spacing w:val="42"/>
        </w:rPr>
        <w:t xml:space="preserve"> </w:t>
      </w:r>
      <w:r>
        <w:t>1.20</w:t>
      </w:r>
      <w:r>
        <w:rPr>
          <w:spacing w:val="44"/>
        </w:rPr>
        <w:t xml:space="preserve"> </w:t>
      </w:r>
      <w:r>
        <w:t>(1.10,</w:t>
      </w:r>
      <w:r>
        <w:rPr>
          <w:spacing w:val="44"/>
        </w:rPr>
        <w:t xml:space="preserve"> </w:t>
      </w:r>
      <w:r>
        <w:t>1.31),</w:t>
      </w:r>
      <w:r>
        <w:rPr>
          <w:spacing w:val="44"/>
        </w:rPr>
        <w:t xml:space="preserve"> </w:t>
      </w:r>
      <w:proofErr w:type="gramStart"/>
      <w:r>
        <w:rPr>
          <w:spacing w:val="-4"/>
        </w:rPr>
        <w:t>1.36</w:t>
      </w:r>
      <w:proofErr w:type="gramEnd"/>
    </w:p>
    <w:p w14:paraId="7D38825E" w14:textId="77777777" w:rsidR="001825E2" w:rsidRDefault="000839A5" w:rsidP="00CB00A7">
      <w:pPr>
        <w:pStyle w:val="BodyText"/>
        <w:spacing w:before="9"/>
        <w:ind w:left="635"/>
        <w:jc w:val="left"/>
      </w:pPr>
      <w:r>
        <w:t>(1.24,</w:t>
      </w:r>
      <w:r>
        <w:rPr>
          <w:spacing w:val="-4"/>
        </w:rPr>
        <w:t xml:space="preserve"> </w:t>
      </w:r>
      <w:r>
        <w:t>1.49),</w:t>
      </w:r>
      <w:r>
        <w:rPr>
          <w:spacing w:val="11"/>
        </w:rPr>
        <w:t xml:space="preserve"> </w:t>
      </w:r>
      <w:r>
        <w:t>and</w:t>
      </w:r>
      <w:r>
        <w:rPr>
          <w:spacing w:val="-4"/>
        </w:rPr>
        <w:t xml:space="preserve"> </w:t>
      </w:r>
      <w:r>
        <w:t>1.28</w:t>
      </w:r>
      <w:r>
        <w:rPr>
          <w:spacing w:val="-4"/>
        </w:rPr>
        <w:t xml:space="preserve"> </w:t>
      </w:r>
      <w:r>
        <w:t>(1.18,</w:t>
      </w:r>
      <w:r>
        <w:rPr>
          <w:spacing w:val="-3"/>
        </w:rPr>
        <w:t xml:space="preserve"> </w:t>
      </w:r>
      <w:r>
        <w:t>1.38),</w:t>
      </w:r>
      <w:r>
        <w:rPr>
          <w:spacing w:val="11"/>
        </w:rPr>
        <w:t xml:space="preserve"> </w:t>
      </w:r>
      <w:r>
        <w:rPr>
          <w:spacing w:val="-2"/>
        </w:rPr>
        <w:t>respectively.</w:t>
      </w:r>
    </w:p>
    <w:p w14:paraId="7BEE4BA0" w14:textId="77777777" w:rsidR="001825E2" w:rsidRDefault="000839A5" w:rsidP="00CB00A7">
      <w:pPr>
        <w:spacing w:before="234"/>
        <w:ind w:left="220"/>
        <w:rPr>
          <w:i/>
          <w:sz w:val="24"/>
        </w:rPr>
      </w:pPr>
      <w:r>
        <w:rPr>
          <w:i/>
          <w:sz w:val="24"/>
          <w:u w:val="single"/>
        </w:rPr>
        <w:t xml:space="preserve">Psoriatic </w:t>
      </w:r>
      <w:r>
        <w:rPr>
          <w:i/>
          <w:spacing w:val="-2"/>
          <w:sz w:val="24"/>
          <w:u w:val="single"/>
        </w:rPr>
        <w:t>Arthritis</w:t>
      </w:r>
    </w:p>
    <w:p w14:paraId="7FD84683" w14:textId="77777777" w:rsidR="001825E2" w:rsidRDefault="000839A5" w:rsidP="00CB00A7">
      <w:pPr>
        <w:pStyle w:val="BodyText"/>
        <w:spacing w:before="134" w:line="235" w:lineRule="auto"/>
        <w:ind w:left="220" w:right="218" w:hanging="1"/>
        <w:jc w:val="left"/>
      </w:pPr>
      <w:r>
        <w:t>In the controlled Phase 3 studies of up to 6-month and up to 12-month, the frequency of infections</w:t>
      </w:r>
      <w:r>
        <w:rPr>
          <w:spacing w:val="-7"/>
        </w:rPr>
        <w:t xml:space="preserve"> </w:t>
      </w:r>
      <w:r>
        <w:t>in</w:t>
      </w:r>
      <w:r>
        <w:rPr>
          <w:spacing w:val="-1"/>
        </w:rPr>
        <w:t xml:space="preserve"> </w:t>
      </w:r>
      <w:r>
        <w:t>the</w:t>
      </w:r>
      <w:r>
        <w:rPr>
          <w:spacing w:val="-3"/>
        </w:rPr>
        <w:t xml:space="preserve"> </w:t>
      </w:r>
      <w:r>
        <w:t>XELJANZ</w:t>
      </w:r>
      <w:r>
        <w:rPr>
          <w:spacing w:val="2"/>
        </w:rPr>
        <w:t xml:space="preserve"> </w:t>
      </w:r>
      <w:r>
        <w:t>5</w:t>
      </w:r>
      <w:r>
        <w:rPr>
          <w:spacing w:val="-1"/>
        </w:rPr>
        <w:t xml:space="preserve"> </w:t>
      </w:r>
      <w:r>
        <w:t>mg</w:t>
      </w:r>
      <w:r>
        <w:rPr>
          <w:spacing w:val="-1"/>
        </w:rPr>
        <w:t xml:space="preserve"> </w:t>
      </w:r>
      <w:r>
        <w:t>twice</w:t>
      </w:r>
      <w:r>
        <w:rPr>
          <w:spacing w:val="-3"/>
        </w:rPr>
        <w:t xml:space="preserve"> </w:t>
      </w:r>
      <w:r>
        <w:t>daily</w:t>
      </w:r>
      <w:r>
        <w:rPr>
          <w:spacing w:val="-1"/>
        </w:rPr>
        <w:t xml:space="preserve"> </w:t>
      </w:r>
      <w:r>
        <w:t>(238</w:t>
      </w:r>
      <w:r>
        <w:rPr>
          <w:spacing w:val="-1"/>
        </w:rPr>
        <w:t xml:space="preserve"> </w:t>
      </w:r>
      <w:r>
        <w:t>patients)</w:t>
      </w:r>
      <w:r>
        <w:rPr>
          <w:spacing w:val="-6"/>
        </w:rPr>
        <w:t xml:space="preserve"> </w:t>
      </w:r>
      <w:r>
        <w:t>and</w:t>
      </w:r>
      <w:r>
        <w:rPr>
          <w:spacing w:val="14"/>
        </w:rPr>
        <w:t xml:space="preserve"> </w:t>
      </w:r>
      <w:r>
        <w:t>XELJANZ</w:t>
      </w:r>
      <w:r>
        <w:rPr>
          <w:spacing w:val="1"/>
        </w:rPr>
        <w:t xml:space="preserve"> </w:t>
      </w:r>
      <w:r>
        <w:t>10</w:t>
      </w:r>
      <w:r>
        <w:rPr>
          <w:spacing w:val="-1"/>
        </w:rPr>
        <w:t xml:space="preserve"> </w:t>
      </w:r>
      <w:r>
        <w:t>mg</w:t>
      </w:r>
      <w:r>
        <w:rPr>
          <w:spacing w:val="-1"/>
        </w:rPr>
        <w:t xml:space="preserve"> </w:t>
      </w:r>
      <w:r>
        <w:t>twice</w:t>
      </w:r>
      <w:r>
        <w:rPr>
          <w:spacing w:val="-2"/>
        </w:rPr>
        <w:t xml:space="preserve"> daily</w:t>
      </w:r>
    </w:p>
    <w:p w14:paraId="27160681" w14:textId="77777777" w:rsidR="001825E2" w:rsidRDefault="001825E2" w:rsidP="00CB00A7">
      <w:pPr>
        <w:spacing w:line="235" w:lineRule="auto"/>
        <w:sectPr w:rsidR="001825E2">
          <w:pgSz w:w="11910" w:h="16850"/>
          <w:pgMar w:top="1360" w:right="1220" w:bottom="980" w:left="1220" w:header="0" w:footer="785" w:gutter="0"/>
          <w:cols w:space="720"/>
        </w:sectPr>
      </w:pPr>
    </w:p>
    <w:p w14:paraId="13044088" w14:textId="77777777" w:rsidR="001825E2" w:rsidRDefault="000839A5" w:rsidP="00CB00A7">
      <w:pPr>
        <w:pStyle w:val="BodyText"/>
        <w:spacing w:before="76"/>
        <w:ind w:left="219" w:right="218"/>
        <w:jc w:val="left"/>
      </w:pPr>
      <w:bookmarkStart w:id="45" w:name="Serious_Infections"/>
      <w:bookmarkEnd w:id="45"/>
      <w:r>
        <w:lastRenderedPageBreak/>
        <w:t>(236</w:t>
      </w:r>
      <w:r>
        <w:rPr>
          <w:spacing w:val="-4"/>
        </w:rPr>
        <w:t xml:space="preserve"> </w:t>
      </w:r>
      <w:r>
        <w:t>patients)</w:t>
      </w:r>
      <w:r>
        <w:rPr>
          <w:spacing w:val="-9"/>
        </w:rPr>
        <w:t xml:space="preserve"> </w:t>
      </w:r>
      <w:r>
        <w:t>groups were</w:t>
      </w:r>
      <w:r>
        <w:rPr>
          <w:spacing w:val="-6"/>
        </w:rPr>
        <w:t xml:space="preserve"> </w:t>
      </w:r>
      <w:r>
        <w:t>37.8% and 44.5%,</w:t>
      </w:r>
      <w:r>
        <w:rPr>
          <w:spacing w:val="-4"/>
        </w:rPr>
        <w:t xml:space="preserve"> </w:t>
      </w:r>
      <w:r>
        <w:t>respectively. The</w:t>
      </w:r>
      <w:r>
        <w:rPr>
          <w:spacing w:val="-6"/>
        </w:rPr>
        <w:t xml:space="preserve"> </w:t>
      </w:r>
      <w:r>
        <w:t>frequency</w:t>
      </w:r>
      <w:r>
        <w:rPr>
          <w:spacing w:val="-4"/>
        </w:rPr>
        <w:t xml:space="preserve"> </w:t>
      </w:r>
      <w:r>
        <w:t>of infections</w:t>
      </w:r>
      <w:r>
        <w:rPr>
          <w:spacing w:val="-8"/>
        </w:rPr>
        <w:t xml:space="preserve"> </w:t>
      </w:r>
      <w:r>
        <w:t>in</w:t>
      </w:r>
      <w:r>
        <w:rPr>
          <w:spacing w:val="-4"/>
        </w:rPr>
        <w:t xml:space="preserve"> </w:t>
      </w:r>
      <w:r>
        <w:t>the 3-month</w:t>
      </w:r>
      <w:r>
        <w:rPr>
          <w:spacing w:val="-4"/>
        </w:rPr>
        <w:t xml:space="preserve"> </w:t>
      </w:r>
      <w:r>
        <w:t>placebo-controlled period was</w:t>
      </w:r>
      <w:r>
        <w:rPr>
          <w:spacing w:val="-8"/>
        </w:rPr>
        <w:t xml:space="preserve"> </w:t>
      </w:r>
      <w:r>
        <w:t>23.5%</w:t>
      </w:r>
      <w:r>
        <w:rPr>
          <w:spacing w:val="-9"/>
        </w:rPr>
        <w:t xml:space="preserve"> </w:t>
      </w:r>
      <w:r>
        <w:t>for</w:t>
      </w:r>
      <w:r>
        <w:rPr>
          <w:spacing w:val="-9"/>
        </w:rPr>
        <w:t xml:space="preserve"> </w:t>
      </w:r>
      <w:r>
        <w:t>XELJANZ</w:t>
      </w:r>
      <w:r>
        <w:rPr>
          <w:spacing w:val="-2"/>
        </w:rPr>
        <w:t xml:space="preserve"> </w:t>
      </w:r>
      <w:r>
        <w:t>5</w:t>
      </w:r>
      <w:r>
        <w:rPr>
          <w:spacing w:val="-4"/>
        </w:rPr>
        <w:t xml:space="preserve"> </w:t>
      </w:r>
      <w:r>
        <w:t>mg</w:t>
      </w:r>
      <w:r>
        <w:rPr>
          <w:spacing w:val="-4"/>
        </w:rPr>
        <w:t xml:space="preserve"> </w:t>
      </w:r>
      <w:r>
        <w:t>twice</w:t>
      </w:r>
      <w:r>
        <w:rPr>
          <w:spacing w:val="-6"/>
        </w:rPr>
        <w:t xml:space="preserve"> </w:t>
      </w:r>
      <w:r>
        <w:t>daily</w:t>
      </w:r>
      <w:r>
        <w:rPr>
          <w:spacing w:val="-4"/>
        </w:rPr>
        <w:t xml:space="preserve"> </w:t>
      </w:r>
      <w:r>
        <w:t>(238</w:t>
      </w:r>
      <w:r>
        <w:rPr>
          <w:spacing w:val="-4"/>
        </w:rPr>
        <w:t xml:space="preserve"> </w:t>
      </w:r>
      <w:r>
        <w:t>patients), 28.8%</w:t>
      </w:r>
      <w:r>
        <w:rPr>
          <w:spacing w:val="39"/>
        </w:rPr>
        <w:t xml:space="preserve"> </w:t>
      </w:r>
      <w:r>
        <w:t>for</w:t>
      </w:r>
      <w:r>
        <w:rPr>
          <w:spacing w:val="39"/>
        </w:rPr>
        <w:t xml:space="preserve"> </w:t>
      </w:r>
      <w:r>
        <w:t>XELJANZ</w:t>
      </w:r>
      <w:r>
        <w:rPr>
          <w:spacing w:val="40"/>
        </w:rPr>
        <w:t xml:space="preserve"> </w:t>
      </w:r>
      <w:r>
        <w:t>10</w:t>
      </w:r>
      <w:r>
        <w:rPr>
          <w:spacing w:val="40"/>
        </w:rPr>
        <w:t xml:space="preserve"> </w:t>
      </w:r>
      <w:r>
        <w:t>mg</w:t>
      </w:r>
      <w:r>
        <w:rPr>
          <w:spacing w:val="40"/>
        </w:rPr>
        <w:t xml:space="preserve"> </w:t>
      </w:r>
      <w:r>
        <w:t>twice daily</w:t>
      </w:r>
      <w:r>
        <w:rPr>
          <w:spacing w:val="40"/>
        </w:rPr>
        <w:t xml:space="preserve"> </w:t>
      </w:r>
      <w:r>
        <w:t>(236</w:t>
      </w:r>
      <w:r>
        <w:rPr>
          <w:spacing w:val="40"/>
        </w:rPr>
        <w:t xml:space="preserve"> </w:t>
      </w:r>
      <w:r>
        <w:t>patients)</w:t>
      </w:r>
      <w:r>
        <w:rPr>
          <w:spacing w:val="40"/>
        </w:rPr>
        <w:t xml:space="preserve"> </w:t>
      </w:r>
      <w:r>
        <w:t>and</w:t>
      </w:r>
      <w:r>
        <w:rPr>
          <w:spacing w:val="40"/>
        </w:rPr>
        <w:t xml:space="preserve"> </w:t>
      </w:r>
      <w:r>
        <w:t>15.7%</w:t>
      </w:r>
      <w:r>
        <w:rPr>
          <w:spacing w:val="39"/>
        </w:rPr>
        <w:t xml:space="preserve"> </w:t>
      </w:r>
      <w:r>
        <w:t>in</w:t>
      </w:r>
      <w:r>
        <w:rPr>
          <w:spacing w:val="40"/>
        </w:rPr>
        <w:t xml:space="preserve"> </w:t>
      </w:r>
      <w:r>
        <w:t>the</w:t>
      </w:r>
      <w:r>
        <w:rPr>
          <w:spacing w:val="40"/>
        </w:rPr>
        <w:t xml:space="preserve"> </w:t>
      </w:r>
      <w:r>
        <w:t>placebo</w:t>
      </w:r>
      <w:r>
        <w:rPr>
          <w:spacing w:val="40"/>
        </w:rPr>
        <w:t xml:space="preserve"> </w:t>
      </w:r>
      <w:r>
        <w:t>group (236 patients).</w:t>
      </w:r>
    </w:p>
    <w:p w14:paraId="252C67B1" w14:textId="77777777" w:rsidR="001825E2" w:rsidRDefault="000839A5" w:rsidP="00CB00A7">
      <w:pPr>
        <w:pStyle w:val="BodyText"/>
        <w:spacing w:before="246"/>
        <w:ind w:left="217" w:right="217" w:firstLine="1"/>
        <w:jc w:val="left"/>
      </w:pPr>
      <w:r>
        <w:t xml:space="preserve">The </w:t>
      </w:r>
      <w:proofErr w:type="gramStart"/>
      <w:r>
        <w:t>most commonly reported</w:t>
      </w:r>
      <w:proofErr w:type="gramEnd"/>
      <w:r>
        <w:t xml:space="preserve"> infections in the 3-month placebo-controlled period were nasopharyngitis (5.9% and 5.5% in the 5</w:t>
      </w:r>
      <w:r>
        <w:rPr>
          <w:spacing w:val="-3"/>
        </w:rPr>
        <w:t xml:space="preserve"> </w:t>
      </w:r>
      <w:r>
        <w:t>mg twice</w:t>
      </w:r>
      <w:r>
        <w:rPr>
          <w:spacing w:val="-5"/>
        </w:rPr>
        <w:t xml:space="preserve"> </w:t>
      </w:r>
      <w:r>
        <w:t>daily and 10 mg twice daily</w:t>
      </w:r>
      <w:r>
        <w:rPr>
          <w:spacing w:val="-3"/>
        </w:rPr>
        <w:t xml:space="preserve"> </w:t>
      </w:r>
      <w:r>
        <w:t>dose groups, respectively) and upper respiratory tract infections (5.0% and 4.7% in the 5 mg twice daily and 10 mg twice</w:t>
      </w:r>
      <w:r>
        <w:rPr>
          <w:spacing w:val="-4"/>
        </w:rPr>
        <w:t xml:space="preserve"> </w:t>
      </w:r>
      <w:r>
        <w:t>daily dose groups, respectively).</w:t>
      </w:r>
    </w:p>
    <w:p w14:paraId="3392B350" w14:textId="77777777" w:rsidR="001825E2" w:rsidRDefault="000839A5" w:rsidP="00CB00A7">
      <w:pPr>
        <w:pStyle w:val="BodyText"/>
        <w:spacing w:before="231" w:line="247" w:lineRule="auto"/>
        <w:ind w:left="217" w:right="230"/>
        <w:jc w:val="left"/>
      </w:pPr>
      <w:r>
        <w:t>The overall rate of infections with XELJANZ in the long-term safety population for</w:t>
      </w:r>
      <w:r>
        <w:rPr>
          <w:spacing w:val="40"/>
        </w:rPr>
        <w:t xml:space="preserve"> </w:t>
      </w:r>
      <w:r>
        <w:t>combined doses was 52.3 patients</w:t>
      </w:r>
      <w:r>
        <w:rPr>
          <w:spacing w:val="-7"/>
        </w:rPr>
        <w:t xml:space="preserve"> </w:t>
      </w:r>
      <w:r>
        <w:t>with events per 100 patient-years.</w:t>
      </w:r>
    </w:p>
    <w:p w14:paraId="1DF5DEE1" w14:textId="77777777" w:rsidR="001825E2" w:rsidRDefault="000839A5" w:rsidP="00CB00A7">
      <w:pPr>
        <w:spacing w:before="226"/>
        <w:ind w:left="220"/>
        <w:rPr>
          <w:i/>
          <w:sz w:val="24"/>
        </w:rPr>
      </w:pPr>
      <w:r>
        <w:rPr>
          <w:i/>
          <w:sz w:val="24"/>
          <w:u w:val="single"/>
        </w:rPr>
        <w:t>Ankylosing</w:t>
      </w:r>
      <w:r>
        <w:rPr>
          <w:i/>
          <w:spacing w:val="-4"/>
          <w:sz w:val="24"/>
          <w:u w:val="single"/>
        </w:rPr>
        <w:t xml:space="preserve"> </w:t>
      </w:r>
      <w:r>
        <w:rPr>
          <w:i/>
          <w:spacing w:val="-2"/>
          <w:sz w:val="24"/>
          <w:u w:val="single"/>
        </w:rPr>
        <w:t>Spondylitis</w:t>
      </w:r>
    </w:p>
    <w:p w14:paraId="7C7416E8" w14:textId="77777777" w:rsidR="001825E2" w:rsidRDefault="000839A5" w:rsidP="00CB00A7">
      <w:pPr>
        <w:pStyle w:val="BodyText"/>
        <w:spacing w:before="114" w:line="242" w:lineRule="auto"/>
        <w:ind w:left="219" w:right="204"/>
        <w:jc w:val="left"/>
      </w:pPr>
      <w:r>
        <w:t>In the combined</w:t>
      </w:r>
      <w:r>
        <w:rPr>
          <w:spacing w:val="29"/>
        </w:rPr>
        <w:t xml:space="preserve"> </w:t>
      </w:r>
      <w:r>
        <w:t>Phase 2 and</w:t>
      </w:r>
      <w:r>
        <w:rPr>
          <w:spacing w:val="29"/>
        </w:rPr>
        <w:t xml:space="preserve"> </w:t>
      </w:r>
      <w:r>
        <w:t>Phase 3 clinical trials, during the placebo-controlled</w:t>
      </w:r>
      <w:r>
        <w:rPr>
          <w:spacing w:val="29"/>
        </w:rPr>
        <w:t xml:space="preserve"> </w:t>
      </w:r>
      <w:r>
        <w:t>period</w:t>
      </w:r>
      <w:r>
        <w:rPr>
          <w:spacing w:val="29"/>
        </w:rPr>
        <w:t xml:space="preserve"> </w:t>
      </w:r>
      <w:r>
        <w:t>of up</w:t>
      </w:r>
      <w:r>
        <w:rPr>
          <w:spacing w:val="40"/>
        </w:rPr>
        <w:t xml:space="preserve"> </w:t>
      </w:r>
      <w:r>
        <w:t>to</w:t>
      </w:r>
      <w:r>
        <w:rPr>
          <w:spacing w:val="40"/>
        </w:rPr>
        <w:t xml:space="preserve"> </w:t>
      </w:r>
      <w:r>
        <w:t>16</w:t>
      </w:r>
      <w:r>
        <w:rPr>
          <w:spacing w:val="40"/>
        </w:rPr>
        <w:t xml:space="preserve"> </w:t>
      </w:r>
      <w:r>
        <w:t>weeks,</w:t>
      </w:r>
      <w:r>
        <w:rPr>
          <w:spacing w:val="40"/>
        </w:rPr>
        <w:t xml:space="preserve"> </w:t>
      </w:r>
      <w:r>
        <w:t>the</w:t>
      </w:r>
      <w:r>
        <w:rPr>
          <w:spacing w:val="40"/>
        </w:rPr>
        <w:t xml:space="preserve"> </w:t>
      </w:r>
      <w:r>
        <w:t>frequency</w:t>
      </w:r>
      <w:r>
        <w:rPr>
          <w:spacing w:val="40"/>
        </w:rPr>
        <w:t xml:space="preserve"> </w:t>
      </w:r>
      <w:r>
        <w:t>of</w:t>
      </w:r>
      <w:r>
        <w:rPr>
          <w:spacing w:val="40"/>
        </w:rPr>
        <w:t xml:space="preserve"> </w:t>
      </w:r>
      <w:r>
        <w:t>infections</w:t>
      </w:r>
      <w:r>
        <w:rPr>
          <w:spacing w:val="40"/>
        </w:rPr>
        <w:t xml:space="preserve"> </w:t>
      </w:r>
      <w:r>
        <w:t>in</w:t>
      </w:r>
      <w:r>
        <w:rPr>
          <w:spacing w:val="40"/>
        </w:rPr>
        <w:t xml:space="preserve"> </w:t>
      </w:r>
      <w:r>
        <w:t>the</w:t>
      </w:r>
      <w:r>
        <w:rPr>
          <w:spacing w:val="40"/>
        </w:rPr>
        <w:t xml:space="preserve"> </w:t>
      </w:r>
      <w:r>
        <w:t>XELJANZ</w:t>
      </w:r>
      <w:r>
        <w:rPr>
          <w:spacing w:val="40"/>
        </w:rPr>
        <w:t xml:space="preserve"> </w:t>
      </w:r>
      <w:r>
        <w:t>5</w:t>
      </w:r>
      <w:r>
        <w:rPr>
          <w:spacing w:val="40"/>
        </w:rPr>
        <w:t xml:space="preserve"> </w:t>
      </w:r>
      <w:r>
        <w:t>mg</w:t>
      </w:r>
      <w:r>
        <w:rPr>
          <w:spacing w:val="40"/>
        </w:rPr>
        <w:t xml:space="preserve"> </w:t>
      </w:r>
      <w:r>
        <w:t>twice</w:t>
      </w:r>
      <w:r>
        <w:rPr>
          <w:spacing w:val="40"/>
        </w:rPr>
        <w:t xml:space="preserve"> </w:t>
      </w:r>
      <w:r>
        <w:t>daily</w:t>
      </w:r>
      <w:r>
        <w:rPr>
          <w:spacing w:val="40"/>
        </w:rPr>
        <w:t xml:space="preserve"> </w:t>
      </w:r>
      <w:r>
        <w:t>group (185 patients) was 27.6% and</w:t>
      </w:r>
      <w:r>
        <w:rPr>
          <w:spacing w:val="31"/>
        </w:rPr>
        <w:t xml:space="preserve"> </w:t>
      </w:r>
      <w:r>
        <w:t>the frequency in the placebo group (187 patients) was 23.0%. In the combined Phase 2 and Phase 3 clinical trials, among the 316 patients treated with XELJANZ</w:t>
      </w:r>
      <w:r>
        <w:rPr>
          <w:spacing w:val="-1"/>
        </w:rPr>
        <w:t xml:space="preserve"> </w:t>
      </w:r>
      <w:r>
        <w:t>5</w:t>
      </w:r>
      <w:r>
        <w:rPr>
          <w:spacing w:val="-5"/>
        </w:rPr>
        <w:t xml:space="preserve"> </w:t>
      </w:r>
      <w:r>
        <w:t>mg</w:t>
      </w:r>
      <w:r>
        <w:rPr>
          <w:spacing w:val="32"/>
        </w:rPr>
        <w:t xml:space="preserve"> </w:t>
      </w:r>
      <w:r>
        <w:t>twice</w:t>
      </w:r>
      <w:r>
        <w:rPr>
          <w:spacing w:val="-7"/>
        </w:rPr>
        <w:t xml:space="preserve"> </w:t>
      </w:r>
      <w:r>
        <w:t>daily for up to 48 weeks, the</w:t>
      </w:r>
      <w:r>
        <w:rPr>
          <w:spacing w:val="-7"/>
        </w:rPr>
        <w:t xml:space="preserve"> </w:t>
      </w:r>
      <w:r>
        <w:t>frequency of infections was</w:t>
      </w:r>
      <w:r>
        <w:rPr>
          <w:spacing w:val="-10"/>
        </w:rPr>
        <w:t xml:space="preserve"> </w:t>
      </w:r>
      <w:r>
        <w:t>35.1%.</w:t>
      </w:r>
    </w:p>
    <w:p w14:paraId="0C9FB2D4" w14:textId="77777777" w:rsidR="001825E2" w:rsidRDefault="000839A5" w:rsidP="00CB00A7">
      <w:pPr>
        <w:spacing w:before="227"/>
        <w:ind w:left="220"/>
        <w:rPr>
          <w:i/>
          <w:sz w:val="24"/>
        </w:rPr>
      </w:pPr>
      <w:r>
        <w:rPr>
          <w:i/>
          <w:sz w:val="24"/>
          <w:u w:val="single"/>
        </w:rPr>
        <w:t>Ulcerative</w:t>
      </w:r>
      <w:r>
        <w:rPr>
          <w:i/>
          <w:spacing w:val="1"/>
          <w:sz w:val="24"/>
          <w:u w:val="single"/>
        </w:rPr>
        <w:t xml:space="preserve"> </w:t>
      </w:r>
      <w:r>
        <w:rPr>
          <w:i/>
          <w:spacing w:val="-2"/>
          <w:sz w:val="24"/>
          <w:u w:val="single"/>
        </w:rPr>
        <w:t>Colitis</w:t>
      </w:r>
    </w:p>
    <w:p w14:paraId="659C1BE5" w14:textId="77777777" w:rsidR="001825E2" w:rsidRDefault="000839A5" w:rsidP="00CB00A7">
      <w:pPr>
        <w:pStyle w:val="BodyText"/>
        <w:spacing w:before="129"/>
        <w:ind w:left="218" w:right="203" w:firstLine="1"/>
        <w:jc w:val="left"/>
      </w:pPr>
      <w:r>
        <w:t xml:space="preserve">In the </w:t>
      </w:r>
      <w:proofErr w:type="spellStart"/>
      <w:r>
        <w:t>randomised</w:t>
      </w:r>
      <w:proofErr w:type="spellEnd"/>
      <w:r>
        <w:t xml:space="preserve"> 8-week Phase</w:t>
      </w:r>
      <w:r>
        <w:rPr>
          <w:spacing w:val="-2"/>
        </w:rPr>
        <w:t xml:space="preserve"> </w:t>
      </w:r>
      <w:r>
        <w:t>2/3 induction studies, the proportions of patients with infections were 21.1% (198 patients) in</w:t>
      </w:r>
      <w:r>
        <w:rPr>
          <w:spacing w:val="-4"/>
        </w:rPr>
        <w:t xml:space="preserve"> </w:t>
      </w:r>
      <w:r>
        <w:t>the XELJANZ 10</w:t>
      </w:r>
      <w:r>
        <w:rPr>
          <w:spacing w:val="-4"/>
        </w:rPr>
        <w:t xml:space="preserve"> </w:t>
      </w:r>
      <w:r>
        <w:t>mg twice</w:t>
      </w:r>
      <w:r>
        <w:rPr>
          <w:spacing w:val="-6"/>
        </w:rPr>
        <w:t xml:space="preserve"> </w:t>
      </w:r>
      <w:r>
        <w:t>daily group compared to 15.2% (43</w:t>
      </w:r>
      <w:r>
        <w:rPr>
          <w:spacing w:val="-3"/>
        </w:rPr>
        <w:t xml:space="preserve"> </w:t>
      </w:r>
      <w:r>
        <w:t xml:space="preserve">patients) in the placebo group. In the </w:t>
      </w:r>
      <w:proofErr w:type="spellStart"/>
      <w:r>
        <w:t>randomised</w:t>
      </w:r>
      <w:proofErr w:type="spellEnd"/>
      <w:r>
        <w:t xml:space="preserve"> 52-week Phase</w:t>
      </w:r>
      <w:r>
        <w:rPr>
          <w:spacing w:val="-5"/>
        </w:rPr>
        <w:t xml:space="preserve"> </w:t>
      </w:r>
      <w:r>
        <w:t>3 maintenance study, the proportion of patients with infections were 35.9% (71 patients) in the 5 mg twice daily</w:t>
      </w:r>
      <w:r>
        <w:rPr>
          <w:spacing w:val="40"/>
        </w:rPr>
        <w:t xml:space="preserve"> </w:t>
      </w:r>
      <w:r>
        <w:t>and</w:t>
      </w:r>
      <w:r>
        <w:rPr>
          <w:spacing w:val="40"/>
        </w:rPr>
        <w:t xml:space="preserve"> </w:t>
      </w:r>
      <w:r>
        <w:t>39.8% (78</w:t>
      </w:r>
      <w:r>
        <w:rPr>
          <w:spacing w:val="-3"/>
        </w:rPr>
        <w:t xml:space="preserve"> </w:t>
      </w:r>
      <w:r>
        <w:t>patients) in the</w:t>
      </w:r>
      <w:r>
        <w:rPr>
          <w:spacing w:val="40"/>
        </w:rPr>
        <w:t xml:space="preserve"> </w:t>
      </w:r>
      <w:r>
        <w:t>10</w:t>
      </w:r>
      <w:r>
        <w:rPr>
          <w:spacing w:val="-3"/>
        </w:rPr>
        <w:t xml:space="preserve"> </w:t>
      </w:r>
      <w:r>
        <w:t>mg</w:t>
      </w:r>
      <w:r>
        <w:rPr>
          <w:spacing w:val="40"/>
        </w:rPr>
        <w:t xml:space="preserve"> </w:t>
      </w:r>
      <w:r>
        <w:t>twice</w:t>
      </w:r>
      <w:r>
        <w:rPr>
          <w:spacing w:val="40"/>
        </w:rPr>
        <w:t xml:space="preserve"> </w:t>
      </w:r>
      <w:r>
        <w:t>daily</w:t>
      </w:r>
      <w:r>
        <w:rPr>
          <w:spacing w:val="40"/>
        </w:rPr>
        <w:t xml:space="preserve"> </w:t>
      </w:r>
      <w:r>
        <w:t>XELJANZ groups,</w:t>
      </w:r>
      <w:r>
        <w:rPr>
          <w:spacing w:val="40"/>
        </w:rPr>
        <w:t xml:space="preserve"> </w:t>
      </w:r>
      <w:r>
        <w:t>compared</w:t>
      </w:r>
      <w:r>
        <w:rPr>
          <w:spacing w:val="40"/>
        </w:rPr>
        <w:t xml:space="preserve"> </w:t>
      </w:r>
      <w:r>
        <w:t>to 24.2% (48 patients) in the placebo group.</w:t>
      </w:r>
    </w:p>
    <w:p w14:paraId="30E718D4" w14:textId="77777777" w:rsidR="001825E2" w:rsidRDefault="000839A5" w:rsidP="00CB00A7">
      <w:pPr>
        <w:pStyle w:val="BodyText"/>
        <w:spacing w:before="234"/>
        <w:ind w:left="218" w:right="219"/>
        <w:jc w:val="left"/>
      </w:pPr>
      <w:r>
        <w:t xml:space="preserve">In the entire treatment experience with XELJANZ, the </w:t>
      </w:r>
      <w:proofErr w:type="gramStart"/>
      <w:r>
        <w:t>most commonly reported</w:t>
      </w:r>
      <w:proofErr w:type="gramEnd"/>
      <w:r>
        <w:t xml:space="preserve"> infection</w:t>
      </w:r>
      <w:r>
        <w:rPr>
          <w:spacing w:val="40"/>
        </w:rPr>
        <w:t xml:space="preserve"> </w:t>
      </w:r>
      <w:r>
        <w:t>was nasopharyngitis, occurring in 18.2% of patients (211 patients). In the entire treatment experience with XELJANZ, the overall incidence rate of infections was 60.3 events per 100 patient-years (involving 49.4% of patients; total 572 patients).</w:t>
      </w:r>
    </w:p>
    <w:p w14:paraId="2CB0416D" w14:textId="77777777" w:rsidR="001825E2" w:rsidRDefault="000839A5" w:rsidP="00CB00A7">
      <w:pPr>
        <w:spacing w:before="246"/>
        <w:ind w:left="220"/>
        <w:rPr>
          <w:i/>
          <w:sz w:val="24"/>
        </w:rPr>
      </w:pPr>
      <w:r>
        <w:rPr>
          <w:i/>
          <w:sz w:val="24"/>
          <w:u w:val="single"/>
        </w:rPr>
        <w:t>Juvenile</w:t>
      </w:r>
      <w:r>
        <w:rPr>
          <w:i/>
          <w:spacing w:val="-8"/>
          <w:sz w:val="24"/>
          <w:u w:val="single"/>
        </w:rPr>
        <w:t xml:space="preserve"> </w:t>
      </w:r>
      <w:r>
        <w:rPr>
          <w:i/>
          <w:sz w:val="24"/>
          <w:u w:val="single"/>
        </w:rPr>
        <w:t>Idiopathic</w:t>
      </w:r>
      <w:r>
        <w:rPr>
          <w:i/>
          <w:spacing w:val="3"/>
          <w:sz w:val="24"/>
          <w:u w:val="single"/>
        </w:rPr>
        <w:t xml:space="preserve"> </w:t>
      </w:r>
      <w:r>
        <w:rPr>
          <w:i/>
          <w:spacing w:val="-2"/>
          <w:sz w:val="24"/>
          <w:u w:val="single"/>
        </w:rPr>
        <w:t>Arthritis</w:t>
      </w:r>
    </w:p>
    <w:p w14:paraId="00CAC639" w14:textId="77777777" w:rsidR="001825E2" w:rsidRDefault="000839A5" w:rsidP="00CB00A7">
      <w:pPr>
        <w:pStyle w:val="BodyText"/>
        <w:spacing w:before="114"/>
        <w:ind w:left="218" w:right="212" w:firstLine="1"/>
        <w:jc w:val="left"/>
      </w:pPr>
      <w:r>
        <w:t xml:space="preserve">In the double-blind portion of the pivotal Phase 3 Study </w:t>
      </w:r>
      <w:proofErr w:type="spellStart"/>
      <w:r>
        <w:t>pcJIA</w:t>
      </w:r>
      <w:proofErr w:type="spellEnd"/>
      <w:r>
        <w:t xml:space="preserve">-I, infection was the </w:t>
      </w:r>
      <w:proofErr w:type="gramStart"/>
      <w:r>
        <w:t>most commonly reported</w:t>
      </w:r>
      <w:proofErr w:type="gramEnd"/>
      <w:r>
        <w:t xml:space="preserve"> adverse reaction with 44.3% of patients treated with tofacitinib as compared with</w:t>
      </w:r>
      <w:r>
        <w:rPr>
          <w:spacing w:val="-2"/>
        </w:rPr>
        <w:t xml:space="preserve"> </w:t>
      </w:r>
      <w:r>
        <w:t>30.6%</w:t>
      </w:r>
      <w:r>
        <w:rPr>
          <w:spacing w:val="-7"/>
        </w:rPr>
        <w:t xml:space="preserve"> </w:t>
      </w:r>
      <w:r>
        <w:t>of patients</w:t>
      </w:r>
      <w:r>
        <w:rPr>
          <w:spacing w:val="-6"/>
        </w:rPr>
        <w:t xml:space="preserve"> </w:t>
      </w:r>
      <w:r>
        <w:t>on</w:t>
      </w:r>
      <w:r>
        <w:rPr>
          <w:spacing w:val="-2"/>
        </w:rPr>
        <w:t xml:space="preserve"> </w:t>
      </w:r>
      <w:r>
        <w:t>placebo. The infections</w:t>
      </w:r>
      <w:r>
        <w:rPr>
          <w:spacing w:val="-6"/>
        </w:rPr>
        <w:t xml:space="preserve"> </w:t>
      </w:r>
      <w:r>
        <w:t>were</w:t>
      </w:r>
      <w:r>
        <w:rPr>
          <w:spacing w:val="-4"/>
        </w:rPr>
        <w:t xml:space="preserve"> </w:t>
      </w:r>
      <w:r>
        <w:t>generally</w:t>
      </w:r>
      <w:r>
        <w:rPr>
          <w:spacing w:val="-2"/>
        </w:rPr>
        <w:t xml:space="preserve"> </w:t>
      </w:r>
      <w:r>
        <w:t>mild to</w:t>
      </w:r>
      <w:r>
        <w:rPr>
          <w:spacing w:val="-2"/>
        </w:rPr>
        <w:t xml:space="preserve"> </w:t>
      </w:r>
      <w:r>
        <w:t>moderate in severity.</w:t>
      </w:r>
    </w:p>
    <w:p w14:paraId="7E232117" w14:textId="77777777" w:rsidR="001825E2" w:rsidRDefault="000839A5" w:rsidP="00CB00A7">
      <w:pPr>
        <w:pStyle w:val="Heading4"/>
        <w:spacing w:before="246"/>
        <w:ind w:left="218"/>
        <w:jc w:val="left"/>
      </w:pPr>
      <w:r>
        <w:t xml:space="preserve">Serious </w:t>
      </w:r>
      <w:r>
        <w:rPr>
          <w:spacing w:val="-2"/>
        </w:rPr>
        <w:t>Infections</w:t>
      </w:r>
    </w:p>
    <w:p w14:paraId="24B96BE4" w14:textId="77777777" w:rsidR="001825E2" w:rsidRDefault="000839A5" w:rsidP="00CB00A7">
      <w:pPr>
        <w:spacing w:before="114"/>
        <w:ind w:left="220"/>
        <w:rPr>
          <w:i/>
          <w:sz w:val="24"/>
        </w:rPr>
      </w:pPr>
      <w:r>
        <w:rPr>
          <w:i/>
          <w:sz w:val="24"/>
          <w:u w:val="single"/>
        </w:rPr>
        <w:t>Rheumatoid</w:t>
      </w:r>
      <w:r>
        <w:rPr>
          <w:i/>
          <w:spacing w:val="-7"/>
          <w:sz w:val="24"/>
          <w:u w:val="single"/>
        </w:rPr>
        <w:t xml:space="preserve"> </w:t>
      </w:r>
      <w:r>
        <w:rPr>
          <w:i/>
          <w:spacing w:val="-2"/>
          <w:sz w:val="24"/>
          <w:u w:val="single"/>
        </w:rPr>
        <w:t>Arthritis</w:t>
      </w:r>
    </w:p>
    <w:p w14:paraId="786CC47E" w14:textId="77777777" w:rsidR="001825E2" w:rsidRDefault="000839A5" w:rsidP="00CB00A7">
      <w:pPr>
        <w:pStyle w:val="BodyText"/>
        <w:spacing w:before="129"/>
        <w:ind w:left="218" w:right="202" w:firstLine="1"/>
        <w:jc w:val="left"/>
      </w:pPr>
      <w:r>
        <w:t>In</w:t>
      </w:r>
      <w:r>
        <w:rPr>
          <w:spacing w:val="-2"/>
        </w:rPr>
        <w:t xml:space="preserve"> </w:t>
      </w:r>
      <w:r>
        <w:t>the</w:t>
      </w:r>
      <w:r>
        <w:rPr>
          <w:spacing w:val="-4"/>
        </w:rPr>
        <w:t xml:space="preserve"> </w:t>
      </w:r>
      <w:r>
        <w:t>controlled portion</w:t>
      </w:r>
      <w:r>
        <w:rPr>
          <w:spacing w:val="-2"/>
        </w:rPr>
        <w:t xml:space="preserve"> </w:t>
      </w:r>
      <w:r>
        <w:t>(0-3 months)</w:t>
      </w:r>
      <w:r>
        <w:rPr>
          <w:spacing w:val="-7"/>
        </w:rPr>
        <w:t xml:space="preserve"> </w:t>
      </w:r>
      <w:r>
        <w:t>of the</w:t>
      </w:r>
      <w:r>
        <w:rPr>
          <w:spacing w:val="-4"/>
        </w:rPr>
        <w:t xml:space="preserve"> </w:t>
      </w:r>
      <w:r>
        <w:t>phase</w:t>
      </w:r>
      <w:r>
        <w:rPr>
          <w:spacing w:val="-4"/>
        </w:rPr>
        <w:t xml:space="preserve"> </w:t>
      </w:r>
      <w:r>
        <w:t>3 monotherapy studies</w:t>
      </w:r>
      <w:r>
        <w:rPr>
          <w:spacing w:val="-6"/>
        </w:rPr>
        <w:t xml:space="preserve"> </w:t>
      </w:r>
      <w:r>
        <w:t>(I and VI),</w:t>
      </w:r>
      <w:r>
        <w:rPr>
          <w:spacing w:val="-2"/>
        </w:rPr>
        <w:t xml:space="preserve"> </w:t>
      </w:r>
      <w:r>
        <w:t>the</w:t>
      </w:r>
      <w:r>
        <w:rPr>
          <w:spacing w:val="-4"/>
        </w:rPr>
        <w:t xml:space="preserve"> </w:t>
      </w:r>
      <w:r>
        <w:t>rate of serious infections in the 5</w:t>
      </w:r>
      <w:r>
        <w:rPr>
          <w:spacing w:val="-4"/>
        </w:rPr>
        <w:t xml:space="preserve"> </w:t>
      </w:r>
      <w:r>
        <w:t>mg twice daily XELJANZ monotherapy group was 0.2% (0.7 events per 100 patient-years). In the 10</w:t>
      </w:r>
      <w:r>
        <w:rPr>
          <w:spacing w:val="-2"/>
        </w:rPr>
        <w:t xml:space="preserve"> </w:t>
      </w:r>
      <w:r>
        <w:t>mg twice daily XELJANZ monotherapy group, the rate was 0.3% (1.3 events</w:t>
      </w:r>
      <w:r>
        <w:rPr>
          <w:spacing w:val="-13"/>
        </w:rPr>
        <w:t xml:space="preserve"> </w:t>
      </w:r>
      <w:r>
        <w:t>per 100 patient-years), and the rate was</w:t>
      </w:r>
      <w:r>
        <w:rPr>
          <w:spacing w:val="-13"/>
        </w:rPr>
        <w:t xml:space="preserve"> </w:t>
      </w:r>
      <w:r>
        <w:t>0 for the placebo group.</w:t>
      </w:r>
    </w:p>
    <w:p w14:paraId="7FBB1E97" w14:textId="77777777" w:rsidR="001825E2" w:rsidRDefault="000839A5" w:rsidP="00CB00A7">
      <w:pPr>
        <w:pStyle w:val="BodyText"/>
        <w:spacing w:before="231" w:line="242" w:lineRule="auto"/>
        <w:ind w:left="217" w:right="200"/>
        <w:jc w:val="left"/>
      </w:pPr>
      <w:r>
        <w:t>In the controlled portion (0-3 months) of the phase</w:t>
      </w:r>
      <w:r>
        <w:rPr>
          <w:spacing w:val="-2"/>
        </w:rPr>
        <w:t xml:space="preserve"> </w:t>
      </w:r>
      <w:r>
        <w:t>3 studies II to V with background DMARDs, the rates of serious infections in the 5 mg twice daily and 10 mg twice daily XELJANZ</w:t>
      </w:r>
      <w:r>
        <w:rPr>
          <w:spacing w:val="27"/>
        </w:rPr>
        <w:t xml:space="preserve"> </w:t>
      </w:r>
      <w:r>
        <w:t>plus</w:t>
      </w:r>
      <w:r>
        <w:rPr>
          <w:spacing w:val="22"/>
        </w:rPr>
        <w:t xml:space="preserve"> </w:t>
      </w:r>
      <w:r>
        <w:t>DMARD</w:t>
      </w:r>
      <w:r>
        <w:rPr>
          <w:spacing w:val="18"/>
        </w:rPr>
        <w:t xml:space="preserve"> </w:t>
      </w:r>
      <w:r>
        <w:t>groups</w:t>
      </w:r>
      <w:r>
        <w:rPr>
          <w:spacing w:val="23"/>
        </w:rPr>
        <w:t xml:space="preserve"> </w:t>
      </w:r>
      <w:r>
        <w:t>were</w:t>
      </w:r>
      <w:r>
        <w:rPr>
          <w:spacing w:val="24"/>
        </w:rPr>
        <w:t xml:space="preserve"> </w:t>
      </w:r>
      <w:r>
        <w:t>0.8%</w:t>
      </w:r>
      <w:r>
        <w:rPr>
          <w:spacing w:val="22"/>
        </w:rPr>
        <w:t xml:space="preserve"> </w:t>
      </w:r>
      <w:r>
        <w:t>and</w:t>
      </w:r>
      <w:r>
        <w:rPr>
          <w:spacing w:val="41"/>
        </w:rPr>
        <w:t xml:space="preserve"> </w:t>
      </w:r>
      <w:r>
        <w:t>0.8%</w:t>
      </w:r>
      <w:r>
        <w:rPr>
          <w:spacing w:val="21"/>
        </w:rPr>
        <w:t xml:space="preserve"> </w:t>
      </w:r>
      <w:r>
        <w:t>(4.4</w:t>
      </w:r>
      <w:r>
        <w:rPr>
          <w:spacing w:val="27"/>
        </w:rPr>
        <w:t xml:space="preserve"> </w:t>
      </w:r>
      <w:r>
        <w:t>and</w:t>
      </w:r>
      <w:r>
        <w:rPr>
          <w:spacing w:val="26"/>
        </w:rPr>
        <w:t xml:space="preserve"> </w:t>
      </w:r>
      <w:r>
        <w:t>3.9</w:t>
      </w:r>
      <w:r>
        <w:rPr>
          <w:spacing w:val="26"/>
        </w:rPr>
        <w:t xml:space="preserve"> </w:t>
      </w:r>
      <w:r>
        <w:t>events</w:t>
      </w:r>
      <w:r>
        <w:rPr>
          <w:spacing w:val="9"/>
        </w:rPr>
        <w:t xml:space="preserve"> </w:t>
      </w:r>
      <w:r>
        <w:t>per</w:t>
      </w:r>
      <w:r>
        <w:rPr>
          <w:spacing w:val="21"/>
        </w:rPr>
        <w:t xml:space="preserve"> </w:t>
      </w:r>
      <w:r>
        <w:t>100</w:t>
      </w:r>
      <w:r>
        <w:rPr>
          <w:spacing w:val="27"/>
        </w:rPr>
        <w:t xml:space="preserve"> </w:t>
      </w:r>
      <w:r>
        <w:rPr>
          <w:spacing w:val="-2"/>
        </w:rPr>
        <w:t>patient-</w:t>
      </w:r>
    </w:p>
    <w:p w14:paraId="48917AC5" w14:textId="77777777" w:rsidR="001825E2" w:rsidRDefault="001825E2" w:rsidP="00CB00A7">
      <w:pPr>
        <w:spacing w:line="242" w:lineRule="auto"/>
        <w:sectPr w:rsidR="001825E2">
          <w:pgSz w:w="11910" w:h="16850"/>
          <w:pgMar w:top="1360" w:right="1220" w:bottom="980" w:left="1220" w:header="0" w:footer="785" w:gutter="0"/>
          <w:cols w:space="720"/>
        </w:sectPr>
      </w:pPr>
    </w:p>
    <w:p w14:paraId="101FB169" w14:textId="77777777" w:rsidR="001825E2" w:rsidRDefault="000839A5" w:rsidP="00CB00A7">
      <w:pPr>
        <w:pStyle w:val="BodyText"/>
        <w:spacing w:before="76"/>
        <w:ind w:left="218" w:right="203" w:firstLine="1"/>
        <w:jc w:val="left"/>
      </w:pPr>
      <w:r>
        <w:lastRenderedPageBreak/>
        <w:t>years), respectively, compared to 0.4% (1.5 events per 100 patient-years) in the placebo plus DMARD group. In the controlled portion (0-6 months) of the phase</w:t>
      </w:r>
      <w:r>
        <w:rPr>
          <w:spacing w:val="-4"/>
        </w:rPr>
        <w:t xml:space="preserve"> </w:t>
      </w:r>
      <w:r>
        <w:t>3 studies II to</w:t>
      </w:r>
      <w:r>
        <w:rPr>
          <w:spacing w:val="-2"/>
        </w:rPr>
        <w:t xml:space="preserve"> </w:t>
      </w:r>
      <w:r>
        <w:t>IV with background</w:t>
      </w:r>
      <w:r>
        <w:rPr>
          <w:spacing w:val="40"/>
        </w:rPr>
        <w:t xml:space="preserve"> </w:t>
      </w:r>
      <w:r>
        <w:t>DMARDs, the rates of</w:t>
      </w:r>
      <w:r>
        <w:rPr>
          <w:spacing w:val="40"/>
        </w:rPr>
        <w:t xml:space="preserve"> </w:t>
      </w:r>
      <w:r>
        <w:t>serious infections in the 5</w:t>
      </w:r>
      <w:r>
        <w:rPr>
          <w:spacing w:val="-2"/>
        </w:rPr>
        <w:t xml:space="preserve"> </w:t>
      </w:r>
      <w:r>
        <w:t>mg twice daily and</w:t>
      </w:r>
      <w:r>
        <w:rPr>
          <w:spacing w:val="40"/>
        </w:rPr>
        <w:t xml:space="preserve"> </w:t>
      </w:r>
      <w:r>
        <w:t>10</w:t>
      </w:r>
      <w:r>
        <w:rPr>
          <w:spacing w:val="-2"/>
        </w:rPr>
        <w:t xml:space="preserve"> </w:t>
      </w:r>
      <w:r>
        <w:t>mg twice</w:t>
      </w:r>
      <w:r>
        <w:rPr>
          <w:spacing w:val="-4"/>
        </w:rPr>
        <w:t xml:space="preserve"> </w:t>
      </w:r>
      <w:r>
        <w:t>daily</w:t>
      </w:r>
      <w:r>
        <w:rPr>
          <w:spacing w:val="-2"/>
        </w:rPr>
        <w:t xml:space="preserve"> </w:t>
      </w:r>
      <w:r>
        <w:t>XELJANZ plus</w:t>
      </w:r>
      <w:r>
        <w:rPr>
          <w:spacing w:val="-6"/>
        </w:rPr>
        <w:t xml:space="preserve"> </w:t>
      </w:r>
      <w:r>
        <w:t>DMARD groups</w:t>
      </w:r>
      <w:r>
        <w:rPr>
          <w:spacing w:val="-6"/>
        </w:rPr>
        <w:t xml:space="preserve"> </w:t>
      </w:r>
      <w:r>
        <w:t>were</w:t>
      </w:r>
      <w:r>
        <w:rPr>
          <w:spacing w:val="-4"/>
        </w:rPr>
        <w:t xml:space="preserve"> </w:t>
      </w:r>
      <w:r>
        <w:t>1.8%</w:t>
      </w:r>
      <w:r>
        <w:rPr>
          <w:spacing w:val="-7"/>
        </w:rPr>
        <w:t xml:space="preserve"> </w:t>
      </w:r>
      <w:r>
        <w:t>and 1.4%</w:t>
      </w:r>
      <w:r>
        <w:rPr>
          <w:spacing w:val="-7"/>
        </w:rPr>
        <w:t xml:space="preserve"> </w:t>
      </w:r>
      <w:r>
        <w:t>(4.7</w:t>
      </w:r>
      <w:r>
        <w:rPr>
          <w:spacing w:val="-2"/>
        </w:rPr>
        <w:t xml:space="preserve"> </w:t>
      </w:r>
      <w:r>
        <w:t>and 3.4</w:t>
      </w:r>
      <w:r>
        <w:rPr>
          <w:spacing w:val="-2"/>
        </w:rPr>
        <w:t xml:space="preserve"> </w:t>
      </w:r>
      <w:r>
        <w:t>events</w:t>
      </w:r>
      <w:r>
        <w:rPr>
          <w:spacing w:val="-6"/>
        </w:rPr>
        <w:t xml:space="preserve"> </w:t>
      </w:r>
      <w:r>
        <w:t>per</w:t>
      </w:r>
      <w:r>
        <w:rPr>
          <w:spacing w:val="-7"/>
        </w:rPr>
        <w:t xml:space="preserve"> </w:t>
      </w:r>
      <w:r>
        <w:t>100 patient-years), respectively, compared to 0.5% (2.1 events per 100 patient-years) in the placebo plus DMARD group.</w:t>
      </w:r>
    </w:p>
    <w:p w14:paraId="2AE5B474" w14:textId="77777777" w:rsidR="001825E2" w:rsidRDefault="000839A5" w:rsidP="00CB00A7">
      <w:pPr>
        <w:pStyle w:val="BodyText"/>
        <w:spacing w:before="234" w:line="247" w:lineRule="auto"/>
        <w:ind w:left="218" w:right="228" w:hanging="1"/>
        <w:jc w:val="left"/>
      </w:pPr>
      <w:r>
        <w:t>In the long-term safety all exposure population comprised of phase 2 and phase 3 clinical trials</w:t>
      </w:r>
      <w:r>
        <w:rPr>
          <w:spacing w:val="38"/>
        </w:rPr>
        <w:t xml:space="preserve"> </w:t>
      </w:r>
      <w:r>
        <w:t>and</w:t>
      </w:r>
      <w:r>
        <w:rPr>
          <w:spacing w:val="44"/>
        </w:rPr>
        <w:t xml:space="preserve"> </w:t>
      </w:r>
      <w:r>
        <w:t>long-term</w:t>
      </w:r>
      <w:r>
        <w:rPr>
          <w:spacing w:val="37"/>
        </w:rPr>
        <w:t xml:space="preserve"> </w:t>
      </w:r>
      <w:r>
        <w:t>extension</w:t>
      </w:r>
      <w:r>
        <w:rPr>
          <w:spacing w:val="44"/>
        </w:rPr>
        <w:t xml:space="preserve"> </w:t>
      </w:r>
      <w:r>
        <w:t>studies,</w:t>
      </w:r>
      <w:r>
        <w:rPr>
          <w:spacing w:val="29"/>
        </w:rPr>
        <w:t xml:space="preserve"> </w:t>
      </w:r>
      <w:r>
        <w:t>the</w:t>
      </w:r>
      <w:r>
        <w:rPr>
          <w:spacing w:val="28"/>
        </w:rPr>
        <w:t xml:space="preserve"> </w:t>
      </w:r>
      <w:r>
        <w:t>overall</w:t>
      </w:r>
      <w:r>
        <w:rPr>
          <w:spacing w:val="22"/>
        </w:rPr>
        <w:t xml:space="preserve"> </w:t>
      </w:r>
      <w:r>
        <w:t>rates</w:t>
      </w:r>
      <w:r>
        <w:rPr>
          <w:spacing w:val="25"/>
        </w:rPr>
        <w:t xml:space="preserve"> </w:t>
      </w:r>
      <w:r>
        <w:t>of</w:t>
      </w:r>
      <w:r>
        <w:rPr>
          <w:spacing w:val="40"/>
        </w:rPr>
        <w:t xml:space="preserve"> </w:t>
      </w:r>
      <w:r>
        <w:t>serious</w:t>
      </w:r>
      <w:r>
        <w:rPr>
          <w:spacing w:val="40"/>
        </w:rPr>
        <w:t xml:space="preserve"> </w:t>
      </w:r>
      <w:r>
        <w:t>infections</w:t>
      </w:r>
      <w:r>
        <w:rPr>
          <w:spacing w:val="25"/>
        </w:rPr>
        <w:t xml:space="preserve"> </w:t>
      </w:r>
      <w:r>
        <w:t>were</w:t>
      </w:r>
      <w:r>
        <w:rPr>
          <w:spacing w:val="27"/>
        </w:rPr>
        <w:t xml:space="preserve"> </w:t>
      </w:r>
      <w:r>
        <w:t>2.7</w:t>
      </w:r>
      <w:r>
        <w:rPr>
          <w:spacing w:val="45"/>
        </w:rPr>
        <w:t xml:space="preserve"> </w:t>
      </w:r>
      <w:r>
        <w:rPr>
          <w:spacing w:val="-5"/>
        </w:rPr>
        <w:t>and</w:t>
      </w:r>
    </w:p>
    <w:p w14:paraId="49489F88" w14:textId="77777777" w:rsidR="001825E2" w:rsidRDefault="000839A5" w:rsidP="00CB00A7">
      <w:pPr>
        <w:pStyle w:val="BodyText"/>
        <w:spacing w:line="242" w:lineRule="auto"/>
        <w:ind w:left="216" w:right="219" w:firstLine="1"/>
        <w:jc w:val="left"/>
      </w:pPr>
      <w:r>
        <w:t>3.4</w:t>
      </w:r>
      <w:r>
        <w:rPr>
          <w:spacing w:val="-1"/>
        </w:rPr>
        <w:t xml:space="preserve"> </w:t>
      </w:r>
      <w:r>
        <w:t>events per 100</w:t>
      </w:r>
      <w:r>
        <w:rPr>
          <w:spacing w:val="-1"/>
        </w:rPr>
        <w:t xml:space="preserve"> </w:t>
      </w:r>
      <w:r>
        <w:t>patient-years in the 5</w:t>
      </w:r>
      <w:r>
        <w:rPr>
          <w:spacing w:val="-1"/>
        </w:rPr>
        <w:t xml:space="preserve"> </w:t>
      </w:r>
      <w:r>
        <w:t>mg and 10</w:t>
      </w:r>
      <w:r>
        <w:rPr>
          <w:spacing w:val="-1"/>
        </w:rPr>
        <w:t xml:space="preserve"> </w:t>
      </w:r>
      <w:r>
        <w:t xml:space="preserve">mg twice daily XELJANZ groups, respectively. The most common serious infections reported with XELJANZ included pneumonia, herpes zoster, urinary tract infection, cellulitis, </w:t>
      </w:r>
      <w:proofErr w:type="gramStart"/>
      <w:r>
        <w:t>gastroenteritis</w:t>
      </w:r>
      <w:proofErr w:type="gramEnd"/>
      <w:r>
        <w:t xml:space="preserve"> and diverticulitis. Cases of opportunistic infections have been reported (see Section 4.4 Special Warnings and Precautions </w:t>
      </w:r>
      <w:proofErr w:type="gramStart"/>
      <w:r>
        <w:t>For</w:t>
      </w:r>
      <w:proofErr w:type="gramEnd"/>
      <w:r>
        <w:t xml:space="preserve"> Use).</w:t>
      </w:r>
    </w:p>
    <w:p w14:paraId="021CF2A3" w14:textId="77777777" w:rsidR="001825E2" w:rsidRDefault="000839A5" w:rsidP="00CB00A7">
      <w:pPr>
        <w:pStyle w:val="BodyText"/>
        <w:spacing w:before="213" w:line="242" w:lineRule="auto"/>
        <w:ind w:left="216" w:right="219" w:hanging="1"/>
        <w:jc w:val="left"/>
      </w:pPr>
      <w:r>
        <w:t>Serious infections were also reported</w:t>
      </w:r>
      <w:r>
        <w:rPr>
          <w:spacing w:val="27"/>
        </w:rPr>
        <w:t xml:space="preserve"> </w:t>
      </w:r>
      <w:r>
        <w:t xml:space="preserve">in a </w:t>
      </w:r>
      <w:proofErr w:type="gramStart"/>
      <w:r>
        <w:t xml:space="preserve">large </w:t>
      </w:r>
      <w:proofErr w:type="spellStart"/>
      <w:r>
        <w:t>randomised</w:t>
      </w:r>
      <w:proofErr w:type="spellEnd"/>
      <w:proofErr w:type="gramEnd"/>
      <w:r>
        <w:rPr>
          <w:spacing w:val="27"/>
        </w:rPr>
        <w:t xml:space="preserve"> </w:t>
      </w:r>
      <w:r>
        <w:t>PASS in RA patients who were 50</w:t>
      </w:r>
      <w:r>
        <w:rPr>
          <w:spacing w:val="-1"/>
        </w:rPr>
        <w:t xml:space="preserve"> </w:t>
      </w:r>
      <w:r>
        <w:t>years</w:t>
      </w:r>
      <w:r>
        <w:rPr>
          <w:spacing w:val="-5"/>
        </w:rPr>
        <w:t xml:space="preserve"> </w:t>
      </w:r>
      <w:r>
        <w:t>or</w:t>
      </w:r>
      <w:r>
        <w:rPr>
          <w:spacing w:val="-6"/>
        </w:rPr>
        <w:t xml:space="preserve"> </w:t>
      </w:r>
      <w:r>
        <w:t>older</w:t>
      </w:r>
      <w:r>
        <w:rPr>
          <w:spacing w:val="-6"/>
        </w:rPr>
        <w:t xml:space="preserve"> </w:t>
      </w:r>
      <w:r>
        <w:t>with</w:t>
      </w:r>
      <w:r>
        <w:rPr>
          <w:spacing w:val="-1"/>
        </w:rPr>
        <w:t xml:space="preserve"> </w:t>
      </w:r>
      <w:r>
        <w:t>at least one</w:t>
      </w:r>
      <w:r>
        <w:rPr>
          <w:spacing w:val="-3"/>
        </w:rPr>
        <w:t xml:space="preserve"> </w:t>
      </w:r>
      <w:r>
        <w:t>additional</w:t>
      </w:r>
      <w:r>
        <w:rPr>
          <w:spacing w:val="-8"/>
        </w:rPr>
        <w:t xml:space="preserve"> </w:t>
      </w:r>
      <w:r>
        <w:t>cardiovascular risk</w:t>
      </w:r>
      <w:r>
        <w:rPr>
          <w:spacing w:val="-1"/>
        </w:rPr>
        <w:t xml:space="preserve"> </w:t>
      </w:r>
      <w:r>
        <w:t>factor.</w:t>
      </w:r>
      <w:r>
        <w:rPr>
          <w:spacing w:val="-1"/>
        </w:rPr>
        <w:t xml:space="preserve"> </w:t>
      </w:r>
      <w:r>
        <w:t>The</w:t>
      </w:r>
      <w:r>
        <w:rPr>
          <w:spacing w:val="-3"/>
        </w:rPr>
        <w:t xml:space="preserve"> </w:t>
      </w:r>
      <w:r>
        <w:t>IRs</w:t>
      </w:r>
      <w:r>
        <w:rPr>
          <w:spacing w:val="-5"/>
        </w:rPr>
        <w:t xml:space="preserve"> </w:t>
      </w:r>
      <w:r>
        <w:t>(95%</w:t>
      </w:r>
      <w:r>
        <w:rPr>
          <w:spacing w:val="-6"/>
        </w:rPr>
        <w:t xml:space="preserve"> </w:t>
      </w:r>
      <w:r>
        <w:t>CI)</w:t>
      </w:r>
      <w:r>
        <w:rPr>
          <w:spacing w:val="-6"/>
        </w:rPr>
        <w:t xml:space="preserve"> </w:t>
      </w:r>
      <w:r>
        <w:t>and HRs</w:t>
      </w:r>
      <w:r>
        <w:rPr>
          <w:spacing w:val="-1"/>
        </w:rPr>
        <w:t xml:space="preserve"> </w:t>
      </w:r>
      <w:r>
        <w:t>(95% CI)</w:t>
      </w:r>
      <w:r>
        <w:rPr>
          <w:spacing w:val="-3"/>
        </w:rPr>
        <w:t xml:space="preserve"> </w:t>
      </w:r>
      <w:r>
        <w:t>are presented as follows:</w:t>
      </w:r>
    </w:p>
    <w:p w14:paraId="2B94FC9B" w14:textId="77777777" w:rsidR="001825E2" w:rsidRDefault="000839A5" w:rsidP="00CB00A7">
      <w:pPr>
        <w:pStyle w:val="ListParagraph"/>
        <w:numPr>
          <w:ilvl w:val="0"/>
          <w:numId w:val="7"/>
        </w:numPr>
        <w:tabs>
          <w:tab w:val="left" w:pos="635"/>
        </w:tabs>
        <w:spacing w:before="231" w:line="237" w:lineRule="auto"/>
        <w:ind w:right="203"/>
        <w:jc w:val="left"/>
        <w:rPr>
          <w:sz w:val="24"/>
        </w:rPr>
      </w:pPr>
      <w:r>
        <w:rPr>
          <w:sz w:val="24"/>
        </w:rPr>
        <w:t>The</w:t>
      </w:r>
      <w:r>
        <w:rPr>
          <w:spacing w:val="40"/>
          <w:sz w:val="24"/>
        </w:rPr>
        <w:t xml:space="preserve"> </w:t>
      </w:r>
      <w:r>
        <w:rPr>
          <w:sz w:val="24"/>
        </w:rPr>
        <w:t>IRs</w:t>
      </w:r>
      <w:r>
        <w:rPr>
          <w:spacing w:val="40"/>
          <w:sz w:val="24"/>
        </w:rPr>
        <w:t xml:space="preserve"> </w:t>
      </w:r>
      <w:r>
        <w:rPr>
          <w:sz w:val="24"/>
        </w:rPr>
        <w:t>(95%</w:t>
      </w:r>
      <w:r>
        <w:rPr>
          <w:spacing w:val="39"/>
          <w:sz w:val="24"/>
        </w:rPr>
        <w:t xml:space="preserve"> </w:t>
      </w:r>
      <w:r>
        <w:rPr>
          <w:sz w:val="24"/>
        </w:rPr>
        <w:t>CI)</w:t>
      </w:r>
      <w:r>
        <w:rPr>
          <w:spacing w:val="39"/>
          <w:sz w:val="24"/>
        </w:rPr>
        <w:t xml:space="preserve"> </w:t>
      </w:r>
      <w:r>
        <w:rPr>
          <w:sz w:val="24"/>
        </w:rPr>
        <w:t>for</w:t>
      </w:r>
      <w:r>
        <w:rPr>
          <w:spacing w:val="39"/>
          <w:sz w:val="24"/>
        </w:rPr>
        <w:t xml:space="preserve"> </w:t>
      </w:r>
      <w:r>
        <w:rPr>
          <w:sz w:val="24"/>
        </w:rPr>
        <w:t>serious</w:t>
      </w:r>
      <w:r>
        <w:rPr>
          <w:spacing w:val="40"/>
          <w:sz w:val="24"/>
        </w:rPr>
        <w:t xml:space="preserve"> </w:t>
      </w:r>
      <w:r>
        <w:rPr>
          <w:sz w:val="24"/>
        </w:rPr>
        <w:t>infections</w:t>
      </w:r>
      <w:r>
        <w:rPr>
          <w:spacing w:val="25"/>
          <w:sz w:val="24"/>
        </w:rPr>
        <w:t xml:space="preserve"> </w:t>
      </w:r>
      <w:r>
        <w:rPr>
          <w:sz w:val="24"/>
        </w:rPr>
        <w:t>for</w:t>
      </w:r>
      <w:r>
        <w:rPr>
          <w:spacing w:val="39"/>
          <w:sz w:val="24"/>
        </w:rPr>
        <w:t xml:space="preserve"> </w:t>
      </w:r>
      <w:r>
        <w:rPr>
          <w:sz w:val="24"/>
        </w:rPr>
        <w:t>XELJANZ</w:t>
      </w:r>
      <w:r>
        <w:rPr>
          <w:spacing w:val="32"/>
          <w:sz w:val="24"/>
        </w:rPr>
        <w:t xml:space="preserve"> </w:t>
      </w:r>
      <w:r>
        <w:rPr>
          <w:sz w:val="24"/>
        </w:rPr>
        <w:t>5</w:t>
      </w:r>
      <w:r>
        <w:rPr>
          <w:spacing w:val="40"/>
          <w:sz w:val="24"/>
        </w:rPr>
        <w:t xml:space="preserve"> </w:t>
      </w:r>
      <w:r>
        <w:rPr>
          <w:sz w:val="24"/>
        </w:rPr>
        <w:t>mg</w:t>
      </w:r>
      <w:r>
        <w:rPr>
          <w:spacing w:val="29"/>
          <w:sz w:val="24"/>
        </w:rPr>
        <w:t xml:space="preserve"> </w:t>
      </w:r>
      <w:r>
        <w:rPr>
          <w:sz w:val="24"/>
        </w:rPr>
        <w:t>twice</w:t>
      </w:r>
      <w:r>
        <w:rPr>
          <w:spacing w:val="27"/>
          <w:sz w:val="24"/>
        </w:rPr>
        <w:t xml:space="preserve"> </w:t>
      </w:r>
      <w:r>
        <w:rPr>
          <w:sz w:val="24"/>
        </w:rPr>
        <w:t>daily,</w:t>
      </w:r>
      <w:r>
        <w:rPr>
          <w:spacing w:val="40"/>
          <w:sz w:val="24"/>
        </w:rPr>
        <w:t xml:space="preserve"> </w:t>
      </w:r>
      <w:r>
        <w:rPr>
          <w:sz w:val="24"/>
        </w:rPr>
        <w:t>XELJANZ 10 mg twice daily, all XELJANZ (combines 5 mg twice daily and 10 mg twice daily treatment</w:t>
      </w:r>
      <w:r>
        <w:rPr>
          <w:spacing w:val="80"/>
          <w:w w:val="150"/>
          <w:sz w:val="24"/>
        </w:rPr>
        <w:t xml:space="preserve"> </w:t>
      </w:r>
      <w:r>
        <w:rPr>
          <w:sz w:val="24"/>
        </w:rPr>
        <w:t>arms),</w:t>
      </w:r>
      <w:r>
        <w:rPr>
          <w:spacing w:val="80"/>
          <w:w w:val="150"/>
          <w:sz w:val="24"/>
        </w:rPr>
        <w:t xml:space="preserve"> </w:t>
      </w:r>
      <w:r>
        <w:rPr>
          <w:sz w:val="24"/>
        </w:rPr>
        <w:t>and</w:t>
      </w:r>
      <w:r>
        <w:rPr>
          <w:spacing w:val="80"/>
          <w:w w:val="150"/>
          <w:sz w:val="24"/>
        </w:rPr>
        <w:t xml:space="preserve"> </w:t>
      </w:r>
      <w:r>
        <w:rPr>
          <w:sz w:val="24"/>
        </w:rPr>
        <w:t>TNF</w:t>
      </w:r>
      <w:r>
        <w:rPr>
          <w:spacing w:val="80"/>
          <w:w w:val="150"/>
          <w:sz w:val="24"/>
        </w:rPr>
        <w:t xml:space="preserve"> </w:t>
      </w:r>
      <w:r>
        <w:rPr>
          <w:sz w:val="24"/>
        </w:rPr>
        <w:t>inhibitor</w:t>
      </w:r>
      <w:r>
        <w:rPr>
          <w:spacing w:val="77"/>
          <w:w w:val="150"/>
          <w:sz w:val="24"/>
        </w:rPr>
        <w:t xml:space="preserve"> </w:t>
      </w:r>
      <w:r>
        <w:rPr>
          <w:sz w:val="24"/>
        </w:rPr>
        <w:t>were</w:t>
      </w:r>
      <w:r>
        <w:rPr>
          <w:spacing w:val="80"/>
          <w:w w:val="150"/>
          <w:sz w:val="24"/>
        </w:rPr>
        <w:t xml:space="preserve"> </w:t>
      </w:r>
      <w:r>
        <w:rPr>
          <w:sz w:val="24"/>
        </w:rPr>
        <w:t>2.86</w:t>
      </w:r>
      <w:r>
        <w:rPr>
          <w:spacing w:val="80"/>
          <w:w w:val="150"/>
          <w:sz w:val="24"/>
        </w:rPr>
        <w:t xml:space="preserve"> </w:t>
      </w:r>
      <w:r>
        <w:rPr>
          <w:sz w:val="24"/>
        </w:rPr>
        <w:t>(2.41,</w:t>
      </w:r>
      <w:r>
        <w:rPr>
          <w:spacing w:val="80"/>
          <w:w w:val="150"/>
          <w:sz w:val="24"/>
        </w:rPr>
        <w:t xml:space="preserve"> </w:t>
      </w:r>
      <w:r>
        <w:rPr>
          <w:sz w:val="24"/>
        </w:rPr>
        <w:t>3.37),</w:t>
      </w:r>
      <w:r>
        <w:rPr>
          <w:spacing w:val="80"/>
          <w:w w:val="150"/>
          <w:sz w:val="24"/>
        </w:rPr>
        <w:t xml:space="preserve"> </w:t>
      </w:r>
      <w:r>
        <w:rPr>
          <w:sz w:val="24"/>
        </w:rPr>
        <w:t>3.64</w:t>
      </w:r>
      <w:r>
        <w:rPr>
          <w:spacing w:val="68"/>
          <w:w w:val="150"/>
          <w:sz w:val="24"/>
        </w:rPr>
        <w:t xml:space="preserve"> </w:t>
      </w:r>
      <w:r>
        <w:rPr>
          <w:sz w:val="24"/>
        </w:rPr>
        <w:t>(3.11,</w:t>
      </w:r>
      <w:r>
        <w:rPr>
          <w:spacing w:val="80"/>
          <w:w w:val="150"/>
          <w:sz w:val="24"/>
        </w:rPr>
        <w:t xml:space="preserve"> </w:t>
      </w:r>
      <w:r>
        <w:rPr>
          <w:sz w:val="24"/>
        </w:rPr>
        <w:t>4.23),</w:t>
      </w:r>
    </w:p>
    <w:p w14:paraId="0DAB924B" w14:textId="77777777" w:rsidR="001825E2" w:rsidRDefault="000839A5" w:rsidP="00CB00A7">
      <w:pPr>
        <w:pStyle w:val="BodyText"/>
        <w:spacing w:before="11" w:line="235" w:lineRule="auto"/>
        <w:ind w:left="635" w:right="217"/>
        <w:jc w:val="left"/>
      </w:pPr>
      <w:r>
        <w:t>3.24</w:t>
      </w:r>
      <w:r>
        <w:rPr>
          <w:spacing w:val="-3"/>
        </w:rPr>
        <w:t xml:space="preserve"> </w:t>
      </w:r>
      <w:r>
        <w:t>(2.89,</w:t>
      </w:r>
      <w:r>
        <w:rPr>
          <w:spacing w:val="-3"/>
        </w:rPr>
        <w:t xml:space="preserve"> </w:t>
      </w:r>
      <w:r>
        <w:t>3.62), and 2.44</w:t>
      </w:r>
      <w:r>
        <w:rPr>
          <w:spacing w:val="-3"/>
        </w:rPr>
        <w:t xml:space="preserve"> </w:t>
      </w:r>
      <w:r>
        <w:t>(2.02, 2.92) patients with events per 100 patient-years, respectively. Compared with TNF inhibitor, the hazard ratio (HR) (95% CI) for XELJANZ</w:t>
      </w:r>
      <w:r>
        <w:rPr>
          <w:spacing w:val="43"/>
        </w:rPr>
        <w:t xml:space="preserve"> </w:t>
      </w:r>
      <w:r>
        <w:t>5</w:t>
      </w:r>
      <w:r>
        <w:rPr>
          <w:spacing w:val="42"/>
        </w:rPr>
        <w:t xml:space="preserve"> </w:t>
      </w:r>
      <w:r>
        <w:t>mg</w:t>
      </w:r>
      <w:r>
        <w:rPr>
          <w:spacing w:val="28"/>
        </w:rPr>
        <w:t xml:space="preserve"> </w:t>
      </w:r>
      <w:r>
        <w:t>twice</w:t>
      </w:r>
      <w:r>
        <w:rPr>
          <w:spacing w:val="26"/>
        </w:rPr>
        <w:t xml:space="preserve"> </w:t>
      </w:r>
      <w:r>
        <w:t>daily,</w:t>
      </w:r>
      <w:r>
        <w:rPr>
          <w:spacing w:val="42"/>
        </w:rPr>
        <w:t xml:space="preserve"> </w:t>
      </w:r>
      <w:r>
        <w:t>XELJANZ</w:t>
      </w:r>
      <w:r>
        <w:rPr>
          <w:spacing w:val="45"/>
        </w:rPr>
        <w:t xml:space="preserve"> </w:t>
      </w:r>
      <w:r>
        <w:t>10</w:t>
      </w:r>
      <w:r>
        <w:rPr>
          <w:spacing w:val="28"/>
        </w:rPr>
        <w:t xml:space="preserve"> </w:t>
      </w:r>
      <w:r>
        <w:t>mg</w:t>
      </w:r>
      <w:r>
        <w:rPr>
          <w:spacing w:val="43"/>
        </w:rPr>
        <w:t xml:space="preserve"> </w:t>
      </w:r>
      <w:r>
        <w:t>twice</w:t>
      </w:r>
      <w:r>
        <w:rPr>
          <w:spacing w:val="40"/>
        </w:rPr>
        <w:t xml:space="preserve"> </w:t>
      </w:r>
      <w:r>
        <w:t>daily,</w:t>
      </w:r>
      <w:r>
        <w:rPr>
          <w:spacing w:val="42"/>
        </w:rPr>
        <w:t xml:space="preserve"> </w:t>
      </w:r>
      <w:r>
        <w:t>and</w:t>
      </w:r>
      <w:r>
        <w:rPr>
          <w:spacing w:val="57"/>
        </w:rPr>
        <w:t xml:space="preserve"> </w:t>
      </w:r>
      <w:r>
        <w:t>all</w:t>
      </w:r>
      <w:r>
        <w:rPr>
          <w:spacing w:val="36"/>
        </w:rPr>
        <w:t xml:space="preserve"> </w:t>
      </w:r>
      <w:r>
        <w:t>XELJANZ</w:t>
      </w:r>
      <w:r>
        <w:rPr>
          <w:spacing w:val="31"/>
        </w:rPr>
        <w:t xml:space="preserve"> </w:t>
      </w:r>
      <w:proofErr w:type="gramStart"/>
      <w:r>
        <w:rPr>
          <w:spacing w:val="-4"/>
        </w:rPr>
        <w:t>were</w:t>
      </w:r>
      <w:proofErr w:type="gramEnd"/>
    </w:p>
    <w:p w14:paraId="0A17F269" w14:textId="77777777" w:rsidR="001825E2" w:rsidRDefault="000839A5" w:rsidP="00CB00A7">
      <w:pPr>
        <w:pStyle w:val="BodyText"/>
        <w:spacing w:before="10"/>
        <w:ind w:left="634"/>
        <w:jc w:val="left"/>
      </w:pPr>
      <w:r>
        <w:t>1.17</w:t>
      </w:r>
      <w:r>
        <w:rPr>
          <w:spacing w:val="-6"/>
        </w:rPr>
        <w:t xml:space="preserve"> </w:t>
      </w:r>
      <w:r>
        <w:t>(0.92,</w:t>
      </w:r>
      <w:r>
        <w:rPr>
          <w:spacing w:val="-3"/>
        </w:rPr>
        <w:t xml:space="preserve"> </w:t>
      </w:r>
      <w:r>
        <w:t>1.50),</w:t>
      </w:r>
      <w:r>
        <w:rPr>
          <w:spacing w:val="12"/>
        </w:rPr>
        <w:t xml:space="preserve"> </w:t>
      </w:r>
      <w:r>
        <w:t>1.48</w:t>
      </w:r>
      <w:r>
        <w:rPr>
          <w:spacing w:val="-3"/>
        </w:rPr>
        <w:t xml:space="preserve"> </w:t>
      </w:r>
      <w:r>
        <w:t>(1.17,</w:t>
      </w:r>
      <w:r>
        <w:rPr>
          <w:spacing w:val="-3"/>
        </w:rPr>
        <w:t xml:space="preserve"> </w:t>
      </w:r>
      <w:r>
        <w:t>1.87),</w:t>
      </w:r>
      <w:r>
        <w:rPr>
          <w:spacing w:val="-4"/>
        </w:rPr>
        <w:t xml:space="preserve"> </w:t>
      </w:r>
      <w:r>
        <w:t>and</w:t>
      </w:r>
      <w:r>
        <w:rPr>
          <w:spacing w:val="12"/>
        </w:rPr>
        <w:t xml:space="preserve"> </w:t>
      </w:r>
      <w:r>
        <w:t>1.32</w:t>
      </w:r>
      <w:r>
        <w:rPr>
          <w:spacing w:val="-3"/>
        </w:rPr>
        <w:t xml:space="preserve"> </w:t>
      </w:r>
      <w:r>
        <w:t>(1.07,</w:t>
      </w:r>
      <w:r>
        <w:rPr>
          <w:spacing w:val="-3"/>
        </w:rPr>
        <w:t xml:space="preserve"> </w:t>
      </w:r>
      <w:r>
        <w:t>1.63),</w:t>
      </w:r>
      <w:r>
        <w:rPr>
          <w:spacing w:val="-3"/>
        </w:rPr>
        <w:t xml:space="preserve"> </w:t>
      </w:r>
      <w:r>
        <w:rPr>
          <w:spacing w:val="-2"/>
        </w:rPr>
        <w:t>respectively.</w:t>
      </w:r>
    </w:p>
    <w:p w14:paraId="53BB4B3C" w14:textId="77777777" w:rsidR="001825E2" w:rsidRDefault="001825E2" w:rsidP="00CB00A7">
      <w:pPr>
        <w:pStyle w:val="BodyText"/>
        <w:spacing w:before="11"/>
        <w:jc w:val="left"/>
      </w:pPr>
    </w:p>
    <w:p w14:paraId="53421343" w14:textId="77777777" w:rsidR="001825E2" w:rsidRDefault="000839A5" w:rsidP="00CB00A7">
      <w:pPr>
        <w:pStyle w:val="ListParagraph"/>
        <w:numPr>
          <w:ilvl w:val="0"/>
          <w:numId w:val="7"/>
        </w:numPr>
        <w:tabs>
          <w:tab w:val="left" w:pos="634"/>
        </w:tabs>
        <w:spacing w:line="230" w:lineRule="auto"/>
        <w:ind w:left="634" w:right="223"/>
        <w:jc w:val="left"/>
        <w:rPr>
          <w:sz w:val="24"/>
        </w:rPr>
      </w:pPr>
      <w:r>
        <w:rPr>
          <w:sz w:val="24"/>
        </w:rPr>
        <w:t>The IRs (95% CI) for opportunistic infections for XELJANZ 5 mg twice daily, XELJANZ 10</w:t>
      </w:r>
      <w:r>
        <w:rPr>
          <w:spacing w:val="-4"/>
          <w:sz w:val="24"/>
        </w:rPr>
        <w:t xml:space="preserve"> </w:t>
      </w:r>
      <w:r>
        <w:rPr>
          <w:sz w:val="24"/>
        </w:rPr>
        <w:t>mg twice daily, all XELJANZ (combines 5 mg twice daily and</w:t>
      </w:r>
      <w:r>
        <w:rPr>
          <w:spacing w:val="40"/>
          <w:sz w:val="24"/>
        </w:rPr>
        <w:t xml:space="preserve"> </w:t>
      </w:r>
      <w:r>
        <w:rPr>
          <w:sz w:val="24"/>
        </w:rPr>
        <w:t>10 mg twice</w:t>
      </w:r>
      <w:r>
        <w:rPr>
          <w:spacing w:val="-8"/>
          <w:sz w:val="24"/>
        </w:rPr>
        <w:t xml:space="preserve"> </w:t>
      </w:r>
      <w:r>
        <w:rPr>
          <w:sz w:val="24"/>
        </w:rPr>
        <w:t>daily treatment</w:t>
      </w:r>
      <w:r>
        <w:rPr>
          <w:spacing w:val="15"/>
          <w:sz w:val="24"/>
        </w:rPr>
        <w:t xml:space="preserve"> </w:t>
      </w:r>
      <w:r>
        <w:rPr>
          <w:sz w:val="24"/>
        </w:rPr>
        <w:t>arms), and</w:t>
      </w:r>
      <w:r>
        <w:rPr>
          <w:spacing w:val="21"/>
          <w:sz w:val="24"/>
        </w:rPr>
        <w:t xml:space="preserve"> </w:t>
      </w:r>
      <w:r>
        <w:rPr>
          <w:sz w:val="24"/>
        </w:rPr>
        <w:t>TNF inhibitor were 0.76 (0.54, 1.04), 0.91 (0.66, 1.22),</w:t>
      </w:r>
    </w:p>
    <w:p w14:paraId="28E9E2B5" w14:textId="77777777" w:rsidR="001825E2" w:rsidRDefault="000839A5" w:rsidP="00CB00A7">
      <w:pPr>
        <w:pStyle w:val="BodyText"/>
        <w:spacing w:before="11" w:line="242" w:lineRule="auto"/>
        <w:ind w:left="634" w:right="223"/>
        <w:jc w:val="left"/>
      </w:pPr>
      <w:r>
        <w:t>0.84</w:t>
      </w:r>
      <w:r>
        <w:rPr>
          <w:spacing w:val="-3"/>
        </w:rPr>
        <w:t xml:space="preserve"> </w:t>
      </w:r>
      <w:r>
        <w:t>(0.67,</w:t>
      </w:r>
      <w:r>
        <w:rPr>
          <w:spacing w:val="-3"/>
        </w:rPr>
        <w:t xml:space="preserve"> </w:t>
      </w:r>
      <w:r>
        <w:t>1.04), and 0.42</w:t>
      </w:r>
      <w:r>
        <w:rPr>
          <w:spacing w:val="-3"/>
        </w:rPr>
        <w:t xml:space="preserve"> </w:t>
      </w:r>
      <w:r>
        <w:t>(0.26, 0.64) patients with events per 100 patient-years, respectively.</w:t>
      </w:r>
      <w:r>
        <w:rPr>
          <w:spacing w:val="40"/>
        </w:rPr>
        <w:t xml:space="preserve"> </w:t>
      </w:r>
      <w:r>
        <w:t>Compared</w:t>
      </w:r>
      <w:r>
        <w:rPr>
          <w:spacing w:val="40"/>
        </w:rPr>
        <w:t xml:space="preserve"> </w:t>
      </w:r>
      <w:r>
        <w:t>with TNF inhibitor, the HRs (95% CI) for XELJANZ 5 mg twice</w:t>
      </w:r>
      <w:r>
        <w:rPr>
          <w:spacing w:val="27"/>
        </w:rPr>
        <w:t xml:space="preserve"> </w:t>
      </w:r>
      <w:r>
        <w:t>daily,</w:t>
      </w:r>
      <w:r>
        <w:rPr>
          <w:spacing w:val="32"/>
        </w:rPr>
        <w:t xml:space="preserve"> </w:t>
      </w:r>
      <w:r>
        <w:t>XELJANZ</w:t>
      </w:r>
      <w:r>
        <w:rPr>
          <w:spacing w:val="35"/>
        </w:rPr>
        <w:t xml:space="preserve"> </w:t>
      </w:r>
      <w:r>
        <w:t>10</w:t>
      </w:r>
      <w:r>
        <w:rPr>
          <w:spacing w:val="32"/>
        </w:rPr>
        <w:t xml:space="preserve"> </w:t>
      </w:r>
      <w:r>
        <w:t>mg</w:t>
      </w:r>
      <w:r>
        <w:rPr>
          <w:spacing w:val="32"/>
        </w:rPr>
        <w:t xml:space="preserve"> </w:t>
      </w:r>
      <w:r>
        <w:t>twice</w:t>
      </w:r>
      <w:r>
        <w:rPr>
          <w:spacing w:val="29"/>
        </w:rPr>
        <w:t xml:space="preserve"> </w:t>
      </w:r>
      <w:r>
        <w:t>daily,</w:t>
      </w:r>
      <w:r>
        <w:rPr>
          <w:spacing w:val="32"/>
        </w:rPr>
        <w:t xml:space="preserve"> </w:t>
      </w:r>
      <w:r>
        <w:t>and</w:t>
      </w:r>
      <w:r>
        <w:rPr>
          <w:spacing w:val="47"/>
        </w:rPr>
        <w:t xml:space="preserve"> </w:t>
      </w:r>
      <w:r>
        <w:t>all</w:t>
      </w:r>
      <w:r>
        <w:rPr>
          <w:spacing w:val="25"/>
        </w:rPr>
        <w:t xml:space="preserve"> </w:t>
      </w:r>
      <w:r>
        <w:t>XELJANZ</w:t>
      </w:r>
      <w:r>
        <w:rPr>
          <w:spacing w:val="35"/>
        </w:rPr>
        <w:t xml:space="preserve"> </w:t>
      </w:r>
      <w:r>
        <w:t>were</w:t>
      </w:r>
      <w:r>
        <w:rPr>
          <w:spacing w:val="30"/>
        </w:rPr>
        <w:t xml:space="preserve"> </w:t>
      </w:r>
      <w:r>
        <w:t>1.82</w:t>
      </w:r>
      <w:r>
        <w:rPr>
          <w:spacing w:val="32"/>
        </w:rPr>
        <w:t xml:space="preserve"> </w:t>
      </w:r>
      <w:r>
        <w:t>(1.07,</w:t>
      </w:r>
      <w:r>
        <w:rPr>
          <w:spacing w:val="32"/>
        </w:rPr>
        <w:t xml:space="preserve"> </w:t>
      </w:r>
      <w:r>
        <w:rPr>
          <w:spacing w:val="-2"/>
        </w:rPr>
        <w:t>3.09),</w:t>
      </w:r>
    </w:p>
    <w:p w14:paraId="2FAB0CC7" w14:textId="77777777" w:rsidR="001825E2" w:rsidRDefault="000839A5" w:rsidP="00CB00A7">
      <w:pPr>
        <w:pStyle w:val="BodyText"/>
        <w:ind w:left="633" w:right="206"/>
        <w:jc w:val="left"/>
      </w:pPr>
      <w:r>
        <w:t>2.17 (1.29, 3.66), and 1.99</w:t>
      </w:r>
      <w:r>
        <w:rPr>
          <w:spacing w:val="-4"/>
        </w:rPr>
        <w:t xml:space="preserve"> </w:t>
      </w:r>
      <w:r>
        <w:t>(1.23,</w:t>
      </w:r>
      <w:r>
        <w:rPr>
          <w:spacing w:val="-4"/>
        </w:rPr>
        <w:t xml:space="preserve"> </w:t>
      </w:r>
      <w:r>
        <w:t xml:space="preserve">3.22), respectively. </w:t>
      </w:r>
      <w:proofErr w:type="gramStart"/>
      <w:r>
        <w:t>The majority of</w:t>
      </w:r>
      <w:proofErr w:type="gramEnd"/>
      <w:r>
        <w:t xml:space="preserve"> the opportunistic infections</w:t>
      </w:r>
      <w:r>
        <w:rPr>
          <w:spacing w:val="-2"/>
        </w:rPr>
        <w:t xml:space="preserve"> </w:t>
      </w:r>
      <w:r>
        <w:t>in the XELJANZ treatment arms</w:t>
      </w:r>
      <w:r>
        <w:rPr>
          <w:spacing w:val="-2"/>
        </w:rPr>
        <w:t xml:space="preserve"> </w:t>
      </w:r>
      <w:r>
        <w:t>were opportunistic herpes</w:t>
      </w:r>
      <w:r>
        <w:rPr>
          <w:spacing w:val="-2"/>
        </w:rPr>
        <w:t xml:space="preserve"> </w:t>
      </w:r>
      <w:r>
        <w:t>zoster</w:t>
      </w:r>
      <w:r>
        <w:rPr>
          <w:spacing w:val="-3"/>
        </w:rPr>
        <w:t xml:space="preserve"> </w:t>
      </w:r>
      <w:r>
        <w:t>infections; a limited number of events with tuberculosis were also reported. Excluding opportunistic herpes zoster infections and tuberculosis, the IRs (95% CI) for all other opportunistic infections for</w:t>
      </w:r>
      <w:r>
        <w:rPr>
          <w:spacing w:val="-6"/>
        </w:rPr>
        <w:t xml:space="preserve"> </w:t>
      </w:r>
      <w:r>
        <w:t>XELJANZ 5</w:t>
      </w:r>
      <w:r>
        <w:rPr>
          <w:spacing w:val="-1"/>
        </w:rPr>
        <w:t xml:space="preserve"> </w:t>
      </w:r>
      <w:r>
        <w:t>mg twice daily, XELJANZ 10</w:t>
      </w:r>
      <w:r>
        <w:rPr>
          <w:spacing w:val="-1"/>
        </w:rPr>
        <w:t xml:space="preserve"> </w:t>
      </w:r>
      <w:r>
        <w:t>mg</w:t>
      </w:r>
      <w:r>
        <w:rPr>
          <w:spacing w:val="-1"/>
        </w:rPr>
        <w:t xml:space="preserve"> </w:t>
      </w:r>
      <w:r>
        <w:t>twice</w:t>
      </w:r>
      <w:r>
        <w:rPr>
          <w:spacing w:val="-3"/>
        </w:rPr>
        <w:t xml:space="preserve"> </w:t>
      </w:r>
      <w:r>
        <w:t>daily, all XELJANZ (combines 5 mg twice daily and 10 mg twice daily treatment arms), and TNF inhibitor were</w:t>
      </w:r>
      <w:r>
        <w:rPr>
          <w:spacing w:val="7"/>
        </w:rPr>
        <w:t xml:space="preserve"> </w:t>
      </w:r>
      <w:r>
        <w:t>0.08</w:t>
      </w:r>
      <w:r>
        <w:rPr>
          <w:spacing w:val="11"/>
        </w:rPr>
        <w:t xml:space="preserve"> </w:t>
      </w:r>
      <w:r>
        <w:t>(0.02,</w:t>
      </w:r>
      <w:r>
        <w:rPr>
          <w:spacing w:val="11"/>
        </w:rPr>
        <w:t xml:space="preserve"> </w:t>
      </w:r>
      <w:r>
        <w:t>0.20)</w:t>
      </w:r>
      <w:r>
        <w:t>,</w:t>
      </w:r>
      <w:r>
        <w:rPr>
          <w:spacing w:val="11"/>
        </w:rPr>
        <w:t xml:space="preserve"> </w:t>
      </w:r>
      <w:r>
        <w:t>0.14</w:t>
      </w:r>
      <w:r>
        <w:rPr>
          <w:spacing w:val="11"/>
        </w:rPr>
        <w:t xml:space="preserve"> </w:t>
      </w:r>
      <w:r>
        <w:t>(0.06,</w:t>
      </w:r>
      <w:r>
        <w:rPr>
          <w:spacing w:val="11"/>
        </w:rPr>
        <w:t xml:space="preserve"> </w:t>
      </w:r>
      <w:r>
        <w:t>0.30),</w:t>
      </w:r>
      <w:r>
        <w:rPr>
          <w:spacing w:val="11"/>
        </w:rPr>
        <w:t xml:space="preserve"> </w:t>
      </w:r>
      <w:r>
        <w:t>0.11</w:t>
      </w:r>
      <w:r>
        <w:rPr>
          <w:spacing w:val="-3"/>
        </w:rPr>
        <w:t xml:space="preserve"> </w:t>
      </w:r>
      <w:r>
        <w:t>(0.05,</w:t>
      </w:r>
      <w:r>
        <w:rPr>
          <w:spacing w:val="-3"/>
        </w:rPr>
        <w:t xml:space="preserve"> </w:t>
      </w:r>
      <w:r>
        <w:t>0.20),</w:t>
      </w:r>
      <w:r>
        <w:rPr>
          <w:spacing w:val="11"/>
        </w:rPr>
        <w:t xml:space="preserve"> </w:t>
      </w:r>
      <w:r>
        <w:t>and</w:t>
      </w:r>
      <w:r>
        <w:rPr>
          <w:spacing w:val="11"/>
        </w:rPr>
        <w:t xml:space="preserve"> </w:t>
      </w:r>
      <w:r>
        <w:t>0.06</w:t>
      </w:r>
      <w:r>
        <w:rPr>
          <w:spacing w:val="11"/>
        </w:rPr>
        <w:t xml:space="preserve"> </w:t>
      </w:r>
      <w:r>
        <w:t>(0.01,</w:t>
      </w:r>
      <w:r>
        <w:rPr>
          <w:spacing w:val="11"/>
        </w:rPr>
        <w:t xml:space="preserve"> </w:t>
      </w:r>
      <w:r>
        <w:t>0.17)</w:t>
      </w:r>
      <w:r>
        <w:rPr>
          <w:spacing w:val="7"/>
        </w:rPr>
        <w:t xml:space="preserve"> </w:t>
      </w:r>
      <w:proofErr w:type="gramStart"/>
      <w:r>
        <w:rPr>
          <w:spacing w:val="-2"/>
        </w:rPr>
        <w:t>patients</w:t>
      </w:r>
      <w:proofErr w:type="gramEnd"/>
    </w:p>
    <w:p w14:paraId="5015EBA9" w14:textId="77777777" w:rsidR="001825E2" w:rsidRDefault="000839A5" w:rsidP="00CB00A7">
      <w:pPr>
        <w:pStyle w:val="BodyText"/>
        <w:spacing w:line="242" w:lineRule="auto"/>
        <w:ind w:left="632" w:right="225"/>
        <w:jc w:val="left"/>
      </w:pPr>
      <w:r>
        <w:t>with</w:t>
      </w:r>
      <w:r>
        <w:rPr>
          <w:spacing w:val="-2"/>
        </w:rPr>
        <w:t xml:space="preserve"> </w:t>
      </w:r>
      <w:r>
        <w:t>events</w:t>
      </w:r>
      <w:r>
        <w:rPr>
          <w:spacing w:val="-6"/>
        </w:rPr>
        <w:t xml:space="preserve"> </w:t>
      </w:r>
      <w:r>
        <w:t>per</w:t>
      </w:r>
      <w:r>
        <w:rPr>
          <w:spacing w:val="-7"/>
        </w:rPr>
        <w:t xml:space="preserve"> </w:t>
      </w:r>
      <w:r>
        <w:t>100</w:t>
      </w:r>
      <w:r>
        <w:rPr>
          <w:spacing w:val="-2"/>
        </w:rPr>
        <w:t xml:space="preserve"> </w:t>
      </w:r>
      <w:r>
        <w:t>patient-years,</w:t>
      </w:r>
      <w:r>
        <w:rPr>
          <w:spacing w:val="-2"/>
        </w:rPr>
        <w:t xml:space="preserve"> </w:t>
      </w:r>
      <w:r>
        <w:t>respectively.</w:t>
      </w:r>
      <w:r>
        <w:rPr>
          <w:spacing w:val="-2"/>
        </w:rPr>
        <w:t xml:space="preserve"> </w:t>
      </w:r>
      <w:r>
        <w:t>Compared with</w:t>
      </w:r>
      <w:r>
        <w:rPr>
          <w:spacing w:val="-2"/>
        </w:rPr>
        <w:t xml:space="preserve"> </w:t>
      </w:r>
      <w:r>
        <w:t>TNF</w:t>
      </w:r>
      <w:r>
        <w:rPr>
          <w:spacing w:val="-1"/>
        </w:rPr>
        <w:t xml:space="preserve"> </w:t>
      </w:r>
      <w:r>
        <w:t>inhibitor,</w:t>
      </w:r>
      <w:r>
        <w:rPr>
          <w:spacing w:val="-2"/>
        </w:rPr>
        <w:t xml:space="preserve"> </w:t>
      </w:r>
      <w:r>
        <w:t>the</w:t>
      </w:r>
      <w:r>
        <w:rPr>
          <w:spacing w:val="-4"/>
        </w:rPr>
        <w:t xml:space="preserve"> </w:t>
      </w:r>
      <w:r>
        <w:t>hazard ratio (HR) (95%</w:t>
      </w:r>
      <w:r>
        <w:rPr>
          <w:spacing w:val="-3"/>
        </w:rPr>
        <w:t xml:space="preserve"> </w:t>
      </w:r>
      <w:r>
        <w:t>CI)</w:t>
      </w:r>
      <w:r>
        <w:rPr>
          <w:spacing w:val="-3"/>
        </w:rPr>
        <w:t xml:space="preserve"> </w:t>
      </w:r>
      <w:r>
        <w:t>for</w:t>
      </w:r>
      <w:r>
        <w:rPr>
          <w:spacing w:val="-3"/>
        </w:rPr>
        <w:t xml:space="preserve"> </w:t>
      </w:r>
      <w:r>
        <w:t xml:space="preserve">XELJANZ 5 mg twice daily, XELJANZ 10 mg twice daily, and </w:t>
      </w:r>
      <w:proofErr w:type="gramStart"/>
      <w:r>
        <w:t>all</w:t>
      </w:r>
      <w:r>
        <w:rPr>
          <w:spacing w:val="25"/>
        </w:rPr>
        <w:t xml:space="preserve">  </w:t>
      </w:r>
      <w:r>
        <w:t>XELJANZ</w:t>
      </w:r>
      <w:proofErr w:type="gramEnd"/>
      <w:r>
        <w:rPr>
          <w:spacing w:val="77"/>
          <w:w w:val="150"/>
        </w:rPr>
        <w:t xml:space="preserve"> </w:t>
      </w:r>
      <w:r>
        <w:t>were</w:t>
      </w:r>
      <w:r>
        <w:rPr>
          <w:spacing w:val="28"/>
        </w:rPr>
        <w:t xml:space="preserve">  </w:t>
      </w:r>
      <w:r>
        <w:t>1.30</w:t>
      </w:r>
      <w:r>
        <w:rPr>
          <w:spacing w:val="29"/>
        </w:rPr>
        <w:t xml:space="preserve">  </w:t>
      </w:r>
      <w:r>
        <w:t>(0.29,</w:t>
      </w:r>
      <w:r>
        <w:rPr>
          <w:spacing w:val="30"/>
        </w:rPr>
        <w:t xml:space="preserve">  </w:t>
      </w:r>
      <w:r>
        <w:t>5.82),</w:t>
      </w:r>
      <w:r>
        <w:rPr>
          <w:spacing w:val="29"/>
        </w:rPr>
        <w:t xml:space="preserve">  </w:t>
      </w:r>
      <w:r>
        <w:t>2.40</w:t>
      </w:r>
      <w:r>
        <w:rPr>
          <w:spacing w:val="-1"/>
        </w:rPr>
        <w:t xml:space="preserve"> </w:t>
      </w:r>
      <w:r>
        <w:t>(0.62, 9.29),</w:t>
      </w:r>
      <w:r>
        <w:rPr>
          <w:spacing w:val="29"/>
        </w:rPr>
        <w:t xml:space="preserve">  </w:t>
      </w:r>
      <w:r>
        <w:t>and</w:t>
      </w:r>
      <w:r>
        <w:rPr>
          <w:spacing w:val="37"/>
        </w:rPr>
        <w:t xml:space="preserve">  </w:t>
      </w:r>
      <w:r>
        <w:t>1.84</w:t>
      </w:r>
      <w:r>
        <w:rPr>
          <w:spacing w:val="73"/>
          <w:w w:val="150"/>
        </w:rPr>
        <w:t xml:space="preserve"> </w:t>
      </w:r>
      <w:r>
        <w:t>(0.51,</w:t>
      </w:r>
      <w:r>
        <w:rPr>
          <w:spacing w:val="29"/>
        </w:rPr>
        <w:t xml:space="preserve">  </w:t>
      </w:r>
      <w:r>
        <w:rPr>
          <w:spacing w:val="-2"/>
        </w:rPr>
        <w:t>6.59),</w:t>
      </w:r>
    </w:p>
    <w:p w14:paraId="73FE832A" w14:textId="77777777" w:rsidR="001825E2" w:rsidRDefault="000839A5" w:rsidP="00CB00A7">
      <w:pPr>
        <w:pStyle w:val="BodyText"/>
        <w:spacing w:line="265" w:lineRule="exact"/>
        <w:ind w:left="632"/>
        <w:jc w:val="left"/>
      </w:pPr>
      <w:r>
        <w:rPr>
          <w:spacing w:val="-2"/>
        </w:rPr>
        <w:t>respectively.</w:t>
      </w:r>
    </w:p>
    <w:p w14:paraId="05FADB1F" w14:textId="77777777" w:rsidR="001825E2" w:rsidRDefault="000839A5" w:rsidP="00CB00A7">
      <w:pPr>
        <w:spacing w:before="225"/>
        <w:ind w:left="219"/>
        <w:rPr>
          <w:i/>
          <w:sz w:val="24"/>
        </w:rPr>
      </w:pPr>
      <w:r>
        <w:rPr>
          <w:i/>
          <w:sz w:val="24"/>
        </w:rPr>
        <w:t>Serious</w:t>
      </w:r>
      <w:r>
        <w:rPr>
          <w:i/>
          <w:spacing w:val="-14"/>
          <w:sz w:val="24"/>
        </w:rPr>
        <w:t xml:space="preserve"> </w:t>
      </w:r>
      <w:r>
        <w:rPr>
          <w:i/>
          <w:sz w:val="24"/>
        </w:rPr>
        <w:t>infections</w:t>
      </w:r>
      <w:r>
        <w:rPr>
          <w:i/>
          <w:spacing w:val="5"/>
          <w:sz w:val="24"/>
        </w:rPr>
        <w:t xml:space="preserve"> </w:t>
      </w:r>
      <w:r>
        <w:rPr>
          <w:i/>
          <w:sz w:val="24"/>
        </w:rPr>
        <w:t>from</w:t>
      </w:r>
      <w:r>
        <w:rPr>
          <w:i/>
          <w:spacing w:val="2"/>
          <w:sz w:val="24"/>
        </w:rPr>
        <w:t xml:space="preserve"> </w:t>
      </w:r>
      <w:r>
        <w:rPr>
          <w:i/>
          <w:sz w:val="24"/>
        </w:rPr>
        <w:t>non-interventional</w:t>
      </w:r>
      <w:r>
        <w:rPr>
          <w:i/>
          <w:spacing w:val="14"/>
          <w:sz w:val="24"/>
        </w:rPr>
        <w:t xml:space="preserve"> </w:t>
      </w:r>
      <w:r>
        <w:rPr>
          <w:i/>
          <w:sz w:val="24"/>
        </w:rPr>
        <w:t>post</w:t>
      </w:r>
      <w:r>
        <w:rPr>
          <w:i/>
          <w:spacing w:val="-15"/>
          <w:sz w:val="24"/>
        </w:rPr>
        <w:t xml:space="preserve"> </w:t>
      </w:r>
      <w:r>
        <w:rPr>
          <w:i/>
          <w:sz w:val="24"/>
        </w:rPr>
        <w:t>approval</w:t>
      </w:r>
      <w:r>
        <w:rPr>
          <w:i/>
          <w:spacing w:val="-9"/>
          <w:sz w:val="24"/>
        </w:rPr>
        <w:t xml:space="preserve"> </w:t>
      </w:r>
      <w:r>
        <w:rPr>
          <w:i/>
          <w:sz w:val="24"/>
        </w:rPr>
        <w:t>safety</w:t>
      </w:r>
      <w:r>
        <w:rPr>
          <w:i/>
          <w:spacing w:val="-4"/>
          <w:sz w:val="24"/>
        </w:rPr>
        <w:t xml:space="preserve"> </w:t>
      </w:r>
      <w:r>
        <w:rPr>
          <w:i/>
          <w:spacing w:val="-2"/>
          <w:sz w:val="24"/>
        </w:rPr>
        <w:t>study</w:t>
      </w:r>
    </w:p>
    <w:p w14:paraId="03B4E74B" w14:textId="77777777" w:rsidR="001825E2" w:rsidRDefault="000839A5" w:rsidP="00CB00A7">
      <w:pPr>
        <w:pStyle w:val="BodyText"/>
        <w:spacing w:before="129"/>
        <w:ind w:left="218" w:right="213" w:firstLine="1"/>
        <w:jc w:val="left"/>
      </w:pPr>
      <w:r>
        <w:t>Data from a non-interventional post approval safety study that evaluated XELJANZ and XELJANZ</w:t>
      </w:r>
      <w:r>
        <w:rPr>
          <w:spacing w:val="-1"/>
        </w:rPr>
        <w:t xml:space="preserve"> </w:t>
      </w:r>
      <w:r>
        <w:t>XR in</w:t>
      </w:r>
      <w:r>
        <w:rPr>
          <w:spacing w:val="-4"/>
        </w:rPr>
        <w:t xml:space="preserve"> </w:t>
      </w:r>
      <w:r>
        <w:t>RA patients</w:t>
      </w:r>
      <w:r>
        <w:rPr>
          <w:spacing w:val="-7"/>
        </w:rPr>
        <w:t xml:space="preserve"> </w:t>
      </w:r>
      <w:r>
        <w:t>from</w:t>
      </w:r>
      <w:r>
        <w:rPr>
          <w:spacing w:val="-10"/>
        </w:rPr>
        <w:t xml:space="preserve"> </w:t>
      </w:r>
      <w:r>
        <w:t>a</w:t>
      </w:r>
      <w:r>
        <w:rPr>
          <w:spacing w:val="-5"/>
        </w:rPr>
        <w:t xml:space="preserve"> </w:t>
      </w:r>
      <w:r>
        <w:t>registry</w:t>
      </w:r>
      <w:r>
        <w:rPr>
          <w:spacing w:val="-4"/>
        </w:rPr>
        <w:t xml:space="preserve"> </w:t>
      </w:r>
      <w:r>
        <w:t>(US</w:t>
      </w:r>
      <w:r>
        <w:rPr>
          <w:spacing w:val="-3"/>
        </w:rPr>
        <w:t xml:space="preserve"> </w:t>
      </w:r>
      <w:proofErr w:type="spellStart"/>
      <w:r>
        <w:t>Corrona</w:t>
      </w:r>
      <w:proofErr w:type="spellEnd"/>
      <w:r>
        <w:t>) showed that a</w:t>
      </w:r>
      <w:r>
        <w:rPr>
          <w:spacing w:val="-5"/>
        </w:rPr>
        <w:t xml:space="preserve"> </w:t>
      </w:r>
      <w:r>
        <w:t>numerically</w:t>
      </w:r>
      <w:r>
        <w:rPr>
          <w:spacing w:val="-4"/>
        </w:rPr>
        <w:t xml:space="preserve"> </w:t>
      </w:r>
      <w:r>
        <w:t>higher incidence rate of serious infection was observed for XELJANZ XR administered once daily than</w:t>
      </w:r>
      <w:r>
        <w:rPr>
          <w:spacing w:val="40"/>
        </w:rPr>
        <w:t xml:space="preserve"> </w:t>
      </w:r>
      <w:r>
        <w:t>XELJANZ</w:t>
      </w:r>
      <w:r>
        <w:rPr>
          <w:spacing w:val="45"/>
        </w:rPr>
        <w:t xml:space="preserve"> </w:t>
      </w:r>
      <w:r>
        <w:t>5</w:t>
      </w:r>
      <w:r>
        <w:rPr>
          <w:spacing w:val="-1"/>
        </w:rPr>
        <w:t xml:space="preserve"> </w:t>
      </w:r>
      <w:r>
        <w:t>mg</w:t>
      </w:r>
      <w:r>
        <w:rPr>
          <w:spacing w:val="42"/>
        </w:rPr>
        <w:t xml:space="preserve"> </w:t>
      </w:r>
      <w:r>
        <w:t>administered</w:t>
      </w:r>
      <w:r>
        <w:rPr>
          <w:spacing w:val="57"/>
        </w:rPr>
        <w:t xml:space="preserve"> </w:t>
      </w:r>
      <w:r>
        <w:t>twice</w:t>
      </w:r>
      <w:r>
        <w:rPr>
          <w:spacing w:val="41"/>
        </w:rPr>
        <w:t xml:space="preserve"> </w:t>
      </w:r>
      <w:r>
        <w:t>daily.</w:t>
      </w:r>
      <w:r>
        <w:rPr>
          <w:spacing w:val="42"/>
        </w:rPr>
        <w:t xml:space="preserve"> </w:t>
      </w:r>
      <w:r>
        <w:t>Crude</w:t>
      </w:r>
      <w:r>
        <w:rPr>
          <w:spacing w:val="41"/>
        </w:rPr>
        <w:t xml:space="preserve"> </w:t>
      </w:r>
      <w:r>
        <w:t>incidence</w:t>
      </w:r>
      <w:r>
        <w:rPr>
          <w:spacing w:val="40"/>
        </w:rPr>
        <w:t xml:space="preserve"> </w:t>
      </w:r>
      <w:r>
        <w:t>rates</w:t>
      </w:r>
      <w:r>
        <w:rPr>
          <w:spacing w:val="39"/>
        </w:rPr>
        <w:t xml:space="preserve"> </w:t>
      </w:r>
      <w:r>
        <w:t>(95%</w:t>
      </w:r>
      <w:r>
        <w:rPr>
          <w:spacing w:val="37"/>
        </w:rPr>
        <w:t xml:space="preserve"> </w:t>
      </w:r>
      <w:r>
        <w:t>CI)</w:t>
      </w:r>
      <w:r>
        <w:rPr>
          <w:spacing w:val="38"/>
        </w:rPr>
        <w:t xml:space="preserve"> </w:t>
      </w:r>
      <w:r>
        <w:t>(i.e.,</w:t>
      </w:r>
      <w:r>
        <w:rPr>
          <w:spacing w:val="43"/>
        </w:rPr>
        <w:t xml:space="preserve"> </w:t>
      </w:r>
      <w:r>
        <w:rPr>
          <w:spacing w:val="-5"/>
        </w:rPr>
        <w:t>not</w:t>
      </w:r>
    </w:p>
    <w:p w14:paraId="4E19D01B" w14:textId="77777777" w:rsidR="001825E2" w:rsidRDefault="001825E2" w:rsidP="00CB00A7">
      <w:pPr>
        <w:sectPr w:rsidR="001825E2">
          <w:pgSz w:w="11910" w:h="16850"/>
          <w:pgMar w:top="1360" w:right="1220" w:bottom="980" w:left="1220" w:header="0" w:footer="785" w:gutter="0"/>
          <w:cols w:space="720"/>
        </w:sectPr>
      </w:pPr>
    </w:p>
    <w:p w14:paraId="4F518DEC" w14:textId="77777777" w:rsidR="001825E2" w:rsidRDefault="000839A5" w:rsidP="00CB00A7">
      <w:pPr>
        <w:pStyle w:val="BodyText"/>
        <w:spacing w:before="80" w:line="235" w:lineRule="auto"/>
        <w:ind w:left="220" w:right="216" w:hanging="1"/>
        <w:jc w:val="left"/>
      </w:pPr>
      <w:r>
        <w:lastRenderedPageBreak/>
        <w:t>adjusted for age or sex) from availability of each formulation at 12</w:t>
      </w:r>
      <w:r>
        <w:rPr>
          <w:spacing w:val="-2"/>
        </w:rPr>
        <w:t xml:space="preserve"> </w:t>
      </w:r>
      <w:r>
        <w:t>months following initiation</w:t>
      </w:r>
      <w:r>
        <w:rPr>
          <w:spacing w:val="28"/>
        </w:rPr>
        <w:t xml:space="preserve"> </w:t>
      </w:r>
      <w:r>
        <w:t>of</w:t>
      </w:r>
      <w:r>
        <w:rPr>
          <w:spacing w:val="39"/>
        </w:rPr>
        <w:t xml:space="preserve"> </w:t>
      </w:r>
      <w:r>
        <w:t>treatment</w:t>
      </w:r>
      <w:r>
        <w:rPr>
          <w:spacing w:val="37"/>
        </w:rPr>
        <w:t xml:space="preserve"> </w:t>
      </w:r>
      <w:r>
        <w:t>were</w:t>
      </w:r>
      <w:r>
        <w:rPr>
          <w:spacing w:val="27"/>
        </w:rPr>
        <w:t xml:space="preserve"> </w:t>
      </w:r>
      <w:r>
        <w:t>3.45</w:t>
      </w:r>
      <w:r>
        <w:rPr>
          <w:spacing w:val="29"/>
        </w:rPr>
        <w:t xml:space="preserve"> </w:t>
      </w:r>
      <w:r>
        <w:t>(1.93,</w:t>
      </w:r>
      <w:r>
        <w:rPr>
          <w:spacing w:val="29"/>
        </w:rPr>
        <w:t xml:space="preserve"> </w:t>
      </w:r>
      <w:r>
        <w:t>5.69)</w:t>
      </w:r>
      <w:r>
        <w:rPr>
          <w:spacing w:val="23"/>
        </w:rPr>
        <w:t xml:space="preserve"> </w:t>
      </w:r>
      <w:r>
        <w:t>and</w:t>
      </w:r>
      <w:r>
        <w:rPr>
          <w:spacing w:val="44"/>
        </w:rPr>
        <w:t xml:space="preserve"> </w:t>
      </w:r>
      <w:r>
        <w:t>2.78</w:t>
      </w:r>
      <w:r>
        <w:rPr>
          <w:spacing w:val="29"/>
        </w:rPr>
        <w:t xml:space="preserve"> </w:t>
      </w:r>
      <w:r>
        <w:t>(1.74,</w:t>
      </w:r>
      <w:r>
        <w:rPr>
          <w:spacing w:val="29"/>
        </w:rPr>
        <w:t xml:space="preserve"> </w:t>
      </w:r>
      <w:r>
        <w:t>4.21)</w:t>
      </w:r>
      <w:r>
        <w:rPr>
          <w:spacing w:val="24"/>
        </w:rPr>
        <w:t xml:space="preserve"> </w:t>
      </w:r>
      <w:r>
        <w:t>and</w:t>
      </w:r>
      <w:r>
        <w:rPr>
          <w:spacing w:val="44"/>
        </w:rPr>
        <w:t xml:space="preserve"> </w:t>
      </w:r>
      <w:r>
        <w:t>at</w:t>
      </w:r>
      <w:r>
        <w:rPr>
          <w:spacing w:val="36"/>
        </w:rPr>
        <w:t xml:space="preserve"> </w:t>
      </w:r>
      <w:r>
        <w:t>36 months</w:t>
      </w:r>
      <w:r>
        <w:rPr>
          <w:spacing w:val="25"/>
        </w:rPr>
        <w:t xml:space="preserve"> </w:t>
      </w:r>
      <w:proofErr w:type="gramStart"/>
      <w:r>
        <w:rPr>
          <w:spacing w:val="-4"/>
        </w:rPr>
        <w:t>were</w:t>
      </w:r>
      <w:proofErr w:type="gramEnd"/>
    </w:p>
    <w:p w14:paraId="06BE8914" w14:textId="77777777" w:rsidR="001825E2" w:rsidRDefault="000839A5" w:rsidP="00CB00A7">
      <w:pPr>
        <w:pStyle w:val="BodyText"/>
        <w:spacing w:before="10"/>
        <w:ind w:left="219" w:right="201"/>
        <w:jc w:val="left"/>
      </w:pPr>
      <w:r>
        <w:t>4.71 (3.08, 6.91) and 2.79 (2.01, 3.77) patients with events per 100</w:t>
      </w:r>
      <w:r>
        <w:rPr>
          <w:spacing w:val="-2"/>
        </w:rPr>
        <w:t xml:space="preserve"> </w:t>
      </w:r>
      <w:r>
        <w:t>patient-years in the XELJANX XR once daily and XELJANZ 5</w:t>
      </w:r>
      <w:r>
        <w:rPr>
          <w:spacing w:val="-2"/>
        </w:rPr>
        <w:t xml:space="preserve"> </w:t>
      </w:r>
      <w:r>
        <w:t>mg twice daily groups, respectively. The unadjusted hazard ratio was 1.30</w:t>
      </w:r>
      <w:r>
        <w:rPr>
          <w:spacing w:val="-4"/>
        </w:rPr>
        <w:t xml:space="preserve"> </w:t>
      </w:r>
      <w:r>
        <w:t>(95% CI: 0.67, 2.50) at 12</w:t>
      </w:r>
      <w:r>
        <w:rPr>
          <w:spacing w:val="-4"/>
        </w:rPr>
        <w:t xml:space="preserve"> </w:t>
      </w:r>
      <w:r>
        <w:t>months and 1.93 (95% CI: 1.15, 3.24) at 36</w:t>
      </w:r>
      <w:r>
        <w:rPr>
          <w:spacing w:val="-1"/>
        </w:rPr>
        <w:t xml:space="preserve"> </w:t>
      </w:r>
      <w:r>
        <w:t>months for XELJANZ XR once</w:t>
      </w:r>
      <w:r>
        <w:rPr>
          <w:spacing w:val="-3"/>
        </w:rPr>
        <w:t xml:space="preserve"> </w:t>
      </w:r>
      <w:r>
        <w:t>daily dose compared to XELJANZ 5</w:t>
      </w:r>
      <w:r>
        <w:rPr>
          <w:spacing w:val="-1"/>
        </w:rPr>
        <w:t xml:space="preserve"> </w:t>
      </w:r>
      <w:r>
        <w:t>mg twice daily dose. Data are based on a small</w:t>
      </w:r>
      <w:r>
        <w:rPr>
          <w:spacing w:val="-5"/>
        </w:rPr>
        <w:t xml:space="preserve"> </w:t>
      </w:r>
      <w:r>
        <w:t>number</w:t>
      </w:r>
      <w:r>
        <w:rPr>
          <w:spacing w:val="-3"/>
        </w:rPr>
        <w:t xml:space="preserve"> </w:t>
      </w:r>
      <w:r>
        <w:t>of patients</w:t>
      </w:r>
      <w:r>
        <w:rPr>
          <w:spacing w:val="-2"/>
        </w:rPr>
        <w:t xml:space="preserve"> </w:t>
      </w:r>
      <w:r>
        <w:t>with events</w:t>
      </w:r>
      <w:r>
        <w:rPr>
          <w:spacing w:val="-2"/>
        </w:rPr>
        <w:t xml:space="preserve"> </w:t>
      </w:r>
      <w:r>
        <w:t>observed with relatively large confidence intervals and limited follow up time available in the XELJANZ XR once daily dose group after 24 months.</w:t>
      </w:r>
    </w:p>
    <w:p w14:paraId="569D7EC9" w14:textId="77777777" w:rsidR="001825E2" w:rsidRDefault="000839A5" w:rsidP="00CB00A7">
      <w:pPr>
        <w:spacing w:before="243"/>
        <w:ind w:left="219"/>
        <w:rPr>
          <w:i/>
          <w:sz w:val="24"/>
        </w:rPr>
      </w:pPr>
      <w:r>
        <w:rPr>
          <w:i/>
          <w:sz w:val="24"/>
        </w:rPr>
        <w:t>Serious</w:t>
      </w:r>
      <w:r>
        <w:rPr>
          <w:i/>
          <w:spacing w:val="-4"/>
          <w:sz w:val="24"/>
        </w:rPr>
        <w:t xml:space="preserve"> </w:t>
      </w:r>
      <w:r>
        <w:rPr>
          <w:i/>
          <w:sz w:val="24"/>
        </w:rPr>
        <w:t>infections</w:t>
      </w:r>
      <w:r>
        <w:rPr>
          <w:i/>
          <w:spacing w:val="9"/>
          <w:sz w:val="24"/>
        </w:rPr>
        <w:t xml:space="preserve"> </w:t>
      </w:r>
      <w:r>
        <w:rPr>
          <w:i/>
          <w:sz w:val="24"/>
        </w:rPr>
        <w:t>in</w:t>
      </w:r>
      <w:r>
        <w:rPr>
          <w:i/>
          <w:spacing w:val="-1"/>
          <w:sz w:val="24"/>
        </w:rPr>
        <w:t xml:space="preserve"> </w:t>
      </w:r>
      <w:r>
        <w:rPr>
          <w:i/>
          <w:sz w:val="24"/>
        </w:rPr>
        <w:t>the</w:t>
      </w:r>
      <w:r>
        <w:rPr>
          <w:i/>
          <w:spacing w:val="-13"/>
          <w:sz w:val="24"/>
        </w:rPr>
        <w:t xml:space="preserve"> </w:t>
      </w:r>
      <w:r>
        <w:rPr>
          <w:i/>
          <w:spacing w:val="-2"/>
          <w:sz w:val="24"/>
        </w:rPr>
        <w:t>elderly</w:t>
      </w:r>
    </w:p>
    <w:p w14:paraId="7315B989" w14:textId="77777777" w:rsidR="001825E2" w:rsidRDefault="000839A5" w:rsidP="00CB00A7">
      <w:pPr>
        <w:pStyle w:val="BodyText"/>
        <w:spacing w:before="114"/>
        <w:ind w:left="217" w:right="203" w:firstLine="1"/>
        <w:jc w:val="left"/>
      </w:pPr>
      <w:r>
        <w:t>Of the</w:t>
      </w:r>
      <w:r>
        <w:rPr>
          <w:spacing w:val="-1"/>
        </w:rPr>
        <w:t xml:space="preserve"> </w:t>
      </w:r>
      <w:r>
        <w:t>4271 patients</w:t>
      </w:r>
      <w:r>
        <w:rPr>
          <w:spacing w:val="-3"/>
        </w:rPr>
        <w:t xml:space="preserve"> </w:t>
      </w:r>
      <w:r>
        <w:t>who enrolled in Studies</w:t>
      </w:r>
      <w:r>
        <w:rPr>
          <w:spacing w:val="-3"/>
        </w:rPr>
        <w:t xml:space="preserve"> </w:t>
      </w:r>
      <w:r>
        <w:t>I</w:t>
      </w:r>
      <w:r>
        <w:rPr>
          <w:spacing w:val="-5"/>
        </w:rPr>
        <w:t xml:space="preserve"> </w:t>
      </w:r>
      <w:r>
        <w:t>to VI, a</w:t>
      </w:r>
      <w:r>
        <w:rPr>
          <w:spacing w:val="-1"/>
        </w:rPr>
        <w:t xml:space="preserve"> </w:t>
      </w:r>
      <w:r>
        <w:t>total</w:t>
      </w:r>
      <w:r>
        <w:rPr>
          <w:spacing w:val="-6"/>
        </w:rPr>
        <w:t xml:space="preserve"> </w:t>
      </w:r>
      <w:r>
        <w:t>of 608 RA patients</w:t>
      </w:r>
      <w:r>
        <w:rPr>
          <w:spacing w:val="-3"/>
        </w:rPr>
        <w:t xml:space="preserve"> </w:t>
      </w:r>
      <w:r>
        <w:t>were</w:t>
      </w:r>
      <w:r>
        <w:rPr>
          <w:spacing w:val="-1"/>
        </w:rPr>
        <w:t xml:space="preserve"> </w:t>
      </w:r>
      <w:r>
        <w:t>65 years of age</w:t>
      </w:r>
      <w:r>
        <w:rPr>
          <w:spacing w:val="-4"/>
        </w:rPr>
        <w:t xml:space="preserve"> </w:t>
      </w:r>
      <w:r>
        <w:t>and older,</w:t>
      </w:r>
      <w:r>
        <w:rPr>
          <w:spacing w:val="-2"/>
        </w:rPr>
        <w:t xml:space="preserve"> </w:t>
      </w:r>
      <w:r>
        <w:t>including</w:t>
      </w:r>
      <w:r>
        <w:rPr>
          <w:spacing w:val="-2"/>
        </w:rPr>
        <w:t xml:space="preserve"> </w:t>
      </w:r>
      <w:r>
        <w:t>85</w:t>
      </w:r>
      <w:r>
        <w:rPr>
          <w:spacing w:val="-2"/>
        </w:rPr>
        <w:t xml:space="preserve"> </w:t>
      </w:r>
      <w:r>
        <w:t>patients</w:t>
      </w:r>
      <w:r>
        <w:rPr>
          <w:spacing w:val="-6"/>
        </w:rPr>
        <w:t xml:space="preserve"> </w:t>
      </w:r>
      <w:r>
        <w:t>75 years</w:t>
      </w:r>
      <w:r>
        <w:rPr>
          <w:spacing w:val="-6"/>
        </w:rPr>
        <w:t xml:space="preserve"> </w:t>
      </w:r>
      <w:r>
        <w:t>and older. The</w:t>
      </w:r>
      <w:r>
        <w:rPr>
          <w:spacing w:val="-4"/>
        </w:rPr>
        <w:t xml:space="preserve"> </w:t>
      </w:r>
      <w:r>
        <w:t>frequency of serious infection among XELJANZ-treated patients 65</w:t>
      </w:r>
      <w:r>
        <w:rPr>
          <w:spacing w:val="-5"/>
        </w:rPr>
        <w:t xml:space="preserve"> </w:t>
      </w:r>
      <w:r>
        <w:t>years of age and older was higher than</w:t>
      </w:r>
      <w:r>
        <w:rPr>
          <w:spacing w:val="-5"/>
        </w:rPr>
        <w:t xml:space="preserve"> </w:t>
      </w:r>
      <w:r>
        <w:t>those under the age</w:t>
      </w:r>
      <w:r>
        <w:rPr>
          <w:spacing w:val="-3"/>
        </w:rPr>
        <w:t xml:space="preserve"> </w:t>
      </w:r>
      <w:r>
        <w:t xml:space="preserve">of 65. As there is a higher incidence of infections in the elderly population in general, caution should be used when treating the elderly (see Section 4.4 Special Warnings and Precautions </w:t>
      </w:r>
      <w:proofErr w:type="gramStart"/>
      <w:r>
        <w:t>For</w:t>
      </w:r>
      <w:proofErr w:type="gramEnd"/>
      <w:r>
        <w:t xml:space="preserve"> Use).</w:t>
      </w:r>
    </w:p>
    <w:p w14:paraId="237BB8C7" w14:textId="77777777" w:rsidR="001825E2" w:rsidRDefault="000839A5" w:rsidP="00CB00A7">
      <w:pPr>
        <w:spacing w:before="234"/>
        <w:ind w:left="220"/>
        <w:rPr>
          <w:i/>
          <w:sz w:val="24"/>
        </w:rPr>
      </w:pPr>
      <w:r>
        <w:rPr>
          <w:i/>
          <w:sz w:val="24"/>
          <w:u w:val="single"/>
        </w:rPr>
        <w:t>Psoriatic</w:t>
      </w:r>
      <w:r>
        <w:rPr>
          <w:i/>
          <w:spacing w:val="-1"/>
          <w:sz w:val="24"/>
          <w:u w:val="single"/>
        </w:rPr>
        <w:t xml:space="preserve"> </w:t>
      </w:r>
      <w:r>
        <w:rPr>
          <w:i/>
          <w:spacing w:val="-2"/>
          <w:sz w:val="24"/>
          <w:u w:val="single"/>
        </w:rPr>
        <w:t>Arthritis</w:t>
      </w:r>
    </w:p>
    <w:p w14:paraId="5C6C7572" w14:textId="77777777" w:rsidR="001825E2" w:rsidRDefault="000839A5" w:rsidP="00CB00A7">
      <w:pPr>
        <w:pStyle w:val="BodyText"/>
        <w:spacing w:before="129" w:line="242" w:lineRule="auto"/>
        <w:ind w:left="219" w:right="200"/>
        <w:jc w:val="left"/>
      </w:pPr>
      <w:r>
        <w:t>In</w:t>
      </w:r>
      <w:r>
        <w:rPr>
          <w:spacing w:val="-4"/>
        </w:rPr>
        <w:t xml:space="preserve"> </w:t>
      </w:r>
      <w:r>
        <w:t>the 6-month and</w:t>
      </w:r>
      <w:r>
        <w:rPr>
          <w:spacing w:val="24"/>
        </w:rPr>
        <w:t xml:space="preserve"> </w:t>
      </w:r>
      <w:r>
        <w:t>12-month</w:t>
      </w:r>
      <w:r>
        <w:rPr>
          <w:spacing w:val="-4"/>
        </w:rPr>
        <w:t xml:space="preserve"> </w:t>
      </w:r>
      <w:r>
        <w:t>Phase</w:t>
      </w:r>
      <w:r>
        <w:rPr>
          <w:spacing w:val="-6"/>
        </w:rPr>
        <w:t xml:space="preserve"> </w:t>
      </w:r>
      <w:r>
        <w:t>3 studies, the rate of</w:t>
      </w:r>
      <w:r>
        <w:rPr>
          <w:spacing w:val="19"/>
        </w:rPr>
        <w:t xml:space="preserve"> </w:t>
      </w:r>
      <w:r>
        <w:t>serious infections in the</w:t>
      </w:r>
      <w:r>
        <w:rPr>
          <w:spacing w:val="-6"/>
        </w:rPr>
        <w:t xml:space="preserve"> </w:t>
      </w:r>
      <w:r>
        <w:t>XELJANZ 5 mg twice</w:t>
      </w:r>
      <w:r>
        <w:rPr>
          <w:spacing w:val="-1"/>
        </w:rPr>
        <w:t xml:space="preserve"> </w:t>
      </w:r>
      <w:r>
        <w:t>daily group was 1.30 patients</w:t>
      </w:r>
      <w:r>
        <w:rPr>
          <w:spacing w:val="-3"/>
        </w:rPr>
        <w:t xml:space="preserve"> </w:t>
      </w:r>
      <w:r>
        <w:t>with events</w:t>
      </w:r>
      <w:r>
        <w:rPr>
          <w:spacing w:val="-3"/>
        </w:rPr>
        <w:t xml:space="preserve"> </w:t>
      </w:r>
      <w:r>
        <w:t>per</w:t>
      </w:r>
      <w:r>
        <w:rPr>
          <w:spacing w:val="-4"/>
        </w:rPr>
        <w:t xml:space="preserve"> </w:t>
      </w:r>
      <w:r>
        <w:t>100 patient-years. In the</w:t>
      </w:r>
      <w:r>
        <w:rPr>
          <w:spacing w:val="-1"/>
        </w:rPr>
        <w:t xml:space="preserve"> </w:t>
      </w:r>
      <w:r>
        <w:t>XELJANZ 10 mg twice daily group, the rate was 2.0 patients with</w:t>
      </w:r>
      <w:r>
        <w:rPr>
          <w:spacing w:val="-6"/>
        </w:rPr>
        <w:t xml:space="preserve"> </w:t>
      </w:r>
      <w:r>
        <w:t>events per 100 patient-years.</w:t>
      </w:r>
    </w:p>
    <w:p w14:paraId="47E2775F" w14:textId="77777777" w:rsidR="001825E2" w:rsidRDefault="000839A5" w:rsidP="00CB00A7">
      <w:pPr>
        <w:pStyle w:val="BodyText"/>
        <w:spacing w:before="229" w:line="242" w:lineRule="auto"/>
        <w:ind w:left="218" w:right="220"/>
        <w:jc w:val="left"/>
      </w:pPr>
      <w:r>
        <w:t>In the</w:t>
      </w:r>
      <w:r>
        <w:rPr>
          <w:spacing w:val="-2"/>
        </w:rPr>
        <w:t xml:space="preserve"> </w:t>
      </w:r>
      <w:r>
        <w:t>long-term safety population, the</w:t>
      </w:r>
      <w:r>
        <w:rPr>
          <w:spacing w:val="-2"/>
        </w:rPr>
        <w:t xml:space="preserve"> </w:t>
      </w:r>
      <w:r>
        <w:t>overall rate</w:t>
      </w:r>
      <w:r>
        <w:rPr>
          <w:spacing w:val="-2"/>
        </w:rPr>
        <w:t xml:space="preserve"> </w:t>
      </w:r>
      <w:r>
        <w:t>of serious infections was</w:t>
      </w:r>
      <w:r>
        <w:rPr>
          <w:spacing w:val="-4"/>
        </w:rPr>
        <w:t xml:space="preserve"> </w:t>
      </w:r>
      <w:r>
        <w:t>1.4 patients with events per 100 patient-years for XELJANZ treated patients. The most common serious infection reported with XELJANZ was pneumonia.</w:t>
      </w:r>
    </w:p>
    <w:p w14:paraId="560A5300" w14:textId="77777777" w:rsidR="001825E2" w:rsidRDefault="000839A5" w:rsidP="00CB00A7">
      <w:pPr>
        <w:spacing w:before="229"/>
        <w:ind w:left="220"/>
        <w:rPr>
          <w:i/>
          <w:sz w:val="24"/>
        </w:rPr>
      </w:pPr>
      <w:r>
        <w:rPr>
          <w:i/>
          <w:sz w:val="24"/>
          <w:u w:val="single"/>
        </w:rPr>
        <w:t>Ankylosing</w:t>
      </w:r>
      <w:r>
        <w:rPr>
          <w:i/>
          <w:spacing w:val="-4"/>
          <w:sz w:val="24"/>
          <w:u w:val="single"/>
        </w:rPr>
        <w:t xml:space="preserve"> </w:t>
      </w:r>
      <w:r>
        <w:rPr>
          <w:i/>
          <w:spacing w:val="-2"/>
          <w:sz w:val="24"/>
          <w:u w:val="single"/>
        </w:rPr>
        <w:t>Spondylitis</w:t>
      </w:r>
    </w:p>
    <w:p w14:paraId="651EF885" w14:textId="77777777" w:rsidR="001825E2" w:rsidRDefault="000839A5" w:rsidP="00CB00A7">
      <w:pPr>
        <w:pStyle w:val="BodyText"/>
        <w:spacing w:before="133" w:line="235" w:lineRule="auto"/>
        <w:ind w:left="219" w:right="203"/>
        <w:jc w:val="left"/>
      </w:pPr>
      <w:r>
        <w:t>In the combined Phase 2 and Phase 3 clinical trials, among the 316 patients treated with XELJANZ 5 mg twice daily for up to 48 weeks, there was one serious infection (aseptic meningitis)</w:t>
      </w:r>
      <w:r>
        <w:rPr>
          <w:spacing w:val="40"/>
        </w:rPr>
        <w:t xml:space="preserve"> </w:t>
      </w:r>
      <w:r>
        <w:t>yielding a rate of 0.43 patients with</w:t>
      </w:r>
      <w:r>
        <w:rPr>
          <w:spacing w:val="-7"/>
        </w:rPr>
        <w:t xml:space="preserve"> </w:t>
      </w:r>
      <w:r>
        <w:t>events per 100 patient-years.</w:t>
      </w:r>
    </w:p>
    <w:p w14:paraId="7030F821" w14:textId="77777777" w:rsidR="001825E2" w:rsidRDefault="000839A5" w:rsidP="00CB00A7">
      <w:pPr>
        <w:spacing w:before="249"/>
        <w:ind w:left="220"/>
        <w:rPr>
          <w:i/>
          <w:sz w:val="24"/>
        </w:rPr>
      </w:pPr>
      <w:r>
        <w:rPr>
          <w:i/>
          <w:sz w:val="24"/>
          <w:u w:val="single"/>
        </w:rPr>
        <w:t>Ulcerative</w:t>
      </w:r>
      <w:r>
        <w:rPr>
          <w:i/>
          <w:spacing w:val="1"/>
          <w:sz w:val="24"/>
          <w:u w:val="single"/>
        </w:rPr>
        <w:t xml:space="preserve"> </w:t>
      </w:r>
      <w:r>
        <w:rPr>
          <w:i/>
          <w:spacing w:val="-2"/>
          <w:sz w:val="24"/>
          <w:u w:val="single"/>
        </w:rPr>
        <w:t>Colitis</w:t>
      </w:r>
    </w:p>
    <w:p w14:paraId="21AC06D2" w14:textId="77777777" w:rsidR="001825E2" w:rsidRDefault="000839A5" w:rsidP="00CB00A7">
      <w:pPr>
        <w:pStyle w:val="BodyText"/>
        <w:spacing w:before="114"/>
        <w:ind w:left="217" w:right="200" w:firstLine="2"/>
        <w:jc w:val="left"/>
      </w:pPr>
      <w:r>
        <w:t>In the</w:t>
      </w:r>
      <w:r>
        <w:rPr>
          <w:spacing w:val="-1"/>
        </w:rPr>
        <w:t xml:space="preserve"> </w:t>
      </w:r>
      <w:proofErr w:type="spellStart"/>
      <w:r>
        <w:t>randomised</w:t>
      </w:r>
      <w:proofErr w:type="spellEnd"/>
      <w:r>
        <w:t xml:space="preserve"> 8-week Phase</w:t>
      </w:r>
      <w:r>
        <w:rPr>
          <w:spacing w:val="-1"/>
        </w:rPr>
        <w:t xml:space="preserve"> </w:t>
      </w:r>
      <w:r>
        <w:t>2/3 induction studies, the</w:t>
      </w:r>
      <w:r>
        <w:rPr>
          <w:spacing w:val="-1"/>
        </w:rPr>
        <w:t xml:space="preserve"> </w:t>
      </w:r>
      <w:r>
        <w:t>proportion of patients</w:t>
      </w:r>
      <w:r>
        <w:rPr>
          <w:spacing w:val="-3"/>
        </w:rPr>
        <w:t xml:space="preserve"> </w:t>
      </w:r>
      <w:r>
        <w:t xml:space="preserve">with serious infections in patients treated with XELJANZ 10 mg twice daily was 0.9% (8 patients) compared with 0.0% in patients treated with placebo. In the </w:t>
      </w:r>
      <w:proofErr w:type="spellStart"/>
      <w:r>
        <w:t>randomised</w:t>
      </w:r>
      <w:proofErr w:type="spellEnd"/>
      <w:r>
        <w:t xml:space="preserve"> 52-week Phase</w:t>
      </w:r>
      <w:r>
        <w:rPr>
          <w:spacing w:val="-2"/>
        </w:rPr>
        <w:t xml:space="preserve"> </w:t>
      </w:r>
      <w:r>
        <w:t>3 maintenance study, the incidence rates of serious infections in patients treated with</w:t>
      </w:r>
      <w:r>
        <w:rPr>
          <w:spacing w:val="40"/>
        </w:rPr>
        <w:t xml:space="preserve"> </w:t>
      </w:r>
      <w:r>
        <w:t>XELJANZ 5 mg twice daily (1.35 events per 100 patient-years) and in patients treated with XELJANZ</w:t>
      </w:r>
      <w:r>
        <w:rPr>
          <w:spacing w:val="34"/>
        </w:rPr>
        <w:t xml:space="preserve"> </w:t>
      </w:r>
      <w:r>
        <w:t>10 mg</w:t>
      </w:r>
      <w:r>
        <w:rPr>
          <w:spacing w:val="30"/>
        </w:rPr>
        <w:t xml:space="preserve"> </w:t>
      </w:r>
      <w:r>
        <w:t>twice daily</w:t>
      </w:r>
      <w:r>
        <w:rPr>
          <w:spacing w:val="30"/>
        </w:rPr>
        <w:t xml:space="preserve"> </w:t>
      </w:r>
      <w:r>
        <w:t>(0.64 events per 100 patient-years) were</w:t>
      </w:r>
      <w:r>
        <w:rPr>
          <w:spacing w:val="28"/>
        </w:rPr>
        <w:t xml:space="preserve"> </w:t>
      </w:r>
      <w:r>
        <w:t>not</w:t>
      </w:r>
      <w:r>
        <w:rPr>
          <w:spacing w:val="39"/>
        </w:rPr>
        <w:t xml:space="preserve"> </w:t>
      </w:r>
      <w:r>
        <w:t>higher than</w:t>
      </w:r>
      <w:r>
        <w:rPr>
          <w:spacing w:val="30"/>
        </w:rPr>
        <w:t xml:space="preserve"> </w:t>
      </w:r>
      <w:r>
        <w:t>that for</w:t>
      </w:r>
      <w:r>
        <w:rPr>
          <w:spacing w:val="-6"/>
        </w:rPr>
        <w:t xml:space="preserve"> </w:t>
      </w:r>
      <w:r>
        <w:t>placebo (1.94 events</w:t>
      </w:r>
      <w:r>
        <w:rPr>
          <w:spacing w:val="-4"/>
        </w:rPr>
        <w:t xml:space="preserve"> </w:t>
      </w:r>
      <w:r>
        <w:t>per</w:t>
      </w:r>
      <w:r>
        <w:rPr>
          <w:spacing w:val="-5"/>
        </w:rPr>
        <w:t xml:space="preserve"> </w:t>
      </w:r>
      <w:r>
        <w:t>100 patient-years). The incidence</w:t>
      </w:r>
      <w:r>
        <w:rPr>
          <w:spacing w:val="-2"/>
        </w:rPr>
        <w:t xml:space="preserve"> </w:t>
      </w:r>
      <w:r>
        <w:t>rate</w:t>
      </w:r>
      <w:r>
        <w:rPr>
          <w:spacing w:val="-2"/>
        </w:rPr>
        <w:t xml:space="preserve"> </w:t>
      </w:r>
      <w:r>
        <w:t>of serious infections</w:t>
      </w:r>
      <w:r>
        <w:rPr>
          <w:spacing w:val="-4"/>
        </w:rPr>
        <w:t xml:space="preserve"> </w:t>
      </w:r>
      <w:r>
        <w:t>in the entire</w:t>
      </w:r>
      <w:r>
        <w:rPr>
          <w:spacing w:val="80"/>
        </w:rPr>
        <w:t xml:space="preserve"> </w:t>
      </w:r>
      <w:r>
        <w:t>treatment</w:t>
      </w:r>
      <w:r>
        <w:rPr>
          <w:spacing w:val="80"/>
        </w:rPr>
        <w:t xml:space="preserve"> </w:t>
      </w:r>
      <w:r>
        <w:t>experience</w:t>
      </w:r>
      <w:r>
        <w:rPr>
          <w:spacing w:val="80"/>
        </w:rPr>
        <w:t xml:space="preserve"> </w:t>
      </w:r>
      <w:r>
        <w:t>with</w:t>
      </w:r>
      <w:r>
        <w:rPr>
          <w:spacing w:val="80"/>
        </w:rPr>
        <w:t xml:space="preserve"> </w:t>
      </w:r>
      <w:r>
        <w:t>XELJANZ</w:t>
      </w:r>
      <w:r>
        <w:rPr>
          <w:spacing w:val="80"/>
        </w:rPr>
        <w:t xml:space="preserve"> </w:t>
      </w:r>
      <w:r>
        <w:t>in</w:t>
      </w:r>
      <w:r>
        <w:rPr>
          <w:spacing w:val="80"/>
        </w:rPr>
        <w:t xml:space="preserve"> </w:t>
      </w:r>
      <w:r>
        <w:t>patients</w:t>
      </w:r>
      <w:r>
        <w:rPr>
          <w:spacing w:val="40"/>
        </w:rPr>
        <w:t xml:space="preserve"> </w:t>
      </w:r>
      <w:r>
        <w:t>with</w:t>
      </w:r>
      <w:r>
        <w:rPr>
          <w:spacing w:val="40"/>
        </w:rPr>
        <w:t xml:space="preserve"> </w:t>
      </w:r>
      <w:r>
        <w:t>UC</w:t>
      </w:r>
      <w:r>
        <w:rPr>
          <w:spacing w:val="40"/>
        </w:rPr>
        <w:t xml:space="preserve"> </w:t>
      </w:r>
      <w:r>
        <w:t>was</w:t>
      </w:r>
      <w:r>
        <w:rPr>
          <w:spacing w:val="80"/>
        </w:rPr>
        <w:t xml:space="preserve"> </w:t>
      </w:r>
      <w:r>
        <w:t>1.99</w:t>
      </w:r>
      <w:r>
        <w:rPr>
          <w:spacing w:val="-2"/>
        </w:rPr>
        <w:t xml:space="preserve"> </w:t>
      </w:r>
      <w:r>
        <w:t>events</w:t>
      </w:r>
      <w:r>
        <w:rPr>
          <w:spacing w:val="80"/>
        </w:rPr>
        <w:t xml:space="preserve"> </w:t>
      </w:r>
      <w:r>
        <w:t>per 100 patient-years. There was no apparent clustering into specific types of serious infections.</w:t>
      </w:r>
    </w:p>
    <w:p w14:paraId="5F8E7171" w14:textId="77777777" w:rsidR="001825E2" w:rsidRDefault="000839A5" w:rsidP="00CB00A7">
      <w:pPr>
        <w:spacing w:before="247"/>
        <w:ind w:left="220"/>
        <w:rPr>
          <w:i/>
          <w:sz w:val="24"/>
        </w:rPr>
      </w:pPr>
      <w:r>
        <w:rPr>
          <w:i/>
          <w:sz w:val="24"/>
          <w:u w:val="single"/>
        </w:rPr>
        <w:t>Juvenile</w:t>
      </w:r>
      <w:r>
        <w:rPr>
          <w:i/>
          <w:spacing w:val="-8"/>
          <w:sz w:val="24"/>
          <w:u w:val="single"/>
        </w:rPr>
        <w:t xml:space="preserve"> </w:t>
      </w:r>
      <w:r>
        <w:rPr>
          <w:i/>
          <w:sz w:val="24"/>
          <w:u w:val="single"/>
        </w:rPr>
        <w:t>Idiopathic</w:t>
      </w:r>
      <w:r>
        <w:rPr>
          <w:i/>
          <w:spacing w:val="3"/>
          <w:sz w:val="24"/>
          <w:u w:val="single"/>
        </w:rPr>
        <w:t xml:space="preserve"> </w:t>
      </w:r>
      <w:r>
        <w:rPr>
          <w:i/>
          <w:spacing w:val="-2"/>
          <w:sz w:val="24"/>
          <w:u w:val="single"/>
        </w:rPr>
        <w:t>Arthritis</w:t>
      </w:r>
    </w:p>
    <w:p w14:paraId="76A2DD01" w14:textId="77777777" w:rsidR="001825E2" w:rsidRDefault="000839A5" w:rsidP="00CB00A7">
      <w:pPr>
        <w:pStyle w:val="BodyText"/>
        <w:spacing w:before="114"/>
        <w:ind w:left="218" w:right="219" w:firstLine="1"/>
        <w:jc w:val="left"/>
      </w:pPr>
      <w:r>
        <w:t xml:space="preserve">In the pivotal Phase 3 Study </w:t>
      </w:r>
      <w:proofErr w:type="spellStart"/>
      <w:r>
        <w:t>pcJIA</w:t>
      </w:r>
      <w:proofErr w:type="spellEnd"/>
      <w:r>
        <w:t xml:space="preserve">-I, four patients had serious infections during treatment with tofacitinib, representing an incidence rate of 3.25 events per 100 patient-years: pneumonia, epidural empyema (with sinusitis and subperiosteal abscess), pilonidal cyst and </w:t>
      </w:r>
      <w:r>
        <w:rPr>
          <w:spacing w:val="-2"/>
        </w:rPr>
        <w:t>appendicitis.</w:t>
      </w:r>
    </w:p>
    <w:p w14:paraId="61057136" w14:textId="77777777" w:rsidR="001825E2" w:rsidRDefault="001825E2" w:rsidP="00CB00A7">
      <w:pPr>
        <w:sectPr w:rsidR="001825E2">
          <w:pgSz w:w="11910" w:h="16850"/>
          <w:pgMar w:top="1360" w:right="1220" w:bottom="980" w:left="1220" w:header="0" w:footer="785" w:gutter="0"/>
          <w:cols w:space="720"/>
        </w:sectPr>
      </w:pPr>
    </w:p>
    <w:p w14:paraId="28D51C94" w14:textId="77777777" w:rsidR="001825E2" w:rsidRDefault="000839A5" w:rsidP="00CB00A7">
      <w:pPr>
        <w:pStyle w:val="BodyText"/>
        <w:spacing w:before="76" w:line="242" w:lineRule="auto"/>
        <w:ind w:left="219" w:right="201"/>
        <w:jc w:val="left"/>
      </w:pPr>
      <w:bookmarkStart w:id="46" w:name="Mortality"/>
      <w:bookmarkEnd w:id="46"/>
      <w:r>
        <w:lastRenderedPageBreak/>
        <w:t>In the integrated</w:t>
      </w:r>
      <w:r>
        <w:rPr>
          <w:spacing w:val="40"/>
        </w:rPr>
        <w:t xml:space="preserve"> </w:t>
      </w:r>
      <w:r>
        <w:t>safety program, additional serious infections reported</w:t>
      </w:r>
      <w:r>
        <w:rPr>
          <w:spacing w:val="40"/>
        </w:rPr>
        <w:t xml:space="preserve"> </w:t>
      </w:r>
      <w:r>
        <w:t>by patients treated with tofacitinib included one report each of pyelonephritis, limb abscess and urinary tract infection. Three patients</w:t>
      </w:r>
      <w:r>
        <w:rPr>
          <w:spacing w:val="-4"/>
        </w:rPr>
        <w:t xml:space="preserve"> </w:t>
      </w:r>
      <w:r>
        <w:t>had non-serious</w:t>
      </w:r>
      <w:r>
        <w:rPr>
          <w:spacing w:val="-4"/>
        </w:rPr>
        <w:t xml:space="preserve"> </w:t>
      </w:r>
      <w:r>
        <w:t>events</w:t>
      </w:r>
      <w:r>
        <w:rPr>
          <w:spacing w:val="-4"/>
        </w:rPr>
        <w:t xml:space="preserve"> </w:t>
      </w:r>
      <w:r>
        <w:t>of herpes</w:t>
      </w:r>
      <w:r>
        <w:rPr>
          <w:spacing w:val="-4"/>
        </w:rPr>
        <w:t xml:space="preserve"> </w:t>
      </w:r>
      <w:r>
        <w:t>zoster</w:t>
      </w:r>
      <w:r>
        <w:rPr>
          <w:spacing w:val="-5"/>
        </w:rPr>
        <w:t xml:space="preserve"> </w:t>
      </w:r>
      <w:r>
        <w:t>within the</w:t>
      </w:r>
      <w:r>
        <w:rPr>
          <w:spacing w:val="-2"/>
        </w:rPr>
        <w:t xml:space="preserve"> </w:t>
      </w:r>
      <w:r>
        <w:t>reporting window representing an incidence rate of 0.82 patients with events per 100 patient-years. One additional</w:t>
      </w:r>
      <w:r>
        <w:rPr>
          <w:spacing w:val="-14"/>
        </w:rPr>
        <w:t xml:space="preserve"> </w:t>
      </w:r>
      <w:r>
        <w:t>patient had an event of serious herpes zoster outside</w:t>
      </w:r>
      <w:r>
        <w:rPr>
          <w:spacing w:val="-7"/>
        </w:rPr>
        <w:t xml:space="preserve"> </w:t>
      </w:r>
      <w:r>
        <w:t>the reporting window.</w:t>
      </w:r>
    </w:p>
    <w:p w14:paraId="12B62C31" w14:textId="77777777" w:rsidR="001825E2" w:rsidRDefault="000839A5" w:rsidP="00CB00A7">
      <w:pPr>
        <w:pStyle w:val="Heading4"/>
        <w:spacing w:before="226"/>
        <w:ind w:left="219"/>
        <w:jc w:val="left"/>
      </w:pPr>
      <w:r>
        <w:rPr>
          <w:spacing w:val="-2"/>
        </w:rPr>
        <w:t>Mortality</w:t>
      </w:r>
    </w:p>
    <w:p w14:paraId="71C9FFC8" w14:textId="77777777" w:rsidR="001825E2" w:rsidRDefault="000839A5" w:rsidP="00CB00A7">
      <w:pPr>
        <w:spacing w:before="114"/>
        <w:ind w:left="219"/>
        <w:rPr>
          <w:i/>
          <w:sz w:val="24"/>
        </w:rPr>
      </w:pPr>
      <w:r>
        <w:rPr>
          <w:i/>
          <w:sz w:val="24"/>
        </w:rPr>
        <w:t>Rheumatoid</w:t>
      </w:r>
      <w:r>
        <w:rPr>
          <w:i/>
          <w:spacing w:val="-7"/>
          <w:sz w:val="24"/>
        </w:rPr>
        <w:t xml:space="preserve"> </w:t>
      </w:r>
      <w:r>
        <w:rPr>
          <w:i/>
          <w:spacing w:val="-2"/>
          <w:sz w:val="24"/>
        </w:rPr>
        <w:t>Arthritis</w:t>
      </w:r>
    </w:p>
    <w:p w14:paraId="6D668D65" w14:textId="77777777" w:rsidR="001825E2" w:rsidRDefault="000839A5" w:rsidP="00CB00A7">
      <w:pPr>
        <w:pStyle w:val="BodyText"/>
        <w:spacing w:before="134" w:line="235" w:lineRule="auto"/>
        <w:ind w:left="219"/>
        <w:jc w:val="left"/>
      </w:pPr>
      <w:r>
        <w:t>Results</w:t>
      </w:r>
      <w:r>
        <w:rPr>
          <w:spacing w:val="25"/>
        </w:rPr>
        <w:t xml:space="preserve"> </w:t>
      </w:r>
      <w:r>
        <w:t>from</w:t>
      </w:r>
      <w:r>
        <w:rPr>
          <w:spacing w:val="22"/>
        </w:rPr>
        <w:t xml:space="preserve"> </w:t>
      </w:r>
      <w:r>
        <w:t>final</w:t>
      </w:r>
      <w:r>
        <w:rPr>
          <w:spacing w:val="22"/>
        </w:rPr>
        <w:t xml:space="preserve"> </w:t>
      </w:r>
      <w:r>
        <w:t>safety data from</w:t>
      </w:r>
      <w:r>
        <w:rPr>
          <w:spacing w:val="22"/>
        </w:rPr>
        <w:t xml:space="preserve"> </w:t>
      </w:r>
      <w:r>
        <w:t>a</w:t>
      </w:r>
      <w:r>
        <w:rPr>
          <w:spacing w:val="27"/>
        </w:rPr>
        <w:t xml:space="preserve"> </w:t>
      </w:r>
      <w:proofErr w:type="gramStart"/>
      <w:r>
        <w:t>large</w:t>
      </w:r>
      <w:r>
        <w:rPr>
          <w:spacing w:val="27"/>
        </w:rPr>
        <w:t xml:space="preserve"> </w:t>
      </w:r>
      <w:proofErr w:type="spellStart"/>
      <w:r>
        <w:t>randomised</w:t>
      </w:r>
      <w:proofErr w:type="spellEnd"/>
      <w:proofErr w:type="gramEnd"/>
      <w:r>
        <w:rPr>
          <w:spacing w:val="40"/>
        </w:rPr>
        <w:t xml:space="preserve"> </w:t>
      </w:r>
      <w:r>
        <w:t>PASS</w:t>
      </w:r>
      <w:r>
        <w:rPr>
          <w:spacing w:val="30"/>
        </w:rPr>
        <w:t xml:space="preserve"> </w:t>
      </w:r>
      <w:r>
        <w:t>in</w:t>
      </w:r>
      <w:r>
        <w:rPr>
          <w:spacing w:val="29"/>
        </w:rPr>
        <w:t xml:space="preserve"> </w:t>
      </w:r>
      <w:r>
        <w:t>RA</w:t>
      </w:r>
      <w:r>
        <w:rPr>
          <w:spacing w:val="35"/>
        </w:rPr>
        <w:t xml:space="preserve"> </w:t>
      </w:r>
      <w:r>
        <w:t>patients who</w:t>
      </w:r>
      <w:r>
        <w:rPr>
          <w:spacing w:val="29"/>
        </w:rPr>
        <w:t xml:space="preserve"> </w:t>
      </w:r>
      <w:r>
        <w:t>were</w:t>
      </w:r>
      <w:r>
        <w:rPr>
          <w:spacing w:val="27"/>
        </w:rPr>
        <w:t xml:space="preserve"> </w:t>
      </w:r>
      <w:r>
        <w:t>50 years or</w:t>
      </w:r>
      <w:r>
        <w:rPr>
          <w:spacing w:val="-3"/>
        </w:rPr>
        <w:t xml:space="preserve"> </w:t>
      </w:r>
      <w:r>
        <w:t>older</w:t>
      </w:r>
      <w:r>
        <w:rPr>
          <w:spacing w:val="-3"/>
        </w:rPr>
        <w:t xml:space="preserve"> </w:t>
      </w:r>
      <w:r>
        <w:t>with</w:t>
      </w:r>
      <w:r>
        <w:rPr>
          <w:spacing w:val="-14"/>
        </w:rPr>
        <w:t xml:space="preserve"> </w:t>
      </w:r>
      <w:r>
        <w:t>at least one additional</w:t>
      </w:r>
      <w:r>
        <w:rPr>
          <w:spacing w:val="-21"/>
        </w:rPr>
        <w:t xml:space="preserve"> </w:t>
      </w:r>
      <w:r>
        <w:t>cardiovascular</w:t>
      </w:r>
      <w:r>
        <w:rPr>
          <w:spacing w:val="28"/>
        </w:rPr>
        <w:t xml:space="preserve"> </w:t>
      </w:r>
      <w:r>
        <w:t>risk factor,</w:t>
      </w:r>
      <w:r>
        <w:rPr>
          <w:spacing w:val="-15"/>
        </w:rPr>
        <w:t xml:space="preserve"> </w:t>
      </w:r>
      <w:r>
        <w:t>are presented as</w:t>
      </w:r>
      <w:r>
        <w:rPr>
          <w:spacing w:val="-2"/>
        </w:rPr>
        <w:t xml:space="preserve"> </w:t>
      </w:r>
      <w:r>
        <w:t>follows:</w:t>
      </w:r>
    </w:p>
    <w:p w14:paraId="124B51B5" w14:textId="77777777" w:rsidR="001825E2" w:rsidRDefault="000839A5" w:rsidP="00CB00A7">
      <w:pPr>
        <w:pStyle w:val="ListParagraph"/>
        <w:numPr>
          <w:ilvl w:val="0"/>
          <w:numId w:val="6"/>
        </w:numPr>
        <w:tabs>
          <w:tab w:val="left" w:pos="638"/>
        </w:tabs>
        <w:spacing w:before="258" w:line="230" w:lineRule="auto"/>
        <w:ind w:right="219"/>
        <w:jc w:val="left"/>
        <w:rPr>
          <w:sz w:val="24"/>
        </w:rPr>
      </w:pPr>
      <w:r>
        <w:rPr>
          <w:sz w:val="24"/>
        </w:rPr>
        <w:t>The IRs</w:t>
      </w:r>
      <w:r>
        <w:rPr>
          <w:spacing w:val="-1"/>
          <w:sz w:val="24"/>
        </w:rPr>
        <w:t xml:space="preserve"> </w:t>
      </w:r>
      <w:r>
        <w:rPr>
          <w:sz w:val="24"/>
        </w:rPr>
        <w:t>(95%</w:t>
      </w:r>
      <w:r>
        <w:rPr>
          <w:spacing w:val="-2"/>
          <w:sz w:val="24"/>
        </w:rPr>
        <w:t xml:space="preserve"> </w:t>
      </w:r>
      <w:r>
        <w:rPr>
          <w:sz w:val="24"/>
        </w:rPr>
        <w:t>CI)</w:t>
      </w:r>
      <w:r>
        <w:rPr>
          <w:spacing w:val="-2"/>
          <w:sz w:val="24"/>
        </w:rPr>
        <w:t xml:space="preserve"> </w:t>
      </w:r>
      <w:r>
        <w:rPr>
          <w:sz w:val="24"/>
        </w:rPr>
        <w:t>for</w:t>
      </w:r>
      <w:r>
        <w:rPr>
          <w:spacing w:val="-2"/>
          <w:sz w:val="24"/>
        </w:rPr>
        <w:t xml:space="preserve"> </w:t>
      </w:r>
      <w:r>
        <w:rPr>
          <w:sz w:val="24"/>
        </w:rPr>
        <w:t>all-cause mortality for</w:t>
      </w:r>
      <w:r>
        <w:rPr>
          <w:spacing w:val="-2"/>
          <w:sz w:val="24"/>
        </w:rPr>
        <w:t xml:space="preserve"> </w:t>
      </w:r>
      <w:r>
        <w:rPr>
          <w:sz w:val="24"/>
        </w:rPr>
        <w:t>XELJANZ 5 mg twice daily, XELJANZ 10 mg twice daily, all XELJANZ (combines 5 mg twice daily and 10 mg twice daily treatment</w:t>
      </w:r>
      <w:r>
        <w:rPr>
          <w:spacing w:val="16"/>
          <w:sz w:val="24"/>
        </w:rPr>
        <w:t xml:space="preserve"> </w:t>
      </w:r>
      <w:r>
        <w:rPr>
          <w:sz w:val="24"/>
        </w:rPr>
        <w:t>arms), and</w:t>
      </w:r>
      <w:r>
        <w:rPr>
          <w:spacing w:val="21"/>
          <w:sz w:val="24"/>
        </w:rPr>
        <w:t xml:space="preserve"> </w:t>
      </w:r>
      <w:r>
        <w:rPr>
          <w:sz w:val="24"/>
        </w:rPr>
        <w:t>TNF inhibitor were 0.50 (0.33, 0.74), 0.80 (0.57, 1.09), 0.65 (0.50,</w:t>
      </w:r>
    </w:p>
    <w:p w14:paraId="6E8A4386" w14:textId="77777777" w:rsidR="001825E2" w:rsidRDefault="000839A5" w:rsidP="00CB00A7">
      <w:pPr>
        <w:pStyle w:val="BodyText"/>
        <w:spacing w:before="10" w:line="242" w:lineRule="auto"/>
        <w:ind w:left="638" w:right="219"/>
        <w:jc w:val="left"/>
      </w:pPr>
      <w:r>
        <w:t>0.82), and 0.34</w:t>
      </w:r>
      <w:r>
        <w:rPr>
          <w:spacing w:val="-2"/>
        </w:rPr>
        <w:t xml:space="preserve"> </w:t>
      </w:r>
      <w:r>
        <w:t>(0.20, 0.54) events per 100 patient-years, respectively. Compared with TNF inhibitor, the hazard ratio (HR) (95% CI) for XELJANZ 5 mg twice daily, XELJANZ</w:t>
      </w:r>
      <w:r>
        <w:rPr>
          <w:spacing w:val="46"/>
        </w:rPr>
        <w:t xml:space="preserve"> </w:t>
      </w:r>
      <w:r>
        <w:t>10</w:t>
      </w:r>
      <w:r>
        <w:rPr>
          <w:spacing w:val="44"/>
        </w:rPr>
        <w:t xml:space="preserve"> </w:t>
      </w:r>
      <w:r>
        <w:t>mg</w:t>
      </w:r>
      <w:r>
        <w:rPr>
          <w:spacing w:val="29"/>
        </w:rPr>
        <w:t xml:space="preserve"> </w:t>
      </w:r>
      <w:r>
        <w:t>twice</w:t>
      </w:r>
      <w:r>
        <w:rPr>
          <w:spacing w:val="27"/>
        </w:rPr>
        <w:t xml:space="preserve"> </w:t>
      </w:r>
      <w:r>
        <w:t>daily,</w:t>
      </w:r>
      <w:r>
        <w:rPr>
          <w:spacing w:val="44"/>
        </w:rPr>
        <w:t xml:space="preserve"> </w:t>
      </w:r>
      <w:r>
        <w:t>and</w:t>
      </w:r>
      <w:r>
        <w:rPr>
          <w:spacing w:val="59"/>
        </w:rPr>
        <w:t xml:space="preserve"> </w:t>
      </w:r>
      <w:r>
        <w:t>all</w:t>
      </w:r>
      <w:r>
        <w:rPr>
          <w:spacing w:val="36"/>
        </w:rPr>
        <w:t xml:space="preserve"> </w:t>
      </w:r>
      <w:r>
        <w:t>XELJANZ</w:t>
      </w:r>
      <w:r>
        <w:rPr>
          <w:spacing w:val="32"/>
        </w:rPr>
        <w:t xml:space="preserve"> </w:t>
      </w:r>
      <w:r>
        <w:t>were</w:t>
      </w:r>
      <w:r>
        <w:rPr>
          <w:spacing w:val="42"/>
        </w:rPr>
        <w:t xml:space="preserve"> </w:t>
      </w:r>
      <w:r>
        <w:t>1.49</w:t>
      </w:r>
      <w:r>
        <w:rPr>
          <w:spacing w:val="44"/>
        </w:rPr>
        <w:t xml:space="preserve"> </w:t>
      </w:r>
      <w:r>
        <w:t>(0.81,</w:t>
      </w:r>
      <w:r>
        <w:rPr>
          <w:spacing w:val="44"/>
        </w:rPr>
        <w:t xml:space="preserve"> </w:t>
      </w:r>
      <w:r>
        <w:t>2.74),</w:t>
      </w:r>
      <w:r>
        <w:rPr>
          <w:spacing w:val="44"/>
        </w:rPr>
        <w:t xml:space="preserve"> </w:t>
      </w:r>
      <w:r>
        <w:t>2.37</w:t>
      </w:r>
      <w:r>
        <w:rPr>
          <w:spacing w:val="44"/>
        </w:rPr>
        <w:t xml:space="preserve"> </w:t>
      </w:r>
      <w:r>
        <w:rPr>
          <w:spacing w:val="-2"/>
        </w:rPr>
        <w:t>(1.34,</w:t>
      </w:r>
    </w:p>
    <w:p w14:paraId="494D636A" w14:textId="77777777" w:rsidR="001825E2" w:rsidRDefault="000839A5" w:rsidP="00CB00A7">
      <w:pPr>
        <w:pStyle w:val="BodyText"/>
        <w:spacing w:line="265" w:lineRule="exact"/>
        <w:ind w:left="638"/>
        <w:jc w:val="left"/>
      </w:pPr>
      <w:r>
        <w:t>4.18),</w:t>
      </w:r>
      <w:r>
        <w:rPr>
          <w:spacing w:val="-4"/>
        </w:rPr>
        <w:t xml:space="preserve"> </w:t>
      </w:r>
      <w:r>
        <w:t>and</w:t>
      </w:r>
      <w:r>
        <w:rPr>
          <w:spacing w:val="-3"/>
        </w:rPr>
        <w:t xml:space="preserve"> </w:t>
      </w:r>
      <w:r>
        <w:t>1.91</w:t>
      </w:r>
      <w:r>
        <w:rPr>
          <w:spacing w:val="-3"/>
        </w:rPr>
        <w:t xml:space="preserve"> </w:t>
      </w:r>
      <w:r>
        <w:t>(1.12,</w:t>
      </w:r>
      <w:r>
        <w:rPr>
          <w:spacing w:val="11"/>
        </w:rPr>
        <w:t xml:space="preserve"> </w:t>
      </w:r>
      <w:r>
        <w:t>3.27),</w:t>
      </w:r>
      <w:r>
        <w:rPr>
          <w:spacing w:val="-3"/>
        </w:rPr>
        <w:t xml:space="preserve"> </w:t>
      </w:r>
      <w:r>
        <w:rPr>
          <w:spacing w:val="-2"/>
        </w:rPr>
        <w:t>respectively.</w:t>
      </w:r>
    </w:p>
    <w:p w14:paraId="38EBBD8A" w14:textId="77777777" w:rsidR="001825E2" w:rsidRDefault="000839A5" w:rsidP="00CB00A7">
      <w:pPr>
        <w:pStyle w:val="ListParagraph"/>
        <w:numPr>
          <w:ilvl w:val="0"/>
          <w:numId w:val="6"/>
        </w:numPr>
        <w:tabs>
          <w:tab w:val="left" w:pos="638"/>
        </w:tabs>
        <w:spacing w:before="237" w:line="237" w:lineRule="auto"/>
        <w:ind w:right="220"/>
        <w:jc w:val="left"/>
        <w:rPr>
          <w:sz w:val="24"/>
        </w:rPr>
      </w:pPr>
      <w:r>
        <w:rPr>
          <w:sz w:val="24"/>
        </w:rPr>
        <w:t>The IRs (95% CI) for deaths associated with infection for XELJANZ 5 mg twice daily, XELJANZ 10 mg twice daily, all XELJANZ (combines 5 mg twice daily and 10 mg twice</w:t>
      </w:r>
      <w:r>
        <w:rPr>
          <w:spacing w:val="-8"/>
          <w:sz w:val="24"/>
        </w:rPr>
        <w:t xml:space="preserve"> </w:t>
      </w:r>
      <w:r>
        <w:rPr>
          <w:sz w:val="24"/>
        </w:rPr>
        <w:t>daily treatment</w:t>
      </w:r>
      <w:r>
        <w:rPr>
          <w:spacing w:val="15"/>
          <w:sz w:val="24"/>
        </w:rPr>
        <w:t xml:space="preserve"> </w:t>
      </w:r>
      <w:r>
        <w:rPr>
          <w:sz w:val="24"/>
        </w:rPr>
        <w:t>arms), and</w:t>
      </w:r>
      <w:r>
        <w:rPr>
          <w:spacing w:val="21"/>
          <w:sz w:val="24"/>
        </w:rPr>
        <w:t xml:space="preserve"> </w:t>
      </w:r>
      <w:r>
        <w:rPr>
          <w:sz w:val="24"/>
        </w:rPr>
        <w:t>TNF inhibitor were 0.08 (0.02, 0.20), 0.18 (0.08, 0.35),</w:t>
      </w:r>
    </w:p>
    <w:p w14:paraId="46D31D6A" w14:textId="77777777" w:rsidR="001825E2" w:rsidRDefault="000839A5" w:rsidP="00CB00A7">
      <w:pPr>
        <w:pStyle w:val="BodyText"/>
        <w:spacing w:before="11" w:line="235" w:lineRule="auto"/>
        <w:ind w:left="638" w:right="218"/>
        <w:jc w:val="left"/>
      </w:pPr>
      <w:r>
        <w:t>0.13</w:t>
      </w:r>
      <w:r>
        <w:rPr>
          <w:spacing w:val="-3"/>
        </w:rPr>
        <w:t xml:space="preserve"> </w:t>
      </w:r>
      <w:r>
        <w:t>(0.07,</w:t>
      </w:r>
      <w:r>
        <w:rPr>
          <w:spacing w:val="-3"/>
        </w:rPr>
        <w:t xml:space="preserve"> </w:t>
      </w:r>
      <w:r>
        <w:t>0.22), and 0.06 (0.01, 0.17) events per 100 patient-years, respectively. Compared with</w:t>
      </w:r>
      <w:r>
        <w:rPr>
          <w:spacing w:val="-3"/>
        </w:rPr>
        <w:t xml:space="preserve"> </w:t>
      </w:r>
      <w:r>
        <w:t>TNF</w:t>
      </w:r>
      <w:r>
        <w:rPr>
          <w:spacing w:val="-2"/>
        </w:rPr>
        <w:t xml:space="preserve"> </w:t>
      </w:r>
      <w:r>
        <w:t>inhibitor,</w:t>
      </w:r>
      <w:r>
        <w:rPr>
          <w:spacing w:val="-3"/>
        </w:rPr>
        <w:t xml:space="preserve"> </w:t>
      </w:r>
      <w:r>
        <w:t>the</w:t>
      </w:r>
      <w:r>
        <w:rPr>
          <w:spacing w:val="-5"/>
        </w:rPr>
        <w:t xml:space="preserve"> </w:t>
      </w:r>
      <w:r>
        <w:t>hazard ratio</w:t>
      </w:r>
      <w:r>
        <w:rPr>
          <w:spacing w:val="-3"/>
        </w:rPr>
        <w:t xml:space="preserve"> </w:t>
      </w:r>
      <w:r>
        <w:t>(HR)</w:t>
      </w:r>
      <w:r>
        <w:rPr>
          <w:spacing w:val="-7"/>
        </w:rPr>
        <w:t xml:space="preserve"> </w:t>
      </w:r>
      <w:r>
        <w:t>(95%</w:t>
      </w:r>
      <w:r>
        <w:rPr>
          <w:spacing w:val="-7"/>
        </w:rPr>
        <w:t xml:space="preserve"> </w:t>
      </w:r>
      <w:r>
        <w:t>CI)</w:t>
      </w:r>
      <w:r>
        <w:rPr>
          <w:spacing w:val="-7"/>
        </w:rPr>
        <w:t xml:space="preserve"> </w:t>
      </w:r>
      <w:r>
        <w:t>for</w:t>
      </w:r>
      <w:r>
        <w:rPr>
          <w:spacing w:val="-7"/>
        </w:rPr>
        <w:t xml:space="preserve"> </w:t>
      </w:r>
      <w:r>
        <w:t>XELJANZ 5</w:t>
      </w:r>
      <w:r>
        <w:rPr>
          <w:spacing w:val="-3"/>
        </w:rPr>
        <w:t xml:space="preserve"> </w:t>
      </w:r>
      <w:r>
        <w:t>mg</w:t>
      </w:r>
      <w:r>
        <w:rPr>
          <w:spacing w:val="-3"/>
        </w:rPr>
        <w:t xml:space="preserve"> </w:t>
      </w:r>
      <w:r>
        <w:t>twice daily,</w:t>
      </w:r>
      <w:r>
        <w:rPr>
          <w:spacing w:val="43"/>
        </w:rPr>
        <w:t xml:space="preserve"> </w:t>
      </w:r>
      <w:r>
        <w:t>XELJANZ</w:t>
      </w:r>
      <w:r>
        <w:rPr>
          <w:spacing w:val="47"/>
        </w:rPr>
        <w:t xml:space="preserve"> </w:t>
      </w:r>
      <w:r>
        <w:t>10</w:t>
      </w:r>
      <w:r>
        <w:rPr>
          <w:spacing w:val="-1"/>
        </w:rPr>
        <w:t xml:space="preserve"> </w:t>
      </w:r>
      <w:r>
        <w:t>mg</w:t>
      </w:r>
      <w:r>
        <w:rPr>
          <w:spacing w:val="44"/>
        </w:rPr>
        <w:t xml:space="preserve"> </w:t>
      </w:r>
      <w:r>
        <w:t>twice</w:t>
      </w:r>
      <w:r>
        <w:rPr>
          <w:spacing w:val="41"/>
        </w:rPr>
        <w:t xml:space="preserve"> </w:t>
      </w:r>
      <w:r>
        <w:t>daily,</w:t>
      </w:r>
      <w:r>
        <w:rPr>
          <w:spacing w:val="44"/>
        </w:rPr>
        <w:t xml:space="preserve"> </w:t>
      </w:r>
      <w:r>
        <w:t>and</w:t>
      </w:r>
      <w:r>
        <w:rPr>
          <w:spacing w:val="58"/>
        </w:rPr>
        <w:t xml:space="preserve"> </w:t>
      </w:r>
      <w:r>
        <w:t>all</w:t>
      </w:r>
      <w:r>
        <w:rPr>
          <w:spacing w:val="37"/>
        </w:rPr>
        <w:t xml:space="preserve"> </w:t>
      </w:r>
      <w:r>
        <w:t>XELJANZ</w:t>
      </w:r>
      <w:r>
        <w:rPr>
          <w:spacing w:val="47"/>
        </w:rPr>
        <w:t xml:space="preserve"> </w:t>
      </w:r>
      <w:r>
        <w:t>were</w:t>
      </w:r>
      <w:r>
        <w:rPr>
          <w:spacing w:val="42"/>
        </w:rPr>
        <w:t xml:space="preserve"> </w:t>
      </w:r>
      <w:r>
        <w:t>1.30</w:t>
      </w:r>
      <w:r>
        <w:rPr>
          <w:spacing w:val="43"/>
        </w:rPr>
        <w:t xml:space="preserve"> </w:t>
      </w:r>
      <w:r>
        <w:t>(0.29,</w:t>
      </w:r>
      <w:r>
        <w:rPr>
          <w:spacing w:val="44"/>
        </w:rPr>
        <w:t xml:space="preserve"> </w:t>
      </w:r>
      <w:r>
        <w:t>5.79),</w:t>
      </w:r>
      <w:r>
        <w:rPr>
          <w:spacing w:val="44"/>
        </w:rPr>
        <w:t xml:space="preserve"> </w:t>
      </w:r>
      <w:proofErr w:type="gramStart"/>
      <w:r>
        <w:rPr>
          <w:spacing w:val="-4"/>
        </w:rPr>
        <w:t>3.10</w:t>
      </w:r>
      <w:proofErr w:type="gramEnd"/>
    </w:p>
    <w:p w14:paraId="2C1C53E2" w14:textId="77777777" w:rsidR="001825E2" w:rsidRDefault="000839A5" w:rsidP="00CB00A7">
      <w:pPr>
        <w:pStyle w:val="BodyText"/>
        <w:spacing w:before="9"/>
        <w:ind w:left="637"/>
        <w:jc w:val="left"/>
      </w:pPr>
      <w:r>
        <w:t>(0.84,</w:t>
      </w:r>
      <w:r>
        <w:rPr>
          <w:spacing w:val="-4"/>
        </w:rPr>
        <w:t xml:space="preserve"> </w:t>
      </w:r>
      <w:r>
        <w:t>11.45),</w:t>
      </w:r>
      <w:r>
        <w:rPr>
          <w:spacing w:val="11"/>
        </w:rPr>
        <w:t xml:space="preserve"> </w:t>
      </w:r>
      <w:r>
        <w:t>and</w:t>
      </w:r>
      <w:r>
        <w:rPr>
          <w:spacing w:val="-3"/>
        </w:rPr>
        <w:t xml:space="preserve"> </w:t>
      </w:r>
      <w:r>
        <w:t>2.17</w:t>
      </w:r>
      <w:r>
        <w:rPr>
          <w:spacing w:val="-4"/>
        </w:rPr>
        <w:t xml:space="preserve"> </w:t>
      </w:r>
      <w:r>
        <w:t>(0.62,</w:t>
      </w:r>
      <w:r>
        <w:rPr>
          <w:spacing w:val="-3"/>
        </w:rPr>
        <w:t xml:space="preserve"> </w:t>
      </w:r>
      <w:r>
        <w:t>7.62),</w:t>
      </w:r>
      <w:r>
        <w:rPr>
          <w:spacing w:val="11"/>
        </w:rPr>
        <w:t xml:space="preserve"> </w:t>
      </w:r>
      <w:r>
        <w:rPr>
          <w:spacing w:val="-2"/>
        </w:rPr>
        <w:t>respectively.</w:t>
      </w:r>
    </w:p>
    <w:p w14:paraId="55CADFEA" w14:textId="77777777" w:rsidR="001825E2" w:rsidRDefault="000839A5" w:rsidP="00CB00A7">
      <w:pPr>
        <w:pStyle w:val="ListParagraph"/>
        <w:numPr>
          <w:ilvl w:val="0"/>
          <w:numId w:val="6"/>
        </w:numPr>
        <w:tabs>
          <w:tab w:val="left" w:pos="637"/>
        </w:tabs>
        <w:spacing w:before="234"/>
        <w:ind w:left="637" w:right="215"/>
        <w:jc w:val="left"/>
        <w:rPr>
          <w:sz w:val="24"/>
        </w:rPr>
      </w:pPr>
      <w:r>
        <w:rPr>
          <w:sz w:val="24"/>
        </w:rPr>
        <w:t>The IRs (95% CI) for deaths associated with cardiovascular events for XELJANZ 5 mg twice daily, XELJANZ 10 mg twice daily, all XELJANZ (combines 5 mg twice daily</w:t>
      </w:r>
      <w:r>
        <w:rPr>
          <w:spacing w:val="40"/>
          <w:sz w:val="24"/>
        </w:rPr>
        <w:t xml:space="preserve"> </w:t>
      </w:r>
      <w:r>
        <w:rPr>
          <w:sz w:val="24"/>
        </w:rPr>
        <w:t>and 10 mg twice daily treatment arms), and TNF inhibitor were 0.25 (0.13, 0.43), 0.41 (0.25, 0.63), 0.33</w:t>
      </w:r>
      <w:r>
        <w:rPr>
          <w:spacing w:val="-2"/>
          <w:sz w:val="24"/>
        </w:rPr>
        <w:t xml:space="preserve"> </w:t>
      </w:r>
      <w:r>
        <w:rPr>
          <w:sz w:val="24"/>
        </w:rPr>
        <w:t>(0.23, 0.46), and 0.20 (0.10, 0.36) events per 100 patient-years, respectively. Compared with TNF inhibitor, the hazard ratio (HR) (95% CI) for XELJANZ 5 mg twice</w:t>
      </w:r>
      <w:r>
        <w:rPr>
          <w:spacing w:val="-2"/>
          <w:sz w:val="24"/>
        </w:rPr>
        <w:t xml:space="preserve"> </w:t>
      </w:r>
      <w:r>
        <w:rPr>
          <w:sz w:val="24"/>
        </w:rPr>
        <w:t>daily, XELJANZ 10 mg twice</w:t>
      </w:r>
      <w:r>
        <w:rPr>
          <w:spacing w:val="-2"/>
          <w:sz w:val="24"/>
        </w:rPr>
        <w:t xml:space="preserve"> </w:t>
      </w:r>
      <w:r>
        <w:rPr>
          <w:sz w:val="24"/>
        </w:rPr>
        <w:t>daily, and all</w:t>
      </w:r>
      <w:r>
        <w:rPr>
          <w:spacing w:val="-7"/>
          <w:sz w:val="24"/>
        </w:rPr>
        <w:t xml:space="preserve"> </w:t>
      </w:r>
      <w:r>
        <w:rPr>
          <w:sz w:val="24"/>
        </w:rPr>
        <w:t>XELJANZ were</w:t>
      </w:r>
      <w:r>
        <w:rPr>
          <w:spacing w:val="-2"/>
          <w:sz w:val="24"/>
        </w:rPr>
        <w:t xml:space="preserve"> </w:t>
      </w:r>
      <w:r>
        <w:rPr>
          <w:sz w:val="24"/>
        </w:rPr>
        <w:t>1.26 (0.55, 2.88), 2.05 (0.96, 4.39), and 1.65 (0.81, 3.34), respectively.</w:t>
      </w:r>
    </w:p>
    <w:p w14:paraId="62FCF38A" w14:textId="77777777" w:rsidR="001825E2" w:rsidRDefault="000839A5" w:rsidP="00CB00A7">
      <w:pPr>
        <w:pStyle w:val="ListParagraph"/>
        <w:numPr>
          <w:ilvl w:val="0"/>
          <w:numId w:val="6"/>
        </w:numPr>
        <w:tabs>
          <w:tab w:val="left" w:pos="637"/>
        </w:tabs>
        <w:spacing w:before="234" w:line="237" w:lineRule="auto"/>
        <w:ind w:left="637" w:right="219"/>
        <w:jc w:val="left"/>
        <w:rPr>
          <w:sz w:val="24"/>
        </w:rPr>
      </w:pPr>
      <w:r>
        <w:rPr>
          <w:sz w:val="24"/>
        </w:rPr>
        <w:t>The IRs (95% CI) for deaths associated with malignancies for XELJANZ 5 mg twice daily, XELJANZ 10 mg twice daily, all XELJANZ (combines 5 mg twice daily and 10 mg</w:t>
      </w:r>
      <w:r>
        <w:rPr>
          <w:spacing w:val="25"/>
          <w:sz w:val="24"/>
        </w:rPr>
        <w:t xml:space="preserve"> </w:t>
      </w:r>
      <w:r>
        <w:rPr>
          <w:sz w:val="24"/>
        </w:rPr>
        <w:t>twice</w:t>
      </w:r>
      <w:r>
        <w:rPr>
          <w:spacing w:val="23"/>
          <w:sz w:val="24"/>
        </w:rPr>
        <w:t xml:space="preserve"> </w:t>
      </w:r>
      <w:r>
        <w:rPr>
          <w:sz w:val="24"/>
        </w:rPr>
        <w:t>daily</w:t>
      </w:r>
      <w:r>
        <w:rPr>
          <w:spacing w:val="25"/>
          <w:sz w:val="24"/>
        </w:rPr>
        <w:t xml:space="preserve"> </w:t>
      </w:r>
      <w:r>
        <w:rPr>
          <w:sz w:val="24"/>
        </w:rPr>
        <w:t>treatment</w:t>
      </w:r>
      <w:r>
        <w:rPr>
          <w:spacing w:val="33"/>
          <w:sz w:val="24"/>
        </w:rPr>
        <w:t xml:space="preserve"> </w:t>
      </w:r>
      <w:r>
        <w:rPr>
          <w:sz w:val="24"/>
        </w:rPr>
        <w:t>arms),</w:t>
      </w:r>
      <w:r>
        <w:rPr>
          <w:spacing w:val="25"/>
          <w:sz w:val="24"/>
        </w:rPr>
        <w:t xml:space="preserve"> </w:t>
      </w:r>
      <w:r>
        <w:rPr>
          <w:sz w:val="24"/>
        </w:rPr>
        <w:t>and</w:t>
      </w:r>
      <w:r>
        <w:rPr>
          <w:spacing w:val="39"/>
          <w:sz w:val="24"/>
        </w:rPr>
        <w:t xml:space="preserve"> </w:t>
      </w:r>
      <w:r>
        <w:rPr>
          <w:sz w:val="24"/>
        </w:rPr>
        <w:t>TNF</w:t>
      </w:r>
      <w:r>
        <w:rPr>
          <w:spacing w:val="26"/>
          <w:sz w:val="24"/>
        </w:rPr>
        <w:t xml:space="preserve"> </w:t>
      </w:r>
      <w:r>
        <w:rPr>
          <w:sz w:val="24"/>
        </w:rPr>
        <w:t>inhibitor</w:t>
      </w:r>
      <w:r>
        <w:rPr>
          <w:spacing w:val="20"/>
          <w:sz w:val="24"/>
        </w:rPr>
        <w:t xml:space="preserve"> </w:t>
      </w:r>
      <w:r>
        <w:rPr>
          <w:sz w:val="24"/>
        </w:rPr>
        <w:t>were</w:t>
      </w:r>
      <w:r>
        <w:rPr>
          <w:spacing w:val="23"/>
          <w:sz w:val="24"/>
        </w:rPr>
        <w:t xml:space="preserve"> </w:t>
      </w:r>
      <w:r>
        <w:rPr>
          <w:sz w:val="24"/>
        </w:rPr>
        <w:t>0.10</w:t>
      </w:r>
      <w:r>
        <w:rPr>
          <w:spacing w:val="25"/>
          <w:sz w:val="24"/>
        </w:rPr>
        <w:t xml:space="preserve"> </w:t>
      </w:r>
      <w:r>
        <w:rPr>
          <w:sz w:val="24"/>
        </w:rPr>
        <w:t>(0.03,</w:t>
      </w:r>
      <w:r>
        <w:rPr>
          <w:spacing w:val="25"/>
          <w:sz w:val="24"/>
        </w:rPr>
        <w:t xml:space="preserve"> </w:t>
      </w:r>
      <w:r>
        <w:rPr>
          <w:sz w:val="24"/>
        </w:rPr>
        <w:t>0.23),</w:t>
      </w:r>
      <w:r>
        <w:rPr>
          <w:spacing w:val="25"/>
          <w:sz w:val="24"/>
        </w:rPr>
        <w:t xml:space="preserve"> </w:t>
      </w:r>
      <w:r>
        <w:rPr>
          <w:sz w:val="24"/>
        </w:rPr>
        <w:t>0.00</w:t>
      </w:r>
      <w:r>
        <w:rPr>
          <w:spacing w:val="39"/>
          <w:sz w:val="24"/>
        </w:rPr>
        <w:t xml:space="preserve"> </w:t>
      </w:r>
      <w:r>
        <w:rPr>
          <w:sz w:val="24"/>
        </w:rPr>
        <w:t>(0.00,</w:t>
      </w:r>
    </w:p>
    <w:p w14:paraId="1D17E5AD" w14:textId="77777777" w:rsidR="001825E2" w:rsidRDefault="000839A5" w:rsidP="00CB00A7">
      <w:pPr>
        <w:pStyle w:val="BodyText"/>
        <w:spacing w:line="242" w:lineRule="auto"/>
        <w:ind w:left="636" w:right="219"/>
        <w:jc w:val="left"/>
      </w:pPr>
      <w:r>
        <w:t>0.08), 0.05</w:t>
      </w:r>
      <w:r>
        <w:rPr>
          <w:spacing w:val="-4"/>
        </w:rPr>
        <w:t xml:space="preserve"> </w:t>
      </w:r>
      <w:r>
        <w:t>(0.02,</w:t>
      </w:r>
      <w:r>
        <w:rPr>
          <w:spacing w:val="-4"/>
        </w:rPr>
        <w:t xml:space="preserve"> </w:t>
      </w:r>
      <w:r>
        <w:t>0.12), and 0.02 (0.00, 0.11) events per 100 patient-years, respectively. Compared with</w:t>
      </w:r>
      <w:r>
        <w:rPr>
          <w:spacing w:val="-3"/>
        </w:rPr>
        <w:t xml:space="preserve"> </w:t>
      </w:r>
      <w:r>
        <w:t>TNF</w:t>
      </w:r>
      <w:r>
        <w:rPr>
          <w:spacing w:val="-2"/>
        </w:rPr>
        <w:t xml:space="preserve"> </w:t>
      </w:r>
      <w:r>
        <w:t>inhibitor,</w:t>
      </w:r>
      <w:r>
        <w:rPr>
          <w:spacing w:val="-3"/>
        </w:rPr>
        <w:t xml:space="preserve"> </w:t>
      </w:r>
      <w:r>
        <w:t>the</w:t>
      </w:r>
      <w:r>
        <w:rPr>
          <w:spacing w:val="-4"/>
        </w:rPr>
        <w:t xml:space="preserve"> </w:t>
      </w:r>
      <w:r>
        <w:t>hazard ratio</w:t>
      </w:r>
      <w:r>
        <w:rPr>
          <w:spacing w:val="-3"/>
        </w:rPr>
        <w:t xml:space="preserve"> </w:t>
      </w:r>
      <w:r>
        <w:t>(HR)</w:t>
      </w:r>
      <w:r>
        <w:rPr>
          <w:spacing w:val="-7"/>
        </w:rPr>
        <w:t xml:space="preserve"> </w:t>
      </w:r>
      <w:r>
        <w:t>(95%</w:t>
      </w:r>
      <w:r>
        <w:rPr>
          <w:spacing w:val="-7"/>
        </w:rPr>
        <w:t xml:space="preserve"> </w:t>
      </w:r>
      <w:r>
        <w:t>CI)</w:t>
      </w:r>
      <w:r>
        <w:rPr>
          <w:spacing w:val="-7"/>
        </w:rPr>
        <w:t xml:space="preserve"> </w:t>
      </w:r>
      <w:r>
        <w:t>for</w:t>
      </w:r>
      <w:r>
        <w:rPr>
          <w:spacing w:val="-7"/>
        </w:rPr>
        <w:t xml:space="preserve"> </w:t>
      </w:r>
      <w:r>
        <w:t>XELJANZ 5</w:t>
      </w:r>
      <w:r>
        <w:rPr>
          <w:spacing w:val="-3"/>
        </w:rPr>
        <w:t xml:space="preserve"> </w:t>
      </w:r>
      <w:r>
        <w:t>mg</w:t>
      </w:r>
      <w:r>
        <w:rPr>
          <w:spacing w:val="-3"/>
        </w:rPr>
        <w:t xml:space="preserve"> </w:t>
      </w:r>
      <w:r>
        <w:t>twice daily,</w:t>
      </w:r>
      <w:r>
        <w:rPr>
          <w:spacing w:val="11"/>
        </w:rPr>
        <w:t xml:space="preserve"> </w:t>
      </w:r>
      <w:r>
        <w:t>XELJANZ</w:t>
      </w:r>
      <w:r>
        <w:rPr>
          <w:spacing w:val="1"/>
        </w:rPr>
        <w:t xml:space="preserve"> </w:t>
      </w:r>
      <w:r>
        <w:t>10</w:t>
      </w:r>
      <w:r>
        <w:rPr>
          <w:spacing w:val="-2"/>
        </w:rPr>
        <w:t xml:space="preserve"> </w:t>
      </w:r>
      <w:r>
        <w:t>mg</w:t>
      </w:r>
      <w:r>
        <w:rPr>
          <w:spacing w:val="13"/>
        </w:rPr>
        <w:t xml:space="preserve"> </w:t>
      </w:r>
      <w:r>
        <w:t>twice</w:t>
      </w:r>
      <w:r>
        <w:rPr>
          <w:spacing w:val="-4"/>
        </w:rPr>
        <w:t xml:space="preserve"> </w:t>
      </w:r>
      <w:r>
        <w:t>daily,</w:t>
      </w:r>
      <w:r>
        <w:rPr>
          <w:spacing w:val="13"/>
        </w:rPr>
        <w:t xml:space="preserve"> </w:t>
      </w:r>
      <w:r>
        <w:t>and</w:t>
      </w:r>
      <w:r>
        <w:rPr>
          <w:spacing w:val="27"/>
        </w:rPr>
        <w:t xml:space="preserve"> </w:t>
      </w:r>
      <w:r>
        <w:t>all</w:t>
      </w:r>
      <w:r>
        <w:rPr>
          <w:spacing w:val="6"/>
        </w:rPr>
        <w:t xml:space="preserve"> </w:t>
      </w:r>
      <w:r>
        <w:t>XELJANZ</w:t>
      </w:r>
      <w:r>
        <w:rPr>
          <w:spacing w:val="1"/>
        </w:rPr>
        <w:t xml:space="preserve"> </w:t>
      </w:r>
      <w:r>
        <w:t>were</w:t>
      </w:r>
      <w:r>
        <w:rPr>
          <w:spacing w:val="10"/>
        </w:rPr>
        <w:t xml:space="preserve"> </w:t>
      </w:r>
      <w:r>
        <w:t>4.88</w:t>
      </w:r>
      <w:r>
        <w:rPr>
          <w:spacing w:val="13"/>
        </w:rPr>
        <w:t xml:space="preserve"> </w:t>
      </w:r>
      <w:r>
        <w:t>(0.57,</w:t>
      </w:r>
      <w:r>
        <w:rPr>
          <w:spacing w:val="13"/>
        </w:rPr>
        <w:t xml:space="preserve"> </w:t>
      </w:r>
      <w:r>
        <w:t>41.74),</w:t>
      </w:r>
      <w:r>
        <w:rPr>
          <w:spacing w:val="12"/>
        </w:rPr>
        <w:t xml:space="preserve"> </w:t>
      </w:r>
      <w:r>
        <w:t>0</w:t>
      </w:r>
      <w:r>
        <w:rPr>
          <w:spacing w:val="-1"/>
        </w:rPr>
        <w:t xml:space="preserve"> </w:t>
      </w:r>
      <w:r>
        <w:rPr>
          <w:spacing w:val="-2"/>
        </w:rPr>
        <w:t>(0.00,</w:t>
      </w:r>
    </w:p>
    <w:p w14:paraId="38D2F0F2" w14:textId="77777777" w:rsidR="001825E2" w:rsidRDefault="000839A5" w:rsidP="00CB00A7">
      <w:pPr>
        <w:pStyle w:val="BodyText"/>
        <w:spacing w:line="265" w:lineRule="exact"/>
        <w:ind w:left="636"/>
        <w:jc w:val="left"/>
      </w:pPr>
      <w:r>
        <w:t>Inf),</w:t>
      </w:r>
      <w:r>
        <w:rPr>
          <w:spacing w:val="-15"/>
        </w:rPr>
        <w:t xml:space="preserve"> </w:t>
      </w:r>
      <w:r>
        <w:t>and</w:t>
      </w:r>
      <w:r>
        <w:rPr>
          <w:spacing w:val="1"/>
        </w:rPr>
        <w:t xml:space="preserve"> </w:t>
      </w:r>
      <w:r>
        <w:t>2.53 (0.30,</w:t>
      </w:r>
      <w:r>
        <w:rPr>
          <w:spacing w:val="1"/>
        </w:rPr>
        <w:t xml:space="preserve"> </w:t>
      </w:r>
      <w:r>
        <w:t>21.64),</w:t>
      </w:r>
      <w:r>
        <w:rPr>
          <w:spacing w:val="16"/>
        </w:rPr>
        <w:t xml:space="preserve"> </w:t>
      </w:r>
      <w:r>
        <w:rPr>
          <w:spacing w:val="-2"/>
        </w:rPr>
        <w:t>respectively.</w:t>
      </w:r>
    </w:p>
    <w:p w14:paraId="0F723841" w14:textId="77777777" w:rsidR="001825E2" w:rsidRDefault="000839A5" w:rsidP="00CB00A7">
      <w:pPr>
        <w:pStyle w:val="ListParagraph"/>
        <w:numPr>
          <w:ilvl w:val="0"/>
          <w:numId w:val="6"/>
        </w:numPr>
        <w:tabs>
          <w:tab w:val="left" w:pos="636"/>
        </w:tabs>
        <w:spacing w:before="246" w:line="235" w:lineRule="auto"/>
        <w:ind w:left="636" w:right="221"/>
        <w:jc w:val="left"/>
        <w:rPr>
          <w:sz w:val="24"/>
        </w:rPr>
      </w:pPr>
      <w:r>
        <w:rPr>
          <w:sz w:val="24"/>
        </w:rPr>
        <w:t>The IRs (95% CI) for deaths associated with other causes (excluding infections, cardiovascular events, malignancies) for XELJANZ 5 mg</w:t>
      </w:r>
      <w:r>
        <w:rPr>
          <w:spacing w:val="-3"/>
          <w:sz w:val="24"/>
        </w:rPr>
        <w:t xml:space="preserve"> </w:t>
      </w:r>
      <w:r>
        <w:rPr>
          <w:sz w:val="24"/>
        </w:rPr>
        <w:t>twice</w:t>
      </w:r>
      <w:r>
        <w:rPr>
          <w:spacing w:val="-5"/>
          <w:sz w:val="24"/>
        </w:rPr>
        <w:t xml:space="preserve"> </w:t>
      </w:r>
      <w:r>
        <w:rPr>
          <w:sz w:val="24"/>
        </w:rPr>
        <w:t>daily, XELJANZ 10</w:t>
      </w:r>
      <w:r>
        <w:rPr>
          <w:spacing w:val="-3"/>
          <w:sz w:val="24"/>
        </w:rPr>
        <w:t xml:space="preserve"> </w:t>
      </w:r>
      <w:r>
        <w:rPr>
          <w:sz w:val="24"/>
        </w:rPr>
        <w:t>mg twice daily, all XELJANZ (combines 5 mg twice daily and 10 mg twice</w:t>
      </w:r>
      <w:r>
        <w:rPr>
          <w:spacing w:val="-4"/>
          <w:sz w:val="24"/>
        </w:rPr>
        <w:t xml:space="preserve"> </w:t>
      </w:r>
      <w:r>
        <w:rPr>
          <w:sz w:val="24"/>
        </w:rPr>
        <w:t>daily treatment arms), and TNF inhibitor</w:t>
      </w:r>
      <w:r>
        <w:rPr>
          <w:spacing w:val="-10"/>
          <w:sz w:val="24"/>
        </w:rPr>
        <w:t xml:space="preserve"> </w:t>
      </w:r>
      <w:r>
        <w:rPr>
          <w:sz w:val="24"/>
        </w:rPr>
        <w:t>were</w:t>
      </w:r>
      <w:r>
        <w:rPr>
          <w:spacing w:val="-7"/>
          <w:sz w:val="24"/>
        </w:rPr>
        <w:t xml:space="preserve"> </w:t>
      </w:r>
      <w:r>
        <w:rPr>
          <w:sz w:val="24"/>
        </w:rPr>
        <w:t>0.08 (0.02, 0.20),</w:t>
      </w:r>
      <w:r>
        <w:rPr>
          <w:spacing w:val="-5"/>
          <w:sz w:val="24"/>
        </w:rPr>
        <w:t xml:space="preserve"> </w:t>
      </w:r>
      <w:r>
        <w:rPr>
          <w:sz w:val="24"/>
        </w:rPr>
        <w:t>0.21 (0.10, 0.38),</w:t>
      </w:r>
      <w:r>
        <w:rPr>
          <w:spacing w:val="-5"/>
          <w:sz w:val="24"/>
        </w:rPr>
        <w:t xml:space="preserve"> </w:t>
      </w:r>
      <w:r>
        <w:rPr>
          <w:sz w:val="24"/>
        </w:rPr>
        <w:t>0.14 (0.08, 0.23), and</w:t>
      </w:r>
    </w:p>
    <w:p w14:paraId="2BE4BBE7" w14:textId="77777777" w:rsidR="001825E2" w:rsidRDefault="000839A5" w:rsidP="00CB00A7">
      <w:pPr>
        <w:pStyle w:val="BodyText"/>
        <w:spacing w:line="247" w:lineRule="auto"/>
        <w:ind w:left="635" w:right="204"/>
        <w:jc w:val="left"/>
      </w:pPr>
      <w:r>
        <w:t>0.06</w:t>
      </w:r>
      <w:r>
        <w:rPr>
          <w:spacing w:val="-1"/>
        </w:rPr>
        <w:t xml:space="preserve"> </w:t>
      </w:r>
      <w:r>
        <w:t>(0.01,</w:t>
      </w:r>
      <w:r>
        <w:rPr>
          <w:spacing w:val="-1"/>
        </w:rPr>
        <w:t xml:space="preserve"> </w:t>
      </w:r>
      <w:r>
        <w:t>0.17) events per 100 patient-years, respectively. Compared with TNF inhibitor,</w:t>
      </w:r>
      <w:r>
        <w:rPr>
          <w:spacing w:val="27"/>
        </w:rPr>
        <w:t xml:space="preserve"> </w:t>
      </w:r>
      <w:r>
        <w:t>the</w:t>
      </w:r>
      <w:r>
        <w:rPr>
          <w:spacing w:val="28"/>
        </w:rPr>
        <w:t xml:space="preserve"> </w:t>
      </w:r>
      <w:r>
        <w:t>hazard</w:t>
      </w:r>
      <w:r>
        <w:rPr>
          <w:spacing w:val="45"/>
        </w:rPr>
        <w:t xml:space="preserve"> </w:t>
      </w:r>
      <w:r>
        <w:t>ratio</w:t>
      </w:r>
      <w:r>
        <w:rPr>
          <w:spacing w:val="30"/>
        </w:rPr>
        <w:t xml:space="preserve"> </w:t>
      </w:r>
      <w:r>
        <w:t>(HR)</w:t>
      </w:r>
      <w:r>
        <w:rPr>
          <w:spacing w:val="25"/>
        </w:rPr>
        <w:t xml:space="preserve"> </w:t>
      </w:r>
      <w:r>
        <w:t>(95%</w:t>
      </w:r>
      <w:r>
        <w:rPr>
          <w:spacing w:val="25"/>
        </w:rPr>
        <w:t xml:space="preserve"> </w:t>
      </w:r>
      <w:r>
        <w:t>CI)</w:t>
      </w:r>
      <w:r>
        <w:rPr>
          <w:spacing w:val="25"/>
        </w:rPr>
        <w:t xml:space="preserve"> </w:t>
      </w:r>
      <w:r>
        <w:t>for</w:t>
      </w:r>
      <w:r>
        <w:rPr>
          <w:spacing w:val="10"/>
        </w:rPr>
        <w:t xml:space="preserve"> </w:t>
      </w:r>
      <w:r>
        <w:t>XELJANZ</w:t>
      </w:r>
      <w:r>
        <w:rPr>
          <w:spacing w:val="33"/>
        </w:rPr>
        <w:t xml:space="preserve"> </w:t>
      </w:r>
      <w:r>
        <w:t>5</w:t>
      </w:r>
      <w:r>
        <w:rPr>
          <w:spacing w:val="30"/>
        </w:rPr>
        <w:t xml:space="preserve"> </w:t>
      </w:r>
      <w:r>
        <w:t>mg</w:t>
      </w:r>
      <w:r>
        <w:rPr>
          <w:spacing w:val="14"/>
        </w:rPr>
        <w:t xml:space="preserve"> </w:t>
      </w:r>
      <w:r>
        <w:t>twice</w:t>
      </w:r>
      <w:r>
        <w:rPr>
          <w:spacing w:val="28"/>
        </w:rPr>
        <w:t xml:space="preserve"> </w:t>
      </w:r>
      <w:r>
        <w:t>daily,</w:t>
      </w:r>
      <w:r>
        <w:rPr>
          <w:spacing w:val="30"/>
        </w:rPr>
        <w:t xml:space="preserve"> </w:t>
      </w:r>
      <w:proofErr w:type="gramStart"/>
      <w:r>
        <w:rPr>
          <w:spacing w:val="-2"/>
        </w:rPr>
        <w:t>XELJANZ</w:t>
      </w:r>
      <w:proofErr w:type="gramEnd"/>
    </w:p>
    <w:p w14:paraId="01095FCB" w14:textId="77777777" w:rsidR="001825E2" w:rsidRDefault="001825E2" w:rsidP="00CB00A7">
      <w:pPr>
        <w:spacing w:line="247" w:lineRule="auto"/>
        <w:sectPr w:rsidR="001825E2">
          <w:pgSz w:w="11910" w:h="16850"/>
          <w:pgMar w:top="1360" w:right="1220" w:bottom="980" w:left="1220" w:header="0" w:footer="785" w:gutter="0"/>
          <w:cols w:space="720"/>
        </w:sectPr>
      </w:pPr>
    </w:p>
    <w:p w14:paraId="5FAC9E2D" w14:textId="77777777" w:rsidR="001825E2" w:rsidRDefault="000839A5" w:rsidP="00CB00A7">
      <w:pPr>
        <w:pStyle w:val="BodyText"/>
        <w:spacing w:before="76" w:line="273" w:lineRule="exact"/>
        <w:ind w:left="640"/>
        <w:jc w:val="left"/>
      </w:pPr>
      <w:bookmarkStart w:id="47" w:name="Venous_Thromboembolism"/>
      <w:bookmarkEnd w:id="47"/>
      <w:r>
        <w:lastRenderedPageBreak/>
        <w:t>10</w:t>
      </w:r>
      <w:r>
        <w:rPr>
          <w:spacing w:val="-2"/>
        </w:rPr>
        <w:t xml:space="preserve"> </w:t>
      </w:r>
      <w:r>
        <w:t>mg</w:t>
      </w:r>
      <w:r>
        <w:rPr>
          <w:spacing w:val="-1"/>
        </w:rPr>
        <w:t xml:space="preserve"> </w:t>
      </w:r>
      <w:r>
        <w:t>twice</w:t>
      </w:r>
      <w:r>
        <w:rPr>
          <w:spacing w:val="-3"/>
        </w:rPr>
        <w:t xml:space="preserve"> </w:t>
      </w:r>
      <w:r>
        <w:t>daily,</w:t>
      </w:r>
      <w:r>
        <w:rPr>
          <w:spacing w:val="-1"/>
        </w:rPr>
        <w:t xml:space="preserve"> </w:t>
      </w:r>
      <w:r>
        <w:t>and</w:t>
      </w:r>
      <w:r>
        <w:rPr>
          <w:spacing w:val="14"/>
        </w:rPr>
        <w:t xml:space="preserve"> </w:t>
      </w:r>
      <w:r>
        <w:t>all</w:t>
      </w:r>
      <w:r>
        <w:rPr>
          <w:spacing w:val="-8"/>
        </w:rPr>
        <w:t xml:space="preserve"> </w:t>
      </w:r>
      <w:r>
        <w:t>XELJANZ</w:t>
      </w:r>
      <w:r>
        <w:rPr>
          <w:spacing w:val="2"/>
        </w:rPr>
        <w:t xml:space="preserve"> </w:t>
      </w:r>
      <w:r>
        <w:t>were</w:t>
      </w:r>
      <w:r>
        <w:rPr>
          <w:spacing w:val="-3"/>
        </w:rPr>
        <w:t xml:space="preserve"> </w:t>
      </w:r>
      <w:r>
        <w:t>1.30</w:t>
      </w:r>
      <w:r>
        <w:rPr>
          <w:spacing w:val="-2"/>
        </w:rPr>
        <w:t xml:space="preserve"> </w:t>
      </w:r>
      <w:r>
        <w:t>(0.29,</w:t>
      </w:r>
      <w:r>
        <w:rPr>
          <w:spacing w:val="-1"/>
        </w:rPr>
        <w:t xml:space="preserve"> </w:t>
      </w:r>
      <w:r>
        <w:t>5.81),</w:t>
      </w:r>
      <w:r>
        <w:rPr>
          <w:spacing w:val="-1"/>
        </w:rPr>
        <w:t xml:space="preserve"> </w:t>
      </w:r>
      <w:r>
        <w:t>3.45</w:t>
      </w:r>
      <w:r>
        <w:rPr>
          <w:spacing w:val="-1"/>
        </w:rPr>
        <w:t xml:space="preserve"> </w:t>
      </w:r>
      <w:r>
        <w:t>(0.95,</w:t>
      </w:r>
      <w:r>
        <w:rPr>
          <w:spacing w:val="-1"/>
        </w:rPr>
        <w:t xml:space="preserve"> </w:t>
      </w:r>
      <w:r>
        <w:t>12.54),</w:t>
      </w:r>
      <w:r>
        <w:rPr>
          <w:spacing w:val="-1"/>
        </w:rPr>
        <w:t xml:space="preserve"> </w:t>
      </w:r>
      <w:r>
        <w:t>and</w:t>
      </w:r>
      <w:r>
        <w:rPr>
          <w:spacing w:val="14"/>
        </w:rPr>
        <w:t xml:space="preserve"> </w:t>
      </w:r>
      <w:proofErr w:type="gramStart"/>
      <w:r>
        <w:rPr>
          <w:spacing w:val="-4"/>
        </w:rPr>
        <w:t>2.34</w:t>
      </w:r>
      <w:proofErr w:type="gramEnd"/>
    </w:p>
    <w:p w14:paraId="7C3CFD5C" w14:textId="77777777" w:rsidR="001825E2" w:rsidRDefault="000839A5" w:rsidP="00CB00A7">
      <w:pPr>
        <w:pStyle w:val="BodyText"/>
        <w:spacing w:line="273" w:lineRule="exact"/>
        <w:ind w:left="640"/>
        <w:jc w:val="left"/>
      </w:pPr>
      <w:r>
        <w:t>(0.67,</w:t>
      </w:r>
      <w:r>
        <w:rPr>
          <w:spacing w:val="-5"/>
        </w:rPr>
        <w:t xml:space="preserve"> </w:t>
      </w:r>
      <w:r>
        <w:t>8.16),</w:t>
      </w:r>
      <w:r>
        <w:rPr>
          <w:spacing w:val="9"/>
        </w:rPr>
        <w:t xml:space="preserve"> </w:t>
      </w:r>
      <w:r>
        <w:rPr>
          <w:spacing w:val="-2"/>
        </w:rPr>
        <w:t>respectively.</w:t>
      </w:r>
    </w:p>
    <w:p w14:paraId="4AD0B5FF" w14:textId="77777777" w:rsidR="001825E2" w:rsidRDefault="000839A5" w:rsidP="00CB00A7">
      <w:pPr>
        <w:pStyle w:val="Heading4"/>
        <w:ind w:left="219"/>
        <w:jc w:val="left"/>
      </w:pPr>
      <w:r>
        <w:t>Viral</w:t>
      </w:r>
      <w:r>
        <w:rPr>
          <w:spacing w:val="-1"/>
        </w:rPr>
        <w:t xml:space="preserve"> </w:t>
      </w:r>
      <w:r>
        <w:rPr>
          <w:spacing w:val="-2"/>
        </w:rPr>
        <w:t>Reactivation</w:t>
      </w:r>
    </w:p>
    <w:p w14:paraId="43E2CFFA" w14:textId="77777777" w:rsidR="001825E2" w:rsidRDefault="000839A5" w:rsidP="00CB00A7">
      <w:pPr>
        <w:pStyle w:val="BodyText"/>
        <w:spacing w:before="114" w:line="242" w:lineRule="auto"/>
        <w:ind w:left="218" w:right="201" w:firstLine="1"/>
        <w:jc w:val="left"/>
      </w:pPr>
      <w:r>
        <w:t xml:space="preserve">Patients treated with XELJANZ who </w:t>
      </w:r>
      <w:proofErr w:type="gramStart"/>
      <w:r>
        <w:t>are Japanese or Korean</w:t>
      </w:r>
      <w:proofErr w:type="gramEnd"/>
      <w:r>
        <w:t>, or patients with long standing RA who have</w:t>
      </w:r>
      <w:r>
        <w:rPr>
          <w:spacing w:val="-2"/>
        </w:rPr>
        <w:t xml:space="preserve"> </w:t>
      </w:r>
      <w:r>
        <w:t>previously received two or</w:t>
      </w:r>
      <w:r>
        <w:rPr>
          <w:spacing w:val="-5"/>
        </w:rPr>
        <w:t xml:space="preserve"> </w:t>
      </w:r>
      <w:r>
        <w:t>more</w:t>
      </w:r>
      <w:r>
        <w:rPr>
          <w:spacing w:val="-2"/>
        </w:rPr>
        <w:t xml:space="preserve"> </w:t>
      </w:r>
      <w:r>
        <w:t>biological</w:t>
      </w:r>
      <w:r>
        <w:rPr>
          <w:spacing w:val="-7"/>
        </w:rPr>
        <w:t xml:space="preserve"> </w:t>
      </w:r>
      <w:r>
        <w:t>DMARDs, or</w:t>
      </w:r>
      <w:r>
        <w:rPr>
          <w:spacing w:val="-5"/>
        </w:rPr>
        <w:t xml:space="preserve"> </w:t>
      </w:r>
      <w:r>
        <w:t>patients</w:t>
      </w:r>
      <w:r>
        <w:rPr>
          <w:spacing w:val="-4"/>
        </w:rPr>
        <w:t xml:space="preserve"> </w:t>
      </w:r>
      <w:r>
        <w:t>with an ALC less than 1.0 x 10</w:t>
      </w:r>
      <w:r>
        <w:rPr>
          <w:position w:val="7"/>
          <w:sz w:val="16"/>
        </w:rPr>
        <w:t>9</w:t>
      </w:r>
      <w:r>
        <w:rPr>
          <w:spacing w:val="40"/>
          <w:position w:val="7"/>
          <w:sz w:val="16"/>
        </w:rPr>
        <w:t xml:space="preserve"> </w:t>
      </w:r>
      <w:r>
        <w:t xml:space="preserve">cells/L, or patients treated </w:t>
      </w:r>
      <w:proofErr w:type="spellStart"/>
      <w:r>
        <w:t>wth</w:t>
      </w:r>
      <w:proofErr w:type="spellEnd"/>
      <w:r>
        <w:t xml:space="preserve"> 10 mg twice</w:t>
      </w:r>
      <w:r>
        <w:rPr>
          <w:spacing w:val="-2"/>
        </w:rPr>
        <w:t xml:space="preserve"> </w:t>
      </w:r>
      <w:r>
        <w:t>daily may have an increased risk of herpes zoster (see Section 4.4 Special Warnings and Precautions For Use). Events of herpes</w:t>
      </w:r>
      <w:r>
        <w:rPr>
          <w:spacing w:val="-5"/>
        </w:rPr>
        <w:t xml:space="preserve"> </w:t>
      </w:r>
      <w:r>
        <w:t>zoster</w:t>
      </w:r>
      <w:r>
        <w:rPr>
          <w:spacing w:val="-6"/>
        </w:rPr>
        <w:t xml:space="preserve"> </w:t>
      </w:r>
      <w:r>
        <w:t>were reported in</w:t>
      </w:r>
      <w:r>
        <w:rPr>
          <w:spacing w:val="-1"/>
        </w:rPr>
        <w:t xml:space="preserve"> </w:t>
      </w:r>
      <w:r>
        <w:t>a</w:t>
      </w:r>
      <w:r>
        <w:rPr>
          <w:spacing w:val="-3"/>
        </w:rPr>
        <w:t xml:space="preserve"> </w:t>
      </w:r>
      <w:proofErr w:type="gramStart"/>
      <w:r>
        <w:t xml:space="preserve">large </w:t>
      </w:r>
      <w:proofErr w:type="spellStart"/>
      <w:r>
        <w:t>randomised</w:t>
      </w:r>
      <w:proofErr w:type="spellEnd"/>
      <w:proofErr w:type="gramEnd"/>
      <w:r>
        <w:t xml:space="preserve"> PASS in</w:t>
      </w:r>
      <w:r>
        <w:rPr>
          <w:spacing w:val="-1"/>
        </w:rPr>
        <w:t xml:space="preserve"> </w:t>
      </w:r>
      <w:r>
        <w:t>RA patients</w:t>
      </w:r>
      <w:r>
        <w:rPr>
          <w:spacing w:val="-5"/>
        </w:rPr>
        <w:t xml:space="preserve"> </w:t>
      </w:r>
      <w:r>
        <w:t>who</w:t>
      </w:r>
      <w:r>
        <w:rPr>
          <w:spacing w:val="-1"/>
        </w:rPr>
        <w:t xml:space="preserve"> </w:t>
      </w:r>
      <w:r>
        <w:t>were</w:t>
      </w:r>
      <w:r>
        <w:rPr>
          <w:spacing w:val="-3"/>
        </w:rPr>
        <w:t xml:space="preserve"> </w:t>
      </w:r>
      <w:r>
        <w:t>50</w:t>
      </w:r>
      <w:r>
        <w:rPr>
          <w:spacing w:val="-1"/>
        </w:rPr>
        <w:t xml:space="preserve"> </w:t>
      </w:r>
      <w:r>
        <w:t>years</w:t>
      </w:r>
      <w:r>
        <w:rPr>
          <w:spacing w:val="-5"/>
        </w:rPr>
        <w:t xml:space="preserve"> </w:t>
      </w:r>
      <w:r>
        <w:t>or older with</w:t>
      </w:r>
      <w:r>
        <w:rPr>
          <w:spacing w:val="40"/>
        </w:rPr>
        <w:t xml:space="preserve"> </w:t>
      </w:r>
      <w:r>
        <w:t>at</w:t>
      </w:r>
      <w:r>
        <w:rPr>
          <w:spacing w:val="40"/>
        </w:rPr>
        <w:t xml:space="preserve"> </w:t>
      </w:r>
      <w:r>
        <w:t>least</w:t>
      </w:r>
      <w:r>
        <w:rPr>
          <w:spacing w:val="40"/>
        </w:rPr>
        <w:t xml:space="preserve"> </w:t>
      </w:r>
      <w:r>
        <w:t>one</w:t>
      </w:r>
      <w:r>
        <w:rPr>
          <w:spacing w:val="40"/>
        </w:rPr>
        <w:t xml:space="preserve"> </w:t>
      </w:r>
      <w:r>
        <w:t>additional cardiovascular</w:t>
      </w:r>
      <w:r>
        <w:rPr>
          <w:spacing w:val="40"/>
        </w:rPr>
        <w:t xml:space="preserve"> </w:t>
      </w:r>
      <w:r>
        <w:t>risk</w:t>
      </w:r>
      <w:r>
        <w:rPr>
          <w:spacing w:val="40"/>
        </w:rPr>
        <w:t xml:space="preserve"> </w:t>
      </w:r>
      <w:r>
        <w:t>factor.</w:t>
      </w:r>
      <w:r>
        <w:rPr>
          <w:spacing w:val="40"/>
        </w:rPr>
        <w:t xml:space="preserve"> </w:t>
      </w:r>
      <w:r>
        <w:t>The</w:t>
      </w:r>
      <w:r>
        <w:rPr>
          <w:spacing w:val="40"/>
        </w:rPr>
        <w:t xml:space="preserve"> </w:t>
      </w:r>
      <w:r>
        <w:t>IRs (95% CI) and</w:t>
      </w:r>
      <w:r>
        <w:rPr>
          <w:spacing w:val="40"/>
        </w:rPr>
        <w:t xml:space="preserve"> </w:t>
      </w:r>
      <w:r>
        <w:t>HRs (95% CI)</w:t>
      </w:r>
      <w:r>
        <w:rPr>
          <w:spacing w:val="-2"/>
        </w:rPr>
        <w:t xml:space="preserve"> </w:t>
      </w:r>
      <w:r>
        <w:t>are presented as follows:</w:t>
      </w:r>
    </w:p>
    <w:p w14:paraId="6F518993" w14:textId="77777777" w:rsidR="001825E2" w:rsidRDefault="000839A5" w:rsidP="00CB00A7">
      <w:pPr>
        <w:pStyle w:val="ListParagraph"/>
        <w:numPr>
          <w:ilvl w:val="0"/>
          <w:numId w:val="6"/>
        </w:numPr>
        <w:tabs>
          <w:tab w:val="left" w:pos="637"/>
        </w:tabs>
        <w:spacing w:before="226" w:line="237" w:lineRule="auto"/>
        <w:ind w:left="637" w:right="216"/>
        <w:jc w:val="left"/>
        <w:rPr>
          <w:sz w:val="24"/>
        </w:rPr>
      </w:pPr>
      <w:r>
        <w:rPr>
          <w:sz w:val="24"/>
        </w:rPr>
        <w:t>The</w:t>
      </w:r>
      <w:r>
        <w:rPr>
          <w:spacing w:val="33"/>
          <w:sz w:val="24"/>
        </w:rPr>
        <w:t xml:space="preserve"> </w:t>
      </w:r>
      <w:r>
        <w:rPr>
          <w:sz w:val="24"/>
        </w:rPr>
        <w:t>IRs</w:t>
      </w:r>
      <w:r>
        <w:rPr>
          <w:spacing w:val="31"/>
          <w:sz w:val="24"/>
        </w:rPr>
        <w:t xml:space="preserve"> </w:t>
      </w:r>
      <w:r>
        <w:rPr>
          <w:sz w:val="24"/>
        </w:rPr>
        <w:t>(95%</w:t>
      </w:r>
      <w:r>
        <w:rPr>
          <w:spacing w:val="40"/>
          <w:sz w:val="24"/>
        </w:rPr>
        <w:t xml:space="preserve"> </w:t>
      </w:r>
      <w:r>
        <w:rPr>
          <w:sz w:val="24"/>
        </w:rPr>
        <w:t>CI)</w:t>
      </w:r>
      <w:r>
        <w:rPr>
          <w:spacing w:val="30"/>
          <w:sz w:val="24"/>
        </w:rPr>
        <w:t xml:space="preserve"> </w:t>
      </w:r>
      <w:r>
        <w:rPr>
          <w:sz w:val="24"/>
        </w:rPr>
        <w:t>for</w:t>
      </w:r>
      <w:r>
        <w:rPr>
          <w:spacing w:val="30"/>
          <w:sz w:val="24"/>
        </w:rPr>
        <w:t xml:space="preserve"> </w:t>
      </w:r>
      <w:r>
        <w:rPr>
          <w:sz w:val="24"/>
        </w:rPr>
        <w:t>herpes</w:t>
      </w:r>
      <w:r>
        <w:rPr>
          <w:spacing w:val="40"/>
          <w:sz w:val="24"/>
        </w:rPr>
        <w:t xml:space="preserve"> </w:t>
      </w:r>
      <w:r>
        <w:rPr>
          <w:sz w:val="24"/>
        </w:rPr>
        <w:t>zoster</w:t>
      </w:r>
      <w:r>
        <w:rPr>
          <w:spacing w:val="30"/>
          <w:sz w:val="24"/>
        </w:rPr>
        <w:t xml:space="preserve"> </w:t>
      </w:r>
      <w:r>
        <w:rPr>
          <w:sz w:val="24"/>
        </w:rPr>
        <w:t>(includes</w:t>
      </w:r>
      <w:r>
        <w:rPr>
          <w:spacing w:val="31"/>
          <w:sz w:val="24"/>
        </w:rPr>
        <w:t xml:space="preserve"> </w:t>
      </w:r>
      <w:r>
        <w:rPr>
          <w:sz w:val="24"/>
        </w:rPr>
        <w:t>all</w:t>
      </w:r>
      <w:r>
        <w:rPr>
          <w:spacing w:val="27"/>
          <w:sz w:val="24"/>
        </w:rPr>
        <w:t xml:space="preserve"> </w:t>
      </w:r>
      <w:r>
        <w:rPr>
          <w:sz w:val="24"/>
        </w:rPr>
        <w:t>herpes</w:t>
      </w:r>
      <w:r>
        <w:rPr>
          <w:spacing w:val="31"/>
          <w:sz w:val="24"/>
        </w:rPr>
        <w:t xml:space="preserve"> </w:t>
      </w:r>
      <w:r>
        <w:rPr>
          <w:sz w:val="24"/>
        </w:rPr>
        <w:t>zoster</w:t>
      </w:r>
      <w:r>
        <w:rPr>
          <w:spacing w:val="30"/>
          <w:sz w:val="24"/>
        </w:rPr>
        <w:t xml:space="preserve"> </w:t>
      </w:r>
      <w:r>
        <w:rPr>
          <w:sz w:val="24"/>
        </w:rPr>
        <w:t>events)</w:t>
      </w:r>
      <w:r>
        <w:rPr>
          <w:spacing w:val="30"/>
          <w:sz w:val="24"/>
        </w:rPr>
        <w:t xml:space="preserve"> </w:t>
      </w:r>
      <w:r>
        <w:rPr>
          <w:sz w:val="24"/>
        </w:rPr>
        <w:t>for</w:t>
      </w:r>
      <w:r>
        <w:rPr>
          <w:spacing w:val="28"/>
          <w:sz w:val="24"/>
        </w:rPr>
        <w:t xml:space="preserve"> </w:t>
      </w:r>
      <w:r>
        <w:rPr>
          <w:sz w:val="24"/>
        </w:rPr>
        <w:t>XELJANZ 5</w:t>
      </w:r>
      <w:r>
        <w:rPr>
          <w:spacing w:val="-2"/>
          <w:sz w:val="24"/>
        </w:rPr>
        <w:t xml:space="preserve"> </w:t>
      </w:r>
      <w:r>
        <w:rPr>
          <w:sz w:val="24"/>
        </w:rPr>
        <w:t>mg twice daily, XELJANZ 10 mg twice daily, all XELJANZ (combines 5 mg twice daily</w:t>
      </w:r>
      <w:r>
        <w:rPr>
          <w:spacing w:val="23"/>
          <w:sz w:val="24"/>
        </w:rPr>
        <w:t xml:space="preserve"> </w:t>
      </w:r>
      <w:r>
        <w:rPr>
          <w:sz w:val="24"/>
        </w:rPr>
        <w:t>and</w:t>
      </w:r>
      <w:r>
        <w:rPr>
          <w:spacing w:val="23"/>
          <w:sz w:val="24"/>
        </w:rPr>
        <w:t xml:space="preserve"> </w:t>
      </w:r>
      <w:r>
        <w:rPr>
          <w:sz w:val="24"/>
        </w:rPr>
        <w:t>10</w:t>
      </w:r>
      <w:r>
        <w:rPr>
          <w:spacing w:val="-5"/>
          <w:sz w:val="24"/>
        </w:rPr>
        <w:t xml:space="preserve"> </w:t>
      </w:r>
      <w:r>
        <w:rPr>
          <w:sz w:val="24"/>
        </w:rPr>
        <w:t>mg</w:t>
      </w:r>
      <w:r>
        <w:rPr>
          <w:spacing w:val="23"/>
          <w:sz w:val="24"/>
        </w:rPr>
        <w:t xml:space="preserve"> </w:t>
      </w:r>
      <w:r>
        <w:rPr>
          <w:sz w:val="24"/>
        </w:rPr>
        <w:t>twice daily</w:t>
      </w:r>
      <w:r>
        <w:rPr>
          <w:spacing w:val="23"/>
          <w:sz w:val="24"/>
        </w:rPr>
        <w:t xml:space="preserve"> </w:t>
      </w:r>
      <w:r>
        <w:rPr>
          <w:sz w:val="24"/>
        </w:rPr>
        <w:t>treatment</w:t>
      </w:r>
      <w:r>
        <w:rPr>
          <w:spacing w:val="30"/>
          <w:sz w:val="24"/>
        </w:rPr>
        <w:t xml:space="preserve"> </w:t>
      </w:r>
      <w:r>
        <w:rPr>
          <w:sz w:val="24"/>
        </w:rPr>
        <w:t>arms)</w:t>
      </w:r>
      <w:r>
        <w:rPr>
          <w:spacing w:val="18"/>
          <w:sz w:val="24"/>
        </w:rPr>
        <w:t xml:space="preserve"> </w:t>
      </w:r>
      <w:r>
        <w:rPr>
          <w:sz w:val="24"/>
        </w:rPr>
        <w:t>and</w:t>
      </w:r>
      <w:r>
        <w:rPr>
          <w:spacing w:val="37"/>
          <w:sz w:val="24"/>
        </w:rPr>
        <w:t xml:space="preserve"> </w:t>
      </w:r>
      <w:r>
        <w:rPr>
          <w:sz w:val="24"/>
        </w:rPr>
        <w:t>TNF</w:t>
      </w:r>
      <w:r>
        <w:rPr>
          <w:spacing w:val="24"/>
          <w:sz w:val="24"/>
        </w:rPr>
        <w:t xml:space="preserve"> </w:t>
      </w:r>
      <w:r>
        <w:rPr>
          <w:sz w:val="24"/>
        </w:rPr>
        <w:t>inhibitor</w:t>
      </w:r>
      <w:r>
        <w:rPr>
          <w:spacing w:val="18"/>
          <w:sz w:val="24"/>
        </w:rPr>
        <w:t xml:space="preserve"> </w:t>
      </w:r>
      <w:r>
        <w:rPr>
          <w:sz w:val="24"/>
        </w:rPr>
        <w:t>were</w:t>
      </w:r>
      <w:r>
        <w:rPr>
          <w:spacing w:val="21"/>
          <w:sz w:val="24"/>
        </w:rPr>
        <w:t xml:space="preserve"> </w:t>
      </w:r>
      <w:r>
        <w:rPr>
          <w:sz w:val="24"/>
        </w:rPr>
        <w:t>3.75 (3.22,</w:t>
      </w:r>
      <w:r>
        <w:rPr>
          <w:spacing w:val="23"/>
          <w:sz w:val="24"/>
        </w:rPr>
        <w:t xml:space="preserve"> </w:t>
      </w:r>
      <w:r>
        <w:rPr>
          <w:sz w:val="24"/>
        </w:rPr>
        <w:t>4.34),</w:t>
      </w:r>
    </w:p>
    <w:p w14:paraId="2617D1DA" w14:textId="77777777" w:rsidR="001825E2" w:rsidRDefault="000839A5" w:rsidP="00CB00A7">
      <w:pPr>
        <w:pStyle w:val="BodyText"/>
        <w:ind w:left="636" w:right="222"/>
        <w:jc w:val="left"/>
      </w:pPr>
      <w:r>
        <w:t>3.94</w:t>
      </w:r>
      <w:r>
        <w:rPr>
          <w:spacing w:val="-2"/>
        </w:rPr>
        <w:t xml:space="preserve"> </w:t>
      </w:r>
      <w:r>
        <w:t>(3.38,</w:t>
      </w:r>
      <w:r>
        <w:rPr>
          <w:spacing w:val="-2"/>
        </w:rPr>
        <w:t xml:space="preserve"> </w:t>
      </w:r>
      <w:r>
        <w:t>4.57),</w:t>
      </w:r>
      <w:r>
        <w:rPr>
          <w:spacing w:val="40"/>
        </w:rPr>
        <w:t xml:space="preserve"> </w:t>
      </w:r>
      <w:r>
        <w:t>3.84</w:t>
      </w:r>
      <w:r>
        <w:rPr>
          <w:spacing w:val="40"/>
        </w:rPr>
        <w:t xml:space="preserve"> </w:t>
      </w:r>
      <w:r>
        <w:t>(3.45,</w:t>
      </w:r>
      <w:r>
        <w:rPr>
          <w:spacing w:val="40"/>
        </w:rPr>
        <w:t xml:space="preserve"> </w:t>
      </w:r>
      <w:r>
        <w:t>4.26),</w:t>
      </w:r>
      <w:r>
        <w:rPr>
          <w:spacing w:val="40"/>
        </w:rPr>
        <w:t xml:space="preserve"> </w:t>
      </w:r>
      <w:r>
        <w:t>and</w:t>
      </w:r>
      <w:r>
        <w:rPr>
          <w:spacing w:val="80"/>
        </w:rPr>
        <w:t xml:space="preserve"> </w:t>
      </w:r>
      <w:r>
        <w:t>1.18</w:t>
      </w:r>
      <w:r>
        <w:rPr>
          <w:spacing w:val="40"/>
        </w:rPr>
        <w:t xml:space="preserve"> </w:t>
      </w:r>
      <w:r>
        <w:t>(0.90,</w:t>
      </w:r>
      <w:r>
        <w:rPr>
          <w:spacing w:val="40"/>
        </w:rPr>
        <w:t xml:space="preserve"> </w:t>
      </w:r>
      <w:r>
        <w:t>1.52)</w:t>
      </w:r>
      <w:r>
        <w:rPr>
          <w:spacing w:val="40"/>
        </w:rPr>
        <w:t xml:space="preserve"> </w:t>
      </w:r>
      <w:r>
        <w:t>patients</w:t>
      </w:r>
      <w:r>
        <w:rPr>
          <w:spacing w:val="40"/>
        </w:rPr>
        <w:t xml:space="preserve"> </w:t>
      </w:r>
      <w:r>
        <w:t>with</w:t>
      </w:r>
      <w:r>
        <w:rPr>
          <w:spacing w:val="40"/>
        </w:rPr>
        <w:t xml:space="preserve"> </w:t>
      </w:r>
      <w:r>
        <w:t>events</w:t>
      </w:r>
      <w:r>
        <w:rPr>
          <w:spacing w:val="40"/>
        </w:rPr>
        <w:t xml:space="preserve"> </w:t>
      </w:r>
      <w:r>
        <w:t>per 100 patient-years, respectively. Compared with TNF inhibitor, the HR (95% CI) for herpes zoster with XELJANZ 5 mg twice daily, XELJANZ 10 mg twice daily, and all XELJANZ</w:t>
      </w:r>
      <w:r>
        <w:rPr>
          <w:spacing w:val="-4"/>
        </w:rPr>
        <w:t xml:space="preserve"> </w:t>
      </w:r>
      <w:r>
        <w:t>were</w:t>
      </w:r>
      <w:r>
        <w:rPr>
          <w:spacing w:val="-10"/>
        </w:rPr>
        <w:t xml:space="preserve"> </w:t>
      </w:r>
      <w:r>
        <w:t>3.17 (2.36, 4.27), 3.33 (2.48, 4.48), and 3.25 (2.46, 4.29), respectively.</w:t>
      </w:r>
    </w:p>
    <w:p w14:paraId="7ADA5F00" w14:textId="77777777" w:rsidR="001825E2" w:rsidRDefault="000839A5" w:rsidP="00CB00A7">
      <w:pPr>
        <w:pStyle w:val="Heading4"/>
        <w:spacing w:before="238"/>
        <w:ind w:left="216"/>
        <w:jc w:val="left"/>
      </w:pPr>
      <w:r>
        <w:t xml:space="preserve">Venous </w:t>
      </w:r>
      <w:r>
        <w:rPr>
          <w:spacing w:val="-2"/>
        </w:rPr>
        <w:t>Thromboembolism</w:t>
      </w:r>
    </w:p>
    <w:p w14:paraId="267B75CB" w14:textId="77777777" w:rsidR="001825E2" w:rsidRDefault="000839A5" w:rsidP="00CB00A7">
      <w:pPr>
        <w:spacing w:before="114"/>
        <w:ind w:left="220"/>
        <w:rPr>
          <w:i/>
          <w:sz w:val="24"/>
        </w:rPr>
      </w:pPr>
      <w:r>
        <w:rPr>
          <w:i/>
          <w:sz w:val="24"/>
          <w:u w:val="single"/>
        </w:rPr>
        <w:t>Rheumatoid</w:t>
      </w:r>
      <w:r>
        <w:rPr>
          <w:i/>
          <w:spacing w:val="-7"/>
          <w:sz w:val="24"/>
          <w:u w:val="single"/>
        </w:rPr>
        <w:t xml:space="preserve"> </w:t>
      </w:r>
      <w:r>
        <w:rPr>
          <w:i/>
          <w:spacing w:val="-2"/>
          <w:sz w:val="24"/>
          <w:u w:val="single"/>
        </w:rPr>
        <w:t>Arthritis</w:t>
      </w:r>
    </w:p>
    <w:p w14:paraId="6962AAB6" w14:textId="77777777" w:rsidR="001825E2" w:rsidRDefault="000839A5" w:rsidP="00CB00A7">
      <w:pPr>
        <w:pStyle w:val="BodyText"/>
        <w:spacing w:before="133" w:line="235" w:lineRule="auto"/>
        <w:ind w:left="219" w:right="219"/>
        <w:jc w:val="left"/>
      </w:pPr>
      <w:r>
        <w:t>In</w:t>
      </w:r>
      <w:r>
        <w:rPr>
          <w:spacing w:val="-1"/>
        </w:rPr>
        <w:t xml:space="preserve"> </w:t>
      </w:r>
      <w:r>
        <w:t>the</w:t>
      </w:r>
      <w:r>
        <w:rPr>
          <w:spacing w:val="-3"/>
        </w:rPr>
        <w:t xml:space="preserve"> </w:t>
      </w:r>
      <w:proofErr w:type="gramStart"/>
      <w:r>
        <w:t>4</w:t>
      </w:r>
      <w:r>
        <w:rPr>
          <w:spacing w:val="-1"/>
        </w:rPr>
        <w:t xml:space="preserve"> </w:t>
      </w:r>
      <w:r>
        <w:t>to</w:t>
      </w:r>
      <w:r>
        <w:rPr>
          <w:spacing w:val="-1"/>
        </w:rPr>
        <w:t xml:space="preserve"> </w:t>
      </w:r>
      <w:r>
        <w:t>12</w:t>
      </w:r>
      <w:r>
        <w:rPr>
          <w:spacing w:val="-1"/>
        </w:rPr>
        <w:t xml:space="preserve"> </w:t>
      </w:r>
      <w:r>
        <w:t>week</w:t>
      </w:r>
      <w:proofErr w:type="gramEnd"/>
      <w:r>
        <w:rPr>
          <w:spacing w:val="-1"/>
        </w:rPr>
        <w:t xml:space="preserve"> </w:t>
      </w:r>
      <w:r>
        <w:t>placebo</w:t>
      </w:r>
      <w:r>
        <w:rPr>
          <w:spacing w:val="-1"/>
        </w:rPr>
        <w:t xml:space="preserve"> </w:t>
      </w:r>
      <w:r>
        <w:t xml:space="preserve">period of </w:t>
      </w:r>
      <w:proofErr w:type="spellStart"/>
      <w:r>
        <w:t>randomised</w:t>
      </w:r>
      <w:proofErr w:type="spellEnd"/>
      <w:r>
        <w:t xml:space="preserve"> controlled studies</w:t>
      </w:r>
      <w:r>
        <w:rPr>
          <w:spacing w:val="-5"/>
        </w:rPr>
        <w:t xml:space="preserve"> </w:t>
      </w:r>
      <w:r>
        <w:t>of 4</w:t>
      </w:r>
      <w:r>
        <w:rPr>
          <w:spacing w:val="-1"/>
        </w:rPr>
        <w:t xml:space="preserve"> </w:t>
      </w:r>
      <w:r>
        <w:t>weeks</w:t>
      </w:r>
      <w:r>
        <w:rPr>
          <w:spacing w:val="-5"/>
        </w:rPr>
        <w:t xml:space="preserve"> </w:t>
      </w:r>
      <w:r>
        <w:t>to</w:t>
      </w:r>
      <w:r>
        <w:rPr>
          <w:spacing w:val="-1"/>
        </w:rPr>
        <w:t xml:space="preserve"> </w:t>
      </w:r>
      <w:r>
        <w:t>24</w:t>
      </w:r>
      <w:r>
        <w:rPr>
          <w:spacing w:val="-1"/>
        </w:rPr>
        <w:t xml:space="preserve"> </w:t>
      </w:r>
      <w:r>
        <w:t>months duration, the</w:t>
      </w:r>
      <w:r>
        <w:rPr>
          <w:spacing w:val="-1"/>
        </w:rPr>
        <w:t xml:space="preserve"> </w:t>
      </w:r>
      <w:r>
        <w:t>IRs</w:t>
      </w:r>
      <w:r>
        <w:rPr>
          <w:spacing w:val="-3"/>
        </w:rPr>
        <w:t xml:space="preserve"> </w:t>
      </w:r>
      <w:r>
        <w:t>(95%</w:t>
      </w:r>
      <w:r>
        <w:rPr>
          <w:spacing w:val="-4"/>
        </w:rPr>
        <w:t xml:space="preserve"> </w:t>
      </w:r>
      <w:r>
        <w:t>CI)</w:t>
      </w:r>
      <w:r>
        <w:rPr>
          <w:spacing w:val="-4"/>
        </w:rPr>
        <w:t xml:space="preserve"> </w:t>
      </w:r>
      <w:r>
        <w:t>for</w:t>
      </w:r>
      <w:r>
        <w:rPr>
          <w:spacing w:val="-4"/>
        </w:rPr>
        <w:t xml:space="preserve"> </w:t>
      </w:r>
      <w:r>
        <w:t>tofacitinib 5 mg twice</w:t>
      </w:r>
      <w:r>
        <w:rPr>
          <w:spacing w:val="-1"/>
        </w:rPr>
        <w:t xml:space="preserve"> </w:t>
      </w:r>
      <w:r>
        <w:t>daily, tofacitinib 10 mg twice</w:t>
      </w:r>
      <w:r>
        <w:rPr>
          <w:spacing w:val="-1"/>
        </w:rPr>
        <w:t xml:space="preserve"> </w:t>
      </w:r>
      <w:r>
        <w:t>daily, and placebo</w:t>
      </w:r>
      <w:r>
        <w:rPr>
          <w:spacing w:val="11"/>
        </w:rPr>
        <w:t xml:space="preserve"> </w:t>
      </w:r>
      <w:r>
        <w:t>for</w:t>
      </w:r>
      <w:r>
        <w:rPr>
          <w:spacing w:val="8"/>
        </w:rPr>
        <w:t xml:space="preserve"> </w:t>
      </w:r>
      <w:r>
        <w:t>PE</w:t>
      </w:r>
      <w:r>
        <w:rPr>
          <w:spacing w:val="17"/>
        </w:rPr>
        <w:t xml:space="preserve"> </w:t>
      </w:r>
      <w:r>
        <w:t>were</w:t>
      </w:r>
      <w:r>
        <w:rPr>
          <w:spacing w:val="26"/>
        </w:rPr>
        <w:t xml:space="preserve"> </w:t>
      </w:r>
      <w:r>
        <w:t>0.00</w:t>
      </w:r>
      <w:r>
        <w:rPr>
          <w:spacing w:val="28"/>
        </w:rPr>
        <w:t xml:space="preserve"> </w:t>
      </w:r>
      <w:r>
        <w:t>(0.00,</w:t>
      </w:r>
      <w:r>
        <w:rPr>
          <w:spacing w:val="13"/>
        </w:rPr>
        <w:t xml:space="preserve"> </w:t>
      </w:r>
      <w:r>
        <w:t>0.57),</w:t>
      </w:r>
      <w:r>
        <w:rPr>
          <w:spacing w:val="28"/>
        </w:rPr>
        <w:t xml:space="preserve"> </w:t>
      </w:r>
      <w:r>
        <w:t>0.00</w:t>
      </w:r>
      <w:r>
        <w:rPr>
          <w:spacing w:val="28"/>
        </w:rPr>
        <w:t xml:space="preserve"> </w:t>
      </w:r>
      <w:r>
        <w:t>(0.00,</w:t>
      </w:r>
      <w:r>
        <w:rPr>
          <w:spacing w:val="13"/>
        </w:rPr>
        <w:t xml:space="preserve"> </w:t>
      </w:r>
      <w:r>
        <w:t>0.77),</w:t>
      </w:r>
      <w:r>
        <w:rPr>
          <w:spacing w:val="27"/>
        </w:rPr>
        <w:t xml:space="preserve"> </w:t>
      </w:r>
      <w:r>
        <w:t>and</w:t>
      </w:r>
      <w:r>
        <w:rPr>
          <w:spacing w:val="28"/>
        </w:rPr>
        <w:t xml:space="preserve"> </w:t>
      </w:r>
      <w:r>
        <w:t>0.40</w:t>
      </w:r>
      <w:r>
        <w:rPr>
          <w:spacing w:val="-1"/>
        </w:rPr>
        <w:t xml:space="preserve"> </w:t>
      </w:r>
      <w:r>
        <w:t>(0.01,</w:t>
      </w:r>
      <w:r>
        <w:rPr>
          <w:spacing w:val="-1"/>
        </w:rPr>
        <w:t xml:space="preserve"> </w:t>
      </w:r>
      <w:r>
        <w:t>2.22)</w:t>
      </w:r>
      <w:r>
        <w:rPr>
          <w:spacing w:val="8"/>
        </w:rPr>
        <w:t xml:space="preserve"> </w:t>
      </w:r>
      <w:r>
        <w:t>patients</w:t>
      </w:r>
      <w:r>
        <w:rPr>
          <w:spacing w:val="25"/>
        </w:rPr>
        <w:t xml:space="preserve"> </w:t>
      </w:r>
      <w:r>
        <w:rPr>
          <w:spacing w:val="-4"/>
        </w:rPr>
        <w:t>with</w:t>
      </w:r>
    </w:p>
    <w:p w14:paraId="093BEA47" w14:textId="77777777" w:rsidR="001825E2" w:rsidRDefault="000839A5" w:rsidP="00CB00A7">
      <w:pPr>
        <w:pStyle w:val="BodyText"/>
        <w:spacing w:before="10" w:line="273" w:lineRule="exact"/>
        <w:ind w:left="218"/>
        <w:jc w:val="left"/>
      </w:pPr>
      <w:r>
        <w:t>events</w:t>
      </w:r>
      <w:r>
        <w:rPr>
          <w:spacing w:val="11"/>
        </w:rPr>
        <w:t xml:space="preserve"> </w:t>
      </w:r>
      <w:r>
        <w:t>per</w:t>
      </w:r>
      <w:r>
        <w:rPr>
          <w:spacing w:val="12"/>
        </w:rPr>
        <w:t xml:space="preserve"> </w:t>
      </w:r>
      <w:r>
        <w:t>100</w:t>
      </w:r>
      <w:r>
        <w:rPr>
          <w:spacing w:val="16"/>
        </w:rPr>
        <w:t xml:space="preserve"> </w:t>
      </w:r>
      <w:r>
        <w:t>patient-years</w:t>
      </w:r>
      <w:r>
        <w:rPr>
          <w:spacing w:val="13"/>
        </w:rPr>
        <w:t xml:space="preserve"> </w:t>
      </w:r>
      <w:r>
        <w:t>respectively;</w:t>
      </w:r>
      <w:r>
        <w:rPr>
          <w:spacing w:val="10"/>
        </w:rPr>
        <w:t xml:space="preserve"> </w:t>
      </w:r>
      <w:r>
        <w:t>the</w:t>
      </w:r>
      <w:r>
        <w:rPr>
          <w:spacing w:val="16"/>
        </w:rPr>
        <w:t xml:space="preserve"> </w:t>
      </w:r>
      <w:r>
        <w:t>IRs</w:t>
      </w:r>
      <w:r>
        <w:rPr>
          <w:spacing w:val="13"/>
        </w:rPr>
        <w:t xml:space="preserve"> </w:t>
      </w:r>
      <w:r>
        <w:t>(95%</w:t>
      </w:r>
      <w:r>
        <w:rPr>
          <w:spacing w:val="12"/>
        </w:rPr>
        <w:t xml:space="preserve"> </w:t>
      </w:r>
      <w:r>
        <w:t>CI)</w:t>
      </w:r>
      <w:r>
        <w:rPr>
          <w:spacing w:val="12"/>
        </w:rPr>
        <w:t xml:space="preserve"> </w:t>
      </w:r>
      <w:r>
        <w:t>for</w:t>
      </w:r>
      <w:r>
        <w:rPr>
          <w:spacing w:val="11"/>
        </w:rPr>
        <w:t xml:space="preserve"> </w:t>
      </w:r>
      <w:r>
        <w:t>DVT</w:t>
      </w:r>
      <w:r>
        <w:rPr>
          <w:spacing w:val="5"/>
        </w:rPr>
        <w:t xml:space="preserve"> </w:t>
      </w:r>
      <w:r>
        <w:t>were</w:t>
      </w:r>
      <w:r>
        <w:rPr>
          <w:spacing w:val="15"/>
        </w:rPr>
        <w:t xml:space="preserve"> </w:t>
      </w:r>
      <w:r>
        <w:t>0.00</w:t>
      </w:r>
      <w:r>
        <w:rPr>
          <w:spacing w:val="18"/>
        </w:rPr>
        <w:t xml:space="preserve"> </w:t>
      </w:r>
      <w:r>
        <w:t>(0.00,</w:t>
      </w:r>
      <w:r>
        <w:rPr>
          <w:spacing w:val="2"/>
        </w:rPr>
        <w:t xml:space="preserve"> </w:t>
      </w:r>
      <w:r>
        <w:rPr>
          <w:spacing w:val="-2"/>
        </w:rPr>
        <w:t>0.57),</w:t>
      </w:r>
    </w:p>
    <w:p w14:paraId="5A975752" w14:textId="77777777" w:rsidR="001825E2" w:rsidRDefault="000839A5" w:rsidP="00CB00A7">
      <w:pPr>
        <w:pStyle w:val="BodyText"/>
        <w:spacing w:line="247" w:lineRule="auto"/>
        <w:ind w:left="217" w:right="217"/>
        <w:jc w:val="left"/>
      </w:pPr>
      <w:r>
        <w:t>0.21</w:t>
      </w:r>
      <w:r>
        <w:rPr>
          <w:spacing w:val="40"/>
        </w:rPr>
        <w:t xml:space="preserve"> </w:t>
      </w:r>
      <w:r>
        <w:t>(0.01,</w:t>
      </w:r>
      <w:r>
        <w:rPr>
          <w:spacing w:val="40"/>
        </w:rPr>
        <w:t xml:space="preserve"> </w:t>
      </w:r>
      <w:r>
        <w:t>1.16),</w:t>
      </w:r>
      <w:r>
        <w:rPr>
          <w:spacing w:val="40"/>
        </w:rPr>
        <w:t xml:space="preserve"> </w:t>
      </w:r>
      <w:r>
        <w:t>and</w:t>
      </w:r>
      <w:r>
        <w:rPr>
          <w:spacing w:val="40"/>
        </w:rPr>
        <w:t xml:space="preserve"> </w:t>
      </w:r>
      <w:r>
        <w:t>0.40</w:t>
      </w:r>
      <w:r>
        <w:rPr>
          <w:spacing w:val="40"/>
        </w:rPr>
        <w:t xml:space="preserve"> </w:t>
      </w:r>
      <w:r>
        <w:t>(0.01,</w:t>
      </w:r>
      <w:r>
        <w:rPr>
          <w:spacing w:val="40"/>
        </w:rPr>
        <w:t xml:space="preserve"> </w:t>
      </w:r>
      <w:r>
        <w:t>2.22) patients with</w:t>
      </w:r>
      <w:r>
        <w:rPr>
          <w:spacing w:val="40"/>
        </w:rPr>
        <w:t xml:space="preserve"> </w:t>
      </w:r>
      <w:r>
        <w:t>events per 100</w:t>
      </w:r>
      <w:r>
        <w:rPr>
          <w:spacing w:val="-2"/>
        </w:rPr>
        <w:t xml:space="preserve"> </w:t>
      </w:r>
      <w:r>
        <w:t xml:space="preserve">patient-years </w:t>
      </w:r>
      <w:r>
        <w:rPr>
          <w:spacing w:val="-2"/>
        </w:rPr>
        <w:t>respectively.</w:t>
      </w:r>
    </w:p>
    <w:p w14:paraId="7AFDC119" w14:textId="77777777" w:rsidR="001825E2" w:rsidRDefault="000839A5" w:rsidP="00CB00A7">
      <w:pPr>
        <w:pStyle w:val="BodyText"/>
        <w:spacing w:before="223" w:line="242" w:lineRule="auto"/>
        <w:ind w:left="215" w:right="203" w:firstLine="2"/>
        <w:jc w:val="left"/>
      </w:pPr>
      <w:r>
        <w:t>In</w:t>
      </w:r>
      <w:r>
        <w:rPr>
          <w:spacing w:val="-1"/>
        </w:rPr>
        <w:t xml:space="preserve"> </w:t>
      </w:r>
      <w:r>
        <w:t>the</w:t>
      </w:r>
      <w:r>
        <w:rPr>
          <w:spacing w:val="-3"/>
        </w:rPr>
        <w:t xml:space="preserve"> </w:t>
      </w:r>
      <w:r>
        <w:t xml:space="preserve">full </w:t>
      </w:r>
      <w:proofErr w:type="spellStart"/>
      <w:r>
        <w:t>randomised</w:t>
      </w:r>
      <w:proofErr w:type="spellEnd"/>
      <w:r>
        <w:t xml:space="preserve"> period of controlled studies of 4</w:t>
      </w:r>
      <w:r>
        <w:rPr>
          <w:spacing w:val="-1"/>
        </w:rPr>
        <w:t xml:space="preserve"> </w:t>
      </w:r>
      <w:r>
        <w:t>weeks</w:t>
      </w:r>
      <w:r>
        <w:rPr>
          <w:spacing w:val="-5"/>
        </w:rPr>
        <w:t xml:space="preserve"> </w:t>
      </w:r>
      <w:r>
        <w:t>to 24</w:t>
      </w:r>
      <w:r>
        <w:rPr>
          <w:spacing w:val="-1"/>
        </w:rPr>
        <w:t xml:space="preserve"> </w:t>
      </w:r>
      <w:r>
        <w:t>months</w:t>
      </w:r>
      <w:r>
        <w:rPr>
          <w:spacing w:val="-5"/>
        </w:rPr>
        <w:t xml:space="preserve"> </w:t>
      </w:r>
      <w:r>
        <w:t>duration,</w:t>
      </w:r>
      <w:r>
        <w:rPr>
          <w:spacing w:val="-1"/>
        </w:rPr>
        <w:t xml:space="preserve"> </w:t>
      </w:r>
      <w:r>
        <w:t>the</w:t>
      </w:r>
      <w:r>
        <w:rPr>
          <w:spacing w:val="-3"/>
        </w:rPr>
        <w:t xml:space="preserve"> </w:t>
      </w:r>
      <w:r>
        <w:t>IRs (95% CI) for</w:t>
      </w:r>
      <w:r>
        <w:rPr>
          <w:spacing w:val="-8"/>
        </w:rPr>
        <w:t xml:space="preserve"> </w:t>
      </w:r>
      <w:r>
        <w:t>tofacitinib 5 mg twice daily and tofacitinib 10 mg</w:t>
      </w:r>
      <w:r>
        <w:rPr>
          <w:spacing w:val="-2"/>
        </w:rPr>
        <w:t xml:space="preserve"> </w:t>
      </w:r>
      <w:r>
        <w:t>twice</w:t>
      </w:r>
      <w:r>
        <w:rPr>
          <w:spacing w:val="-4"/>
        </w:rPr>
        <w:t xml:space="preserve"> </w:t>
      </w:r>
      <w:r>
        <w:t>daily for PE were 0.12 (0.02,</w:t>
      </w:r>
      <w:r>
        <w:rPr>
          <w:spacing w:val="11"/>
        </w:rPr>
        <w:t xml:space="preserve"> </w:t>
      </w:r>
      <w:r>
        <w:t>0.34)</w:t>
      </w:r>
      <w:r>
        <w:rPr>
          <w:spacing w:val="9"/>
        </w:rPr>
        <w:t xml:space="preserve"> </w:t>
      </w:r>
      <w:r>
        <w:t>and</w:t>
      </w:r>
      <w:r>
        <w:rPr>
          <w:spacing w:val="28"/>
        </w:rPr>
        <w:t xml:space="preserve"> </w:t>
      </w:r>
      <w:r>
        <w:t>0.15</w:t>
      </w:r>
      <w:r>
        <w:rPr>
          <w:spacing w:val="14"/>
        </w:rPr>
        <w:t xml:space="preserve"> </w:t>
      </w:r>
      <w:r>
        <w:t>(0.03,</w:t>
      </w:r>
      <w:r>
        <w:rPr>
          <w:spacing w:val="14"/>
        </w:rPr>
        <w:t xml:space="preserve"> </w:t>
      </w:r>
      <w:r>
        <w:t>0.44)</w:t>
      </w:r>
      <w:r>
        <w:rPr>
          <w:spacing w:val="9"/>
        </w:rPr>
        <w:t xml:space="preserve"> </w:t>
      </w:r>
      <w:r>
        <w:t>patients</w:t>
      </w:r>
      <w:r>
        <w:rPr>
          <w:spacing w:val="-5"/>
        </w:rPr>
        <w:t xml:space="preserve"> </w:t>
      </w:r>
      <w:r>
        <w:t>with</w:t>
      </w:r>
      <w:r>
        <w:rPr>
          <w:spacing w:val="13"/>
        </w:rPr>
        <w:t xml:space="preserve"> </w:t>
      </w:r>
      <w:r>
        <w:t>events</w:t>
      </w:r>
      <w:r>
        <w:rPr>
          <w:spacing w:val="10"/>
        </w:rPr>
        <w:t xml:space="preserve"> </w:t>
      </w:r>
      <w:r>
        <w:t>per</w:t>
      </w:r>
      <w:r>
        <w:rPr>
          <w:spacing w:val="9"/>
        </w:rPr>
        <w:t xml:space="preserve"> </w:t>
      </w:r>
      <w:r>
        <w:t>100</w:t>
      </w:r>
      <w:r>
        <w:rPr>
          <w:spacing w:val="-1"/>
        </w:rPr>
        <w:t xml:space="preserve"> </w:t>
      </w:r>
      <w:r>
        <w:t>patient-years</w:t>
      </w:r>
      <w:r>
        <w:rPr>
          <w:spacing w:val="10"/>
        </w:rPr>
        <w:t xml:space="preserve"> </w:t>
      </w:r>
      <w:r>
        <w:t>respectively;</w:t>
      </w:r>
      <w:r>
        <w:rPr>
          <w:spacing w:val="7"/>
        </w:rPr>
        <w:t xml:space="preserve"> </w:t>
      </w:r>
      <w:r>
        <w:rPr>
          <w:spacing w:val="-5"/>
        </w:rPr>
        <w:t>the</w:t>
      </w:r>
    </w:p>
    <w:p w14:paraId="73E5D3E4" w14:textId="77777777" w:rsidR="001825E2" w:rsidRDefault="000839A5" w:rsidP="00CB00A7">
      <w:pPr>
        <w:pStyle w:val="BodyText"/>
        <w:spacing w:line="265" w:lineRule="exact"/>
        <w:ind w:left="214"/>
        <w:jc w:val="left"/>
      </w:pPr>
      <w:r>
        <w:t>IRs</w:t>
      </w:r>
      <w:r>
        <w:rPr>
          <w:spacing w:val="10"/>
        </w:rPr>
        <w:t xml:space="preserve"> </w:t>
      </w:r>
      <w:r>
        <w:t>(95%</w:t>
      </w:r>
      <w:r>
        <w:rPr>
          <w:spacing w:val="12"/>
        </w:rPr>
        <w:t xml:space="preserve"> </w:t>
      </w:r>
      <w:r>
        <w:t>CI)</w:t>
      </w:r>
      <w:r>
        <w:rPr>
          <w:spacing w:val="12"/>
        </w:rPr>
        <w:t xml:space="preserve"> </w:t>
      </w:r>
      <w:r>
        <w:t>for</w:t>
      </w:r>
      <w:r>
        <w:rPr>
          <w:spacing w:val="12"/>
        </w:rPr>
        <w:t xml:space="preserve"> </w:t>
      </w:r>
      <w:r>
        <w:t>DVT</w:t>
      </w:r>
      <w:r>
        <w:rPr>
          <w:spacing w:val="5"/>
        </w:rPr>
        <w:t xml:space="preserve"> </w:t>
      </w:r>
      <w:r>
        <w:t>were</w:t>
      </w:r>
      <w:r>
        <w:rPr>
          <w:spacing w:val="15"/>
        </w:rPr>
        <w:t xml:space="preserve"> </w:t>
      </w:r>
      <w:r>
        <w:t>0.15</w:t>
      </w:r>
      <w:r>
        <w:rPr>
          <w:spacing w:val="16"/>
        </w:rPr>
        <w:t xml:space="preserve"> </w:t>
      </w:r>
      <w:r>
        <w:t>(0.04,</w:t>
      </w:r>
      <w:r>
        <w:rPr>
          <w:spacing w:val="17"/>
        </w:rPr>
        <w:t xml:space="preserve"> </w:t>
      </w:r>
      <w:r>
        <w:t>0.40)</w:t>
      </w:r>
      <w:r>
        <w:rPr>
          <w:spacing w:val="10"/>
        </w:rPr>
        <w:t xml:space="preserve"> </w:t>
      </w:r>
      <w:r>
        <w:t>and</w:t>
      </w:r>
      <w:r>
        <w:rPr>
          <w:spacing w:val="32"/>
        </w:rPr>
        <w:t xml:space="preserve"> </w:t>
      </w:r>
      <w:r>
        <w:t>0.10</w:t>
      </w:r>
      <w:r>
        <w:rPr>
          <w:spacing w:val="17"/>
        </w:rPr>
        <w:t xml:space="preserve"> </w:t>
      </w:r>
      <w:r>
        <w:t>(0.01,</w:t>
      </w:r>
      <w:r>
        <w:rPr>
          <w:spacing w:val="17"/>
        </w:rPr>
        <w:t xml:space="preserve"> </w:t>
      </w:r>
      <w:r>
        <w:t>0.36)</w:t>
      </w:r>
      <w:r>
        <w:rPr>
          <w:spacing w:val="12"/>
        </w:rPr>
        <w:t xml:space="preserve"> </w:t>
      </w:r>
      <w:r>
        <w:t>patients</w:t>
      </w:r>
      <w:r>
        <w:rPr>
          <w:spacing w:val="13"/>
        </w:rPr>
        <w:t xml:space="preserve"> </w:t>
      </w:r>
      <w:r>
        <w:t>with</w:t>
      </w:r>
      <w:r>
        <w:rPr>
          <w:spacing w:val="17"/>
        </w:rPr>
        <w:t xml:space="preserve"> </w:t>
      </w:r>
      <w:r>
        <w:t>events</w:t>
      </w:r>
      <w:r>
        <w:rPr>
          <w:spacing w:val="13"/>
        </w:rPr>
        <w:t xml:space="preserve"> </w:t>
      </w:r>
      <w:r>
        <w:rPr>
          <w:spacing w:val="-5"/>
        </w:rPr>
        <w:t>per</w:t>
      </w:r>
    </w:p>
    <w:p w14:paraId="52FEBCC0" w14:textId="77777777" w:rsidR="001825E2" w:rsidRDefault="000839A5" w:rsidP="00CB00A7">
      <w:pPr>
        <w:pStyle w:val="BodyText"/>
        <w:spacing w:before="9"/>
        <w:ind w:left="213"/>
        <w:jc w:val="left"/>
      </w:pPr>
      <w:r>
        <w:t>100</w:t>
      </w:r>
      <w:r>
        <w:rPr>
          <w:spacing w:val="-5"/>
        </w:rPr>
        <w:t xml:space="preserve"> </w:t>
      </w:r>
      <w:r>
        <w:t>patient-years</w:t>
      </w:r>
      <w:r>
        <w:rPr>
          <w:spacing w:val="6"/>
        </w:rPr>
        <w:t xml:space="preserve"> </w:t>
      </w:r>
      <w:r>
        <w:rPr>
          <w:spacing w:val="-2"/>
        </w:rPr>
        <w:t>respectively.</w:t>
      </w:r>
    </w:p>
    <w:p w14:paraId="119BF362" w14:textId="77777777" w:rsidR="001825E2" w:rsidRDefault="000839A5" w:rsidP="00CB00A7">
      <w:pPr>
        <w:pStyle w:val="BodyText"/>
        <w:spacing w:before="234"/>
        <w:ind w:left="209" w:right="207" w:firstLine="3"/>
        <w:jc w:val="left"/>
      </w:pPr>
      <w:r>
        <w:t xml:space="preserve">In the long-term safety population that includes exposure during completed </w:t>
      </w:r>
      <w:proofErr w:type="spellStart"/>
      <w:r>
        <w:t>randomised</w:t>
      </w:r>
      <w:proofErr w:type="spellEnd"/>
      <w:r>
        <w:t xml:space="preserve"> controlled studies</w:t>
      </w:r>
      <w:r>
        <w:rPr>
          <w:spacing w:val="-5"/>
        </w:rPr>
        <w:t xml:space="preserve"> </w:t>
      </w:r>
      <w:r>
        <w:t>and open</w:t>
      </w:r>
      <w:r>
        <w:rPr>
          <w:spacing w:val="-1"/>
        </w:rPr>
        <w:t xml:space="preserve"> </w:t>
      </w:r>
      <w:r>
        <w:t>label</w:t>
      </w:r>
      <w:r>
        <w:rPr>
          <w:spacing w:val="-8"/>
        </w:rPr>
        <w:t xml:space="preserve"> </w:t>
      </w:r>
      <w:r>
        <w:t>long-term</w:t>
      </w:r>
      <w:r>
        <w:rPr>
          <w:spacing w:val="-8"/>
        </w:rPr>
        <w:t xml:space="preserve"> </w:t>
      </w:r>
      <w:r>
        <w:t>extension</w:t>
      </w:r>
      <w:r>
        <w:rPr>
          <w:spacing w:val="-1"/>
        </w:rPr>
        <w:t xml:space="preserve"> </w:t>
      </w:r>
      <w:r>
        <w:t>studies,</w:t>
      </w:r>
      <w:r>
        <w:rPr>
          <w:spacing w:val="-1"/>
        </w:rPr>
        <w:t xml:space="preserve"> </w:t>
      </w:r>
      <w:r>
        <w:t>the</w:t>
      </w:r>
      <w:r>
        <w:rPr>
          <w:spacing w:val="-3"/>
        </w:rPr>
        <w:t xml:space="preserve"> </w:t>
      </w:r>
      <w:r>
        <w:t>IRs</w:t>
      </w:r>
      <w:r>
        <w:rPr>
          <w:spacing w:val="-5"/>
        </w:rPr>
        <w:t xml:space="preserve"> </w:t>
      </w:r>
      <w:r>
        <w:t>(95%</w:t>
      </w:r>
      <w:r>
        <w:rPr>
          <w:spacing w:val="-6"/>
        </w:rPr>
        <w:t xml:space="preserve"> </w:t>
      </w:r>
      <w:r>
        <w:t>CI)</w:t>
      </w:r>
      <w:r>
        <w:rPr>
          <w:spacing w:val="-6"/>
        </w:rPr>
        <w:t xml:space="preserve"> </w:t>
      </w:r>
      <w:r>
        <w:t>for</w:t>
      </w:r>
      <w:r>
        <w:rPr>
          <w:spacing w:val="-6"/>
        </w:rPr>
        <w:t xml:space="preserve"> </w:t>
      </w:r>
      <w:r>
        <w:t>tofacitinib 5 mg twice daily and tofacitinib 10 mg twice daily for PE were 0.12 (0.06, 0.22) and 0.13 (0.08, 0.21) patients with events per 100 patient-years respectively; the IRs (95% CI) for</w:t>
      </w:r>
      <w:r>
        <w:rPr>
          <w:spacing w:val="40"/>
        </w:rPr>
        <w:t xml:space="preserve"> </w:t>
      </w:r>
      <w:r>
        <w:t xml:space="preserve">DVT were 0.17 (0.09, 0.27) and 0.15 (0.09, 0.22) patients with events per 100 patient-years </w:t>
      </w:r>
      <w:r>
        <w:rPr>
          <w:spacing w:val="-2"/>
        </w:rPr>
        <w:t>respectively.</w:t>
      </w:r>
    </w:p>
    <w:p w14:paraId="26D4C414" w14:textId="77777777" w:rsidR="001825E2" w:rsidRDefault="000839A5" w:rsidP="00CB00A7">
      <w:pPr>
        <w:pStyle w:val="BodyText"/>
        <w:spacing w:before="235" w:line="242" w:lineRule="auto"/>
        <w:ind w:left="209" w:right="226"/>
        <w:jc w:val="left"/>
      </w:pPr>
      <w:r>
        <w:t>Events of PE and</w:t>
      </w:r>
      <w:r>
        <w:rPr>
          <w:spacing w:val="24"/>
        </w:rPr>
        <w:t xml:space="preserve"> </w:t>
      </w:r>
      <w:r>
        <w:t>DVT</w:t>
      </w:r>
      <w:r>
        <w:rPr>
          <w:spacing w:val="-2"/>
        </w:rPr>
        <w:t xml:space="preserve"> </w:t>
      </w:r>
      <w:r>
        <w:t>were reported</w:t>
      </w:r>
      <w:r>
        <w:rPr>
          <w:spacing w:val="24"/>
        </w:rPr>
        <w:t xml:space="preserve"> </w:t>
      </w:r>
      <w:r>
        <w:t xml:space="preserve">in a </w:t>
      </w:r>
      <w:proofErr w:type="gramStart"/>
      <w:r>
        <w:t xml:space="preserve">large </w:t>
      </w:r>
      <w:proofErr w:type="spellStart"/>
      <w:r>
        <w:t>randomised</w:t>
      </w:r>
      <w:proofErr w:type="spellEnd"/>
      <w:proofErr w:type="gramEnd"/>
      <w:r>
        <w:rPr>
          <w:spacing w:val="24"/>
        </w:rPr>
        <w:t xml:space="preserve"> </w:t>
      </w:r>
      <w:r>
        <w:t>PASS in RA patients who</w:t>
      </w:r>
      <w:r>
        <w:rPr>
          <w:spacing w:val="-4"/>
        </w:rPr>
        <w:t xml:space="preserve"> </w:t>
      </w:r>
      <w:r>
        <w:t>were 50</w:t>
      </w:r>
      <w:r>
        <w:rPr>
          <w:spacing w:val="-1"/>
        </w:rPr>
        <w:t xml:space="preserve"> </w:t>
      </w:r>
      <w:r>
        <w:t>years</w:t>
      </w:r>
      <w:r>
        <w:rPr>
          <w:spacing w:val="-5"/>
        </w:rPr>
        <w:t xml:space="preserve"> </w:t>
      </w:r>
      <w:r>
        <w:t>or</w:t>
      </w:r>
      <w:r>
        <w:rPr>
          <w:spacing w:val="-6"/>
        </w:rPr>
        <w:t xml:space="preserve"> </w:t>
      </w:r>
      <w:r>
        <w:t>older</w:t>
      </w:r>
      <w:r>
        <w:rPr>
          <w:spacing w:val="-6"/>
        </w:rPr>
        <w:t xml:space="preserve"> </w:t>
      </w:r>
      <w:r>
        <w:t>with</w:t>
      </w:r>
      <w:r>
        <w:rPr>
          <w:spacing w:val="-1"/>
        </w:rPr>
        <w:t xml:space="preserve"> </w:t>
      </w:r>
      <w:r>
        <w:t>at least one</w:t>
      </w:r>
      <w:r>
        <w:rPr>
          <w:spacing w:val="-3"/>
        </w:rPr>
        <w:t xml:space="preserve"> </w:t>
      </w:r>
      <w:r>
        <w:t>additional</w:t>
      </w:r>
      <w:r>
        <w:rPr>
          <w:spacing w:val="-8"/>
        </w:rPr>
        <w:t xml:space="preserve"> </w:t>
      </w:r>
      <w:r>
        <w:t>cardiovascular risk</w:t>
      </w:r>
      <w:r>
        <w:rPr>
          <w:spacing w:val="-1"/>
        </w:rPr>
        <w:t xml:space="preserve"> </w:t>
      </w:r>
      <w:r>
        <w:t>factor.</w:t>
      </w:r>
      <w:r>
        <w:rPr>
          <w:spacing w:val="-1"/>
        </w:rPr>
        <w:t xml:space="preserve"> </w:t>
      </w:r>
      <w:r>
        <w:t>The</w:t>
      </w:r>
      <w:r>
        <w:rPr>
          <w:spacing w:val="-3"/>
        </w:rPr>
        <w:t xml:space="preserve"> </w:t>
      </w:r>
      <w:r>
        <w:t>IRs</w:t>
      </w:r>
      <w:r>
        <w:rPr>
          <w:spacing w:val="-5"/>
        </w:rPr>
        <w:t xml:space="preserve"> </w:t>
      </w:r>
      <w:r>
        <w:t>(95%</w:t>
      </w:r>
      <w:r>
        <w:rPr>
          <w:spacing w:val="-6"/>
        </w:rPr>
        <w:t xml:space="preserve"> </w:t>
      </w:r>
      <w:r>
        <w:t>CI)</w:t>
      </w:r>
      <w:r>
        <w:rPr>
          <w:spacing w:val="-6"/>
        </w:rPr>
        <w:t xml:space="preserve"> </w:t>
      </w:r>
      <w:r>
        <w:t>and HRs</w:t>
      </w:r>
      <w:r>
        <w:rPr>
          <w:spacing w:val="-1"/>
        </w:rPr>
        <w:t xml:space="preserve"> </w:t>
      </w:r>
      <w:r>
        <w:t>(95% CI)</w:t>
      </w:r>
      <w:r>
        <w:rPr>
          <w:spacing w:val="-4"/>
        </w:rPr>
        <w:t xml:space="preserve"> </w:t>
      </w:r>
      <w:r>
        <w:t>are presented as follows:</w:t>
      </w:r>
    </w:p>
    <w:p w14:paraId="4B730610" w14:textId="77777777" w:rsidR="001825E2" w:rsidRDefault="000839A5" w:rsidP="00CB00A7">
      <w:pPr>
        <w:pStyle w:val="ListParagraph"/>
        <w:numPr>
          <w:ilvl w:val="0"/>
          <w:numId w:val="5"/>
        </w:numPr>
        <w:tabs>
          <w:tab w:val="left" w:pos="640"/>
        </w:tabs>
        <w:spacing w:before="251" w:line="230" w:lineRule="auto"/>
        <w:ind w:right="216"/>
        <w:jc w:val="left"/>
        <w:rPr>
          <w:sz w:val="24"/>
        </w:rPr>
      </w:pPr>
      <w:r>
        <w:rPr>
          <w:sz w:val="24"/>
        </w:rPr>
        <w:t>The IRs (95% CI) for VTE for XELJANZ 5 mg twice daily, XELJANZ 10 mg twice daily, all XELJANZ (combines 5 mg twice daily and 10 mg</w:t>
      </w:r>
      <w:r>
        <w:rPr>
          <w:spacing w:val="-3"/>
          <w:sz w:val="24"/>
        </w:rPr>
        <w:t xml:space="preserve"> </w:t>
      </w:r>
      <w:r>
        <w:rPr>
          <w:sz w:val="24"/>
        </w:rPr>
        <w:t>twice</w:t>
      </w:r>
      <w:r>
        <w:rPr>
          <w:spacing w:val="-5"/>
          <w:sz w:val="24"/>
        </w:rPr>
        <w:t xml:space="preserve"> </w:t>
      </w:r>
      <w:r>
        <w:rPr>
          <w:sz w:val="24"/>
        </w:rPr>
        <w:t>daily treatment arms) and</w:t>
      </w:r>
      <w:r>
        <w:rPr>
          <w:spacing w:val="70"/>
          <w:sz w:val="24"/>
        </w:rPr>
        <w:t xml:space="preserve"> </w:t>
      </w:r>
      <w:r>
        <w:rPr>
          <w:sz w:val="24"/>
        </w:rPr>
        <w:t>TNF</w:t>
      </w:r>
      <w:r>
        <w:rPr>
          <w:spacing w:val="56"/>
          <w:sz w:val="24"/>
        </w:rPr>
        <w:t xml:space="preserve"> </w:t>
      </w:r>
      <w:r>
        <w:rPr>
          <w:sz w:val="24"/>
        </w:rPr>
        <w:t>inhibitor</w:t>
      </w:r>
      <w:r>
        <w:rPr>
          <w:spacing w:val="40"/>
          <w:sz w:val="24"/>
        </w:rPr>
        <w:t xml:space="preserve"> </w:t>
      </w:r>
      <w:r>
        <w:rPr>
          <w:sz w:val="24"/>
        </w:rPr>
        <w:t>were</w:t>
      </w:r>
      <w:r>
        <w:rPr>
          <w:spacing w:val="40"/>
          <w:sz w:val="24"/>
        </w:rPr>
        <w:t xml:space="preserve"> </w:t>
      </w:r>
      <w:r>
        <w:rPr>
          <w:sz w:val="24"/>
        </w:rPr>
        <w:t>0.33</w:t>
      </w:r>
      <w:r>
        <w:rPr>
          <w:spacing w:val="55"/>
          <w:sz w:val="24"/>
        </w:rPr>
        <w:t xml:space="preserve"> </w:t>
      </w:r>
      <w:r>
        <w:rPr>
          <w:sz w:val="24"/>
        </w:rPr>
        <w:t>(0.19,</w:t>
      </w:r>
      <w:r>
        <w:rPr>
          <w:spacing w:val="55"/>
          <w:sz w:val="24"/>
        </w:rPr>
        <w:t xml:space="preserve"> </w:t>
      </w:r>
      <w:r>
        <w:rPr>
          <w:sz w:val="24"/>
        </w:rPr>
        <w:t>0.53),</w:t>
      </w:r>
      <w:r>
        <w:rPr>
          <w:spacing w:val="55"/>
          <w:sz w:val="24"/>
        </w:rPr>
        <w:t xml:space="preserve"> </w:t>
      </w:r>
      <w:r>
        <w:rPr>
          <w:sz w:val="24"/>
        </w:rPr>
        <w:t>0.70</w:t>
      </w:r>
      <w:r>
        <w:rPr>
          <w:spacing w:val="55"/>
          <w:sz w:val="24"/>
        </w:rPr>
        <w:t xml:space="preserve"> </w:t>
      </w:r>
      <w:r>
        <w:rPr>
          <w:sz w:val="24"/>
        </w:rPr>
        <w:t>(0.49,</w:t>
      </w:r>
      <w:r>
        <w:rPr>
          <w:spacing w:val="55"/>
          <w:sz w:val="24"/>
        </w:rPr>
        <w:t xml:space="preserve"> </w:t>
      </w:r>
      <w:r>
        <w:rPr>
          <w:sz w:val="24"/>
        </w:rPr>
        <w:t>0.99),</w:t>
      </w:r>
      <w:r>
        <w:rPr>
          <w:spacing w:val="55"/>
          <w:sz w:val="24"/>
        </w:rPr>
        <w:t xml:space="preserve"> </w:t>
      </w:r>
      <w:r>
        <w:rPr>
          <w:sz w:val="24"/>
        </w:rPr>
        <w:t>0.51</w:t>
      </w:r>
      <w:r>
        <w:rPr>
          <w:spacing w:val="55"/>
          <w:sz w:val="24"/>
        </w:rPr>
        <w:t xml:space="preserve"> </w:t>
      </w:r>
      <w:r>
        <w:rPr>
          <w:sz w:val="24"/>
        </w:rPr>
        <w:t>(0.38,</w:t>
      </w:r>
      <w:r>
        <w:rPr>
          <w:spacing w:val="54"/>
          <w:sz w:val="24"/>
        </w:rPr>
        <w:t xml:space="preserve"> </w:t>
      </w:r>
      <w:r>
        <w:rPr>
          <w:sz w:val="24"/>
        </w:rPr>
        <w:t>0.67),</w:t>
      </w:r>
      <w:r>
        <w:rPr>
          <w:spacing w:val="55"/>
          <w:sz w:val="24"/>
        </w:rPr>
        <w:t xml:space="preserve"> </w:t>
      </w:r>
      <w:r>
        <w:rPr>
          <w:sz w:val="24"/>
        </w:rPr>
        <w:t>and</w:t>
      </w:r>
    </w:p>
    <w:p w14:paraId="16BC62A4" w14:textId="77777777" w:rsidR="001825E2" w:rsidRDefault="000839A5" w:rsidP="00CB00A7">
      <w:pPr>
        <w:pStyle w:val="BodyText"/>
        <w:spacing w:before="11"/>
        <w:ind w:left="639"/>
        <w:jc w:val="left"/>
      </w:pPr>
      <w:r>
        <w:t>0.20</w:t>
      </w:r>
      <w:r>
        <w:rPr>
          <w:spacing w:val="-2"/>
        </w:rPr>
        <w:t xml:space="preserve"> </w:t>
      </w:r>
      <w:r>
        <w:t>(0.10, 0.37)</w:t>
      </w:r>
      <w:r>
        <w:rPr>
          <w:spacing w:val="-4"/>
        </w:rPr>
        <w:t xml:space="preserve"> </w:t>
      </w:r>
      <w:r>
        <w:t>patients</w:t>
      </w:r>
      <w:r>
        <w:rPr>
          <w:spacing w:val="-4"/>
        </w:rPr>
        <w:t xml:space="preserve"> </w:t>
      </w:r>
      <w:r>
        <w:t>with</w:t>
      </w:r>
      <w:r>
        <w:rPr>
          <w:spacing w:val="1"/>
        </w:rPr>
        <w:t xml:space="preserve"> </w:t>
      </w:r>
      <w:r>
        <w:t>events</w:t>
      </w:r>
      <w:r>
        <w:rPr>
          <w:spacing w:val="-4"/>
        </w:rPr>
        <w:t xml:space="preserve"> </w:t>
      </w:r>
      <w:r>
        <w:t>per</w:t>
      </w:r>
      <w:r>
        <w:rPr>
          <w:spacing w:val="-5"/>
        </w:rPr>
        <w:t xml:space="preserve"> </w:t>
      </w:r>
      <w:r>
        <w:t>100</w:t>
      </w:r>
      <w:r>
        <w:rPr>
          <w:spacing w:val="46"/>
        </w:rPr>
        <w:t xml:space="preserve"> </w:t>
      </w:r>
      <w:r>
        <w:t>patient-years,</w:t>
      </w:r>
      <w:r>
        <w:rPr>
          <w:spacing w:val="1"/>
        </w:rPr>
        <w:t xml:space="preserve"> </w:t>
      </w:r>
      <w:r>
        <w:t>respectively. Compared</w:t>
      </w:r>
      <w:r>
        <w:rPr>
          <w:spacing w:val="16"/>
        </w:rPr>
        <w:t xml:space="preserve"> </w:t>
      </w:r>
      <w:r>
        <w:rPr>
          <w:spacing w:val="-4"/>
        </w:rPr>
        <w:t>with</w:t>
      </w:r>
    </w:p>
    <w:p w14:paraId="5420E45A" w14:textId="77777777" w:rsidR="001825E2" w:rsidRDefault="001825E2" w:rsidP="00CB00A7">
      <w:pPr>
        <w:sectPr w:rsidR="001825E2">
          <w:pgSz w:w="11910" w:h="16850"/>
          <w:pgMar w:top="1360" w:right="1220" w:bottom="980" w:left="1220" w:header="0" w:footer="785" w:gutter="0"/>
          <w:cols w:space="720"/>
        </w:sectPr>
      </w:pPr>
    </w:p>
    <w:p w14:paraId="0CE52212" w14:textId="77777777" w:rsidR="001825E2" w:rsidRDefault="000839A5" w:rsidP="00CB00A7">
      <w:pPr>
        <w:pStyle w:val="BodyText"/>
        <w:spacing w:before="80" w:line="235" w:lineRule="auto"/>
        <w:ind w:left="639" w:right="199"/>
        <w:jc w:val="left"/>
      </w:pPr>
      <w:r>
        <w:lastRenderedPageBreak/>
        <w:t>TNF inhibitor, the HR (95%</w:t>
      </w:r>
      <w:r>
        <w:rPr>
          <w:spacing w:val="-4"/>
        </w:rPr>
        <w:t xml:space="preserve"> </w:t>
      </w:r>
      <w:r>
        <w:t>CI)</w:t>
      </w:r>
      <w:r>
        <w:rPr>
          <w:spacing w:val="-4"/>
        </w:rPr>
        <w:t xml:space="preserve"> </w:t>
      </w:r>
      <w:r>
        <w:t>for VTE with XELJANZ 5 mg twice</w:t>
      </w:r>
      <w:r>
        <w:rPr>
          <w:spacing w:val="-1"/>
        </w:rPr>
        <w:t xml:space="preserve"> </w:t>
      </w:r>
      <w:r>
        <w:t>daily, XELJANZ 10</w:t>
      </w:r>
      <w:r>
        <w:rPr>
          <w:spacing w:val="12"/>
        </w:rPr>
        <w:t xml:space="preserve"> </w:t>
      </w:r>
      <w:r>
        <w:t>mg</w:t>
      </w:r>
      <w:r>
        <w:rPr>
          <w:spacing w:val="13"/>
        </w:rPr>
        <w:t xml:space="preserve"> </w:t>
      </w:r>
      <w:r>
        <w:t>twice</w:t>
      </w:r>
      <w:r>
        <w:rPr>
          <w:spacing w:val="-4"/>
        </w:rPr>
        <w:t xml:space="preserve"> </w:t>
      </w:r>
      <w:r>
        <w:t>daily,</w:t>
      </w:r>
      <w:r>
        <w:rPr>
          <w:spacing w:val="13"/>
        </w:rPr>
        <w:t xml:space="preserve"> </w:t>
      </w:r>
      <w:r>
        <w:t>and</w:t>
      </w:r>
      <w:r>
        <w:rPr>
          <w:spacing w:val="28"/>
        </w:rPr>
        <w:t xml:space="preserve"> </w:t>
      </w:r>
      <w:r>
        <w:t>all</w:t>
      </w:r>
      <w:r>
        <w:rPr>
          <w:spacing w:val="6"/>
        </w:rPr>
        <w:t xml:space="preserve"> </w:t>
      </w:r>
      <w:r>
        <w:t>XELJANZ</w:t>
      </w:r>
      <w:r>
        <w:rPr>
          <w:spacing w:val="1"/>
        </w:rPr>
        <w:t xml:space="preserve"> </w:t>
      </w:r>
      <w:r>
        <w:t>were</w:t>
      </w:r>
      <w:r>
        <w:rPr>
          <w:spacing w:val="11"/>
        </w:rPr>
        <w:t xml:space="preserve"> </w:t>
      </w:r>
      <w:r>
        <w:t>1.66</w:t>
      </w:r>
      <w:r>
        <w:rPr>
          <w:spacing w:val="12"/>
        </w:rPr>
        <w:t xml:space="preserve"> </w:t>
      </w:r>
      <w:r>
        <w:t>(0.76,</w:t>
      </w:r>
      <w:r>
        <w:rPr>
          <w:spacing w:val="13"/>
        </w:rPr>
        <w:t xml:space="preserve"> </w:t>
      </w:r>
      <w:r>
        <w:t>3.63),</w:t>
      </w:r>
      <w:r>
        <w:rPr>
          <w:spacing w:val="13"/>
        </w:rPr>
        <w:t xml:space="preserve"> </w:t>
      </w:r>
      <w:r>
        <w:t>3.52</w:t>
      </w:r>
      <w:r>
        <w:rPr>
          <w:spacing w:val="-2"/>
        </w:rPr>
        <w:t xml:space="preserve"> </w:t>
      </w:r>
      <w:r>
        <w:t>(1.74,</w:t>
      </w:r>
      <w:r>
        <w:rPr>
          <w:spacing w:val="-2"/>
        </w:rPr>
        <w:t xml:space="preserve"> </w:t>
      </w:r>
      <w:r>
        <w:t>7.12),</w:t>
      </w:r>
      <w:r>
        <w:rPr>
          <w:spacing w:val="13"/>
        </w:rPr>
        <w:t xml:space="preserve"> </w:t>
      </w:r>
      <w:r>
        <w:t>and</w:t>
      </w:r>
      <w:r>
        <w:rPr>
          <w:spacing w:val="28"/>
        </w:rPr>
        <w:t xml:space="preserve"> </w:t>
      </w:r>
      <w:proofErr w:type="gramStart"/>
      <w:r>
        <w:rPr>
          <w:spacing w:val="-4"/>
        </w:rPr>
        <w:t>2.56</w:t>
      </w:r>
      <w:proofErr w:type="gramEnd"/>
    </w:p>
    <w:p w14:paraId="4D58CA0E" w14:textId="77777777" w:rsidR="001825E2" w:rsidRDefault="000839A5" w:rsidP="00CB00A7">
      <w:pPr>
        <w:pStyle w:val="BodyText"/>
        <w:spacing w:before="10"/>
        <w:ind w:left="639"/>
        <w:jc w:val="left"/>
      </w:pPr>
      <w:r>
        <w:t>(1.30,</w:t>
      </w:r>
      <w:r>
        <w:rPr>
          <w:spacing w:val="-5"/>
        </w:rPr>
        <w:t xml:space="preserve"> </w:t>
      </w:r>
      <w:r>
        <w:t>5.05),</w:t>
      </w:r>
      <w:r>
        <w:rPr>
          <w:spacing w:val="10"/>
        </w:rPr>
        <w:t xml:space="preserve"> </w:t>
      </w:r>
      <w:r>
        <w:rPr>
          <w:spacing w:val="-2"/>
        </w:rPr>
        <w:t>respectively.</w:t>
      </w:r>
    </w:p>
    <w:p w14:paraId="624C59CB" w14:textId="77777777" w:rsidR="001825E2" w:rsidRDefault="001825E2" w:rsidP="00CB00A7">
      <w:pPr>
        <w:pStyle w:val="BodyText"/>
        <w:spacing w:before="11"/>
        <w:jc w:val="left"/>
      </w:pPr>
    </w:p>
    <w:p w14:paraId="261DB15D" w14:textId="77777777" w:rsidR="001825E2" w:rsidRDefault="000839A5" w:rsidP="00CB00A7">
      <w:pPr>
        <w:pStyle w:val="ListParagraph"/>
        <w:numPr>
          <w:ilvl w:val="0"/>
          <w:numId w:val="5"/>
        </w:numPr>
        <w:tabs>
          <w:tab w:val="left" w:pos="639"/>
        </w:tabs>
        <w:spacing w:line="230" w:lineRule="auto"/>
        <w:ind w:left="639" w:right="219"/>
        <w:jc w:val="left"/>
        <w:rPr>
          <w:sz w:val="24"/>
        </w:rPr>
      </w:pPr>
      <w:r>
        <w:rPr>
          <w:sz w:val="24"/>
        </w:rPr>
        <w:t>The IRs</w:t>
      </w:r>
      <w:r>
        <w:rPr>
          <w:spacing w:val="-3"/>
          <w:sz w:val="24"/>
        </w:rPr>
        <w:t xml:space="preserve"> </w:t>
      </w:r>
      <w:r>
        <w:rPr>
          <w:sz w:val="24"/>
        </w:rPr>
        <w:t>(95% CI)</w:t>
      </w:r>
      <w:r>
        <w:rPr>
          <w:spacing w:val="-4"/>
          <w:sz w:val="24"/>
        </w:rPr>
        <w:t xml:space="preserve"> </w:t>
      </w:r>
      <w:r>
        <w:rPr>
          <w:sz w:val="24"/>
        </w:rPr>
        <w:t>for</w:t>
      </w:r>
      <w:r>
        <w:rPr>
          <w:spacing w:val="-4"/>
          <w:sz w:val="24"/>
        </w:rPr>
        <w:t xml:space="preserve"> </w:t>
      </w:r>
      <w:r>
        <w:rPr>
          <w:sz w:val="24"/>
        </w:rPr>
        <w:t>PE for</w:t>
      </w:r>
      <w:r>
        <w:rPr>
          <w:spacing w:val="-4"/>
          <w:sz w:val="24"/>
        </w:rPr>
        <w:t xml:space="preserve"> </w:t>
      </w:r>
      <w:r>
        <w:rPr>
          <w:sz w:val="24"/>
        </w:rPr>
        <w:t>XELJANZ 5 mg twice daily, XELJANZ 10 mg twice daily, all XELJANZ (combines 5 mg twice daily and 10 mg twice daily treatment arms) and TNF</w:t>
      </w:r>
      <w:r>
        <w:rPr>
          <w:spacing w:val="80"/>
          <w:sz w:val="24"/>
        </w:rPr>
        <w:t xml:space="preserve"> </w:t>
      </w:r>
      <w:r>
        <w:rPr>
          <w:sz w:val="24"/>
        </w:rPr>
        <w:t>inhibitor</w:t>
      </w:r>
      <w:r>
        <w:rPr>
          <w:spacing w:val="80"/>
          <w:sz w:val="24"/>
        </w:rPr>
        <w:t xml:space="preserve"> </w:t>
      </w:r>
      <w:r>
        <w:rPr>
          <w:sz w:val="24"/>
        </w:rPr>
        <w:t>were</w:t>
      </w:r>
      <w:r>
        <w:rPr>
          <w:spacing w:val="69"/>
          <w:w w:val="150"/>
          <w:sz w:val="24"/>
        </w:rPr>
        <w:t xml:space="preserve"> </w:t>
      </w:r>
      <w:r>
        <w:rPr>
          <w:sz w:val="24"/>
        </w:rPr>
        <w:t>0.17</w:t>
      </w:r>
      <w:r>
        <w:rPr>
          <w:spacing w:val="71"/>
          <w:w w:val="150"/>
          <w:sz w:val="24"/>
        </w:rPr>
        <w:t xml:space="preserve"> </w:t>
      </w:r>
      <w:r>
        <w:rPr>
          <w:sz w:val="24"/>
        </w:rPr>
        <w:t>(0.08,</w:t>
      </w:r>
      <w:r>
        <w:rPr>
          <w:spacing w:val="80"/>
          <w:sz w:val="24"/>
        </w:rPr>
        <w:t xml:space="preserve"> </w:t>
      </w:r>
      <w:r>
        <w:rPr>
          <w:sz w:val="24"/>
        </w:rPr>
        <w:t>0.33),</w:t>
      </w:r>
      <w:r>
        <w:rPr>
          <w:spacing w:val="80"/>
          <w:sz w:val="24"/>
        </w:rPr>
        <w:t xml:space="preserve"> </w:t>
      </w:r>
      <w:r>
        <w:rPr>
          <w:sz w:val="24"/>
        </w:rPr>
        <w:t>0.50</w:t>
      </w:r>
      <w:r>
        <w:rPr>
          <w:spacing w:val="71"/>
          <w:w w:val="150"/>
          <w:sz w:val="24"/>
        </w:rPr>
        <w:t xml:space="preserve"> </w:t>
      </w:r>
      <w:r>
        <w:rPr>
          <w:sz w:val="24"/>
        </w:rPr>
        <w:t>(0.32,</w:t>
      </w:r>
      <w:r>
        <w:rPr>
          <w:spacing w:val="71"/>
          <w:w w:val="150"/>
          <w:sz w:val="24"/>
        </w:rPr>
        <w:t xml:space="preserve"> </w:t>
      </w:r>
      <w:r>
        <w:rPr>
          <w:sz w:val="24"/>
        </w:rPr>
        <w:t>0.74),</w:t>
      </w:r>
      <w:r>
        <w:rPr>
          <w:spacing w:val="80"/>
          <w:sz w:val="24"/>
        </w:rPr>
        <w:t xml:space="preserve"> </w:t>
      </w:r>
      <w:r>
        <w:rPr>
          <w:sz w:val="24"/>
        </w:rPr>
        <w:t>0.33</w:t>
      </w:r>
      <w:r>
        <w:rPr>
          <w:spacing w:val="71"/>
          <w:w w:val="150"/>
          <w:sz w:val="24"/>
        </w:rPr>
        <w:t xml:space="preserve"> </w:t>
      </w:r>
      <w:r>
        <w:rPr>
          <w:sz w:val="24"/>
        </w:rPr>
        <w:t>(0.23,</w:t>
      </w:r>
      <w:r>
        <w:rPr>
          <w:spacing w:val="71"/>
          <w:w w:val="150"/>
          <w:sz w:val="24"/>
        </w:rPr>
        <w:t xml:space="preserve"> </w:t>
      </w:r>
      <w:r>
        <w:rPr>
          <w:sz w:val="24"/>
        </w:rPr>
        <w:t>0.46),</w:t>
      </w:r>
      <w:r>
        <w:rPr>
          <w:spacing w:val="71"/>
          <w:w w:val="150"/>
          <w:sz w:val="24"/>
        </w:rPr>
        <w:t xml:space="preserve"> </w:t>
      </w:r>
      <w:r>
        <w:rPr>
          <w:sz w:val="24"/>
        </w:rPr>
        <w:t>and</w:t>
      </w:r>
    </w:p>
    <w:p w14:paraId="5C2A16D9" w14:textId="77777777" w:rsidR="001825E2" w:rsidRDefault="000839A5" w:rsidP="00CB00A7">
      <w:pPr>
        <w:pStyle w:val="BodyText"/>
        <w:spacing w:before="11" w:line="242" w:lineRule="auto"/>
        <w:ind w:left="639" w:right="218"/>
        <w:jc w:val="left"/>
      </w:pPr>
      <w:r>
        <w:t>0.06</w:t>
      </w:r>
      <w:r>
        <w:rPr>
          <w:spacing w:val="-1"/>
        </w:rPr>
        <w:t xml:space="preserve"> </w:t>
      </w:r>
      <w:r>
        <w:t>(0.01,</w:t>
      </w:r>
      <w:r>
        <w:rPr>
          <w:spacing w:val="-1"/>
        </w:rPr>
        <w:t xml:space="preserve"> </w:t>
      </w:r>
      <w:r>
        <w:t>0.17)</w:t>
      </w:r>
      <w:r>
        <w:rPr>
          <w:spacing w:val="-6"/>
        </w:rPr>
        <w:t xml:space="preserve"> </w:t>
      </w:r>
      <w:r>
        <w:t>patients</w:t>
      </w:r>
      <w:r>
        <w:rPr>
          <w:spacing w:val="-5"/>
        </w:rPr>
        <w:t xml:space="preserve"> </w:t>
      </w:r>
      <w:r>
        <w:t>with</w:t>
      </w:r>
      <w:r>
        <w:rPr>
          <w:spacing w:val="-1"/>
        </w:rPr>
        <w:t xml:space="preserve"> </w:t>
      </w:r>
      <w:r>
        <w:t>events</w:t>
      </w:r>
      <w:r>
        <w:rPr>
          <w:spacing w:val="-5"/>
        </w:rPr>
        <w:t xml:space="preserve"> </w:t>
      </w:r>
      <w:r>
        <w:t>per</w:t>
      </w:r>
      <w:r>
        <w:rPr>
          <w:spacing w:val="-6"/>
        </w:rPr>
        <w:t xml:space="preserve"> </w:t>
      </w:r>
      <w:r>
        <w:t>100</w:t>
      </w:r>
      <w:r>
        <w:rPr>
          <w:spacing w:val="40"/>
        </w:rPr>
        <w:t xml:space="preserve"> </w:t>
      </w:r>
      <w:r>
        <w:t>patient-years,</w:t>
      </w:r>
      <w:r>
        <w:rPr>
          <w:spacing w:val="-1"/>
        </w:rPr>
        <w:t xml:space="preserve"> </w:t>
      </w:r>
      <w:r>
        <w:t>respectively.</w:t>
      </w:r>
      <w:r>
        <w:rPr>
          <w:spacing w:val="-1"/>
        </w:rPr>
        <w:t xml:space="preserve"> </w:t>
      </w:r>
      <w:r>
        <w:t>Compared with TNF inhibitor, the HR (95%</w:t>
      </w:r>
      <w:r>
        <w:rPr>
          <w:spacing w:val="-2"/>
        </w:rPr>
        <w:t xml:space="preserve"> </w:t>
      </w:r>
      <w:r>
        <w:t>CI)</w:t>
      </w:r>
      <w:r>
        <w:rPr>
          <w:spacing w:val="-2"/>
        </w:rPr>
        <w:t xml:space="preserve"> </w:t>
      </w:r>
      <w:r>
        <w:t>for</w:t>
      </w:r>
      <w:r>
        <w:rPr>
          <w:spacing w:val="-2"/>
        </w:rPr>
        <w:t xml:space="preserve"> </w:t>
      </w:r>
      <w:r>
        <w:t>PE with XELJANZ 5 mg twice daily, XELJANZ 10 mg</w:t>
      </w:r>
      <w:r>
        <w:rPr>
          <w:spacing w:val="13"/>
        </w:rPr>
        <w:t xml:space="preserve"> </w:t>
      </w:r>
      <w:r>
        <w:t>twice</w:t>
      </w:r>
      <w:r>
        <w:rPr>
          <w:spacing w:val="12"/>
        </w:rPr>
        <w:t xml:space="preserve"> </w:t>
      </w:r>
      <w:r>
        <w:t>daily,</w:t>
      </w:r>
      <w:r>
        <w:rPr>
          <w:spacing w:val="14"/>
        </w:rPr>
        <w:t xml:space="preserve"> </w:t>
      </w:r>
      <w:r>
        <w:t>and</w:t>
      </w:r>
      <w:r>
        <w:rPr>
          <w:spacing w:val="28"/>
        </w:rPr>
        <w:t xml:space="preserve"> </w:t>
      </w:r>
      <w:r>
        <w:t>all</w:t>
      </w:r>
      <w:r>
        <w:rPr>
          <w:spacing w:val="7"/>
        </w:rPr>
        <w:t xml:space="preserve"> </w:t>
      </w:r>
      <w:r>
        <w:t>XELJANZ</w:t>
      </w:r>
      <w:r>
        <w:rPr>
          <w:spacing w:val="17"/>
        </w:rPr>
        <w:t xml:space="preserve"> </w:t>
      </w:r>
      <w:r>
        <w:t>were</w:t>
      </w:r>
      <w:r>
        <w:rPr>
          <w:spacing w:val="12"/>
        </w:rPr>
        <w:t xml:space="preserve"> </w:t>
      </w:r>
      <w:r>
        <w:t>2.93</w:t>
      </w:r>
      <w:r>
        <w:rPr>
          <w:spacing w:val="14"/>
        </w:rPr>
        <w:t xml:space="preserve"> </w:t>
      </w:r>
      <w:r>
        <w:t>(0.79,</w:t>
      </w:r>
      <w:r>
        <w:rPr>
          <w:spacing w:val="14"/>
        </w:rPr>
        <w:t xml:space="preserve"> </w:t>
      </w:r>
      <w:r>
        <w:t>10.83),</w:t>
      </w:r>
      <w:r>
        <w:rPr>
          <w:spacing w:val="13"/>
        </w:rPr>
        <w:t xml:space="preserve"> </w:t>
      </w:r>
      <w:r>
        <w:t>8.26</w:t>
      </w:r>
      <w:r>
        <w:rPr>
          <w:spacing w:val="-1"/>
        </w:rPr>
        <w:t xml:space="preserve"> </w:t>
      </w:r>
      <w:r>
        <w:t>(2.49,</w:t>
      </w:r>
      <w:r>
        <w:rPr>
          <w:spacing w:val="-1"/>
        </w:rPr>
        <w:t xml:space="preserve"> </w:t>
      </w:r>
      <w:r>
        <w:t>27.43),</w:t>
      </w:r>
      <w:r>
        <w:rPr>
          <w:spacing w:val="29"/>
        </w:rPr>
        <w:t xml:space="preserve"> </w:t>
      </w:r>
      <w:r>
        <w:t>and</w:t>
      </w:r>
      <w:r>
        <w:rPr>
          <w:spacing w:val="29"/>
        </w:rPr>
        <w:t xml:space="preserve"> </w:t>
      </w:r>
      <w:proofErr w:type="gramStart"/>
      <w:r>
        <w:rPr>
          <w:spacing w:val="-4"/>
        </w:rPr>
        <w:t>5.53</w:t>
      </w:r>
      <w:proofErr w:type="gramEnd"/>
    </w:p>
    <w:p w14:paraId="55BB6968" w14:textId="77777777" w:rsidR="001825E2" w:rsidRDefault="000839A5" w:rsidP="00CB00A7">
      <w:pPr>
        <w:pStyle w:val="BodyText"/>
        <w:spacing w:line="265" w:lineRule="exact"/>
        <w:ind w:left="639"/>
        <w:jc w:val="left"/>
      </w:pPr>
      <w:r>
        <w:t>(1.70,</w:t>
      </w:r>
      <w:r>
        <w:rPr>
          <w:spacing w:val="-5"/>
        </w:rPr>
        <w:t xml:space="preserve"> </w:t>
      </w:r>
      <w:r>
        <w:t>18.02),</w:t>
      </w:r>
      <w:r>
        <w:rPr>
          <w:spacing w:val="9"/>
        </w:rPr>
        <w:t xml:space="preserve"> </w:t>
      </w:r>
      <w:r>
        <w:rPr>
          <w:spacing w:val="-2"/>
        </w:rPr>
        <w:t>respectively.</w:t>
      </w:r>
    </w:p>
    <w:p w14:paraId="11C7AE2D" w14:textId="77777777" w:rsidR="001825E2" w:rsidRDefault="001825E2" w:rsidP="00CB00A7">
      <w:pPr>
        <w:pStyle w:val="BodyText"/>
        <w:spacing w:before="4"/>
        <w:jc w:val="left"/>
      </w:pPr>
    </w:p>
    <w:p w14:paraId="34719D56" w14:textId="77777777" w:rsidR="001825E2" w:rsidRDefault="000839A5" w:rsidP="00CB00A7">
      <w:pPr>
        <w:pStyle w:val="ListParagraph"/>
        <w:numPr>
          <w:ilvl w:val="0"/>
          <w:numId w:val="5"/>
        </w:numPr>
        <w:tabs>
          <w:tab w:val="left" w:pos="638"/>
        </w:tabs>
        <w:spacing w:before="1" w:line="237" w:lineRule="auto"/>
        <w:ind w:left="638" w:right="217"/>
        <w:jc w:val="left"/>
        <w:rPr>
          <w:sz w:val="24"/>
        </w:rPr>
      </w:pPr>
      <w:r>
        <w:rPr>
          <w:sz w:val="24"/>
        </w:rPr>
        <w:t>The IRs (95% CI) for DVT for XELJANZ 5 mg twice daily, XELJANZ 10 mg twice daily, all XELJANZ (combines 5 mg twice daily and 10 mg</w:t>
      </w:r>
      <w:r>
        <w:rPr>
          <w:spacing w:val="-3"/>
          <w:sz w:val="24"/>
        </w:rPr>
        <w:t xml:space="preserve"> </w:t>
      </w:r>
      <w:r>
        <w:rPr>
          <w:sz w:val="24"/>
        </w:rPr>
        <w:t>twice</w:t>
      </w:r>
      <w:r>
        <w:rPr>
          <w:spacing w:val="-5"/>
          <w:sz w:val="24"/>
        </w:rPr>
        <w:t xml:space="preserve"> </w:t>
      </w:r>
      <w:r>
        <w:rPr>
          <w:sz w:val="24"/>
        </w:rPr>
        <w:t>daily treatment arms) and</w:t>
      </w:r>
      <w:r>
        <w:rPr>
          <w:spacing w:val="70"/>
          <w:sz w:val="24"/>
        </w:rPr>
        <w:t xml:space="preserve"> </w:t>
      </w:r>
      <w:r>
        <w:rPr>
          <w:sz w:val="24"/>
        </w:rPr>
        <w:t>TNF</w:t>
      </w:r>
      <w:r>
        <w:rPr>
          <w:spacing w:val="56"/>
          <w:sz w:val="24"/>
        </w:rPr>
        <w:t xml:space="preserve"> </w:t>
      </w:r>
      <w:r>
        <w:rPr>
          <w:sz w:val="24"/>
        </w:rPr>
        <w:t>inhibitor</w:t>
      </w:r>
      <w:r>
        <w:rPr>
          <w:spacing w:val="40"/>
          <w:sz w:val="24"/>
        </w:rPr>
        <w:t xml:space="preserve"> </w:t>
      </w:r>
      <w:r>
        <w:rPr>
          <w:sz w:val="24"/>
        </w:rPr>
        <w:t>were</w:t>
      </w:r>
      <w:r>
        <w:rPr>
          <w:spacing w:val="54"/>
          <w:sz w:val="24"/>
        </w:rPr>
        <w:t xml:space="preserve"> </w:t>
      </w:r>
      <w:r>
        <w:rPr>
          <w:sz w:val="24"/>
        </w:rPr>
        <w:t>0.21</w:t>
      </w:r>
      <w:r>
        <w:rPr>
          <w:spacing w:val="55"/>
          <w:sz w:val="24"/>
        </w:rPr>
        <w:t xml:space="preserve"> </w:t>
      </w:r>
      <w:r>
        <w:rPr>
          <w:sz w:val="24"/>
        </w:rPr>
        <w:t>(0.11,</w:t>
      </w:r>
      <w:r>
        <w:rPr>
          <w:spacing w:val="55"/>
          <w:sz w:val="24"/>
        </w:rPr>
        <w:t xml:space="preserve"> </w:t>
      </w:r>
      <w:r>
        <w:rPr>
          <w:sz w:val="24"/>
        </w:rPr>
        <w:t>0.38),</w:t>
      </w:r>
      <w:r>
        <w:rPr>
          <w:spacing w:val="55"/>
          <w:sz w:val="24"/>
        </w:rPr>
        <w:t xml:space="preserve"> </w:t>
      </w:r>
      <w:r>
        <w:rPr>
          <w:sz w:val="24"/>
        </w:rPr>
        <w:t>0.31</w:t>
      </w:r>
      <w:r>
        <w:rPr>
          <w:spacing w:val="55"/>
          <w:sz w:val="24"/>
        </w:rPr>
        <w:t xml:space="preserve"> </w:t>
      </w:r>
      <w:r>
        <w:rPr>
          <w:sz w:val="24"/>
        </w:rPr>
        <w:t>(0.17,</w:t>
      </w:r>
      <w:r>
        <w:rPr>
          <w:spacing w:val="55"/>
          <w:sz w:val="24"/>
        </w:rPr>
        <w:t xml:space="preserve"> </w:t>
      </w:r>
      <w:r>
        <w:rPr>
          <w:sz w:val="24"/>
        </w:rPr>
        <w:t>0.51),</w:t>
      </w:r>
      <w:r>
        <w:rPr>
          <w:spacing w:val="55"/>
          <w:sz w:val="24"/>
        </w:rPr>
        <w:t xml:space="preserve"> </w:t>
      </w:r>
      <w:r>
        <w:rPr>
          <w:sz w:val="24"/>
        </w:rPr>
        <w:t>0.26</w:t>
      </w:r>
      <w:r>
        <w:rPr>
          <w:spacing w:val="55"/>
          <w:sz w:val="24"/>
        </w:rPr>
        <w:t xml:space="preserve"> </w:t>
      </w:r>
      <w:r>
        <w:rPr>
          <w:sz w:val="24"/>
        </w:rPr>
        <w:t>(0.17,</w:t>
      </w:r>
      <w:r>
        <w:rPr>
          <w:spacing w:val="55"/>
          <w:sz w:val="24"/>
        </w:rPr>
        <w:t xml:space="preserve"> </w:t>
      </w:r>
      <w:r>
        <w:rPr>
          <w:sz w:val="24"/>
        </w:rPr>
        <w:t>0.38),</w:t>
      </w:r>
      <w:r>
        <w:rPr>
          <w:spacing w:val="55"/>
          <w:sz w:val="24"/>
        </w:rPr>
        <w:t xml:space="preserve"> </w:t>
      </w:r>
      <w:r>
        <w:rPr>
          <w:sz w:val="24"/>
        </w:rPr>
        <w:t>and</w:t>
      </w:r>
    </w:p>
    <w:p w14:paraId="05ADAD6F" w14:textId="77777777" w:rsidR="001825E2" w:rsidRDefault="000839A5" w:rsidP="00CB00A7">
      <w:pPr>
        <w:pStyle w:val="BodyText"/>
        <w:spacing w:line="242" w:lineRule="auto"/>
        <w:ind w:left="638" w:right="201"/>
        <w:jc w:val="left"/>
      </w:pPr>
      <w:r>
        <w:t>0.14 (0.06, 0.29)</w:t>
      </w:r>
      <w:r>
        <w:rPr>
          <w:spacing w:val="-5"/>
        </w:rPr>
        <w:t xml:space="preserve"> </w:t>
      </w:r>
      <w:r>
        <w:t>patients</w:t>
      </w:r>
      <w:r>
        <w:rPr>
          <w:spacing w:val="-4"/>
        </w:rPr>
        <w:t xml:space="preserve"> </w:t>
      </w:r>
      <w:r>
        <w:t>with events</w:t>
      </w:r>
      <w:r>
        <w:rPr>
          <w:spacing w:val="-4"/>
        </w:rPr>
        <w:t xml:space="preserve"> </w:t>
      </w:r>
      <w:r>
        <w:t>per</w:t>
      </w:r>
      <w:r>
        <w:rPr>
          <w:spacing w:val="-5"/>
        </w:rPr>
        <w:t xml:space="preserve"> </w:t>
      </w:r>
      <w:r>
        <w:t>100</w:t>
      </w:r>
      <w:r>
        <w:rPr>
          <w:spacing w:val="40"/>
        </w:rPr>
        <w:t xml:space="preserve"> </w:t>
      </w:r>
      <w:r>
        <w:t>patient-years, respectively. Compared with TNF inhibitor, the HR (95%</w:t>
      </w:r>
      <w:r>
        <w:rPr>
          <w:spacing w:val="-5"/>
        </w:rPr>
        <w:t xml:space="preserve"> </w:t>
      </w:r>
      <w:r>
        <w:t>CI) for</w:t>
      </w:r>
      <w:r>
        <w:rPr>
          <w:spacing w:val="-5"/>
        </w:rPr>
        <w:t xml:space="preserve"> </w:t>
      </w:r>
      <w:r>
        <w:t>DVT with XELJANZ 5 mg twice daily, XELJANZ 10</w:t>
      </w:r>
      <w:r>
        <w:rPr>
          <w:spacing w:val="12"/>
        </w:rPr>
        <w:t xml:space="preserve"> </w:t>
      </w:r>
      <w:r>
        <w:t>mg</w:t>
      </w:r>
      <w:r>
        <w:rPr>
          <w:spacing w:val="13"/>
        </w:rPr>
        <w:t xml:space="preserve"> </w:t>
      </w:r>
      <w:r>
        <w:t>twice</w:t>
      </w:r>
      <w:r>
        <w:rPr>
          <w:spacing w:val="-4"/>
        </w:rPr>
        <w:t xml:space="preserve"> </w:t>
      </w:r>
      <w:r>
        <w:t>daily,</w:t>
      </w:r>
      <w:r>
        <w:rPr>
          <w:spacing w:val="13"/>
        </w:rPr>
        <w:t xml:space="preserve"> </w:t>
      </w:r>
      <w:r>
        <w:t>and</w:t>
      </w:r>
      <w:r>
        <w:rPr>
          <w:spacing w:val="28"/>
        </w:rPr>
        <w:t xml:space="preserve"> </w:t>
      </w:r>
      <w:r>
        <w:t>all</w:t>
      </w:r>
      <w:r>
        <w:rPr>
          <w:spacing w:val="6"/>
        </w:rPr>
        <w:t xml:space="preserve"> </w:t>
      </w:r>
      <w:r>
        <w:t>XELJANZ</w:t>
      </w:r>
      <w:r>
        <w:rPr>
          <w:spacing w:val="1"/>
        </w:rPr>
        <w:t xml:space="preserve"> </w:t>
      </w:r>
      <w:r>
        <w:t>were</w:t>
      </w:r>
      <w:r>
        <w:rPr>
          <w:spacing w:val="11"/>
        </w:rPr>
        <w:t xml:space="preserve"> </w:t>
      </w:r>
      <w:r>
        <w:t>1.54</w:t>
      </w:r>
      <w:r>
        <w:rPr>
          <w:spacing w:val="12"/>
        </w:rPr>
        <w:t xml:space="preserve"> </w:t>
      </w:r>
      <w:r>
        <w:t>(0.60,</w:t>
      </w:r>
      <w:r>
        <w:rPr>
          <w:spacing w:val="13"/>
        </w:rPr>
        <w:t xml:space="preserve"> </w:t>
      </w:r>
      <w:r>
        <w:t>3.97),</w:t>
      </w:r>
      <w:r>
        <w:rPr>
          <w:spacing w:val="13"/>
        </w:rPr>
        <w:t xml:space="preserve"> </w:t>
      </w:r>
      <w:r>
        <w:t>2.21</w:t>
      </w:r>
      <w:r>
        <w:rPr>
          <w:spacing w:val="-2"/>
        </w:rPr>
        <w:t xml:space="preserve"> </w:t>
      </w:r>
      <w:r>
        <w:t>(0.90,</w:t>
      </w:r>
      <w:r>
        <w:rPr>
          <w:spacing w:val="-2"/>
        </w:rPr>
        <w:t xml:space="preserve"> </w:t>
      </w:r>
      <w:r>
        <w:t>5.43),</w:t>
      </w:r>
      <w:r>
        <w:rPr>
          <w:spacing w:val="13"/>
        </w:rPr>
        <w:t xml:space="preserve"> </w:t>
      </w:r>
      <w:r>
        <w:t>and</w:t>
      </w:r>
      <w:r>
        <w:rPr>
          <w:spacing w:val="28"/>
        </w:rPr>
        <w:t xml:space="preserve"> </w:t>
      </w:r>
      <w:proofErr w:type="gramStart"/>
      <w:r>
        <w:rPr>
          <w:spacing w:val="-4"/>
        </w:rPr>
        <w:t>1.87</w:t>
      </w:r>
      <w:proofErr w:type="gramEnd"/>
    </w:p>
    <w:p w14:paraId="72E32FD9" w14:textId="77777777" w:rsidR="001825E2" w:rsidRDefault="000839A5" w:rsidP="00CB00A7">
      <w:pPr>
        <w:pStyle w:val="BodyText"/>
        <w:spacing w:line="265" w:lineRule="exact"/>
        <w:ind w:left="638"/>
        <w:jc w:val="left"/>
      </w:pPr>
      <w:r>
        <w:t>(0.81,</w:t>
      </w:r>
      <w:r>
        <w:rPr>
          <w:spacing w:val="-5"/>
        </w:rPr>
        <w:t xml:space="preserve"> </w:t>
      </w:r>
      <w:r>
        <w:t>4.30),</w:t>
      </w:r>
      <w:r>
        <w:rPr>
          <w:spacing w:val="9"/>
        </w:rPr>
        <w:t xml:space="preserve"> </w:t>
      </w:r>
      <w:r>
        <w:rPr>
          <w:spacing w:val="-2"/>
        </w:rPr>
        <w:t>respectively.</w:t>
      </w:r>
    </w:p>
    <w:p w14:paraId="10AF7E56" w14:textId="77777777" w:rsidR="001825E2" w:rsidRDefault="000839A5" w:rsidP="00CB00A7">
      <w:pPr>
        <w:pStyle w:val="BodyText"/>
        <w:spacing w:before="241"/>
        <w:ind w:left="217" w:right="201"/>
        <w:jc w:val="left"/>
      </w:pPr>
      <w:r>
        <w:t>In a</w:t>
      </w:r>
      <w:r>
        <w:rPr>
          <w:spacing w:val="-7"/>
        </w:rPr>
        <w:t xml:space="preserve"> </w:t>
      </w:r>
      <w:r>
        <w:t>post hoc</w:t>
      </w:r>
      <w:r>
        <w:rPr>
          <w:spacing w:val="-7"/>
        </w:rPr>
        <w:t xml:space="preserve"> </w:t>
      </w:r>
      <w:r>
        <w:t xml:space="preserve">exploratory biomarker analysis within a </w:t>
      </w:r>
      <w:proofErr w:type="gramStart"/>
      <w:r>
        <w:t xml:space="preserve">large </w:t>
      </w:r>
      <w:proofErr w:type="spellStart"/>
      <w:r>
        <w:t>randomised</w:t>
      </w:r>
      <w:proofErr w:type="spellEnd"/>
      <w:proofErr w:type="gramEnd"/>
      <w:r>
        <w:t xml:space="preserve"> PASS in</w:t>
      </w:r>
      <w:r>
        <w:rPr>
          <w:spacing w:val="-5"/>
        </w:rPr>
        <w:t xml:space="preserve"> </w:t>
      </w:r>
      <w:r>
        <w:t>RA patients who</w:t>
      </w:r>
      <w:r>
        <w:rPr>
          <w:spacing w:val="40"/>
        </w:rPr>
        <w:t xml:space="preserve"> </w:t>
      </w:r>
      <w:r>
        <w:t>were</w:t>
      </w:r>
      <w:r>
        <w:rPr>
          <w:spacing w:val="40"/>
        </w:rPr>
        <w:t xml:space="preserve"> </w:t>
      </w:r>
      <w:r>
        <w:t>50</w:t>
      </w:r>
      <w:r>
        <w:rPr>
          <w:spacing w:val="-1"/>
        </w:rPr>
        <w:t xml:space="preserve"> </w:t>
      </w:r>
      <w:r>
        <w:t>years or older with at least</w:t>
      </w:r>
      <w:r>
        <w:rPr>
          <w:spacing w:val="40"/>
        </w:rPr>
        <w:t xml:space="preserve"> </w:t>
      </w:r>
      <w:r>
        <w:t>one</w:t>
      </w:r>
      <w:r>
        <w:rPr>
          <w:spacing w:val="40"/>
        </w:rPr>
        <w:t xml:space="preserve"> </w:t>
      </w:r>
      <w:r>
        <w:t>additional cardiovascular risk</w:t>
      </w:r>
      <w:r>
        <w:rPr>
          <w:spacing w:val="40"/>
        </w:rPr>
        <w:t xml:space="preserve"> </w:t>
      </w:r>
      <w:r>
        <w:t>factor, occurrences of subsequent VTEs were observed more frequently in tofacitinib-treated</w:t>
      </w:r>
      <w:r>
        <w:rPr>
          <w:spacing w:val="80"/>
        </w:rPr>
        <w:t xml:space="preserve"> </w:t>
      </w:r>
      <w:r>
        <w:t>patients</w:t>
      </w:r>
      <w:r>
        <w:rPr>
          <w:spacing w:val="-5"/>
        </w:rPr>
        <w:t xml:space="preserve"> </w:t>
      </w:r>
      <w:r>
        <w:t>who,</w:t>
      </w:r>
      <w:r>
        <w:rPr>
          <w:spacing w:val="-1"/>
        </w:rPr>
        <w:t xml:space="preserve"> </w:t>
      </w:r>
      <w:r>
        <w:t>at 12</w:t>
      </w:r>
      <w:r>
        <w:rPr>
          <w:spacing w:val="-1"/>
        </w:rPr>
        <w:t xml:space="preserve"> </w:t>
      </w:r>
      <w:r>
        <w:t>months</w:t>
      </w:r>
      <w:r>
        <w:rPr>
          <w:spacing w:val="-5"/>
        </w:rPr>
        <w:t xml:space="preserve"> </w:t>
      </w:r>
      <w:r>
        <w:t>treatment,</w:t>
      </w:r>
      <w:r>
        <w:rPr>
          <w:spacing w:val="-1"/>
        </w:rPr>
        <w:t xml:space="preserve"> </w:t>
      </w:r>
      <w:r>
        <w:t>had D-dimer</w:t>
      </w:r>
      <w:r>
        <w:rPr>
          <w:spacing w:val="-6"/>
        </w:rPr>
        <w:t xml:space="preserve"> </w:t>
      </w:r>
      <w:r>
        <w:t>level</w:t>
      </w:r>
      <w:r>
        <w:rPr>
          <w:spacing w:val="-8"/>
        </w:rPr>
        <w:t xml:space="preserve"> </w:t>
      </w:r>
      <w:r>
        <w:t>≥2×</w:t>
      </w:r>
      <w:r>
        <w:rPr>
          <w:spacing w:val="-2"/>
        </w:rPr>
        <w:t xml:space="preserve"> </w:t>
      </w:r>
      <w:r>
        <w:t>ULN versus</w:t>
      </w:r>
      <w:r>
        <w:rPr>
          <w:spacing w:val="-5"/>
        </w:rPr>
        <w:t xml:space="preserve"> </w:t>
      </w:r>
      <w:r>
        <w:t>those</w:t>
      </w:r>
      <w:r>
        <w:rPr>
          <w:spacing w:val="-3"/>
        </w:rPr>
        <w:t xml:space="preserve"> </w:t>
      </w:r>
      <w:r>
        <w:t>with</w:t>
      </w:r>
      <w:r>
        <w:rPr>
          <w:spacing w:val="-1"/>
        </w:rPr>
        <w:t xml:space="preserve"> </w:t>
      </w:r>
      <w:r>
        <w:t xml:space="preserve">D-dimer level &lt;2× ULN. This observation was not evident in </w:t>
      </w:r>
      <w:proofErr w:type="spellStart"/>
      <w:r>
        <w:t>TNFi</w:t>
      </w:r>
      <w:proofErr w:type="spellEnd"/>
      <w:r>
        <w:t>-treated patients. Interpretation is limited by the low number of VTE events and restricted D-dimer test availability (only assessed at Baseline, Month 12, and at the end of the study). In patients who</w:t>
      </w:r>
      <w:r>
        <w:rPr>
          <w:spacing w:val="-3"/>
        </w:rPr>
        <w:t xml:space="preserve"> </w:t>
      </w:r>
      <w:r>
        <w:t>did not have a VTE during the study, mean D-dimer levels were significant</w:t>
      </w:r>
      <w:r>
        <w:t>ly</w:t>
      </w:r>
      <w:r>
        <w:rPr>
          <w:spacing w:val="25"/>
        </w:rPr>
        <w:t xml:space="preserve"> </w:t>
      </w:r>
      <w:r>
        <w:t>reduced</w:t>
      </w:r>
      <w:r>
        <w:rPr>
          <w:spacing w:val="25"/>
        </w:rPr>
        <w:t xml:space="preserve"> </w:t>
      </w:r>
      <w:r>
        <w:t>at Month 12 relative to Baseline across all treatment arms. However, D-dimer levels ≥2× ULN at Month 12</w:t>
      </w:r>
      <w:r>
        <w:rPr>
          <w:spacing w:val="-1"/>
        </w:rPr>
        <w:t xml:space="preserve"> </w:t>
      </w:r>
      <w:r>
        <w:t>were observed in approximately 30% of patients without subsequent VTE events, indicating</w:t>
      </w:r>
      <w:r>
        <w:rPr>
          <w:spacing w:val="40"/>
        </w:rPr>
        <w:t xml:space="preserve"> </w:t>
      </w:r>
      <w:r>
        <w:t>limited specificity of D-dimer testing</w:t>
      </w:r>
      <w:r>
        <w:rPr>
          <w:spacing w:val="-2"/>
        </w:rPr>
        <w:t xml:space="preserve"> </w:t>
      </w:r>
      <w:r>
        <w:t>in this study.</w:t>
      </w:r>
    </w:p>
    <w:p w14:paraId="378E6F4D" w14:textId="77777777" w:rsidR="001825E2" w:rsidRDefault="000839A5" w:rsidP="00CB00A7">
      <w:pPr>
        <w:pStyle w:val="BodyText"/>
        <w:spacing w:before="234" w:line="242" w:lineRule="auto"/>
        <w:ind w:left="220" w:right="213"/>
        <w:jc w:val="left"/>
      </w:pPr>
      <w:r>
        <w:t>For patients with RA with known risk factors for</w:t>
      </w:r>
      <w:r>
        <w:rPr>
          <w:spacing w:val="-6"/>
        </w:rPr>
        <w:t xml:space="preserve"> </w:t>
      </w:r>
      <w:r>
        <w:t>VTE, consider testing D-dimer levels after approximately 12</w:t>
      </w:r>
      <w:r>
        <w:rPr>
          <w:spacing w:val="-1"/>
        </w:rPr>
        <w:t xml:space="preserve"> </w:t>
      </w:r>
      <w:r>
        <w:t>months of treatment. If D-dimer test result is ≥ 2× ULN, confirm that clinical</w:t>
      </w:r>
      <w:r>
        <w:rPr>
          <w:spacing w:val="29"/>
        </w:rPr>
        <w:t xml:space="preserve"> </w:t>
      </w:r>
      <w:r>
        <w:t>benefits outweigh</w:t>
      </w:r>
      <w:r>
        <w:rPr>
          <w:spacing w:val="-12"/>
        </w:rPr>
        <w:t xml:space="preserve"> </w:t>
      </w:r>
      <w:r>
        <w:t>risks</w:t>
      </w:r>
      <w:r>
        <w:rPr>
          <w:spacing w:val="32"/>
        </w:rPr>
        <w:t xml:space="preserve"> </w:t>
      </w:r>
      <w:r>
        <w:t>prior to</w:t>
      </w:r>
      <w:r>
        <w:rPr>
          <w:spacing w:val="-12"/>
        </w:rPr>
        <w:t xml:space="preserve"> </w:t>
      </w:r>
      <w:r>
        <w:t>a decision on treatment</w:t>
      </w:r>
      <w:r>
        <w:rPr>
          <w:spacing w:val="-4"/>
        </w:rPr>
        <w:t xml:space="preserve"> </w:t>
      </w:r>
      <w:r>
        <w:t>continuation with tofacitinib.</w:t>
      </w:r>
    </w:p>
    <w:p w14:paraId="6E50B071" w14:textId="77777777" w:rsidR="001825E2" w:rsidRDefault="000839A5" w:rsidP="00CB00A7">
      <w:pPr>
        <w:spacing w:before="229"/>
        <w:ind w:left="220"/>
        <w:rPr>
          <w:i/>
          <w:sz w:val="24"/>
        </w:rPr>
      </w:pPr>
      <w:r>
        <w:rPr>
          <w:i/>
          <w:sz w:val="24"/>
          <w:u w:val="single"/>
        </w:rPr>
        <w:t>Psoriatic</w:t>
      </w:r>
      <w:r>
        <w:rPr>
          <w:i/>
          <w:spacing w:val="-1"/>
          <w:sz w:val="24"/>
          <w:u w:val="single"/>
        </w:rPr>
        <w:t xml:space="preserve"> </w:t>
      </w:r>
      <w:r>
        <w:rPr>
          <w:i/>
          <w:spacing w:val="-2"/>
          <w:sz w:val="24"/>
          <w:u w:val="single"/>
        </w:rPr>
        <w:t>arthritis</w:t>
      </w:r>
    </w:p>
    <w:p w14:paraId="288DC63B" w14:textId="77777777" w:rsidR="001825E2" w:rsidRDefault="000839A5" w:rsidP="00CB00A7">
      <w:pPr>
        <w:pStyle w:val="BodyText"/>
        <w:spacing w:before="133" w:line="235" w:lineRule="auto"/>
        <w:ind w:left="219" w:right="200"/>
        <w:jc w:val="left"/>
      </w:pPr>
      <w:r>
        <w:t>In</w:t>
      </w:r>
      <w:r>
        <w:rPr>
          <w:spacing w:val="-6"/>
        </w:rPr>
        <w:t xml:space="preserve"> </w:t>
      </w:r>
      <w:r>
        <w:t xml:space="preserve">the </w:t>
      </w:r>
      <w:proofErr w:type="gramStart"/>
      <w:r>
        <w:t>3 month</w:t>
      </w:r>
      <w:proofErr w:type="gramEnd"/>
      <w:r>
        <w:t xml:space="preserve"> placebo period of completed </w:t>
      </w:r>
      <w:proofErr w:type="spellStart"/>
      <w:r>
        <w:t>randomised</w:t>
      </w:r>
      <w:proofErr w:type="spellEnd"/>
      <w:r>
        <w:t xml:space="preserve"> controlled studies of 6</w:t>
      </w:r>
      <w:r>
        <w:rPr>
          <w:spacing w:val="-6"/>
        </w:rPr>
        <w:t xml:space="preserve"> </w:t>
      </w:r>
      <w:r>
        <w:t>to</w:t>
      </w:r>
      <w:r>
        <w:rPr>
          <w:spacing w:val="-7"/>
        </w:rPr>
        <w:t xml:space="preserve"> </w:t>
      </w:r>
      <w:r>
        <w:t>12</w:t>
      </w:r>
      <w:r>
        <w:rPr>
          <w:spacing w:val="-6"/>
        </w:rPr>
        <w:t xml:space="preserve"> </w:t>
      </w:r>
      <w:r>
        <w:t>months duration, the IRs</w:t>
      </w:r>
      <w:r>
        <w:rPr>
          <w:spacing w:val="-2"/>
        </w:rPr>
        <w:t xml:space="preserve"> </w:t>
      </w:r>
      <w:r>
        <w:t>(95%</w:t>
      </w:r>
      <w:r>
        <w:rPr>
          <w:spacing w:val="-3"/>
        </w:rPr>
        <w:t xml:space="preserve"> </w:t>
      </w:r>
      <w:r>
        <w:t>CI)</w:t>
      </w:r>
      <w:r>
        <w:rPr>
          <w:spacing w:val="-3"/>
        </w:rPr>
        <w:t xml:space="preserve"> </w:t>
      </w:r>
      <w:r>
        <w:t>for</w:t>
      </w:r>
      <w:r>
        <w:rPr>
          <w:spacing w:val="-3"/>
        </w:rPr>
        <w:t xml:space="preserve"> </w:t>
      </w:r>
      <w:r>
        <w:t>tofacitinib 5 mg twice daily, tofacitinib 10 mg twice daily, and placebo</w:t>
      </w:r>
      <w:r>
        <w:rPr>
          <w:spacing w:val="13"/>
        </w:rPr>
        <w:t xml:space="preserve"> </w:t>
      </w:r>
      <w:r>
        <w:t>for</w:t>
      </w:r>
      <w:r>
        <w:rPr>
          <w:spacing w:val="10"/>
        </w:rPr>
        <w:t xml:space="preserve"> </w:t>
      </w:r>
      <w:r>
        <w:t>PE</w:t>
      </w:r>
      <w:r>
        <w:rPr>
          <w:spacing w:val="18"/>
        </w:rPr>
        <w:t xml:space="preserve"> </w:t>
      </w:r>
      <w:r>
        <w:t>were</w:t>
      </w:r>
      <w:r>
        <w:rPr>
          <w:spacing w:val="13"/>
        </w:rPr>
        <w:t xml:space="preserve"> </w:t>
      </w:r>
      <w:r>
        <w:t>0.00</w:t>
      </w:r>
      <w:r>
        <w:rPr>
          <w:spacing w:val="29"/>
        </w:rPr>
        <w:t xml:space="preserve"> </w:t>
      </w:r>
      <w:r>
        <w:t>(0.00,</w:t>
      </w:r>
      <w:r>
        <w:rPr>
          <w:spacing w:val="15"/>
        </w:rPr>
        <w:t xml:space="preserve"> </w:t>
      </w:r>
      <w:r>
        <w:t>6.75),</w:t>
      </w:r>
      <w:r>
        <w:rPr>
          <w:spacing w:val="14"/>
        </w:rPr>
        <w:t xml:space="preserve"> </w:t>
      </w:r>
      <w:r>
        <w:t>0.00</w:t>
      </w:r>
      <w:r>
        <w:rPr>
          <w:spacing w:val="31"/>
        </w:rPr>
        <w:t xml:space="preserve"> </w:t>
      </w:r>
      <w:r>
        <w:t>(0.00,</w:t>
      </w:r>
      <w:r>
        <w:rPr>
          <w:spacing w:val="15"/>
        </w:rPr>
        <w:t xml:space="preserve"> </w:t>
      </w:r>
      <w:r>
        <w:t>6.78),</w:t>
      </w:r>
      <w:r>
        <w:rPr>
          <w:spacing w:val="30"/>
        </w:rPr>
        <w:t xml:space="preserve"> </w:t>
      </w:r>
      <w:r>
        <w:t>and</w:t>
      </w:r>
      <w:r>
        <w:rPr>
          <w:spacing w:val="30"/>
        </w:rPr>
        <w:t xml:space="preserve"> </w:t>
      </w:r>
      <w:r>
        <w:t>0.00 (0.00,</w:t>
      </w:r>
      <w:r>
        <w:rPr>
          <w:spacing w:val="15"/>
        </w:rPr>
        <w:t xml:space="preserve"> </w:t>
      </w:r>
      <w:r>
        <w:t>6.87)</w:t>
      </w:r>
      <w:r>
        <w:rPr>
          <w:spacing w:val="10"/>
        </w:rPr>
        <w:t xml:space="preserve"> </w:t>
      </w:r>
      <w:r>
        <w:t>patients</w:t>
      </w:r>
      <w:r>
        <w:rPr>
          <w:spacing w:val="12"/>
        </w:rPr>
        <w:t xml:space="preserve"> </w:t>
      </w:r>
      <w:r>
        <w:rPr>
          <w:spacing w:val="-4"/>
        </w:rPr>
        <w:t>with</w:t>
      </w:r>
    </w:p>
    <w:p w14:paraId="61FA7D8E" w14:textId="77777777" w:rsidR="001825E2" w:rsidRDefault="000839A5" w:rsidP="00CB00A7">
      <w:pPr>
        <w:pStyle w:val="BodyText"/>
        <w:spacing w:before="9" w:line="273" w:lineRule="exact"/>
        <w:ind w:left="218"/>
        <w:jc w:val="left"/>
      </w:pPr>
      <w:r>
        <w:t>events</w:t>
      </w:r>
      <w:r>
        <w:rPr>
          <w:spacing w:val="13"/>
        </w:rPr>
        <w:t xml:space="preserve"> </w:t>
      </w:r>
      <w:r>
        <w:t>per</w:t>
      </w:r>
      <w:r>
        <w:rPr>
          <w:spacing w:val="12"/>
        </w:rPr>
        <w:t xml:space="preserve"> </w:t>
      </w:r>
      <w:r>
        <w:t>100</w:t>
      </w:r>
      <w:r>
        <w:rPr>
          <w:spacing w:val="17"/>
        </w:rPr>
        <w:t xml:space="preserve"> </w:t>
      </w:r>
      <w:r>
        <w:t>patient-years</w:t>
      </w:r>
      <w:r>
        <w:rPr>
          <w:spacing w:val="14"/>
        </w:rPr>
        <w:t xml:space="preserve"> </w:t>
      </w:r>
      <w:r>
        <w:t>respectively;</w:t>
      </w:r>
      <w:r>
        <w:rPr>
          <w:spacing w:val="10"/>
        </w:rPr>
        <w:t xml:space="preserve"> </w:t>
      </w:r>
      <w:r>
        <w:t>the</w:t>
      </w:r>
      <w:r>
        <w:rPr>
          <w:spacing w:val="15"/>
        </w:rPr>
        <w:t xml:space="preserve"> </w:t>
      </w:r>
      <w:r>
        <w:t>IRs</w:t>
      </w:r>
      <w:r>
        <w:rPr>
          <w:spacing w:val="13"/>
        </w:rPr>
        <w:t xml:space="preserve"> </w:t>
      </w:r>
      <w:r>
        <w:t>(95%</w:t>
      </w:r>
      <w:r>
        <w:rPr>
          <w:spacing w:val="13"/>
        </w:rPr>
        <w:t xml:space="preserve"> </w:t>
      </w:r>
      <w:r>
        <w:t>CI)</w:t>
      </w:r>
      <w:r>
        <w:rPr>
          <w:spacing w:val="12"/>
        </w:rPr>
        <w:t xml:space="preserve"> </w:t>
      </w:r>
      <w:r>
        <w:t>for</w:t>
      </w:r>
      <w:r>
        <w:rPr>
          <w:spacing w:val="12"/>
        </w:rPr>
        <w:t xml:space="preserve"> </w:t>
      </w:r>
      <w:r>
        <w:t>DVT</w:t>
      </w:r>
      <w:r>
        <w:rPr>
          <w:spacing w:val="5"/>
        </w:rPr>
        <w:t xml:space="preserve"> </w:t>
      </w:r>
      <w:r>
        <w:t>were</w:t>
      </w:r>
      <w:r>
        <w:rPr>
          <w:spacing w:val="15"/>
        </w:rPr>
        <w:t xml:space="preserve"> </w:t>
      </w:r>
      <w:r>
        <w:t>0.00</w:t>
      </w:r>
      <w:r>
        <w:rPr>
          <w:spacing w:val="2"/>
        </w:rPr>
        <w:t xml:space="preserve"> </w:t>
      </w:r>
      <w:r>
        <w:t>(0.00,</w:t>
      </w:r>
      <w:r>
        <w:rPr>
          <w:spacing w:val="18"/>
        </w:rPr>
        <w:t xml:space="preserve"> </w:t>
      </w:r>
      <w:r>
        <w:rPr>
          <w:spacing w:val="-2"/>
        </w:rPr>
        <w:t>6.75),</w:t>
      </w:r>
    </w:p>
    <w:p w14:paraId="61AF8C4C" w14:textId="77777777" w:rsidR="001825E2" w:rsidRDefault="000839A5" w:rsidP="00CB00A7">
      <w:pPr>
        <w:pStyle w:val="BodyText"/>
        <w:spacing w:line="247" w:lineRule="auto"/>
        <w:ind w:left="217" w:right="231"/>
        <w:jc w:val="left"/>
      </w:pPr>
      <w:r>
        <w:t>0.00</w:t>
      </w:r>
      <w:r>
        <w:rPr>
          <w:spacing w:val="-1"/>
        </w:rPr>
        <w:t xml:space="preserve"> </w:t>
      </w:r>
      <w:r>
        <w:t>(0.00,</w:t>
      </w:r>
      <w:r>
        <w:rPr>
          <w:spacing w:val="40"/>
        </w:rPr>
        <w:t xml:space="preserve"> </w:t>
      </w:r>
      <w:r>
        <w:t>6.78),</w:t>
      </w:r>
      <w:r>
        <w:rPr>
          <w:spacing w:val="40"/>
        </w:rPr>
        <w:t xml:space="preserve"> </w:t>
      </w:r>
      <w:r>
        <w:t>and</w:t>
      </w:r>
      <w:r>
        <w:rPr>
          <w:spacing w:val="40"/>
        </w:rPr>
        <w:t xml:space="preserve"> </w:t>
      </w:r>
      <w:r>
        <w:t>0.00</w:t>
      </w:r>
      <w:r>
        <w:rPr>
          <w:spacing w:val="40"/>
        </w:rPr>
        <w:t xml:space="preserve"> </w:t>
      </w:r>
      <w:r>
        <w:t>(0.00,</w:t>
      </w:r>
      <w:r>
        <w:rPr>
          <w:spacing w:val="40"/>
        </w:rPr>
        <w:t xml:space="preserve"> </w:t>
      </w:r>
      <w:r>
        <w:t>6.87) patients with</w:t>
      </w:r>
      <w:r>
        <w:rPr>
          <w:spacing w:val="40"/>
        </w:rPr>
        <w:t xml:space="preserve"> </w:t>
      </w:r>
      <w:r>
        <w:t>events per 100</w:t>
      </w:r>
      <w:r>
        <w:rPr>
          <w:spacing w:val="-1"/>
        </w:rPr>
        <w:t xml:space="preserve"> </w:t>
      </w:r>
      <w:r>
        <w:t xml:space="preserve">patient-years </w:t>
      </w:r>
      <w:r>
        <w:rPr>
          <w:spacing w:val="-2"/>
        </w:rPr>
        <w:t>respectively.</w:t>
      </w:r>
    </w:p>
    <w:p w14:paraId="26A6260A" w14:textId="77777777" w:rsidR="001825E2" w:rsidRDefault="000839A5" w:rsidP="00CB00A7">
      <w:pPr>
        <w:pStyle w:val="BodyText"/>
        <w:spacing w:before="224" w:line="242" w:lineRule="auto"/>
        <w:ind w:left="217" w:right="215"/>
        <w:jc w:val="left"/>
      </w:pPr>
      <w:r>
        <w:t>In</w:t>
      </w:r>
      <w:r>
        <w:rPr>
          <w:spacing w:val="-12"/>
        </w:rPr>
        <w:t xml:space="preserve"> </w:t>
      </w:r>
      <w:r>
        <w:t>the</w:t>
      </w:r>
      <w:r>
        <w:rPr>
          <w:spacing w:val="-15"/>
        </w:rPr>
        <w:t xml:space="preserve"> </w:t>
      </w:r>
      <w:r>
        <w:t>full</w:t>
      </w:r>
      <w:r>
        <w:rPr>
          <w:spacing w:val="-9"/>
        </w:rPr>
        <w:t xml:space="preserve"> </w:t>
      </w:r>
      <w:proofErr w:type="spellStart"/>
      <w:r>
        <w:t>randomised</w:t>
      </w:r>
      <w:proofErr w:type="spellEnd"/>
      <w:r>
        <w:t xml:space="preserve"> period of completed controlled studies</w:t>
      </w:r>
      <w:r>
        <w:rPr>
          <w:spacing w:val="-7"/>
        </w:rPr>
        <w:t xml:space="preserve"> </w:t>
      </w:r>
      <w:r>
        <w:t>of 6</w:t>
      </w:r>
      <w:r>
        <w:rPr>
          <w:spacing w:val="-15"/>
        </w:rPr>
        <w:t xml:space="preserve"> </w:t>
      </w:r>
      <w:r>
        <w:t>to</w:t>
      </w:r>
      <w:r>
        <w:rPr>
          <w:spacing w:val="-3"/>
        </w:rPr>
        <w:t xml:space="preserve"> </w:t>
      </w:r>
      <w:r>
        <w:t>12</w:t>
      </w:r>
      <w:r>
        <w:rPr>
          <w:spacing w:val="-3"/>
        </w:rPr>
        <w:t xml:space="preserve"> </w:t>
      </w:r>
      <w:r>
        <w:t>months,</w:t>
      </w:r>
      <w:r>
        <w:rPr>
          <w:spacing w:val="-3"/>
        </w:rPr>
        <w:t xml:space="preserve"> </w:t>
      </w:r>
      <w:r>
        <w:t>the</w:t>
      </w:r>
      <w:r>
        <w:rPr>
          <w:spacing w:val="-15"/>
        </w:rPr>
        <w:t xml:space="preserve"> </w:t>
      </w:r>
      <w:r>
        <w:t>IRs</w:t>
      </w:r>
      <w:r>
        <w:rPr>
          <w:spacing w:val="-7"/>
        </w:rPr>
        <w:t xml:space="preserve"> </w:t>
      </w:r>
      <w:r>
        <w:t>(95% CI)</w:t>
      </w:r>
      <w:r>
        <w:rPr>
          <w:spacing w:val="-4"/>
        </w:rPr>
        <w:t xml:space="preserve"> </w:t>
      </w:r>
      <w:r>
        <w:t>for</w:t>
      </w:r>
      <w:r>
        <w:rPr>
          <w:spacing w:val="-4"/>
        </w:rPr>
        <w:t xml:space="preserve"> </w:t>
      </w:r>
      <w:r>
        <w:t>tofacitinib 5 mg twice</w:t>
      </w:r>
      <w:r>
        <w:rPr>
          <w:spacing w:val="-1"/>
        </w:rPr>
        <w:t xml:space="preserve"> </w:t>
      </w:r>
      <w:r>
        <w:t>daily and tofacitinib 10 mg twice</w:t>
      </w:r>
      <w:r>
        <w:rPr>
          <w:spacing w:val="-1"/>
        </w:rPr>
        <w:t xml:space="preserve"> </w:t>
      </w:r>
      <w:r>
        <w:t>daily for</w:t>
      </w:r>
      <w:r>
        <w:rPr>
          <w:spacing w:val="-4"/>
        </w:rPr>
        <w:t xml:space="preserve"> </w:t>
      </w:r>
      <w:r>
        <w:t>PE were 0.00 (0.00, 1.83)</w:t>
      </w:r>
      <w:r>
        <w:rPr>
          <w:spacing w:val="21"/>
        </w:rPr>
        <w:t xml:space="preserve"> </w:t>
      </w:r>
      <w:r>
        <w:t>and</w:t>
      </w:r>
      <w:r>
        <w:rPr>
          <w:spacing w:val="43"/>
        </w:rPr>
        <w:t xml:space="preserve"> </w:t>
      </w:r>
      <w:r>
        <w:t>0.00</w:t>
      </w:r>
      <w:r>
        <w:rPr>
          <w:spacing w:val="29"/>
        </w:rPr>
        <w:t xml:space="preserve"> </w:t>
      </w:r>
      <w:r>
        <w:t>(0.00,</w:t>
      </w:r>
      <w:r>
        <w:rPr>
          <w:spacing w:val="28"/>
        </w:rPr>
        <w:t xml:space="preserve"> </w:t>
      </w:r>
      <w:r>
        <w:t>1.87)</w:t>
      </w:r>
      <w:r>
        <w:rPr>
          <w:spacing w:val="24"/>
        </w:rPr>
        <w:t xml:space="preserve"> </w:t>
      </w:r>
      <w:r>
        <w:t>patients</w:t>
      </w:r>
      <w:r>
        <w:rPr>
          <w:spacing w:val="25"/>
        </w:rPr>
        <w:t xml:space="preserve"> </w:t>
      </w:r>
      <w:r>
        <w:t>with</w:t>
      </w:r>
      <w:r>
        <w:rPr>
          <w:spacing w:val="28"/>
        </w:rPr>
        <w:t xml:space="preserve"> </w:t>
      </w:r>
      <w:r>
        <w:t>events</w:t>
      </w:r>
      <w:r>
        <w:rPr>
          <w:spacing w:val="25"/>
        </w:rPr>
        <w:t xml:space="preserve"> </w:t>
      </w:r>
      <w:r>
        <w:t>per</w:t>
      </w:r>
      <w:r>
        <w:rPr>
          <w:spacing w:val="23"/>
        </w:rPr>
        <w:t xml:space="preserve"> </w:t>
      </w:r>
      <w:r>
        <w:t>100</w:t>
      </w:r>
      <w:r>
        <w:rPr>
          <w:spacing w:val="29"/>
        </w:rPr>
        <w:t xml:space="preserve"> </w:t>
      </w:r>
      <w:r>
        <w:t>patient-years</w:t>
      </w:r>
      <w:r>
        <w:rPr>
          <w:spacing w:val="24"/>
        </w:rPr>
        <w:t xml:space="preserve"> </w:t>
      </w:r>
      <w:r>
        <w:t>respectively;</w:t>
      </w:r>
      <w:r>
        <w:rPr>
          <w:spacing w:val="22"/>
        </w:rPr>
        <w:t xml:space="preserve"> </w:t>
      </w:r>
      <w:r>
        <w:t>the</w:t>
      </w:r>
      <w:r>
        <w:rPr>
          <w:spacing w:val="27"/>
        </w:rPr>
        <w:t xml:space="preserve"> </w:t>
      </w:r>
      <w:proofErr w:type="gramStart"/>
      <w:r>
        <w:rPr>
          <w:spacing w:val="-5"/>
        </w:rPr>
        <w:t>IRs</w:t>
      </w:r>
      <w:proofErr w:type="gramEnd"/>
    </w:p>
    <w:p w14:paraId="4F0E0CB9" w14:textId="77777777" w:rsidR="001825E2" w:rsidRDefault="000839A5" w:rsidP="00CB00A7">
      <w:pPr>
        <w:pStyle w:val="BodyText"/>
        <w:spacing w:line="265" w:lineRule="exact"/>
        <w:ind w:left="216"/>
        <w:jc w:val="left"/>
      </w:pPr>
      <w:r>
        <w:t>(95%</w:t>
      </w:r>
      <w:r>
        <w:rPr>
          <w:spacing w:val="41"/>
        </w:rPr>
        <w:t xml:space="preserve"> </w:t>
      </w:r>
      <w:r>
        <w:t>CI)</w:t>
      </w:r>
      <w:r>
        <w:rPr>
          <w:spacing w:val="43"/>
        </w:rPr>
        <w:t xml:space="preserve"> </w:t>
      </w:r>
      <w:r>
        <w:t>for</w:t>
      </w:r>
      <w:r>
        <w:rPr>
          <w:spacing w:val="43"/>
        </w:rPr>
        <w:t xml:space="preserve"> </w:t>
      </w:r>
      <w:r>
        <w:t>DVT</w:t>
      </w:r>
      <w:r>
        <w:rPr>
          <w:spacing w:val="36"/>
        </w:rPr>
        <w:t xml:space="preserve"> </w:t>
      </w:r>
      <w:r>
        <w:t>were</w:t>
      </w:r>
      <w:r>
        <w:rPr>
          <w:spacing w:val="62"/>
        </w:rPr>
        <w:t xml:space="preserve"> </w:t>
      </w:r>
      <w:r>
        <w:t>0.00</w:t>
      </w:r>
      <w:r>
        <w:rPr>
          <w:spacing w:val="48"/>
        </w:rPr>
        <w:t xml:space="preserve"> </w:t>
      </w:r>
      <w:r>
        <w:t>(0.00,</w:t>
      </w:r>
      <w:r>
        <w:rPr>
          <w:spacing w:val="64"/>
        </w:rPr>
        <w:t xml:space="preserve"> </w:t>
      </w:r>
      <w:r>
        <w:t>1.83)</w:t>
      </w:r>
      <w:r>
        <w:rPr>
          <w:spacing w:val="44"/>
        </w:rPr>
        <w:t xml:space="preserve"> </w:t>
      </w:r>
      <w:r>
        <w:t>and</w:t>
      </w:r>
      <w:r>
        <w:rPr>
          <w:spacing w:val="63"/>
        </w:rPr>
        <w:t xml:space="preserve"> </w:t>
      </w:r>
      <w:r>
        <w:t>0.51(0.01,</w:t>
      </w:r>
      <w:r>
        <w:rPr>
          <w:spacing w:val="64"/>
        </w:rPr>
        <w:t xml:space="preserve"> </w:t>
      </w:r>
      <w:r>
        <w:t>2.83)</w:t>
      </w:r>
      <w:r>
        <w:rPr>
          <w:spacing w:val="44"/>
        </w:rPr>
        <w:t xml:space="preserve"> </w:t>
      </w:r>
      <w:r>
        <w:t>patients</w:t>
      </w:r>
      <w:r>
        <w:rPr>
          <w:spacing w:val="44"/>
        </w:rPr>
        <w:t xml:space="preserve"> </w:t>
      </w:r>
      <w:r>
        <w:t>with</w:t>
      </w:r>
      <w:r>
        <w:rPr>
          <w:spacing w:val="48"/>
        </w:rPr>
        <w:t xml:space="preserve"> </w:t>
      </w:r>
      <w:r>
        <w:t>events</w:t>
      </w:r>
      <w:r>
        <w:rPr>
          <w:spacing w:val="45"/>
        </w:rPr>
        <w:t xml:space="preserve"> </w:t>
      </w:r>
      <w:r>
        <w:rPr>
          <w:spacing w:val="-5"/>
        </w:rPr>
        <w:t>per</w:t>
      </w:r>
    </w:p>
    <w:p w14:paraId="690AECCC" w14:textId="77777777" w:rsidR="001825E2" w:rsidRDefault="000839A5" w:rsidP="00CB00A7">
      <w:pPr>
        <w:pStyle w:val="BodyText"/>
        <w:spacing w:before="9"/>
        <w:ind w:left="216"/>
        <w:jc w:val="left"/>
      </w:pPr>
      <w:r>
        <w:t>100</w:t>
      </w:r>
      <w:r>
        <w:rPr>
          <w:spacing w:val="-5"/>
        </w:rPr>
        <w:t xml:space="preserve"> </w:t>
      </w:r>
      <w:r>
        <w:t>patient-years</w:t>
      </w:r>
      <w:r>
        <w:rPr>
          <w:spacing w:val="6"/>
        </w:rPr>
        <w:t xml:space="preserve"> </w:t>
      </w:r>
      <w:r>
        <w:rPr>
          <w:spacing w:val="-2"/>
        </w:rPr>
        <w:t>respectively.</w:t>
      </w:r>
    </w:p>
    <w:p w14:paraId="632B34E9" w14:textId="77777777" w:rsidR="001825E2" w:rsidRDefault="001825E2" w:rsidP="00CB00A7">
      <w:pPr>
        <w:sectPr w:rsidR="001825E2">
          <w:pgSz w:w="11910" w:h="16850"/>
          <w:pgMar w:top="1360" w:right="1220" w:bottom="980" w:left="1220" w:header="0" w:footer="785" w:gutter="0"/>
          <w:cols w:space="720"/>
        </w:sectPr>
      </w:pPr>
    </w:p>
    <w:p w14:paraId="0B99B094" w14:textId="77777777" w:rsidR="001825E2" w:rsidRDefault="000839A5" w:rsidP="00CB00A7">
      <w:pPr>
        <w:pStyle w:val="BodyText"/>
        <w:spacing w:before="76"/>
        <w:ind w:left="217" w:right="199" w:firstLine="2"/>
        <w:jc w:val="left"/>
      </w:pPr>
      <w:bookmarkStart w:id="48" w:name="Arterial_Thromboembolism"/>
      <w:bookmarkEnd w:id="48"/>
      <w:r>
        <w:lastRenderedPageBreak/>
        <w:t xml:space="preserve">In the long-term safety population that includes exposure during completed </w:t>
      </w:r>
      <w:proofErr w:type="spellStart"/>
      <w:r>
        <w:t>randomised</w:t>
      </w:r>
      <w:proofErr w:type="spellEnd"/>
      <w:r>
        <w:t xml:space="preserve"> controlled studies and ongoing open label long-term extension study, the IRs (95% CI) for tofacitinib 5 mg twice daily and tofacitinib 10 mg twice daily for PE were 0.11 (0.00, 0.60) and</w:t>
      </w:r>
      <w:r>
        <w:rPr>
          <w:spacing w:val="42"/>
        </w:rPr>
        <w:t xml:space="preserve"> </w:t>
      </w:r>
      <w:r>
        <w:t>0.00</w:t>
      </w:r>
      <w:r>
        <w:rPr>
          <w:spacing w:val="30"/>
        </w:rPr>
        <w:t xml:space="preserve"> </w:t>
      </w:r>
      <w:r>
        <w:t>(0.00,</w:t>
      </w:r>
      <w:r>
        <w:rPr>
          <w:spacing w:val="29"/>
        </w:rPr>
        <w:t xml:space="preserve"> </w:t>
      </w:r>
      <w:r>
        <w:t>0.58)</w:t>
      </w:r>
      <w:r>
        <w:rPr>
          <w:spacing w:val="24"/>
        </w:rPr>
        <w:t xml:space="preserve"> </w:t>
      </w:r>
      <w:r>
        <w:t>patients</w:t>
      </w:r>
      <w:r>
        <w:rPr>
          <w:spacing w:val="11"/>
        </w:rPr>
        <w:t xml:space="preserve"> </w:t>
      </w:r>
      <w:r>
        <w:t>with</w:t>
      </w:r>
      <w:r>
        <w:rPr>
          <w:spacing w:val="29"/>
        </w:rPr>
        <w:t xml:space="preserve"> </w:t>
      </w:r>
      <w:r>
        <w:t>events</w:t>
      </w:r>
      <w:r>
        <w:rPr>
          <w:spacing w:val="26"/>
        </w:rPr>
        <w:t xml:space="preserve"> </w:t>
      </w:r>
      <w:r>
        <w:t>per</w:t>
      </w:r>
      <w:r>
        <w:rPr>
          <w:spacing w:val="24"/>
        </w:rPr>
        <w:t xml:space="preserve"> </w:t>
      </w:r>
      <w:r>
        <w:t>100</w:t>
      </w:r>
      <w:r>
        <w:rPr>
          <w:spacing w:val="30"/>
        </w:rPr>
        <w:t xml:space="preserve"> </w:t>
      </w:r>
      <w:r>
        <w:t>patient-years</w:t>
      </w:r>
      <w:r>
        <w:rPr>
          <w:spacing w:val="26"/>
        </w:rPr>
        <w:t xml:space="preserve"> </w:t>
      </w:r>
      <w:r>
        <w:t>respectively;</w:t>
      </w:r>
      <w:r>
        <w:rPr>
          <w:spacing w:val="22"/>
        </w:rPr>
        <w:t xml:space="preserve"> </w:t>
      </w:r>
      <w:r>
        <w:t>the</w:t>
      </w:r>
      <w:r>
        <w:rPr>
          <w:spacing w:val="28"/>
        </w:rPr>
        <w:t xml:space="preserve"> </w:t>
      </w:r>
      <w:r>
        <w:t>IRs</w:t>
      </w:r>
      <w:r>
        <w:rPr>
          <w:spacing w:val="26"/>
        </w:rPr>
        <w:t xml:space="preserve"> </w:t>
      </w:r>
      <w:r>
        <w:rPr>
          <w:spacing w:val="-4"/>
        </w:rPr>
        <w:t>(95%</w:t>
      </w:r>
    </w:p>
    <w:p w14:paraId="2217E0C1" w14:textId="77777777" w:rsidR="001825E2" w:rsidRDefault="000839A5" w:rsidP="00CB00A7">
      <w:pPr>
        <w:pStyle w:val="BodyText"/>
        <w:spacing w:before="10" w:line="235" w:lineRule="auto"/>
        <w:ind w:left="216" w:right="231"/>
        <w:jc w:val="left"/>
      </w:pPr>
      <w:r>
        <w:t>CI)</w:t>
      </w:r>
      <w:r>
        <w:rPr>
          <w:spacing w:val="-5"/>
        </w:rPr>
        <w:t xml:space="preserve"> </w:t>
      </w:r>
      <w:r>
        <w:t>for</w:t>
      </w:r>
      <w:r>
        <w:rPr>
          <w:spacing w:val="-5"/>
        </w:rPr>
        <w:t xml:space="preserve"> </w:t>
      </w:r>
      <w:r>
        <w:t>DVT</w:t>
      </w:r>
      <w:r>
        <w:rPr>
          <w:spacing w:val="-12"/>
        </w:rPr>
        <w:t xml:space="preserve"> </w:t>
      </w:r>
      <w:r>
        <w:t>were</w:t>
      </w:r>
      <w:r>
        <w:rPr>
          <w:spacing w:val="-2"/>
        </w:rPr>
        <w:t xml:space="preserve"> </w:t>
      </w:r>
      <w:r>
        <w:t>0.00 (0.00, 0.40)</w:t>
      </w:r>
      <w:r>
        <w:rPr>
          <w:spacing w:val="-5"/>
        </w:rPr>
        <w:t xml:space="preserve"> </w:t>
      </w:r>
      <w:r>
        <w:t>and 0.16 (0.00, 0.87)</w:t>
      </w:r>
      <w:r>
        <w:rPr>
          <w:spacing w:val="-6"/>
        </w:rPr>
        <w:t xml:space="preserve"> </w:t>
      </w:r>
      <w:r>
        <w:t>patients</w:t>
      </w:r>
      <w:r>
        <w:rPr>
          <w:spacing w:val="-4"/>
        </w:rPr>
        <w:t xml:space="preserve"> </w:t>
      </w:r>
      <w:r>
        <w:t>with events</w:t>
      </w:r>
      <w:r>
        <w:rPr>
          <w:spacing w:val="-4"/>
        </w:rPr>
        <w:t xml:space="preserve"> </w:t>
      </w:r>
      <w:r>
        <w:t>per</w:t>
      </w:r>
      <w:r>
        <w:rPr>
          <w:spacing w:val="-5"/>
        </w:rPr>
        <w:t xml:space="preserve"> </w:t>
      </w:r>
      <w:r>
        <w:t>100 patient- years respectively.</w:t>
      </w:r>
    </w:p>
    <w:p w14:paraId="09160E6E" w14:textId="77777777" w:rsidR="001825E2" w:rsidRDefault="000839A5" w:rsidP="00CB00A7">
      <w:pPr>
        <w:spacing w:before="235"/>
        <w:ind w:left="220"/>
        <w:rPr>
          <w:i/>
          <w:sz w:val="24"/>
        </w:rPr>
      </w:pPr>
      <w:r>
        <w:rPr>
          <w:i/>
          <w:sz w:val="24"/>
          <w:u w:val="single"/>
        </w:rPr>
        <w:t>Ankylosing</w:t>
      </w:r>
      <w:r>
        <w:rPr>
          <w:i/>
          <w:spacing w:val="-4"/>
          <w:sz w:val="24"/>
          <w:u w:val="single"/>
        </w:rPr>
        <w:t xml:space="preserve"> </w:t>
      </w:r>
      <w:r>
        <w:rPr>
          <w:i/>
          <w:spacing w:val="-2"/>
          <w:sz w:val="24"/>
          <w:u w:val="single"/>
        </w:rPr>
        <w:t>Spondylitis</w:t>
      </w:r>
    </w:p>
    <w:p w14:paraId="2E343BEC" w14:textId="77777777" w:rsidR="001825E2" w:rsidRDefault="000839A5" w:rsidP="00CB00A7">
      <w:pPr>
        <w:pStyle w:val="BodyText"/>
        <w:spacing w:before="129" w:line="242" w:lineRule="auto"/>
        <w:ind w:left="219" w:right="203"/>
        <w:jc w:val="left"/>
      </w:pPr>
      <w:r>
        <w:t>In the combined</w:t>
      </w:r>
      <w:r>
        <w:rPr>
          <w:spacing w:val="40"/>
        </w:rPr>
        <w:t xml:space="preserve"> </w:t>
      </w:r>
      <w:r>
        <w:t>Phase 2</w:t>
      </w:r>
      <w:r>
        <w:rPr>
          <w:spacing w:val="40"/>
        </w:rPr>
        <w:t xml:space="preserve"> </w:t>
      </w:r>
      <w:r>
        <w:t>and</w:t>
      </w:r>
      <w:r>
        <w:rPr>
          <w:spacing w:val="40"/>
        </w:rPr>
        <w:t xml:space="preserve"> </w:t>
      </w:r>
      <w:r>
        <w:t>Phase 3</w:t>
      </w:r>
      <w:r>
        <w:rPr>
          <w:spacing w:val="40"/>
        </w:rPr>
        <w:t xml:space="preserve"> </w:t>
      </w:r>
      <w:proofErr w:type="spellStart"/>
      <w:r>
        <w:t>randomised</w:t>
      </w:r>
      <w:proofErr w:type="spellEnd"/>
      <w:r>
        <w:rPr>
          <w:spacing w:val="40"/>
        </w:rPr>
        <w:t xml:space="preserve"> </w:t>
      </w:r>
      <w:r>
        <w:t>controlled</w:t>
      </w:r>
      <w:r>
        <w:rPr>
          <w:spacing w:val="40"/>
        </w:rPr>
        <w:t xml:space="preserve"> </w:t>
      </w:r>
      <w:r>
        <w:t>clinical trials, there were no VTE</w:t>
      </w:r>
      <w:r>
        <w:rPr>
          <w:spacing w:val="40"/>
        </w:rPr>
        <w:t xml:space="preserve"> </w:t>
      </w:r>
      <w:r>
        <w:t>events</w:t>
      </w:r>
      <w:r>
        <w:rPr>
          <w:spacing w:val="36"/>
        </w:rPr>
        <w:t xml:space="preserve"> </w:t>
      </w:r>
      <w:r>
        <w:t>in</w:t>
      </w:r>
      <w:r>
        <w:rPr>
          <w:spacing w:val="39"/>
        </w:rPr>
        <w:t xml:space="preserve"> </w:t>
      </w:r>
      <w:r>
        <w:t>420</w:t>
      </w:r>
      <w:r>
        <w:rPr>
          <w:spacing w:val="39"/>
        </w:rPr>
        <w:t xml:space="preserve"> </w:t>
      </w:r>
      <w:r>
        <w:t>patients</w:t>
      </w:r>
      <w:r>
        <w:rPr>
          <w:spacing w:val="36"/>
        </w:rPr>
        <w:t xml:space="preserve"> </w:t>
      </w:r>
      <w:r>
        <w:t>(233</w:t>
      </w:r>
      <w:r>
        <w:rPr>
          <w:spacing w:val="39"/>
        </w:rPr>
        <w:t xml:space="preserve"> </w:t>
      </w:r>
      <w:r>
        <w:t>patient-years</w:t>
      </w:r>
      <w:r>
        <w:rPr>
          <w:spacing w:val="36"/>
        </w:rPr>
        <w:t xml:space="preserve"> </w:t>
      </w:r>
      <w:r>
        <w:t>of</w:t>
      </w:r>
      <w:r>
        <w:rPr>
          <w:spacing w:val="40"/>
        </w:rPr>
        <w:t xml:space="preserve"> </w:t>
      </w:r>
      <w:r>
        <w:t>observation)</w:t>
      </w:r>
      <w:r>
        <w:rPr>
          <w:spacing w:val="34"/>
        </w:rPr>
        <w:t xml:space="preserve"> </w:t>
      </w:r>
      <w:r>
        <w:t>receiving</w:t>
      </w:r>
      <w:r>
        <w:rPr>
          <w:spacing w:val="39"/>
        </w:rPr>
        <w:t xml:space="preserve"> </w:t>
      </w:r>
      <w:r>
        <w:t>XELJANZ</w:t>
      </w:r>
      <w:r>
        <w:rPr>
          <w:spacing w:val="40"/>
        </w:rPr>
        <w:t xml:space="preserve"> </w:t>
      </w:r>
      <w:r>
        <w:t>up</w:t>
      </w:r>
      <w:r>
        <w:rPr>
          <w:spacing w:val="25"/>
        </w:rPr>
        <w:t xml:space="preserve"> </w:t>
      </w:r>
      <w:r>
        <w:t>to 48 weeks.</w:t>
      </w:r>
    </w:p>
    <w:p w14:paraId="24EB9BC9" w14:textId="77777777" w:rsidR="001825E2" w:rsidRDefault="000839A5" w:rsidP="00CB00A7">
      <w:pPr>
        <w:spacing w:before="229"/>
        <w:ind w:left="219"/>
        <w:rPr>
          <w:i/>
          <w:sz w:val="24"/>
        </w:rPr>
      </w:pPr>
      <w:r>
        <w:rPr>
          <w:i/>
          <w:sz w:val="24"/>
        </w:rPr>
        <w:t>Ulcerative</w:t>
      </w:r>
      <w:r>
        <w:rPr>
          <w:i/>
          <w:spacing w:val="1"/>
          <w:sz w:val="24"/>
        </w:rPr>
        <w:t xml:space="preserve"> </w:t>
      </w:r>
      <w:r>
        <w:rPr>
          <w:i/>
          <w:spacing w:val="-2"/>
          <w:sz w:val="24"/>
        </w:rPr>
        <w:t>Colitis</w:t>
      </w:r>
    </w:p>
    <w:p w14:paraId="7DC439B2" w14:textId="77777777" w:rsidR="001825E2" w:rsidRDefault="000839A5" w:rsidP="00CB00A7">
      <w:pPr>
        <w:pStyle w:val="BodyText"/>
        <w:spacing w:before="114" w:line="247" w:lineRule="auto"/>
        <w:ind w:left="219"/>
        <w:jc w:val="left"/>
      </w:pPr>
      <w:r>
        <w:t>In</w:t>
      </w:r>
      <w:r>
        <w:rPr>
          <w:spacing w:val="-6"/>
        </w:rPr>
        <w:t xml:space="preserve"> </w:t>
      </w:r>
      <w:r>
        <w:t>the</w:t>
      </w:r>
      <w:r>
        <w:rPr>
          <w:spacing w:val="-5"/>
        </w:rPr>
        <w:t xml:space="preserve"> </w:t>
      </w:r>
      <w:r>
        <w:t xml:space="preserve">completed </w:t>
      </w:r>
      <w:proofErr w:type="spellStart"/>
      <w:r>
        <w:t>randomised</w:t>
      </w:r>
      <w:proofErr w:type="spellEnd"/>
      <w:r>
        <w:t xml:space="preserve"> placebo-controlled induction</w:t>
      </w:r>
      <w:r>
        <w:rPr>
          <w:spacing w:val="-3"/>
        </w:rPr>
        <w:t xml:space="preserve"> </w:t>
      </w:r>
      <w:r>
        <w:t>studies</w:t>
      </w:r>
      <w:r>
        <w:rPr>
          <w:spacing w:val="-7"/>
        </w:rPr>
        <w:t xml:space="preserve"> </w:t>
      </w:r>
      <w:r>
        <w:t>of 8</w:t>
      </w:r>
      <w:r>
        <w:rPr>
          <w:spacing w:val="-3"/>
        </w:rPr>
        <w:t xml:space="preserve"> </w:t>
      </w:r>
      <w:r>
        <w:t>weeks</w:t>
      </w:r>
      <w:r>
        <w:rPr>
          <w:spacing w:val="-19"/>
        </w:rPr>
        <w:t xml:space="preserve"> </w:t>
      </w:r>
      <w:r>
        <w:t>duration,</w:t>
      </w:r>
      <w:r>
        <w:rPr>
          <w:spacing w:val="-3"/>
        </w:rPr>
        <w:t xml:space="preserve"> </w:t>
      </w:r>
      <w:r>
        <w:t>the</w:t>
      </w:r>
      <w:r>
        <w:rPr>
          <w:spacing w:val="-17"/>
        </w:rPr>
        <w:t xml:space="preserve"> </w:t>
      </w:r>
      <w:r>
        <w:t>IR (95%</w:t>
      </w:r>
      <w:r>
        <w:rPr>
          <w:spacing w:val="23"/>
        </w:rPr>
        <w:t xml:space="preserve"> </w:t>
      </w:r>
      <w:r>
        <w:t>CI)</w:t>
      </w:r>
      <w:r>
        <w:rPr>
          <w:spacing w:val="23"/>
        </w:rPr>
        <w:t xml:space="preserve"> </w:t>
      </w:r>
      <w:r>
        <w:t>for</w:t>
      </w:r>
      <w:r>
        <w:rPr>
          <w:spacing w:val="24"/>
        </w:rPr>
        <w:t xml:space="preserve"> </w:t>
      </w:r>
      <w:r>
        <w:t>tofacitinib</w:t>
      </w:r>
      <w:r>
        <w:rPr>
          <w:spacing w:val="29"/>
        </w:rPr>
        <w:t xml:space="preserve"> </w:t>
      </w:r>
      <w:r>
        <w:t>10</w:t>
      </w:r>
      <w:r>
        <w:rPr>
          <w:spacing w:val="29"/>
        </w:rPr>
        <w:t xml:space="preserve"> </w:t>
      </w:r>
      <w:r>
        <w:t>mg</w:t>
      </w:r>
      <w:r>
        <w:rPr>
          <w:spacing w:val="29"/>
        </w:rPr>
        <w:t xml:space="preserve"> </w:t>
      </w:r>
      <w:r>
        <w:t>twice</w:t>
      </w:r>
      <w:r>
        <w:rPr>
          <w:spacing w:val="28"/>
        </w:rPr>
        <w:t xml:space="preserve"> </w:t>
      </w:r>
      <w:r>
        <w:t>daily</w:t>
      </w:r>
      <w:r>
        <w:rPr>
          <w:spacing w:val="29"/>
        </w:rPr>
        <w:t xml:space="preserve"> </w:t>
      </w:r>
      <w:r>
        <w:t>and</w:t>
      </w:r>
      <w:r>
        <w:rPr>
          <w:spacing w:val="44"/>
        </w:rPr>
        <w:t xml:space="preserve"> </w:t>
      </w:r>
      <w:r>
        <w:t>placebo</w:t>
      </w:r>
      <w:r>
        <w:rPr>
          <w:spacing w:val="30"/>
        </w:rPr>
        <w:t xml:space="preserve"> </w:t>
      </w:r>
      <w:r>
        <w:t>for</w:t>
      </w:r>
      <w:r>
        <w:rPr>
          <w:spacing w:val="23"/>
        </w:rPr>
        <w:t xml:space="preserve"> </w:t>
      </w:r>
      <w:r>
        <w:t>PE</w:t>
      </w:r>
      <w:r>
        <w:rPr>
          <w:spacing w:val="32"/>
        </w:rPr>
        <w:t xml:space="preserve"> </w:t>
      </w:r>
      <w:r>
        <w:t>were</w:t>
      </w:r>
      <w:r>
        <w:rPr>
          <w:spacing w:val="28"/>
        </w:rPr>
        <w:t xml:space="preserve"> </w:t>
      </w:r>
      <w:r>
        <w:t>0.00</w:t>
      </w:r>
      <w:r>
        <w:rPr>
          <w:spacing w:val="29"/>
        </w:rPr>
        <w:t xml:space="preserve"> </w:t>
      </w:r>
      <w:r>
        <w:t>(0.00,</w:t>
      </w:r>
      <w:r>
        <w:rPr>
          <w:spacing w:val="29"/>
        </w:rPr>
        <w:t xml:space="preserve"> </w:t>
      </w:r>
      <w:r>
        <w:t>2.22)</w:t>
      </w:r>
      <w:r>
        <w:rPr>
          <w:spacing w:val="25"/>
        </w:rPr>
        <w:t xml:space="preserve"> </w:t>
      </w:r>
      <w:r>
        <w:rPr>
          <w:spacing w:val="-5"/>
        </w:rPr>
        <w:t>and</w:t>
      </w:r>
    </w:p>
    <w:p w14:paraId="6BE64D09" w14:textId="77777777" w:rsidR="001825E2" w:rsidRDefault="000839A5" w:rsidP="00CB00A7">
      <w:pPr>
        <w:pStyle w:val="BodyText"/>
        <w:spacing w:line="263" w:lineRule="exact"/>
        <w:ind w:left="217"/>
        <w:jc w:val="left"/>
      </w:pPr>
      <w:r>
        <w:t>1.98</w:t>
      </w:r>
      <w:r>
        <w:rPr>
          <w:spacing w:val="15"/>
        </w:rPr>
        <w:t xml:space="preserve"> </w:t>
      </w:r>
      <w:r>
        <w:t>(0.05,</w:t>
      </w:r>
      <w:r>
        <w:rPr>
          <w:spacing w:val="15"/>
        </w:rPr>
        <w:t xml:space="preserve"> </w:t>
      </w:r>
      <w:r>
        <w:t>11.04)</w:t>
      </w:r>
      <w:r>
        <w:rPr>
          <w:spacing w:val="9"/>
        </w:rPr>
        <w:t xml:space="preserve"> </w:t>
      </w:r>
      <w:r>
        <w:t>patients</w:t>
      </w:r>
      <w:r>
        <w:rPr>
          <w:spacing w:val="11"/>
        </w:rPr>
        <w:t xml:space="preserve"> </w:t>
      </w:r>
      <w:r>
        <w:t>with events</w:t>
      </w:r>
      <w:r>
        <w:rPr>
          <w:spacing w:val="11"/>
        </w:rPr>
        <w:t xml:space="preserve"> </w:t>
      </w:r>
      <w:r>
        <w:t>per</w:t>
      </w:r>
      <w:r>
        <w:rPr>
          <w:spacing w:val="10"/>
        </w:rPr>
        <w:t xml:space="preserve"> </w:t>
      </w:r>
      <w:r>
        <w:t>100</w:t>
      </w:r>
      <w:r>
        <w:rPr>
          <w:spacing w:val="14"/>
        </w:rPr>
        <w:t xml:space="preserve"> </w:t>
      </w:r>
      <w:r>
        <w:t>patient-years;</w:t>
      </w:r>
      <w:r>
        <w:rPr>
          <w:spacing w:val="8"/>
        </w:rPr>
        <w:t xml:space="preserve"> </w:t>
      </w:r>
      <w:r>
        <w:t>the</w:t>
      </w:r>
      <w:r>
        <w:rPr>
          <w:spacing w:val="13"/>
        </w:rPr>
        <w:t xml:space="preserve"> </w:t>
      </w:r>
      <w:r>
        <w:t>IR</w:t>
      </w:r>
      <w:r>
        <w:rPr>
          <w:spacing w:val="19"/>
        </w:rPr>
        <w:t xml:space="preserve"> </w:t>
      </w:r>
      <w:r>
        <w:t>(95%</w:t>
      </w:r>
      <w:r>
        <w:rPr>
          <w:spacing w:val="10"/>
        </w:rPr>
        <w:t xml:space="preserve"> </w:t>
      </w:r>
      <w:r>
        <w:t>CI)</w:t>
      </w:r>
      <w:r>
        <w:rPr>
          <w:spacing w:val="-5"/>
        </w:rPr>
        <w:t xml:space="preserve"> </w:t>
      </w:r>
      <w:r>
        <w:t>for</w:t>
      </w:r>
      <w:r>
        <w:rPr>
          <w:spacing w:val="10"/>
        </w:rPr>
        <w:t xml:space="preserve"> </w:t>
      </w:r>
      <w:r>
        <w:t>DVT</w:t>
      </w:r>
      <w:r>
        <w:rPr>
          <w:spacing w:val="3"/>
        </w:rPr>
        <w:t xml:space="preserve"> </w:t>
      </w:r>
      <w:r>
        <w:rPr>
          <w:spacing w:val="-4"/>
        </w:rPr>
        <w:t>were</w:t>
      </w:r>
    </w:p>
    <w:p w14:paraId="7D263758" w14:textId="77777777" w:rsidR="001825E2" w:rsidRDefault="000839A5" w:rsidP="00CB00A7">
      <w:pPr>
        <w:pStyle w:val="BodyText"/>
        <w:spacing w:before="13" w:line="235" w:lineRule="auto"/>
        <w:ind w:left="216"/>
        <w:jc w:val="left"/>
      </w:pPr>
      <w:r>
        <w:t>0.00</w:t>
      </w:r>
      <w:r>
        <w:rPr>
          <w:spacing w:val="-1"/>
        </w:rPr>
        <w:t xml:space="preserve"> </w:t>
      </w:r>
      <w:r>
        <w:t>(0.00,</w:t>
      </w:r>
      <w:r>
        <w:rPr>
          <w:spacing w:val="80"/>
        </w:rPr>
        <w:t xml:space="preserve"> </w:t>
      </w:r>
      <w:r>
        <w:t>2.22)</w:t>
      </w:r>
      <w:r>
        <w:rPr>
          <w:spacing w:val="80"/>
        </w:rPr>
        <w:t xml:space="preserve"> </w:t>
      </w:r>
      <w:r>
        <w:t>and</w:t>
      </w:r>
      <w:r>
        <w:rPr>
          <w:spacing w:val="80"/>
          <w:w w:val="150"/>
        </w:rPr>
        <w:t xml:space="preserve"> </w:t>
      </w:r>
      <w:r>
        <w:t>1.99</w:t>
      </w:r>
      <w:r>
        <w:rPr>
          <w:spacing w:val="80"/>
        </w:rPr>
        <w:t xml:space="preserve"> </w:t>
      </w:r>
      <w:r>
        <w:t>(0.05,</w:t>
      </w:r>
      <w:r>
        <w:rPr>
          <w:spacing w:val="80"/>
        </w:rPr>
        <w:t xml:space="preserve"> </w:t>
      </w:r>
      <w:r>
        <w:t>11.07)</w:t>
      </w:r>
      <w:r>
        <w:rPr>
          <w:spacing w:val="80"/>
        </w:rPr>
        <w:t xml:space="preserve"> </w:t>
      </w:r>
      <w:r>
        <w:t>patients</w:t>
      </w:r>
      <w:r>
        <w:rPr>
          <w:spacing w:val="80"/>
        </w:rPr>
        <w:t xml:space="preserve"> </w:t>
      </w:r>
      <w:r>
        <w:t>with</w:t>
      </w:r>
      <w:r>
        <w:rPr>
          <w:spacing w:val="80"/>
        </w:rPr>
        <w:t xml:space="preserve"> </w:t>
      </w:r>
      <w:r>
        <w:t>events</w:t>
      </w:r>
      <w:r>
        <w:rPr>
          <w:spacing w:val="80"/>
        </w:rPr>
        <w:t xml:space="preserve"> </w:t>
      </w:r>
      <w:r>
        <w:t>per</w:t>
      </w:r>
      <w:r>
        <w:rPr>
          <w:spacing w:val="80"/>
        </w:rPr>
        <w:t xml:space="preserve"> </w:t>
      </w:r>
      <w:r>
        <w:t>100</w:t>
      </w:r>
      <w:r>
        <w:rPr>
          <w:spacing w:val="80"/>
        </w:rPr>
        <w:t xml:space="preserve"> </w:t>
      </w:r>
      <w:r>
        <w:t>patient-years</w:t>
      </w:r>
      <w:r>
        <w:rPr>
          <w:spacing w:val="40"/>
        </w:rPr>
        <w:t xml:space="preserve"> </w:t>
      </w:r>
      <w:r>
        <w:rPr>
          <w:spacing w:val="-2"/>
        </w:rPr>
        <w:t>respectively.</w:t>
      </w:r>
    </w:p>
    <w:p w14:paraId="3E262C85" w14:textId="77777777" w:rsidR="001825E2" w:rsidRDefault="000839A5" w:rsidP="00CB00A7">
      <w:pPr>
        <w:pStyle w:val="BodyText"/>
        <w:spacing w:before="235" w:line="242" w:lineRule="auto"/>
        <w:ind w:left="212" w:right="203" w:firstLine="3"/>
        <w:jc w:val="left"/>
      </w:pPr>
      <w:r>
        <w:t xml:space="preserve">In the completed </w:t>
      </w:r>
      <w:proofErr w:type="spellStart"/>
      <w:r>
        <w:t>randomised</w:t>
      </w:r>
      <w:proofErr w:type="spellEnd"/>
      <w:r>
        <w:t xml:space="preserve"> maintenance study of 52</w:t>
      </w:r>
      <w:r>
        <w:rPr>
          <w:spacing w:val="-2"/>
        </w:rPr>
        <w:t xml:space="preserve"> </w:t>
      </w:r>
      <w:r>
        <w:t>weeks duration, the IRs (95% CI) for tofacitinib 5 mg twice daily and tofacitinib 10 mg twice daily for PE were 0.00 (0.00, 2.48) and</w:t>
      </w:r>
      <w:r>
        <w:rPr>
          <w:spacing w:val="42"/>
        </w:rPr>
        <w:t xml:space="preserve"> </w:t>
      </w:r>
      <w:r>
        <w:t>0.00</w:t>
      </w:r>
      <w:r>
        <w:rPr>
          <w:spacing w:val="29"/>
        </w:rPr>
        <w:t xml:space="preserve"> </w:t>
      </w:r>
      <w:r>
        <w:t>(0.00,</w:t>
      </w:r>
      <w:r>
        <w:rPr>
          <w:spacing w:val="30"/>
        </w:rPr>
        <w:t xml:space="preserve"> </w:t>
      </w:r>
      <w:r>
        <w:t>2.35)</w:t>
      </w:r>
      <w:r>
        <w:rPr>
          <w:spacing w:val="24"/>
        </w:rPr>
        <w:t xml:space="preserve"> </w:t>
      </w:r>
      <w:r>
        <w:t>patients</w:t>
      </w:r>
      <w:r>
        <w:rPr>
          <w:spacing w:val="10"/>
        </w:rPr>
        <w:t xml:space="preserve"> </w:t>
      </w:r>
      <w:r>
        <w:t>with</w:t>
      </w:r>
      <w:r>
        <w:rPr>
          <w:spacing w:val="29"/>
        </w:rPr>
        <w:t xml:space="preserve"> </w:t>
      </w:r>
      <w:r>
        <w:t>events</w:t>
      </w:r>
      <w:r>
        <w:rPr>
          <w:spacing w:val="25"/>
        </w:rPr>
        <w:t xml:space="preserve"> </w:t>
      </w:r>
      <w:r>
        <w:t>per</w:t>
      </w:r>
      <w:r>
        <w:rPr>
          <w:spacing w:val="25"/>
        </w:rPr>
        <w:t xml:space="preserve"> </w:t>
      </w:r>
      <w:r>
        <w:t>100</w:t>
      </w:r>
      <w:r>
        <w:rPr>
          <w:spacing w:val="29"/>
        </w:rPr>
        <w:t xml:space="preserve"> </w:t>
      </w:r>
      <w:r>
        <w:t>patient-years</w:t>
      </w:r>
      <w:r>
        <w:rPr>
          <w:spacing w:val="26"/>
        </w:rPr>
        <w:t xml:space="preserve"> </w:t>
      </w:r>
      <w:r>
        <w:t>respectively;</w:t>
      </w:r>
      <w:r>
        <w:rPr>
          <w:spacing w:val="22"/>
        </w:rPr>
        <w:t xml:space="preserve"> </w:t>
      </w:r>
      <w:r>
        <w:t>the</w:t>
      </w:r>
      <w:r>
        <w:rPr>
          <w:spacing w:val="28"/>
        </w:rPr>
        <w:t xml:space="preserve"> </w:t>
      </w:r>
      <w:r>
        <w:t>IRs</w:t>
      </w:r>
      <w:r>
        <w:rPr>
          <w:spacing w:val="26"/>
        </w:rPr>
        <w:t xml:space="preserve"> </w:t>
      </w:r>
      <w:r>
        <w:rPr>
          <w:spacing w:val="-4"/>
        </w:rPr>
        <w:t>(95%</w:t>
      </w:r>
    </w:p>
    <w:p w14:paraId="5986C667" w14:textId="77777777" w:rsidR="001825E2" w:rsidRDefault="000839A5" w:rsidP="00CB00A7">
      <w:pPr>
        <w:pStyle w:val="BodyText"/>
        <w:spacing w:before="9" w:line="235" w:lineRule="auto"/>
        <w:ind w:left="211" w:right="236"/>
        <w:jc w:val="left"/>
      </w:pPr>
      <w:r>
        <w:t>CI)</w:t>
      </w:r>
      <w:r>
        <w:rPr>
          <w:spacing w:val="-5"/>
        </w:rPr>
        <w:t xml:space="preserve"> </w:t>
      </w:r>
      <w:r>
        <w:t>for</w:t>
      </w:r>
      <w:r>
        <w:rPr>
          <w:spacing w:val="-5"/>
        </w:rPr>
        <w:t xml:space="preserve"> </w:t>
      </w:r>
      <w:r>
        <w:t>DVT</w:t>
      </w:r>
      <w:r>
        <w:rPr>
          <w:spacing w:val="-12"/>
        </w:rPr>
        <w:t xml:space="preserve"> </w:t>
      </w:r>
      <w:r>
        <w:t>were</w:t>
      </w:r>
      <w:r>
        <w:rPr>
          <w:spacing w:val="-2"/>
        </w:rPr>
        <w:t xml:space="preserve"> </w:t>
      </w:r>
      <w:r>
        <w:t>0.00 (0.00, 2.48)</w:t>
      </w:r>
      <w:r>
        <w:rPr>
          <w:spacing w:val="-5"/>
        </w:rPr>
        <w:t xml:space="preserve"> </w:t>
      </w:r>
      <w:r>
        <w:t>and 0.00 (0.00, 2.35)</w:t>
      </w:r>
      <w:r>
        <w:rPr>
          <w:spacing w:val="-5"/>
        </w:rPr>
        <w:t xml:space="preserve"> </w:t>
      </w:r>
      <w:r>
        <w:t>patients</w:t>
      </w:r>
      <w:r>
        <w:rPr>
          <w:spacing w:val="-4"/>
        </w:rPr>
        <w:t xml:space="preserve"> </w:t>
      </w:r>
      <w:r>
        <w:t>with events</w:t>
      </w:r>
      <w:r>
        <w:rPr>
          <w:spacing w:val="-4"/>
        </w:rPr>
        <w:t xml:space="preserve"> </w:t>
      </w:r>
      <w:r>
        <w:t>per</w:t>
      </w:r>
      <w:r>
        <w:rPr>
          <w:spacing w:val="-5"/>
        </w:rPr>
        <w:t xml:space="preserve"> </w:t>
      </w:r>
      <w:r>
        <w:t>100 patient- years respectively.</w:t>
      </w:r>
    </w:p>
    <w:p w14:paraId="22764053" w14:textId="77777777" w:rsidR="001825E2" w:rsidRDefault="000839A5" w:rsidP="00CB00A7">
      <w:pPr>
        <w:pStyle w:val="BodyText"/>
        <w:spacing w:before="234" w:line="242" w:lineRule="auto"/>
        <w:ind w:left="208" w:right="208" w:firstLine="2"/>
        <w:jc w:val="left"/>
      </w:pPr>
      <w:r>
        <w:t xml:space="preserve">In the long-term safety population that includes exposure during completed </w:t>
      </w:r>
      <w:proofErr w:type="spellStart"/>
      <w:r>
        <w:t>randomised</w:t>
      </w:r>
      <w:proofErr w:type="spellEnd"/>
      <w:r>
        <w:t xml:space="preserve"> controlled studies and ongoing open label long-term extension study, the IRs (95% CI) for tofacitinib 5 mg twice daily and tofacitinib 10 mg twice daily for PE were 0.00 (0.00, 0.54) and</w:t>
      </w:r>
      <w:r>
        <w:rPr>
          <w:spacing w:val="42"/>
        </w:rPr>
        <w:t xml:space="preserve"> </w:t>
      </w:r>
      <w:r>
        <w:t>0.20</w:t>
      </w:r>
      <w:r>
        <w:rPr>
          <w:spacing w:val="30"/>
        </w:rPr>
        <w:t xml:space="preserve"> </w:t>
      </w:r>
      <w:r>
        <w:t>(0.05,</w:t>
      </w:r>
      <w:r>
        <w:rPr>
          <w:spacing w:val="30"/>
        </w:rPr>
        <w:t xml:space="preserve"> </w:t>
      </w:r>
      <w:r>
        <w:t>0.52)</w:t>
      </w:r>
      <w:r>
        <w:rPr>
          <w:spacing w:val="24"/>
        </w:rPr>
        <w:t xml:space="preserve"> </w:t>
      </w:r>
      <w:r>
        <w:t>patients</w:t>
      </w:r>
      <w:r>
        <w:rPr>
          <w:spacing w:val="10"/>
        </w:rPr>
        <w:t xml:space="preserve"> </w:t>
      </w:r>
      <w:r>
        <w:t>with</w:t>
      </w:r>
      <w:r>
        <w:rPr>
          <w:spacing w:val="30"/>
        </w:rPr>
        <w:t xml:space="preserve"> </w:t>
      </w:r>
      <w:r>
        <w:t>events</w:t>
      </w:r>
      <w:r>
        <w:rPr>
          <w:spacing w:val="26"/>
        </w:rPr>
        <w:t xml:space="preserve"> </w:t>
      </w:r>
      <w:r>
        <w:t>per</w:t>
      </w:r>
      <w:r>
        <w:rPr>
          <w:spacing w:val="25"/>
        </w:rPr>
        <w:t xml:space="preserve"> </w:t>
      </w:r>
      <w:r>
        <w:t>100</w:t>
      </w:r>
      <w:r>
        <w:rPr>
          <w:spacing w:val="29"/>
        </w:rPr>
        <w:t xml:space="preserve"> </w:t>
      </w:r>
      <w:r>
        <w:t>patient-years</w:t>
      </w:r>
      <w:r>
        <w:rPr>
          <w:spacing w:val="26"/>
        </w:rPr>
        <w:t xml:space="preserve"> </w:t>
      </w:r>
      <w:r>
        <w:t>respectively;</w:t>
      </w:r>
      <w:r>
        <w:rPr>
          <w:spacing w:val="23"/>
        </w:rPr>
        <w:t xml:space="preserve"> </w:t>
      </w:r>
      <w:r>
        <w:t>the</w:t>
      </w:r>
      <w:r>
        <w:rPr>
          <w:spacing w:val="28"/>
        </w:rPr>
        <w:t xml:space="preserve"> </w:t>
      </w:r>
      <w:r>
        <w:t>IRs</w:t>
      </w:r>
      <w:r>
        <w:rPr>
          <w:spacing w:val="26"/>
        </w:rPr>
        <w:t xml:space="preserve"> </w:t>
      </w:r>
      <w:r>
        <w:rPr>
          <w:spacing w:val="-4"/>
        </w:rPr>
        <w:t>(95%</w:t>
      </w:r>
    </w:p>
    <w:p w14:paraId="2D8E8100" w14:textId="77777777" w:rsidR="001825E2" w:rsidRDefault="000839A5" w:rsidP="00CB00A7">
      <w:pPr>
        <w:pStyle w:val="BodyText"/>
        <w:spacing w:line="235" w:lineRule="auto"/>
        <w:ind w:left="206" w:right="241" w:firstLine="1"/>
        <w:jc w:val="left"/>
      </w:pPr>
      <w:r>
        <w:t>CI)</w:t>
      </w:r>
      <w:r>
        <w:rPr>
          <w:spacing w:val="-6"/>
        </w:rPr>
        <w:t xml:space="preserve"> </w:t>
      </w:r>
      <w:r>
        <w:t>for</w:t>
      </w:r>
      <w:r>
        <w:rPr>
          <w:spacing w:val="-6"/>
        </w:rPr>
        <w:t xml:space="preserve"> </w:t>
      </w:r>
      <w:r>
        <w:t>DVT</w:t>
      </w:r>
      <w:r>
        <w:rPr>
          <w:spacing w:val="-12"/>
        </w:rPr>
        <w:t xml:space="preserve"> </w:t>
      </w:r>
      <w:r>
        <w:t>were</w:t>
      </w:r>
      <w:r>
        <w:rPr>
          <w:spacing w:val="-2"/>
        </w:rPr>
        <w:t xml:space="preserve"> </w:t>
      </w:r>
      <w:r>
        <w:t>0.00 (0.00, 0.54)</w:t>
      </w:r>
      <w:r>
        <w:rPr>
          <w:spacing w:val="-5"/>
        </w:rPr>
        <w:t xml:space="preserve"> </w:t>
      </w:r>
      <w:r>
        <w:t>and 0.05 (0.00, 0.28)</w:t>
      </w:r>
      <w:r>
        <w:rPr>
          <w:spacing w:val="-5"/>
        </w:rPr>
        <w:t xml:space="preserve"> </w:t>
      </w:r>
      <w:r>
        <w:t>patients</w:t>
      </w:r>
      <w:r>
        <w:rPr>
          <w:spacing w:val="-4"/>
        </w:rPr>
        <w:t xml:space="preserve"> </w:t>
      </w:r>
      <w:r>
        <w:t>with events</w:t>
      </w:r>
      <w:r>
        <w:rPr>
          <w:spacing w:val="-4"/>
        </w:rPr>
        <w:t xml:space="preserve"> </w:t>
      </w:r>
      <w:r>
        <w:t>per</w:t>
      </w:r>
      <w:r>
        <w:rPr>
          <w:spacing w:val="-5"/>
        </w:rPr>
        <w:t xml:space="preserve"> </w:t>
      </w:r>
      <w:r>
        <w:t>100 patient- years respectively.</w:t>
      </w:r>
    </w:p>
    <w:p w14:paraId="4EF7B677" w14:textId="77777777" w:rsidR="001825E2" w:rsidRDefault="000839A5" w:rsidP="00CB00A7">
      <w:pPr>
        <w:pStyle w:val="Heading4"/>
        <w:jc w:val="left"/>
      </w:pPr>
      <w:r>
        <w:t>Arterial</w:t>
      </w:r>
      <w:r>
        <w:rPr>
          <w:spacing w:val="3"/>
        </w:rPr>
        <w:t xml:space="preserve"> </w:t>
      </w:r>
      <w:r>
        <w:rPr>
          <w:spacing w:val="-2"/>
        </w:rPr>
        <w:t>Thromboembolism</w:t>
      </w:r>
    </w:p>
    <w:p w14:paraId="101FC86D" w14:textId="77777777" w:rsidR="001825E2" w:rsidRDefault="000839A5" w:rsidP="00CB00A7">
      <w:pPr>
        <w:spacing w:before="114"/>
        <w:ind w:left="220"/>
        <w:rPr>
          <w:i/>
          <w:sz w:val="24"/>
        </w:rPr>
      </w:pPr>
      <w:r>
        <w:rPr>
          <w:i/>
          <w:sz w:val="24"/>
          <w:u w:val="single"/>
        </w:rPr>
        <w:t>Rheumatoid</w:t>
      </w:r>
      <w:r>
        <w:rPr>
          <w:i/>
          <w:spacing w:val="-7"/>
          <w:sz w:val="24"/>
          <w:u w:val="single"/>
        </w:rPr>
        <w:t xml:space="preserve"> </w:t>
      </w:r>
      <w:r>
        <w:rPr>
          <w:i/>
          <w:spacing w:val="-2"/>
          <w:sz w:val="24"/>
          <w:u w:val="single"/>
        </w:rPr>
        <w:t>Arthritis</w:t>
      </w:r>
    </w:p>
    <w:p w14:paraId="2E58C53B" w14:textId="77777777" w:rsidR="001825E2" w:rsidRDefault="000839A5" w:rsidP="00CB00A7">
      <w:pPr>
        <w:pStyle w:val="BodyText"/>
        <w:spacing w:before="133" w:line="235" w:lineRule="auto"/>
        <w:ind w:left="220"/>
        <w:jc w:val="left"/>
      </w:pPr>
      <w:r>
        <w:t>Results</w:t>
      </w:r>
      <w:r>
        <w:rPr>
          <w:spacing w:val="25"/>
        </w:rPr>
        <w:t xml:space="preserve"> </w:t>
      </w:r>
      <w:r>
        <w:t>from</w:t>
      </w:r>
      <w:r>
        <w:rPr>
          <w:spacing w:val="22"/>
        </w:rPr>
        <w:t xml:space="preserve"> </w:t>
      </w:r>
      <w:r>
        <w:t>final</w:t>
      </w:r>
      <w:r>
        <w:rPr>
          <w:spacing w:val="22"/>
        </w:rPr>
        <w:t xml:space="preserve"> </w:t>
      </w:r>
      <w:r>
        <w:t>safety data from</w:t>
      </w:r>
      <w:r>
        <w:rPr>
          <w:spacing w:val="22"/>
        </w:rPr>
        <w:t xml:space="preserve"> </w:t>
      </w:r>
      <w:r>
        <w:t>a</w:t>
      </w:r>
      <w:r>
        <w:rPr>
          <w:spacing w:val="27"/>
        </w:rPr>
        <w:t xml:space="preserve"> </w:t>
      </w:r>
      <w:proofErr w:type="gramStart"/>
      <w:r>
        <w:t>large</w:t>
      </w:r>
      <w:r>
        <w:rPr>
          <w:spacing w:val="27"/>
        </w:rPr>
        <w:t xml:space="preserve"> </w:t>
      </w:r>
      <w:proofErr w:type="spellStart"/>
      <w:r>
        <w:t>randomised</w:t>
      </w:r>
      <w:proofErr w:type="spellEnd"/>
      <w:proofErr w:type="gramEnd"/>
      <w:r>
        <w:rPr>
          <w:spacing w:val="40"/>
        </w:rPr>
        <w:t xml:space="preserve"> </w:t>
      </w:r>
      <w:r>
        <w:t>PASS</w:t>
      </w:r>
      <w:r>
        <w:rPr>
          <w:spacing w:val="30"/>
        </w:rPr>
        <w:t xml:space="preserve"> </w:t>
      </w:r>
      <w:r>
        <w:t>in</w:t>
      </w:r>
      <w:r>
        <w:rPr>
          <w:spacing w:val="29"/>
        </w:rPr>
        <w:t xml:space="preserve"> </w:t>
      </w:r>
      <w:r>
        <w:t>RA</w:t>
      </w:r>
      <w:r>
        <w:rPr>
          <w:spacing w:val="35"/>
        </w:rPr>
        <w:t xml:space="preserve"> </w:t>
      </w:r>
      <w:r>
        <w:t>patients who</w:t>
      </w:r>
      <w:r>
        <w:rPr>
          <w:spacing w:val="29"/>
        </w:rPr>
        <w:t xml:space="preserve"> </w:t>
      </w:r>
      <w:r>
        <w:t>were</w:t>
      </w:r>
      <w:r>
        <w:rPr>
          <w:spacing w:val="27"/>
        </w:rPr>
        <w:t xml:space="preserve"> </w:t>
      </w:r>
      <w:r>
        <w:t>50 years or</w:t>
      </w:r>
      <w:r>
        <w:rPr>
          <w:spacing w:val="-3"/>
        </w:rPr>
        <w:t xml:space="preserve"> </w:t>
      </w:r>
      <w:r>
        <w:t>older</w:t>
      </w:r>
      <w:r>
        <w:rPr>
          <w:spacing w:val="-3"/>
        </w:rPr>
        <w:t xml:space="preserve"> </w:t>
      </w:r>
      <w:r>
        <w:t>with</w:t>
      </w:r>
      <w:r>
        <w:rPr>
          <w:spacing w:val="-14"/>
        </w:rPr>
        <w:t xml:space="preserve"> </w:t>
      </w:r>
      <w:r>
        <w:t>at least one additional</w:t>
      </w:r>
      <w:r>
        <w:rPr>
          <w:spacing w:val="-21"/>
        </w:rPr>
        <w:t xml:space="preserve"> </w:t>
      </w:r>
      <w:r>
        <w:t>cardiovascular</w:t>
      </w:r>
      <w:r>
        <w:rPr>
          <w:spacing w:val="28"/>
        </w:rPr>
        <w:t xml:space="preserve"> </w:t>
      </w:r>
      <w:r>
        <w:t>risk factor,</w:t>
      </w:r>
      <w:r>
        <w:rPr>
          <w:spacing w:val="-15"/>
        </w:rPr>
        <w:t xml:space="preserve"> </w:t>
      </w:r>
      <w:r>
        <w:t>are presented as</w:t>
      </w:r>
      <w:r>
        <w:rPr>
          <w:spacing w:val="-2"/>
        </w:rPr>
        <w:t xml:space="preserve"> </w:t>
      </w:r>
      <w:r>
        <w:t>follows:</w:t>
      </w:r>
    </w:p>
    <w:p w14:paraId="1E9334CA" w14:textId="77777777" w:rsidR="001825E2" w:rsidRDefault="000839A5" w:rsidP="00CB00A7">
      <w:pPr>
        <w:pStyle w:val="ListParagraph"/>
        <w:numPr>
          <w:ilvl w:val="0"/>
          <w:numId w:val="4"/>
        </w:numPr>
        <w:tabs>
          <w:tab w:val="left" w:pos="639"/>
        </w:tabs>
        <w:spacing w:before="237" w:line="237" w:lineRule="auto"/>
        <w:ind w:right="220"/>
        <w:jc w:val="left"/>
        <w:rPr>
          <w:sz w:val="24"/>
        </w:rPr>
      </w:pPr>
      <w:r>
        <w:rPr>
          <w:sz w:val="24"/>
        </w:rPr>
        <w:t>The IRs (95% CI) for arterial thromboembolism (ATE) for XELJANZ 5</w:t>
      </w:r>
      <w:r>
        <w:rPr>
          <w:spacing w:val="-4"/>
          <w:sz w:val="24"/>
        </w:rPr>
        <w:t xml:space="preserve"> </w:t>
      </w:r>
      <w:r>
        <w:rPr>
          <w:sz w:val="24"/>
        </w:rPr>
        <w:t>mg twice daily, XELJANZ 10 mg twice daily, all XELJANZ (combines 5 mg twice daily and 10 mg twice daily treatment</w:t>
      </w:r>
      <w:r>
        <w:rPr>
          <w:spacing w:val="18"/>
          <w:sz w:val="24"/>
        </w:rPr>
        <w:t xml:space="preserve"> </w:t>
      </w:r>
      <w:r>
        <w:rPr>
          <w:sz w:val="24"/>
        </w:rPr>
        <w:t>arms) and</w:t>
      </w:r>
      <w:r>
        <w:rPr>
          <w:spacing w:val="25"/>
          <w:sz w:val="24"/>
        </w:rPr>
        <w:t xml:space="preserve"> </w:t>
      </w:r>
      <w:r>
        <w:rPr>
          <w:sz w:val="24"/>
        </w:rPr>
        <w:t>TNF inhibitor were 0.92</w:t>
      </w:r>
      <w:r>
        <w:rPr>
          <w:spacing w:val="25"/>
          <w:sz w:val="24"/>
        </w:rPr>
        <w:t xml:space="preserve"> </w:t>
      </w:r>
      <w:r>
        <w:rPr>
          <w:sz w:val="24"/>
        </w:rPr>
        <w:t>(0.68, 1.22), 0.94 (0.68, 1.25),</w:t>
      </w:r>
    </w:p>
    <w:p w14:paraId="105CE062" w14:textId="77777777" w:rsidR="001825E2" w:rsidRDefault="000839A5" w:rsidP="00CB00A7">
      <w:pPr>
        <w:pStyle w:val="BodyText"/>
        <w:spacing w:before="11" w:line="235" w:lineRule="auto"/>
        <w:ind w:left="639" w:right="218"/>
        <w:jc w:val="left"/>
      </w:pPr>
      <w:r>
        <w:t>0.93</w:t>
      </w:r>
      <w:r>
        <w:rPr>
          <w:spacing w:val="-2"/>
        </w:rPr>
        <w:t xml:space="preserve"> </w:t>
      </w:r>
      <w:r>
        <w:t>(0.75,</w:t>
      </w:r>
      <w:r>
        <w:rPr>
          <w:spacing w:val="-2"/>
        </w:rPr>
        <w:t xml:space="preserve"> </w:t>
      </w:r>
      <w:r>
        <w:t>1.14), and 0.82 (0.59, 1.12) patients with events per 100</w:t>
      </w:r>
      <w:r>
        <w:rPr>
          <w:spacing w:val="40"/>
        </w:rPr>
        <w:t xml:space="preserve"> </w:t>
      </w:r>
      <w:r>
        <w:t>patient-years, respectively.</w:t>
      </w:r>
      <w:r>
        <w:rPr>
          <w:spacing w:val="-2"/>
        </w:rPr>
        <w:t xml:space="preserve"> </w:t>
      </w:r>
      <w:r>
        <w:t>Compared with</w:t>
      </w:r>
      <w:r>
        <w:rPr>
          <w:spacing w:val="-2"/>
        </w:rPr>
        <w:t xml:space="preserve"> </w:t>
      </w:r>
      <w:r>
        <w:t>TNF</w:t>
      </w:r>
      <w:r>
        <w:rPr>
          <w:spacing w:val="-1"/>
        </w:rPr>
        <w:t xml:space="preserve"> </w:t>
      </w:r>
      <w:r>
        <w:t>inhibitor,</w:t>
      </w:r>
      <w:r>
        <w:rPr>
          <w:spacing w:val="-2"/>
        </w:rPr>
        <w:t xml:space="preserve"> </w:t>
      </w:r>
      <w:r>
        <w:t>the</w:t>
      </w:r>
      <w:r>
        <w:rPr>
          <w:spacing w:val="-4"/>
        </w:rPr>
        <w:t xml:space="preserve"> </w:t>
      </w:r>
      <w:r>
        <w:t>HR (95%</w:t>
      </w:r>
      <w:r>
        <w:rPr>
          <w:spacing w:val="-7"/>
        </w:rPr>
        <w:t xml:space="preserve"> </w:t>
      </w:r>
      <w:r>
        <w:t>CI)</w:t>
      </w:r>
      <w:r>
        <w:rPr>
          <w:spacing w:val="-7"/>
        </w:rPr>
        <w:t xml:space="preserve"> </w:t>
      </w:r>
      <w:r>
        <w:t>for</w:t>
      </w:r>
      <w:r>
        <w:rPr>
          <w:spacing w:val="-7"/>
        </w:rPr>
        <w:t xml:space="preserve"> </w:t>
      </w:r>
      <w:r>
        <w:t>ATE with</w:t>
      </w:r>
      <w:r>
        <w:rPr>
          <w:spacing w:val="-2"/>
        </w:rPr>
        <w:t xml:space="preserve"> </w:t>
      </w:r>
      <w:r>
        <w:t>XELJANZ 5 mg</w:t>
      </w:r>
      <w:r>
        <w:rPr>
          <w:spacing w:val="-1"/>
        </w:rPr>
        <w:t xml:space="preserve"> </w:t>
      </w:r>
      <w:r>
        <w:t>twice</w:t>
      </w:r>
      <w:r>
        <w:rPr>
          <w:spacing w:val="-1"/>
        </w:rPr>
        <w:t xml:space="preserve"> </w:t>
      </w:r>
      <w:r>
        <w:t>daily,</w:t>
      </w:r>
      <w:r>
        <w:rPr>
          <w:spacing w:val="1"/>
        </w:rPr>
        <w:t xml:space="preserve"> </w:t>
      </w:r>
      <w:r>
        <w:t>XELJANZ</w:t>
      </w:r>
      <w:r>
        <w:rPr>
          <w:spacing w:val="4"/>
        </w:rPr>
        <w:t xml:space="preserve"> </w:t>
      </w:r>
      <w:r>
        <w:t>10</w:t>
      </w:r>
      <w:r>
        <w:rPr>
          <w:spacing w:val="1"/>
        </w:rPr>
        <w:t xml:space="preserve"> </w:t>
      </w:r>
      <w:r>
        <w:t>mg</w:t>
      </w:r>
      <w:r>
        <w:rPr>
          <w:spacing w:val="1"/>
        </w:rPr>
        <w:t xml:space="preserve"> </w:t>
      </w:r>
      <w:r>
        <w:t>twice daily,</w:t>
      </w:r>
      <w:r>
        <w:rPr>
          <w:spacing w:val="16"/>
        </w:rPr>
        <w:t xml:space="preserve"> </w:t>
      </w:r>
      <w:r>
        <w:t>and</w:t>
      </w:r>
      <w:r>
        <w:rPr>
          <w:spacing w:val="17"/>
        </w:rPr>
        <w:t xml:space="preserve"> </w:t>
      </w:r>
      <w:r>
        <w:t>all</w:t>
      </w:r>
      <w:r>
        <w:rPr>
          <w:spacing w:val="9"/>
        </w:rPr>
        <w:t xml:space="preserve"> </w:t>
      </w:r>
      <w:r>
        <w:t>XELJANZ</w:t>
      </w:r>
      <w:r>
        <w:rPr>
          <w:spacing w:val="4"/>
        </w:rPr>
        <w:t xml:space="preserve"> </w:t>
      </w:r>
      <w:r>
        <w:t>were</w:t>
      </w:r>
      <w:r>
        <w:rPr>
          <w:spacing w:val="-1"/>
        </w:rPr>
        <w:t xml:space="preserve"> </w:t>
      </w:r>
      <w:r>
        <w:t>1.12</w:t>
      </w:r>
      <w:r>
        <w:rPr>
          <w:spacing w:val="1"/>
        </w:rPr>
        <w:t xml:space="preserve"> </w:t>
      </w:r>
      <w:r>
        <w:t>(0.74,</w:t>
      </w:r>
      <w:r>
        <w:rPr>
          <w:spacing w:val="2"/>
        </w:rPr>
        <w:t xml:space="preserve"> </w:t>
      </w:r>
      <w:r>
        <w:rPr>
          <w:spacing w:val="-2"/>
        </w:rPr>
        <w:t>1.70),</w:t>
      </w:r>
    </w:p>
    <w:p w14:paraId="5618CF84" w14:textId="77777777" w:rsidR="001825E2" w:rsidRDefault="000839A5" w:rsidP="00CB00A7">
      <w:pPr>
        <w:pStyle w:val="BodyText"/>
        <w:spacing w:before="9"/>
        <w:ind w:left="639"/>
        <w:jc w:val="left"/>
      </w:pPr>
      <w:r>
        <w:t>1.14</w:t>
      </w:r>
      <w:r>
        <w:rPr>
          <w:spacing w:val="-3"/>
        </w:rPr>
        <w:t xml:space="preserve"> </w:t>
      </w:r>
      <w:r>
        <w:t>(0.75,</w:t>
      </w:r>
      <w:r>
        <w:rPr>
          <w:spacing w:val="-3"/>
        </w:rPr>
        <w:t xml:space="preserve"> </w:t>
      </w:r>
      <w:r>
        <w:t>1.74),</w:t>
      </w:r>
      <w:r>
        <w:rPr>
          <w:spacing w:val="11"/>
        </w:rPr>
        <w:t xml:space="preserve"> </w:t>
      </w:r>
      <w:r>
        <w:t>and</w:t>
      </w:r>
      <w:r>
        <w:rPr>
          <w:spacing w:val="-3"/>
        </w:rPr>
        <w:t xml:space="preserve"> </w:t>
      </w:r>
      <w:r>
        <w:t>1.13</w:t>
      </w:r>
      <w:r>
        <w:rPr>
          <w:spacing w:val="-3"/>
        </w:rPr>
        <w:t xml:space="preserve"> </w:t>
      </w:r>
      <w:r>
        <w:t>(0.78,</w:t>
      </w:r>
      <w:r>
        <w:rPr>
          <w:spacing w:val="-3"/>
        </w:rPr>
        <w:t xml:space="preserve"> </w:t>
      </w:r>
      <w:r>
        <w:t>1.63),</w:t>
      </w:r>
      <w:r>
        <w:rPr>
          <w:spacing w:val="12"/>
        </w:rPr>
        <w:t xml:space="preserve"> </w:t>
      </w:r>
      <w:r>
        <w:rPr>
          <w:spacing w:val="-2"/>
        </w:rPr>
        <w:t>respectively.</w:t>
      </w:r>
    </w:p>
    <w:p w14:paraId="10DDD279" w14:textId="77777777" w:rsidR="001825E2" w:rsidRDefault="001825E2" w:rsidP="00CB00A7">
      <w:pPr>
        <w:sectPr w:rsidR="001825E2">
          <w:pgSz w:w="11910" w:h="16850"/>
          <w:pgMar w:top="1360" w:right="1220" w:bottom="980" w:left="1220" w:header="0" w:footer="785" w:gutter="0"/>
          <w:cols w:space="720"/>
        </w:sectPr>
      </w:pPr>
    </w:p>
    <w:p w14:paraId="28E0256E" w14:textId="77777777" w:rsidR="001825E2" w:rsidRDefault="000839A5" w:rsidP="00CB00A7">
      <w:pPr>
        <w:pStyle w:val="Heading4"/>
        <w:spacing w:before="76"/>
        <w:jc w:val="left"/>
      </w:pPr>
      <w:bookmarkStart w:id="49" w:name="Major_Adverse_Cardiovascular_Events_(MAC"/>
      <w:bookmarkStart w:id="50" w:name="Malignancies_excluding_NMSC"/>
      <w:bookmarkEnd w:id="49"/>
      <w:bookmarkEnd w:id="50"/>
      <w:r>
        <w:lastRenderedPageBreak/>
        <w:t>Major</w:t>
      </w:r>
      <w:r>
        <w:rPr>
          <w:spacing w:val="-4"/>
        </w:rPr>
        <w:t xml:space="preserve"> </w:t>
      </w:r>
      <w:r>
        <w:t>Adverse</w:t>
      </w:r>
      <w:r>
        <w:rPr>
          <w:spacing w:val="-12"/>
        </w:rPr>
        <w:t xml:space="preserve"> </w:t>
      </w:r>
      <w:r>
        <w:t>Cardiovascular</w:t>
      </w:r>
      <w:r>
        <w:rPr>
          <w:spacing w:val="10"/>
        </w:rPr>
        <w:t xml:space="preserve"> </w:t>
      </w:r>
      <w:r>
        <w:t>Events</w:t>
      </w:r>
      <w:r>
        <w:rPr>
          <w:spacing w:val="-14"/>
        </w:rPr>
        <w:t xml:space="preserve"> </w:t>
      </w:r>
      <w:r>
        <w:t>(MACE),</w:t>
      </w:r>
      <w:r>
        <w:rPr>
          <w:spacing w:val="-10"/>
        </w:rPr>
        <w:t xml:space="preserve"> </w:t>
      </w:r>
      <w:r>
        <w:t>including</w:t>
      </w:r>
      <w:r>
        <w:rPr>
          <w:spacing w:val="1"/>
        </w:rPr>
        <w:t xml:space="preserve"> </w:t>
      </w:r>
      <w:r>
        <w:t>Myocardial</w:t>
      </w:r>
      <w:r>
        <w:rPr>
          <w:spacing w:val="9"/>
        </w:rPr>
        <w:t xml:space="preserve"> </w:t>
      </w:r>
      <w:r>
        <w:rPr>
          <w:spacing w:val="-2"/>
        </w:rPr>
        <w:t>Infarction</w:t>
      </w:r>
    </w:p>
    <w:p w14:paraId="3A08ACA7" w14:textId="77777777" w:rsidR="001825E2" w:rsidRDefault="000839A5" w:rsidP="00CB00A7">
      <w:pPr>
        <w:spacing w:before="114"/>
        <w:ind w:left="220"/>
        <w:rPr>
          <w:i/>
          <w:sz w:val="24"/>
        </w:rPr>
      </w:pPr>
      <w:r>
        <w:rPr>
          <w:i/>
          <w:sz w:val="24"/>
          <w:u w:val="single"/>
        </w:rPr>
        <w:t>Rheumatoid</w:t>
      </w:r>
      <w:r>
        <w:rPr>
          <w:i/>
          <w:spacing w:val="-7"/>
          <w:sz w:val="24"/>
          <w:u w:val="single"/>
        </w:rPr>
        <w:t xml:space="preserve"> </w:t>
      </w:r>
      <w:r>
        <w:rPr>
          <w:i/>
          <w:spacing w:val="-2"/>
          <w:sz w:val="24"/>
          <w:u w:val="single"/>
        </w:rPr>
        <w:t>Arthritis</w:t>
      </w:r>
    </w:p>
    <w:p w14:paraId="79D44547" w14:textId="77777777" w:rsidR="001825E2" w:rsidRDefault="000839A5" w:rsidP="00CB00A7">
      <w:pPr>
        <w:pStyle w:val="BodyText"/>
        <w:spacing w:before="133" w:line="235" w:lineRule="auto"/>
        <w:ind w:left="219"/>
        <w:jc w:val="left"/>
      </w:pPr>
      <w:r>
        <w:t>Results</w:t>
      </w:r>
      <w:r>
        <w:rPr>
          <w:spacing w:val="25"/>
        </w:rPr>
        <w:t xml:space="preserve"> </w:t>
      </w:r>
      <w:r>
        <w:t>from</w:t>
      </w:r>
      <w:r>
        <w:rPr>
          <w:spacing w:val="22"/>
        </w:rPr>
        <w:t xml:space="preserve"> </w:t>
      </w:r>
      <w:r>
        <w:t>final</w:t>
      </w:r>
      <w:r>
        <w:rPr>
          <w:spacing w:val="22"/>
        </w:rPr>
        <w:t xml:space="preserve"> </w:t>
      </w:r>
      <w:r>
        <w:t>safety data from</w:t>
      </w:r>
      <w:r>
        <w:rPr>
          <w:spacing w:val="22"/>
        </w:rPr>
        <w:t xml:space="preserve"> </w:t>
      </w:r>
      <w:r>
        <w:t>a</w:t>
      </w:r>
      <w:r>
        <w:rPr>
          <w:spacing w:val="27"/>
        </w:rPr>
        <w:t xml:space="preserve"> </w:t>
      </w:r>
      <w:proofErr w:type="gramStart"/>
      <w:r>
        <w:t>large</w:t>
      </w:r>
      <w:r>
        <w:rPr>
          <w:spacing w:val="27"/>
        </w:rPr>
        <w:t xml:space="preserve"> </w:t>
      </w:r>
      <w:proofErr w:type="spellStart"/>
      <w:r>
        <w:t>randomised</w:t>
      </w:r>
      <w:proofErr w:type="spellEnd"/>
      <w:proofErr w:type="gramEnd"/>
      <w:r>
        <w:rPr>
          <w:spacing w:val="40"/>
        </w:rPr>
        <w:t xml:space="preserve"> </w:t>
      </w:r>
      <w:r>
        <w:t>PASS</w:t>
      </w:r>
      <w:r>
        <w:rPr>
          <w:spacing w:val="30"/>
        </w:rPr>
        <w:t xml:space="preserve"> </w:t>
      </w:r>
      <w:r>
        <w:t>in</w:t>
      </w:r>
      <w:r>
        <w:rPr>
          <w:spacing w:val="29"/>
        </w:rPr>
        <w:t xml:space="preserve"> </w:t>
      </w:r>
      <w:r>
        <w:t>RA</w:t>
      </w:r>
      <w:r>
        <w:rPr>
          <w:spacing w:val="35"/>
        </w:rPr>
        <w:t xml:space="preserve"> </w:t>
      </w:r>
      <w:r>
        <w:t>patients who</w:t>
      </w:r>
      <w:r>
        <w:rPr>
          <w:spacing w:val="29"/>
        </w:rPr>
        <w:t xml:space="preserve"> </w:t>
      </w:r>
      <w:r>
        <w:t>were</w:t>
      </w:r>
      <w:r>
        <w:rPr>
          <w:spacing w:val="27"/>
        </w:rPr>
        <w:t xml:space="preserve"> </w:t>
      </w:r>
      <w:r>
        <w:t>50 years or</w:t>
      </w:r>
      <w:r>
        <w:rPr>
          <w:spacing w:val="-3"/>
        </w:rPr>
        <w:t xml:space="preserve"> </w:t>
      </w:r>
      <w:r>
        <w:t>older</w:t>
      </w:r>
      <w:r>
        <w:rPr>
          <w:spacing w:val="-3"/>
        </w:rPr>
        <w:t xml:space="preserve"> </w:t>
      </w:r>
      <w:r>
        <w:t>with</w:t>
      </w:r>
      <w:r>
        <w:rPr>
          <w:spacing w:val="-14"/>
        </w:rPr>
        <w:t xml:space="preserve"> </w:t>
      </w:r>
      <w:r>
        <w:t>at least one additional</w:t>
      </w:r>
      <w:r>
        <w:rPr>
          <w:spacing w:val="-21"/>
        </w:rPr>
        <w:t xml:space="preserve"> </w:t>
      </w:r>
      <w:r>
        <w:t>cardiovascular</w:t>
      </w:r>
      <w:r>
        <w:rPr>
          <w:spacing w:val="28"/>
        </w:rPr>
        <w:t xml:space="preserve"> </w:t>
      </w:r>
      <w:r>
        <w:t>risk factor,</w:t>
      </w:r>
      <w:r>
        <w:rPr>
          <w:spacing w:val="-15"/>
        </w:rPr>
        <w:t xml:space="preserve"> </w:t>
      </w:r>
      <w:r>
        <w:t>are presented as</w:t>
      </w:r>
      <w:r>
        <w:rPr>
          <w:spacing w:val="-2"/>
        </w:rPr>
        <w:t xml:space="preserve"> </w:t>
      </w:r>
      <w:r>
        <w:t>follows:</w:t>
      </w:r>
    </w:p>
    <w:p w14:paraId="5F72A0FD" w14:textId="77777777" w:rsidR="001825E2" w:rsidRDefault="000839A5" w:rsidP="00CB00A7">
      <w:pPr>
        <w:pStyle w:val="ListParagraph"/>
        <w:numPr>
          <w:ilvl w:val="0"/>
          <w:numId w:val="4"/>
        </w:numPr>
        <w:tabs>
          <w:tab w:val="left" w:pos="638"/>
        </w:tabs>
        <w:spacing w:before="254" w:line="235" w:lineRule="auto"/>
        <w:ind w:left="638" w:right="204"/>
        <w:jc w:val="left"/>
        <w:rPr>
          <w:sz w:val="24"/>
        </w:rPr>
      </w:pPr>
      <w:r>
        <w:rPr>
          <w:sz w:val="24"/>
        </w:rPr>
        <w:t>MACE includes non-fatal myocardial infarction, non-fatal stroke, and cardiovascular deaths excluding fatal pulmonary embolism. The IRs (95% CI) for MACE for</w:t>
      </w:r>
      <w:r>
        <w:rPr>
          <w:spacing w:val="80"/>
          <w:sz w:val="24"/>
        </w:rPr>
        <w:t xml:space="preserve"> </w:t>
      </w:r>
      <w:r>
        <w:rPr>
          <w:sz w:val="24"/>
        </w:rPr>
        <w:t>XELJANZ 5 mg twice daily, XELJANZ 10 mg twice daily, all XELJANZ (combines 5 mg twice daily and 10</w:t>
      </w:r>
      <w:r>
        <w:rPr>
          <w:spacing w:val="-4"/>
          <w:sz w:val="24"/>
        </w:rPr>
        <w:t xml:space="preserve"> </w:t>
      </w:r>
      <w:r>
        <w:rPr>
          <w:sz w:val="24"/>
        </w:rPr>
        <w:t>mg twice daily treatment arms), and TNF inhibitor were 0.91 (0.67,</w:t>
      </w:r>
      <w:r>
        <w:rPr>
          <w:spacing w:val="55"/>
          <w:sz w:val="24"/>
        </w:rPr>
        <w:t xml:space="preserve"> </w:t>
      </w:r>
      <w:r>
        <w:rPr>
          <w:sz w:val="24"/>
        </w:rPr>
        <w:t>1.21),</w:t>
      </w:r>
      <w:r>
        <w:rPr>
          <w:spacing w:val="55"/>
          <w:sz w:val="24"/>
        </w:rPr>
        <w:t xml:space="preserve"> </w:t>
      </w:r>
      <w:r>
        <w:rPr>
          <w:sz w:val="24"/>
        </w:rPr>
        <w:t>1.05</w:t>
      </w:r>
      <w:r>
        <w:rPr>
          <w:spacing w:val="-3"/>
          <w:sz w:val="24"/>
        </w:rPr>
        <w:t xml:space="preserve"> </w:t>
      </w:r>
      <w:r>
        <w:rPr>
          <w:sz w:val="24"/>
        </w:rPr>
        <w:t>(0.78,</w:t>
      </w:r>
      <w:r>
        <w:rPr>
          <w:spacing w:val="-3"/>
          <w:sz w:val="24"/>
        </w:rPr>
        <w:t xml:space="preserve"> </w:t>
      </w:r>
      <w:r>
        <w:rPr>
          <w:sz w:val="24"/>
        </w:rPr>
        <w:t>1.38),</w:t>
      </w:r>
      <w:r>
        <w:rPr>
          <w:spacing w:val="55"/>
          <w:sz w:val="24"/>
        </w:rPr>
        <w:t xml:space="preserve"> </w:t>
      </w:r>
      <w:r>
        <w:rPr>
          <w:sz w:val="24"/>
        </w:rPr>
        <w:t>0.98</w:t>
      </w:r>
      <w:r>
        <w:rPr>
          <w:spacing w:val="55"/>
          <w:sz w:val="24"/>
        </w:rPr>
        <w:t xml:space="preserve"> </w:t>
      </w:r>
      <w:r>
        <w:rPr>
          <w:sz w:val="24"/>
        </w:rPr>
        <w:t>(0.79,</w:t>
      </w:r>
      <w:r>
        <w:rPr>
          <w:spacing w:val="55"/>
          <w:sz w:val="24"/>
        </w:rPr>
        <w:t xml:space="preserve"> </w:t>
      </w:r>
      <w:r>
        <w:rPr>
          <w:sz w:val="24"/>
        </w:rPr>
        <w:t>1.19),</w:t>
      </w:r>
      <w:r>
        <w:rPr>
          <w:spacing w:val="55"/>
          <w:sz w:val="24"/>
        </w:rPr>
        <w:t xml:space="preserve"> </w:t>
      </w:r>
      <w:r>
        <w:rPr>
          <w:sz w:val="24"/>
        </w:rPr>
        <w:t>and</w:t>
      </w:r>
      <w:r>
        <w:rPr>
          <w:spacing w:val="69"/>
          <w:sz w:val="24"/>
        </w:rPr>
        <w:t xml:space="preserve"> </w:t>
      </w:r>
      <w:r>
        <w:rPr>
          <w:sz w:val="24"/>
        </w:rPr>
        <w:t>0.73</w:t>
      </w:r>
      <w:r>
        <w:rPr>
          <w:spacing w:val="55"/>
          <w:sz w:val="24"/>
        </w:rPr>
        <w:t xml:space="preserve"> </w:t>
      </w:r>
      <w:r>
        <w:rPr>
          <w:sz w:val="24"/>
        </w:rPr>
        <w:t>(0.52,</w:t>
      </w:r>
      <w:r>
        <w:rPr>
          <w:spacing w:val="55"/>
          <w:sz w:val="24"/>
        </w:rPr>
        <w:t xml:space="preserve"> </w:t>
      </w:r>
      <w:r>
        <w:rPr>
          <w:sz w:val="24"/>
        </w:rPr>
        <w:t>1.01)</w:t>
      </w:r>
      <w:r>
        <w:rPr>
          <w:spacing w:val="40"/>
          <w:sz w:val="24"/>
        </w:rPr>
        <w:t xml:space="preserve"> </w:t>
      </w:r>
      <w:r>
        <w:rPr>
          <w:sz w:val="24"/>
        </w:rPr>
        <w:t>patients</w:t>
      </w:r>
      <w:r>
        <w:rPr>
          <w:spacing w:val="40"/>
          <w:sz w:val="24"/>
        </w:rPr>
        <w:t xml:space="preserve"> </w:t>
      </w:r>
      <w:r>
        <w:rPr>
          <w:sz w:val="24"/>
        </w:rPr>
        <w:t>with</w:t>
      </w:r>
    </w:p>
    <w:p w14:paraId="4B96EED7" w14:textId="77777777" w:rsidR="001825E2" w:rsidRDefault="000839A5" w:rsidP="00CB00A7">
      <w:pPr>
        <w:pStyle w:val="BodyText"/>
        <w:spacing w:before="17" w:line="235" w:lineRule="auto"/>
        <w:ind w:left="638" w:right="200"/>
        <w:jc w:val="left"/>
      </w:pPr>
      <w:r>
        <w:t>events per 100</w:t>
      </w:r>
      <w:r>
        <w:rPr>
          <w:spacing w:val="-2"/>
        </w:rPr>
        <w:t xml:space="preserve"> </w:t>
      </w:r>
      <w:r>
        <w:t>patient-years, respectively. Compared with TNF inhibitor, the HRs (95% CI) for XELJANZ 5 mg twice daily, XELJANZ 10 mg twice daily, and all XELJANZ were 1.24 (0.81, 1.91), 1.43 (0.94, 2.18), and 1.33 (0.91, 1.94), respectively.</w:t>
      </w:r>
    </w:p>
    <w:p w14:paraId="78557B47" w14:textId="77777777" w:rsidR="001825E2" w:rsidRDefault="000839A5" w:rsidP="00CB00A7">
      <w:pPr>
        <w:pStyle w:val="ListParagraph"/>
        <w:numPr>
          <w:ilvl w:val="0"/>
          <w:numId w:val="4"/>
        </w:numPr>
        <w:tabs>
          <w:tab w:val="left" w:pos="637"/>
        </w:tabs>
        <w:spacing w:before="249"/>
        <w:ind w:left="637" w:right="205"/>
        <w:jc w:val="left"/>
        <w:rPr>
          <w:sz w:val="24"/>
        </w:rPr>
      </w:pPr>
      <w:r>
        <w:rPr>
          <w:sz w:val="24"/>
        </w:rPr>
        <w:t xml:space="preserve">In the XELJANZ 5 mg twice daily, XELJANZ 10 mg twice daily, all XELJANZ, and </w:t>
      </w:r>
      <w:proofErr w:type="spellStart"/>
      <w:r>
        <w:rPr>
          <w:sz w:val="24"/>
        </w:rPr>
        <w:t>TNFi</w:t>
      </w:r>
      <w:proofErr w:type="spellEnd"/>
      <w:r>
        <w:rPr>
          <w:sz w:val="24"/>
        </w:rPr>
        <w:t xml:space="preserve"> treatment arms, there were a total of 19, 19, 38, and 11 patients with MI events, respectively. Of these</w:t>
      </w:r>
      <w:r>
        <w:rPr>
          <w:spacing w:val="-1"/>
          <w:sz w:val="24"/>
        </w:rPr>
        <w:t xml:space="preserve"> </w:t>
      </w:r>
      <w:r>
        <w:rPr>
          <w:sz w:val="24"/>
        </w:rPr>
        <w:t>totals, the</w:t>
      </w:r>
      <w:r>
        <w:rPr>
          <w:spacing w:val="-1"/>
          <w:sz w:val="24"/>
        </w:rPr>
        <w:t xml:space="preserve"> </w:t>
      </w:r>
      <w:r>
        <w:rPr>
          <w:sz w:val="24"/>
        </w:rPr>
        <w:t>number of patients</w:t>
      </w:r>
      <w:r>
        <w:rPr>
          <w:spacing w:val="-2"/>
          <w:sz w:val="24"/>
        </w:rPr>
        <w:t xml:space="preserve"> </w:t>
      </w:r>
      <w:r>
        <w:rPr>
          <w:sz w:val="24"/>
        </w:rPr>
        <w:t>with fatal</w:t>
      </w:r>
      <w:r>
        <w:rPr>
          <w:spacing w:val="-6"/>
          <w:sz w:val="24"/>
        </w:rPr>
        <w:t xml:space="preserve"> </w:t>
      </w:r>
      <w:r>
        <w:rPr>
          <w:sz w:val="24"/>
        </w:rPr>
        <w:t>MI events</w:t>
      </w:r>
      <w:r>
        <w:rPr>
          <w:spacing w:val="-3"/>
          <w:sz w:val="24"/>
        </w:rPr>
        <w:t xml:space="preserve"> </w:t>
      </w:r>
      <w:r>
        <w:rPr>
          <w:sz w:val="24"/>
        </w:rPr>
        <w:t>was</w:t>
      </w:r>
      <w:r>
        <w:rPr>
          <w:spacing w:val="-3"/>
          <w:sz w:val="24"/>
        </w:rPr>
        <w:t xml:space="preserve"> </w:t>
      </w:r>
      <w:r>
        <w:rPr>
          <w:sz w:val="24"/>
        </w:rPr>
        <w:t>0, 3, 3, and 3, respectively, whereas the number of patients</w:t>
      </w:r>
      <w:r>
        <w:rPr>
          <w:spacing w:val="-7"/>
          <w:sz w:val="24"/>
        </w:rPr>
        <w:t xml:space="preserve"> </w:t>
      </w:r>
      <w:r>
        <w:rPr>
          <w:sz w:val="24"/>
        </w:rPr>
        <w:t>with non-fatal MI events</w:t>
      </w:r>
      <w:r>
        <w:rPr>
          <w:spacing w:val="-7"/>
          <w:sz w:val="24"/>
        </w:rPr>
        <w:t xml:space="preserve"> </w:t>
      </w:r>
      <w:r>
        <w:rPr>
          <w:sz w:val="24"/>
        </w:rPr>
        <w:t>was 19, 16, 35, and</w:t>
      </w:r>
      <w:r>
        <w:rPr>
          <w:spacing w:val="40"/>
          <w:sz w:val="24"/>
        </w:rPr>
        <w:t xml:space="preserve"> </w:t>
      </w:r>
      <w:r>
        <w:rPr>
          <w:sz w:val="24"/>
        </w:rPr>
        <w:t>8, respectively. Therefore, the IRs that follow</w:t>
      </w:r>
      <w:r>
        <w:rPr>
          <w:spacing w:val="32"/>
          <w:sz w:val="24"/>
        </w:rPr>
        <w:t xml:space="preserve"> </w:t>
      </w:r>
      <w:r>
        <w:rPr>
          <w:sz w:val="24"/>
        </w:rPr>
        <w:t>are for non-fatal MI. The IRs (95% CI) for non-fatal MI for XELJANZ 5 mg twice</w:t>
      </w:r>
      <w:r>
        <w:rPr>
          <w:spacing w:val="-1"/>
          <w:sz w:val="24"/>
        </w:rPr>
        <w:t xml:space="preserve"> </w:t>
      </w:r>
      <w:r>
        <w:rPr>
          <w:sz w:val="24"/>
        </w:rPr>
        <w:t>daily, XELJANZ 10 mg twice daily, all XELJANZ (combines 5</w:t>
      </w:r>
      <w:r>
        <w:rPr>
          <w:spacing w:val="-1"/>
          <w:sz w:val="24"/>
        </w:rPr>
        <w:t xml:space="preserve"> </w:t>
      </w:r>
      <w:r>
        <w:rPr>
          <w:sz w:val="24"/>
        </w:rPr>
        <w:t>mg twice</w:t>
      </w:r>
      <w:r>
        <w:rPr>
          <w:spacing w:val="-3"/>
          <w:sz w:val="24"/>
        </w:rPr>
        <w:t xml:space="preserve"> </w:t>
      </w:r>
      <w:r>
        <w:rPr>
          <w:sz w:val="24"/>
        </w:rPr>
        <w:t>daily</w:t>
      </w:r>
      <w:r>
        <w:rPr>
          <w:spacing w:val="-1"/>
          <w:sz w:val="24"/>
        </w:rPr>
        <w:t xml:space="preserve"> </w:t>
      </w:r>
      <w:r>
        <w:rPr>
          <w:sz w:val="24"/>
        </w:rPr>
        <w:t>and 10 mg</w:t>
      </w:r>
      <w:r>
        <w:rPr>
          <w:spacing w:val="-1"/>
          <w:sz w:val="24"/>
        </w:rPr>
        <w:t xml:space="preserve"> </w:t>
      </w:r>
      <w:r>
        <w:rPr>
          <w:sz w:val="24"/>
        </w:rPr>
        <w:t>twice</w:t>
      </w:r>
      <w:r>
        <w:rPr>
          <w:spacing w:val="-3"/>
          <w:sz w:val="24"/>
        </w:rPr>
        <w:t xml:space="preserve"> </w:t>
      </w:r>
      <w:r>
        <w:rPr>
          <w:sz w:val="24"/>
        </w:rPr>
        <w:t>daily</w:t>
      </w:r>
      <w:r>
        <w:rPr>
          <w:spacing w:val="-1"/>
          <w:sz w:val="24"/>
        </w:rPr>
        <w:t xml:space="preserve"> </w:t>
      </w:r>
      <w:r>
        <w:rPr>
          <w:sz w:val="24"/>
        </w:rPr>
        <w:t>treatment arms),</w:t>
      </w:r>
      <w:r>
        <w:rPr>
          <w:spacing w:val="-1"/>
          <w:sz w:val="24"/>
        </w:rPr>
        <w:t xml:space="preserve"> </w:t>
      </w:r>
      <w:r>
        <w:rPr>
          <w:sz w:val="24"/>
        </w:rPr>
        <w:t>a</w:t>
      </w:r>
      <w:r>
        <w:rPr>
          <w:sz w:val="24"/>
        </w:rPr>
        <w:t>nd TNF inhibitor</w:t>
      </w:r>
      <w:r>
        <w:rPr>
          <w:spacing w:val="-9"/>
          <w:sz w:val="24"/>
        </w:rPr>
        <w:t xml:space="preserve"> </w:t>
      </w:r>
      <w:r>
        <w:rPr>
          <w:sz w:val="24"/>
        </w:rPr>
        <w:t>were</w:t>
      </w:r>
      <w:r>
        <w:rPr>
          <w:spacing w:val="-6"/>
          <w:sz w:val="24"/>
        </w:rPr>
        <w:t xml:space="preserve"> </w:t>
      </w:r>
      <w:r>
        <w:rPr>
          <w:sz w:val="24"/>
        </w:rPr>
        <w:t>0.37 (0.22,</w:t>
      </w:r>
      <w:r>
        <w:rPr>
          <w:spacing w:val="-4"/>
          <w:sz w:val="24"/>
        </w:rPr>
        <w:t xml:space="preserve"> </w:t>
      </w:r>
      <w:r>
        <w:rPr>
          <w:sz w:val="24"/>
        </w:rPr>
        <w:t>0.57),</w:t>
      </w:r>
      <w:r>
        <w:rPr>
          <w:spacing w:val="-4"/>
          <w:sz w:val="24"/>
        </w:rPr>
        <w:t xml:space="preserve"> </w:t>
      </w:r>
      <w:r>
        <w:rPr>
          <w:sz w:val="24"/>
        </w:rPr>
        <w:t>0.33 (0.19,</w:t>
      </w:r>
      <w:r>
        <w:rPr>
          <w:spacing w:val="-4"/>
          <w:sz w:val="24"/>
        </w:rPr>
        <w:t xml:space="preserve"> </w:t>
      </w:r>
      <w:r>
        <w:rPr>
          <w:sz w:val="24"/>
        </w:rPr>
        <w:t>0.53),</w:t>
      </w:r>
      <w:r>
        <w:rPr>
          <w:spacing w:val="-4"/>
          <w:sz w:val="24"/>
        </w:rPr>
        <w:t xml:space="preserve"> </w:t>
      </w:r>
      <w:r>
        <w:rPr>
          <w:sz w:val="24"/>
        </w:rPr>
        <w:t>0.35 (0.24,</w:t>
      </w:r>
      <w:r>
        <w:rPr>
          <w:spacing w:val="-4"/>
          <w:sz w:val="24"/>
        </w:rPr>
        <w:t xml:space="preserve"> </w:t>
      </w:r>
      <w:r>
        <w:rPr>
          <w:sz w:val="24"/>
        </w:rPr>
        <w:t>0.48), and 0.16</w:t>
      </w:r>
      <w:r>
        <w:rPr>
          <w:spacing w:val="-4"/>
          <w:sz w:val="24"/>
        </w:rPr>
        <w:t xml:space="preserve"> </w:t>
      </w:r>
      <w:r>
        <w:rPr>
          <w:sz w:val="24"/>
        </w:rPr>
        <w:t>(0.07,</w:t>
      </w:r>
      <w:r>
        <w:rPr>
          <w:spacing w:val="-4"/>
          <w:sz w:val="24"/>
        </w:rPr>
        <w:t xml:space="preserve"> </w:t>
      </w:r>
      <w:r>
        <w:rPr>
          <w:sz w:val="24"/>
        </w:rPr>
        <w:t>0.31)</w:t>
      </w:r>
    </w:p>
    <w:p w14:paraId="02675672" w14:textId="77777777" w:rsidR="001825E2" w:rsidRDefault="000839A5" w:rsidP="00CB00A7">
      <w:pPr>
        <w:pStyle w:val="BodyText"/>
        <w:spacing w:line="242" w:lineRule="auto"/>
        <w:ind w:left="637" w:right="229"/>
        <w:jc w:val="left"/>
      </w:pPr>
      <w:r>
        <w:t>patients with events per 100</w:t>
      </w:r>
      <w:r>
        <w:rPr>
          <w:spacing w:val="-4"/>
        </w:rPr>
        <w:t xml:space="preserve"> </w:t>
      </w:r>
      <w:r>
        <w:t>patient-years, respectively. Compared with TNF inhibitor, the</w:t>
      </w:r>
      <w:r>
        <w:rPr>
          <w:spacing w:val="-5"/>
        </w:rPr>
        <w:t xml:space="preserve"> </w:t>
      </w:r>
      <w:r>
        <w:t>HRs</w:t>
      </w:r>
      <w:r>
        <w:rPr>
          <w:spacing w:val="-5"/>
        </w:rPr>
        <w:t xml:space="preserve"> </w:t>
      </w:r>
      <w:r>
        <w:t>(95%</w:t>
      </w:r>
      <w:r>
        <w:rPr>
          <w:spacing w:val="-6"/>
        </w:rPr>
        <w:t xml:space="preserve"> </w:t>
      </w:r>
      <w:r>
        <w:t>CI)</w:t>
      </w:r>
      <w:r>
        <w:rPr>
          <w:spacing w:val="-6"/>
        </w:rPr>
        <w:t xml:space="preserve"> </w:t>
      </w:r>
      <w:r>
        <w:t>for</w:t>
      </w:r>
      <w:r>
        <w:rPr>
          <w:spacing w:val="-6"/>
        </w:rPr>
        <w:t xml:space="preserve"> </w:t>
      </w:r>
      <w:r>
        <w:t>XELJANZ 5</w:t>
      </w:r>
      <w:r>
        <w:rPr>
          <w:spacing w:val="-1"/>
        </w:rPr>
        <w:t xml:space="preserve"> </w:t>
      </w:r>
      <w:r>
        <w:t>mg</w:t>
      </w:r>
      <w:r>
        <w:rPr>
          <w:spacing w:val="-1"/>
        </w:rPr>
        <w:t xml:space="preserve"> </w:t>
      </w:r>
      <w:r>
        <w:t>twice</w:t>
      </w:r>
      <w:r>
        <w:rPr>
          <w:spacing w:val="-3"/>
        </w:rPr>
        <w:t xml:space="preserve"> </w:t>
      </w:r>
      <w:r>
        <w:t>daily,</w:t>
      </w:r>
      <w:r>
        <w:rPr>
          <w:spacing w:val="-1"/>
        </w:rPr>
        <w:t xml:space="preserve"> </w:t>
      </w:r>
      <w:r>
        <w:t>XELJANZ 10</w:t>
      </w:r>
      <w:r>
        <w:rPr>
          <w:spacing w:val="-1"/>
        </w:rPr>
        <w:t xml:space="preserve"> </w:t>
      </w:r>
      <w:r>
        <w:t>mg</w:t>
      </w:r>
      <w:r>
        <w:rPr>
          <w:spacing w:val="-1"/>
        </w:rPr>
        <w:t xml:space="preserve"> </w:t>
      </w:r>
      <w:r>
        <w:t>twice</w:t>
      </w:r>
      <w:r>
        <w:rPr>
          <w:spacing w:val="-15"/>
        </w:rPr>
        <w:t xml:space="preserve"> </w:t>
      </w:r>
      <w:r>
        <w:t>daily,</w:t>
      </w:r>
      <w:r>
        <w:rPr>
          <w:spacing w:val="-1"/>
        </w:rPr>
        <w:t xml:space="preserve"> </w:t>
      </w:r>
      <w:r>
        <w:t>and all XELJANZ</w:t>
      </w:r>
      <w:r>
        <w:rPr>
          <w:spacing w:val="-4"/>
        </w:rPr>
        <w:t xml:space="preserve"> </w:t>
      </w:r>
      <w:r>
        <w:t>were</w:t>
      </w:r>
      <w:r>
        <w:rPr>
          <w:spacing w:val="-10"/>
        </w:rPr>
        <w:t xml:space="preserve"> </w:t>
      </w:r>
      <w:r>
        <w:t>2.32 (1.02, 5.30), 2.08 (0.89, 4.86), and 2.20 (1.02, 4.75), respectively.</w:t>
      </w:r>
    </w:p>
    <w:p w14:paraId="516C0C6F" w14:textId="77777777" w:rsidR="001825E2" w:rsidRDefault="000839A5" w:rsidP="00CB00A7">
      <w:pPr>
        <w:pStyle w:val="Heading4"/>
        <w:spacing w:before="215"/>
        <w:ind w:left="216"/>
        <w:jc w:val="left"/>
      </w:pPr>
      <w:r>
        <w:t>Malignancies</w:t>
      </w:r>
      <w:r>
        <w:rPr>
          <w:spacing w:val="3"/>
        </w:rPr>
        <w:t xml:space="preserve"> </w:t>
      </w:r>
      <w:r>
        <w:t>excluding</w:t>
      </w:r>
      <w:r>
        <w:rPr>
          <w:spacing w:val="-5"/>
        </w:rPr>
        <w:t xml:space="preserve"> </w:t>
      </w:r>
      <w:proofErr w:type="gramStart"/>
      <w:r>
        <w:rPr>
          <w:spacing w:val="-4"/>
        </w:rPr>
        <w:t>NMSC</w:t>
      </w:r>
      <w:proofErr w:type="gramEnd"/>
    </w:p>
    <w:p w14:paraId="3925E0EF" w14:textId="77777777" w:rsidR="001825E2" w:rsidRDefault="000839A5" w:rsidP="00CB00A7">
      <w:pPr>
        <w:spacing w:before="129"/>
        <w:ind w:left="220"/>
        <w:rPr>
          <w:i/>
          <w:sz w:val="24"/>
        </w:rPr>
      </w:pPr>
      <w:r>
        <w:rPr>
          <w:i/>
          <w:sz w:val="24"/>
          <w:u w:val="single"/>
        </w:rPr>
        <w:t>Rheumatoid</w:t>
      </w:r>
      <w:r>
        <w:rPr>
          <w:i/>
          <w:spacing w:val="-7"/>
          <w:sz w:val="24"/>
          <w:u w:val="single"/>
        </w:rPr>
        <w:t xml:space="preserve"> </w:t>
      </w:r>
      <w:r>
        <w:rPr>
          <w:i/>
          <w:spacing w:val="-2"/>
          <w:sz w:val="24"/>
          <w:u w:val="single"/>
        </w:rPr>
        <w:t>Arthritis</w:t>
      </w:r>
    </w:p>
    <w:p w14:paraId="7D32FCCC" w14:textId="77777777" w:rsidR="001825E2" w:rsidRDefault="000839A5" w:rsidP="00CB00A7">
      <w:pPr>
        <w:pStyle w:val="BodyText"/>
        <w:spacing w:before="118" w:line="235" w:lineRule="auto"/>
        <w:ind w:left="220"/>
        <w:jc w:val="left"/>
      </w:pPr>
      <w:r>
        <w:t>Results</w:t>
      </w:r>
      <w:r>
        <w:rPr>
          <w:spacing w:val="25"/>
        </w:rPr>
        <w:t xml:space="preserve"> </w:t>
      </w:r>
      <w:r>
        <w:t>from</w:t>
      </w:r>
      <w:r>
        <w:rPr>
          <w:spacing w:val="22"/>
        </w:rPr>
        <w:t xml:space="preserve"> </w:t>
      </w:r>
      <w:r>
        <w:t>final</w:t>
      </w:r>
      <w:r>
        <w:rPr>
          <w:spacing w:val="22"/>
        </w:rPr>
        <w:t xml:space="preserve"> </w:t>
      </w:r>
      <w:r>
        <w:t>safety data from</w:t>
      </w:r>
      <w:r>
        <w:rPr>
          <w:spacing w:val="22"/>
        </w:rPr>
        <w:t xml:space="preserve"> </w:t>
      </w:r>
      <w:r>
        <w:t>a</w:t>
      </w:r>
      <w:r>
        <w:rPr>
          <w:spacing w:val="27"/>
        </w:rPr>
        <w:t xml:space="preserve"> </w:t>
      </w:r>
      <w:proofErr w:type="gramStart"/>
      <w:r>
        <w:t>large</w:t>
      </w:r>
      <w:r>
        <w:rPr>
          <w:spacing w:val="27"/>
        </w:rPr>
        <w:t xml:space="preserve"> </w:t>
      </w:r>
      <w:proofErr w:type="spellStart"/>
      <w:r>
        <w:t>randomised</w:t>
      </w:r>
      <w:proofErr w:type="spellEnd"/>
      <w:proofErr w:type="gramEnd"/>
      <w:r>
        <w:rPr>
          <w:spacing w:val="40"/>
        </w:rPr>
        <w:t xml:space="preserve"> </w:t>
      </w:r>
      <w:r>
        <w:t>PASS</w:t>
      </w:r>
      <w:r>
        <w:rPr>
          <w:spacing w:val="30"/>
        </w:rPr>
        <w:t xml:space="preserve"> </w:t>
      </w:r>
      <w:r>
        <w:t>in</w:t>
      </w:r>
      <w:r>
        <w:rPr>
          <w:spacing w:val="29"/>
        </w:rPr>
        <w:t xml:space="preserve"> </w:t>
      </w:r>
      <w:r>
        <w:t>RA</w:t>
      </w:r>
      <w:r>
        <w:rPr>
          <w:spacing w:val="35"/>
        </w:rPr>
        <w:t xml:space="preserve"> </w:t>
      </w:r>
      <w:r>
        <w:t>patients who</w:t>
      </w:r>
      <w:r>
        <w:rPr>
          <w:spacing w:val="29"/>
        </w:rPr>
        <w:t xml:space="preserve"> </w:t>
      </w:r>
      <w:r>
        <w:t>were</w:t>
      </w:r>
      <w:r>
        <w:rPr>
          <w:spacing w:val="27"/>
        </w:rPr>
        <w:t xml:space="preserve"> </w:t>
      </w:r>
      <w:r>
        <w:t>50 years or</w:t>
      </w:r>
      <w:r>
        <w:rPr>
          <w:spacing w:val="-3"/>
        </w:rPr>
        <w:t xml:space="preserve"> </w:t>
      </w:r>
      <w:r>
        <w:t>older</w:t>
      </w:r>
      <w:r>
        <w:rPr>
          <w:spacing w:val="-3"/>
        </w:rPr>
        <w:t xml:space="preserve"> </w:t>
      </w:r>
      <w:r>
        <w:t>with</w:t>
      </w:r>
      <w:r>
        <w:rPr>
          <w:spacing w:val="-14"/>
        </w:rPr>
        <w:t xml:space="preserve"> </w:t>
      </w:r>
      <w:r>
        <w:t>at least one additional</w:t>
      </w:r>
      <w:r>
        <w:rPr>
          <w:spacing w:val="-21"/>
        </w:rPr>
        <w:t xml:space="preserve"> </w:t>
      </w:r>
      <w:r>
        <w:t>cardiovascular</w:t>
      </w:r>
      <w:r>
        <w:rPr>
          <w:spacing w:val="28"/>
        </w:rPr>
        <w:t xml:space="preserve"> </w:t>
      </w:r>
      <w:r>
        <w:t>risk factor,</w:t>
      </w:r>
      <w:r>
        <w:rPr>
          <w:spacing w:val="-15"/>
        </w:rPr>
        <w:t xml:space="preserve"> </w:t>
      </w:r>
      <w:r>
        <w:t>are presented as</w:t>
      </w:r>
      <w:r>
        <w:rPr>
          <w:spacing w:val="-2"/>
        </w:rPr>
        <w:t xml:space="preserve"> </w:t>
      </w:r>
      <w:r>
        <w:t>follows:</w:t>
      </w:r>
    </w:p>
    <w:p w14:paraId="2819255B" w14:textId="77777777" w:rsidR="001825E2" w:rsidRDefault="000839A5" w:rsidP="00CB00A7">
      <w:pPr>
        <w:pStyle w:val="ListParagraph"/>
        <w:numPr>
          <w:ilvl w:val="0"/>
          <w:numId w:val="4"/>
        </w:numPr>
        <w:tabs>
          <w:tab w:val="left" w:pos="639"/>
        </w:tabs>
        <w:spacing w:before="252" w:line="237" w:lineRule="auto"/>
        <w:ind w:right="219"/>
        <w:jc w:val="left"/>
        <w:rPr>
          <w:sz w:val="24"/>
        </w:rPr>
      </w:pPr>
      <w:r>
        <w:rPr>
          <w:sz w:val="24"/>
        </w:rPr>
        <w:t>The IRs (95% CI) for malignancies excluding NMSC for XELJANZ 5 mg twice daily, XELJANZ 10 mg twice daily, all XELJANZ (combines 5 mg twice daily and 10 mg twice</w:t>
      </w:r>
      <w:r>
        <w:rPr>
          <w:spacing w:val="-8"/>
          <w:sz w:val="24"/>
        </w:rPr>
        <w:t xml:space="preserve"> </w:t>
      </w:r>
      <w:r>
        <w:rPr>
          <w:sz w:val="24"/>
        </w:rPr>
        <w:t>daily treatment</w:t>
      </w:r>
      <w:r>
        <w:rPr>
          <w:spacing w:val="15"/>
          <w:sz w:val="24"/>
        </w:rPr>
        <w:t xml:space="preserve"> </w:t>
      </w:r>
      <w:r>
        <w:rPr>
          <w:sz w:val="24"/>
        </w:rPr>
        <w:t>arms), and</w:t>
      </w:r>
      <w:r>
        <w:rPr>
          <w:spacing w:val="21"/>
          <w:sz w:val="24"/>
        </w:rPr>
        <w:t xml:space="preserve"> </w:t>
      </w:r>
      <w:r>
        <w:rPr>
          <w:sz w:val="24"/>
        </w:rPr>
        <w:t>TNF inhibitor were 1.13 (0.87, 1.45), 1.13 (0.86, 1.45),</w:t>
      </w:r>
    </w:p>
    <w:p w14:paraId="67BAE8A7" w14:textId="77777777" w:rsidR="001825E2" w:rsidRDefault="000839A5" w:rsidP="00CB00A7">
      <w:pPr>
        <w:pStyle w:val="BodyText"/>
        <w:spacing w:line="242" w:lineRule="auto"/>
        <w:ind w:left="638" w:right="225"/>
        <w:jc w:val="left"/>
      </w:pPr>
      <w:r>
        <w:t>1.13</w:t>
      </w:r>
      <w:r>
        <w:rPr>
          <w:spacing w:val="-1"/>
        </w:rPr>
        <w:t xml:space="preserve"> </w:t>
      </w:r>
      <w:r>
        <w:t>(0.94,</w:t>
      </w:r>
      <w:r>
        <w:rPr>
          <w:spacing w:val="-1"/>
        </w:rPr>
        <w:t xml:space="preserve"> </w:t>
      </w:r>
      <w:r>
        <w:t>1.35), and 0.77 (0.55, 1.04) patients with events per 100 patient-years, respectively.</w:t>
      </w:r>
      <w:r>
        <w:rPr>
          <w:spacing w:val="40"/>
        </w:rPr>
        <w:t xml:space="preserve"> </w:t>
      </w:r>
      <w:r>
        <w:t>Compared</w:t>
      </w:r>
      <w:r>
        <w:rPr>
          <w:spacing w:val="40"/>
        </w:rPr>
        <w:t xml:space="preserve"> </w:t>
      </w:r>
      <w:r>
        <w:t>with TNF inhibitor, the HRs (95% CI) for XELJANZ 5 mg twice</w:t>
      </w:r>
      <w:r>
        <w:rPr>
          <w:spacing w:val="27"/>
        </w:rPr>
        <w:t xml:space="preserve"> </w:t>
      </w:r>
      <w:r>
        <w:t>daily,</w:t>
      </w:r>
      <w:r>
        <w:rPr>
          <w:spacing w:val="32"/>
        </w:rPr>
        <w:t xml:space="preserve"> </w:t>
      </w:r>
      <w:r>
        <w:t>XELJANZ</w:t>
      </w:r>
      <w:r>
        <w:rPr>
          <w:spacing w:val="35"/>
        </w:rPr>
        <w:t xml:space="preserve"> </w:t>
      </w:r>
      <w:r>
        <w:t>10</w:t>
      </w:r>
      <w:r>
        <w:rPr>
          <w:spacing w:val="32"/>
        </w:rPr>
        <w:t xml:space="preserve"> </w:t>
      </w:r>
      <w:r>
        <w:t>mg</w:t>
      </w:r>
      <w:r>
        <w:rPr>
          <w:spacing w:val="32"/>
        </w:rPr>
        <w:t xml:space="preserve"> </w:t>
      </w:r>
      <w:r>
        <w:t>twice</w:t>
      </w:r>
      <w:r>
        <w:rPr>
          <w:spacing w:val="29"/>
        </w:rPr>
        <w:t xml:space="preserve"> </w:t>
      </w:r>
      <w:r>
        <w:t>daily,</w:t>
      </w:r>
      <w:r>
        <w:rPr>
          <w:spacing w:val="32"/>
        </w:rPr>
        <w:t xml:space="preserve"> </w:t>
      </w:r>
      <w:r>
        <w:t>and</w:t>
      </w:r>
      <w:r>
        <w:rPr>
          <w:spacing w:val="47"/>
        </w:rPr>
        <w:t xml:space="preserve"> </w:t>
      </w:r>
      <w:r>
        <w:t>all</w:t>
      </w:r>
      <w:r>
        <w:rPr>
          <w:spacing w:val="25"/>
        </w:rPr>
        <w:t xml:space="preserve"> </w:t>
      </w:r>
      <w:r>
        <w:t>XELJANZ</w:t>
      </w:r>
      <w:r>
        <w:rPr>
          <w:spacing w:val="35"/>
        </w:rPr>
        <w:t xml:space="preserve"> </w:t>
      </w:r>
      <w:r>
        <w:t>were</w:t>
      </w:r>
      <w:r>
        <w:rPr>
          <w:spacing w:val="30"/>
        </w:rPr>
        <w:t xml:space="preserve"> </w:t>
      </w:r>
      <w:r>
        <w:t>1.47</w:t>
      </w:r>
      <w:r>
        <w:rPr>
          <w:spacing w:val="32"/>
        </w:rPr>
        <w:t xml:space="preserve"> </w:t>
      </w:r>
      <w:r>
        <w:t>(1.00,</w:t>
      </w:r>
      <w:r>
        <w:rPr>
          <w:spacing w:val="32"/>
        </w:rPr>
        <w:t xml:space="preserve"> </w:t>
      </w:r>
      <w:r>
        <w:rPr>
          <w:spacing w:val="-2"/>
        </w:rPr>
        <w:t>2.18),</w:t>
      </w:r>
    </w:p>
    <w:p w14:paraId="087C2B48" w14:textId="77777777" w:rsidR="001825E2" w:rsidRDefault="000839A5" w:rsidP="00CB00A7">
      <w:pPr>
        <w:pStyle w:val="BodyText"/>
        <w:spacing w:line="265" w:lineRule="exact"/>
        <w:ind w:left="639"/>
        <w:jc w:val="left"/>
      </w:pPr>
      <w:r>
        <w:t>1.48</w:t>
      </w:r>
      <w:r>
        <w:rPr>
          <w:spacing w:val="-3"/>
        </w:rPr>
        <w:t xml:space="preserve"> </w:t>
      </w:r>
      <w:r>
        <w:t>(1.00,</w:t>
      </w:r>
      <w:r>
        <w:rPr>
          <w:spacing w:val="-3"/>
        </w:rPr>
        <w:t xml:space="preserve"> </w:t>
      </w:r>
      <w:r>
        <w:t>2.19),</w:t>
      </w:r>
      <w:r>
        <w:rPr>
          <w:spacing w:val="11"/>
        </w:rPr>
        <w:t xml:space="preserve"> </w:t>
      </w:r>
      <w:r>
        <w:t>and</w:t>
      </w:r>
      <w:r>
        <w:rPr>
          <w:spacing w:val="-3"/>
        </w:rPr>
        <w:t xml:space="preserve"> </w:t>
      </w:r>
      <w:r>
        <w:t>1.48</w:t>
      </w:r>
      <w:r>
        <w:rPr>
          <w:spacing w:val="-3"/>
        </w:rPr>
        <w:t xml:space="preserve"> </w:t>
      </w:r>
      <w:r>
        <w:t>(1.04,</w:t>
      </w:r>
      <w:r>
        <w:rPr>
          <w:spacing w:val="-3"/>
        </w:rPr>
        <w:t xml:space="preserve"> </w:t>
      </w:r>
      <w:r>
        <w:t>2.09),</w:t>
      </w:r>
      <w:r>
        <w:rPr>
          <w:spacing w:val="12"/>
        </w:rPr>
        <w:t xml:space="preserve"> </w:t>
      </w:r>
      <w:r>
        <w:rPr>
          <w:spacing w:val="-2"/>
        </w:rPr>
        <w:t>respectively.</w:t>
      </w:r>
    </w:p>
    <w:p w14:paraId="1E95301E" w14:textId="77777777" w:rsidR="001825E2" w:rsidRDefault="000839A5" w:rsidP="00CB00A7">
      <w:pPr>
        <w:pStyle w:val="ListParagraph"/>
        <w:numPr>
          <w:ilvl w:val="0"/>
          <w:numId w:val="4"/>
        </w:numPr>
        <w:tabs>
          <w:tab w:val="left" w:pos="638"/>
        </w:tabs>
        <w:spacing w:before="250" w:line="230" w:lineRule="auto"/>
        <w:ind w:left="638" w:right="228"/>
        <w:jc w:val="left"/>
        <w:rPr>
          <w:sz w:val="24"/>
        </w:rPr>
      </w:pPr>
      <w:r>
        <w:rPr>
          <w:sz w:val="24"/>
        </w:rPr>
        <w:t>The IRs (95% CI) for lymphoma for XELJANZ 5 mg twice daily, XELJANZ 10 mg twice daily, all XELJANZ (combines 5 mg twice daily and 10 mg twice</w:t>
      </w:r>
      <w:r>
        <w:rPr>
          <w:spacing w:val="-4"/>
          <w:sz w:val="24"/>
        </w:rPr>
        <w:t xml:space="preserve"> </w:t>
      </w:r>
      <w:r>
        <w:rPr>
          <w:sz w:val="24"/>
        </w:rPr>
        <w:t>daily treatment arms), and TNF inhibitor</w:t>
      </w:r>
      <w:r>
        <w:rPr>
          <w:spacing w:val="-10"/>
          <w:sz w:val="24"/>
        </w:rPr>
        <w:t xml:space="preserve"> </w:t>
      </w:r>
      <w:r>
        <w:rPr>
          <w:sz w:val="24"/>
        </w:rPr>
        <w:t>were</w:t>
      </w:r>
      <w:r>
        <w:rPr>
          <w:spacing w:val="-8"/>
          <w:sz w:val="24"/>
        </w:rPr>
        <w:t xml:space="preserve"> </w:t>
      </w:r>
      <w:r>
        <w:rPr>
          <w:sz w:val="24"/>
        </w:rPr>
        <w:t>0.07 (0.02, 0.18),</w:t>
      </w:r>
      <w:r>
        <w:rPr>
          <w:spacing w:val="-6"/>
          <w:sz w:val="24"/>
        </w:rPr>
        <w:t xml:space="preserve"> </w:t>
      </w:r>
      <w:r>
        <w:rPr>
          <w:sz w:val="24"/>
        </w:rPr>
        <w:t>0.11 (0.04, 0.24),</w:t>
      </w:r>
      <w:r>
        <w:rPr>
          <w:spacing w:val="-6"/>
          <w:sz w:val="24"/>
        </w:rPr>
        <w:t xml:space="preserve"> </w:t>
      </w:r>
      <w:r>
        <w:rPr>
          <w:sz w:val="24"/>
        </w:rPr>
        <w:t>0.09 (0.04, 0.17), and</w:t>
      </w:r>
    </w:p>
    <w:p w14:paraId="5C63A2E6" w14:textId="77777777" w:rsidR="001825E2" w:rsidRDefault="000839A5" w:rsidP="00CB00A7">
      <w:pPr>
        <w:pStyle w:val="BodyText"/>
        <w:spacing w:before="10" w:line="242" w:lineRule="auto"/>
        <w:ind w:left="638" w:right="219"/>
        <w:jc w:val="left"/>
      </w:pPr>
      <w:r>
        <w:t>0.02 (0.00, 0.10)</w:t>
      </w:r>
      <w:r>
        <w:rPr>
          <w:spacing w:val="-5"/>
        </w:rPr>
        <w:t xml:space="preserve"> </w:t>
      </w:r>
      <w:r>
        <w:t>patients</w:t>
      </w:r>
      <w:r>
        <w:rPr>
          <w:spacing w:val="-4"/>
        </w:rPr>
        <w:t xml:space="preserve"> </w:t>
      </w:r>
      <w:r>
        <w:t>with events</w:t>
      </w:r>
      <w:r>
        <w:rPr>
          <w:spacing w:val="-4"/>
        </w:rPr>
        <w:t xml:space="preserve"> </w:t>
      </w:r>
      <w:r>
        <w:t>per 100 patient-years, respectively. Compared with TNF inhibitor, the HRs (95% CI) for XELJANZ 5 mg twice daily, XELJANZ 10 mg twice</w:t>
      </w:r>
      <w:r>
        <w:rPr>
          <w:spacing w:val="41"/>
        </w:rPr>
        <w:t xml:space="preserve"> </w:t>
      </w:r>
      <w:r>
        <w:t>daily,</w:t>
      </w:r>
      <w:r>
        <w:rPr>
          <w:spacing w:val="43"/>
        </w:rPr>
        <w:t xml:space="preserve"> </w:t>
      </w:r>
      <w:r>
        <w:t>and</w:t>
      </w:r>
      <w:r>
        <w:rPr>
          <w:spacing w:val="58"/>
        </w:rPr>
        <w:t xml:space="preserve"> </w:t>
      </w:r>
      <w:r>
        <w:t>all</w:t>
      </w:r>
      <w:r>
        <w:rPr>
          <w:spacing w:val="36"/>
        </w:rPr>
        <w:t xml:space="preserve"> </w:t>
      </w:r>
      <w:r>
        <w:t>XELJANZ</w:t>
      </w:r>
      <w:r>
        <w:rPr>
          <w:spacing w:val="31"/>
        </w:rPr>
        <w:t xml:space="preserve"> </w:t>
      </w:r>
      <w:r>
        <w:t>were</w:t>
      </w:r>
      <w:r>
        <w:rPr>
          <w:spacing w:val="41"/>
        </w:rPr>
        <w:t xml:space="preserve"> </w:t>
      </w:r>
      <w:r>
        <w:t>3.99</w:t>
      </w:r>
      <w:r>
        <w:rPr>
          <w:spacing w:val="43"/>
        </w:rPr>
        <w:t xml:space="preserve"> </w:t>
      </w:r>
      <w:r>
        <w:t>(0.45,</w:t>
      </w:r>
      <w:r>
        <w:rPr>
          <w:spacing w:val="43"/>
        </w:rPr>
        <w:t xml:space="preserve"> </w:t>
      </w:r>
      <w:r>
        <w:t>35.70),</w:t>
      </w:r>
      <w:r>
        <w:rPr>
          <w:spacing w:val="43"/>
        </w:rPr>
        <w:t xml:space="preserve"> </w:t>
      </w:r>
      <w:r>
        <w:t>6.24</w:t>
      </w:r>
      <w:r>
        <w:rPr>
          <w:spacing w:val="44"/>
        </w:rPr>
        <w:t xml:space="preserve"> </w:t>
      </w:r>
      <w:r>
        <w:t>(0.75,</w:t>
      </w:r>
      <w:r>
        <w:rPr>
          <w:spacing w:val="43"/>
        </w:rPr>
        <w:t xml:space="preserve"> </w:t>
      </w:r>
      <w:r>
        <w:t>51.86),</w:t>
      </w:r>
      <w:r>
        <w:rPr>
          <w:spacing w:val="43"/>
        </w:rPr>
        <w:t xml:space="preserve"> </w:t>
      </w:r>
      <w:r>
        <w:t>and</w:t>
      </w:r>
      <w:r>
        <w:rPr>
          <w:spacing w:val="58"/>
        </w:rPr>
        <w:t xml:space="preserve"> </w:t>
      </w:r>
      <w:proofErr w:type="gramStart"/>
      <w:r>
        <w:rPr>
          <w:spacing w:val="-4"/>
        </w:rPr>
        <w:t>5.09</w:t>
      </w:r>
      <w:proofErr w:type="gramEnd"/>
    </w:p>
    <w:p w14:paraId="756D2DA3" w14:textId="77777777" w:rsidR="001825E2" w:rsidRDefault="000839A5" w:rsidP="00CB00A7">
      <w:pPr>
        <w:pStyle w:val="BodyText"/>
        <w:spacing w:line="265" w:lineRule="exact"/>
        <w:ind w:left="637"/>
        <w:jc w:val="left"/>
      </w:pPr>
      <w:r>
        <w:t>(0.65,</w:t>
      </w:r>
      <w:r>
        <w:rPr>
          <w:spacing w:val="-5"/>
        </w:rPr>
        <w:t xml:space="preserve"> </w:t>
      </w:r>
      <w:r>
        <w:t>39.78),</w:t>
      </w:r>
      <w:r>
        <w:rPr>
          <w:spacing w:val="9"/>
        </w:rPr>
        <w:t xml:space="preserve"> </w:t>
      </w:r>
      <w:r>
        <w:rPr>
          <w:spacing w:val="-2"/>
        </w:rPr>
        <w:t>respectively.</w:t>
      </w:r>
    </w:p>
    <w:p w14:paraId="787CCF7B" w14:textId="77777777" w:rsidR="001825E2" w:rsidRDefault="000839A5" w:rsidP="00CB00A7">
      <w:pPr>
        <w:pStyle w:val="ListParagraph"/>
        <w:numPr>
          <w:ilvl w:val="0"/>
          <w:numId w:val="4"/>
        </w:numPr>
        <w:tabs>
          <w:tab w:val="left" w:pos="637"/>
        </w:tabs>
        <w:spacing w:before="236" w:line="237" w:lineRule="auto"/>
        <w:ind w:left="637" w:right="220"/>
        <w:jc w:val="left"/>
        <w:rPr>
          <w:sz w:val="24"/>
        </w:rPr>
      </w:pPr>
      <w:r>
        <w:rPr>
          <w:sz w:val="24"/>
        </w:rPr>
        <w:t>The IRs (95% CI) for lung cancer for XELJANZ 5 mg twice daily, XELJANZ 10 mg twice daily, all XELJANZ (combines 5 mg twice daily and</w:t>
      </w:r>
      <w:r>
        <w:rPr>
          <w:spacing w:val="27"/>
          <w:sz w:val="24"/>
        </w:rPr>
        <w:t xml:space="preserve"> </w:t>
      </w:r>
      <w:r>
        <w:rPr>
          <w:sz w:val="24"/>
        </w:rPr>
        <w:t>10 mg twice</w:t>
      </w:r>
      <w:r>
        <w:rPr>
          <w:spacing w:val="-4"/>
          <w:sz w:val="24"/>
        </w:rPr>
        <w:t xml:space="preserve"> </w:t>
      </w:r>
      <w:r>
        <w:rPr>
          <w:sz w:val="24"/>
        </w:rPr>
        <w:t>daily treatment</w:t>
      </w:r>
    </w:p>
    <w:p w14:paraId="673098E4" w14:textId="77777777" w:rsidR="001825E2" w:rsidRDefault="001825E2" w:rsidP="00CB00A7">
      <w:pPr>
        <w:spacing w:line="237" w:lineRule="auto"/>
        <w:rPr>
          <w:sz w:val="24"/>
        </w:rPr>
        <w:sectPr w:rsidR="001825E2">
          <w:pgSz w:w="11910" w:h="16850"/>
          <w:pgMar w:top="1360" w:right="1220" w:bottom="980" w:left="1220" w:header="0" w:footer="785" w:gutter="0"/>
          <w:cols w:space="720"/>
        </w:sectPr>
      </w:pPr>
    </w:p>
    <w:p w14:paraId="4E6662BB" w14:textId="77777777" w:rsidR="001825E2" w:rsidRDefault="000839A5" w:rsidP="00CB00A7">
      <w:pPr>
        <w:pStyle w:val="BodyText"/>
        <w:spacing w:before="76" w:line="273" w:lineRule="exact"/>
        <w:ind w:left="640"/>
        <w:jc w:val="left"/>
      </w:pPr>
      <w:bookmarkStart w:id="51" w:name="NMSC"/>
      <w:bookmarkEnd w:id="51"/>
      <w:r>
        <w:lastRenderedPageBreak/>
        <w:t>arms),</w:t>
      </w:r>
      <w:r>
        <w:rPr>
          <w:spacing w:val="10"/>
        </w:rPr>
        <w:t xml:space="preserve"> </w:t>
      </w:r>
      <w:r>
        <w:t>and</w:t>
      </w:r>
      <w:r>
        <w:rPr>
          <w:spacing w:val="10"/>
        </w:rPr>
        <w:t xml:space="preserve"> </w:t>
      </w:r>
      <w:r>
        <w:t>TNF</w:t>
      </w:r>
      <w:r>
        <w:rPr>
          <w:spacing w:val="12"/>
        </w:rPr>
        <w:t xml:space="preserve"> </w:t>
      </w:r>
      <w:r>
        <w:t>inhibitor</w:t>
      </w:r>
      <w:r>
        <w:rPr>
          <w:spacing w:val="-9"/>
        </w:rPr>
        <w:t xml:space="preserve"> </w:t>
      </w:r>
      <w:r>
        <w:t>were</w:t>
      </w:r>
      <w:r>
        <w:rPr>
          <w:spacing w:val="-5"/>
        </w:rPr>
        <w:t xml:space="preserve"> </w:t>
      </w:r>
      <w:r>
        <w:t>0.23</w:t>
      </w:r>
      <w:r>
        <w:rPr>
          <w:spacing w:val="10"/>
        </w:rPr>
        <w:t xml:space="preserve"> </w:t>
      </w:r>
      <w:r>
        <w:t>(0.12,</w:t>
      </w:r>
      <w:r>
        <w:rPr>
          <w:spacing w:val="11"/>
        </w:rPr>
        <w:t xml:space="preserve"> </w:t>
      </w:r>
      <w:r>
        <w:t>0.40),</w:t>
      </w:r>
      <w:r>
        <w:rPr>
          <w:spacing w:val="-4"/>
        </w:rPr>
        <w:t xml:space="preserve"> </w:t>
      </w:r>
      <w:r>
        <w:t>0.32</w:t>
      </w:r>
      <w:r>
        <w:rPr>
          <w:spacing w:val="10"/>
        </w:rPr>
        <w:t xml:space="preserve"> </w:t>
      </w:r>
      <w:r>
        <w:t>(0.18,</w:t>
      </w:r>
      <w:r>
        <w:rPr>
          <w:spacing w:val="11"/>
        </w:rPr>
        <w:t xml:space="preserve"> </w:t>
      </w:r>
      <w:r>
        <w:t>0.51),</w:t>
      </w:r>
      <w:r>
        <w:rPr>
          <w:spacing w:val="-4"/>
        </w:rPr>
        <w:t xml:space="preserve"> </w:t>
      </w:r>
      <w:r>
        <w:t>0.28</w:t>
      </w:r>
      <w:r>
        <w:rPr>
          <w:spacing w:val="11"/>
        </w:rPr>
        <w:t xml:space="preserve"> </w:t>
      </w:r>
      <w:r>
        <w:t>(0.19,</w:t>
      </w:r>
      <w:r>
        <w:rPr>
          <w:spacing w:val="10"/>
        </w:rPr>
        <w:t xml:space="preserve"> </w:t>
      </w:r>
      <w:r>
        <w:t>0.39),</w:t>
      </w:r>
      <w:r>
        <w:rPr>
          <w:spacing w:val="11"/>
        </w:rPr>
        <w:t xml:space="preserve"> </w:t>
      </w:r>
      <w:r>
        <w:rPr>
          <w:spacing w:val="-5"/>
        </w:rPr>
        <w:t>and</w:t>
      </w:r>
    </w:p>
    <w:p w14:paraId="48E67C18" w14:textId="77777777" w:rsidR="001825E2" w:rsidRDefault="000839A5" w:rsidP="00CB00A7">
      <w:pPr>
        <w:pStyle w:val="BodyText"/>
        <w:spacing w:line="242" w:lineRule="auto"/>
        <w:ind w:left="640" w:right="217"/>
        <w:jc w:val="left"/>
      </w:pPr>
      <w:r>
        <w:t>0.13 (0.05, 0.26)</w:t>
      </w:r>
      <w:r>
        <w:rPr>
          <w:spacing w:val="-5"/>
        </w:rPr>
        <w:t xml:space="preserve"> </w:t>
      </w:r>
      <w:r>
        <w:t>patients</w:t>
      </w:r>
      <w:r>
        <w:rPr>
          <w:spacing w:val="-4"/>
        </w:rPr>
        <w:t xml:space="preserve"> </w:t>
      </w:r>
      <w:r>
        <w:t>with events</w:t>
      </w:r>
      <w:r>
        <w:rPr>
          <w:spacing w:val="-4"/>
        </w:rPr>
        <w:t xml:space="preserve"> </w:t>
      </w:r>
      <w:r>
        <w:t>per 100 patient-years, respectively. Compared with TNF inhibitor, the HRs (95% CI) for XELJANZ 5 mg twice daily, XELJANZ 10 mg twice</w:t>
      </w:r>
      <w:r>
        <w:rPr>
          <w:spacing w:val="12"/>
        </w:rPr>
        <w:t xml:space="preserve"> </w:t>
      </w:r>
      <w:r>
        <w:t>daily,</w:t>
      </w:r>
      <w:r>
        <w:rPr>
          <w:spacing w:val="14"/>
        </w:rPr>
        <w:t xml:space="preserve"> </w:t>
      </w:r>
      <w:r>
        <w:t>and</w:t>
      </w:r>
      <w:r>
        <w:rPr>
          <w:spacing w:val="14"/>
        </w:rPr>
        <w:t xml:space="preserve"> </w:t>
      </w:r>
      <w:r>
        <w:t>all</w:t>
      </w:r>
      <w:r>
        <w:rPr>
          <w:spacing w:val="8"/>
        </w:rPr>
        <w:t xml:space="preserve"> </w:t>
      </w:r>
      <w:r>
        <w:t>XELJANZ</w:t>
      </w:r>
      <w:r>
        <w:rPr>
          <w:spacing w:val="2"/>
        </w:rPr>
        <w:t xml:space="preserve"> </w:t>
      </w:r>
      <w:r>
        <w:t>were</w:t>
      </w:r>
      <w:r>
        <w:rPr>
          <w:spacing w:val="12"/>
        </w:rPr>
        <w:t xml:space="preserve"> </w:t>
      </w:r>
      <w:r>
        <w:t>1.84</w:t>
      </w:r>
      <w:r>
        <w:rPr>
          <w:spacing w:val="15"/>
        </w:rPr>
        <w:t xml:space="preserve"> </w:t>
      </w:r>
      <w:r>
        <w:t>(0.74,</w:t>
      </w:r>
      <w:r>
        <w:rPr>
          <w:spacing w:val="14"/>
        </w:rPr>
        <w:t xml:space="preserve"> </w:t>
      </w:r>
      <w:r>
        <w:t>4.62),</w:t>
      </w:r>
      <w:r>
        <w:rPr>
          <w:spacing w:val="14"/>
        </w:rPr>
        <w:t xml:space="preserve"> </w:t>
      </w:r>
      <w:r>
        <w:t>2.50</w:t>
      </w:r>
      <w:r>
        <w:rPr>
          <w:spacing w:val="15"/>
        </w:rPr>
        <w:t xml:space="preserve"> </w:t>
      </w:r>
      <w:r>
        <w:t>(1.04,</w:t>
      </w:r>
      <w:r>
        <w:rPr>
          <w:spacing w:val="14"/>
        </w:rPr>
        <w:t xml:space="preserve"> </w:t>
      </w:r>
      <w:r>
        <w:t>6.02),</w:t>
      </w:r>
      <w:r>
        <w:rPr>
          <w:spacing w:val="14"/>
        </w:rPr>
        <w:t xml:space="preserve"> </w:t>
      </w:r>
      <w:r>
        <w:t>and</w:t>
      </w:r>
      <w:r>
        <w:rPr>
          <w:spacing w:val="29"/>
        </w:rPr>
        <w:t xml:space="preserve"> </w:t>
      </w:r>
      <w:r>
        <w:t>2.17</w:t>
      </w:r>
      <w:r>
        <w:rPr>
          <w:spacing w:val="15"/>
        </w:rPr>
        <w:t xml:space="preserve"> </w:t>
      </w:r>
      <w:r>
        <w:rPr>
          <w:spacing w:val="-2"/>
        </w:rPr>
        <w:t>(0.95,</w:t>
      </w:r>
    </w:p>
    <w:p w14:paraId="4D338E98" w14:textId="77777777" w:rsidR="001825E2" w:rsidRDefault="000839A5" w:rsidP="00CB00A7">
      <w:pPr>
        <w:pStyle w:val="BodyText"/>
        <w:ind w:left="640"/>
        <w:jc w:val="left"/>
      </w:pPr>
      <w:r>
        <w:t>4.93),</w:t>
      </w:r>
      <w:r>
        <w:rPr>
          <w:spacing w:val="-5"/>
        </w:rPr>
        <w:t xml:space="preserve"> </w:t>
      </w:r>
      <w:r>
        <w:rPr>
          <w:spacing w:val="-2"/>
        </w:rPr>
        <w:t>respectively.</w:t>
      </w:r>
    </w:p>
    <w:p w14:paraId="4DF229F2" w14:textId="77777777" w:rsidR="001825E2" w:rsidRDefault="000839A5" w:rsidP="00CB00A7">
      <w:pPr>
        <w:pStyle w:val="Heading4"/>
        <w:spacing w:before="234"/>
        <w:jc w:val="left"/>
      </w:pPr>
      <w:r>
        <w:rPr>
          <w:spacing w:val="-4"/>
        </w:rPr>
        <w:t>NMSC</w:t>
      </w:r>
    </w:p>
    <w:p w14:paraId="5E4002C0" w14:textId="77777777" w:rsidR="001825E2" w:rsidRDefault="000839A5" w:rsidP="00CB00A7">
      <w:pPr>
        <w:spacing w:before="114"/>
        <w:ind w:left="220"/>
        <w:rPr>
          <w:i/>
          <w:sz w:val="24"/>
        </w:rPr>
      </w:pPr>
      <w:r>
        <w:rPr>
          <w:i/>
          <w:sz w:val="24"/>
          <w:u w:val="single"/>
        </w:rPr>
        <w:t>Rheumatoid</w:t>
      </w:r>
      <w:r>
        <w:rPr>
          <w:i/>
          <w:spacing w:val="-7"/>
          <w:sz w:val="24"/>
          <w:u w:val="single"/>
        </w:rPr>
        <w:t xml:space="preserve"> </w:t>
      </w:r>
      <w:r>
        <w:rPr>
          <w:i/>
          <w:spacing w:val="-2"/>
          <w:sz w:val="24"/>
          <w:u w:val="single"/>
        </w:rPr>
        <w:t>Arthritis</w:t>
      </w:r>
    </w:p>
    <w:p w14:paraId="58B677C9" w14:textId="77777777" w:rsidR="001825E2" w:rsidRDefault="000839A5" w:rsidP="00CB00A7">
      <w:pPr>
        <w:pStyle w:val="BodyText"/>
        <w:spacing w:before="134" w:line="235" w:lineRule="auto"/>
        <w:ind w:left="220" w:right="203"/>
        <w:jc w:val="left"/>
      </w:pPr>
      <w:r>
        <w:t xml:space="preserve">Results from final safety data from a </w:t>
      </w:r>
      <w:proofErr w:type="gramStart"/>
      <w:r>
        <w:t xml:space="preserve">large </w:t>
      </w:r>
      <w:proofErr w:type="spellStart"/>
      <w:r>
        <w:t>randomised</w:t>
      </w:r>
      <w:proofErr w:type="spellEnd"/>
      <w:proofErr w:type="gramEnd"/>
      <w:r>
        <w:t xml:space="preserve"> PASS in RA patients who were 50 years or</w:t>
      </w:r>
      <w:r>
        <w:rPr>
          <w:spacing w:val="-3"/>
        </w:rPr>
        <w:t xml:space="preserve"> </w:t>
      </w:r>
      <w:r>
        <w:t>older</w:t>
      </w:r>
      <w:r>
        <w:rPr>
          <w:spacing w:val="-3"/>
        </w:rPr>
        <w:t xml:space="preserve"> </w:t>
      </w:r>
      <w:r>
        <w:t>with</w:t>
      </w:r>
      <w:r>
        <w:rPr>
          <w:spacing w:val="-14"/>
        </w:rPr>
        <w:t xml:space="preserve"> </w:t>
      </w:r>
      <w:r>
        <w:t>at least one additional</w:t>
      </w:r>
      <w:r>
        <w:rPr>
          <w:spacing w:val="-21"/>
        </w:rPr>
        <w:t xml:space="preserve"> </w:t>
      </w:r>
      <w:r>
        <w:t>cardiovascular</w:t>
      </w:r>
      <w:r>
        <w:rPr>
          <w:spacing w:val="28"/>
        </w:rPr>
        <w:t xml:space="preserve"> </w:t>
      </w:r>
      <w:r>
        <w:t>risk factor,</w:t>
      </w:r>
      <w:r>
        <w:rPr>
          <w:spacing w:val="-15"/>
        </w:rPr>
        <w:t xml:space="preserve"> </w:t>
      </w:r>
      <w:r>
        <w:t>are presented as</w:t>
      </w:r>
      <w:r>
        <w:rPr>
          <w:spacing w:val="-2"/>
        </w:rPr>
        <w:t xml:space="preserve"> </w:t>
      </w:r>
      <w:r>
        <w:t>follows:</w:t>
      </w:r>
    </w:p>
    <w:p w14:paraId="6B1E3368" w14:textId="77777777" w:rsidR="001825E2" w:rsidRDefault="000839A5" w:rsidP="00CB00A7">
      <w:pPr>
        <w:pStyle w:val="ListParagraph"/>
        <w:numPr>
          <w:ilvl w:val="0"/>
          <w:numId w:val="4"/>
        </w:numPr>
        <w:tabs>
          <w:tab w:val="left" w:pos="639"/>
        </w:tabs>
        <w:spacing w:before="258" w:line="230" w:lineRule="auto"/>
        <w:ind w:right="217"/>
        <w:jc w:val="left"/>
        <w:rPr>
          <w:sz w:val="24"/>
        </w:rPr>
      </w:pPr>
      <w:r>
        <w:rPr>
          <w:sz w:val="24"/>
        </w:rPr>
        <w:t>The IRs (95% CI) for NMSC for XELJANZ 5 mg twice daily, XELJANZ 10 mg twice daily,</w:t>
      </w:r>
      <w:r>
        <w:rPr>
          <w:spacing w:val="-2"/>
          <w:sz w:val="24"/>
        </w:rPr>
        <w:t xml:space="preserve"> </w:t>
      </w:r>
      <w:r>
        <w:rPr>
          <w:sz w:val="24"/>
        </w:rPr>
        <w:t>all XELJANZ (combines 5 mg</w:t>
      </w:r>
      <w:r>
        <w:rPr>
          <w:spacing w:val="-2"/>
          <w:sz w:val="24"/>
        </w:rPr>
        <w:t xml:space="preserve"> </w:t>
      </w:r>
      <w:r>
        <w:rPr>
          <w:sz w:val="24"/>
        </w:rPr>
        <w:t>twice</w:t>
      </w:r>
      <w:r>
        <w:rPr>
          <w:spacing w:val="-4"/>
          <w:sz w:val="24"/>
        </w:rPr>
        <w:t xml:space="preserve"> </w:t>
      </w:r>
      <w:r>
        <w:rPr>
          <w:sz w:val="24"/>
        </w:rPr>
        <w:t>daily and 10</w:t>
      </w:r>
      <w:r>
        <w:rPr>
          <w:spacing w:val="-2"/>
          <w:sz w:val="24"/>
        </w:rPr>
        <w:t xml:space="preserve"> </w:t>
      </w:r>
      <w:r>
        <w:rPr>
          <w:sz w:val="24"/>
        </w:rPr>
        <w:t>mg twice</w:t>
      </w:r>
      <w:r>
        <w:rPr>
          <w:spacing w:val="-4"/>
          <w:sz w:val="24"/>
        </w:rPr>
        <w:t xml:space="preserve"> </w:t>
      </w:r>
      <w:r>
        <w:rPr>
          <w:sz w:val="24"/>
        </w:rPr>
        <w:t>daily</w:t>
      </w:r>
      <w:r>
        <w:rPr>
          <w:spacing w:val="-2"/>
          <w:sz w:val="24"/>
        </w:rPr>
        <w:t xml:space="preserve"> </w:t>
      </w:r>
      <w:r>
        <w:rPr>
          <w:sz w:val="24"/>
        </w:rPr>
        <w:t>treatment arms), and</w:t>
      </w:r>
      <w:r>
        <w:rPr>
          <w:spacing w:val="25"/>
          <w:sz w:val="24"/>
        </w:rPr>
        <w:t xml:space="preserve"> </w:t>
      </w:r>
      <w:r>
        <w:rPr>
          <w:sz w:val="24"/>
        </w:rPr>
        <w:t>TNF</w:t>
      </w:r>
      <w:r>
        <w:rPr>
          <w:spacing w:val="12"/>
          <w:sz w:val="24"/>
        </w:rPr>
        <w:t xml:space="preserve"> </w:t>
      </w:r>
      <w:r>
        <w:rPr>
          <w:sz w:val="24"/>
        </w:rPr>
        <w:t>inhibitor</w:t>
      </w:r>
      <w:r>
        <w:rPr>
          <w:spacing w:val="21"/>
          <w:sz w:val="24"/>
        </w:rPr>
        <w:t xml:space="preserve"> </w:t>
      </w:r>
      <w:r>
        <w:rPr>
          <w:sz w:val="24"/>
        </w:rPr>
        <w:t>were 0.61</w:t>
      </w:r>
      <w:r>
        <w:rPr>
          <w:spacing w:val="25"/>
          <w:sz w:val="24"/>
        </w:rPr>
        <w:t xml:space="preserve"> </w:t>
      </w:r>
      <w:r>
        <w:rPr>
          <w:sz w:val="24"/>
        </w:rPr>
        <w:t>(0.41, 0.86),</w:t>
      </w:r>
      <w:r>
        <w:rPr>
          <w:spacing w:val="25"/>
          <w:sz w:val="24"/>
        </w:rPr>
        <w:t xml:space="preserve"> </w:t>
      </w:r>
      <w:r>
        <w:rPr>
          <w:sz w:val="24"/>
        </w:rPr>
        <w:t>0.69 (0.47,</w:t>
      </w:r>
      <w:r>
        <w:rPr>
          <w:spacing w:val="25"/>
          <w:sz w:val="24"/>
        </w:rPr>
        <w:t xml:space="preserve"> </w:t>
      </w:r>
      <w:r>
        <w:rPr>
          <w:sz w:val="24"/>
        </w:rPr>
        <w:t>0.96), 0.64</w:t>
      </w:r>
      <w:r>
        <w:rPr>
          <w:spacing w:val="25"/>
          <w:sz w:val="24"/>
        </w:rPr>
        <w:t xml:space="preserve"> </w:t>
      </w:r>
      <w:r>
        <w:rPr>
          <w:sz w:val="24"/>
        </w:rPr>
        <w:t>(0.50, 0.82), and</w:t>
      </w:r>
      <w:r>
        <w:rPr>
          <w:spacing w:val="24"/>
          <w:sz w:val="24"/>
        </w:rPr>
        <w:t xml:space="preserve"> </w:t>
      </w:r>
      <w:proofErr w:type="gramStart"/>
      <w:r>
        <w:rPr>
          <w:sz w:val="24"/>
        </w:rPr>
        <w:t>0.32</w:t>
      </w:r>
      <w:proofErr w:type="gramEnd"/>
    </w:p>
    <w:p w14:paraId="00A71160" w14:textId="77777777" w:rsidR="001825E2" w:rsidRDefault="000839A5" w:rsidP="00CB00A7">
      <w:pPr>
        <w:pStyle w:val="BodyText"/>
        <w:spacing w:before="11" w:line="242" w:lineRule="auto"/>
        <w:ind w:left="638" w:right="217"/>
        <w:jc w:val="left"/>
      </w:pPr>
      <w:r>
        <w:t>(0.18,</w:t>
      </w:r>
      <w:r>
        <w:rPr>
          <w:spacing w:val="-3"/>
        </w:rPr>
        <w:t xml:space="preserve"> </w:t>
      </w:r>
      <w:r>
        <w:t>0.52)</w:t>
      </w:r>
      <w:r>
        <w:rPr>
          <w:spacing w:val="-7"/>
        </w:rPr>
        <w:t xml:space="preserve"> </w:t>
      </w:r>
      <w:r>
        <w:t>patients</w:t>
      </w:r>
      <w:r>
        <w:rPr>
          <w:spacing w:val="-6"/>
        </w:rPr>
        <w:t xml:space="preserve"> </w:t>
      </w:r>
      <w:r>
        <w:t>with</w:t>
      </w:r>
      <w:r>
        <w:rPr>
          <w:spacing w:val="-3"/>
        </w:rPr>
        <w:t xml:space="preserve"> </w:t>
      </w:r>
      <w:r>
        <w:t>events</w:t>
      </w:r>
      <w:r>
        <w:rPr>
          <w:spacing w:val="-6"/>
        </w:rPr>
        <w:t xml:space="preserve"> </w:t>
      </w:r>
      <w:r>
        <w:t>per</w:t>
      </w:r>
      <w:r>
        <w:rPr>
          <w:spacing w:val="-7"/>
        </w:rPr>
        <w:t xml:space="preserve"> </w:t>
      </w:r>
      <w:r>
        <w:t>100 patient-years, respectively.</w:t>
      </w:r>
      <w:r>
        <w:rPr>
          <w:spacing w:val="-3"/>
        </w:rPr>
        <w:t xml:space="preserve"> </w:t>
      </w:r>
      <w:r>
        <w:t>Compared with</w:t>
      </w:r>
      <w:r>
        <w:rPr>
          <w:spacing w:val="-3"/>
        </w:rPr>
        <w:t xml:space="preserve"> </w:t>
      </w:r>
      <w:r>
        <w:t>TNF inhibitor, the HRs (95%</w:t>
      </w:r>
      <w:r>
        <w:rPr>
          <w:spacing w:val="-5"/>
        </w:rPr>
        <w:t xml:space="preserve"> </w:t>
      </w:r>
      <w:r>
        <w:t>CI) for XELJANZ 5 mg twice daily, XELJANZ 10 mg twice daily,</w:t>
      </w:r>
      <w:r>
        <w:rPr>
          <w:spacing w:val="8"/>
        </w:rPr>
        <w:t xml:space="preserve"> </w:t>
      </w:r>
      <w:r>
        <w:t>and</w:t>
      </w:r>
      <w:r>
        <w:rPr>
          <w:spacing w:val="23"/>
        </w:rPr>
        <w:t xml:space="preserve"> </w:t>
      </w:r>
      <w:r>
        <w:t>all</w:t>
      </w:r>
      <w:r>
        <w:rPr>
          <w:spacing w:val="4"/>
        </w:rPr>
        <w:t xml:space="preserve"> </w:t>
      </w:r>
      <w:r>
        <w:t>XELJANZ</w:t>
      </w:r>
      <w:r>
        <w:rPr>
          <w:spacing w:val="13"/>
        </w:rPr>
        <w:t xml:space="preserve"> </w:t>
      </w:r>
      <w:r>
        <w:t>were</w:t>
      </w:r>
      <w:r>
        <w:rPr>
          <w:spacing w:val="9"/>
        </w:rPr>
        <w:t xml:space="preserve"> </w:t>
      </w:r>
      <w:r>
        <w:t>1.90</w:t>
      </w:r>
      <w:r>
        <w:rPr>
          <w:spacing w:val="10"/>
        </w:rPr>
        <w:t xml:space="preserve"> </w:t>
      </w:r>
      <w:r>
        <w:t>(1.04,</w:t>
      </w:r>
      <w:r>
        <w:rPr>
          <w:spacing w:val="11"/>
        </w:rPr>
        <w:t xml:space="preserve"> </w:t>
      </w:r>
      <w:r>
        <w:t>3.47),</w:t>
      </w:r>
      <w:r>
        <w:rPr>
          <w:spacing w:val="10"/>
        </w:rPr>
        <w:t xml:space="preserve"> </w:t>
      </w:r>
      <w:r>
        <w:t>2.16</w:t>
      </w:r>
      <w:r>
        <w:rPr>
          <w:spacing w:val="11"/>
        </w:rPr>
        <w:t xml:space="preserve"> </w:t>
      </w:r>
      <w:r>
        <w:t>(1.19,</w:t>
      </w:r>
      <w:r>
        <w:rPr>
          <w:spacing w:val="10"/>
        </w:rPr>
        <w:t xml:space="preserve"> </w:t>
      </w:r>
      <w:r>
        <w:t>3.92),</w:t>
      </w:r>
      <w:r>
        <w:rPr>
          <w:spacing w:val="10"/>
        </w:rPr>
        <w:t xml:space="preserve"> </w:t>
      </w:r>
      <w:r>
        <w:t>and</w:t>
      </w:r>
      <w:r>
        <w:rPr>
          <w:spacing w:val="11"/>
        </w:rPr>
        <w:t xml:space="preserve"> </w:t>
      </w:r>
      <w:r>
        <w:t>2.02</w:t>
      </w:r>
      <w:r>
        <w:rPr>
          <w:spacing w:val="10"/>
        </w:rPr>
        <w:t xml:space="preserve"> </w:t>
      </w:r>
      <w:r>
        <w:t>(1.17,</w:t>
      </w:r>
      <w:r>
        <w:rPr>
          <w:spacing w:val="11"/>
        </w:rPr>
        <w:t xml:space="preserve"> </w:t>
      </w:r>
      <w:r>
        <w:rPr>
          <w:spacing w:val="-2"/>
        </w:rPr>
        <w:t>3.50),</w:t>
      </w:r>
    </w:p>
    <w:p w14:paraId="24523544" w14:textId="77777777" w:rsidR="001825E2" w:rsidRDefault="000839A5" w:rsidP="00CB00A7">
      <w:pPr>
        <w:pStyle w:val="BodyText"/>
        <w:spacing w:line="265" w:lineRule="exact"/>
        <w:ind w:left="638"/>
        <w:jc w:val="left"/>
      </w:pPr>
      <w:r>
        <w:rPr>
          <w:spacing w:val="-2"/>
        </w:rPr>
        <w:t>respectively.</w:t>
      </w:r>
    </w:p>
    <w:p w14:paraId="00D23DB0" w14:textId="77777777" w:rsidR="001825E2" w:rsidRDefault="000839A5" w:rsidP="00CB00A7">
      <w:pPr>
        <w:pStyle w:val="ListParagraph"/>
        <w:numPr>
          <w:ilvl w:val="0"/>
          <w:numId w:val="4"/>
        </w:numPr>
        <w:tabs>
          <w:tab w:val="left" w:pos="637"/>
        </w:tabs>
        <w:spacing w:before="236" w:line="237" w:lineRule="auto"/>
        <w:ind w:left="637" w:right="201"/>
        <w:jc w:val="left"/>
        <w:rPr>
          <w:sz w:val="24"/>
        </w:rPr>
      </w:pPr>
      <w:r>
        <w:rPr>
          <w:sz w:val="24"/>
        </w:rPr>
        <w:t>The IRs (95% CI) for basal cell carcinoma for XELJANZ 5 mg twice daily, XELJANZ 10 mg twice daily, all XELJANZ (combines 5 mg twice daily and 10 mg twice daily treatment</w:t>
      </w:r>
      <w:r>
        <w:rPr>
          <w:spacing w:val="80"/>
          <w:w w:val="150"/>
          <w:sz w:val="24"/>
        </w:rPr>
        <w:t xml:space="preserve"> </w:t>
      </w:r>
      <w:r>
        <w:rPr>
          <w:sz w:val="24"/>
        </w:rPr>
        <w:t>arms),</w:t>
      </w:r>
      <w:r>
        <w:rPr>
          <w:spacing w:val="80"/>
          <w:w w:val="150"/>
          <w:sz w:val="24"/>
        </w:rPr>
        <w:t xml:space="preserve"> </w:t>
      </w:r>
      <w:r>
        <w:rPr>
          <w:sz w:val="24"/>
        </w:rPr>
        <w:t>and</w:t>
      </w:r>
      <w:r>
        <w:rPr>
          <w:spacing w:val="80"/>
          <w:w w:val="150"/>
          <w:sz w:val="24"/>
        </w:rPr>
        <w:t xml:space="preserve"> </w:t>
      </w:r>
      <w:r>
        <w:rPr>
          <w:sz w:val="24"/>
        </w:rPr>
        <w:t>TNF</w:t>
      </w:r>
      <w:r>
        <w:rPr>
          <w:spacing w:val="80"/>
          <w:w w:val="150"/>
          <w:sz w:val="24"/>
        </w:rPr>
        <w:t xml:space="preserve"> </w:t>
      </w:r>
      <w:r>
        <w:rPr>
          <w:sz w:val="24"/>
        </w:rPr>
        <w:t>inhibitor</w:t>
      </w:r>
      <w:r>
        <w:rPr>
          <w:spacing w:val="78"/>
          <w:w w:val="150"/>
          <w:sz w:val="24"/>
        </w:rPr>
        <w:t xml:space="preserve"> </w:t>
      </w:r>
      <w:r>
        <w:rPr>
          <w:sz w:val="24"/>
        </w:rPr>
        <w:t>were</w:t>
      </w:r>
      <w:r>
        <w:rPr>
          <w:spacing w:val="80"/>
          <w:w w:val="150"/>
          <w:sz w:val="24"/>
        </w:rPr>
        <w:t xml:space="preserve"> </w:t>
      </w:r>
      <w:r>
        <w:rPr>
          <w:sz w:val="24"/>
        </w:rPr>
        <w:t>0.37</w:t>
      </w:r>
      <w:r>
        <w:rPr>
          <w:spacing w:val="80"/>
          <w:w w:val="150"/>
          <w:sz w:val="24"/>
        </w:rPr>
        <w:t xml:space="preserve"> </w:t>
      </w:r>
      <w:r>
        <w:rPr>
          <w:sz w:val="24"/>
        </w:rPr>
        <w:t>(0.22,</w:t>
      </w:r>
      <w:r>
        <w:rPr>
          <w:spacing w:val="80"/>
          <w:w w:val="150"/>
          <w:sz w:val="24"/>
        </w:rPr>
        <w:t xml:space="preserve"> </w:t>
      </w:r>
      <w:r>
        <w:rPr>
          <w:sz w:val="24"/>
        </w:rPr>
        <w:t>0.58),</w:t>
      </w:r>
      <w:r>
        <w:rPr>
          <w:spacing w:val="80"/>
          <w:w w:val="150"/>
          <w:sz w:val="24"/>
        </w:rPr>
        <w:t xml:space="preserve"> </w:t>
      </w:r>
      <w:r>
        <w:rPr>
          <w:sz w:val="24"/>
        </w:rPr>
        <w:t>0.33</w:t>
      </w:r>
      <w:r>
        <w:rPr>
          <w:spacing w:val="68"/>
          <w:w w:val="150"/>
          <w:sz w:val="24"/>
        </w:rPr>
        <w:t xml:space="preserve"> </w:t>
      </w:r>
      <w:r>
        <w:rPr>
          <w:sz w:val="24"/>
        </w:rPr>
        <w:t>(0.19,</w:t>
      </w:r>
      <w:r>
        <w:rPr>
          <w:spacing w:val="80"/>
          <w:w w:val="150"/>
          <w:sz w:val="24"/>
        </w:rPr>
        <w:t xml:space="preserve"> </w:t>
      </w:r>
      <w:r>
        <w:rPr>
          <w:sz w:val="24"/>
        </w:rPr>
        <w:t>0.54),</w:t>
      </w:r>
    </w:p>
    <w:p w14:paraId="1C952899" w14:textId="77777777" w:rsidR="001825E2" w:rsidRDefault="000839A5" w:rsidP="00CB00A7">
      <w:pPr>
        <w:pStyle w:val="BodyText"/>
        <w:spacing w:before="11" w:line="235" w:lineRule="auto"/>
        <w:ind w:left="637" w:right="220"/>
        <w:jc w:val="left"/>
      </w:pPr>
      <w:bookmarkStart w:id="52" w:name="Gastrointestinal_Perforations"/>
      <w:bookmarkEnd w:id="52"/>
      <w:r>
        <w:t>0.35</w:t>
      </w:r>
      <w:r>
        <w:rPr>
          <w:spacing w:val="-3"/>
        </w:rPr>
        <w:t xml:space="preserve"> </w:t>
      </w:r>
      <w:r>
        <w:t>(0.24,</w:t>
      </w:r>
      <w:r>
        <w:rPr>
          <w:spacing w:val="-3"/>
        </w:rPr>
        <w:t xml:space="preserve"> </w:t>
      </w:r>
      <w:r>
        <w:t>0.49), and 0.26</w:t>
      </w:r>
      <w:r>
        <w:rPr>
          <w:spacing w:val="-3"/>
        </w:rPr>
        <w:t xml:space="preserve"> </w:t>
      </w:r>
      <w:r>
        <w:t>(0.14, 0.44) patients with events per 100 patient-years, respectively.</w:t>
      </w:r>
      <w:r>
        <w:rPr>
          <w:spacing w:val="40"/>
        </w:rPr>
        <w:t xml:space="preserve"> </w:t>
      </w:r>
      <w:r>
        <w:t>Compared</w:t>
      </w:r>
      <w:r>
        <w:rPr>
          <w:spacing w:val="40"/>
        </w:rPr>
        <w:t xml:space="preserve"> </w:t>
      </w:r>
      <w:r>
        <w:t>with TNF inhibitor, the HRs (95% CI) for XELJANZ 5 mg twice</w:t>
      </w:r>
      <w:r>
        <w:rPr>
          <w:spacing w:val="27"/>
        </w:rPr>
        <w:t xml:space="preserve"> </w:t>
      </w:r>
      <w:r>
        <w:t>daily,</w:t>
      </w:r>
      <w:r>
        <w:rPr>
          <w:spacing w:val="32"/>
        </w:rPr>
        <w:t xml:space="preserve"> </w:t>
      </w:r>
      <w:r>
        <w:t>XELJANZ</w:t>
      </w:r>
      <w:r>
        <w:rPr>
          <w:spacing w:val="35"/>
        </w:rPr>
        <w:t xml:space="preserve"> </w:t>
      </w:r>
      <w:r>
        <w:t>10</w:t>
      </w:r>
      <w:r>
        <w:rPr>
          <w:spacing w:val="32"/>
        </w:rPr>
        <w:t xml:space="preserve"> </w:t>
      </w:r>
      <w:r>
        <w:t>mg</w:t>
      </w:r>
      <w:r>
        <w:rPr>
          <w:spacing w:val="32"/>
        </w:rPr>
        <w:t xml:space="preserve"> </w:t>
      </w:r>
      <w:r>
        <w:t>twice</w:t>
      </w:r>
      <w:r>
        <w:rPr>
          <w:spacing w:val="30"/>
        </w:rPr>
        <w:t xml:space="preserve"> </w:t>
      </w:r>
      <w:r>
        <w:t>daily,</w:t>
      </w:r>
      <w:r>
        <w:rPr>
          <w:spacing w:val="32"/>
        </w:rPr>
        <w:t xml:space="preserve"> </w:t>
      </w:r>
      <w:r>
        <w:t>and</w:t>
      </w:r>
      <w:r>
        <w:rPr>
          <w:spacing w:val="47"/>
        </w:rPr>
        <w:t xml:space="preserve"> </w:t>
      </w:r>
      <w:r>
        <w:t>all</w:t>
      </w:r>
      <w:r>
        <w:rPr>
          <w:spacing w:val="25"/>
        </w:rPr>
        <w:t xml:space="preserve"> </w:t>
      </w:r>
      <w:r>
        <w:t>XELJANZ</w:t>
      </w:r>
      <w:r>
        <w:rPr>
          <w:spacing w:val="35"/>
        </w:rPr>
        <w:t xml:space="preserve"> </w:t>
      </w:r>
      <w:r>
        <w:t>were</w:t>
      </w:r>
      <w:r>
        <w:rPr>
          <w:spacing w:val="30"/>
        </w:rPr>
        <w:t xml:space="preserve"> </w:t>
      </w:r>
      <w:r>
        <w:t>1.43</w:t>
      </w:r>
      <w:r>
        <w:rPr>
          <w:spacing w:val="32"/>
        </w:rPr>
        <w:t xml:space="preserve"> </w:t>
      </w:r>
      <w:r>
        <w:t>(0.71,</w:t>
      </w:r>
      <w:r>
        <w:rPr>
          <w:spacing w:val="32"/>
        </w:rPr>
        <w:t xml:space="preserve"> </w:t>
      </w:r>
      <w:r>
        <w:rPr>
          <w:spacing w:val="-2"/>
        </w:rPr>
        <w:t>2.90),</w:t>
      </w:r>
    </w:p>
    <w:p w14:paraId="21433264" w14:textId="77777777" w:rsidR="001825E2" w:rsidRDefault="000839A5" w:rsidP="00CB00A7">
      <w:pPr>
        <w:pStyle w:val="BodyText"/>
        <w:spacing w:before="9"/>
        <w:ind w:left="637"/>
        <w:jc w:val="left"/>
      </w:pPr>
      <w:r>
        <w:t>1.28</w:t>
      </w:r>
      <w:r>
        <w:rPr>
          <w:spacing w:val="-3"/>
        </w:rPr>
        <w:t xml:space="preserve"> </w:t>
      </w:r>
      <w:r>
        <w:t>(0.61,</w:t>
      </w:r>
      <w:r>
        <w:rPr>
          <w:spacing w:val="-3"/>
        </w:rPr>
        <w:t xml:space="preserve"> </w:t>
      </w:r>
      <w:r>
        <w:t>2.66),</w:t>
      </w:r>
      <w:r>
        <w:rPr>
          <w:spacing w:val="10"/>
        </w:rPr>
        <w:t xml:space="preserve"> </w:t>
      </w:r>
      <w:r>
        <w:t>and</w:t>
      </w:r>
      <w:r>
        <w:rPr>
          <w:spacing w:val="-3"/>
        </w:rPr>
        <w:t xml:space="preserve"> </w:t>
      </w:r>
      <w:r>
        <w:t>1.36</w:t>
      </w:r>
      <w:r>
        <w:rPr>
          <w:spacing w:val="-3"/>
        </w:rPr>
        <w:t xml:space="preserve"> </w:t>
      </w:r>
      <w:r>
        <w:t>(0.72,</w:t>
      </w:r>
      <w:r>
        <w:rPr>
          <w:spacing w:val="-3"/>
        </w:rPr>
        <w:t xml:space="preserve"> </w:t>
      </w:r>
      <w:r>
        <w:t>2.56),</w:t>
      </w:r>
      <w:r>
        <w:rPr>
          <w:spacing w:val="12"/>
        </w:rPr>
        <w:t xml:space="preserve"> </w:t>
      </w:r>
      <w:r>
        <w:rPr>
          <w:spacing w:val="-2"/>
        </w:rPr>
        <w:t>respectively.</w:t>
      </w:r>
    </w:p>
    <w:p w14:paraId="29F0E186" w14:textId="77777777" w:rsidR="001825E2" w:rsidRDefault="000839A5" w:rsidP="00CB00A7">
      <w:pPr>
        <w:pStyle w:val="ListParagraph"/>
        <w:numPr>
          <w:ilvl w:val="0"/>
          <w:numId w:val="4"/>
        </w:numPr>
        <w:tabs>
          <w:tab w:val="left" w:pos="637"/>
        </w:tabs>
        <w:spacing w:before="237" w:line="237" w:lineRule="auto"/>
        <w:ind w:left="637" w:right="234"/>
        <w:jc w:val="left"/>
        <w:rPr>
          <w:sz w:val="24"/>
        </w:rPr>
      </w:pPr>
      <w:r>
        <w:rPr>
          <w:sz w:val="24"/>
        </w:rPr>
        <w:t>The IRs (95% CI) for cutaneous squamous cell carcinoma for XELJANZ 5 mg twice daily,</w:t>
      </w:r>
      <w:r>
        <w:rPr>
          <w:spacing w:val="40"/>
          <w:sz w:val="24"/>
        </w:rPr>
        <w:t xml:space="preserve"> </w:t>
      </w:r>
      <w:r>
        <w:rPr>
          <w:sz w:val="24"/>
        </w:rPr>
        <w:t>XELJANZ</w:t>
      </w:r>
      <w:r>
        <w:rPr>
          <w:spacing w:val="40"/>
          <w:sz w:val="24"/>
        </w:rPr>
        <w:t xml:space="preserve"> </w:t>
      </w:r>
      <w:r>
        <w:rPr>
          <w:sz w:val="24"/>
        </w:rPr>
        <w:t>10</w:t>
      </w:r>
      <w:r>
        <w:rPr>
          <w:spacing w:val="40"/>
          <w:sz w:val="24"/>
        </w:rPr>
        <w:t xml:space="preserve"> </w:t>
      </w:r>
      <w:r>
        <w:rPr>
          <w:sz w:val="24"/>
        </w:rPr>
        <w:t>mg</w:t>
      </w:r>
      <w:r>
        <w:rPr>
          <w:spacing w:val="40"/>
          <w:sz w:val="24"/>
        </w:rPr>
        <w:t xml:space="preserve"> </w:t>
      </w:r>
      <w:r>
        <w:rPr>
          <w:sz w:val="24"/>
        </w:rPr>
        <w:t>twice</w:t>
      </w:r>
      <w:r>
        <w:rPr>
          <w:spacing w:val="39"/>
          <w:sz w:val="24"/>
        </w:rPr>
        <w:t xml:space="preserve"> </w:t>
      </w:r>
      <w:r>
        <w:rPr>
          <w:sz w:val="24"/>
        </w:rPr>
        <w:t>daily,</w:t>
      </w:r>
      <w:r>
        <w:rPr>
          <w:spacing w:val="40"/>
          <w:sz w:val="24"/>
        </w:rPr>
        <w:t xml:space="preserve"> </w:t>
      </w:r>
      <w:r>
        <w:rPr>
          <w:sz w:val="24"/>
        </w:rPr>
        <w:t>all</w:t>
      </w:r>
      <w:r>
        <w:rPr>
          <w:spacing w:val="34"/>
          <w:sz w:val="24"/>
        </w:rPr>
        <w:t xml:space="preserve"> </w:t>
      </w:r>
      <w:r>
        <w:rPr>
          <w:sz w:val="24"/>
        </w:rPr>
        <w:t>XELJANZ</w:t>
      </w:r>
      <w:r>
        <w:rPr>
          <w:spacing w:val="29"/>
          <w:sz w:val="24"/>
        </w:rPr>
        <w:t xml:space="preserve"> </w:t>
      </w:r>
      <w:r>
        <w:rPr>
          <w:sz w:val="24"/>
        </w:rPr>
        <w:t>(combines</w:t>
      </w:r>
      <w:r>
        <w:rPr>
          <w:spacing w:val="37"/>
          <w:sz w:val="24"/>
        </w:rPr>
        <w:t xml:space="preserve"> </w:t>
      </w:r>
      <w:r>
        <w:rPr>
          <w:sz w:val="24"/>
        </w:rPr>
        <w:t>5</w:t>
      </w:r>
      <w:r>
        <w:rPr>
          <w:spacing w:val="40"/>
          <w:sz w:val="24"/>
        </w:rPr>
        <w:t xml:space="preserve"> </w:t>
      </w:r>
      <w:r>
        <w:rPr>
          <w:sz w:val="24"/>
        </w:rPr>
        <w:t>mg</w:t>
      </w:r>
      <w:r>
        <w:rPr>
          <w:spacing w:val="40"/>
          <w:sz w:val="24"/>
        </w:rPr>
        <w:t xml:space="preserve"> </w:t>
      </w:r>
      <w:r>
        <w:rPr>
          <w:sz w:val="24"/>
        </w:rPr>
        <w:t>twice</w:t>
      </w:r>
      <w:r>
        <w:rPr>
          <w:spacing w:val="39"/>
          <w:sz w:val="24"/>
        </w:rPr>
        <w:t xml:space="preserve"> </w:t>
      </w:r>
      <w:r>
        <w:rPr>
          <w:sz w:val="24"/>
        </w:rPr>
        <w:t>daily</w:t>
      </w:r>
      <w:r>
        <w:rPr>
          <w:spacing w:val="40"/>
          <w:sz w:val="24"/>
        </w:rPr>
        <w:t xml:space="preserve"> </w:t>
      </w:r>
      <w:r>
        <w:rPr>
          <w:sz w:val="24"/>
        </w:rPr>
        <w:t>and 10</w:t>
      </w:r>
      <w:r>
        <w:rPr>
          <w:spacing w:val="-4"/>
          <w:sz w:val="24"/>
        </w:rPr>
        <w:t xml:space="preserve"> </w:t>
      </w:r>
      <w:r>
        <w:rPr>
          <w:sz w:val="24"/>
        </w:rPr>
        <w:t>mg</w:t>
      </w:r>
      <w:r>
        <w:rPr>
          <w:spacing w:val="-4"/>
          <w:sz w:val="24"/>
        </w:rPr>
        <w:t xml:space="preserve"> </w:t>
      </w:r>
      <w:r>
        <w:rPr>
          <w:sz w:val="24"/>
        </w:rPr>
        <w:t>twice</w:t>
      </w:r>
      <w:r>
        <w:rPr>
          <w:spacing w:val="-6"/>
          <w:sz w:val="24"/>
        </w:rPr>
        <w:t xml:space="preserve"> </w:t>
      </w:r>
      <w:r>
        <w:rPr>
          <w:sz w:val="24"/>
        </w:rPr>
        <w:t>daily treatment arms),</w:t>
      </w:r>
      <w:r>
        <w:rPr>
          <w:spacing w:val="-4"/>
          <w:sz w:val="24"/>
        </w:rPr>
        <w:t xml:space="preserve"> </w:t>
      </w:r>
      <w:r>
        <w:rPr>
          <w:sz w:val="24"/>
        </w:rPr>
        <w:t>and</w:t>
      </w:r>
      <w:r>
        <w:rPr>
          <w:spacing w:val="24"/>
          <w:sz w:val="24"/>
        </w:rPr>
        <w:t xml:space="preserve"> </w:t>
      </w:r>
      <w:r>
        <w:rPr>
          <w:sz w:val="24"/>
        </w:rPr>
        <w:t>TNF</w:t>
      </w:r>
      <w:r>
        <w:rPr>
          <w:spacing w:val="-3"/>
          <w:sz w:val="24"/>
        </w:rPr>
        <w:t xml:space="preserve"> </w:t>
      </w:r>
      <w:r>
        <w:rPr>
          <w:sz w:val="24"/>
        </w:rPr>
        <w:t>inhibitor</w:t>
      </w:r>
      <w:r>
        <w:rPr>
          <w:spacing w:val="-9"/>
          <w:sz w:val="24"/>
        </w:rPr>
        <w:t xml:space="preserve"> </w:t>
      </w:r>
      <w:r>
        <w:rPr>
          <w:sz w:val="24"/>
        </w:rPr>
        <w:t>were 0.29 (0.16,</w:t>
      </w:r>
      <w:r>
        <w:rPr>
          <w:spacing w:val="-4"/>
          <w:sz w:val="24"/>
        </w:rPr>
        <w:t xml:space="preserve"> </w:t>
      </w:r>
      <w:r>
        <w:rPr>
          <w:sz w:val="24"/>
        </w:rPr>
        <w:t>0.48), 0.45 (0.29,</w:t>
      </w:r>
    </w:p>
    <w:p w14:paraId="19089831" w14:textId="77777777" w:rsidR="001825E2" w:rsidRDefault="000839A5" w:rsidP="00CB00A7">
      <w:pPr>
        <w:pStyle w:val="BodyText"/>
        <w:spacing w:line="242" w:lineRule="auto"/>
        <w:ind w:left="636" w:right="221"/>
        <w:jc w:val="left"/>
      </w:pPr>
      <w:r>
        <w:t>0.69), 0.37</w:t>
      </w:r>
      <w:r>
        <w:rPr>
          <w:spacing w:val="-4"/>
        </w:rPr>
        <w:t xml:space="preserve"> </w:t>
      </w:r>
      <w:r>
        <w:t>(0.26,</w:t>
      </w:r>
      <w:r>
        <w:rPr>
          <w:spacing w:val="-4"/>
        </w:rPr>
        <w:t xml:space="preserve"> </w:t>
      </w:r>
      <w:r>
        <w:t>0.51), and 0.16 (0.07, 0.31) patients with events per 100 patient-years, respectively.</w:t>
      </w:r>
      <w:r>
        <w:rPr>
          <w:spacing w:val="40"/>
        </w:rPr>
        <w:t xml:space="preserve"> </w:t>
      </w:r>
      <w:r>
        <w:t>Compared</w:t>
      </w:r>
      <w:r>
        <w:rPr>
          <w:spacing w:val="40"/>
        </w:rPr>
        <w:t xml:space="preserve"> </w:t>
      </w:r>
      <w:r>
        <w:t>with TNF inhibitor, the HRs</w:t>
      </w:r>
      <w:r>
        <w:rPr>
          <w:spacing w:val="40"/>
        </w:rPr>
        <w:t xml:space="preserve"> </w:t>
      </w:r>
      <w:r>
        <w:t>(95% CI) for XELJANZ 5 mg twice</w:t>
      </w:r>
      <w:r>
        <w:rPr>
          <w:spacing w:val="27"/>
        </w:rPr>
        <w:t xml:space="preserve"> </w:t>
      </w:r>
      <w:r>
        <w:t>daily,</w:t>
      </w:r>
      <w:r>
        <w:rPr>
          <w:spacing w:val="32"/>
        </w:rPr>
        <w:t xml:space="preserve"> </w:t>
      </w:r>
      <w:r>
        <w:t>XELJANZ</w:t>
      </w:r>
      <w:r>
        <w:rPr>
          <w:spacing w:val="35"/>
        </w:rPr>
        <w:t xml:space="preserve"> </w:t>
      </w:r>
      <w:r>
        <w:t>10</w:t>
      </w:r>
      <w:r>
        <w:rPr>
          <w:spacing w:val="32"/>
        </w:rPr>
        <w:t xml:space="preserve"> </w:t>
      </w:r>
      <w:r>
        <w:t>mg</w:t>
      </w:r>
      <w:r>
        <w:rPr>
          <w:spacing w:val="32"/>
        </w:rPr>
        <w:t xml:space="preserve"> </w:t>
      </w:r>
      <w:r>
        <w:t>twice</w:t>
      </w:r>
      <w:r>
        <w:rPr>
          <w:spacing w:val="29"/>
        </w:rPr>
        <w:t xml:space="preserve"> </w:t>
      </w:r>
      <w:r>
        <w:t>daily,</w:t>
      </w:r>
      <w:r>
        <w:rPr>
          <w:spacing w:val="32"/>
        </w:rPr>
        <w:t xml:space="preserve"> </w:t>
      </w:r>
      <w:r>
        <w:t>and</w:t>
      </w:r>
      <w:r>
        <w:rPr>
          <w:spacing w:val="47"/>
        </w:rPr>
        <w:t xml:space="preserve"> </w:t>
      </w:r>
      <w:r>
        <w:t>all</w:t>
      </w:r>
      <w:r>
        <w:rPr>
          <w:spacing w:val="25"/>
        </w:rPr>
        <w:t xml:space="preserve"> </w:t>
      </w:r>
      <w:r>
        <w:t>XELJANZ</w:t>
      </w:r>
      <w:r>
        <w:rPr>
          <w:spacing w:val="35"/>
        </w:rPr>
        <w:t xml:space="preserve"> </w:t>
      </w:r>
      <w:r>
        <w:t>were</w:t>
      </w:r>
      <w:r>
        <w:rPr>
          <w:spacing w:val="30"/>
        </w:rPr>
        <w:t xml:space="preserve"> </w:t>
      </w:r>
      <w:r>
        <w:t>1.82</w:t>
      </w:r>
      <w:r>
        <w:rPr>
          <w:spacing w:val="32"/>
        </w:rPr>
        <w:t xml:space="preserve"> </w:t>
      </w:r>
      <w:r>
        <w:t>(0.77,</w:t>
      </w:r>
      <w:r>
        <w:rPr>
          <w:spacing w:val="32"/>
        </w:rPr>
        <w:t xml:space="preserve"> </w:t>
      </w:r>
      <w:r>
        <w:rPr>
          <w:spacing w:val="-2"/>
        </w:rPr>
        <w:t>4.30),</w:t>
      </w:r>
    </w:p>
    <w:p w14:paraId="79C3405A" w14:textId="77777777" w:rsidR="001825E2" w:rsidRDefault="000839A5" w:rsidP="00CB00A7">
      <w:pPr>
        <w:pStyle w:val="BodyText"/>
        <w:ind w:left="636"/>
        <w:jc w:val="left"/>
      </w:pPr>
      <w:r>
        <w:t>2.86</w:t>
      </w:r>
      <w:r>
        <w:rPr>
          <w:spacing w:val="-3"/>
        </w:rPr>
        <w:t xml:space="preserve"> </w:t>
      </w:r>
      <w:r>
        <w:t>(1.27,</w:t>
      </w:r>
      <w:r>
        <w:rPr>
          <w:spacing w:val="-3"/>
        </w:rPr>
        <w:t xml:space="preserve"> </w:t>
      </w:r>
      <w:r>
        <w:t>6.43),</w:t>
      </w:r>
      <w:r>
        <w:rPr>
          <w:spacing w:val="10"/>
        </w:rPr>
        <w:t xml:space="preserve"> </w:t>
      </w:r>
      <w:r>
        <w:t>and</w:t>
      </w:r>
      <w:r>
        <w:rPr>
          <w:spacing w:val="-4"/>
        </w:rPr>
        <w:t xml:space="preserve"> </w:t>
      </w:r>
      <w:r>
        <w:t>2.32</w:t>
      </w:r>
      <w:r>
        <w:rPr>
          <w:spacing w:val="-3"/>
        </w:rPr>
        <w:t xml:space="preserve"> </w:t>
      </w:r>
      <w:r>
        <w:t>(1.08,</w:t>
      </w:r>
      <w:r>
        <w:rPr>
          <w:spacing w:val="-3"/>
        </w:rPr>
        <w:t xml:space="preserve"> </w:t>
      </w:r>
      <w:r>
        <w:t>4.99),</w:t>
      </w:r>
      <w:r>
        <w:rPr>
          <w:spacing w:val="12"/>
        </w:rPr>
        <w:t xml:space="preserve"> </w:t>
      </w:r>
      <w:r>
        <w:rPr>
          <w:spacing w:val="-2"/>
        </w:rPr>
        <w:t>respectively.</w:t>
      </w:r>
    </w:p>
    <w:p w14:paraId="5288B182" w14:textId="77777777" w:rsidR="001825E2" w:rsidRDefault="000839A5" w:rsidP="00CB00A7">
      <w:pPr>
        <w:pStyle w:val="Heading4"/>
        <w:spacing w:before="230"/>
        <w:ind w:left="216"/>
        <w:jc w:val="left"/>
      </w:pPr>
      <w:r>
        <w:rPr>
          <w:spacing w:val="-2"/>
        </w:rPr>
        <w:t>Gastrointestinal</w:t>
      </w:r>
      <w:r>
        <w:rPr>
          <w:spacing w:val="29"/>
        </w:rPr>
        <w:t xml:space="preserve"> </w:t>
      </w:r>
      <w:r>
        <w:rPr>
          <w:spacing w:val="-2"/>
        </w:rPr>
        <w:t>Perforations</w:t>
      </w:r>
    </w:p>
    <w:p w14:paraId="610EA8F5" w14:textId="77777777" w:rsidR="001825E2" w:rsidRDefault="000839A5" w:rsidP="00CB00A7">
      <w:pPr>
        <w:spacing w:before="113"/>
        <w:ind w:left="220"/>
        <w:rPr>
          <w:i/>
          <w:sz w:val="24"/>
        </w:rPr>
      </w:pPr>
      <w:r>
        <w:rPr>
          <w:i/>
          <w:sz w:val="24"/>
          <w:u w:val="single"/>
        </w:rPr>
        <w:t>Rheumatoid</w:t>
      </w:r>
      <w:r>
        <w:rPr>
          <w:i/>
          <w:spacing w:val="-7"/>
          <w:sz w:val="24"/>
          <w:u w:val="single"/>
        </w:rPr>
        <w:t xml:space="preserve"> </w:t>
      </w:r>
      <w:r>
        <w:rPr>
          <w:i/>
          <w:spacing w:val="-2"/>
          <w:sz w:val="24"/>
          <w:u w:val="single"/>
        </w:rPr>
        <w:t>Arthritis</w:t>
      </w:r>
    </w:p>
    <w:p w14:paraId="0A74ABF4" w14:textId="77777777" w:rsidR="001825E2" w:rsidRDefault="000839A5" w:rsidP="00CB00A7">
      <w:pPr>
        <w:pStyle w:val="BodyText"/>
        <w:spacing w:before="129" w:line="242" w:lineRule="auto"/>
        <w:ind w:left="219" w:right="215"/>
        <w:jc w:val="left"/>
      </w:pPr>
      <w:r>
        <w:t>Results</w:t>
      </w:r>
      <w:r>
        <w:rPr>
          <w:spacing w:val="40"/>
        </w:rPr>
        <w:t xml:space="preserve"> </w:t>
      </w:r>
      <w:r>
        <w:t>from</w:t>
      </w:r>
      <w:r>
        <w:rPr>
          <w:spacing w:val="40"/>
        </w:rPr>
        <w:t xml:space="preserve"> </w:t>
      </w:r>
      <w:r>
        <w:t>final</w:t>
      </w:r>
      <w:r>
        <w:rPr>
          <w:spacing w:val="40"/>
        </w:rPr>
        <w:t xml:space="preserve"> </w:t>
      </w:r>
      <w:r>
        <w:t>safety</w:t>
      </w:r>
      <w:r>
        <w:rPr>
          <w:spacing w:val="40"/>
        </w:rPr>
        <w:t xml:space="preserve"> </w:t>
      </w:r>
      <w:r>
        <w:t>data</w:t>
      </w:r>
      <w:r>
        <w:rPr>
          <w:spacing w:val="40"/>
        </w:rPr>
        <w:t xml:space="preserve"> </w:t>
      </w:r>
      <w:r>
        <w:t>from</w:t>
      </w:r>
      <w:r>
        <w:rPr>
          <w:spacing w:val="40"/>
        </w:rPr>
        <w:t xml:space="preserve"> </w:t>
      </w:r>
      <w:r>
        <w:t>a</w:t>
      </w:r>
      <w:r>
        <w:rPr>
          <w:spacing w:val="40"/>
        </w:rPr>
        <w:t xml:space="preserve"> </w:t>
      </w:r>
      <w:proofErr w:type="gramStart"/>
      <w:r>
        <w:t>large</w:t>
      </w:r>
      <w:r>
        <w:rPr>
          <w:spacing w:val="40"/>
        </w:rPr>
        <w:t xml:space="preserve"> </w:t>
      </w:r>
      <w:proofErr w:type="spellStart"/>
      <w:r>
        <w:t>randomised</w:t>
      </w:r>
      <w:proofErr w:type="spellEnd"/>
      <w:proofErr w:type="gramEnd"/>
      <w:r>
        <w:rPr>
          <w:spacing w:val="40"/>
        </w:rPr>
        <w:t xml:space="preserve"> </w:t>
      </w:r>
      <w:r>
        <w:t>PASS</w:t>
      </w:r>
      <w:r>
        <w:rPr>
          <w:spacing w:val="40"/>
        </w:rPr>
        <w:t xml:space="preserve"> </w:t>
      </w:r>
      <w:r>
        <w:t>in</w:t>
      </w:r>
      <w:r>
        <w:rPr>
          <w:spacing w:val="40"/>
        </w:rPr>
        <w:t xml:space="preserve"> </w:t>
      </w:r>
      <w:r>
        <w:t>RA</w:t>
      </w:r>
      <w:r>
        <w:rPr>
          <w:spacing w:val="40"/>
        </w:rPr>
        <w:t xml:space="preserve"> </w:t>
      </w:r>
      <w:r>
        <w:t>patients</w:t>
      </w:r>
      <w:r>
        <w:rPr>
          <w:spacing w:val="40"/>
        </w:rPr>
        <w:t xml:space="preserve"> </w:t>
      </w:r>
      <w:r>
        <w:t>who</w:t>
      </w:r>
      <w:r>
        <w:rPr>
          <w:spacing w:val="40"/>
        </w:rPr>
        <w:t xml:space="preserve"> </w:t>
      </w:r>
      <w:r>
        <w:t>were 50</w:t>
      </w:r>
      <w:r>
        <w:rPr>
          <w:spacing w:val="-1"/>
        </w:rPr>
        <w:t xml:space="preserve"> </w:t>
      </w:r>
      <w:r>
        <w:t xml:space="preserve">years or older with at least one additional cardiovascular risk factor, are presented as </w:t>
      </w:r>
      <w:r>
        <w:rPr>
          <w:spacing w:val="-2"/>
        </w:rPr>
        <w:t>follows:</w:t>
      </w:r>
    </w:p>
    <w:p w14:paraId="38F5672A" w14:textId="77777777" w:rsidR="001825E2" w:rsidRDefault="000839A5" w:rsidP="00CB00A7">
      <w:pPr>
        <w:pStyle w:val="ListParagraph"/>
        <w:numPr>
          <w:ilvl w:val="0"/>
          <w:numId w:val="4"/>
        </w:numPr>
        <w:tabs>
          <w:tab w:val="left" w:pos="638"/>
        </w:tabs>
        <w:spacing w:before="231" w:line="237" w:lineRule="auto"/>
        <w:ind w:left="638" w:right="219"/>
        <w:jc w:val="left"/>
        <w:rPr>
          <w:sz w:val="24"/>
        </w:rPr>
      </w:pPr>
      <w:r>
        <w:rPr>
          <w:sz w:val="24"/>
        </w:rPr>
        <w:t>The IRs (95% CI) for gastrointestinal perforations for XELJANZ 5 mg twice daily, XELJANZ 10 mg twice daily, all XELJANZ (combines 5 mg twice daily and 10 mg twice</w:t>
      </w:r>
      <w:r>
        <w:rPr>
          <w:spacing w:val="-8"/>
          <w:sz w:val="24"/>
        </w:rPr>
        <w:t xml:space="preserve"> </w:t>
      </w:r>
      <w:r>
        <w:rPr>
          <w:sz w:val="24"/>
        </w:rPr>
        <w:t>daily treatment</w:t>
      </w:r>
      <w:r>
        <w:rPr>
          <w:spacing w:val="15"/>
          <w:sz w:val="24"/>
        </w:rPr>
        <w:t xml:space="preserve"> </w:t>
      </w:r>
      <w:r>
        <w:rPr>
          <w:sz w:val="24"/>
        </w:rPr>
        <w:t>arms), and</w:t>
      </w:r>
      <w:r>
        <w:rPr>
          <w:spacing w:val="21"/>
          <w:sz w:val="24"/>
        </w:rPr>
        <w:t xml:space="preserve"> </w:t>
      </w:r>
      <w:r>
        <w:rPr>
          <w:sz w:val="24"/>
        </w:rPr>
        <w:t>TNF inhibitor were 0.17 (0.08, 0.33), 0.10 (0.03, 0.24),</w:t>
      </w:r>
    </w:p>
    <w:p w14:paraId="39838096" w14:textId="77777777" w:rsidR="001825E2" w:rsidRDefault="000839A5" w:rsidP="00CB00A7">
      <w:pPr>
        <w:pStyle w:val="BodyText"/>
        <w:spacing w:line="242" w:lineRule="auto"/>
        <w:ind w:left="638" w:right="219"/>
        <w:jc w:val="left"/>
      </w:pPr>
      <w:r>
        <w:t>0.14</w:t>
      </w:r>
      <w:r>
        <w:rPr>
          <w:spacing w:val="-1"/>
        </w:rPr>
        <w:t xml:space="preserve"> </w:t>
      </w:r>
      <w:r>
        <w:t>(0.08,</w:t>
      </w:r>
      <w:r>
        <w:rPr>
          <w:spacing w:val="-1"/>
        </w:rPr>
        <w:t xml:space="preserve"> </w:t>
      </w:r>
      <w:r>
        <w:t>0.23), and 0.08 (0.02, 0.20) patients with events per 100 patient-years, respectively.</w:t>
      </w:r>
      <w:r>
        <w:rPr>
          <w:spacing w:val="40"/>
        </w:rPr>
        <w:t xml:space="preserve"> </w:t>
      </w:r>
      <w:r>
        <w:t>Compared</w:t>
      </w:r>
      <w:r>
        <w:rPr>
          <w:spacing w:val="40"/>
        </w:rPr>
        <w:t xml:space="preserve"> </w:t>
      </w:r>
      <w:r>
        <w:t>with TNF inhibitor, the HRs (95% CI) for XELJANZ 5 mg twice</w:t>
      </w:r>
      <w:r>
        <w:rPr>
          <w:spacing w:val="27"/>
        </w:rPr>
        <w:t xml:space="preserve"> </w:t>
      </w:r>
      <w:r>
        <w:t>daily,</w:t>
      </w:r>
      <w:r>
        <w:rPr>
          <w:spacing w:val="32"/>
        </w:rPr>
        <w:t xml:space="preserve"> </w:t>
      </w:r>
      <w:r>
        <w:t>XELJANZ</w:t>
      </w:r>
      <w:r>
        <w:rPr>
          <w:spacing w:val="35"/>
        </w:rPr>
        <w:t xml:space="preserve"> </w:t>
      </w:r>
      <w:r>
        <w:t>10</w:t>
      </w:r>
      <w:r>
        <w:rPr>
          <w:spacing w:val="32"/>
        </w:rPr>
        <w:t xml:space="preserve"> </w:t>
      </w:r>
      <w:r>
        <w:t>mg</w:t>
      </w:r>
      <w:r>
        <w:rPr>
          <w:spacing w:val="32"/>
        </w:rPr>
        <w:t xml:space="preserve"> </w:t>
      </w:r>
      <w:r>
        <w:t>twice</w:t>
      </w:r>
      <w:r>
        <w:rPr>
          <w:spacing w:val="29"/>
        </w:rPr>
        <w:t xml:space="preserve"> </w:t>
      </w:r>
      <w:r>
        <w:t>daily,</w:t>
      </w:r>
      <w:r>
        <w:rPr>
          <w:spacing w:val="32"/>
        </w:rPr>
        <w:t xml:space="preserve"> </w:t>
      </w:r>
      <w:r>
        <w:t>and</w:t>
      </w:r>
      <w:r>
        <w:rPr>
          <w:spacing w:val="47"/>
        </w:rPr>
        <w:t xml:space="preserve"> </w:t>
      </w:r>
      <w:r>
        <w:t>all</w:t>
      </w:r>
      <w:r>
        <w:rPr>
          <w:spacing w:val="25"/>
        </w:rPr>
        <w:t xml:space="preserve"> </w:t>
      </w:r>
      <w:r>
        <w:t>XELJANZ</w:t>
      </w:r>
      <w:r>
        <w:rPr>
          <w:spacing w:val="35"/>
        </w:rPr>
        <w:t xml:space="preserve"> </w:t>
      </w:r>
      <w:r>
        <w:t>were</w:t>
      </w:r>
      <w:r>
        <w:rPr>
          <w:spacing w:val="30"/>
        </w:rPr>
        <w:t xml:space="preserve"> </w:t>
      </w:r>
      <w:r>
        <w:t>2.20</w:t>
      </w:r>
      <w:r>
        <w:rPr>
          <w:spacing w:val="32"/>
        </w:rPr>
        <w:t xml:space="preserve"> </w:t>
      </w:r>
      <w:r>
        <w:t>(0.68,</w:t>
      </w:r>
      <w:r>
        <w:rPr>
          <w:spacing w:val="32"/>
        </w:rPr>
        <w:t xml:space="preserve"> </w:t>
      </w:r>
      <w:r>
        <w:rPr>
          <w:spacing w:val="-2"/>
        </w:rPr>
        <w:t>7.15),</w:t>
      </w:r>
    </w:p>
    <w:p w14:paraId="04E8DB87" w14:textId="77777777" w:rsidR="001825E2" w:rsidRDefault="000839A5" w:rsidP="00CB00A7">
      <w:pPr>
        <w:pStyle w:val="BodyText"/>
        <w:spacing w:line="265" w:lineRule="exact"/>
        <w:ind w:left="638"/>
        <w:jc w:val="left"/>
      </w:pPr>
      <w:r>
        <w:t>1.29</w:t>
      </w:r>
      <w:r>
        <w:rPr>
          <w:spacing w:val="-3"/>
        </w:rPr>
        <w:t xml:space="preserve"> </w:t>
      </w:r>
      <w:r>
        <w:t>(0.35,</w:t>
      </w:r>
      <w:r>
        <w:rPr>
          <w:spacing w:val="-3"/>
        </w:rPr>
        <w:t xml:space="preserve"> </w:t>
      </w:r>
      <w:r>
        <w:t>4.80),</w:t>
      </w:r>
      <w:r>
        <w:rPr>
          <w:spacing w:val="11"/>
        </w:rPr>
        <w:t xml:space="preserve"> </w:t>
      </w:r>
      <w:r>
        <w:t>and</w:t>
      </w:r>
      <w:r>
        <w:rPr>
          <w:spacing w:val="-3"/>
        </w:rPr>
        <w:t xml:space="preserve"> </w:t>
      </w:r>
      <w:r>
        <w:t>1.76</w:t>
      </w:r>
      <w:r>
        <w:rPr>
          <w:spacing w:val="-3"/>
        </w:rPr>
        <w:t xml:space="preserve"> </w:t>
      </w:r>
      <w:r>
        <w:t>(0.58,</w:t>
      </w:r>
      <w:r>
        <w:rPr>
          <w:spacing w:val="-3"/>
        </w:rPr>
        <w:t xml:space="preserve"> </w:t>
      </w:r>
      <w:r>
        <w:t>5.34),</w:t>
      </w:r>
      <w:r>
        <w:rPr>
          <w:spacing w:val="12"/>
        </w:rPr>
        <w:t xml:space="preserve"> </w:t>
      </w:r>
      <w:r>
        <w:rPr>
          <w:spacing w:val="-2"/>
        </w:rPr>
        <w:t>respectively.</w:t>
      </w:r>
    </w:p>
    <w:p w14:paraId="743A8622" w14:textId="77777777" w:rsidR="001825E2" w:rsidRDefault="001825E2" w:rsidP="00CB00A7">
      <w:pPr>
        <w:spacing w:line="265" w:lineRule="exact"/>
        <w:sectPr w:rsidR="001825E2">
          <w:pgSz w:w="11910" w:h="16850"/>
          <w:pgMar w:top="1360" w:right="1220" w:bottom="980" w:left="1220" w:header="0" w:footer="785" w:gutter="0"/>
          <w:cols w:space="720"/>
        </w:sectPr>
      </w:pPr>
    </w:p>
    <w:p w14:paraId="0438BA1F" w14:textId="77777777" w:rsidR="001825E2" w:rsidRDefault="000839A5" w:rsidP="00CB00A7">
      <w:pPr>
        <w:pStyle w:val="Heading4"/>
        <w:spacing w:before="76"/>
        <w:jc w:val="left"/>
      </w:pPr>
      <w:bookmarkStart w:id="53" w:name="Fractures"/>
      <w:bookmarkStart w:id="54" w:name="Laboratory_Parameters"/>
      <w:bookmarkEnd w:id="53"/>
      <w:bookmarkEnd w:id="54"/>
      <w:r>
        <w:rPr>
          <w:spacing w:val="-2"/>
        </w:rPr>
        <w:lastRenderedPageBreak/>
        <w:t>Fractures</w:t>
      </w:r>
    </w:p>
    <w:p w14:paraId="0F48DCCE" w14:textId="77777777" w:rsidR="001825E2" w:rsidRDefault="000839A5" w:rsidP="00CB00A7">
      <w:pPr>
        <w:spacing w:before="234"/>
        <w:ind w:left="220"/>
        <w:rPr>
          <w:i/>
          <w:sz w:val="24"/>
        </w:rPr>
      </w:pPr>
      <w:r>
        <w:rPr>
          <w:i/>
          <w:sz w:val="24"/>
          <w:u w:val="single"/>
        </w:rPr>
        <w:t>Rheumatoid</w:t>
      </w:r>
      <w:r>
        <w:rPr>
          <w:i/>
          <w:spacing w:val="-7"/>
          <w:sz w:val="24"/>
          <w:u w:val="single"/>
        </w:rPr>
        <w:t xml:space="preserve"> </w:t>
      </w:r>
      <w:r>
        <w:rPr>
          <w:i/>
          <w:spacing w:val="-2"/>
          <w:sz w:val="24"/>
          <w:u w:val="single"/>
        </w:rPr>
        <w:t>Arthritis</w:t>
      </w:r>
    </w:p>
    <w:p w14:paraId="794B7E62" w14:textId="77777777" w:rsidR="001825E2" w:rsidRDefault="000839A5" w:rsidP="00CB00A7">
      <w:pPr>
        <w:pStyle w:val="BodyText"/>
        <w:spacing w:before="133" w:line="235" w:lineRule="auto"/>
        <w:ind w:left="220" w:right="203"/>
        <w:jc w:val="left"/>
      </w:pPr>
      <w:r>
        <w:t xml:space="preserve">Results from final safety data from a </w:t>
      </w:r>
      <w:proofErr w:type="gramStart"/>
      <w:r>
        <w:t xml:space="preserve">large </w:t>
      </w:r>
      <w:proofErr w:type="spellStart"/>
      <w:r>
        <w:t>randomised</w:t>
      </w:r>
      <w:proofErr w:type="spellEnd"/>
      <w:proofErr w:type="gramEnd"/>
      <w:r>
        <w:t xml:space="preserve"> PASS in RA patients who were 50 years or</w:t>
      </w:r>
      <w:r>
        <w:rPr>
          <w:spacing w:val="-3"/>
        </w:rPr>
        <w:t xml:space="preserve"> </w:t>
      </w:r>
      <w:r>
        <w:t>older</w:t>
      </w:r>
      <w:r>
        <w:rPr>
          <w:spacing w:val="-3"/>
        </w:rPr>
        <w:t xml:space="preserve"> </w:t>
      </w:r>
      <w:r>
        <w:t>with</w:t>
      </w:r>
      <w:r>
        <w:rPr>
          <w:spacing w:val="-14"/>
        </w:rPr>
        <w:t xml:space="preserve"> </w:t>
      </w:r>
      <w:r>
        <w:t>at least one additional</w:t>
      </w:r>
      <w:r>
        <w:rPr>
          <w:spacing w:val="-21"/>
        </w:rPr>
        <w:t xml:space="preserve"> </w:t>
      </w:r>
      <w:r>
        <w:t>cardiovascular</w:t>
      </w:r>
      <w:r>
        <w:rPr>
          <w:spacing w:val="28"/>
        </w:rPr>
        <w:t xml:space="preserve"> </w:t>
      </w:r>
      <w:r>
        <w:t>risk factor,</w:t>
      </w:r>
      <w:r>
        <w:rPr>
          <w:spacing w:val="-15"/>
        </w:rPr>
        <w:t xml:space="preserve"> </w:t>
      </w:r>
      <w:r>
        <w:t>are presented as</w:t>
      </w:r>
      <w:r>
        <w:rPr>
          <w:spacing w:val="-2"/>
        </w:rPr>
        <w:t xml:space="preserve"> </w:t>
      </w:r>
      <w:r>
        <w:t>follows:</w:t>
      </w:r>
    </w:p>
    <w:p w14:paraId="603C749A" w14:textId="77777777" w:rsidR="001825E2" w:rsidRDefault="000839A5" w:rsidP="00CB00A7">
      <w:pPr>
        <w:pStyle w:val="ListParagraph"/>
        <w:numPr>
          <w:ilvl w:val="0"/>
          <w:numId w:val="4"/>
        </w:numPr>
        <w:tabs>
          <w:tab w:val="left" w:pos="639"/>
        </w:tabs>
        <w:spacing w:before="258" w:line="230" w:lineRule="auto"/>
        <w:ind w:right="203"/>
        <w:jc w:val="left"/>
        <w:rPr>
          <w:sz w:val="24"/>
        </w:rPr>
      </w:pPr>
      <w:r>
        <w:rPr>
          <w:sz w:val="24"/>
        </w:rPr>
        <w:t>The IRs (95% CI) for fractures for XELJANZ 5 mg twice daily, XELJANZ 10 mg twice daily,</w:t>
      </w:r>
      <w:r>
        <w:rPr>
          <w:spacing w:val="-1"/>
          <w:sz w:val="24"/>
        </w:rPr>
        <w:t xml:space="preserve"> </w:t>
      </w:r>
      <w:r>
        <w:rPr>
          <w:sz w:val="24"/>
        </w:rPr>
        <w:t>all XELJANZ (combines 5 mg</w:t>
      </w:r>
      <w:r>
        <w:rPr>
          <w:spacing w:val="-1"/>
          <w:sz w:val="24"/>
        </w:rPr>
        <w:t xml:space="preserve"> </w:t>
      </w:r>
      <w:r>
        <w:rPr>
          <w:sz w:val="24"/>
        </w:rPr>
        <w:t>twice</w:t>
      </w:r>
      <w:r>
        <w:rPr>
          <w:spacing w:val="-3"/>
          <w:sz w:val="24"/>
        </w:rPr>
        <w:t xml:space="preserve"> </w:t>
      </w:r>
      <w:r>
        <w:rPr>
          <w:sz w:val="24"/>
        </w:rPr>
        <w:t>daily and 10</w:t>
      </w:r>
      <w:r>
        <w:rPr>
          <w:spacing w:val="-1"/>
          <w:sz w:val="24"/>
        </w:rPr>
        <w:t xml:space="preserve"> </w:t>
      </w:r>
      <w:r>
        <w:rPr>
          <w:sz w:val="24"/>
        </w:rPr>
        <w:t>mg twice</w:t>
      </w:r>
      <w:r>
        <w:rPr>
          <w:spacing w:val="-3"/>
          <w:sz w:val="24"/>
        </w:rPr>
        <w:t xml:space="preserve"> </w:t>
      </w:r>
      <w:r>
        <w:rPr>
          <w:sz w:val="24"/>
        </w:rPr>
        <w:t>daily</w:t>
      </w:r>
      <w:r>
        <w:rPr>
          <w:spacing w:val="-1"/>
          <w:sz w:val="24"/>
        </w:rPr>
        <w:t xml:space="preserve"> </w:t>
      </w:r>
      <w:r>
        <w:rPr>
          <w:sz w:val="24"/>
        </w:rPr>
        <w:t>treatment arms), and</w:t>
      </w:r>
      <w:r>
        <w:rPr>
          <w:spacing w:val="37"/>
          <w:sz w:val="24"/>
        </w:rPr>
        <w:t xml:space="preserve"> </w:t>
      </w:r>
      <w:r>
        <w:rPr>
          <w:sz w:val="24"/>
        </w:rPr>
        <w:t>TNF</w:t>
      </w:r>
      <w:r>
        <w:rPr>
          <w:spacing w:val="24"/>
          <w:sz w:val="24"/>
        </w:rPr>
        <w:t xml:space="preserve"> </w:t>
      </w:r>
      <w:r>
        <w:rPr>
          <w:sz w:val="24"/>
        </w:rPr>
        <w:t>inhibitor</w:t>
      </w:r>
      <w:r>
        <w:rPr>
          <w:spacing w:val="18"/>
          <w:sz w:val="24"/>
        </w:rPr>
        <w:t xml:space="preserve"> </w:t>
      </w:r>
      <w:r>
        <w:rPr>
          <w:sz w:val="24"/>
        </w:rPr>
        <w:t>were</w:t>
      </w:r>
      <w:r>
        <w:rPr>
          <w:spacing w:val="21"/>
          <w:sz w:val="24"/>
        </w:rPr>
        <w:t xml:space="preserve"> </w:t>
      </w:r>
      <w:r>
        <w:rPr>
          <w:sz w:val="24"/>
        </w:rPr>
        <w:t>2.79</w:t>
      </w:r>
      <w:r>
        <w:rPr>
          <w:spacing w:val="23"/>
          <w:sz w:val="24"/>
        </w:rPr>
        <w:t xml:space="preserve"> </w:t>
      </w:r>
      <w:r>
        <w:rPr>
          <w:sz w:val="24"/>
        </w:rPr>
        <w:t>(2.34,</w:t>
      </w:r>
      <w:r>
        <w:rPr>
          <w:spacing w:val="23"/>
          <w:sz w:val="24"/>
        </w:rPr>
        <w:t xml:space="preserve"> </w:t>
      </w:r>
      <w:r>
        <w:rPr>
          <w:sz w:val="24"/>
        </w:rPr>
        <w:t>3.30),</w:t>
      </w:r>
      <w:r>
        <w:rPr>
          <w:spacing w:val="23"/>
          <w:sz w:val="24"/>
        </w:rPr>
        <w:t xml:space="preserve"> </w:t>
      </w:r>
      <w:r>
        <w:rPr>
          <w:sz w:val="24"/>
        </w:rPr>
        <w:t>2.87 (2.40,</w:t>
      </w:r>
      <w:r>
        <w:rPr>
          <w:spacing w:val="23"/>
          <w:sz w:val="24"/>
        </w:rPr>
        <w:t xml:space="preserve"> </w:t>
      </w:r>
      <w:r>
        <w:rPr>
          <w:sz w:val="24"/>
        </w:rPr>
        <w:t>3.40),</w:t>
      </w:r>
      <w:r>
        <w:rPr>
          <w:spacing w:val="23"/>
          <w:sz w:val="24"/>
        </w:rPr>
        <w:t xml:space="preserve"> </w:t>
      </w:r>
      <w:r>
        <w:rPr>
          <w:sz w:val="24"/>
        </w:rPr>
        <w:t>2.83</w:t>
      </w:r>
      <w:r>
        <w:rPr>
          <w:spacing w:val="23"/>
          <w:sz w:val="24"/>
        </w:rPr>
        <w:t xml:space="preserve"> </w:t>
      </w:r>
      <w:r>
        <w:rPr>
          <w:sz w:val="24"/>
        </w:rPr>
        <w:t>(2.50,</w:t>
      </w:r>
      <w:r>
        <w:rPr>
          <w:spacing w:val="23"/>
          <w:sz w:val="24"/>
        </w:rPr>
        <w:t xml:space="preserve"> </w:t>
      </w:r>
      <w:r>
        <w:rPr>
          <w:sz w:val="24"/>
        </w:rPr>
        <w:t>3.19)</w:t>
      </w:r>
      <w:r>
        <w:rPr>
          <w:spacing w:val="18"/>
          <w:sz w:val="24"/>
        </w:rPr>
        <w:t xml:space="preserve"> </w:t>
      </w:r>
      <w:r>
        <w:rPr>
          <w:sz w:val="24"/>
        </w:rPr>
        <w:t>and</w:t>
      </w:r>
      <w:r>
        <w:rPr>
          <w:spacing w:val="37"/>
          <w:sz w:val="24"/>
        </w:rPr>
        <w:t xml:space="preserve"> </w:t>
      </w:r>
      <w:proofErr w:type="gramStart"/>
      <w:r>
        <w:rPr>
          <w:sz w:val="24"/>
        </w:rPr>
        <w:t>2.27</w:t>
      </w:r>
      <w:proofErr w:type="gramEnd"/>
    </w:p>
    <w:p w14:paraId="0A5233A8" w14:textId="77777777" w:rsidR="001825E2" w:rsidRDefault="000839A5" w:rsidP="00CB00A7">
      <w:pPr>
        <w:pStyle w:val="BodyText"/>
        <w:spacing w:before="11" w:line="242" w:lineRule="auto"/>
        <w:ind w:left="639" w:right="214"/>
        <w:jc w:val="left"/>
      </w:pPr>
      <w:r>
        <w:t>(1.87, 2.74) patients with events per 100 PYs respectively. Compared</w:t>
      </w:r>
      <w:r>
        <w:rPr>
          <w:spacing w:val="40"/>
        </w:rPr>
        <w:t xml:space="preserve"> </w:t>
      </w:r>
      <w:r>
        <w:t>with TNF inhibitor, the HRs (95% CI) for XELJANZ 5 mg twice daily, XELJANZ 10 mg twice daily,</w:t>
      </w:r>
      <w:r>
        <w:rPr>
          <w:spacing w:val="25"/>
        </w:rPr>
        <w:t xml:space="preserve"> </w:t>
      </w:r>
      <w:r>
        <w:t>and</w:t>
      </w:r>
      <w:r>
        <w:rPr>
          <w:spacing w:val="27"/>
        </w:rPr>
        <w:t xml:space="preserve"> </w:t>
      </w:r>
      <w:r>
        <w:t>all</w:t>
      </w:r>
      <w:r>
        <w:rPr>
          <w:spacing w:val="20"/>
        </w:rPr>
        <w:t xml:space="preserve"> </w:t>
      </w:r>
      <w:r>
        <w:t>XELJANZ</w:t>
      </w:r>
      <w:r>
        <w:rPr>
          <w:spacing w:val="15"/>
        </w:rPr>
        <w:t xml:space="preserve"> </w:t>
      </w:r>
      <w:r>
        <w:t>were</w:t>
      </w:r>
      <w:r>
        <w:rPr>
          <w:spacing w:val="25"/>
        </w:rPr>
        <w:t xml:space="preserve"> </w:t>
      </w:r>
      <w:r>
        <w:t>1.23</w:t>
      </w:r>
      <w:r>
        <w:rPr>
          <w:spacing w:val="27"/>
        </w:rPr>
        <w:t xml:space="preserve"> </w:t>
      </w:r>
      <w:r>
        <w:t>(0.96,</w:t>
      </w:r>
      <w:r>
        <w:rPr>
          <w:spacing w:val="27"/>
        </w:rPr>
        <w:t xml:space="preserve"> </w:t>
      </w:r>
      <w:r>
        <w:t>1.58)</w:t>
      </w:r>
      <w:r>
        <w:rPr>
          <w:spacing w:val="23"/>
        </w:rPr>
        <w:t xml:space="preserve"> </w:t>
      </w:r>
      <w:r>
        <w:t>1.26</w:t>
      </w:r>
      <w:r>
        <w:rPr>
          <w:spacing w:val="12"/>
        </w:rPr>
        <w:t xml:space="preserve"> </w:t>
      </w:r>
      <w:r>
        <w:t>(0.97,</w:t>
      </w:r>
      <w:r>
        <w:rPr>
          <w:spacing w:val="27"/>
        </w:rPr>
        <w:t xml:space="preserve"> </w:t>
      </w:r>
      <w:r>
        <w:t>1.62)</w:t>
      </w:r>
      <w:r>
        <w:rPr>
          <w:spacing w:val="22"/>
        </w:rPr>
        <w:t xml:space="preserve"> </w:t>
      </w:r>
      <w:r>
        <w:t>and</w:t>
      </w:r>
      <w:r>
        <w:rPr>
          <w:spacing w:val="42"/>
        </w:rPr>
        <w:t xml:space="preserve"> </w:t>
      </w:r>
      <w:r>
        <w:t>1.24</w:t>
      </w:r>
      <w:r>
        <w:rPr>
          <w:spacing w:val="12"/>
        </w:rPr>
        <w:t xml:space="preserve"> </w:t>
      </w:r>
      <w:r>
        <w:t>(0.99,</w:t>
      </w:r>
      <w:r>
        <w:rPr>
          <w:spacing w:val="28"/>
        </w:rPr>
        <w:t xml:space="preserve"> </w:t>
      </w:r>
      <w:r>
        <w:rPr>
          <w:spacing w:val="-2"/>
        </w:rPr>
        <w:t>1.55)</w:t>
      </w:r>
    </w:p>
    <w:p w14:paraId="0E94633D" w14:textId="77777777" w:rsidR="001825E2" w:rsidRDefault="000839A5" w:rsidP="00CB00A7">
      <w:pPr>
        <w:pStyle w:val="BodyText"/>
        <w:spacing w:line="265" w:lineRule="exact"/>
        <w:ind w:left="639"/>
        <w:jc w:val="left"/>
      </w:pPr>
      <w:r>
        <w:rPr>
          <w:spacing w:val="-2"/>
        </w:rPr>
        <w:t>respectively.</w:t>
      </w:r>
    </w:p>
    <w:p w14:paraId="6DAFDF44" w14:textId="77777777" w:rsidR="001825E2" w:rsidRDefault="000839A5" w:rsidP="00CB00A7">
      <w:pPr>
        <w:pStyle w:val="Heading4"/>
        <w:spacing w:before="234"/>
        <w:ind w:left="219"/>
        <w:jc w:val="left"/>
      </w:pPr>
      <w:r>
        <w:t>Laboratory</w:t>
      </w:r>
      <w:r>
        <w:rPr>
          <w:spacing w:val="1"/>
        </w:rPr>
        <w:t xml:space="preserve"> </w:t>
      </w:r>
      <w:r>
        <w:rPr>
          <w:spacing w:val="-2"/>
        </w:rPr>
        <w:t>Parameters</w:t>
      </w:r>
    </w:p>
    <w:p w14:paraId="0F15382E" w14:textId="77777777" w:rsidR="001825E2" w:rsidRDefault="000839A5" w:rsidP="00CB00A7">
      <w:pPr>
        <w:pStyle w:val="BodyText"/>
        <w:spacing w:before="129" w:line="242" w:lineRule="auto"/>
        <w:ind w:left="217" w:right="216" w:firstLine="1"/>
        <w:jc w:val="left"/>
      </w:pPr>
      <w:r>
        <w:t>In</w:t>
      </w:r>
      <w:r>
        <w:rPr>
          <w:spacing w:val="-6"/>
        </w:rPr>
        <w:t xml:space="preserve"> </w:t>
      </w:r>
      <w:r>
        <w:t>the clinical trials in PsA, AS, UC and JIA,</w:t>
      </w:r>
      <w:r>
        <w:rPr>
          <w:spacing w:val="-6"/>
        </w:rPr>
        <w:t xml:space="preserve"> </w:t>
      </w:r>
      <w:r>
        <w:t xml:space="preserve">changes in lymphocytes, neutrophils and lipids observed with XELJANZ treatment were </w:t>
      </w:r>
      <w:proofErr w:type="gramStart"/>
      <w:r>
        <w:t>similar to</w:t>
      </w:r>
      <w:proofErr w:type="gramEnd"/>
      <w:r>
        <w:t xml:space="preserve"> the changes observed in clinical trials in </w:t>
      </w:r>
      <w:r>
        <w:rPr>
          <w:spacing w:val="-4"/>
        </w:rPr>
        <w:t>RA.</w:t>
      </w:r>
    </w:p>
    <w:p w14:paraId="3C18F595" w14:textId="77777777" w:rsidR="001825E2" w:rsidRDefault="000839A5" w:rsidP="00CB00A7">
      <w:pPr>
        <w:pStyle w:val="BodyText"/>
        <w:spacing w:before="229" w:line="242" w:lineRule="auto"/>
        <w:ind w:left="216" w:right="206" w:firstLine="1"/>
        <w:jc w:val="left"/>
      </w:pPr>
      <w:r>
        <w:t xml:space="preserve">In the clinical trials in PsA, AS, UC and JIA, changes in liver enzyme tests observed with XELJANZ treatment were </w:t>
      </w:r>
      <w:proofErr w:type="gramStart"/>
      <w:r>
        <w:t>similar to</w:t>
      </w:r>
      <w:proofErr w:type="gramEnd"/>
      <w:r>
        <w:t xml:space="preserve"> the changes observed in clinical trials in RA where patients received background DMARDs.</w:t>
      </w:r>
    </w:p>
    <w:p w14:paraId="249229CD" w14:textId="77777777" w:rsidR="001825E2" w:rsidRDefault="000839A5" w:rsidP="00CB00A7">
      <w:pPr>
        <w:spacing w:before="228" w:line="352" w:lineRule="auto"/>
        <w:ind w:left="220" w:right="7247"/>
        <w:rPr>
          <w:i/>
          <w:sz w:val="24"/>
        </w:rPr>
      </w:pPr>
      <w:r>
        <w:rPr>
          <w:i/>
          <w:spacing w:val="-2"/>
          <w:sz w:val="24"/>
          <w:u w:val="single"/>
        </w:rPr>
        <w:t>Rheumatoid</w:t>
      </w:r>
      <w:r>
        <w:rPr>
          <w:i/>
          <w:spacing w:val="-13"/>
          <w:sz w:val="24"/>
          <w:u w:val="single"/>
        </w:rPr>
        <w:t xml:space="preserve"> </w:t>
      </w:r>
      <w:r>
        <w:rPr>
          <w:i/>
          <w:spacing w:val="-2"/>
          <w:sz w:val="24"/>
          <w:u w:val="single"/>
        </w:rPr>
        <w:t>Arthritis</w:t>
      </w:r>
      <w:r>
        <w:rPr>
          <w:i/>
          <w:spacing w:val="-2"/>
          <w:sz w:val="24"/>
        </w:rPr>
        <w:t xml:space="preserve"> Lymphocytes</w:t>
      </w:r>
    </w:p>
    <w:p w14:paraId="165A5AB1" w14:textId="77777777" w:rsidR="001825E2" w:rsidRDefault="000839A5" w:rsidP="00CB00A7">
      <w:pPr>
        <w:pStyle w:val="BodyText"/>
        <w:spacing w:line="235" w:lineRule="auto"/>
        <w:ind w:left="219"/>
        <w:jc w:val="left"/>
      </w:pPr>
      <w:r>
        <w:t>In</w:t>
      </w:r>
      <w:r>
        <w:rPr>
          <w:spacing w:val="28"/>
        </w:rPr>
        <w:t xml:space="preserve"> </w:t>
      </w:r>
      <w:r>
        <w:t>the</w:t>
      </w:r>
      <w:r>
        <w:rPr>
          <w:spacing w:val="26"/>
        </w:rPr>
        <w:t xml:space="preserve"> </w:t>
      </w:r>
      <w:r>
        <w:t>controlled</w:t>
      </w:r>
      <w:r>
        <w:rPr>
          <w:spacing w:val="40"/>
        </w:rPr>
        <w:t xml:space="preserve"> </w:t>
      </w:r>
      <w:r>
        <w:t>RA</w:t>
      </w:r>
      <w:r>
        <w:rPr>
          <w:spacing w:val="33"/>
        </w:rPr>
        <w:t xml:space="preserve"> </w:t>
      </w:r>
      <w:r>
        <w:t>clinical</w:t>
      </w:r>
      <w:r>
        <w:rPr>
          <w:spacing w:val="35"/>
        </w:rPr>
        <w:t xml:space="preserve"> </w:t>
      </w:r>
      <w:r>
        <w:t>studies,</w:t>
      </w:r>
      <w:r>
        <w:rPr>
          <w:spacing w:val="28"/>
        </w:rPr>
        <w:t xml:space="preserve"> </w:t>
      </w:r>
      <w:r>
        <w:t>confirmed</w:t>
      </w:r>
      <w:r>
        <w:rPr>
          <w:spacing w:val="40"/>
        </w:rPr>
        <w:t xml:space="preserve"> </w:t>
      </w:r>
      <w:r>
        <w:t>decreases</w:t>
      </w:r>
      <w:r>
        <w:rPr>
          <w:spacing w:val="38"/>
        </w:rPr>
        <w:t xml:space="preserve"> </w:t>
      </w:r>
      <w:r>
        <w:t>in</w:t>
      </w:r>
      <w:r>
        <w:rPr>
          <w:spacing w:val="28"/>
        </w:rPr>
        <w:t xml:space="preserve"> </w:t>
      </w:r>
      <w:r>
        <w:t>ALC</w:t>
      </w:r>
      <w:r>
        <w:rPr>
          <w:spacing w:val="31"/>
        </w:rPr>
        <w:t xml:space="preserve"> </w:t>
      </w:r>
      <w:r>
        <w:t>below</w:t>
      </w:r>
      <w:r>
        <w:rPr>
          <w:spacing w:val="33"/>
        </w:rPr>
        <w:t xml:space="preserve"> </w:t>
      </w:r>
      <w:r>
        <w:t>0.5</w:t>
      </w:r>
      <w:r>
        <w:rPr>
          <w:spacing w:val="-2"/>
        </w:rPr>
        <w:t xml:space="preserve"> </w:t>
      </w:r>
      <w:r>
        <w:t>x</w:t>
      </w:r>
      <w:r>
        <w:rPr>
          <w:spacing w:val="-2"/>
        </w:rPr>
        <w:t xml:space="preserve"> </w:t>
      </w:r>
      <w:r>
        <w:t>10</w:t>
      </w:r>
      <w:r>
        <w:rPr>
          <w:position w:val="7"/>
          <w:sz w:val="16"/>
        </w:rPr>
        <w:t>9</w:t>
      </w:r>
      <w:r>
        <w:rPr>
          <w:spacing w:val="25"/>
          <w:position w:val="7"/>
          <w:sz w:val="16"/>
        </w:rPr>
        <w:t xml:space="preserve"> </w:t>
      </w:r>
      <w:r>
        <w:t>cells/L occurred</w:t>
      </w:r>
      <w:r>
        <w:rPr>
          <w:spacing w:val="55"/>
        </w:rPr>
        <w:t xml:space="preserve"> </w:t>
      </w:r>
      <w:r>
        <w:t>in</w:t>
      </w:r>
      <w:r>
        <w:rPr>
          <w:spacing w:val="42"/>
        </w:rPr>
        <w:t xml:space="preserve"> </w:t>
      </w:r>
      <w:r>
        <w:t>0.3%</w:t>
      </w:r>
      <w:r>
        <w:rPr>
          <w:spacing w:val="36"/>
        </w:rPr>
        <w:t xml:space="preserve"> </w:t>
      </w:r>
      <w:r>
        <w:t>of</w:t>
      </w:r>
      <w:r>
        <w:rPr>
          <w:spacing w:val="36"/>
        </w:rPr>
        <w:t xml:space="preserve"> </w:t>
      </w:r>
      <w:r>
        <w:t>patients</w:t>
      </w:r>
      <w:r>
        <w:rPr>
          <w:spacing w:val="38"/>
        </w:rPr>
        <w:t xml:space="preserve"> </w:t>
      </w:r>
      <w:r>
        <w:t>and</w:t>
      </w:r>
      <w:r>
        <w:rPr>
          <w:spacing w:val="40"/>
        </w:rPr>
        <w:t xml:space="preserve"> </w:t>
      </w:r>
      <w:r>
        <w:t>for</w:t>
      </w:r>
      <w:r>
        <w:rPr>
          <w:spacing w:val="21"/>
        </w:rPr>
        <w:t xml:space="preserve"> </w:t>
      </w:r>
      <w:r>
        <w:t>ALC</w:t>
      </w:r>
      <w:r>
        <w:rPr>
          <w:spacing w:val="31"/>
        </w:rPr>
        <w:t xml:space="preserve"> </w:t>
      </w:r>
      <w:r>
        <w:t>between</w:t>
      </w:r>
      <w:r>
        <w:rPr>
          <w:spacing w:val="27"/>
        </w:rPr>
        <w:t xml:space="preserve"> </w:t>
      </w:r>
      <w:r>
        <w:t>0.5</w:t>
      </w:r>
      <w:r>
        <w:rPr>
          <w:spacing w:val="40"/>
        </w:rPr>
        <w:t xml:space="preserve"> </w:t>
      </w:r>
      <w:r>
        <w:t>and</w:t>
      </w:r>
      <w:r>
        <w:rPr>
          <w:spacing w:val="56"/>
        </w:rPr>
        <w:t xml:space="preserve"> </w:t>
      </w:r>
      <w:r>
        <w:t>0.75</w:t>
      </w:r>
      <w:r>
        <w:rPr>
          <w:spacing w:val="26"/>
        </w:rPr>
        <w:t xml:space="preserve"> </w:t>
      </w:r>
      <w:r>
        <w:t>x</w:t>
      </w:r>
      <w:r>
        <w:rPr>
          <w:spacing w:val="-3"/>
        </w:rPr>
        <w:t xml:space="preserve"> </w:t>
      </w:r>
      <w:r>
        <w:t>10</w:t>
      </w:r>
      <w:r>
        <w:rPr>
          <w:position w:val="7"/>
          <w:sz w:val="16"/>
        </w:rPr>
        <w:t>9</w:t>
      </w:r>
      <w:r>
        <w:rPr>
          <w:spacing w:val="25"/>
          <w:position w:val="7"/>
          <w:sz w:val="16"/>
        </w:rPr>
        <w:t xml:space="preserve"> </w:t>
      </w:r>
      <w:r>
        <w:t>cells/L</w:t>
      </w:r>
      <w:r>
        <w:rPr>
          <w:spacing w:val="44"/>
        </w:rPr>
        <w:t xml:space="preserve"> </w:t>
      </w:r>
      <w:r>
        <w:t>in</w:t>
      </w:r>
      <w:r>
        <w:rPr>
          <w:spacing w:val="41"/>
        </w:rPr>
        <w:t xml:space="preserve"> </w:t>
      </w:r>
      <w:r>
        <w:t>1.9%</w:t>
      </w:r>
      <w:r>
        <w:rPr>
          <w:spacing w:val="37"/>
        </w:rPr>
        <w:t xml:space="preserve"> </w:t>
      </w:r>
      <w:r>
        <w:rPr>
          <w:spacing w:val="-5"/>
        </w:rPr>
        <w:t>of</w:t>
      </w:r>
    </w:p>
    <w:p w14:paraId="2355FB24" w14:textId="77777777" w:rsidR="001825E2" w:rsidRDefault="000839A5" w:rsidP="00CB00A7">
      <w:pPr>
        <w:pStyle w:val="BodyText"/>
        <w:ind w:left="219"/>
        <w:jc w:val="left"/>
      </w:pPr>
      <w:r>
        <w:t>patients</w:t>
      </w:r>
      <w:r>
        <w:rPr>
          <w:spacing w:val="-5"/>
        </w:rPr>
        <w:t xml:space="preserve"> </w:t>
      </w:r>
      <w:r>
        <w:t>for</w:t>
      </w:r>
      <w:r>
        <w:rPr>
          <w:spacing w:val="-18"/>
        </w:rPr>
        <w:t xml:space="preserve"> </w:t>
      </w:r>
      <w:r>
        <w:t>the</w:t>
      </w:r>
      <w:r>
        <w:rPr>
          <w:spacing w:val="-1"/>
        </w:rPr>
        <w:t xml:space="preserve"> </w:t>
      </w:r>
      <w:r>
        <w:t>5</w:t>
      </w:r>
      <w:r>
        <w:rPr>
          <w:spacing w:val="2"/>
        </w:rPr>
        <w:t xml:space="preserve"> </w:t>
      </w:r>
      <w:r>
        <w:t>mg</w:t>
      </w:r>
      <w:r>
        <w:rPr>
          <w:spacing w:val="2"/>
        </w:rPr>
        <w:t xml:space="preserve"> </w:t>
      </w:r>
      <w:r>
        <w:t>twice daily</w:t>
      </w:r>
      <w:r>
        <w:rPr>
          <w:spacing w:val="2"/>
        </w:rPr>
        <w:t xml:space="preserve"> </w:t>
      </w:r>
      <w:r>
        <w:t>and</w:t>
      </w:r>
      <w:r>
        <w:rPr>
          <w:spacing w:val="2"/>
        </w:rPr>
        <w:t xml:space="preserve"> </w:t>
      </w:r>
      <w:r>
        <w:t>10</w:t>
      </w:r>
      <w:r>
        <w:rPr>
          <w:spacing w:val="2"/>
        </w:rPr>
        <w:t xml:space="preserve"> </w:t>
      </w:r>
      <w:r>
        <w:t>mg</w:t>
      </w:r>
      <w:r>
        <w:rPr>
          <w:spacing w:val="16"/>
        </w:rPr>
        <w:t xml:space="preserve"> </w:t>
      </w:r>
      <w:r>
        <w:t>twice</w:t>
      </w:r>
      <w:r>
        <w:rPr>
          <w:spacing w:val="-15"/>
        </w:rPr>
        <w:t xml:space="preserve"> </w:t>
      </w:r>
      <w:r>
        <w:t>daily</w:t>
      </w:r>
      <w:r>
        <w:rPr>
          <w:spacing w:val="2"/>
        </w:rPr>
        <w:t xml:space="preserve"> </w:t>
      </w:r>
      <w:r>
        <w:t>doses</w:t>
      </w:r>
      <w:r>
        <w:rPr>
          <w:spacing w:val="-2"/>
        </w:rPr>
        <w:t xml:space="preserve"> combined.</w:t>
      </w:r>
    </w:p>
    <w:p w14:paraId="34904874" w14:textId="77777777" w:rsidR="001825E2" w:rsidRDefault="000839A5" w:rsidP="00CB00A7">
      <w:pPr>
        <w:pStyle w:val="BodyText"/>
        <w:spacing w:before="227"/>
        <w:ind w:left="219" w:right="213" w:hanging="1"/>
        <w:jc w:val="left"/>
      </w:pPr>
      <w:r>
        <w:t>In the RA long-term safety population, confirmed decreases in ALC below 0.5</w:t>
      </w:r>
      <w:r>
        <w:rPr>
          <w:spacing w:val="-2"/>
        </w:rPr>
        <w:t xml:space="preserve"> </w:t>
      </w:r>
      <w:r>
        <w:t>x</w:t>
      </w:r>
      <w:r>
        <w:rPr>
          <w:spacing w:val="-2"/>
        </w:rPr>
        <w:t xml:space="preserve"> </w:t>
      </w:r>
      <w:r>
        <w:t>10</w:t>
      </w:r>
      <w:r>
        <w:rPr>
          <w:position w:val="8"/>
          <w:sz w:val="16"/>
        </w:rPr>
        <w:t xml:space="preserve">9 </w:t>
      </w:r>
      <w:r>
        <w:t>cells/L occurred in 1.3% of patients and for ALC between 0.5 and 0.75 x</w:t>
      </w:r>
      <w:r>
        <w:rPr>
          <w:spacing w:val="-3"/>
        </w:rPr>
        <w:t xml:space="preserve"> </w:t>
      </w:r>
      <w:r>
        <w:t>10</w:t>
      </w:r>
      <w:r>
        <w:rPr>
          <w:position w:val="8"/>
          <w:sz w:val="16"/>
        </w:rPr>
        <w:t xml:space="preserve">9 </w:t>
      </w:r>
      <w:r>
        <w:t>cells/L in 8.4% of patients for</w:t>
      </w:r>
      <w:r>
        <w:rPr>
          <w:spacing w:val="-11"/>
        </w:rPr>
        <w:t xml:space="preserve"> </w:t>
      </w:r>
      <w:r>
        <w:t>the 5 mg twice daily and 10 mg twice</w:t>
      </w:r>
      <w:r>
        <w:rPr>
          <w:spacing w:val="-7"/>
        </w:rPr>
        <w:t xml:space="preserve"> </w:t>
      </w:r>
      <w:r>
        <w:t>daily doses combined.</w:t>
      </w:r>
    </w:p>
    <w:p w14:paraId="1E3862B5" w14:textId="77777777" w:rsidR="001825E2" w:rsidRDefault="000839A5" w:rsidP="00CB00A7">
      <w:pPr>
        <w:pStyle w:val="BodyText"/>
        <w:spacing w:before="232" w:line="242" w:lineRule="auto"/>
        <w:ind w:left="219" w:right="213" w:hanging="1"/>
        <w:jc w:val="left"/>
      </w:pPr>
      <w:r>
        <w:t>Confirmed ALC less than 0.75</w:t>
      </w:r>
      <w:r>
        <w:rPr>
          <w:spacing w:val="-6"/>
        </w:rPr>
        <w:t xml:space="preserve"> </w:t>
      </w:r>
      <w:r>
        <w:t>x</w:t>
      </w:r>
      <w:r>
        <w:rPr>
          <w:spacing w:val="-6"/>
        </w:rPr>
        <w:t xml:space="preserve"> </w:t>
      </w:r>
      <w:r>
        <w:t>10</w:t>
      </w:r>
      <w:r>
        <w:rPr>
          <w:position w:val="7"/>
          <w:sz w:val="16"/>
        </w:rPr>
        <w:t xml:space="preserve">9 </w:t>
      </w:r>
      <w:r>
        <w:t>cells/L were associated with an increased incidence of serious infections</w:t>
      </w:r>
      <w:r>
        <w:rPr>
          <w:spacing w:val="-7"/>
        </w:rPr>
        <w:t xml:space="preserve"> </w:t>
      </w:r>
      <w:r>
        <w:t>(see</w:t>
      </w:r>
      <w:r>
        <w:rPr>
          <w:spacing w:val="-5"/>
        </w:rPr>
        <w:t xml:space="preserve"> </w:t>
      </w:r>
      <w:r>
        <w:t>Section</w:t>
      </w:r>
      <w:r>
        <w:rPr>
          <w:spacing w:val="-3"/>
        </w:rPr>
        <w:t xml:space="preserve"> </w:t>
      </w:r>
      <w:r>
        <w:t>4.4</w:t>
      </w:r>
      <w:r>
        <w:rPr>
          <w:spacing w:val="-3"/>
        </w:rPr>
        <w:t xml:space="preserve"> </w:t>
      </w:r>
      <w:r>
        <w:t>Special Warnings</w:t>
      </w:r>
      <w:r>
        <w:rPr>
          <w:spacing w:val="-7"/>
        </w:rPr>
        <w:t xml:space="preserve"> </w:t>
      </w:r>
      <w:r>
        <w:t>and Precautions</w:t>
      </w:r>
      <w:r>
        <w:rPr>
          <w:spacing w:val="-7"/>
        </w:rPr>
        <w:t xml:space="preserve"> </w:t>
      </w:r>
      <w:proofErr w:type="gramStart"/>
      <w:r>
        <w:t>For</w:t>
      </w:r>
      <w:proofErr w:type="gramEnd"/>
      <w:r>
        <w:rPr>
          <w:spacing w:val="-8"/>
        </w:rPr>
        <w:t xml:space="preserve"> </w:t>
      </w:r>
      <w:r>
        <w:t>Use and Section</w:t>
      </w:r>
      <w:r>
        <w:rPr>
          <w:spacing w:val="-3"/>
        </w:rPr>
        <w:t xml:space="preserve"> </w:t>
      </w:r>
      <w:r>
        <w:t>4.2 Dose and Method of Administration).</w:t>
      </w:r>
    </w:p>
    <w:p w14:paraId="742F880D" w14:textId="77777777" w:rsidR="001825E2" w:rsidRDefault="000839A5" w:rsidP="00CB00A7">
      <w:pPr>
        <w:spacing w:before="243"/>
        <w:ind w:left="219"/>
        <w:rPr>
          <w:i/>
          <w:sz w:val="24"/>
        </w:rPr>
      </w:pPr>
      <w:r>
        <w:rPr>
          <w:i/>
          <w:spacing w:val="-2"/>
          <w:sz w:val="24"/>
        </w:rPr>
        <w:t>Neutrophils</w:t>
      </w:r>
    </w:p>
    <w:p w14:paraId="5E8353CE" w14:textId="77777777" w:rsidR="001825E2" w:rsidRDefault="000839A5" w:rsidP="00CB00A7">
      <w:pPr>
        <w:pStyle w:val="BodyText"/>
        <w:spacing w:before="114"/>
        <w:ind w:left="219" w:right="215"/>
        <w:jc w:val="left"/>
      </w:pPr>
      <w:r>
        <w:t>In the controlled clinical studies, confirmed decreases in ANC below 1.0 x 10</w:t>
      </w:r>
      <w:r>
        <w:rPr>
          <w:position w:val="7"/>
          <w:sz w:val="16"/>
        </w:rPr>
        <w:t>9</w:t>
      </w:r>
      <w:r>
        <w:rPr>
          <w:spacing w:val="40"/>
          <w:position w:val="7"/>
          <w:sz w:val="16"/>
        </w:rPr>
        <w:t xml:space="preserve"> </w:t>
      </w:r>
      <w:r>
        <w:t>cells/L occurred</w:t>
      </w:r>
      <w:r>
        <w:rPr>
          <w:spacing w:val="40"/>
        </w:rPr>
        <w:t xml:space="preserve"> </w:t>
      </w:r>
      <w:r>
        <w:t>in</w:t>
      </w:r>
      <w:r>
        <w:rPr>
          <w:spacing w:val="40"/>
        </w:rPr>
        <w:t xml:space="preserve"> </w:t>
      </w:r>
      <w:r>
        <w:t>0.08% of</w:t>
      </w:r>
      <w:r>
        <w:rPr>
          <w:spacing w:val="40"/>
        </w:rPr>
        <w:t xml:space="preserve"> </w:t>
      </w:r>
      <w:r>
        <w:t>patients for the 5</w:t>
      </w:r>
      <w:r>
        <w:rPr>
          <w:spacing w:val="-1"/>
        </w:rPr>
        <w:t xml:space="preserve"> </w:t>
      </w:r>
      <w:r>
        <w:t>mg</w:t>
      </w:r>
      <w:r>
        <w:rPr>
          <w:spacing w:val="40"/>
        </w:rPr>
        <w:t xml:space="preserve"> </w:t>
      </w:r>
      <w:r>
        <w:t>twice daily</w:t>
      </w:r>
      <w:r>
        <w:rPr>
          <w:spacing w:val="40"/>
        </w:rPr>
        <w:t xml:space="preserve"> </w:t>
      </w:r>
      <w:r>
        <w:t>and</w:t>
      </w:r>
      <w:r>
        <w:rPr>
          <w:spacing w:val="40"/>
        </w:rPr>
        <w:t xml:space="preserve"> </w:t>
      </w:r>
      <w:r>
        <w:t>10</w:t>
      </w:r>
      <w:r>
        <w:rPr>
          <w:spacing w:val="-1"/>
        </w:rPr>
        <w:t xml:space="preserve"> </w:t>
      </w:r>
      <w:r>
        <w:t>mg</w:t>
      </w:r>
      <w:r>
        <w:rPr>
          <w:spacing w:val="40"/>
        </w:rPr>
        <w:t xml:space="preserve"> </w:t>
      </w:r>
      <w:r>
        <w:t>twice daily</w:t>
      </w:r>
      <w:r>
        <w:rPr>
          <w:spacing w:val="40"/>
        </w:rPr>
        <w:t xml:space="preserve"> </w:t>
      </w:r>
      <w:r>
        <w:t>doses combined. There were no confirmed decreases in ANC below 0.5</w:t>
      </w:r>
      <w:r>
        <w:rPr>
          <w:spacing w:val="-6"/>
        </w:rPr>
        <w:t xml:space="preserve"> </w:t>
      </w:r>
      <w:r>
        <w:t>x</w:t>
      </w:r>
      <w:r>
        <w:rPr>
          <w:spacing w:val="-6"/>
        </w:rPr>
        <w:t xml:space="preserve"> </w:t>
      </w:r>
      <w:r>
        <w:t>10</w:t>
      </w:r>
      <w:r>
        <w:rPr>
          <w:position w:val="8"/>
          <w:sz w:val="16"/>
        </w:rPr>
        <w:t xml:space="preserve">9 </w:t>
      </w:r>
      <w:r>
        <w:t>cells/L observed in any</w:t>
      </w:r>
      <w:r>
        <w:rPr>
          <w:spacing w:val="-2"/>
        </w:rPr>
        <w:t xml:space="preserve"> </w:t>
      </w:r>
      <w:r>
        <w:t>treatment group.</w:t>
      </w:r>
      <w:r>
        <w:rPr>
          <w:spacing w:val="-2"/>
        </w:rPr>
        <w:t xml:space="preserve"> </w:t>
      </w:r>
      <w:r>
        <w:t>There</w:t>
      </w:r>
      <w:r>
        <w:rPr>
          <w:spacing w:val="-4"/>
        </w:rPr>
        <w:t xml:space="preserve"> </w:t>
      </w:r>
      <w:r>
        <w:t>was</w:t>
      </w:r>
      <w:r>
        <w:rPr>
          <w:spacing w:val="-6"/>
        </w:rPr>
        <w:t xml:space="preserve"> </w:t>
      </w:r>
      <w:r>
        <w:t>no</w:t>
      </w:r>
      <w:r>
        <w:rPr>
          <w:spacing w:val="-2"/>
        </w:rPr>
        <w:t xml:space="preserve"> </w:t>
      </w:r>
      <w:r>
        <w:t>clear relationship</w:t>
      </w:r>
      <w:r>
        <w:rPr>
          <w:spacing w:val="-2"/>
        </w:rPr>
        <w:t xml:space="preserve"> </w:t>
      </w:r>
      <w:r>
        <w:t>between</w:t>
      </w:r>
      <w:r>
        <w:rPr>
          <w:spacing w:val="-2"/>
        </w:rPr>
        <w:t xml:space="preserve"> </w:t>
      </w:r>
      <w:r>
        <w:t>neutropenia</w:t>
      </w:r>
      <w:r>
        <w:rPr>
          <w:spacing w:val="-4"/>
        </w:rPr>
        <w:t xml:space="preserve"> </w:t>
      </w:r>
      <w:r>
        <w:t>and the</w:t>
      </w:r>
      <w:r>
        <w:rPr>
          <w:spacing w:val="-4"/>
        </w:rPr>
        <w:t xml:space="preserve"> </w:t>
      </w:r>
      <w:r>
        <w:t>occurrence of serious</w:t>
      </w:r>
      <w:r>
        <w:rPr>
          <w:spacing w:val="40"/>
        </w:rPr>
        <w:t xml:space="preserve"> </w:t>
      </w:r>
      <w:r>
        <w:t>infections.</w:t>
      </w:r>
    </w:p>
    <w:p w14:paraId="6F32F40E" w14:textId="77777777" w:rsidR="001825E2" w:rsidRDefault="000839A5" w:rsidP="00CB00A7">
      <w:pPr>
        <w:pStyle w:val="BodyText"/>
        <w:spacing w:before="235"/>
        <w:ind w:left="219" w:right="208"/>
        <w:jc w:val="left"/>
      </w:pPr>
      <w:r>
        <w:t>In</w:t>
      </w:r>
      <w:r>
        <w:rPr>
          <w:spacing w:val="-5"/>
        </w:rPr>
        <w:t xml:space="preserve"> </w:t>
      </w:r>
      <w:r>
        <w:t>the long-term safety population,</w:t>
      </w:r>
      <w:r>
        <w:rPr>
          <w:spacing w:val="-5"/>
        </w:rPr>
        <w:t xml:space="preserve"> </w:t>
      </w:r>
      <w:r>
        <w:t xml:space="preserve">the pattern and incidence of confirmed decreases in ANC remained consistent with what was seen in the controlled clinical studies (see Section 4.4 Special Warnings and Precautions </w:t>
      </w:r>
      <w:proofErr w:type="gramStart"/>
      <w:r>
        <w:t>For</w:t>
      </w:r>
      <w:proofErr w:type="gramEnd"/>
      <w:r>
        <w:t xml:space="preserve"> Use and Section 4.2 Dose and Method of </w:t>
      </w:r>
      <w:r>
        <w:rPr>
          <w:spacing w:val="-2"/>
        </w:rPr>
        <w:t>Administration).</w:t>
      </w:r>
    </w:p>
    <w:p w14:paraId="10C99E59" w14:textId="77777777" w:rsidR="001825E2" w:rsidRDefault="001825E2" w:rsidP="00CB00A7">
      <w:pPr>
        <w:sectPr w:rsidR="001825E2">
          <w:pgSz w:w="11910" w:h="16850"/>
          <w:pgMar w:top="1360" w:right="1220" w:bottom="980" w:left="1220" w:header="0" w:footer="785" w:gutter="0"/>
          <w:cols w:space="720"/>
        </w:sectPr>
      </w:pPr>
    </w:p>
    <w:p w14:paraId="21CC671E" w14:textId="77777777" w:rsidR="001825E2" w:rsidRDefault="000839A5" w:rsidP="00CB00A7">
      <w:pPr>
        <w:spacing w:before="76"/>
        <w:ind w:left="220"/>
        <w:rPr>
          <w:i/>
          <w:sz w:val="24"/>
        </w:rPr>
      </w:pPr>
      <w:r>
        <w:rPr>
          <w:i/>
          <w:sz w:val="24"/>
        </w:rPr>
        <w:lastRenderedPageBreak/>
        <w:t>Liver</w:t>
      </w:r>
      <w:r>
        <w:rPr>
          <w:i/>
          <w:spacing w:val="7"/>
          <w:sz w:val="24"/>
        </w:rPr>
        <w:t xml:space="preserve"> </w:t>
      </w:r>
      <w:r>
        <w:rPr>
          <w:i/>
          <w:sz w:val="24"/>
        </w:rPr>
        <w:t>Enzyme</w:t>
      </w:r>
      <w:r>
        <w:rPr>
          <w:i/>
          <w:spacing w:val="-5"/>
          <w:sz w:val="24"/>
        </w:rPr>
        <w:t xml:space="preserve"> </w:t>
      </w:r>
      <w:r>
        <w:rPr>
          <w:i/>
          <w:spacing w:val="-4"/>
          <w:sz w:val="24"/>
        </w:rPr>
        <w:t>Tests</w:t>
      </w:r>
    </w:p>
    <w:p w14:paraId="399CB8E0" w14:textId="77777777" w:rsidR="001825E2" w:rsidRDefault="000839A5" w:rsidP="00CB00A7">
      <w:pPr>
        <w:pStyle w:val="BodyText"/>
        <w:spacing w:before="114" w:line="242" w:lineRule="auto"/>
        <w:ind w:left="220" w:right="198" w:hanging="1"/>
        <w:jc w:val="left"/>
      </w:pPr>
      <w:r>
        <w:t>Confirmed increases in liver enzymes ≥3x</w:t>
      </w:r>
      <w:r>
        <w:rPr>
          <w:spacing w:val="-4"/>
        </w:rPr>
        <w:t xml:space="preserve"> </w:t>
      </w:r>
      <w:r>
        <w:t>upper limit of normal (ULN) were uncommonly observed.</w:t>
      </w:r>
      <w:r>
        <w:rPr>
          <w:spacing w:val="-2"/>
        </w:rPr>
        <w:t xml:space="preserve"> </w:t>
      </w:r>
      <w:r>
        <w:t>In</w:t>
      </w:r>
      <w:r>
        <w:rPr>
          <w:spacing w:val="-2"/>
        </w:rPr>
        <w:t xml:space="preserve"> </w:t>
      </w:r>
      <w:r>
        <w:t>patients</w:t>
      </w:r>
      <w:r>
        <w:rPr>
          <w:spacing w:val="-6"/>
        </w:rPr>
        <w:t xml:space="preserve"> </w:t>
      </w:r>
      <w:r>
        <w:t>experiencing</w:t>
      </w:r>
      <w:r>
        <w:rPr>
          <w:spacing w:val="-2"/>
        </w:rPr>
        <w:t xml:space="preserve"> </w:t>
      </w:r>
      <w:r>
        <w:t>liver</w:t>
      </w:r>
      <w:r>
        <w:rPr>
          <w:spacing w:val="-7"/>
        </w:rPr>
        <w:t xml:space="preserve"> </w:t>
      </w:r>
      <w:r>
        <w:t>enzyme</w:t>
      </w:r>
      <w:r>
        <w:rPr>
          <w:spacing w:val="-4"/>
        </w:rPr>
        <w:t xml:space="preserve"> </w:t>
      </w:r>
      <w:r>
        <w:t>elevation,</w:t>
      </w:r>
      <w:r>
        <w:rPr>
          <w:spacing w:val="-2"/>
        </w:rPr>
        <w:t xml:space="preserve"> </w:t>
      </w:r>
      <w:r>
        <w:t>modification</w:t>
      </w:r>
      <w:r>
        <w:rPr>
          <w:spacing w:val="-2"/>
        </w:rPr>
        <w:t xml:space="preserve"> </w:t>
      </w:r>
      <w:r>
        <w:t>of treatment regimen, such as reduction in the dose of concomitant DMARD, interruption of XELJANZ, or reduction</w:t>
      </w:r>
      <w:r>
        <w:rPr>
          <w:spacing w:val="-9"/>
        </w:rPr>
        <w:t xml:space="preserve"> </w:t>
      </w:r>
      <w:r>
        <w:t>in XELJANZ</w:t>
      </w:r>
      <w:r>
        <w:rPr>
          <w:spacing w:val="-5"/>
        </w:rPr>
        <w:t xml:space="preserve"> </w:t>
      </w:r>
      <w:r>
        <w:t>dose,</w:t>
      </w:r>
      <w:r>
        <w:rPr>
          <w:spacing w:val="-9"/>
        </w:rPr>
        <w:t xml:space="preserve"> </w:t>
      </w:r>
      <w:r>
        <w:t xml:space="preserve">resulted in decrease or </w:t>
      </w:r>
      <w:proofErr w:type="spellStart"/>
      <w:r>
        <w:t>normalisation</w:t>
      </w:r>
      <w:proofErr w:type="spellEnd"/>
      <w:r>
        <w:rPr>
          <w:spacing w:val="40"/>
        </w:rPr>
        <w:t xml:space="preserve"> </w:t>
      </w:r>
      <w:r>
        <w:t>of liver</w:t>
      </w:r>
      <w:r>
        <w:rPr>
          <w:spacing w:val="37"/>
        </w:rPr>
        <w:t xml:space="preserve"> </w:t>
      </w:r>
      <w:r>
        <w:t>enzymes.</w:t>
      </w:r>
    </w:p>
    <w:p w14:paraId="4C6D2E15" w14:textId="77777777" w:rsidR="001825E2" w:rsidRDefault="000839A5" w:rsidP="00CB00A7">
      <w:pPr>
        <w:pStyle w:val="BodyText"/>
        <w:spacing w:before="239" w:line="235" w:lineRule="auto"/>
        <w:ind w:left="220" w:right="227"/>
        <w:jc w:val="left"/>
      </w:pPr>
      <w:r>
        <w:t>In the controlled portion of the phase</w:t>
      </w:r>
      <w:r>
        <w:rPr>
          <w:spacing w:val="-3"/>
        </w:rPr>
        <w:t xml:space="preserve"> </w:t>
      </w:r>
      <w:r>
        <w:t>3 placebo-controlled monotherapy study (0-3</w:t>
      </w:r>
      <w:r>
        <w:rPr>
          <w:spacing w:val="-2"/>
        </w:rPr>
        <w:t xml:space="preserve"> </w:t>
      </w:r>
      <w:r>
        <w:t>months) (Study</w:t>
      </w:r>
      <w:r>
        <w:rPr>
          <w:spacing w:val="42"/>
        </w:rPr>
        <w:t xml:space="preserve"> </w:t>
      </w:r>
      <w:r>
        <w:t>I,</w:t>
      </w:r>
      <w:r>
        <w:rPr>
          <w:spacing w:val="60"/>
        </w:rPr>
        <w:t xml:space="preserve"> </w:t>
      </w:r>
      <w:r>
        <w:t>see</w:t>
      </w:r>
      <w:r>
        <w:rPr>
          <w:spacing w:val="57"/>
        </w:rPr>
        <w:t xml:space="preserve"> </w:t>
      </w:r>
      <w:r>
        <w:t>Section</w:t>
      </w:r>
      <w:r>
        <w:rPr>
          <w:spacing w:val="60"/>
        </w:rPr>
        <w:t xml:space="preserve"> </w:t>
      </w:r>
      <w:r>
        <w:t>5.1</w:t>
      </w:r>
      <w:r>
        <w:rPr>
          <w:spacing w:val="59"/>
        </w:rPr>
        <w:t xml:space="preserve"> </w:t>
      </w:r>
      <w:r>
        <w:t>Pharmacodynamic</w:t>
      </w:r>
      <w:r>
        <w:rPr>
          <w:spacing w:val="58"/>
        </w:rPr>
        <w:t xml:space="preserve"> </w:t>
      </w:r>
      <w:r>
        <w:t>Properties,</w:t>
      </w:r>
      <w:r>
        <w:rPr>
          <w:spacing w:val="59"/>
        </w:rPr>
        <w:t xml:space="preserve"> </w:t>
      </w:r>
      <w:r>
        <w:t>Clinical</w:t>
      </w:r>
      <w:r>
        <w:rPr>
          <w:spacing w:val="67"/>
        </w:rPr>
        <w:t xml:space="preserve"> </w:t>
      </w:r>
      <w:r>
        <w:t>Trials),</w:t>
      </w:r>
      <w:r>
        <w:rPr>
          <w:spacing w:val="60"/>
        </w:rPr>
        <w:t xml:space="preserve"> </w:t>
      </w:r>
      <w:r>
        <w:t>ALT</w:t>
      </w:r>
      <w:r>
        <w:rPr>
          <w:spacing w:val="48"/>
        </w:rPr>
        <w:t xml:space="preserve"> </w:t>
      </w:r>
      <w:proofErr w:type="gramStart"/>
      <w:r>
        <w:rPr>
          <w:spacing w:val="-2"/>
        </w:rPr>
        <w:t>elevations</w:t>
      </w:r>
      <w:proofErr w:type="gramEnd"/>
    </w:p>
    <w:p w14:paraId="138DCB20" w14:textId="77777777" w:rsidR="001825E2" w:rsidRDefault="000839A5" w:rsidP="00CB00A7">
      <w:pPr>
        <w:pStyle w:val="BodyText"/>
        <w:spacing w:before="10"/>
        <w:ind w:left="220" w:right="200"/>
        <w:jc w:val="left"/>
      </w:pPr>
      <w:r>
        <w:t>≥ 3x</w:t>
      </w:r>
      <w:r>
        <w:rPr>
          <w:spacing w:val="-3"/>
        </w:rPr>
        <w:t xml:space="preserve"> </w:t>
      </w:r>
      <w:r>
        <w:t>ULN were</w:t>
      </w:r>
      <w:r>
        <w:rPr>
          <w:spacing w:val="-5"/>
        </w:rPr>
        <w:t xml:space="preserve"> </w:t>
      </w:r>
      <w:r>
        <w:t>observed in</w:t>
      </w:r>
      <w:r>
        <w:rPr>
          <w:spacing w:val="-3"/>
        </w:rPr>
        <w:t xml:space="preserve"> </w:t>
      </w:r>
      <w:r>
        <w:t>1.65%, 0.41%,</w:t>
      </w:r>
      <w:r>
        <w:rPr>
          <w:spacing w:val="-3"/>
        </w:rPr>
        <w:t xml:space="preserve"> </w:t>
      </w:r>
      <w:r>
        <w:t>and 0% of patients</w:t>
      </w:r>
      <w:r>
        <w:rPr>
          <w:spacing w:val="-7"/>
        </w:rPr>
        <w:t xml:space="preserve"> </w:t>
      </w:r>
      <w:r>
        <w:t>receiving placebo, XELJANZ 5 mg and 10 mg twice daily, respectively. In this study, AST elevations ≥ 3x ULN were observed in</w:t>
      </w:r>
      <w:r>
        <w:rPr>
          <w:spacing w:val="-1"/>
        </w:rPr>
        <w:t xml:space="preserve"> </w:t>
      </w:r>
      <w:r>
        <w:t>1.65%, 0.41% and 0%</w:t>
      </w:r>
      <w:r>
        <w:rPr>
          <w:spacing w:val="-6"/>
        </w:rPr>
        <w:t xml:space="preserve"> </w:t>
      </w:r>
      <w:r>
        <w:t>of patients</w:t>
      </w:r>
      <w:r>
        <w:rPr>
          <w:spacing w:val="-5"/>
        </w:rPr>
        <w:t xml:space="preserve"> </w:t>
      </w:r>
      <w:r>
        <w:t>receiving</w:t>
      </w:r>
      <w:r>
        <w:rPr>
          <w:spacing w:val="-1"/>
        </w:rPr>
        <w:t xml:space="preserve"> </w:t>
      </w:r>
      <w:r>
        <w:t>placebo,</w:t>
      </w:r>
      <w:r>
        <w:rPr>
          <w:spacing w:val="-1"/>
        </w:rPr>
        <w:t xml:space="preserve"> </w:t>
      </w:r>
      <w:r>
        <w:t>XELJANZ 5</w:t>
      </w:r>
      <w:r>
        <w:rPr>
          <w:spacing w:val="-1"/>
        </w:rPr>
        <w:t xml:space="preserve"> </w:t>
      </w:r>
      <w:r>
        <w:t>mg</w:t>
      </w:r>
      <w:r>
        <w:rPr>
          <w:spacing w:val="-1"/>
        </w:rPr>
        <w:t xml:space="preserve"> </w:t>
      </w:r>
      <w:r>
        <w:t>and 10</w:t>
      </w:r>
      <w:r>
        <w:rPr>
          <w:spacing w:val="-1"/>
        </w:rPr>
        <w:t xml:space="preserve"> </w:t>
      </w:r>
      <w:r>
        <w:t>mg twice daily, respectively.</w:t>
      </w:r>
    </w:p>
    <w:p w14:paraId="41B648E4" w14:textId="77777777" w:rsidR="001825E2" w:rsidRDefault="000839A5" w:rsidP="00CB00A7">
      <w:pPr>
        <w:pStyle w:val="BodyText"/>
        <w:spacing w:before="231" w:line="242" w:lineRule="auto"/>
        <w:ind w:left="219" w:right="203"/>
        <w:jc w:val="left"/>
      </w:pPr>
      <w:r>
        <w:t>In</w:t>
      </w:r>
      <w:r>
        <w:rPr>
          <w:spacing w:val="-3"/>
        </w:rPr>
        <w:t xml:space="preserve"> </w:t>
      </w:r>
      <w:r>
        <w:t>the phase</w:t>
      </w:r>
      <w:r>
        <w:rPr>
          <w:spacing w:val="-5"/>
        </w:rPr>
        <w:t xml:space="preserve"> </w:t>
      </w:r>
      <w:r>
        <w:t>3 active-controlled monotherapy study</w:t>
      </w:r>
      <w:r>
        <w:rPr>
          <w:spacing w:val="-3"/>
        </w:rPr>
        <w:t xml:space="preserve"> </w:t>
      </w:r>
      <w:r>
        <w:t>(0-24</w:t>
      </w:r>
      <w:r>
        <w:rPr>
          <w:spacing w:val="-3"/>
        </w:rPr>
        <w:t xml:space="preserve"> </w:t>
      </w:r>
      <w:r>
        <w:t>months) (Study</w:t>
      </w:r>
      <w:r>
        <w:rPr>
          <w:spacing w:val="-3"/>
        </w:rPr>
        <w:t xml:space="preserve"> </w:t>
      </w:r>
      <w:r>
        <w:t>VI,</w:t>
      </w:r>
      <w:r>
        <w:rPr>
          <w:spacing w:val="-3"/>
        </w:rPr>
        <w:t xml:space="preserve"> </w:t>
      </w:r>
      <w:r>
        <w:t>see Section 5.1 Pharmacodynamic Properties, Clinical Trials), ALT elevations ≥ 3x</w:t>
      </w:r>
      <w:r>
        <w:rPr>
          <w:spacing w:val="-2"/>
        </w:rPr>
        <w:t xml:space="preserve"> </w:t>
      </w:r>
      <w:r>
        <w:t>ULN were observed in 7.1%, 3.0%, and 3.0% of patients receiving MTX, XELJANZ 5</w:t>
      </w:r>
      <w:r>
        <w:rPr>
          <w:spacing w:val="-3"/>
        </w:rPr>
        <w:t xml:space="preserve"> </w:t>
      </w:r>
      <w:r>
        <w:t>mg and 10</w:t>
      </w:r>
      <w:r>
        <w:rPr>
          <w:spacing w:val="-3"/>
        </w:rPr>
        <w:t xml:space="preserve"> </w:t>
      </w:r>
      <w:r>
        <w:t>mg twice daily, respectively. In</w:t>
      </w:r>
      <w:r>
        <w:rPr>
          <w:spacing w:val="-1"/>
        </w:rPr>
        <w:t xml:space="preserve"> </w:t>
      </w:r>
      <w:r>
        <w:t>this</w:t>
      </w:r>
      <w:r>
        <w:rPr>
          <w:spacing w:val="-5"/>
        </w:rPr>
        <w:t xml:space="preserve"> </w:t>
      </w:r>
      <w:r>
        <w:t>study,</w:t>
      </w:r>
      <w:r>
        <w:rPr>
          <w:spacing w:val="-1"/>
        </w:rPr>
        <w:t xml:space="preserve"> </w:t>
      </w:r>
      <w:r>
        <w:t>AST</w:t>
      </w:r>
      <w:r>
        <w:rPr>
          <w:spacing w:val="-13"/>
        </w:rPr>
        <w:t xml:space="preserve"> </w:t>
      </w:r>
      <w:r>
        <w:t>elevations ≥ 3x</w:t>
      </w:r>
      <w:r>
        <w:rPr>
          <w:spacing w:val="-1"/>
        </w:rPr>
        <w:t xml:space="preserve"> </w:t>
      </w:r>
      <w:r>
        <w:t>ULN were</w:t>
      </w:r>
      <w:r>
        <w:rPr>
          <w:spacing w:val="-3"/>
        </w:rPr>
        <w:t xml:space="preserve"> </w:t>
      </w:r>
      <w:r>
        <w:t>observed in</w:t>
      </w:r>
      <w:r>
        <w:rPr>
          <w:spacing w:val="-1"/>
        </w:rPr>
        <w:t xml:space="preserve"> </w:t>
      </w:r>
      <w:r>
        <w:t>3.3%, 1.6%</w:t>
      </w:r>
      <w:r>
        <w:rPr>
          <w:spacing w:val="-6"/>
        </w:rPr>
        <w:t xml:space="preserve"> </w:t>
      </w:r>
      <w:r>
        <w:t>and 1.5% of patients receiving</w:t>
      </w:r>
      <w:r>
        <w:rPr>
          <w:spacing w:val="40"/>
        </w:rPr>
        <w:t xml:space="preserve"> </w:t>
      </w:r>
      <w:r>
        <w:t>MTX, XELJANZ</w:t>
      </w:r>
      <w:r>
        <w:rPr>
          <w:spacing w:val="-5"/>
        </w:rPr>
        <w:t xml:space="preserve"> </w:t>
      </w:r>
      <w:r>
        <w:t>5 mg and 10 mg twice</w:t>
      </w:r>
      <w:r>
        <w:rPr>
          <w:spacing w:val="-11"/>
        </w:rPr>
        <w:t xml:space="preserve"> </w:t>
      </w:r>
      <w:r>
        <w:t>daily, respectively.</w:t>
      </w:r>
    </w:p>
    <w:p w14:paraId="09172A7F" w14:textId="77777777" w:rsidR="001825E2" w:rsidRDefault="000839A5" w:rsidP="00CB00A7">
      <w:pPr>
        <w:pStyle w:val="BodyText"/>
        <w:spacing w:before="226" w:line="247" w:lineRule="auto"/>
        <w:ind w:left="219"/>
        <w:jc w:val="left"/>
      </w:pPr>
      <w:r>
        <w:t>In</w:t>
      </w:r>
      <w:r>
        <w:rPr>
          <w:spacing w:val="40"/>
        </w:rPr>
        <w:t xml:space="preserve"> </w:t>
      </w:r>
      <w:r>
        <w:t>the</w:t>
      </w:r>
      <w:r>
        <w:rPr>
          <w:spacing w:val="40"/>
        </w:rPr>
        <w:t xml:space="preserve"> </w:t>
      </w:r>
      <w:r>
        <w:t>controlled</w:t>
      </w:r>
      <w:r>
        <w:rPr>
          <w:spacing w:val="73"/>
        </w:rPr>
        <w:t xml:space="preserve"> </w:t>
      </w:r>
      <w:r>
        <w:t>portion</w:t>
      </w:r>
      <w:r>
        <w:rPr>
          <w:spacing w:val="40"/>
        </w:rPr>
        <w:t xml:space="preserve"> </w:t>
      </w:r>
      <w:r>
        <w:t>of</w:t>
      </w:r>
      <w:r>
        <w:rPr>
          <w:spacing w:val="68"/>
        </w:rPr>
        <w:t xml:space="preserve"> </w:t>
      </w:r>
      <w:r>
        <w:t>the</w:t>
      </w:r>
      <w:r>
        <w:rPr>
          <w:spacing w:val="40"/>
        </w:rPr>
        <w:t xml:space="preserve"> </w:t>
      </w:r>
      <w:r>
        <w:t>phase</w:t>
      </w:r>
      <w:r>
        <w:rPr>
          <w:spacing w:val="-3"/>
        </w:rPr>
        <w:t xml:space="preserve"> </w:t>
      </w:r>
      <w:r>
        <w:t>3</w:t>
      </w:r>
      <w:r>
        <w:rPr>
          <w:spacing w:val="40"/>
        </w:rPr>
        <w:t xml:space="preserve"> </w:t>
      </w:r>
      <w:r>
        <w:t>studies</w:t>
      </w:r>
      <w:r>
        <w:rPr>
          <w:spacing w:val="40"/>
        </w:rPr>
        <w:t xml:space="preserve"> </w:t>
      </w:r>
      <w:r>
        <w:t>on</w:t>
      </w:r>
      <w:r>
        <w:rPr>
          <w:spacing w:val="40"/>
        </w:rPr>
        <w:t xml:space="preserve"> </w:t>
      </w:r>
      <w:r>
        <w:t>background</w:t>
      </w:r>
      <w:r>
        <w:rPr>
          <w:spacing w:val="73"/>
        </w:rPr>
        <w:t xml:space="preserve"> </w:t>
      </w:r>
      <w:r>
        <w:t>DMARDs</w:t>
      </w:r>
      <w:r>
        <w:rPr>
          <w:spacing w:val="40"/>
        </w:rPr>
        <w:t xml:space="preserve"> </w:t>
      </w:r>
      <w:r>
        <w:t>(0-3</w:t>
      </w:r>
      <w:r>
        <w:rPr>
          <w:spacing w:val="-1"/>
        </w:rPr>
        <w:t xml:space="preserve"> </w:t>
      </w:r>
      <w:r>
        <w:t>months) (Studies</w:t>
      </w:r>
      <w:r>
        <w:rPr>
          <w:spacing w:val="5"/>
        </w:rPr>
        <w:t xml:space="preserve"> </w:t>
      </w:r>
      <w:r>
        <w:t>II-V,</w:t>
      </w:r>
      <w:r>
        <w:rPr>
          <w:spacing w:val="11"/>
        </w:rPr>
        <w:t xml:space="preserve"> </w:t>
      </w:r>
      <w:r>
        <w:t>see</w:t>
      </w:r>
      <w:r>
        <w:rPr>
          <w:spacing w:val="10"/>
        </w:rPr>
        <w:t xml:space="preserve"> </w:t>
      </w:r>
      <w:r>
        <w:t>Section</w:t>
      </w:r>
      <w:r>
        <w:rPr>
          <w:spacing w:val="11"/>
        </w:rPr>
        <w:t xml:space="preserve"> </w:t>
      </w:r>
      <w:r>
        <w:t>5.1</w:t>
      </w:r>
      <w:r>
        <w:rPr>
          <w:spacing w:val="12"/>
        </w:rPr>
        <w:t xml:space="preserve"> </w:t>
      </w:r>
      <w:r>
        <w:t>Pharmacodynamic</w:t>
      </w:r>
      <w:r>
        <w:rPr>
          <w:spacing w:val="9"/>
        </w:rPr>
        <w:t xml:space="preserve"> </w:t>
      </w:r>
      <w:r>
        <w:t>Properties,</w:t>
      </w:r>
      <w:r>
        <w:rPr>
          <w:spacing w:val="11"/>
        </w:rPr>
        <w:t xml:space="preserve"> </w:t>
      </w:r>
      <w:r>
        <w:t>Clinical</w:t>
      </w:r>
      <w:r>
        <w:rPr>
          <w:spacing w:val="5"/>
        </w:rPr>
        <w:t xml:space="preserve"> </w:t>
      </w:r>
      <w:r>
        <w:t>Trials),</w:t>
      </w:r>
      <w:r>
        <w:rPr>
          <w:spacing w:val="12"/>
        </w:rPr>
        <w:t xml:space="preserve"> </w:t>
      </w:r>
      <w:r>
        <w:t xml:space="preserve">ALT </w:t>
      </w:r>
      <w:proofErr w:type="gramStart"/>
      <w:r>
        <w:rPr>
          <w:spacing w:val="-2"/>
        </w:rPr>
        <w:t>elevations</w:t>
      </w:r>
      <w:proofErr w:type="gramEnd"/>
    </w:p>
    <w:p w14:paraId="58C6118B" w14:textId="77777777" w:rsidR="001825E2" w:rsidRDefault="000839A5" w:rsidP="00CB00A7">
      <w:pPr>
        <w:pStyle w:val="BodyText"/>
        <w:spacing w:line="247" w:lineRule="auto"/>
        <w:ind w:left="219" w:right="122"/>
        <w:jc w:val="left"/>
      </w:pPr>
      <w:r>
        <w:t>≥ 3x</w:t>
      </w:r>
      <w:r>
        <w:rPr>
          <w:spacing w:val="-2"/>
        </w:rPr>
        <w:t xml:space="preserve"> </w:t>
      </w:r>
      <w:r>
        <w:t>ULN</w:t>
      </w:r>
      <w:r>
        <w:rPr>
          <w:spacing w:val="80"/>
        </w:rPr>
        <w:t xml:space="preserve"> </w:t>
      </w:r>
      <w:r>
        <w:t>were</w:t>
      </w:r>
      <w:r>
        <w:rPr>
          <w:spacing w:val="80"/>
        </w:rPr>
        <w:t xml:space="preserve"> </w:t>
      </w:r>
      <w:r>
        <w:t>observed</w:t>
      </w:r>
      <w:r>
        <w:rPr>
          <w:spacing w:val="80"/>
        </w:rPr>
        <w:t xml:space="preserve"> </w:t>
      </w:r>
      <w:r>
        <w:t>in</w:t>
      </w:r>
      <w:r>
        <w:rPr>
          <w:spacing w:val="80"/>
        </w:rPr>
        <w:t xml:space="preserve"> </w:t>
      </w:r>
      <w:r>
        <w:t>0.9%,</w:t>
      </w:r>
      <w:r>
        <w:rPr>
          <w:spacing w:val="80"/>
        </w:rPr>
        <w:t xml:space="preserve"> </w:t>
      </w:r>
      <w:r>
        <w:t>1.24%</w:t>
      </w:r>
      <w:r>
        <w:rPr>
          <w:spacing w:val="80"/>
        </w:rPr>
        <w:t xml:space="preserve"> </w:t>
      </w:r>
      <w:r>
        <w:t>and</w:t>
      </w:r>
      <w:r>
        <w:rPr>
          <w:spacing w:val="80"/>
        </w:rPr>
        <w:t xml:space="preserve"> </w:t>
      </w:r>
      <w:r>
        <w:t>1.14%</w:t>
      </w:r>
      <w:r>
        <w:rPr>
          <w:spacing w:val="80"/>
        </w:rPr>
        <w:t xml:space="preserve"> </w:t>
      </w:r>
      <w:r>
        <w:t>of</w:t>
      </w:r>
      <w:r>
        <w:rPr>
          <w:spacing w:val="80"/>
        </w:rPr>
        <w:t xml:space="preserve"> </w:t>
      </w:r>
      <w:r>
        <w:t>patients</w:t>
      </w:r>
      <w:r>
        <w:rPr>
          <w:spacing w:val="80"/>
        </w:rPr>
        <w:t xml:space="preserve"> </w:t>
      </w:r>
      <w:r>
        <w:t>receiving</w:t>
      </w:r>
      <w:r>
        <w:rPr>
          <w:spacing w:val="80"/>
        </w:rPr>
        <w:t xml:space="preserve"> </w:t>
      </w:r>
      <w:r>
        <w:t>placebo, XELJANZ</w:t>
      </w:r>
      <w:r>
        <w:rPr>
          <w:spacing w:val="60"/>
        </w:rPr>
        <w:t xml:space="preserve"> </w:t>
      </w:r>
      <w:r>
        <w:t>5 mg,</w:t>
      </w:r>
      <w:r>
        <w:rPr>
          <w:spacing w:val="59"/>
        </w:rPr>
        <w:t xml:space="preserve"> </w:t>
      </w:r>
      <w:r>
        <w:t>and</w:t>
      </w:r>
      <w:r>
        <w:rPr>
          <w:spacing w:val="75"/>
        </w:rPr>
        <w:t xml:space="preserve"> </w:t>
      </w:r>
      <w:r>
        <w:t>10 mg</w:t>
      </w:r>
      <w:r>
        <w:rPr>
          <w:spacing w:val="59"/>
        </w:rPr>
        <w:t xml:space="preserve"> </w:t>
      </w:r>
      <w:r>
        <w:t>twice</w:t>
      </w:r>
      <w:r>
        <w:rPr>
          <w:spacing w:val="58"/>
        </w:rPr>
        <w:t xml:space="preserve"> </w:t>
      </w:r>
      <w:r>
        <w:t>daily,</w:t>
      </w:r>
      <w:r>
        <w:rPr>
          <w:spacing w:val="60"/>
        </w:rPr>
        <w:t xml:space="preserve"> </w:t>
      </w:r>
      <w:r>
        <w:t>respectively.</w:t>
      </w:r>
      <w:r>
        <w:rPr>
          <w:spacing w:val="74"/>
        </w:rPr>
        <w:t xml:space="preserve"> </w:t>
      </w:r>
      <w:r>
        <w:t>In</w:t>
      </w:r>
      <w:r>
        <w:rPr>
          <w:spacing w:val="60"/>
        </w:rPr>
        <w:t xml:space="preserve"> </w:t>
      </w:r>
      <w:r>
        <w:t>these</w:t>
      </w:r>
      <w:r>
        <w:rPr>
          <w:spacing w:val="57"/>
        </w:rPr>
        <w:t xml:space="preserve"> </w:t>
      </w:r>
      <w:r>
        <w:t>studies,</w:t>
      </w:r>
      <w:r>
        <w:rPr>
          <w:spacing w:val="60"/>
        </w:rPr>
        <w:t xml:space="preserve"> </w:t>
      </w:r>
      <w:r>
        <w:t>AST</w:t>
      </w:r>
      <w:r>
        <w:rPr>
          <w:spacing w:val="48"/>
        </w:rPr>
        <w:t xml:space="preserve"> </w:t>
      </w:r>
      <w:r>
        <w:rPr>
          <w:spacing w:val="-2"/>
        </w:rPr>
        <w:t>elevations</w:t>
      </w:r>
    </w:p>
    <w:p w14:paraId="419BDF4E" w14:textId="77777777" w:rsidR="001825E2" w:rsidRDefault="000839A5" w:rsidP="00CB00A7">
      <w:pPr>
        <w:pStyle w:val="BodyText"/>
        <w:spacing w:line="235" w:lineRule="auto"/>
        <w:ind w:left="219" w:right="122"/>
        <w:jc w:val="left"/>
      </w:pPr>
      <w:r>
        <w:t>≥</w:t>
      </w:r>
      <w:r>
        <w:rPr>
          <w:spacing w:val="-1"/>
        </w:rPr>
        <w:t xml:space="preserve"> </w:t>
      </w:r>
      <w:r>
        <w:t>3x</w:t>
      </w:r>
      <w:r>
        <w:rPr>
          <w:spacing w:val="-4"/>
        </w:rPr>
        <w:t xml:space="preserve"> </w:t>
      </w:r>
      <w:r>
        <w:t>ULN</w:t>
      </w:r>
      <w:r>
        <w:rPr>
          <w:spacing w:val="73"/>
        </w:rPr>
        <w:t xml:space="preserve"> </w:t>
      </w:r>
      <w:r>
        <w:t>were</w:t>
      </w:r>
      <w:r>
        <w:rPr>
          <w:spacing w:val="80"/>
        </w:rPr>
        <w:t xml:space="preserve"> </w:t>
      </w:r>
      <w:r>
        <w:t>observed</w:t>
      </w:r>
      <w:r>
        <w:rPr>
          <w:spacing w:val="80"/>
        </w:rPr>
        <w:t xml:space="preserve"> </w:t>
      </w:r>
      <w:r>
        <w:t>in</w:t>
      </w:r>
      <w:r>
        <w:rPr>
          <w:spacing w:val="80"/>
        </w:rPr>
        <w:t xml:space="preserve"> </w:t>
      </w:r>
      <w:r>
        <w:t>0.72%,</w:t>
      </w:r>
      <w:r>
        <w:rPr>
          <w:spacing w:val="80"/>
        </w:rPr>
        <w:t xml:space="preserve"> </w:t>
      </w:r>
      <w:r>
        <w:t>0.52%</w:t>
      </w:r>
      <w:r>
        <w:rPr>
          <w:spacing w:val="77"/>
        </w:rPr>
        <w:t xml:space="preserve"> </w:t>
      </w:r>
      <w:r>
        <w:t>and</w:t>
      </w:r>
      <w:r>
        <w:rPr>
          <w:spacing w:val="80"/>
        </w:rPr>
        <w:t xml:space="preserve"> </w:t>
      </w:r>
      <w:r>
        <w:t>0.31%</w:t>
      </w:r>
      <w:r>
        <w:rPr>
          <w:spacing w:val="77"/>
        </w:rPr>
        <w:t xml:space="preserve"> </w:t>
      </w:r>
      <w:r>
        <w:t>of</w:t>
      </w:r>
      <w:r>
        <w:rPr>
          <w:spacing w:val="77"/>
        </w:rPr>
        <w:t xml:space="preserve"> </w:t>
      </w:r>
      <w:r>
        <w:t>patients</w:t>
      </w:r>
      <w:r>
        <w:rPr>
          <w:spacing w:val="78"/>
        </w:rPr>
        <w:t xml:space="preserve"> </w:t>
      </w:r>
      <w:r>
        <w:t>receiving</w:t>
      </w:r>
      <w:r>
        <w:rPr>
          <w:spacing w:val="80"/>
        </w:rPr>
        <w:t xml:space="preserve"> </w:t>
      </w:r>
      <w:r>
        <w:t>placebo, XELJANZ 5</w:t>
      </w:r>
      <w:r>
        <w:rPr>
          <w:spacing w:val="-3"/>
        </w:rPr>
        <w:t xml:space="preserve"> </w:t>
      </w:r>
      <w:r>
        <w:t>mg and 10 mg twice daily, respectively.</w:t>
      </w:r>
    </w:p>
    <w:p w14:paraId="13D29D10" w14:textId="77777777" w:rsidR="001825E2" w:rsidRDefault="000839A5" w:rsidP="00CB00A7">
      <w:pPr>
        <w:pStyle w:val="BodyText"/>
        <w:spacing w:before="228" w:line="242" w:lineRule="auto"/>
        <w:ind w:left="219" w:right="203"/>
        <w:jc w:val="left"/>
      </w:pPr>
      <w:r>
        <w:t xml:space="preserve">Elevations of ALT and AST were reported in a </w:t>
      </w:r>
      <w:proofErr w:type="gramStart"/>
      <w:r>
        <w:t xml:space="preserve">large </w:t>
      </w:r>
      <w:proofErr w:type="spellStart"/>
      <w:r>
        <w:t>randomised</w:t>
      </w:r>
      <w:proofErr w:type="spellEnd"/>
      <w:proofErr w:type="gramEnd"/>
      <w:r>
        <w:t xml:space="preserve"> PASS in RA patients who were</w:t>
      </w:r>
      <w:r>
        <w:rPr>
          <w:spacing w:val="-1"/>
        </w:rPr>
        <w:t xml:space="preserve"> </w:t>
      </w:r>
      <w:r>
        <w:t>50 years or</w:t>
      </w:r>
      <w:r>
        <w:rPr>
          <w:spacing w:val="-4"/>
        </w:rPr>
        <w:t xml:space="preserve"> </w:t>
      </w:r>
      <w:r>
        <w:t>older</w:t>
      </w:r>
      <w:r>
        <w:rPr>
          <w:spacing w:val="-4"/>
        </w:rPr>
        <w:t xml:space="preserve"> </w:t>
      </w:r>
      <w:r>
        <w:t>with at least one</w:t>
      </w:r>
      <w:r>
        <w:rPr>
          <w:spacing w:val="-1"/>
        </w:rPr>
        <w:t xml:space="preserve"> </w:t>
      </w:r>
      <w:r>
        <w:t>additional</w:t>
      </w:r>
      <w:r>
        <w:rPr>
          <w:spacing w:val="-6"/>
        </w:rPr>
        <w:t xml:space="preserve"> </w:t>
      </w:r>
      <w:r>
        <w:t>cardiovascular risk factor. The</w:t>
      </w:r>
      <w:r>
        <w:rPr>
          <w:spacing w:val="-1"/>
        </w:rPr>
        <w:t xml:space="preserve"> </w:t>
      </w:r>
      <w:r>
        <w:t>percentages of patients with at</w:t>
      </w:r>
      <w:r>
        <w:rPr>
          <w:spacing w:val="-1"/>
        </w:rPr>
        <w:t xml:space="preserve"> </w:t>
      </w:r>
      <w:r>
        <w:t>least one post-baseline ALT</w:t>
      </w:r>
      <w:r>
        <w:rPr>
          <w:spacing w:val="-6"/>
        </w:rPr>
        <w:t xml:space="preserve"> </w:t>
      </w:r>
      <w:r>
        <w:t>or AST</w:t>
      </w:r>
      <w:r>
        <w:rPr>
          <w:spacing w:val="-6"/>
        </w:rPr>
        <w:t xml:space="preserve"> </w:t>
      </w:r>
      <w:r>
        <w:t>elevation are presented as follows:</w:t>
      </w:r>
    </w:p>
    <w:p w14:paraId="11E02D9B" w14:textId="77777777" w:rsidR="001825E2" w:rsidRDefault="000839A5" w:rsidP="00CB00A7">
      <w:pPr>
        <w:pStyle w:val="ListParagraph"/>
        <w:numPr>
          <w:ilvl w:val="0"/>
          <w:numId w:val="4"/>
        </w:numPr>
        <w:tabs>
          <w:tab w:val="left" w:pos="638"/>
        </w:tabs>
        <w:spacing w:before="231" w:line="237" w:lineRule="auto"/>
        <w:ind w:left="638" w:right="219"/>
        <w:jc w:val="left"/>
        <w:rPr>
          <w:sz w:val="24"/>
        </w:rPr>
      </w:pPr>
      <w:r>
        <w:rPr>
          <w:sz w:val="24"/>
        </w:rPr>
        <w:t>The</w:t>
      </w:r>
      <w:r>
        <w:rPr>
          <w:spacing w:val="38"/>
          <w:sz w:val="24"/>
        </w:rPr>
        <w:t xml:space="preserve"> </w:t>
      </w:r>
      <w:r>
        <w:rPr>
          <w:sz w:val="24"/>
        </w:rPr>
        <w:t>percentages</w:t>
      </w:r>
      <w:r>
        <w:rPr>
          <w:spacing w:val="36"/>
          <w:sz w:val="24"/>
        </w:rPr>
        <w:t xml:space="preserve"> </w:t>
      </w:r>
      <w:r>
        <w:rPr>
          <w:sz w:val="24"/>
        </w:rPr>
        <w:t>of</w:t>
      </w:r>
      <w:r>
        <w:rPr>
          <w:spacing w:val="40"/>
          <w:sz w:val="24"/>
        </w:rPr>
        <w:t xml:space="preserve"> </w:t>
      </w:r>
      <w:r>
        <w:rPr>
          <w:sz w:val="24"/>
        </w:rPr>
        <w:t>patients</w:t>
      </w:r>
      <w:r>
        <w:rPr>
          <w:spacing w:val="36"/>
          <w:sz w:val="24"/>
        </w:rPr>
        <w:t xml:space="preserve"> </w:t>
      </w:r>
      <w:r>
        <w:rPr>
          <w:sz w:val="24"/>
        </w:rPr>
        <w:t>with</w:t>
      </w:r>
      <w:r>
        <w:rPr>
          <w:spacing w:val="40"/>
          <w:sz w:val="24"/>
        </w:rPr>
        <w:t xml:space="preserve"> </w:t>
      </w:r>
      <w:r>
        <w:rPr>
          <w:sz w:val="24"/>
        </w:rPr>
        <w:t>at</w:t>
      </w:r>
      <w:r>
        <w:rPr>
          <w:spacing w:val="33"/>
          <w:sz w:val="24"/>
        </w:rPr>
        <w:t xml:space="preserve"> </w:t>
      </w:r>
      <w:r>
        <w:rPr>
          <w:sz w:val="24"/>
        </w:rPr>
        <w:t>least</w:t>
      </w:r>
      <w:r>
        <w:rPr>
          <w:spacing w:val="40"/>
          <w:sz w:val="24"/>
        </w:rPr>
        <w:t xml:space="preserve"> </w:t>
      </w:r>
      <w:r>
        <w:rPr>
          <w:sz w:val="24"/>
        </w:rPr>
        <w:t>one</w:t>
      </w:r>
      <w:r>
        <w:rPr>
          <w:spacing w:val="38"/>
          <w:sz w:val="24"/>
        </w:rPr>
        <w:t xml:space="preserve"> </w:t>
      </w:r>
      <w:r>
        <w:rPr>
          <w:sz w:val="24"/>
        </w:rPr>
        <w:t>post-baseline</w:t>
      </w:r>
      <w:r>
        <w:rPr>
          <w:spacing w:val="38"/>
          <w:sz w:val="24"/>
        </w:rPr>
        <w:t xml:space="preserve"> </w:t>
      </w:r>
      <w:r>
        <w:rPr>
          <w:sz w:val="24"/>
        </w:rPr>
        <w:t>ALT</w:t>
      </w:r>
      <w:r>
        <w:rPr>
          <w:spacing w:val="29"/>
          <w:sz w:val="24"/>
        </w:rPr>
        <w:t xml:space="preserve"> </w:t>
      </w:r>
      <w:r>
        <w:rPr>
          <w:sz w:val="24"/>
        </w:rPr>
        <w:t>elevation</w:t>
      </w:r>
      <w:r>
        <w:rPr>
          <w:spacing w:val="40"/>
          <w:sz w:val="24"/>
        </w:rPr>
        <w:t xml:space="preserve"> </w:t>
      </w:r>
      <w:r>
        <w:rPr>
          <w:sz w:val="24"/>
        </w:rPr>
        <w:t>&gt;1x</w:t>
      </w:r>
      <w:r>
        <w:rPr>
          <w:spacing w:val="40"/>
          <w:sz w:val="24"/>
        </w:rPr>
        <w:t xml:space="preserve"> </w:t>
      </w:r>
      <w:r>
        <w:rPr>
          <w:sz w:val="24"/>
        </w:rPr>
        <w:t>ULN, 3x</w:t>
      </w:r>
      <w:r>
        <w:rPr>
          <w:spacing w:val="-1"/>
          <w:sz w:val="24"/>
        </w:rPr>
        <w:t xml:space="preserve"> </w:t>
      </w:r>
      <w:r>
        <w:rPr>
          <w:sz w:val="24"/>
        </w:rPr>
        <w:t>ULN, and 5x ULN for the XELJANZ 5 mg twice daily treatment arm were 52.83, 6.01, and 1.68, respectively. The percentages for the XELJANZ 10 mg twice daily treatment arm were 54.46, 6.54, and 1.97, respectively. The percentages for all XELJANZ (combines XELJANZ 5 mg twice daily and XELJANZ 10 mg twice daily) were</w:t>
      </w:r>
      <w:r>
        <w:rPr>
          <w:spacing w:val="-4"/>
          <w:sz w:val="24"/>
        </w:rPr>
        <w:t xml:space="preserve"> </w:t>
      </w:r>
      <w:r>
        <w:rPr>
          <w:sz w:val="24"/>
        </w:rPr>
        <w:t>53.64,</w:t>
      </w:r>
      <w:r>
        <w:rPr>
          <w:spacing w:val="-2"/>
          <w:sz w:val="24"/>
        </w:rPr>
        <w:t xml:space="preserve"> </w:t>
      </w:r>
      <w:r>
        <w:rPr>
          <w:sz w:val="24"/>
        </w:rPr>
        <w:t>6.27,</w:t>
      </w:r>
      <w:r>
        <w:rPr>
          <w:spacing w:val="-2"/>
          <w:sz w:val="24"/>
        </w:rPr>
        <w:t xml:space="preserve"> </w:t>
      </w:r>
      <w:r>
        <w:rPr>
          <w:sz w:val="24"/>
        </w:rPr>
        <w:t>and 1.82,</w:t>
      </w:r>
      <w:r>
        <w:rPr>
          <w:spacing w:val="-2"/>
          <w:sz w:val="24"/>
        </w:rPr>
        <w:t xml:space="preserve"> </w:t>
      </w:r>
      <w:r>
        <w:rPr>
          <w:sz w:val="24"/>
        </w:rPr>
        <w:t>respectively. The</w:t>
      </w:r>
      <w:r>
        <w:rPr>
          <w:spacing w:val="-4"/>
          <w:sz w:val="24"/>
        </w:rPr>
        <w:t xml:space="preserve"> </w:t>
      </w:r>
      <w:r>
        <w:rPr>
          <w:sz w:val="24"/>
        </w:rPr>
        <w:t>percentages</w:t>
      </w:r>
      <w:r>
        <w:rPr>
          <w:spacing w:val="-6"/>
          <w:sz w:val="24"/>
        </w:rPr>
        <w:t xml:space="preserve"> </w:t>
      </w:r>
      <w:r>
        <w:rPr>
          <w:sz w:val="24"/>
        </w:rPr>
        <w:t>for</w:t>
      </w:r>
      <w:r>
        <w:rPr>
          <w:spacing w:val="-7"/>
          <w:sz w:val="24"/>
        </w:rPr>
        <w:t xml:space="preserve"> </w:t>
      </w:r>
      <w:r>
        <w:rPr>
          <w:sz w:val="24"/>
        </w:rPr>
        <w:t>the</w:t>
      </w:r>
      <w:r>
        <w:rPr>
          <w:spacing w:val="-4"/>
          <w:sz w:val="24"/>
        </w:rPr>
        <w:t xml:space="preserve"> </w:t>
      </w:r>
      <w:r>
        <w:rPr>
          <w:sz w:val="24"/>
        </w:rPr>
        <w:t>TNF</w:t>
      </w:r>
      <w:r>
        <w:rPr>
          <w:spacing w:val="-1"/>
          <w:sz w:val="24"/>
        </w:rPr>
        <w:t xml:space="preserve"> </w:t>
      </w:r>
      <w:r>
        <w:rPr>
          <w:sz w:val="24"/>
        </w:rPr>
        <w:t>inhibitor</w:t>
      </w:r>
      <w:r>
        <w:rPr>
          <w:spacing w:val="-7"/>
          <w:sz w:val="24"/>
        </w:rPr>
        <w:t xml:space="preserve"> </w:t>
      </w:r>
      <w:r>
        <w:rPr>
          <w:sz w:val="24"/>
        </w:rPr>
        <w:t>treatment arm were 43.33, 3.77, and 1.12</w:t>
      </w:r>
      <w:r>
        <w:rPr>
          <w:sz w:val="24"/>
        </w:rPr>
        <w:t>, respectively.</w:t>
      </w:r>
    </w:p>
    <w:p w14:paraId="60424F06" w14:textId="77777777" w:rsidR="001825E2" w:rsidRDefault="001825E2" w:rsidP="00CB00A7">
      <w:pPr>
        <w:pStyle w:val="BodyText"/>
        <w:spacing w:before="2"/>
        <w:jc w:val="left"/>
      </w:pPr>
    </w:p>
    <w:p w14:paraId="6ADE9077" w14:textId="77777777" w:rsidR="001825E2" w:rsidRDefault="000839A5" w:rsidP="00CB00A7">
      <w:pPr>
        <w:pStyle w:val="ListParagraph"/>
        <w:numPr>
          <w:ilvl w:val="0"/>
          <w:numId w:val="4"/>
        </w:numPr>
        <w:tabs>
          <w:tab w:val="left" w:pos="638"/>
        </w:tabs>
        <w:ind w:left="638" w:right="219"/>
        <w:jc w:val="left"/>
        <w:rPr>
          <w:sz w:val="24"/>
        </w:rPr>
      </w:pPr>
      <w:r>
        <w:rPr>
          <w:sz w:val="24"/>
        </w:rPr>
        <w:t>The</w:t>
      </w:r>
      <w:r>
        <w:rPr>
          <w:spacing w:val="38"/>
          <w:sz w:val="24"/>
        </w:rPr>
        <w:t xml:space="preserve"> </w:t>
      </w:r>
      <w:r>
        <w:rPr>
          <w:sz w:val="24"/>
        </w:rPr>
        <w:t>percentages</w:t>
      </w:r>
      <w:r>
        <w:rPr>
          <w:spacing w:val="36"/>
          <w:sz w:val="24"/>
        </w:rPr>
        <w:t xml:space="preserve"> </w:t>
      </w:r>
      <w:r>
        <w:rPr>
          <w:sz w:val="24"/>
        </w:rPr>
        <w:t>of</w:t>
      </w:r>
      <w:r>
        <w:rPr>
          <w:spacing w:val="40"/>
          <w:sz w:val="24"/>
        </w:rPr>
        <w:t xml:space="preserve"> </w:t>
      </w:r>
      <w:r>
        <w:rPr>
          <w:sz w:val="24"/>
        </w:rPr>
        <w:t>patients</w:t>
      </w:r>
      <w:r>
        <w:rPr>
          <w:spacing w:val="36"/>
          <w:sz w:val="24"/>
        </w:rPr>
        <w:t xml:space="preserve"> </w:t>
      </w:r>
      <w:r>
        <w:rPr>
          <w:sz w:val="24"/>
        </w:rPr>
        <w:t>with</w:t>
      </w:r>
      <w:r>
        <w:rPr>
          <w:spacing w:val="40"/>
          <w:sz w:val="24"/>
        </w:rPr>
        <w:t xml:space="preserve"> </w:t>
      </w:r>
      <w:r>
        <w:rPr>
          <w:sz w:val="24"/>
        </w:rPr>
        <w:t>at</w:t>
      </w:r>
      <w:r>
        <w:rPr>
          <w:spacing w:val="40"/>
          <w:sz w:val="24"/>
        </w:rPr>
        <w:t xml:space="preserve"> </w:t>
      </w:r>
      <w:r>
        <w:rPr>
          <w:sz w:val="24"/>
        </w:rPr>
        <w:t>least</w:t>
      </w:r>
      <w:r>
        <w:rPr>
          <w:spacing w:val="40"/>
          <w:sz w:val="24"/>
        </w:rPr>
        <w:t xml:space="preserve"> </w:t>
      </w:r>
      <w:r>
        <w:rPr>
          <w:sz w:val="24"/>
        </w:rPr>
        <w:t>one</w:t>
      </w:r>
      <w:r>
        <w:rPr>
          <w:spacing w:val="38"/>
          <w:sz w:val="24"/>
        </w:rPr>
        <w:t xml:space="preserve"> </w:t>
      </w:r>
      <w:r>
        <w:rPr>
          <w:sz w:val="24"/>
        </w:rPr>
        <w:t>post-baseline</w:t>
      </w:r>
      <w:r>
        <w:rPr>
          <w:spacing w:val="38"/>
          <w:sz w:val="24"/>
        </w:rPr>
        <w:t xml:space="preserve"> </w:t>
      </w:r>
      <w:r>
        <w:rPr>
          <w:sz w:val="24"/>
        </w:rPr>
        <w:t>AST</w:t>
      </w:r>
      <w:r>
        <w:rPr>
          <w:spacing w:val="29"/>
          <w:sz w:val="24"/>
        </w:rPr>
        <w:t xml:space="preserve"> </w:t>
      </w:r>
      <w:r>
        <w:rPr>
          <w:sz w:val="24"/>
        </w:rPr>
        <w:t>elevation</w:t>
      </w:r>
      <w:r>
        <w:rPr>
          <w:spacing w:val="40"/>
          <w:sz w:val="24"/>
        </w:rPr>
        <w:t xml:space="preserve"> </w:t>
      </w:r>
      <w:r>
        <w:rPr>
          <w:sz w:val="24"/>
        </w:rPr>
        <w:t>&gt;1x</w:t>
      </w:r>
      <w:r>
        <w:rPr>
          <w:spacing w:val="40"/>
          <w:sz w:val="24"/>
        </w:rPr>
        <w:t xml:space="preserve"> </w:t>
      </w:r>
      <w:r>
        <w:rPr>
          <w:sz w:val="24"/>
        </w:rPr>
        <w:t>ULN, 3x</w:t>
      </w:r>
      <w:r>
        <w:rPr>
          <w:spacing w:val="-1"/>
          <w:sz w:val="24"/>
        </w:rPr>
        <w:t xml:space="preserve"> </w:t>
      </w:r>
      <w:r>
        <w:rPr>
          <w:sz w:val="24"/>
        </w:rPr>
        <w:t>ULN, and 5x ULN for the XELJANZ 5 mg twice daily treatment arm were 45.84, 3.21, and 0.98, respectively. The percentages for the XELJANZ 10 mg twice daily treatment arm were 51.58, 4.57, and 1.62, respectively. The percentages for all XELJANZ (combines XELJANZ 5 mg twice daily and XELJANZ 10 mg twice daily) were</w:t>
      </w:r>
      <w:r>
        <w:rPr>
          <w:spacing w:val="-4"/>
          <w:sz w:val="24"/>
        </w:rPr>
        <w:t xml:space="preserve"> </w:t>
      </w:r>
      <w:r>
        <w:rPr>
          <w:sz w:val="24"/>
        </w:rPr>
        <w:t>48.70,</w:t>
      </w:r>
      <w:r>
        <w:rPr>
          <w:spacing w:val="-2"/>
          <w:sz w:val="24"/>
        </w:rPr>
        <w:t xml:space="preserve"> </w:t>
      </w:r>
      <w:r>
        <w:rPr>
          <w:sz w:val="24"/>
        </w:rPr>
        <w:t>3.89,</w:t>
      </w:r>
      <w:r>
        <w:rPr>
          <w:spacing w:val="-2"/>
          <w:sz w:val="24"/>
        </w:rPr>
        <w:t xml:space="preserve"> </w:t>
      </w:r>
      <w:r>
        <w:rPr>
          <w:sz w:val="24"/>
        </w:rPr>
        <w:t>and 1.30,</w:t>
      </w:r>
      <w:r>
        <w:rPr>
          <w:spacing w:val="-2"/>
          <w:sz w:val="24"/>
        </w:rPr>
        <w:t xml:space="preserve"> </w:t>
      </w:r>
      <w:r>
        <w:rPr>
          <w:sz w:val="24"/>
        </w:rPr>
        <w:t>respectively. The</w:t>
      </w:r>
      <w:r>
        <w:rPr>
          <w:spacing w:val="-4"/>
          <w:sz w:val="24"/>
        </w:rPr>
        <w:t xml:space="preserve"> </w:t>
      </w:r>
      <w:r>
        <w:rPr>
          <w:sz w:val="24"/>
        </w:rPr>
        <w:t>percentages</w:t>
      </w:r>
      <w:r>
        <w:rPr>
          <w:spacing w:val="-6"/>
          <w:sz w:val="24"/>
        </w:rPr>
        <w:t xml:space="preserve"> </w:t>
      </w:r>
      <w:r>
        <w:rPr>
          <w:sz w:val="24"/>
        </w:rPr>
        <w:t>for</w:t>
      </w:r>
      <w:r>
        <w:rPr>
          <w:spacing w:val="-7"/>
          <w:sz w:val="24"/>
        </w:rPr>
        <w:t xml:space="preserve"> </w:t>
      </w:r>
      <w:r>
        <w:rPr>
          <w:sz w:val="24"/>
        </w:rPr>
        <w:t>the</w:t>
      </w:r>
      <w:r>
        <w:rPr>
          <w:spacing w:val="-4"/>
          <w:sz w:val="24"/>
        </w:rPr>
        <w:t xml:space="preserve"> </w:t>
      </w:r>
      <w:r>
        <w:rPr>
          <w:sz w:val="24"/>
        </w:rPr>
        <w:t>TNF</w:t>
      </w:r>
      <w:r>
        <w:rPr>
          <w:spacing w:val="-1"/>
          <w:sz w:val="24"/>
        </w:rPr>
        <w:t xml:space="preserve"> </w:t>
      </w:r>
      <w:r>
        <w:rPr>
          <w:sz w:val="24"/>
        </w:rPr>
        <w:t>inhibitor</w:t>
      </w:r>
      <w:r>
        <w:rPr>
          <w:spacing w:val="-7"/>
          <w:sz w:val="24"/>
        </w:rPr>
        <w:t xml:space="preserve"> </w:t>
      </w:r>
      <w:r>
        <w:rPr>
          <w:sz w:val="24"/>
        </w:rPr>
        <w:t>treatment arm were 37.18, 2.38, and 0.70, respectively.</w:t>
      </w:r>
    </w:p>
    <w:p w14:paraId="775905A9" w14:textId="77777777" w:rsidR="001825E2" w:rsidRDefault="000839A5" w:rsidP="00CB00A7">
      <w:pPr>
        <w:pStyle w:val="BodyText"/>
        <w:spacing w:before="232" w:line="242" w:lineRule="auto"/>
        <w:ind w:left="218" w:right="218"/>
        <w:jc w:val="left"/>
      </w:pPr>
      <w:r>
        <w:t>One patient treated with tofacitinib 10</w:t>
      </w:r>
      <w:r>
        <w:rPr>
          <w:spacing w:val="-6"/>
        </w:rPr>
        <w:t xml:space="preserve"> </w:t>
      </w:r>
      <w:r>
        <w:t>mg twice daily and MTX had possible drug-induced liver injury (DILI). Despite discontinuation of both drugs, 2-3 months later she developed further</w:t>
      </w:r>
      <w:r>
        <w:rPr>
          <w:spacing w:val="18"/>
        </w:rPr>
        <w:t xml:space="preserve"> </w:t>
      </w:r>
      <w:r>
        <w:t>increases</w:t>
      </w:r>
      <w:r>
        <w:rPr>
          <w:spacing w:val="36"/>
        </w:rPr>
        <w:t xml:space="preserve"> </w:t>
      </w:r>
      <w:r>
        <w:t>in</w:t>
      </w:r>
      <w:r>
        <w:rPr>
          <w:spacing w:val="26"/>
        </w:rPr>
        <w:t xml:space="preserve"> </w:t>
      </w:r>
      <w:r>
        <w:t>transaminase</w:t>
      </w:r>
      <w:r>
        <w:rPr>
          <w:spacing w:val="37"/>
        </w:rPr>
        <w:t xml:space="preserve"> </w:t>
      </w:r>
      <w:r>
        <w:t>levels.</w:t>
      </w:r>
      <w:r>
        <w:rPr>
          <w:spacing w:val="40"/>
        </w:rPr>
        <w:t xml:space="preserve"> </w:t>
      </w:r>
      <w:r>
        <w:t>The</w:t>
      </w:r>
      <w:r>
        <w:rPr>
          <w:spacing w:val="24"/>
        </w:rPr>
        <w:t xml:space="preserve"> </w:t>
      </w:r>
      <w:r>
        <w:t>elevated</w:t>
      </w:r>
      <w:r>
        <w:rPr>
          <w:spacing w:val="39"/>
        </w:rPr>
        <w:t xml:space="preserve"> </w:t>
      </w:r>
      <w:r>
        <w:t>liver</w:t>
      </w:r>
      <w:r>
        <w:rPr>
          <w:spacing w:val="21"/>
        </w:rPr>
        <w:t xml:space="preserve"> </w:t>
      </w:r>
      <w:r>
        <w:t>tests</w:t>
      </w:r>
      <w:r>
        <w:rPr>
          <w:spacing w:val="22"/>
        </w:rPr>
        <w:t xml:space="preserve"> </w:t>
      </w:r>
      <w:r>
        <w:t>responded</w:t>
      </w:r>
      <w:r>
        <w:rPr>
          <w:spacing w:val="25"/>
        </w:rPr>
        <w:t xml:space="preserve"> </w:t>
      </w:r>
      <w:r>
        <w:t>to</w:t>
      </w:r>
      <w:r>
        <w:rPr>
          <w:spacing w:val="26"/>
        </w:rPr>
        <w:t xml:space="preserve"> </w:t>
      </w:r>
      <w:proofErr w:type="gramStart"/>
      <w:r>
        <w:rPr>
          <w:spacing w:val="-2"/>
        </w:rPr>
        <w:t>prednisolone</w:t>
      </w:r>
      <w:proofErr w:type="gramEnd"/>
    </w:p>
    <w:p w14:paraId="2D3B1BE8" w14:textId="77777777" w:rsidR="001825E2" w:rsidRDefault="001825E2" w:rsidP="00CB00A7">
      <w:pPr>
        <w:spacing w:line="242" w:lineRule="auto"/>
        <w:sectPr w:rsidR="001825E2">
          <w:pgSz w:w="11910" w:h="16850"/>
          <w:pgMar w:top="1360" w:right="1220" w:bottom="980" w:left="1220" w:header="0" w:footer="785" w:gutter="0"/>
          <w:cols w:space="720"/>
        </w:sectPr>
      </w:pPr>
    </w:p>
    <w:p w14:paraId="4FAA6254" w14:textId="77777777" w:rsidR="001825E2" w:rsidRDefault="000839A5" w:rsidP="00CB00A7">
      <w:pPr>
        <w:pStyle w:val="BodyText"/>
        <w:spacing w:before="80" w:line="235" w:lineRule="auto"/>
        <w:ind w:left="220" w:right="218"/>
        <w:jc w:val="left"/>
      </w:pPr>
      <w:r>
        <w:lastRenderedPageBreak/>
        <w:t>and azathioprine, possibly consistent with autoimmune hepatitis, but DILI cannot be ruled</w:t>
      </w:r>
      <w:r>
        <w:rPr>
          <w:spacing w:val="40"/>
        </w:rPr>
        <w:t xml:space="preserve"> </w:t>
      </w:r>
      <w:r>
        <w:rPr>
          <w:spacing w:val="-4"/>
        </w:rPr>
        <w:t>out.</w:t>
      </w:r>
    </w:p>
    <w:p w14:paraId="568B228E" w14:textId="77777777" w:rsidR="001825E2" w:rsidRDefault="000839A5" w:rsidP="00CB00A7">
      <w:pPr>
        <w:spacing w:before="250"/>
        <w:ind w:left="220"/>
        <w:rPr>
          <w:i/>
          <w:sz w:val="24"/>
        </w:rPr>
      </w:pPr>
      <w:r>
        <w:rPr>
          <w:i/>
          <w:spacing w:val="-2"/>
          <w:sz w:val="24"/>
        </w:rPr>
        <w:t>Lipids</w:t>
      </w:r>
    </w:p>
    <w:p w14:paraId="32B98CF6" w14:textId="77777777" w:rsidR="001825E2" w:rsidRDefault="000839A5" w:rsidP="00CB00A7">
      <w:pPr>
        <w:pStyle w:val="BodyText"/>
        <w:spacing w:before="114" w:line="242" w:lineRule="auto"/>
        <w:ind w:left="219" w:right="201"/>
        <w:jc w:val="left"/>
      </w:pPr>
      <w:r>
        <w:t>Elevations in lipid parameters (total cholesterol, LDL cholesterol, HDL cholesterol, triglycerides) were first assessed at one month following initiation of XELJANZ in the controlled double-blind clinical trials. Increases were observed at this time point and</w:t>
      </w:r>
      <w:r>
        <w:rPr>
          <w:spacing w:val="40"/>
        </w:rPr>
        <w:t xml:space="preserve"> </w:t>
      </w:r>
      <w:r>
        <w:t>remained stable thereafter. Changes in lipid parameters from baseline through the end of the study</w:t>
      </w:r>
      <w:r>
        <w:rPr>
          <w:spacing w:val="-11"/>
        </w:rPr>
        <w:t xml:space="preserve"> </w:t>
      </w:r>
      <w:r>
        <w:t>(6-24 months) in the controlled phase 3 clinical</w:t>
      </w:r>
      <w:r>
        <w:rPr>
          <w:spacing w:val="31"/>
        </w:rPr>
        <w:t xml:space="preserve"> </w:t>
      </w:r>
      <w:r>
        <w:t xml:space="preserve">studies are </w:t>
      </w:r>
      <w:proofErr w:type="spellStart"/>
      <w:r>
        <w:t>summarised</w:t>
      </w:r>
      <w:proofErr w:type="spellEnd"/>
      <w:r>
        <w:rPr>
          <w:spacing w:val="40"/>
        </w:rPr>
        <w:t xml:space="preserve"> </w:t>
      </w:r>
      <w:r>
        <w:t>below:</w:t>
      </w:r>
    </w:p>
    <w:p w14:paraId="13617803" w14:textId="77777777" w:rsidR="001825E2" w:rsidRDefault="000839A5" w:rsidP="00CB00A7">
      <w:pPr>
        <w:pStyle w:val="ListParagraph"/>
        <w:numPr>
          <w:ilvl w:val="0"/>
          <w:numId w:val="4"/>
        </w:numPr>
        <w:tabs>
          <w:tab w:val="left" w:pos="638"/>
        </w:tabs>
        <w:spacing w:before="230" w:line="235" w:lineRule="auto"/>
        <w:ind w:left="638" w:right="203"/>
        <w:jc w:val="left"/>
        <w:rPr>
          <w:sz w:val="24"/>
        </w:rPr>
      </w:pPr>
      <w:r>
        <w:rPr>
          <w:sz w:val="24"/>
        </w:rPr>
        <w:t>Mean LDL cholesterol increased</w:t>
      </w:r>
      <w:r>
        <w:rPr>
          <w:spacing w:val="40"/>
          <w:sz w:val="24"/>
        </w:rPr>
        <w:t xml:space="preserve"> </w:t>
      </w:r>
      <w:r>
        <w:rPr>
          <w:sz w:val="24"/>
        </w:rPr>
        <w:t>by 15% in the XELJANZ 5 mg twice daily arm and 20% in the XELJANZ 10</w:t>
      </w:r>
      <w:r>
        <w:rPr>
          <w:spacing w:val="-4"/>
          <w:sz w:val="24"/>
        </w:rPr>
        <w:t xml:space="preserve"> </w:t>
      </w:r>
      <w:r>
        <w:rPr>
          <w:sz w:val="24"/>
        </w:rPr>
        <w:t>mg twice daily arm at month</w:t>
      </w:r>
      <w:r>
        <w:rPr>
          <w:spacing w:val="-4"/>
          <w:sz w:val="24"/>
        </w:rPr>
        <w:t xml:space="preserve"> </w:t>
      </w:r>
      <w:proofErr w:type="gramStart"/>
      <w:r>
        <w:rPr>
          <w:sz w:val="24"/>
        </w:rPr>
        <w:t>12, and</w:t>
      </w:r>
      <w:proofErr w:type="gramEnd"/>
      <w:r>
        <w:rPr>
          <w:sz w:val="24"/>
        </w:rPr>
        <w:t xml:space="preserve"> increased by 16% in the XELJANZ 5</w:t>
      </w:r>
      <w:r>
        <w:rPr>
          <w:spacing w:val="-3"/>
          <w:sz w:val="24"/>
        </w:rPr>
        <w:t xml:space="preserve"> </w:t>
      </w:r>
      <w:r>
        <w:rPr>
          <w:sz w:val="24"/>
        </w:rPr>
        <w:t>mg twice daily arm and 19% in the XELJANZ 10</w:t>
      </w:r>
      <w:r>
        <w:rPr>
          <w:spacing w:val="-2"/>
          <w:sz w:val="24"/>
        </w:rPr>
        <w:t xml:space="preserve"> </w:t>
      </w:r>
      <w:r>
        <w:rPr>
          <w:sz w:val="24"/>
        </w:rPr>
        <w:t>mg twice daily arm at month 24.</w:t>
      </w:r>
    </w:p>
    <w:p w14:paraId="1D45B8E0" w14:textId="77777777" w:rsidR="001825E2" w:rsidRDefault="000839A5" w:rsidP="00CB00A7">
      <w:pPr>
        <w:pStyle w:val="ListParagraph"/>
        <w:numPr>
          <w:ilvl w:val="0"/>
          <w:numId w:val="4"/>
        </w:numPr>
        <w:tabs>
          <w:tab w:val="left" w:pos="638"/>
        </w:tabs>
        <w:spacing w:before="17" w:line="235" w:lineRule="auto"/>
        <w:ind w:left="638" w:right="203"/>
        <w:jc w:val="left"/>
        <w:rPr>
          <w:sz w:val="24"/>
        </w:rPr>
      </w:pPr>
      <w:r>
        <w:rPr>
          <w:sz w:val="24"/>
        </w:rPr>
        <w:t>Mean HDL cholesterol increased</w:t>
      </w:r>
      <w:r>
        <w:rPr>
          <w:spacing w:val="40"/>
          <w:sz w:val="24"/>
        </w:rPr>
        <w:t xml:space="preserve"> </w:t>
      </w:r>
      <w:r>
        <w:rPr>
          <w:sz w:val="24"/>
        </w:rPr>
        <w:t>by 17% in the XELJANZ 5 mg twice daily arm and 18% in the XELJANZ 10</w:t>
      </w:r>
      <w:r>
        <w:rPr>
          <w:spacing w:val="-4"/>
          <w:sz w:val="24"/>
        </w:rPr>
        <w:t xml:space="preserve"> </w:t>
      </w:r>
      <w:r>
        <w:rPr>
          <w:sz w:val="24"/>
        </w:rPr>
        <w:t>mg twice daily arm at month</w:t>
      </w:r>
      <w:r>
        <w:rPr>
          <w:spacing w:val="-4"/>
          <w:sz w:val="24"/>
        </w:rPr>
        <w:t xml:space="preserve"> </w:t>
      </w:r>
      <w:proofErr w:type="gramStart"/>
      <w:r>
        <w:rPr>
          <w:sz w:val="24"/>
        </w:rPr>
        <w:t>12, and</w:t>
      </w:r>
      <w:proofErr w:type="gramEnd"/>
      <w:r>
        <w:rPr>
          <w:sz w:val="24"/>
        </w:rPr>
        <w:t xml:space="preserve"> increased by 19% in the XELJANZ 5</w:t>
      </w:r>
      <w:r>
        <w:rPr>
          <w:spacing w:val="-3"/>
          <w:sz w:val="24"/>
        </w:rPr>
        <w:t xml:space="preserve"> </w:t>
      </w:r>
      <w:r>
        <w:rPr>
          <w:sz w:val="24"/>
        </w:rPr>
        <w:t>mg twice daily arm and 20% in the XELJANZ 10</w:t>
      </w:r>
      <w:r>
        <w:rPr>
          <w:spacing w:val="-2"/>
          <w:sz w:val="24"/>
        </w:rPr>
        <w:t xml:space="preserve"> </w:t>
      </w:r>
      <w:r>
        <w:rPr>
          <w:sz w:val="24"/>
        </w:rPr>
        <w:t>mg twice daily arm at month 24.</w:t>
      </w:r>
    </w:p>
    <w:p w14:paraId="16D21C2E" w14:textId="77777777" w:rsidR="001825E2" w:rsidRDefault="000839A5" w:rsidP="00CB00A7">
      <w:pPr>
        <w:pStyle w:val="ListParagraph"/>
        <w:numPr>
          <w:ilvl w:val="0"/>
          <w:numId w:val="4"/>
        </w:numPr>
        <w:tabs>
          <w:tab w:val="left" w:pos="637"/>
        </w:tabs>
        <w:spacing w:line="237" w:lineRule="auto"/>
        <w:ind w:left="637" w:right="215"/>
        <w:jc w:val="left"/>
        <w:rPr>
          <w:sz w:val="24"/>
        </w:rPr>
      </w:pPr>
      <w:r>
        <w:rPr>
          <w:sz w:val="24"/>
        </w:rPr>
        <w:t>Mean</w:t>
      </w:r>
      <w:r>
        <w:rPr>
          <w:spacing w:val="-4"/>
          <w:sz w:val="24"/>
        </w:rPr>
        <w:t xml:space="preserve"> </w:t>
      </w:r>
      <w:r>
        <w:rPr>
          <w:sz w:val="24"/>
        </w:rPr>
        <w:t>LDL</w:t>
      </w:r>
      <w:r>
        <w:rPr>
          <w:spacing w:val="-2"/>
          <w:sz w:val="24"/>
        </w:rPr>
        <w:t xml:space="preserve"> </w:t>
      </w:r>
      <w:r>
        <w:rPr>
          <w:sz w:val="24"/>
        </w:rPr>
        <w:t>cholesterol/HDL</w:t>
      </w:r>
      <w:r>
        <w:rPr>
          <w:spacing w:val="-2"/>
          <w:sz w:val="24"/>
        </w:rPr>
        <w:t xml:space="preserve"> </w:t>
      </w:r>
      <w:r>
        <w:rPr>
          <w:sz w:val="24"/>
        </w:rPr>
        <w:t>cholesterol</w:t>
      </w:r>
      <w:r>
        <w:rPr>
          <w:spacing w:val="-11"/>
          <w:sz w:val="24"/>
        </w:rPr>
        <w:t xml:space="preserve"> </w:t>
      </w:r>
      <w:r>
        <w:rPr>
          <w:sz w:val="24"/>
        </w:rPr>
        <w:t>ratios</w:t>
      </w:r>
      <w:r>
        <w:rPr>
          <w:spacing w:val="-8"/>
          <w:sz w:val="24"/>
        </w:rPr>
        <w:t xml:space="preserve"> </w:t>
      </w:r>
      <w:r>
        <w:rPr>
          <w:sz w:val="24"/>
        </w:rPr>
        <w:t>were essentially</w:t>
      </w:r>
      <w:r>
        <w:rPr>
          <w:spacing w:val="-4"/>
          <w:sz w:val="24"/>
        </w:rPr>
        <w:t xml:space="preserve"> </w:t>
      </w:r>
      <w:r>
        <w:rPr>
          <w:sz w:val="24"/>
        </w:rPr>
        <w:t>unchanged in</w:t>
      </w:r>
      <w:r>
        <w:rPr>
          <w:spacing w:val="-4"/>
          <w:sz w:val="24"/>
        </w:rPr>
        <w:t xml:space="preserve"> </w:t>
      </w:r>
      <w:r>
        <w:rPr>
          <w:sz w:val="24"/>
        </w:rPr>
        <w:t>XELJANZ- treated patients.</w:t>
      </w:r>
    </w:p>
    <w:p w14:paraId="158FCA09" w14:textId="77777777" w:rsidR="001825E2" w:rsidRDefault="000839A5" w:rsidP="00CB00A7">
      <w:pPr>
        <w:pStyle w:val="ListParagraph"/>
        <w:numPr>
          <w:ilvl w:val="0"/>
          <w:numId w:val="4"/>
        </w:numPr>
        <w:tabs>
          <w:tab w:val="left" w:pos="637"/>
        </w:tabs>
        <w:spacing w:line="237" w:lineRule="auto"/>
        <w:ind w:left="637" w:right="215"/>
        <w:jc w:val="left"/>
        <w:rPr>
          <w:sz w:val="24"/>
        </w:rPr>
      </w:pPr>
      <w:r>
        <w:rPr>
          <w:sz w:val="24"/>
        </w:rPr>
        <w:t>Apolipoprotein B (ApoB)/ApoA1 ratios were essentially unchanged in XELJANZ- treated patients.</w:t>
      </w:r>
    </w:p>
    <w:p w14:paraId="48466D06" w14:textId="77777777" w:rsidR="001825E2" w:rsidRDefault="000839A5" w:rsidP="00CB00A7">
      <w:pPr>
        <w:pStyle w:val="BodyText"/>
        <w:spacing w:before="233"/>
        <w:ind w:left="216" w:right="203"/>
        <w:jc w:val="left"/>
      </w:pPr>
      <w:r>
        <w:t xml:space="preserve">Elevations of LDL cholesterol, and HDL cholesterol, were reported in a </w:t>
      </w:r>
      <w:proofErr w:type="gramStart"/>
      <w:r>
        <w:t xml:space="preserve">large </w:t>
      </w:r>
      <w:proofErr w:type="spellStart"/>
      <w:r>
        <w:t>randomised</w:t>
      </w:r>
      <w:proofErr w:type="spellEnd"/>
      <w:proofErr w:type="gramEnd"/>
      <w:r>
        <w:t xml:space="preserve"> PASS in RA patients who were 50 years or older with at least one additional cardiovascular risk factor. The percent change in LDL cholesterol and HDL cholesterol are presented as </w:t>
      </w:r>
      <w:r>
        <w:rPr>
          <w:spacing w:val="-2"/>
        </w:rPr>
        <w:t>follows:</w:t>
      </w:r>
    </w:p>
    <w:p w14:paraId="50D14A08" w14:textId="77777777" w:rsidR="001825E2" w:rsidRDefault="000839A5" w:rsidP="00CB00A7">
      <w:pPr>
        <w:pStyle w:val="ListParagraph"/>
        <w:numPr>
          <w:ilvl w:val="0"/>
          <w:numId w:val="4"/>
        </w:numPr>
        <w:tabs>
          <w:tab w:val="left" w:pos="635"/>
        </w:tabs>
        <w:spacing w:before="254" w:line="230" w:lineRule="auto"/>
        <w:ind w:left="635" w:right="222"/>
        <w:jc w:val="left"/>
        <w:rPr>
          <w:sz w:val="24"/>
        </w:rPr>
      </w:pPr>
      <w:r>
        <w:rPr>
          <w:sz w:val="24"/>
        </w:rPr>
        <w:t>At 12 months, in the XELJANZ 5 mg twice daily, XELJANZ 10 mg twice daily, and TNF inhibitor treatment arms, the mean percent increase in LDL cholesterol was 13.80, 17.04,</w:t>
      </w:r>
      <w:r>
        <w:rPr>
          <w:spacing w:val="-3"/>
          <w:sz w:val="24"/>
        </w:rPr>
        <w:t xml:space="preserve"> </w:t>
      </w:r>
      <w:r>
        <w:rPr>
          <w:sz w:val="24"/>
        </w:rPr>
        <w:t>and 5.50,</w:t>
      </w:r>
      <w:r>
        <w:rPr>
          <w:spacing w:val="-3"/>
          <w:sz w:val="24"/>
        </w:rPr>
        <w:t xml:space="preserve"> </w:t>
      </w:r>
      <w:r>
        <w:rPr>
          <w:sz w:val="24"/>
        </w:rPr>
        <w:t>respectively. At 24</w:t>
      </w:r>
      <w:r>
        <w:rPr>
          <w:spacing w:val="-3"/>
          <w:sz w:val="24"/>
        </w:rPr>
        <w:t xml:space="preserve"> </w:t>
      </w:r>
      <w:r>
        <w:rPr>
          <w:sz w:val="24"/>
        </w:rPr>
        <w:t>months,</w:t>
      </w:r>
      <w:r>
        <w:rPr>
          <w:spacing w:val="-3"/>
          <w:sz w:val="24"/>
        </w:rPr>
        <w:t xml:space="preserve"> </w:t>
      </w:r>
      <w:r>
        <w:rPr>
          <w:sz w:val="24"/>
        </w:rPr>
        <w:t>the</w:t>
      </w:r>
      <w:r>
        <w:rPr>
          <w:spacing w:val="-5"/>
          <w:sz w:val="24"/>
        </w:rPr>
        <w:t xml:space="preserve"> </w:t>
      </w:r>
      <w:r>
        <w:rPr>
          <w:sz w:val="24"/>
        </w:rPr>
        <w:t>mean</w:t>
      </w:r>
      <w:r>
        <w:rPr>
          <w:spacing w:val="-3"/>
          <w:sz w:val="24"/>
        </w:rPr>
        <w:t xml:space="preserve"> </w:t>
      </w:r>
      <w:r>
        <w:rPr>
          <w:sz w:val="24"/>
        </w:rPr>
        <w:t>percent increase</w:t>
      </w:r>
      <w:r>
        <w:rPr>
          <w:spacing w:val="-5"/>
          <w:sz w:val="24"/>
        </w:rPr>
        <w:t xml:space="preserve"> </w:t>
      </w:r>
      <w:r>
        <w:rPr>
          <w:sz w:val="24"/>
        </w:rPr>
        <w:t>was</w:t>
      </w:r>
      <w:r>
        <w:rPr>
          <w:spacing w:val="-7"/>
          <w:sz w:val="24"/>
        </w:rPr>
        <w:t xml:space="preserve"> </w:t>
      </w:r>
      <w:r>
        <w:rPr>
          <w:sz w:val="24"/>
        </w:rPr>
        <w:t>12.71, 18.14,</w:t>
      </w:r>
    </w:p>
    <w:p w14:paraId="0812005B" w14:textId="77777777" w:rsidR="001825E2" w:rsidRDefault="000839A5" w:rsidP="00CB00A7">
      <w:pPr>
        <w:pStyle w:val="BodyText"/>
        <w:spacing w:before="11"/>
        <w:ind w:left="635"/>
        <w:jc w:val="left"/>
      </w:pPr>
      <w:r>
        <w:t>and</w:t>
      </w:r>
      <w:r>
        <w:rPr>
          <w:spacing w:val="-2"/>
        </w:rPr>
        <w:t xml:space="preserve"> </w:t>
      </w:r>
      <w:r>
        <w:t>3.64,</w:t>
      </w:r>
      <w:r>
        <w:rPr>
          <w:spacing w:val="-1"/>
        </w:rPr>
        <w:t xml:space="preserve"> </w:t>
      </w:r>
      <w:r>
        <w:rPr>
          <w:spacing w:val="-2"/>
        </w:rPr>
        <w:t>respectively.</w:t>
      </w:r>
    </w:p>
    <w:p w14:paraId="35A468AB" w14:textId="77777777" w:rsidR="001825E2" w:rsidRDefault="001825E2" w:rsidP="00CB00A7">
      <w:pPr>
        <w:pStyle w:val="BodyText"/>
        <w:spacing w:before="11"/>
        <w:jc w:val="left"/>
      </w:pPr>
    </w:p>
    <w:p w14:paraId="7F503824" w14:textId="77777777" w:rsidR="001825E2" w:rsidRDefault="000839A5" w:rsidP="00CB00A7">
      <w:pPr>
        <w:pStyle w:val="ListParagraph"/>
        <w:numPr>
          <w:ilvl w:val="0"/>
          <w:numId w:val="4"/>
        </w:numPr>
        <w:tabs>
          <w:tab w:val="left" w:pos="635"/>
        </w:tabs>
        <w:spacing w:line="230" w:lineRule="auto"/>
        <w:ind w:left="635" w:right="223"/>
        <w:jc w:val="left"/>
        <w:rPr>
          <w:sz w:val="24"/>
        </w:rPr>
      </w:pPr>
      <w:r>
        <w:rPr>
          <w:sz w:val="24"/>
        </w:rPr>
        <w:t>At 12 months, in the XELJANZ 5 mg twice daily, XELJANZ 10 mg twice daily, and TNF inhibitor treatment arms, the mean percent increase in HDL cholesterol was 11.71, 13.63,</w:t>
      </w:r>
      <w:r>
        <w:rPr>
          <w:spacing w:val="-3"/>
          <w:sz w:val="24"/>
        </w:rPr>
        <w:t xml:space="preserve"> </w:t>
      </w:r>
      <w:r>
        <w:rPr>
          <w:sz w:val="24"/>
        </w:rPr>
        <w:t>and 2.82,</w:t>
      </w:r>
      <w:r>
        <w:rPr>
          <w:spacing w:val="-3"/>
          <w:sz w:val="24"/>
        </w:rPr>
        <w:t xml:space="preserve"> </w:t>
      </w:r>
      <w:r>
        <w:rPr>
          <w:sz w:val="24"/>
        </w:rPr>
        <w:t>respectively. At 24</w:t>
      </w:r>
      <w:r>
        <w:rPr>
          <w:spacing w:val="-3"/>
          <w:sz w:val="24"/>
        </w:rPr>
        <w:t xml:space="preserve"> </w:t>
      </w:r>
      <w:r>
        <w:rPr>
          <w:sz w:val="24"/>
        </w:rPr>
        <w:t>months,</w:t>
      </w:r>
      <w:r>
        <w:rPr>
          <w:spacing w:val="-3"/>
          <w:sz w:val="24"/>
        </w:rPr>
        <w:t xml:space="preserve"> </w:t>
      </w:r>
      <w:r>
        <w:rPr>
          <w:sz w:val="24"/>
        </w:rPr>
        <w:t>the</w:t>
      </w:r>
      <w:r>
        <w:rPr>
          <w:spacing w:val="-5"/>
          <w:sz w:val="24"/>
        </w:rPr>
        <w:t xml:space="preserve"> </w:t>
      </w:r>
      <w:r>
        <w:rPr>
          <w:sz w:val="24"/>
        </w:rPr>
        <w:t>mean</w:t>
      </w:r>
      <w:r>
        <w:rPr>
          <w:spacing w:val="-3"/>
          <w:sz w:val="24"/>
        </w:rPr>
        <w:t xml:space="preserve"> </w:t>
      </w:r>
      <w:r>
        <w:rPr>
          <w:sz w:val="24"/>
        </w:rPr>
        <w:t>percent increase</w:t>
      </w:r>
      <w:r>
        <w:rPr>
          <w:spacing w:val="-5"/>
          <w:sz w:val="24"/>
        </w:rPr>
        <w:t xml:space="preserve"> </w:t>
      </w:r>
      <w:r>
        <w:rPr>
          <w:sz w:val="24"/>
        </w:rPr>
        <w:t>was</w:t>
      </w:r>
      <w:r>
        <w:rPr>
          <w:spacing w:val="-7"/>
          <w:sz w:val="24"/>
        </w:rPr>
        <w:t xml:space="preserve"> </w:t>
      </w:r>
      <w:r>
        <w:rPr>
          <w:sz w:val="24"/>
        </w:rPr>
        <w:t>11.58, 13.54,</w:t>
      </w:r>
    </w:p>
    <w:p w14:paraId="4386BCFB" w14:textId="77777777" w:rsidR="001825E2" w:rsidRDefault="000839A5" w:rsidP="00CB00A7">
      <w:pPr>
        <w:pStyle w:val="BodyText"/>
        <w:spacing w:before="10"/>
        <w:ind w:left="635"/>
        <w:jc w:val="left"/>
      </w:pPr>
      <w:r>
        <w:t>and</w:t>
      </w:r>
      <w:r>
        <w:rPr>
          <w:spacing w:val="-1"/>
        </w:rPr>
        <w:t xml:space="preserve"> </w:t>
      </w:r>
      <w:r>
        <w:t>1.42,</w:t>
      </w:r>
      <w:r>
        <w:rPr>
          <w:spacing w:val="-1"/>
        </w:rPr>
        <w:t xml:space="preserve"> </w:t>
      </w:r>
      <w:r>
        <w:rPr>
          <w:spacing w:val="-2"/>
        </w:rPr>
        <w:t>respectively.</w:t>
      </w:r>
    </w:p>
    <w:p w14:paraId="230CC56C" w14:textId="77777777" w:rsidR="001825E2" w:rsidRDefault="000839A5" w:rsidP="00CB00A7">
      <w:pPr>
        <w:pStyle w:val="BodyText"/>
        <w:spacing w:before="234" w:line="247" w:lineRule="auto"/>
        <w:ind w:left="215" w:right="208"/>
        <w:jc w:val="left"/>
      </w:pPr>
      <w:r>
        <w:t>In a controlled clinical trial, elevations in LDL cholesterol and ApoB decreased to pretreatment levels in response to</w:t>
      </w:r>
      <w:r>
        <w:rPr>
          <w:spacing w:val="-2"/>
        </w:rPr>
        <w:t xml:space="preserve"> </w:t>
      </w:r>
      <w:r>
        <w:t>statin therapy.</w:t>
      </w:r>
    </w:p>
    <w:p w14:paraId="3BFE8AB7" w14:textId="77777777" w:rsidR="001825E2" w:rsidRDefault="000839A5" w:rsidP="00CB00A7">
      <w:pPr>
        <w:pStyle w:val="BodyText"/>
        <w:spacing w:before="231" w:line="235" w:lineRule="auto"/>
        <w:ind w:left="214" w:right="231"/>
        <w:jc w:val="left"/>
      </w:pPr>
      <w:r>
        <w:t>In the long-term safety populations, elevations in the lipid parameters remained consistent with</w:t>
      </w:r>
      <w:r>
        <w:rPr>
          <w:spacing w:val="-4"/>
        </w:rPr>
        <w:t xml:space="preserve"> </w:t>
      </w:r>
      <w:r>
        <w:t>what was</w:t>
      </w:r>
      <w:r>
        <w:rPr>
          <w:spacing w:val="-9"/>
        </w:rPr>
        <w:t xml:space="preserve"> </w:t>
      </w:r>
      <w:r>
        <w:t>seen in the controlled clinical</w:t>
      </w:r>
      <w:r>
        <w:rPr>
          <w:spacing w:val="40"/>
        </w:rPr>
        <w:t xml:space="preserve"> </w:t>
      </w:r>
      <w:r>
        <w:t>studies.</w:t>
      </w:r>
    </w:p>
    <w:p w14:paraId="2F1C5716" w14:textId="77777777" w:rsidR="001825E2" w:rsidRDefault="000839A5" w:rsidP="00CB00A7">
      <w:pPr>
        <w:spacing w:before="250"/>
        <w:ind w:left="214"/>
        <w:rPr>
          <w:i/>
          <w:sz w:val="24"/>
        </w:rPr>
      </w:pPr>
      <w:r>
        <w:rPr>
          <w:i/>
          <w:sz w:val="24"/>
        </w:rPr>
        <w:t xml:space="preserve">Serum </w:t>
      </w:r>
      <w:r>
        <w:rPr>
          <w:i/>
          <w:spacing w:val="-2"/>
          <w:sz w:val="24"/>
        </w:rPr>
        <w:t>Creatinine</w:t>
      </w:r>
    </w:p>
    <w:p w14:paraId="6D45C134" w14:textId="77777777" w:rsidR="001825E2" w:rsidRDefault="000839A5" w:rsidP="00CB00A7">
      <w:pPr>
        <w:pStyle w:val="BodyText"/>
        <w:spacing w:before="114"/>
        <w:ind w:left="214" w:right="209"/>
        <w:jc w:val="left"/>
      </w:pPr>
      <w:r>
        <w:t>In the controlled</w:t>
      </w:r>
      <w:r>
        <w:rPr>
          <w:spacing w:val="40"/>
        </w:rPr>
        <w:t xml:space="preserve"> </w:t>
      </w:r>
      <w:r>
        <w:t>clinical trials, dose-related</w:t>
      </w:r>
      <w:r>
        <w:rPr>
          <w:spacing w:val="40"/>
        </w:rPr>
        <w:t xml:space="preserve"> </w:t>
      </w:r>
      <w:r>
        <w:t>elevations in serum creatinine were observed with XELJANZ treatment. The mean increase in serum creatinine was &lt;8.84 µmol/L in the 12-month pooled safety analysis; however, with increasing duration of exposure in the long- term</w:t>
      </w:r>
      <w:r>
        <w:rPr>
          <w:spacing w:val="7"/>
        </w:rPr>
        <w:t xml:space="preserve"> </w:t>
      </w:r>
      <w:r>
        <w:t>extensions,</w:t>
      </w:r>
      <w:r>
        <w:rPr>
          <w:spacing w:val="17"/>
        </w:rPr>
        <w:t xml:space="preserve"> </w:t>
      </w:r>
      <w:r>
        <w:t>up</w:t>
      </w:r>
      <w:r>
        <w:rPr>
          <w:spacing w:val="17"/>
        </w:rPr>
        <w:t xml:space="preserve"> </w:t>
      </w:r>
      <w:r>
        <w:t>to</w:t>
      </w:r>
      <w:r>
        <w:rPr>
          <w:spacing w:val="17"/>
        </w:rPr>
        <w:t xml:space="preserve"> </w:t>
      </w:r>
      <w:r>
        <w:t>2.4%</w:t>
      </w:r>
      <w:r>
        <w:rPr>
          <w:spacing w:val="12"/>
        </w:rPr>
        <w:t xml:space="preserve"> </w:t>
      </w:r>
      <w:r>
        <w:t>of</w:t>
      </w:r>
      <w:r>
        <w:rPr>
          <w:spacing w:val="28"/>
        </w:rPr>
        <w:t xml:space="preserve"> </w:t>
      </w:r>
      <w:r>
        <w:t>patients</w:t>
      </w:r>
      <w:r>
        <w:rPr>
          <w:spacing w:val="13"/>
        </w:rPr>
        <w:t xml:space="preserve"> </w:t>
      </w:r>
      <w:r>
        <w:t>were</w:t>
      </w:r>
      <w:r>
        <w:rPr>
          <w:spacing w:val="15"/>
        </w:rPr>
        <w:t xml:space="preserve"> </w:t>
      </w:r>
      <w:r>
        <w:t>discontinued</w:t>
      </w:r>
      <w:r>
        <w:rPr>
          <w:spacing w:val="32"/>
        </w:rPr>
        <w:t xml:space="preserve"> </w:t>
      </w:r>
      <w:r>
        <w:t>from</w:t>
      </w:r>
      <w:r>
        <w:rPr>
          <w:spacing w:val="10"/>
        </w:rPr>
        <w:t xml:space="preserve"> </w:t>
      </w:r>
      <w:r>
        <w:t>XELJANZ</w:t>
      </w:r>
      <w:r>
        <w:rPr>
          <w:spacing w:val="5"/>
        </w:rPr>
        <w:t xml:space="preserve"> </w:t>
      </w:r>
      <w:r>
        <w:t>treatment</w:t>
      </w:r>
      <w:r>
        <w:rPr>
          <w:spacing w:val="10"/>
        </w:rPr>
        <w:t xml:space="preserve"> </w:t>
      </w:r>
      <w:r>
        <w:t>due</w:t>
      </w:r>
      <w:r>
        <w:rPr>
          <w:spacing w:val="15"/>
        </w:rPr>
        <w:t xml:space="preserve"> </w:t>
      </w:r>
      <w:r>
        <w:rPr>
          <w:spacing w:val="-5"/>
        </w:rPr>
        <w:t>to</w:t>
      </w:r>
    </w:p>
    <w:p w14:paraId="2811DC68" w14:textId="77777777" w:rsidR="001825E2" w:rsidRDefault="001825E2" w:rsidP="00CB00A7">
      <w:pPr>
        <w:sectPr w:rsidR="001825E2">
          <w:pgSz w:w="11910" w:h="16850"/>
          <w:pgMar w:top="1360" w:right="1220" w:bottom="980" w:left="1220" w:header="0" w:footer="785" w:gutter="0"/>
          <w:cols w:space="720"/>
        </w:sectPr>
      </w:pPr>
    </w:p>
    <w:p w14:paraId="504146A4" w14:textId="77777777" w:rsidR="001825E2" w:rsidRDefault="000839A5" w:rsidP="00CB00A7">
      <w:pPr>
        <w:pStyle w:val="BodyText"/>
        <w:spacing w:before="80" w:line="235" w:lineRule="auto"/>
        <w:ind w:left="220" w:right="122"/>
        <w:jc w:val="left"/>
      </w:pPr>
      <w:bookmarkStart w:id="55" w:name="Post-Marketing_Experience"/>
      <w:bookmarkStart w:id="56" w:name="Reporting_Suspected_Adverse_Effects"/>
      <w:bookmarkStart w:id="57" w:name="4.9_Overdose"/>
      <w:bookmarkStart w:id="58" w:name="5_PHARMACOLOGICAL_PROPERTIES"/>
      <w:bookmarkStart w:id="59" w:name="5.1_Pharmacodynamic_Properties"/>
      <w:bookmarkStart w:id="60" w:name="Mechanism_of_Action"/>
      <w:bookmarkEnd w:id="55"/>
      <w:bookmarkEnd w:id="56"/>
      <w:bookmarkEnd w:id="57"/>
      <w:bookmarkEnd w:id="58"/>
      <w:bookmarkEnd w:id="59"/>
      <w:bookmarkEnd w:id="60"/>
      <w:r>
        <w:lastRenderedPageBreak/>
        <w:t>the</w:t>
      </w:r>
      <w:r>
        <w:rPr>
          <w:spacing w:val="-6"/>
        </w:rPr>
        <w:t xml:space="preserve"> </w:t>
      </w:r>
      <w:r>
        <w:t>protocol-specified discontinuation</w:t>
      </w:r>
      <w:r>
        <w:rPr>
          <w:spacing w:val="-4"/>
        </w:rPr>
        <w:t xml:space="preserve"> </w:t>
      </w:r>
      <w:r>
        <w:t>criterion</w:t>
      </w:r>
      <w:r>
        <w:rPr>
          <w:spacing w:val="-4"/>
        </w:rPr>
        <w:t xml:space="preserve"> </w:t>
      </w:r>
      <w:r>
        <w:t>of an</w:t>
      </w:r>
      <w:r>
        <w:rPr>
          <w:spacing w:val="-4"/>
        </w:rPr>
        <w:t xml:space="preserve"> </w:t>
      </w:r>
      <w:r>
        <w:t>increase in</w:t>
      </w:r>
      <w:r>
        <w:rPr>
          <w:spacing w:val="-4"/>
        </w:rPr>
        <w:t xml:space="preserve"> </w:t>
      </w:r>
      <w:r>
        <w:t>creatinine by</w:t>
      </w:r>
      <w:r>
        <w:rPr>
          <w:spacing w:val="-4"/>
        </w:rPr>
        <w:t xml:space="preserve"> </w:t>
      </w:r>
      <w:r>
        <w:t>more</w:t>
      </w:r>
      <w:r>
        <w:rPr>
          <w:spacing w:val="-6"/>
        </w:rPr>
        <w:t xml:space="preserve"> </w:t>
      </w:r>
      <w:r>
        <w:t>than</w:t>
      </w:r>
      <w:r>
        <w:rPr>
          <w:spacing w:val="-4"/>
        </w:rPr>
        <w:t xml:space="preserve"> </w:t>
      </w:r>
      <w:r>
        <w:t>50% of</w:t>
      </w:r>
      <w:r>
        <w:rPr>
          <w:spacing w:val="-16"/>
        </w:rPr>
        <w:t xml:space="preserve"> </w:t>
      </w:r>
      <w:r>
        <w:t>baseline.</w:t>
      </w:r>
      <w:r>
        <w:rPr>
          <w:spacing w:val="15"/>
        </w:rPr>
        <w:t xml:space="preserve"> </w:t>
      </w:r>
      <w:r>
        <w:t>The</w:t>
      </w:r>
      <w:r>
        <w:rPr>
          <w:spacing w:val="1"/>
        </w:rPr>
        <w:t xml:space="preserve"> </w:t>
      </w:r>
      <w:r>
        <w:t>clinical</w:t>
      </w:r>
      <w:r>
        <w:rPr>
          <w:spacing w:val="10"/>
        </w:rPr>
        <w:t xml:space="preserve"> </w:t>
      </w:r>
      <w:r>
        <w:t>significance</w:t>
      </w:r>
      <w:r>
        <w:rPr>
          <w:spacing w:val="1"/>
        </w:rPr>
        <w:t xml:space="preserve"> </w:t>
      </w:r>
      <w:r>
        <w:t>of</w:t>
      </w:r>
      <w:r>
        <w:rPr>
          <w:spacing w:val="-14"/>
        </w:rPr>
        <w:t xml:space="preserve"> </w:t>
      </w:r>
      <w:r>
        <w:t>the</w:t>
      </w:r>
      <w:r>
        <w:rPr>
          <w:spacing w:val="-11"/>
        </w:rPr>
        <w:t xml:space="preserve"> </w:t>
      </w:r>
      <w:r>
        <w:t>observed</w:t>
      </w:r>
      <w:r>
        <w:rPr>
          <w:spacing w:val="2"/>
        </w:rPr>
        <w:t xml:space="preserve"> </w:t>
      </w:r>
      <w:r>
        <w:t>serum</w:t>
      </w:r>
      <w:r>
        <w:rPr>
          <w:spacing w:val="-3"/>
        </w:rPr>
        <w:t xml:space="preserve"> </w:t>
      </w:r>
      <w:r>
        <w:t>creatinine</w:t>
      </w:r>
      <w:r>
        <w:rPr>
          <w:spacing w:val="2"/>
        </w:rPr>
        <w:t xml:space="preserve"> </w:t>
      </w:r>
      <w:r>
        <w:t>elevations</w:t>
      </w:r>
      <w:r>
        <w:rPr>
          <w:spacing w:val="-1"/>
        </w:rPr>
        <w:t xml:space="preserve"> </w:t>
      </w:r>
      <w:r>
        <w:t xml:space="preserve">is </w:t>
      </w:r>
      <w:r>
        <w:rPr>
          <w:spacing w:val="-2"/>
        </w:rPr>
        <w:t>unknown.</w:t>
      </w:r>
    </w:p>
    <w:p w14:paraId="733FD8A4" w14:textId="77777777" w:rsidR="001825E2" w:rsidRDefault="000839A5" w:rsidP="00CB00A7">
      <w:pPr>
        <w:pStyle w:val="Heading4"/>
        <w:spacing w:before="250" w:line="338" w:lineRule="auto"/>
        <w:ind w:left="219" w:right="5752"/>
        <w:jc w:val="left"/>
      </w:pPr>
      <w:r>
        <w:rPr>
          <w:spacing w:val="-2"/>
        </w:rPr>
        <w:t>Post-Marketing</w:t>
      </w:r>
      <w:r>
        <w:t xml:space="preserve"> </w:t>
      </w:r>
      <w:r>
        <w:rPr>
          <w:spacing w:val="-2"/>
        </w:rPr>
        <w:t>Experience</w:t>
      </w:r>
      <w:r>
        <w:rPr>
          <w:spacing w:val="-2"/>
        </w:rPr>
        <w:t xml:space="preserve"> </w:t>
      </w:r>
      <w:r>
        <w:t>Immune system</w:t>
      </w:r>
      <w:r>
        <w:rPr>
          <w:spacing w:val="40"/>
        </w:rPr>
        <w:t xml:space="preserve"> </w:t>
      </w:r>
      <w:r>
        <w:t>disorders</w:t>
      </w:r>
    </w:p>
    <w:p w14:paraId="73670E53" w14:textId="77777777" w:rsidR="001825E2" w:rsidRDefault="000839A5" w:rsidP="00CB00A7">
      <w:pPr>
        <w:pStyle w:val="BodyText"/>
        <w:spacing w:before="21" w:line="235" w:lineRule="auto"/>
        <w:ind w:left="219" w:right="122"/>
        <w:jc w:val="left"/>
      </w:pPr>
      <w:r>
        <w:rPr>
          <w:i/>
        </w:rPr>
        <w:t>Uncommon:</w:t>
      </w:r>
      <w:r>
        <w:rPr>
          <w:i/>
          <w:spacing w:val="40"/>
        </w:rPr>
        <w:t xml:space="preserve"> </w:t>
      </w:r>
      <w:r>
        <w:t>Drug</w:t>
      </w:r>
      <w:r>
        <w:rPr>
          <w:spacing w:val="40"/>
        </w:rPr>
        <w:t xml:space="preserve"> </w:t>
      </w:r>
      <w:r>
        <w:t>hypersensitivity</w:t>
      </w:r>
      <w:r>
        <w:rPr>
          <w:spacing w:val="40"/>
        </w:rPr>
        <w:t xml:space="preserve"> </w:t>
      </w:r>
      <w:r>
        <w:t>(events</w:t>
      </w:r>
      <w:r>
        <w:rPr>
          <w:spacing w:val="40"/>
        </w:rPr>
        <w:t xml:space="preserve"> </w:t>
      </w:r>
      <w:r>
        <w:t>such</w:t>
      </w:r>
      <w:r>
        <w:rPr>
          <w:spacing w:val="40"/>
        </w:rPr>
        <w:t xml:space="preserve"> </w:t>
      </w:r>
      <w:r>
        <w:t>as</w:t>
      </w:r>
      <w:r>
        <w:rPr>
          <w:spacing w:val="40"/>
        </w:rPr>
        <w:t xml:space="preserve"> </w:t>
      </w:r>
      <w:r>
        <w:t>angioedema</w:t>
      </w:r>
      <w:r>
        <w:rPr>
          <w:spacing w:val="40"/>
        </w:rPr>
        <w:t xml:space="preserve"> </w:t>
      </w:r>
      <w:r>
        <w:t>and</w:t>
      </w:r>
      <w:r>
        <w:rPr>
          <w:spacing w:val="74"/>
        </w:rPr>
        <w:t xml:space="preserve"> </w:t>
      </w:r>
      <w:r>
        <w:t>urticaria</w:t>
      </w:r>
      <w:r>
        <w:rPr>
          <w:spacing w:val="40"/>
        </w:rPr>
        <w:t xml:space="preserve"> </w:t>
      </w:r>
      <w:r>
        <w:t>have</w:t>
      </w:r>
      <w:r>
        <w:rPr>
          <w:spacing w:val="40"/>
        </w:rPr>
        <w:t xml:space="preserve"> </w:t>
      </w:r>
      <w:r>
        <w:t>been observed). Some events</w:t>
      </w:r>
      <w:r>
        <w:rPr>
          <w:spacing w:val="-14"/>
        </w:rPr>
        <w:t xml:space="preserve"> </w:t>
      </w:r>
      <w:r>
        <w:t>were also observed in clinical trials.</w:t>
      </w:r>
    </w:p>
    <w:p w14:paraId="539D8501" w14:textId="77777777" w:rsidR="001825E2" w:rsidRDefault="000839A5" w:rsidP="00CB00A7">
      <w:pPr>
        <w:pStyle w:val="Heading4"/>
        <w:spacing w:before="235"/>
        <w:ind w:left="218"/>
        <w:jc w:val="left"/>
      </w:pPr>
      <w:r>
        <w:t>Reporting Suspected</w:t>
      </w:r>
      <w:r>
        <w:rPr>
          <w:spacing w:val="1"/>
        </w:rPr>
        <w:t xml:space="preserve"> </w:t>
      </w:r>
      <w:r>
        <w:t>Adverse</w:t>
      </w:r>
      <w:r>
        <w:rPr>
          <w:spacing w:val="-12"/>
        </w:rPr>
        <w:t xml:space="preserve"> </w:t>
      </w:r>
      <w:r>
        <w:rPr>
          <w:spacing w:val="-2"/>
        </w:rPr>
        <w:t>Effects</w:t>
      </w:r>
    </w:p>
    <w:p w14:paraId="5D046522" w14:textId="77777777" w:rsidR="001825E2" w:rsidRDefault="000839A5" w:rsidP="00CB00A7">
      <w:pPr>
        <w:pStyle w:val="BodyText"/>
        <w:spacing w:before="128"/>
        <w:ind w:left="218" w:right="220"/>
        <w:jc w:val="left"/>
      </w:pPr>
      <w:r>
        <w:t>Reporting</w:t>
      </w:r>
      <w:r>
        <w:rPr>
          <w:spacing w:val="-3"/>
        </w:rPr>
        <w:t xml:space="preserve"> </w:t>
      </w:r>
      <w:r>
        <w:t>suspected adverse</w:t>
      </w:r>
      <w:r>
        <w:rPr>
          <w:spacing w:val="-5"/>
        </w:rPr>
        <w:t xml:space="preserve"> </w:t>
      </w:r>
      <w:r>
        <w:t>reactions</w:t>
      </w:r>
      <w:r>
        <w:rPr>
          <w:spacing w:val="-7"/>
        </w:rPr>
        <w:t xml:space="preserve"> </w:t>
      </w:r>
      <w:r>
        <w:t>after</w:t>
      </w:r>
      <w:r>
        <w:rPr>
          <w:spacing w:val="-8"/>
        </w:rPr>
        <w:t xml:space="preserve"> </w:t>
      </w:r>
      <w:r>
        <w:t>registration</w:t>
      </w:r>
      <w:r>
        <w:rPr>
          <w:spacing w:val="-3"/>
        </w:rPr>
        <w:t xml:space="preserve"> </w:t>
      </w:r>
      <w:r>
        <w:t>of the</w:t>
      </w:r>
      <w:r>
        <w:rPr>
          <w:spacing w:val="-5"/>
        </w:rPr>
        <w:t xml:space="preserve"> </w:t>
      </w:r>
      <w:r>
        <w:t>medicinal</w:t>
      </w:r>
      <w:r>
        <w:rPr>
          <w:spacing w:val="-10"/>
        </w:rPr>
        <w:t xml:space="preserve"> </w:t>
      </w:r>
      <w:r>
        <w:t>product is</w:t>
      </w:r>
      <w:r>
        <w:rPr>
          <w:spacing w:val="-7"/>
        </w:rPr>
        <w:t xml:space="preserve"> </w:t>
      </w:r>
      <w:r>
        <w:t xml:space="preserve">important. It allows continued monitoring of the benefit-risk balance of the medicinal product. Healthcare professionals are asked to report any suspected adverse reactions at </w:t>
      </w:r>
      <w:hyperlink r:id="rId11">
        <w:r>
          <w:rPr>
            <w:spacing w:val="-2"/>
          </w:rPr>
          <w:t>www.tga.gov.au/reporting-problems.</w:t>
        </w:r>
      </w:hyperlink>
    </w:p>
    <w:p w14:paraId="0CA8A72A" w14:textId="77777777" w:rsidR="001825E2" w:rsidRDefault="000839A5" w:rsidP="00CB00A7">
      <w:pPr>
        <w:pStyle w:val="Heading2"/>
        <w:numPr>
          <w:ilvl w:val="1"/>
          <w:numId w:val="11"/>
        </w:numPr>
        <w:tabs>
          <w:tab w:val="left" w:pos="638"/>
        </w:tabs>
        <w:spacing w:before="224"/>
        <w:ind w:left="638" w:hanging="418"/>
      </w:pPr>
      <w:r>
        <w:rPr>
          <w:spacing w:val="-2"/>
        </w:rPr>
        <w:t>Overdose</w:t>
      </w:r>
    </w:p>
    <w:p w14:paraId="3D21B99E" w14:textId="77777777" w:rsidR="001825E2" w:rsidRDefault="000839A5" w:rsidP="00CB00A7">
      <w:pPr>
        <w:pStyle w:val="BodyText"/>
        <w:spacing w:before="258" w:line="237" w:lineRule="auto"/>
        <w:ind w:left="219" w:right="199"/>
        <w:jc w:val="left"/>
      </w:pPr>
      <w:r>
        <w:t>There is no experience with overdose of XELJANZ or XELJANZ XR. There is no specific antidote for overdose with XELJANZ or XELKANZ XR. Treatment should be symptomatic and supportive. In case of an overdose, it is recommended that the patient be monitored for signs and symptoms of adverse reactions. Patients who develop adverse reactions should receive appropriate treatment.</w:t>
      </w:r>
    </w:p>
    <w:p w14:paraId="51DAC78D" w14:textId="77777777" w:rsidR="001825E2" w:rsidRDefault="000839A5" w:rsidP="00CB00A7">
      <w:pPr>
        <w:pStyle w:val="BodyText"/>
        <w:spacing w:before="252" w:line="242" w:lineRule="auto"/>
        <w:ind w:left="219" w:right="211"/>
        <w:jc w:val="left"/>
      </w:pPr>
      <w:r>
        <w:t>Pharmacokinetic data up to and including a single dose of 100</w:t>
      </w:r>
      <w:r>
        <w:rPr>
          <w:spacing w:val="-1"/>
        </w:rPr>
        <w:t xml:space="preserve"> </w:t>
      </w:r>
      <w:r>
        <w:t>mg in healthy volunteers indicates that</w:t>
      </w:r>
      <w:r>
        <w:rPr>
          <w:spacing w:val="32"/>
        </w:rPr>
        <w:t xml:space="preserve"> </w:t>
      </w:r>
      <w:r>
        <w:t>more</w:t>
      </w:r>
      <w:r>
        <w:rPr>
          <w:spacing w:val="23"/>
        </w:rPr>
        <w:t xml:space="preserve"> </w:t>
      </w:r>
      <w:r>
        <w:t>than</w:t>
      </w:r>
      <w:r>
        <w:rPr>
          <w:spacing w:val="25"/>
        </w:rPr>
        <w:t xml:space="preserve"> </w:t>
      </w:r>
      <w:r>
        <w:t>95% of the</w:t>
      </w:r>
      <w:r>
        <w:rPr>
          <w:spacing w:val="23"/>
        </w:rPr>
        <w:t xml:space="preserve"> </w:t>
      </w:r>
      <w:r>
        <w:t>administered</w:t>
      </w:r>
      <w:r>
        <w:rPr>
          <w:spacing w:val="39"/>
        </w:rPr>
        <w:t xml:space="preserve"> </w:t>
      </w:r>
      <w:r>
        <w:t>dose</w:t>
      </w:r>
      <w:r>
        <w:rPr>
          <w:spacing w:val="23"/>
        </w:rPr>
        <w:t xml:space="preserve"> </w:t>
      </w:r>
      <w:r>
        <w:t>is expected</w:t>
      </w:r>
      <w:r>
        <w:rPr>
          <w:spacing w:val="39"/>
        </w:rPr>
        <w:t xml:space="preserve"> </w:t>
      </w:r>
      <w:r>
        <w:t>to</w:t>
      </w:r>
      <w:r>
        <w:rPr>
          <w:spacing w:val="25"/>
        </w:rPr>
        <w:t xml:space="preserve"> </w:t>
      </w:r>
      <w:r>
        <w:t>be</w:t>
      </w:r>
      <w:r>
        <w:rPr>
          <w:spacing w:val="23"/>
        </w:rPr>
        <w:t xml:space="preserve"> </w:t>
      </w:r>
      <w:r>
        <w:t>eliminated</w:t>
      </w:r>
      <w:r>
        <w:rPr>
          <w:spacing w:val="39"/>
        </w:rPr>
        <w:t xml:space="preserve"> </w:t>
      </w:r>
      <w:r>
        <w:t>within 24 hours.</w:t>
      </w:r>
    </w:p>
    <w:p w14:paraId="51264E4E" w14:textId="77777777" w:rsidR="001825E2" w:rsidRDefault="000839A5" w:rsidP="00CB00A7">
      <w:pPr>
        <w:pStyle w:val="BodyText"/>
        <w:spacing w:before="233" w:line="235" w:lineRule="auto"/>
        <w:ind w:left="218" w:right="204"/>
        <w:jc w:val="left"/>
      </w:pPr>
      <w:r>
        <w:t>For information on the management of overdose, contact the Poison Information Centre on 131126 (Australia).</w:t>
      </w:r>
    </w:p>
    <w:p w14:paraId="4596D742" w14:textId="77777777" w:rsidR="001825E2" w:rsidRDefault="001825E2" w:rsidP="00CB00A7">
      <w:pPr>
        <w:pStyle w:val="BodyText"/>
        <w:spacing w:before="86"/>
        <w:jc w:val="left"/>
      </w:pPr>
    </w:p>
    <w:p w14:paraId="46CCDF69" w14:textId="77777777" w:rsidR="001825E2" w:rsidRDefault="000839A5" w:rsidP="00CB00A7">
      <w:pPr>
        <w:pStyle w:val="Heading1"/>
        <w:numPr>
          <w:ilvl w:val="0"/>
          <w:numId w:val="11"/>
        </w:numPr>
        <w:tabs>
          <w:tab w:val="left" w:pos="939"/>
        </w:tabs>
        <w:ind w:hanging="719"/>
      </w:pPr>
      <w:r>
        <w:t>PHARMACOLOGICAL</w:t>
      </w:r>
      <w:r>
        <w:rPr>
          <w:spacing w:val="-12"/>
        </w:rPr>
        <w:t xml:space="preserve"> </w:t>
      </w:r>
      <w:r>
        <w:rPr>
          <w:spacing w:val="-2"/>
        </w:rPr>
        <w:t>PROPERTIES</w:t>
      </w:r>
    </w:p>
    <w:p w14:paraId="3CA39038" w14:textId="77777777" w:rsidR="001825E2" w:rsidRDefault="000839A5" w:rsidP="00CB00A7">
      <w:pPr>
        <w:pStyle w:val="BodyText"/>
        <w:spacing w:before="241" w:line="247" w:lineRule="auto"/>
        <w:ind w:left="219" w:right="214"/>
        <w:jc w:val="left"/>
      </w:pPr>
      <w:r>
        <w:t>Information in this section is applicable to XELJANZ</w:t>
      </w:r>
      <w:r>
        <w:rPr>
          <w:spacing w:val="-3"/>
        </w:rPr>
        <w:t xml:space="preserve"> </w:t>
      </w:r>
      <w:r>
        <w:t>tablets and XELJANZ oral solution as they contain the</w:t>
      </w:r>
      <w:r>
        <w:rPr>
          <w:spacing w:val="-1"/>
        </w:rPr>
        <w:t xml:space="preserve"> </w:t>
      </w:r>
      <w:r>
        <w:t>same active ingredient (tofacitinib).</w:t>
      </w:r>
    </w:p>
    <w:p w14:paraId="69E07C59" w14:textId="77777777" w:rsidR="001825E2" w:rsidRDefault="000839A5" w:rsidP="00CB00A7">
      <w:pPr>
        <w:pStyle w:val="Heading2"/>
        <w:numPr>
          <w:ilvl w:val="1"/>
          <w:numId w:val="11"/>
        </w:numPr>
        <w:tabs>
          <w:tab w:val="left" w:pos="638"/>
        </w:tabs>
        <w:spacing w:before="219"/>
        <w:ind w:left="638" w:hanging="418"/>
      </w:pPr>
      <w:r>
        <w:t>Pharmacodynamic</w:t>
      </w:r>
      <w:r>
        <w:rPr>
          <w:spacing w:val="-12"/>
        </w:rPr>
        <w:t xml:space="preserve"> </w:t>
      </w:r>
      <w:r>
        <w:rPr>
          <w:spacing w:val="-2"/>
        </w:rPr>
        <w:t>Properties</w:t>
      </w:r>
    </w:p>
    <w:p w14:paraId="640F5186" w14:textId="77777777" w:rsidR="001825E2" w:rsidRDefault="000839A5" w:rsidP="00CB00A7">
      <w:pPr>
        <w:pStyle w:val="Heading4"/>
        <w:spacing w:before="255"/>
        <w:jc w:val="left"/>
      </w:pPr>
      <w:r>
        <w:t>Mechanism</w:t>
      </w:r>
      <w:r>
        <w:rPr>
          <w:spacing w:val="-1"/>
        </w:rPr>
        <w:t xml:space="preserve"> </w:t>
      </w:r>
      <w:r>
        <w:t>of</w:t>
      </w:r>
      <w:r>
        <w:rPr>
          <w:spacing w:val="1"/>
        </w:rPr>
        <w:t xml:space="preserve"> </w:t>
      </w:r>
      <w:r>
        <w:rPr>
          <w:spacing w:val="-2"/>
        </w:rPr>
        <w:t>Action</w:t>
      </w:r>
    </w:p>
    <w:p w14:paraId="3AB770CD" w14:textId="77777777" w:rsidR="001825E2" w:rsidRDefault="000839A5" w:rsidP="00CB00A7">
      <w:pPr>
        <w:pStyle w:val="BodyText"/>
        <w:spacing w:before="114"/>
        <w:ind w:left="218" w:right="214" w:firstLine="1"/>
        <w:jc w:val="left"/>
      </w:pPr>
      <w:r>
        <w:t>Tofacitinib is a selective inhibitor of the JAK family of kinases with a high degree of selectivity against other kinases in the human genome. In kinase assays, tofacitinib, inhibits JAK1, JAK2, JAK3, and to a lesser extent tyrosine kinase</w:t>
      </w:r>
      <w:r>
        <w:rPr>
          <w:spacing w:val="-3"/>
        </w:rPr>
        <w:t xml:space="preserve"> </w:t>
      </w:r>
      <w:r>
        <w:t>2</w:t>
      </w:r>
      <w:r>
        <w:rPr>
          <w:spacing w:val="40"/>
        </w:rPr>
        <w:t xml:space="preserve"> </w:t>
      </w:r>
      <w:r>
        <w:t xml:space="preserve">(TyK2). In cellular settings where JAK kinases signal in pairs, tofacitinib preferentially inhibits </w:t>
      </w:r>
      <w:proofErr w:type="spellStart"/>
      <w:r>
        <w:t>signalling</w:t>
      </w:r>
      <w:proofErr w:type="spellEnd"/>
      <w:r>
        <w:t xml:space="preserve"> by heterodimeric receptors associated with JAK3 and/or JAK1 with functional selectivity over receptors that signal via pairs of JAK2. Inhibition of JAK1 and JAK3 by tofacitinib blocks signaling through the common gamma chain-containing receptors for several cytokines, including</w:t>
      </w:r>
      <w:r>
        <w:rPr>
          <w:spacing w:val="-3"/>
        </w:rPr>
        <w:t xml:space="preserve"> </w:t>
      </w:r>
      <w:r>
        <w:t>IL-2,</w:t>
      </w:r>
      <w:r>
        <w:rPr>
          <w:spacing w:val="-3"/>
        </w:rPr>
        <w:t xml:space="preserve"> </w:t>
      </w:r>
      <w:r>
        <w:t>-4,</w:t>
      </w:r>
      <w:r>
        <w:rPr>
          <w:spacing w:val="-3"/>
        </w:rPr>
        <w:t xml:space="preserve"> </w:t>
      </w:r>
      <w:r>
        <w:t>-7, -9, -15,</w:t>
      </w:r>
      <w:r>
        <w:rPr>
          <w:spacing w:val="-3"/>
        </w:rPr>
        <w:t xml:space="preserve"> </w:t>
      </w:r>
      <w:r>
        <w:t>and -21. These cytokines</w:t>
      </w:r>
      <w:r>
        <w:rPr>
          <w:spacing w:val="-7"/>
        </w:rPr>
        <w:t xml:space="preserve"> </w:t>
      </w:r>
      <w:r>
        <w:t>are integral</w:t>
      </w:r>
      <w:r>
        <w:rPr>
          <w:spacing w:val="-10"/>
        </w:rPr>
        <w:t xml:space="preserve"> </w:t>
      </w:r>
      <w:r>
        <w:t>to</w:t>
      </w:r>
      <w:r>
        <w:rPr>
          <w:spacing w:val="-3"/>
        </w:rPr>
        <w:t xml:space="preserve"> </w:t>
      </w:r>
      <w:r>
        <w:t>lymphocyte</w:t>
      </w:r>
      <w:r>
        <w:rPr>
          <w:spacing w:val="-5"/>
        </w:rPr>
        <w:t xml:space="preserve"> </w:t>
      </w:r>
      <w:r>
        <w:t xml:space="preserve">activation, proliferation and function, and </w:t>
      </w:r>
      <w:r>
        <w:t>inhibition of their signaling may thus result in modulation of multiple aspects of the immune response. In addition, inhibition of JAK1 will result in attenuation</w:t>
      </w:r>
      <w:r>
        <w:rPr>
          <w:spacing w:val="66"/>
          <w:w w:val="150"/>
        </w:rPr>
        <w:t xml:space="preserve"> </w:t>
      </w:r>
      <w:r>
        <w:t>of</w:t>
      </w:r>
      <w:r>
        <w:rPr>
          <w:spacing w:val="79"/>
          <w:w w:val="150"/>
        </w:rPr>
        <w:t xml:space="preserve"> </w:t>
      </w:r>
      <w:r>
        <w:t>signaling</w:t>
      </w:r>
      <w:r>
        <w:rPr>
          <w:spacing w:val="68"/>
          <w:w w:val="150"/>
        </w:rPr>
        <w:t xml:space="preserve"> </w:t>
      </w:r>
      <w:r>
        <w:t>by</w:t>
      </w:r>
      <w:r>
        <w:rPr>
          <w:spacing w:val="69"/>
          <w:w w:val="150"/>
        </w:rPr>
        <w:t xml:space="preserve"> </w:t>
      </w:r>
      <w:r>
        <w:t>additional</w:t>
      </w:r>
      <w:r>
        <w:rPr>
          <w:spacing w:val="62"/>
          <w:w w:val="150"/>
        </w:rPr>
        <w:t xml:space="preserve"> </w:t>
      </w:r>
      <w:r>
        <w:t>pro-inflammatory</w:t>
      </w:r>
      <w:r>
        <w:rPr>
          <w:spacing w:val="69"/>
          <w:w w:val="150"/>
        </w:rPr>
        <w:t xml:space="preserve"> </w:t>
      </w:r>
      <w:r>
        <w:t>cytokines,</w:t>
      </w:r>
      <w:r>
        <w:rPr>
          <w:spacing w:val="68"/>
          <w:w w:val="150"/>
        </w:rPr>
        <w:t xml:space="preserve"> </w:t>
      </w:r>
      <w:r>
        <w:t>such</w:t>
      </w:r>
      <w:r>
        <w:rPr>
          <w:spacing w:val="69"/>
          <w:w w:val="150"/>
        </w:rPr>
        <w:t xml:space="preserve"> </w:t>
      </w:r>
      <w:r>
        <w:t>as</w:t>
      </w:r>
      <w:r>
        <w:rPr>
          <w:spacing w:val="65"/>
          <w:w w:val="150"/>
        </w:rPr>
        <w:t xml:space="preserve"> </w:t>
      </w:r>
      <w:r>
        <w:t>IL-6</w:t>
      </w:r>
      <w:r>
        <w:rPr>
          <w:spacing w:val="69"/>
          <w:w w:val="150"/>
        </w:rPr>
        <w:t xml:space="preserve"> </w:t>
      </w:r>
      <w:r>
        <w:rPr>
          <w:spacing w:val="-5"/>
        </w:rPr>
        <w:t>and</w:t>
      </w:r>
    </w:p>
    <w:p w14:paraId="2A6F2A43" w14:textId="77777777" w:rsidR="001825E2" w:rsidRDefault="001825E2" w:rsidP="00CB00A7">
      <w:pPr>
        <w:sectPr w:rsidR="001825E2">
          <w:pgSz w:w="11910" w:h="16850"/>
          <w:pgMar w:top="1360" w:right="1220" w:bottom="980" w:left="1220" w:header="0" w:footer="785" w:gutter="0"/>
          <w:cols w:space="720"/>
        </w:sectPr>
      </w:pPr>
    </w:p>
    <w:p w14:paraId="05B51240" w14:textId="77777777" w:rsidR="001825E2" w:rsidRDefault="000839A5" w:rsidP="00CB00A7">
      <w:pPr>
        <w:pStyle w:val="BodyText"/>
        <w:spacing w:before="80" w:line="235" w:lineRule="auto"/>
        <w:ind w:left="219" w:right="234"/>
        <w:jc w:val="left"/>
      </w:pPr>
      <w:bookmarkStart w:id="61" w:name="Pharmacodynamics"/>
      <w:bookmarkStart w:id="62" w:name="Clinical_Trials"/>
      <w:bookmarkStart w:id="63" w:name="Rheumatoid_Arthritis"/>
      <w:bookmarkEnd w:id="61"/>
      <w:bookmarkEnd w:id="62"/>
      <w:bookmarkEnd w:id="63"/>
      <w:r>
        <w:lastRenderedPageBreak/>
        <w:t>type</w:t>
      </w:r>
      <w:r>
        <w:rPr>
          <w:spacing w:val="-6"/>
        </w:rPr>
        <w:t xml:space="preserve"> </w:t>
      </w:r>
      <w:r>
        <w:t>I and</w:t>
      </w:r>
      <w:r>
        <w:rPr>
          <w:spacing w:val="-5"/>
        </w:rPr>
        <w:t xml:space="preserve"> </w:t>
      </w:r>
      <w:r>
        <w:t>II interferons. At higher exposures, inhibition of erythropoietin signaling could occur via inhibition of JAK2 signaling.</w:t>
      </w:r>
    </w:p>
    <w:p w14:paraId="0E89E6C9" w14:textId="77777777" w:rsidR="001825E2" w:rsidRDefault="000839A5" w:rsidP="00CB00A7">
      <w:pPr>
        <w:pStyle w:val="Heading4"/>
        <w:spacing w:before="250"/>
        <w:ind w:left="219"/>
        <w:jc w:val="left"/>
      </w:pPr>
      <w:r>
        <w:rPr>
          <w:spacing w:val="-2"/>
        </w:rPr>
        <w:t>Pharmacodynamics</w:t>
      </w:r>
    </w:p>
    <w:p w14:paraId="5B677613" w14:textId="77777777" w:rsidR="001825E2" w:rsidRDefault="000839A5" w:rsidP="00CB00A7">
      <w:pPr>
        <w:pStyle w:val="BodyText"/>
        <w:spacing w:before="114" w:line="242" w:lineRule="auto"/>
        <w:ind w:left="217" w:right="214" w:firstLine="1"/>
        <w:jc w:val="left"/>
      </w:pPr>
      <w:r>
        <w:t>In patients with RA, treatment up to 6 months with tofacitinib was associated with dose- dependent reductions of circulating CD16/56+ natural killer (NK) cells, with estimated maximum</w:t>
      </w:r>
      <w:r>
        <w:rPr>
          <w:spacing w:val="-9"/>
        </w:rPr>
        <w:t xml:space="preserve"> </w:t>
      </w:r>
      <w:r>
        <w:t>reductions</w:t>
      </w:r>
      <w:r>
        <w:rPr>
          <w:spacing w:val="-7"/>
        </w:rPr>
        <w:t xml:space="preserve"> </w:t>
      </w:r>
      <w:r>
        <w:t>occurring</w:t>
      </w:r>
      <w:r>
        <w:rPr>
          <w:spacing w:val="-3"/>
        </w:rPr>
        <w:t xml:space="preserve"> </w:t>
      </w:r>
      <w:r>
        <w:t>at approximately</w:t>
      </w:r>
      <w:r>
        <w:rPr>
          <w:spacing w:val="-3"/>
        </w:rPr>
        <w:t xml:space="preserve"> </w:t>
      </w:r>
      <w:r>
        <w:t>8-10</w:t>
      </w:r>
      <w:r>
        <w:rPr>
          <w:spacing w:val="-3"/>
        </w:rPr>
        <w:t xml:space="preserve"> </w:t>
      </w:r>
      <w:r>
        <w:t>weeks</w:t>
      </w:r>
      <w:r>
        <w:rPr>
          <w:spacing w:val="-7"/>
        </w:rPr>
        <w:t xml:space="preserve"> </w:t>
      </w:r>
      <w:r>
        <w:t>after</w:t>
      </w:r>
      <w:r>
        <w:rPr>
          <w:spacing w:val="-8"/>
        </w:rPr>
        <w:t xml:space="preserve"> </w:t>
      </w:r>
      <w:r>
        <w:t>initiation</w:t>
      </w:r>
      <w:r>
        <w:rPr>
          <w:spacing w:val="-3"/>
        </w:rPr>
        <w:t xml:space="preserve"> </w:t>
      </w:r>
      <w:r>
        <w:t>of therapy. These changes generally resolved within 2-6</w:t>
      </w:r>
      <w:r>
        <w:rPr>
          <w:spacing w:val="-4"/>
        </w:rPr>
        <w:t xml:space="preserve"> </w:t>
      </w:r>
      <w:r>
        <w:t>weeks after discontinuation of treatment. Treatment with tofacitinib was associated with dose-dependent increases in B cell counts. Changes in circulating T-lymphocyte counts and T-lymphocyte subsets (CD3+, CD4+ and CD8+) were small and inconsistent.</w:t>
      </w:r>
    </w:p>
    <w:p w14:paraId="2B299490" w14:textId="77777777" w:rsidR="001825E2" w:rsidRDefault="000839A5" w:rsidP="00CB00A7">
      <w:pPr>
        <w:pStyle w:val="BodyText"/>
        <w:spacing w:before="224"/>
        <w:ind w:left="216" w:right="205"/>
        <w:jc w:val="left"/>
      </w:pPr>
      <w:r>
        <w:t>Following</w:t>
      </w:r>
      <w:r>
        <w:rPr>
          <w:spacing w:val="39"/>
        </w:rPr>
        <w:t xml:space="preserve"> </w:t>
      </w:r>
      <w:r>
        <w:t>long-term</w:t>
      </w:r>
      <w:r>
        <w:rPr>
          <w:spacing w:val="32"/>
        </w:rPr>
        <w:t xml:space="preserve"> </w:t>
      </w:r>
      <w:r>
        <w:t>treatment</w:t>
      </w:r>
      <w:r>
        <w:rPr>
          <w:spacing w:val="40"/>
        </w:rPr>
        <w:t xml:space="preserve"> </w:t>
      </w:r>
      <w:r>
        <w:t>(median</w:t>
      </w:r>
      <w:r>
        <w:rPr>
          <w:spacing w:val="39"/>
        </w:rPr>
        <w:t xml:space="preserve"> </w:t>
      </w:r>
      <w:r>
        <w:t>duration</w:t>
      </w:r>
      <w:r>
        <w:rPr>
          <w:spacing w:val="39"/>
        </w:rPr>
        <w:t xml:space="preserve"> </w:t>
      </w:r>
      <w:r>
        <w:t>of</w:t>
      </w:r>
      <w:r>
        <w:rPr>
          <w:spacing w:val="34"/>
        </w:rPr>
        <w:t xml:space="preserve"> </w:t>
      </w:r>
      <w:r>
        <w:t>tofacitinib</w:t>
      </w:r>
      <w:r>
        <w:rPr>
          <w:spacing w:val="39"/>
        </w:rPr>
        <w:t xml:space="preserve"> </w:t>
      </w:r>
      <w:r>
        <w:t>treatment</w:t>
      </w:r>
      <w:r>
        <w:rPr>
          <w:spacing w:val="40"/>
        </w:rPr>
        <w:t xml:space="preserve"> </w:t>
      </w:r>
      <w:r>
        <w:t>of</w:t>
      </w:r>
      <w:r>
        <w:rPr>
          <w:spacing w:val="40"/>
        </w:rPr>
        <w:t xml:space="preserve"> </w:t>
      </w:r>
      <w:r>
        <w:t>approximately 5</w:t>
      </w:r>
      <w:r>
        <w:rPr>
          <w:spacing w:val="-4"/>
        </w:rPr>
        <w:t xml:space="preserve"> </w:t>
      </w:r>
      <w:r>
        <w:t>years), CD4+ and CD8+ counts showed median reductions of 28% and 27%, respectively, from baseline. In contrast to the observed decrease after short-term dosing, CD16/56+ NK</w:t>
      </w:r>
      <w:r>
        <w:rPr>
          <w:spacing w:val="40"/>
        </w:rPr>
        <w:t xml:space="preserve"> </w:t>
      </w:r>
      <w:r>
        <w:t>cell</w:t>
      </w:r>
      <w:r>
        <w:rPr>
          <w:spacing w:val="-7"/>
        </w:rPr>
        <w:t xml:space="preserve"> </w:t>
      </w:r>
      <w:r>
        <w:t>counts showed a</w:t>
      </w:r>
      <w:r>
        <w:rPr>
          <w:spacing w:val="-1"/>
        </w:rPr>
        <w:t xml:space="preserve"> </w:t>
      </w:r>
      <w:r>
        <w:t>median increase</w:t>
      </w:r>
      <w:r>
        <w:rPr>
          <w:spacing w:val="-1"/>
        </w:rPr>
        <w:t xml:space="preserve"> </w:t>
      </w:r>
      <w:r>
        <w:t>of 73%</w:t>
      </w:r>
      <w:r>
        <w:rPr>
          <w:spacing w:val="-5"/>
        </w:rPr>
        <w:t xml:space="preserve"> </w:t>
      </w:r>
      <w:r>
        <w:t>from</w:t>
      </w:r>
      <w:r>
        <w:rPr>
          <w:spacing w:val="-7"/>
        </w:rPr>
        <w:t xml:space="preserve"> </w:t>
      </w:r>
      <w:r>
        <w:t>baseline. CD19+ B cell</w:t>
      </w:r>
      <w:r>
        <w:rPr>
          <w:spacing w:val="-7"/>
        </w:rPr>
        <w:t xml:space="preserve"> </w:t>
      </w:r>
      <w:r>
        <w:t>counts</w:t>
      </w:r>
      <w:r>
        <w:rPr>
          <w:spacing w:val="-4"/>
        </w:rPr>
        <w:t xml:space="preserve"> </w:t>
      </w:r>
      <w:r>
        <w:t>showed no further increases after long-term tofacitinib treatment. These changes returned toward</w:t>
      </w:r>
      <w:r>
        <w:rPr>
          <w:spacing w:val="40"/>
        </w:rPr>
        <w:t xml:space="preserve"> </w:t>
      </w:r>
      <w:r>
        <w:t>baseline after</w:t>
      </w:r>
      <w:r>
        <w:rPr>
          <w:spacing w:val="-6"/>
        </w:rPr>
        <w:t xml:space="preserve"> </w:t>
      </w:r>
      <w:r>
        <w:t>temporary</w:t>
      </w:r>
      <w:r>
        <w:rPr>
          <w:spacing w:val="-1"/>
        </w:rPr>
        <w:t xml:space="preserve"> </w:t>
      </w:r>
      <w:r>
        <w:t>discontinuation</w:t>
      </w:r>
      <w:r>
        <w:rPr>
          <w:spacing w:val="-1"/>
        </w:rPr>
        <w:t xml:space="preserve"> </w:t>
      </w:r>
      <w:r>
        <w:t>of treatment. There was</w:t>
      </w:r>
      <w:r>
        <w:rPr>
          <w:spacing w:val="-5"/>
        </w:rPr>
        <w:t xml:space="preserve"> </w:t>
      </w:r>
      <w:r>
        <w:t>no evidence</w:t>
      </w:r>
      <w:r>
        <w:rPr>
          <w:spacing w:val="-3"/>
        </w:rPr>
        <w:t xml:space="preserve"> </w:t>
      </w:r>
      <w:r>
        <w:t>of a</w:t>
      </w:r>
      <w:r>
        <w:t xml:space="preserve">n increased risk of serious or opportunistic infections or herpes zoster at low values of CD4+, CD8+ or NK cell </w:t>
      </w:r>
      <w:proofErr w:type="gramStart"/>
      <w:r>
        <w:t>counts</w:t>
      </w:r>
      <w:proofErr w:type="gramEnd"/>
      <w:r>
        <w:t xml:space="preserve"> or high B cell counts.</w:t>
      </w:r>
    </w:p>
    <w:p w14:paraId="75353419" w14:textId="77777777" w:rsidR="001825E2" w:rsidRDefault="000839A5" w:rsidP="00CB00A7">
      <w:pPr>
        <w:pStyle w:val="BodyText"/>
        <w:spacing w:before="237"/>
        <w:ind w:left="216" w:right="206"/>
        <w:jc w:val="left"/>
      </w:pPr>
      <w:r>
        <w:t>Risk of infection may be higher with increasing degrees of lymphopenia and consideration should be</w:t>
      </w:r>
      <w:r>
        <w:rPr>
          <w:spacing w:val="-3"/>
        </w:rPr>
        <w:t xml:space="preserve"> </w:t>
      </w:r>
      <w:r>
        <w:t>given</w:t>
      </w:r>
      <w:r>
        <w:rPr>
          <w:spacing w:val="-1"/>
        </w:rPr>
        <w:t xml:space="preserve"> </w:t>
      </w:r>
      <w:r>
        <w:t>to lymphocyte</w:t>
      </w:r>
      <w:r>
        <w:rPr>
          <w:spacing w:val="-3"/>
        </w:rPr>
        <w:t xml:space="preserve"> </w:t>
      </w:r>
      <w:r>
        <w:t>counts</w:t>
      </w:r>
      <w:r>
        <w:rPr>
          <w:spacing w:val="-5"/>
        </w:rPr>
        <w:t xml:space="preserve"> </w:t>
      </w:r>
      <w:r>
        <w:t>when</w:t>
      </w:r>
      <w:r>
        <w:rPr>
          <w:spacing w:val="-1"/>
        </w:rPr>
        <w:t xml:space="preserve"> </w:t>
      </w:r>
      <w:r>
        <w:t>assessing</w:t>
      </w:r>
      <w:r>
        <w:rPr>
          <w:spacing w:val="-1"/>
        </w:rPr>
        <w:t xml:space="preserve"> </w:t>
      </w:r>
      <w:r>
        <w:t>individual</w:t>
      </w:r>
      <w:r>
        <w:rPr>
          <w:spacing w:val="-8"/>
        </w:rPr>
        <w:t xml:space="preserve"> </w:t>
      </w:r>
      <w:r>
        <w:t>patient risk</w:t>
      </w:r>
      <w:r>
        <w:rPr>
          <w:spacing w:val="-1"/>
        </w:rPr>
        <w:t xml:space="preserve"> </w:t>
      </w:r>
      <w:r>
        <w:t xml:space="preserve">of infection (see Section 4.4 Special Warnings and Precautions </w:t>
      </w:r>
      <w:proofErr w:type="gramStart"/>
      <w:r>
        <w:t>For</w:t>
      </w:r>
      <w:proofErr w:type="gramEnd"/>
      <w:r>
        <w:t xml:space="preserve"> Use, Serious Infections and Section 4.2 Dose and Method of Administration).</w:t>
      </w:r>
    </w:p>
    <w:p w14:paraId="151C907B" w14:textId="77777777" w:rsidR="001825E2" w:rsidRDefault="000839A5" w:rsidP="00CB00A7">
      <w:pPr>
        <w:pStyle w:val="BodyText"/>
        <w:spacing w:before="251" w:line="235" w:lineRule="auto"/>
        <w:ind w:left="216" w:right="219"/>
        <w:jc w:val="left"/>
      </w:pPr>
      <w:r>
        <w:t>Changes in total serum IgG, IgM, and IgA levels over 6-month tofacitinib</w:t>
      </w:r>
      <w:r>
        <w:rPr>
          <w:spacing w:val="-2"/>
        </w:rPr>
        <w:t xml:space="preserve"> </w:t>
      </w:r>
      <w:r>
        <w:t>dosing in patients with</w:t>
      </w:r>
      <w:r>
        <w:rPr>
          <w:spacing w:val="-8"/>
        </w:rPr>
        <w:t xml:space="preserve"> </w:t>
      </w:r>
      <w:r>
        <w:t>RA were small, not dose-</w:t>
      </w:r>
      <w:proofErr w:type="gramStart"/>
      <w:r>
        <w:t>dependent</w:t>
      </w:r>
      <w:proofErr w:type="gramEnd"/>
      <w:r>
        <w:t xml:space="preserve"> and similar to</w:t>
      </w:r>
      <w:r>
        <w:rPr>
          <w:spacing w:val="-8"/>
        </w:rPr>
        <w:t xml:space="preserve"> </w:t>
      </w:r>
      <w:r>
        <w:t>those seen on placebo.</w:t>
      </w:r>
    </w:p>
    <w:p w14:paraId="03DF79A8" w14:textId="77777777" w:rsidR="001825E2" w:rsidRDefault="000839A5" w:rsidP="00CB00A7">
      <w:pPr>
        <w:pStyle w:val="BodyText"/>
        <w:spacing w:before="250"/>
        <w:ind w:left="215" w:right="222"/>
        <w:jc w:val="left"/>
      </w:pPr>
      <w:r>
        <w:t>After treatment with tofacitinib in patients with RA, rapid decreases in serum C-reactive protein (CRP) were observed and maintained throughout dosing. Changes in CRP observed with</w:t>
      </w:r>
      <w:r>
        <w:rPr>
          <w:spacing w:val="-2"/>
        </w:rPr>
        <w:t xml:space="preserve"> </w:t>
      </w:r>
      <w:r>
        <w:t>tofacitinib</w:t>
      </w:r>
      <w:r>
        <w:rPr>
          <w:spacing w:val="-2"/>
        </w:rPr>
        <w:t xml:space="preserve"> </w:t>
      </w:r>
      <w:r>
        <w:t>treatment do</w:t>
      </w:r>
      <w:r>
        <w:rPr>
          <w:spacing w:val="-2"/>
        </w:rPr>
        <w:t xml:space="preserve"> </w:t>
      </w:r>
      <w:r>
        <w:t>not reverse</w:t>
      </w:r>
      <w:r>
        <w:rPr>
          <w:spacing w:val="-4"/>
        </w:rPr>
        <w:t xml:space="preserve"> </w:t>
      </w:r>
      <w:r>
        <w:t>fully</w:t>
      </w:r>
      <w:r>
        <w:rPr>
          <w:spacing w:val="-2"/>
        </w:rPr>
        <w:t xml:space="preserve"> </w:t>
      </w:r>
      <w:r>
        <w:t>within</w:t>
      </w:r>
      <w:r>
        <w:rPr>
          <w:spacing w:val="-2"/>
        </w:rPr>
        <w:t xml:space="preserve"> </w:t>
      </w:r>
      <w:r>
        <w:t>2</w:t>
      </w:r>
      <w:r>
        <w:rPr>
          <w:spacing w:val="-2"/>
        </w:rPr>
        <w:t xml:space="preserve"> </w:t>
      </w:r>
      <w:r>
        <w:t>weeks</w:t>
      </w:r>
      <w:r>
        <w:rPr>
          <w:spacing w:val="-6"/>
        </w:rPr>
        <w:t xml:space="preserve"> </w:t>
      </w:r>
      <w:r>
        <w:t>after</w:t>
      </w:r>
      <w:r>
        <w:rPr>
          <w:spacing w:val="-7"/>
        </w:rPr>
        <w:t xml:space="preserve"> </w:t>
      </w:r>
      <w:r>
        <w:t>discontinuation,</w:t>
      </w:r>
      <w:r>
        <w:rPr>
          <w:spacing w:val="-2"/>
        </w:rPr>
        <w:t xml:space="preserve"> </w:t>
      </w:r>
      <w:r>
        <w:t>indicating a longer duration</w:t>
      </w:r>
      <w:r>
        <w:rPr>
          <w:spacing w:val="-5"/>
        </w:rPr>
        <w:t xml:space="preserve"> </w:t>
      </w:r>
      <w:r>
        <w:t>of pharmacodynamic activity compared to</w:t>
      </w:r>
      <w:r>
        <w:rPr>
          <w:spacing w:val="-5"/>
        </w:rPr>
        <w:t xml:space="preserve"> </w:t>
      </w:r>
      <w:r>
        <w:t>the half-life.</w:t>
      </w:r>
    </w:p>
    <w:p w14:paraId="2F4AD3A3" w14:textId="77777777" w:rsidR="001825E2" w:rsidRDefault="000839A5" w:rsidP="00CB00A7">
      <w:pPr>
        <w:pStyle w:val="BodyText"/>
        <w:spacing w:before="231" w:line="242" w:lineRule="auto"/>
        <w:ind w:left="214" w:right="231"/>
        <w:jc w:val="left"/>
      </w:pPr>
      <w:r>
        <w:t>Similar</w:t>
      </w:r>
      <w:r>
        <w:rPr>
          <w:spacing w:val="-7"/>
        </w:rPr>
        <w:t xml:space="preserve"> </w:t>
      </w:r>
      <w:r>
        <w:t>changes in T</w:t>
      </w:r>
      <w:r>
        <w:rPr>
          <w:spacing w:val="-14"/>
        </w:rPr>
        <w:t xml:space="preserve"> </w:t>
      </w:r>
      <w:r>
        <w:t>cells, B cells</w:t>
      </w:r>
      <w:r>
        <w:rPr>
          <w:spacing w:val="-6"/>
        </w:rPr>
        <w:t xml:space="preserve"> </w:t>
      </w:r>
      <w:r>
        <w:t>and serum</w:t>
      </w:r>
      <w:r>
        <w:rPr>
          <w:spacing w:val="-9"/>
        </w:rPr>
        <w:t xml:space="preserve"> </w:t>
      </w:r>
      <w:r>
        <w:t>CRP</w:t>
      </w:r>
      <w:r>
        <w:rPr>
          <w:spacing w:val="-1"/>
        </w:rPr>
        <w:t xml:space="preserve"> </w:t>
      </w:r>
      <w:r>
        <w:t>have</w:t>
      </w:r>
      <w:r>
        <w:rPr>
          <w:spacing w:val="-4"/>
        </w:rPr>
        <w:t xml:space="preserve"> </w:t>
      </w:r>
      <w:r>
        <w:t>been</w:t>
      </w:r>
      <w:r>
        <w:rPr>
          <w:spacing w:val="-2"/>
        </w:rPr>
        <w:t xml:space="preserve"> </w:t>
      </w:r>
      <w:r>
        <w:t>observed in</w:t>
      </w:r>
      <w:r>
        <w:rPr>
          <w:spacing w:val="-2"/>
        </w:rPr>
        <w:t xml:space="preserve"> </w:t>
      </w:r>
      <w:r>
        <w:t>patients</w:t>
      </w:r>
      <w:r>
        <w:rPr>
          <w:spacing w:val="-6"/>
        </w:rPr>
        <w:t xml:space="preserve"> </w:t>
      </w:r>
      <w:r>
        <w:t>with</w:t>
      </w:r>
      <w:r>
        <w:rPr>
          <w:spacing w:val="-2"/>
        </w:rPr>
        <w:t xml:space="preserve"> </w:t>
      </w:r>
      <w:r>
        <w:t>active PsA, although reversibility was not assessed. Total serum immunoglobulins were not</w:t>
      </w:r>
      <w:r>
        <w:rPr>
          <w:spacing w:val="40"/>
        </w:rPr>
        <w:t xml:space="preserve"> </w:t>
      </w:r>
      <w:r>
        <w:t xml:space="preserve">assessed in patients with active </w:t>
      </w:r>
      <w:proofErr w:type="spellStart"/>
      <w:r>
        <w:t>PsA.</w:t>
      </w:r>
      <w:proofErr w:type="spellEnd"/>
    </w:p>
    <w:p w14:paraId="64A5D121" w14:textId="77777777" w:rsidR="001825E2" w:rsidRDefault="000839A5" w:rsidP="00CB00A7">
      <w:pPr>
        <w:pStyle w:val="Heading4"/>
        <w:spacing w:before="229" w:line="352" w:lineRule="auto"/>
        <w:ind w:left="214" w:right="7171"/>
        <w:jc w:val="left"/>
      </w:pPr>
      <w:r>
        <w:t>Clinical Trials</w:t>
      </w:r>
      <w:r>
        <w:t xml:space="preserve"> Rheumatoid</w:t>
      </w:r>
      <w:r>
        <w:rPr>
          <w:spacing w:val="-2"/>
        </w:rPr>
        <w:t xml:space="preserve"> </w:t>
      </w:r>
      <w:r>
        <w:rPr>
          <w:spacing w:val="-6"/>
        </w:rPr>
        <w:t>Arthritis</w:t>
      </w:r>
    </w:p>
    <w:p w14:paraId="4854D2AD" w14:textId="77777777" w:rsidR="001825E2" w:rsidRDefault="000839A5" w:rsidP="00CB00A7">
      <w:pPr>
        <w:pStyle w:val="BodyText"/>
        <w:spacing w:line="259" w:lineRule="exact"/>
        <w:ind w:left="214"/>
        <w:jc w:val="left"/>
      </w:pPr>
      <w:r>
        <w:t>The</w:t>
      </w:r>
      <w:r>
        <w:rPr>
          <w:spacing w:val="66"/>
        </w:rPr>
        <w:t xml:space="preserve"> </w:t>
      </w:r>
      <w:r>
        <w:t>efficacy</w:t>
      </w:r>
      <w:r>
        <w:rPr>
          <w:spacing w:val="71"/>
        </w:rPr>
        <w:t xml:space="preserve"> </w:t>
      </w:r>
      <w:r>
        <w:t>and</w:t>
      </w:r>
      <w:r>
        <w:rPr>
          <w:spacing w:val="55"/>
          <w:w w:val="150"/>
        </w:rPr>
        <w:t xml:space="preserve"> </w:t>
      </w:r>
      <w:r>
        <w:t>safety</w:t>
      </w:r>
      <w:r>
        <w:rPr>
          <w:spacing w:val="71"/>
        </w:rPr>
        <w:t xml:space="preserve"> </w:t>
      </w:r>
      <w:r>
        <w:t>of</w:t>
      </w:r>
      <w:r>
        <w:rPr>
          <w:spacing w:val="50"/>
          <w:w w:val="150"/>
        </w:rPr>
        <w:t xml:space="preserve"> </w:t>
      </w:r>
      <w:r>
        <w:t>XELJANZ</w:t>
      </w:r>
      <w:r>
        <w:rPr>
          <w:spacing w:val="59"/>
        </w:rPr>
        <w:t xml:space="preserve"> </w:t>
      </w:r>
      <w:r>
        <w:t>were</w:t>
      </w:r>
      <w:r>
        <w:rPr>
          <w:spacing w:val="68"/>
        </w:rPr>
        <w:t xml:space="preserve"> </w:t>
      </w:r>
      <w:r>
        <w:t>assessed</w:t>
      </w:r>
      <w:r>
        <w:rPr>
          <w:spacing w:val="56"/>
          <w:w w:val="150"/>
        </w:rPr>
        <w:t xml:space="preserve"> </w:t>
      </w:r>
      <w:r>
        <w:t>in</w:t>
      </w:r>
      <w:r>
        <w:rPr>
          <w:spacing w:val="69"/>
        </w:rPr>
        <w:t xml:space="preserve"> </w:t>
      </w:r>
      <w:r>
        <w:t>six</w:t>
      </w:r>
      <w:r>
        <w:rPr>
          <w:spacing w:val="56"/>
          <w:w w:val="150"/>
        </w:rPr>
        <w:t xml:space="preserve"> </w:t>
      </w:r>
      <w:proofErr w:type="spellStart"/>
      <w:r>
        <w:t>randomised</w:t>
      </w:r>
      <w:proofErr w:type="spellEnd"/>
      <w:r>
        <w:t>,</w:t>
      </w:r>
      <w:r>
        <w:rPr>
          <w:spacing w:val="71"/>
        </w:rPr>
        <w:t xml:space="preserve"> </w:t>
      </w:r>
      <w:r>
        <w:t>double-</w:t>
      </w:r>
      <w:r>
        <w:rPr>
          <w:spacing w:val="-2"/>
        </w:rPr>
        <w:t>blind,</w:t>
      </w:r>
    </w:p>
    <w:p w14:paraId="79232211" w14:textId="77777777" w:rsidR="001825E2" w:rsidRDefault="000839A5" w:rsidP="00CB00A7">
      <w:pPr>
        <w:pStyle w:val="BodyText"/>
        <w:spacing w:before="9"/>
        <w:ind w:left="212" w:right="209" w:firstLine="1"/>
        <w:jc w:val="left"/>
      </w:pPr>
      <w:r>
        <w:t xml:space="preserve">controlled, </w:t>
      </w:r>
      <w:proofErr w:type="spellStart"/>
      <w:r>
        <w:t>multicentre</w:t>
      </w:r>
      <w:proofErr w:type="spellEnd"/>
      <w:r>
        <w:t xml:space="preserve"> studies in patients</w:t>
      </w:r>
      <w:r>
        <w:rPr>
          <w:spacing w:val="-6"/>
        </w:rPr>
        <w:t xml:space="preserve"> </w:t>
      </w:r>
      <w:r>
        <w:t>≥18</w:t>
      </w:r>
      <w:r>
        <w:rPr>
          <w:spacing w:val="-3"/>
        </w:rPr>
        <w:t xml:space="preserve"> </w:t>
      </w:r>
      <w:r>
        <w:t>years with active RA diagnosed according to American</w:t>
      </w:r>
      <w:r>
        <w:rPr>
          <w:spacing w:val="71"/>
        </w:rPr>
        <w:t xml:space="preserve"> </w:t>
      </w:r>
      <w:r>
        <w:t>College</w:t>
      </w:r>
      <w:r>
        <w:rPr>
          <w:spacing w:val="69"/>
        </w:rPr>
        <w:t xml:space="preserve"> </w:t>
      </w:r>
      <w:r>
        <w:t>of</w:t>
      </w:r>
      <w:r>
        <w:rPr>
          <w:spacing w:val="80"/>
        </w:rPr>
        <w:t xml:space="preserve"> </w:t>
      </w:r>
      <w:r>
        <w:t>Rheumatology</w:t>
      </w:r>
      <w:r>
        <w:rPr>
          <w:spacing w:val="71"/>
        </w:rPr>
        <w:t xml:space="preserve"> </w:t>
      </w:r>
      <w:r>
        <w:t>(ACR)</w:t>
      </w:r>
      <w:r>
        <w:rPr>
          <w:spacing w:val="66"/>
        </w:rPr>
        <w:t xml:space="preserve"> </w:t>
      </w:r>
      <w:r>
        <w:t>criteria.</w:t>
      </w:r>
      <w:r>
        <w:rPr>
          <w:spacing w:val="71"/>
        </w:rPr>
        <w:t xml:space="preserve"> </w:t>
      </w:r>
      <w:r>
        <w:t>Patients</w:t>
      </w:r>
      <w:r>
        <w:rPr>
          <w:spacing w:val="67"/>
        </w:rPr>
        <w:t xml:space="preserve"> </w:t>
      </w:r>
      <w:r>
        <w:t>had</w:t>
      </w:r>
      <w:r>
        <w:rPr>
          <w:spacing w:val="80"/>
        </w:rPr>
        <w:t xml:space="preserve"> </w:t>
      </w:r>
      <w:r>
        <w:t>at</w:t>
      </w:r>
      <w:r>
        <w:rPr>
          <w:spacing w:val="78"/>
        </w:rPr>
        <w:t xml:space="preserve"> </w:t>
      </w:r>
      <w:r>
        <w:t>least</w:t>
      </w:r>
      <w:r>
        <w:rPr>
          <w:spacing w:val="78"/>
        </w:rPr>
        <w:t xml:space="preserve"> </w:t>
      </w:r>
      <w:r>
        <w:t>6</w:t>
      </w:r>
      <w:r>
        <w:rPr>
          <w:spacing w:val="-2"/>
        </w:rPr>
        <w:t xml:space="preserve"> </w:t>
      </w:r>
      <w:r>
        <w:t>tender</w:t>
      </w:r>
      <w:r>
        <w:rPr>
          <w:spacing w:val="66"/>
        </w:rPr>
        <w:t xml:space="preserve"> </w:t>
      </w:r>
      <w:r>
        <w:t>and 6</w:t>
      </w:r>
      <w:r>
        <w:rPr>
          <w:spacing w:val="-1"/>
        </w:rPr>
        <w:t xml:space="preserve"> </w:t>
      </w:r>
      <w:r>
        <w:t>swollen joints</w:t>
      </w:r>
      <w:r>
        <w:rPr>
          <w:spacing w:val="-5"/>
        </w:rPr>
        <w:t xml:space="preserve"> </w:t>
      </w:r>
      <w:r>
        <w:t xml:space="preserve">at </w:t>
      </w:r>
      <w:proofErr w:type="spellStart"/>
      <w:r>
        <w:t>randomisation</w:t>
      </w:r>
      <w:proofErr w:type="spellEnd"/>
      <w:r>
        <w:t xml:space="preserve"> (4</w:t>
      </w:r>
      <w:r>
        <w:rPr>
          <w:spacing w:val="-2"/>
        </w:rPr>
        <w:t xml:space="preserve"> </w:t>
      </w:r>
      <w:r>
        <w:t>swollen and tender</w:t>
      </w:r>
      <w:r>
        <w:rPr>
          <w:spacing w:val="-6"/>
        </w:rPr>
        <w:t xml:space="preserve"> </w:t>
      </w:r>
      <w:r>
        <w:t>joints</w:t>
      </w:r>
      <w:r>
        <w:rPr>
          <w:spacing w:val="-5"/>
        </w:rPr>
        <w:t xml:space="preserve"> </w:t>
      </w:r>
      <w:r>
        <w:t>for</w:t>
      </w:r>
      <w:r>
        <w:rPr>
          <w:spacing w:val="-6"/>
        </w:rPr>
        <w:t xml:space="preserve"> </w:t>
      </w:r>
      <w:r>
        <w:t>Study</w:t>
      </w:r>
      <w:r>
        <w:rPr>
          <w:spacing w:val="-1"/>
        </w:rPr>
        <w:t xml:space="preserve"> </w:t>
      </w:r>
      <w:r>
        <w:t>II).</w:t>
      </w:r>
      <w:r>
        <w:rPr>
          <w:spacing w:val="-1"/>
        </w:rPr>
        <w:t xml:space="preserve"> </w:t>
      </w:r>
      <w:r>
        <w:t>XELJANZ,</w:t>
      </w:r>
      <w:r>
        <w:rPr>
          <w:spacing w:val="-1"/>
        </w:rPr>
        <w:t xml:space="preserve"> </w:t>
      </w:r>
      <w:r>
        <w:t>5</w:t>
      </w:r>
      <w:r>
        <w:rPr>
          <w:spacing w:val="-1"/>
        </w:rPr>
        <w:t xml:space="preserve"> </w:t>
      </w:r>
      <w:r>
        <w:t>mg or 10</w:t>
      </w:r>
      <w:r>
        <w:rPr>
          <w:spacing w:val="-1"/>
        </w:rPr>
        <w:t xml:space="preserve"> </w:t>
      </w:r>
      <w:r>
        <w:t>mg twice daily, was given as monotherapy (Study</w:t>
      </w:r>
      <w:r>
        <w:rPr>
          <w:spacing w:val="-15"/>
        </w:rPr>
        <w:t xml:space="preserve"> </w:t>
      </w:r>
      <w:r>
        <w:t xml:space="preserve">I) and in combination with </w:t>
      </w:r>
      <w:proofErr w:type="spellStart"/>
      <w:r>
        <w:t>csDMARDs</w:t>
      </w:r>
      <w:proofErr w:type="spellEnd"/>
      <w:r>
        <w:rPr>
          <w:spacing w:val="40"/>
        </w:rPr>
        <w:t xml:space="preserve"> </w:t>
      </w:r>
      <w:r>
        <w:t>(Study</w:t>
      </w:r>
      <w:r>
        <w:rPr>
          <w:spacing w:val="-14"/>
        </w:rPr>
        <w:t xml:space="preserve"> </w:t>
      </w:r>
      <w:r>
        <w:t>II)</w:t>
      </w:r>
      <w:r>
        <w:rPr>
          <w:spacing w:val="40"/>
        </w:rPr>
        <w:t xml:space="preserve"> </w:t>
      </w:r>
      <w:r>
        <w:t>in</w:t>
      </w:r>
      <w:r>
        <w:rPr>
          <w:spacing w:val="40"/>
        </w:rPr>
        <w:t xml:space="preserve"> </w:t>
      </w:r>
      <w:r>
        <w:t>patients</w:t>
      </w:r>
      <w:r>
        <w:rPr>
          <w:spacing w:val="40"/>
        </w:rPr>
        <w:t xml:space="preserve"> </w:t>
      </w:r>
      <w:r>
        <w:t>with</w:t>
      </w:r>
      <w:r>
        <w:rPr>
          <w:spacing w:val="40"/>
        </w:rPr>
        <w:t xml:space="preserve"> </w:t>
      </w:r>
      <w:r>
        <w:t>an</w:t>
      </w:r>
      <w:r>
        <w:rPr>
          <w:spacing w:val="40"/>
        </w:rPr>
        <w:t xml:space="preserve"> </w:t>
      </w:r>
      <w:r>
        <w:t>inadequate</w:t>
      </w:r>
      <w:r>
        <w:rPr>
          <w:spacing w:val="40"/>
        </w:rPr>
        <w:t xml:space="preserve"> </w:t>
      </w:r>
      <w:r>
        <w:t>response</w:t>
      </w:r>
      <w:r>
        <w:rPr>
          <w:spacing w:val="40"/>
        </w:rPr>
        <w:t xml:space="preserve"> </w:t>
      </w:r>
      <w:r>
        <w:t>to</w:t>
      </w:r>
      <w:r>
        <w:rPr>
          <w:spacing w:val="40"/>
        </w:rPr>
        <w:t xml:space="preserve"> </w:t>
      </w:r>
      <w:r>
        <w:t>DMARDs.</w:t>
      </w:r>
      <w:r>
        <w:rPr>
          <w:spacing w:val="40"/>
        </w:rPr>
        <w:t xml:space="preserve"> </w:t>
      </w:r>
      <w:r>
        <w:t>XELJANZ, 5</w:t>
      </w:r>
      <w:r>
        <w:rPr>
          <w:spacing w:val="-2"/>
        </w:rPr>
        <w:t xml:space="preserve"> </w:t>
      </w:r>
      <w:r>
        <w:t>mg or 10 mg twice daily was given in combination with MTX in patients with either an inadequate response to MTX (Study III</w:t>
      </w:r>
      <w:r>
        <w:rPr>
          <w:spacing w:val="25"/>
        </w:rPr>
        <w:t xml:space="preserve"> </w:t>
      </w:r>
      <w:r>
        <w:t>and</w:t>
      </w:r>
      <w:r>
        <w:rPr>
          <w:spacing w:val="30"/>
        </w:rPr>
        <w:t xml:space="preserve"> </w:t>
      </w:r>
      <w:r>
        <w:t>Study</w:t>
      </w:r>
      <w:r>
        <w:rPr>
          <w:spacing w:val="-15"/>
        </w:rPr>
        <w:t xml:space="preserve"> </w:t>
      </w:r>
      <w:r>
        <w:t>IV) or inadequate response or intolerance to at least one approved TNF-inhibiting biological agent</w:t>
      </w:r>
      <w:r>
        <w:rPr>
          <w:spacing w:val="38"/>
        </w:rPr>
        <w:t xml:space="preserve"> </w:t>
      </w:r>
      <w:r>
        <w:t>(Study V). XELJANZ, 5 mg or 10 mg twice</w:t>
      </w:r>
      <w:r>
        <w:rPr>
          <w:spacing w:val="1"/>
        </w:rPr>
        <w:t xml:space="preserve"> </w:t>
      </w:r>
      <w:r>
        <w:t>daily</w:t>
      </w:r>
      <w:r>
        <w:rPr>
          <w:spacing w:val="2"/>
        </w:rPr>
        <w:t xml:space="preserve"> </w:t>
      </w:r>
      <w:r>
        <w:t>was</w:t>
      </w:r>
      <w:r>
        <w:rPr>
          <w:spacing w:val="15"/>
        </w:rPr>
        <w:t xml:space="preserve"> </w:t>
      </w:r>
      <w:r>
        <w:t>also</w:t>
      </w:r>
      <w:r>
        <w:rPr>
          <w:spacing w:val="2"/>
        </w:rPr>
        <w:t xml:space="preserve"> </w:t>
      </w:r>
      <w:r>
        <w:t>given</w:t>
      </w:r>
      <w:r>
        <w:rPr>
          <w:spacing w:val="19"/>
        </w:rPr>
        <w:t xml:space="preserve"> </w:t>
      </w:r>
      <w:r>
        <w:t>as</w:t>
      </w:r>
      <w:r>
        <w:rPr>
          <w:spacing w:val="14"/>
        </w:rPr>
        <w:t xml:space="preserve"> </w:t>
      </w:r>
      <w:r>
        <w:t>monotherapy</w:t>
      </w:r>
      <w:r>
        <w:rPr>
          <w:spacing w:val="17"/>
        </w:rPr>
        <w:t xml:space="preserve"> </w:t>
      </w:r>
      <w:r>
        <w:t>to</w:t>
      </w:r>
      <w:r>
        <w:rPr>
          <w:spacing w:val="3"/>
        </w:rPr>
        <w:t xml:space="preserve"> </w:t>
      </w:r>
      <w:r>
        <w:t>MTX-naïve patients</w:t>
      </w:r>
      <w:r>
        <w:rPr>
          <w:spacing w:val="-1"/>
        </w:rPr>
        <w:t xml:space="preserve"> </w:t>
      </w:r>
      <w:r>
        <w:t>(Study</w:t>
      </w:r>
      <w:r>
        <w:rPr>
          <w:spacing w:val="3"/>
        </w:rPr>
        <w:t xml:space="preserve"> </w:t>
      </w:r>
      <w:r>
        <w:t>VI).</w:t>
      </w:r>
      <w:r>
        <w:rPr>
          <w:spacing w:val="2"/>
        </w:rPr>
        <w:t xml:space="preserve"> </w:t>
      </w:r>
      <w:r>
        <w:t>In</w:t>
      </w:r>
      <w:r>
        <w:rPr>
          <w:spacing w:val="3"/>
        </w:rPr>
        <w:t xml:space="preserve"> </w:t>
      </w:r>
      <w:r>
        <w:t>a</w:t>
      </w:r>
      <w:r>
        <w:rPr>
          <w:spacing w:val="1"/>
        </w:rPr>
        <w:t xml:space="preserve"> </w:t>
      </w:r>
      <w:r>
        <w:rPr>
          <w:spacing w:val="-2"/>
        </w:rPr>
        <w:t>Phase</w:t>
      </w:r>
    </w:p>
    <w:p w14:paraId="53DEE39B" w14:textId="77777777" w:rsidR="001825E2" w:rsidRDefault="001825E2" w:rsidP="00CB00A7">
      <w:pPr>
        <w:sectPr w:rsidR="001825E2">
          <w:pgSz w:w="11910" w:h="16850"/>
          <w:pgMar w:top="1360" w:right="1220" w:bottom="980" w:left="1220" w:header="0" w:footer="785" w:gutter="0"/>
          <w:cols w:space="720"/>
        </w:sectPr>
      </w:pPr>
    </w:p>
    <w:p w14:paraId="28CE8DD9" w14:textId="77777777" w:rsidR="001825E2" w:rsidRDefault="000839A5" w:rsidP="00CB00A7">
      <w:pPr>
        <w:pStyle w:val="BodyText"/>
        <w:spacing w:before="76" w:line="242" w:lineRule="auto"/>
        <w:ind w:left="219" w:right="212"/>
        <w:jc w:val="left"/>
      </w:pPr>
      <w:r>
        <w:lastRenderedPageBreak/>
        <w:t xml:space="preserve">3b/4 </w:t>
      </w:r>
      <w:proofErr w:type="spellStart"/>
      <w:r>
        <w:t>randomised</w:t>
      </w:r>
      <w:proofErr w:type="spellEnd"/>
      <w:r>
        <w:t>, open-label safety endpoint study, XELJANZ, 5 mg or 10 mg twice daily was given to RA patients who were 50 years or older with at least one additional cardiovascular risk factor and on a stable dose of methotrexate</w:t>
      </w:r>
      <w:r>
        <w:rPr>
          <w:spacing w:val="-5"/>
        </w:rPr>
        <w:t xml:space="preserve"> </w:t>
      </w:r>
      <w:r>
        <w:t>(Study</w:t>
      </w:r>
      <w:r>
        <w:rPr>
          <w:spacing w:val="-2"/>
        </w:rPr>
        <w:t xml:space="preserve"> </w:t>
      </w:r>
      <w:r>
        <w:t>VII).</w:t>
      </w:r>
    </w:p>
    <w:p w14:paraId="17247DD3" w14:textId="77777777" w:rsidR="001825E2" w:rsidRDefault="000839A5" w:rsidP="00CB00A7">
      <w:pPr>
        <w:pStyle w:val="BodyText"/>
        <w:spacing w:before="228"/>
        <w:ind w:left="217" w:right="203" w:firstLine="1"/>
        <w:jc w:val="left"/>
      </w:pPr>
      <w:r>
        <w:t>Study I (A3921045/ORAL Solo) was a 6-month monotherapy study in which 610 patients with moderate to severe active RA who had an inadequate response to a DMARD (</w:t>
      </w:r>
      <w:proofErr w:type="spellStart"/>
      <w:r>
        <w:t>csDMARD</w:t>
      </w:r>
      <w:proofErr w:type="spellEnd"/>
      <w:r>
        <w:t xml:space="preserve"> or biological) received XELJANZ 5</w:t>
      </w:r>
      <w:r>
        <w:rPr>
          <w:spacing w:val="-4"/>
        </w:rPr>
        <w:t xml:space="preserve"> </w:t>
      </w:r>
      <w:r>
        <w:t>mg or 10</w:t>
      </w:r>
      <w:r>
        <w:rPr>
          <w:spacing w:val="-4"/>
        </w:rPr>
        <w:t xml:space="preserve"> </w:t>
      </w:r>
      <w:r>
        <w:t>mg twice daily or placebo. At the Month</w:t>
      </w:r>
      <w:r>
        <w:rPr>
          <w:spacing w:val="-3"/>
        </w:rPr>
        <w:t xml:space="preserve"> </w:t>
      </w:r>
      <w:r>
        <w:t xml:space="preserve">3 visit, all patients </w:t>
      </w:r>
      <w:proofErr w:type="spellStart"/>
      <w:r>
        <w:t>randomised</w:t>
      </w:r>
      <w:proofErr w:type="spellEnd"/>
      <w:r>
        <w:t xml:space="preserve"> to placebo treatment were advanced in a blinded fashion to a second predetermined treatment of XELJANZ 5</w:t>
      </w:r>
      <w:r>
        <w:rPr>
          <w:spacing w:val="-5"/>
        </w:rPr>
        <w:t xml:space="preserve"> </w:t>
      </w:r>
      <w:r>
        <w:t>mg or 10</w:t>
      </w:r>
      <w:r>
        <w:rPr>
          <w:spacing w:val="-4"/>
        </w:rPr>
        <w:t xml:space="preserve"> </w:t>
      </w:r>
      <w:r>
        <w:t>mg twice daily. The primary endpoints at Month</w:t>
      </w:r>
      <w:r>
        <w:rPr>
          <w:spacing w:val="-3"/>
        </w:rPr>
        <w:t xml:space="preserve"> </w:t>
      </w:r>
      <w:r>
        <w:t>3 were the proportion of patients who achieved an ACR20 response, changes in Health Assessment Questionnaire – Disability Index (HAQ-DI), and rates of Disease Activity Score DAS28-4(ESR)&lt;2.6.</w:t>
      </w:r>
    </w:p>
    <w:p w14:paraId="6DFBBFC5" w14:textId="77777777" w:rsidR="001825E2" w:rsidRDefault="000839A5" w:rsidP="00CB00A7">
      <w:pPr>
        <w:pStyle w:val="BodyText"/>
        <w:spacing w:before="238"/>
        <w:ind w:left="216" w:right="201" w:firstLine="1"/>
        <w:jc w:val="left"/>
      </w:pPr>
      <w:r>
        <w:t>Study II (A3921046/ORAL Sync)</w:t>
      </w:r>
      <w:r>
        <w:rPr>
          <w:spacing w:val="-5"/>
        </w:rPr>
        <w:t xml:space="preserve"> </w:t>
      </w:r>
      <w:r>
        <w:t>was</w:t>
      </w:r>
      <w:r>
        <w:rPr>
          <w:spacing w:val="-4"/>
        </w:rPr>
        <w:t xml:space="preserve"> </w:t>
      </w:r>
      <w:r>
        <w:t>a</w:t>
      </w:r>
      <w:r>
        <w:rPr>
          <w:spacing w:val="-2"/>
        </w:rPr>
        <w:t xml:space="preserve"> </w:t>
      </w:r>
      <w:r>
        <w:t>12-month study in which 792 patients</w:t>
      </w:r>
      <w:r>
        <w:rPr>
          <w:spacing w:val="-4"/>
        </w:rPr>
        <w:t xml:space="preserve"> </w:t>
      </w:r>
      <w:r>
        <w:t>with moderate to</w:t>
      </w:r>
      <w:r>
        <w:rPr>
          <w:spacing w:val="29"/>
        </w:rPr>
        <w:t xml:space="preserve"> </w:t>
      </w:r>
      <w:r>
        <w:t>severe</w:t>
      </w:r>
      <w:r>
        <w:rPr>
          <w:spacing w:val="27"/>
        </w:rPr>
        <w:t xml:space="preserve"> </w:t>
      </w:r>
      <w:r>
        <w:t>active</w:t>
      </w:r>
      <w:r>
        <w:rPr>
          <w:spacing w:val="27"/>
        </w:rPr>
        <w:t xml:space="preserve"> </w:t>
      </w:r>
      <w:r>
        <w:t>RA</w:t>
      </w:r>
      <w:r>
        <w:rPr>
          <w:spacing w:val="35"/>
        </w:rPr>
        <w:t xml:space="preserve"> </w:t>
      </w:r>
      <w:r>
        <w:t>who</w:t>
      </w:r>
      <w:r>
        <w:rPr>
          <w:spacing w:val="28"/>
        </w:rPr>
        <w:t xml:space="preserve"> </w:t>
      </w:r>
      <w:r>
        <w:t>had</w:t>
      </w:r>
      <w:r>
        <w:rPr>
          <w:spacing w:val="40"/>
        </w:rPr>
        <w:t xml:space="preserve"> </w:t>
      </w:r>
      <w:r>
        <w:t>an</w:t>
      </w:r>
      <w:r>
        <w:rPr>
          <w:spacing w:val="29"/>
        </w:rPr>
        <w:t xml:space="preserve"> </w:t>
      </w:r>
      <w:r>
        <w:t>inadequate</w:t>
      </w:r>
      <w:r>
        <w:rPr>
          <w:spacing w:val="27"/>
        </w:rPr>
        <w:t xml:space="preserve"> </w:t>
      </w:r>
      <w:r>
        <w:t>response</w:t>
      </w:r>
      <w:r>
        <w:rPr>
          <w:spacing w:val="27"/>
        </w:rPr>
        <w:t xml:space="preserve"> </w:t>
      </w:r>
      <w:r>
        <w:t>to</w:t>
      </w:r>
      <w:r>
        <w:rPr>
          <w:spacing w:val="29"/>
        </w:rPr>
        <w:t xml:space="preserve"> </w:t>
      </w:r>
      <w:r>
        <w:t>a</w:t>
      </w:r>
      <w:r>
        <w:rPr>
          <w:spacing w:val="27"/>
        </w:rPr>
        <w:t xml:space="preserve"> </w:t>
      </w:r>
      <w:proofErr w:type="spellStart"/>
      <w:r>
        <w:t>csDMARD</w:t>
      </w:r>
      <w:proofErr w:type="spellEnd"/>
      <w:r>
        <w:rPr>
          <w:spacing w:val="35"/>
        </w:rPr>
        <w:t xml:space="preserve"> </w:t>
      </w:r>
      <w:r>
        <w:t>received</w:t>
      </w:r>
      <w:r>
        <w:rPr>
          <w:spacing w:val="40"/>
        </w:rPr>
        <w:t xml:space="preserve"> </w:t>
      </w:r>
      <w:r>
        <w:t>XELJANZ 5</w:t>
      </w:r>
      <w:r>
        <w:rPr>
          <w:spacing w:val="-2"/>
        </w:rPr>
        <w:t xml:space="preserve"> </w:t>
      </w:r>
      <w:r>
        <w:t>mg or 10</w:t>
      </w:r>
      <w:r>
        <w:rPr>
          <w:spacing w:val="-2"/>
        </w:rPr>
        <w:t xml:space="preserve"> </w:t>
      </w:r>
      <w:r>
        <w:t xml:space="preserve">mg twice daily or placebo added to background DMARD treatment (excluding potent immunosuppressive treatments such as azathioprine or ciclosporin). At the Month 3 visit, nonresponding patients </w:t>
      </w:r>
      <w:proofErr w:type="spellStart"/>
      <w:r>
        <w:t>randomised</w:t>
      </w:r>
      <w:proofErr w:type="spellEnd"/>
      <w:r>
        <w:t xml:space="preserve"> to placebo treatment were advanced in a blinded fashion to a</w:t>
      </w:r>
      <w:r>
        <w:rPr>
          <w:spacing w:val="-2"/>
        </w:rPr>
        <w:t xml:space="preserve"> </w:t>
      </w:r>
      <w:r>
        <w:t>second predetermined treatment of XELJANZ 5 mg or</w:t>
      </w:r>
      <w:r>
        <w:rPr>
          <w:spacing w:val="-5"/>
        </w:rPr>
        <w:t xml:space="preserve"> </w:t>
      </w:r>
      <w:r>
        <w:t>10 mg twice</w:t>
      </w:r>
      <w:r>
        <w:rPr>
          <w:spacing w:val="-2"/>
        </w:rPr>
        <w:t xml:space="preserve"> </w:t>
      </w:r>
      <w:r>
        <w:t>daily. At the end</w:t>
      </w:r>
      <w:r>
        <w:rPr>
          <w:spacing w:val="25"/>
        </w:rPr>
        <w:t xml:space="preserve"> </w:t>
      </w:r>
      <w:r>
        <w:t>of Month</w:t>
      </w:r>
      <w:r>
        <w:rPr>
          <w:spacing w:val="-4"/>
        </w:rPr>
        <w:t xml:space="preserve"> </w:t>
      </w:r>
      <w:r>
        <w:t>6, all placebo patients were advanced</w:t>
      </w:r>
      <w:r>
        <w:rPr>
          <w:spacing w:val="25"/>
        </w:rPr>
        <w:t xml:space="preserve"> </w:t>
      </w:r>
      <w:r>
        <w:t>to their second</w:t>
      </w:r>
      <w:r>
        <w:rPr>
          <w:spacing w:val="25"/>
        </w:rPr>
        <w:t xml:space="preserve"> </w:t>
      </w:r>
      <w:r>
        <w:t>predetermined</w:t>
      </w:r>
      <w:r>
        <w:rPr>
          <w:spacing w:val="25"/>
        </w:rPr>
        <w:t xml:space="preserve"> </w:t>
      </w:r>
      <w:r>
        <w:t>treatment in a blinded fashion. The primary endpoints were the proportion of patients who</w:t>
      </w:r>
      <w:r>
        <w:rPr>
          <w:spacing w:val="-6"/>
        </w:rPr>
        <w:t xml:space="preserve"> </w:t>
      </w:r>
      <w:r>
        <w:t>a</w:t>
      </w:r>
      <w:r>
        <w:t>chieved an ACR20 response at Month</w:t>
      </w:r>
      <w:r>
        <w:rPr>
          <w:spacing w:val="-2"/>
        </w:rPr>
        <w:t xml:space="preserve"> </w:t>
      </w:r>
      <w:r>
        <w:t>6, changes in HAQ-DI at Month</w:t>
      </w:r>
      <w:r>
        <w:rPr>
          <w:spacing w:val="-2"/>
        </w:rPr>
        <w:t xml:space="preserve"> </w:t>
      </w:r>
      <w:r>
        <w:t>3 and rates of DAS28- 4(ESR)&lt;2.6 at Month 6.</w:t>
      </w:r>
    </w:p>
    <w:p w14:paraId="6DF8EAA4" w14:textId="77777777" w:rsidR="001825E2" w:rsidRDefault="000839A5" w:rsidP="00CB00A7">
      <w:pPr>
        <w:pStyle w:val="BodyText"/>
        <w:spacing w:before="240"/>
        <w:ind w:left="214" w:right="209" w:firstLine="2"/>
        <w:jc w:val="left"/>
      </w:pPr>
      <w:r>
        <w:t>Study III</w:t>
      </w:r>
      <w:r>
        <w:rPr>
          <w:spacing w:val="27"/>
        </w:rPr>
        <w:t xml:space="preserve"> </w:t>
      </w:r>
      <w:r>
        <w:t>(A3921064/ORAL Standard) was a 12-month</w:t>
      </w:r>
      <w:r>
        <w:rPr>
          <w:spacing w:val="33"/>
        </w:rPr>
        <w:t xml:space="preserve"> </w:t>
      </w:r>
      <w:r>
        <w:t>study in 717 patients with moderate to</w:t>
      </w:r>
      <w:r>
        <w:rPr>
          <w:spacing w:val="15"/>
        </w:rPr>
        <w:t xml:space="preserve"> </w:t>
      </w:r>
      <w:r>
        <w:t>severe active</w:t>
      </w:r>
      <w:r>
        <w:rPr>
          <w:spacing w:val="28"/>
        </w:rPr>
        <w:t xml:space="preserve"> </w:t>
      </w:r>
      <w:r>
        <w:t>RA</w:t>
      </w:r>
      <w:r>
        <w:rPr>
          <w:spacing w:val="21"/>
        </w:rPr>
        <w:t xml:space="preserve"> </w:t>
      </w:r>
      <w:r>
        <w:t>who</w:t>
      </w:r>
      <w:r>
        <w:rPr>
          <w:spacing w:val="15"/>
        </w:rPr>
        <w:t xml:space="preserve"> </w:t>
      </w:r>
      <w:r>
        <w:t>had</w:t>
      </w:r>
      <w:r>
        <w:rPr>
          <w:spacing w:val="30"/>
        </w:rPr>
        <w:t xml:space="preserve"> </w:t>
      </w:r>
      <w:r>
        <w:t>an</w:t>
      </w:r>
      <w:r>
        <w:rPr>
          <w:spacing w:val="15"/>
        </w:rPr>
        <w:t xml:space="preserve"> </w:t>
      </w:r>
      <w:r>
        <w:t>inadequate response to</w:t>
      </w:r>
      <w:r>
        <w:rPr>
          <w:spacing w:val="15"/>
        </w:rPr>
        <w:t xml:space="preserve"> </w:t>
      </w:r>
      <w:r>
        <w:t>MTX.</w:t>
      </w:r>
      <w:r>
        <w:rPr>
          <w:spacing w:val="15"/>
        </w:rPr>
        <w:t xml:space="preserve"> </w:t>
      </w:r>
      <w:r>
        <w:t>Patients</w:t>
      </w:r>
      <w:r>
        <w:rPr>
          <w:spacing w:val="26"/>
        </w:rPr>
        <w:t xml:space="preserve"> </w:t>
      </w:r>
      <w:r>
        <w:t>received</w:t>
      </w:r>
      <w:r>
        <w:rPr>
          <w:spacing w:val="30"/>
        </w:rPr>
        <w:t xml:space="preserve"> </w:t>
      </w:r>
      <w:r>
        <w:t>XELJANZ 5</w:t>
      </w:r>
      <w:r>
        <w:rPr>
          <w:spacing w:val="-3"/>
        </w:rPr>
        <w:t xml:space="preserve"> </w:t>
      </w:r>
      <w:r>
        <w:t>mg or 10</w:t>
      </w:r>
      <w:r>
        <w:rPr>
          <w:spacing w:val="-3"/>
        </w:rPr>
        <w:t xml:space="preserve"> </w:t>
      </w:r>
      <w:r>
        <w:t>mg twice daily, adalimumab 40</w:t>
      </w:r>
      <w:r>
        <w:rPr>
          <w:spacing w:val="-3"/>
        </w:rPr>
        <w:t xml:space="preserve"> </w:t>
      </w:r>
      <w:r>
        <w:t>mg subcutaneously every other week, or placebo added to background MTX. Placebo patients were advanced as in Study</w:t>
      </w:r>
      <w:r>
        <w:rPr>
          <w:spacing w:val="-1"/>
        </w:rPr>
        <w:t xml:space="preserve"> </w:t>
      </w:r>
      <w:r>
        <w:t>II. The primary endpoints were the proportion of patients who achieved an ACR20 response at Month</w:t>
      </w:r>
      <w:r>
        <w:rPr>
          <w:spacing w:val="-2"/>
        </w:rPr>
        <w:t xml:space="preserve"> </w:t>
      </w:r>
      <w:r>
        <w:t>6, HAQ-DI at Month 3, and DAS28-4(ESR)&lt;2.6 at Month 6.</w:t>
      </w:r>
    </w:p>
    <w:p w14:paraId="014E7C02" w14:textId="77777777" w:rsidR="001825E2" w:rsidRDefault="000839A5" w:rsidP="00CB00A7">
      <w:pPr>
        <w:pStyle w:val="BodyText"/>
        <w:spacing w:before="249"/>
        <w:ind w:left="213" w:right="204"/>
        <w:jc w:val="left"/>
      </w:pPr>
      <w:r>
        <w:t>Study</w:t>
      </w:r>
      <w:r>
        <w:rPr>
          <w:spacing w:val="-1"/>
        </w:rPr>
        <w:t xml:space="preserve"> </w:t>
      </w:r>
      <w:r>
        <w:t>IV (A3921044/ORAL Scan) was a 2-year study with a planned analysis at 1</w:t>
      </w:r>
      <w:r>
        <w:rPr>
          <w:spacing w:val="-1"/>
        </w:rPr>
        <w:t xml:space="preserve"> </w:t>
      </w:r>
      <w:r>
        <w:t>year in which 797 patients with moderate to severe active RA who had an inadequate response to MTX received XELJANZ 5</w:t>
      </w:r>
      <w:r>
        <w:rPr>
          <w:spacing w:val="-4"/>
        </w:rPr>
        <w:t xml:space="preserve"> </w:t>
      </w:r>
      <w:r>
        <w:t>mg or 10</w:t>
      </w:r>
      <w:r>
        <w:rPr>
          <w:spacing w:val="-4"/>
        </w:rPr>
        <w:t xml:space="preserve"> </w:t>
      </w:r>
      <w:r>
        <w:t>mg</w:t>
      </w:r>
      <w:r>
        <w:rPr>
          <w:spacing w:val="-4"/>
        </w:rPr>
        <w:t xml:space="preserve"> </w:t>
      </w:r>
      <w:r>
        <w:t>twice</w:t>
      </w:r>
      <w:r>
        <w:rPr>
          <w:spacing w:val="-5"/>
        </w:rPr>
        <w:t xml:space="preserve"> </w:t>
      </w:r>
      <w:r>
        <w:t>daily or placebo added to</w:t>
      </w:r>
      <w:r>
        <w:rPr>
          <w:spacing w:val="-4"/>
        </w:rPr>
        <w:t xml:space="preserve"> </w:t>
      </w:r>
      <w:r>
        <w:t>background MTX. Placebo patients were advanced as in Study</w:t>
      </w:r>
      <w:r>
        <w:rPr>
          <w:spacing w:val="-4"/>
        </w:rPr>
        <w:t xml:space="preserve"> </w:t>
      </w:r>
      <w:r>
        <w:t>II.</w:t>
      </w:r>
      <w:r>
        <w:rPr>
          <w:spacing w:val="-5"/>
        </w:rPr>
        <w:t xml:space="preserve"> </w:t>
      </w:r>
      <w:r>
        <w:t>The primary endpoints</w:t>
      </w:r>
      <w:r>
        <w:rPr>
          <w:spacing w:val="-8"/>
        </w:rPr>
        <w:t xml:space="preserve"> </w:t>
      </w:r>
      <w:r>
        <w:t>were the proportion of patients</w:t>
      </w:r>
      <w:r>
        <w:rPr>
          <w:spacing w:val="-5"/>
        </w:rPr>
        <w:t xml:space="preserve"> </w:t>
      </w:r>
      <w:r>
        <w:t>who</w:t>
      </w:r>
      <w:r>
        <w:rPr>
          <w:spacing w:val="-1"/>
        </w:rPr>
        <w:t xml:space="preserve"> </w:t>
      </w:r>
      <w:r>
        <w:t>achieved an</w:t>
      </w:r>
      <w:r>
        <w:rPr>
          <w:spacing w:val="-1"/>
        </w:rPr>
        <w:t xml:space="preserve"> </w:t>
      </w:r>
      <w:r>
        <w:t>ACR20</w:t>
      </w:r>
      <w:r>
        <w:rPr>
          <w:spacing w:val="-1"/>
        </w:rPr>
        <w:t xml:space="preserve"> </w:t>
      </w:r>
      <w:r>
        <w:t>response</w:t>
      </w:r>
      <w:r>
        <w:rPr>
          <w:spacing w:val="-3"/>
        </w:rPr>
        <w:t xml:space="preserve"> </w:t>
      </w:r>
      <w:r>
        <w:t>at Month</w:t>
      </w:r>
      <w:r>
        <w:rPr>
          <w:spacing w:val="-1"/>
        </w:rPr>
        <w:t xml:space="preserve"> </w:t>
      </w:r>
      <w:r>
        <w:t>6,</w:t>
      </w:r>
      <w:r>
        <w:rPr>
          <w:spacing w:val="-1"/>
        </w:rPr>
        <w:t xml:space="preserve"> </w:t>
      </w:r>
      <w:r>
        <w:t>mean</w:t>
      </w:r>
      <w:r>
        <w:rPr>
          <w:spacing w:val="-1"/>
        </w:rPr>
        <w:t xml:space="preserve"> </w:t>
      </w:r>
      <w:r>
        <w:t>change</w:t>
      </w:r>
      <w:r>
        <w:rPr>
          <w:spacing w:val="-3"/>
        </w:rPr>
        <w:t xml:space="preserve"> </w:t>
      </w:r>
      <w:r>
        <w:t>from</w:t>
      </w:r>
      <w:r>
        <w:rPr>
          <w:spacing w:val="-8"/>
        </w:rPr>
        <w:t xml:space="preserve"> </w:t>
      </w:r>
      <w:r>
        <w:t>baseline</w:t>
      </w:r>
      <w:r>
        <w:rPr>
          <w:spacing w:val="-3"/>
        </w:rPr>
        <w:t xml:space="preserve"> </w:t>
      </w:r>
      <w:r>
        <w:t>in</w:t>
      </w:r>
      <w:r>
        <w:rPr>
          <w:spacing w:val="-1"/>
        </w:rPr>
        <w:t xml:space="preserve"> </w:t>
      </w:r>
      <w:r>
        <w:t xml:space="preserve">van der </w:t>
      </w:r>
      <w:proofErr w:type="spellStart"/>
      <w:r>
        <w:t>Heijde</w:t>
      </w:r>
      <w:proofErr w:type="spellEnd"/>
      <w:r>
        <w:t>-modified total Sharp Score (</w:t>
      </w:r>
      <w:proofErr w:type="spellStart"/>
      <w:r>
        <w:t>mTSS</w:t>
      </w:r>
      <w:proofErr w:type="spellEnd"/>
      <w:r>
        <w:t>) at Month</w:t>
      </w:r>
      <w:r>
        <w:rPr>
          <w:spacing w:val="-1"/>
        </w:rPr>
        <w:t xml:space="preserve"> </w:t>
      </w:r>
      <w:r>
        <w:t>6, HAQ-DI at Month</w:t>
      </w:r>
      <w:r>
        <w:rPr>
          <w:spacing w:val="-1"/>
        </w:rPr>
        <w:t xml:space="preserve"> </w:t>
      </w:r>
      <w:r>
        <w:t>3, and DAS28- 4(ESR)&lt;2.6 at Month 6.</w:t>
      </w:r>
    </w:p>
    <w:p w14:paraId="3AF817E4" w14:textId="77777777" w:rsidR="001825E2" w:rsidRDefault="000839A5" w:rsidP="00CB00A7">
      <w:pPr>
        <w:pStyle w:val="BodyText"/>
        <w:spacing w:before="244"/>
        <w:ind w:left="211" w:right="208" w:firstLine="1"/>
        <w:jc w:val="left"/>
      </w:pPr>
      <w:r>
        <w:t>Study V (A3921032/ORAL Step) was a 6-month study in which 399 patients with moderate to severe active RA</w:t>
      </w:r>
      <w:r>
        <w:rPr>
          <w:spacing w:val="-1"/>
        </w:rPr>
        <w:t xml:space="preserve"> </w:t>
      </w:r>
      <w:r>
        <w:t>who had an</w:t>
      </w:r>
      <w:r>
        <w:rPr>
          <w:spacing w:val="-6"/>
        </w:rPr>
        <w:t xml:space="preserve"> </w:t>
      </w:r>
      <w:r>
        <w:t>inadequate response to at least one approved TNF-inhibiting biological agent received XELJANZ 5</w:t>
      </w:r>
      <w:r>
        <w:rPr>
          <w:spacing w:val="-1"/>
        </w:rPr>
        <w:t xml:space="preserve"> </w:t>
      </w:r>
      <w:r>
        <w:t>mg or 10 mg twice daily or placebo added to background MTX. At the Month</w:t>
      </w:r>
      <w:r>
        <w:rPr>
          <w:spacing w:val="-2"/>
        </w:rPr>
        <w:t xml:space="preserve"> </w:t>
      </w:r>
      <w:r>
        <w:t xml:space="preserve">3 visit, all patients </w:t>
      </w:r>
      <w:proofErr w:type="spellStart"/>
      <w:r>
        <w:t>randomised</w:t>
      </w:r>
      <w:proofErr w:type="spellEnd"/>
      <w:r>
        <w:t xml:space="preserve"> to placebo treatment were advanced</w:t>
      </w:r>
      <w:r>
        <w:rPr>
          <w:spacing w:val="40"/>
        </w:rPr>
        <w:t xml:space="preserve"> </w:t>
      </w:r>
      <w:r>
        <w:t>in</w:t>
      </w:r>
      <w:r>
        <w:rPr>
          <w:spacing w:val="27"/>
        </w:rPr>
        <w:t xml:space="preserve"> </w:t>
      </w:r>
      <w:r>
        <w:t>a</w:t>
      </w:r>
      <w:r>
        <w:rPr>
          <w:spacing w:val="25"/>
        </w:rPr>
        <w:t xml:space="preserve"> </w:t>
      </w:r>
      <w:r>
        <w:t>blinded</w:t>
      </w:r>
      <w:r>
        <w:rPr>
          <w:spacing w:val="27"/>
        </w:rPr>
        <w:t xml:space="preserve"> </w:t>
      </w:r>
      <w:r>
        <w:t>fashion</w:t>
      </w:r>
      <w:r>
        <w:rPr>
          <w:spacing w:val="27"/>
        </w:rPr>
        <w:t xml:space="preserve"> </w:t>
      </w:r>
      <w:r>
        <w:t>to</w:t>
      </w:r>
      <w:r>
        <w:rPr>
          <w:spacing w:val="27"/>
        </w:rPr>
        <w:t xml:space="preserve"> </w:t>
      </w:r>
      <w:r>
        <w:t>a</w:t>
      </w:r>
      <w:r>
        <w:rPr>
          <w:spacing w:val="25"/>
        </w:rPr>
        <w:t xml:space="preserve"> </w:t>
      </w:r>
      <w:r>
        <w:t>second</w:t>
      </w:r>
      <w:r>
        <w:rPr>
          <w:spacing w:val="40"/>
        </w:rPr>
        <w:t xml:space="preserve"> </w:t>
      </w:r>
      <w:r>
        <w:t>predetermined</w:t>
      </w:r>
      <w:r>
        <w:rPr>
          <w:spacing w:val="40"/>
        </w:rPr>
        <w:t xml:space="preserve"> </w:t>
      </w:r>
      <w:r>
        <w:t>treatment</w:t>
      </w:r>
      <w:r>
        <w:rPr>
          <w:spacing w:val="35"/>
        </w:rPr>
        <w:t xml:space="preserve"> </w:t>
      </w:r>
      <w:r>
        <w:t>of</w:t>
      </w:r>
      <w:r>
        <w:rPr>
          <w:spacing w:val="37"/>
        </w:rPr>
        <w:t xml:space="preserve"> </w:t>
      </w:r>
      <w:r>
        <w:t>XELJANZ</w:t>
      </w:r>
      <w:r>
        <w:rPr>
          <w:spacing w:val="30"/>
        </w:rPr>
        <w:t xml:space="preserve"> </w:t>
      </w:r>
      <w:r>
        <w:t>5</w:t>
      </w:r>
      <w:r>
        <w:rPr>
          <w:spacing w:val="-2"/>
        </w:rPr>
        <w:t xml:space="preserve"> </w:t>
      </w:r>
      <w:r>
        <w:t>mg</w:t>
      </w:r>
      <w:r>
        <w:rPr>
          <w:spacing w:val="27"/>
        </w:rPr>
        <w:t xml:space="preserve"> </w:t>
      </w:r>
      <w:r>
        <w:t>or 10</w:t>
      </w:r>
      <w:r>
        <w:rPr>
          <w:spacing w:val="-1"/>
        </w:rPr>
        <w:t xml:space="preserve"> </w:t>
      </w:r>
      <w:r>
        <w:t>mg twice daily. The primary endpoints at Month</w:t>
      </w:r>
      <w:r>
        <w:rPr>
          <w:spacing w:val="-1"/>
        </w:rPr>
        <w:t xml:space="preserve"> </w:t>
      </w:r>
      <w:r>
        <w:t>3 were the proportion of patients who achieved an ACR20 response, HAQ-DI, and DAS28-4(ESR)&lt;2.6.</w:t>
      </w:r>
    </w:p>
    <w:p w14:paraId="5AB96463" w14:textId="77777777" w:rsidR="001825E2" w:rsidRDefault="000839A5" w:rsidP="00CB00A7">
      <w:pPr>
        <w:pStyle w:val="BodyText"/>
        <w:spacing w:before="227" w:line="242" w:lineRule="auto"/>
        <w:ind w:left="218" w:right="205" w:firstLine="1"/>
        <w:jc w:val="left"/>
      </w:pPr>
      <w:r>
        <w:t>Study VI (A3921069/ORAL Start) was a 2-year monotherapy study with a planned</w:t>
      </w:r>
      <w:r>
        <w:rPr>
          <w:spacing w:val="29"/>
        </w:rPr>
        <w:t xml:space="preserve"> </w:t>
      </w:r>
      <w:r>
        <w:t>analysis at 1 year in which 956 MTX-naïve patients with moderate to severe active RA received XELJANZ</w:t>
      </w:r>
      <w:r>
        <w:rPr>
          <w:spacing w:val="15"/>
        </w:rPr>
        <w:t xml:space="preserve"> </w:t>
      </w:r>
      <w:r>
        <w:t>5</w:t>
      </w:r>
      <w:r>
        <w:rPr>
          <w:spacing w:val="14"/>
        </w:rPr>
        <w:t xml:space="preserve"> </w:t>
      </w:r>
      <w:r>
        <w:t>mg</w:t>
      </w:r>
      <w:r>
        <w:rPr>
          <w:spacing w:val="14"/>
        </w:rPr>
        <w:t xml:space="preserve"> </w:t>
      </w:r>
      <w:r>
        <w:t>or</w:t>
      </w:r>
      <w:r>
        <w:rPr>
          <w:spacing w:val="9"/>
        </w:rPr>
        <w:t xml:space="preserve"> </w:t>
      </w:r>
      <w:r>
        <w:t>10</w:t>
      </w:r>
      <w:r>
        <w:rPr>
          <w:spacing w:val="15"/>
        </w:rPr>
        <w:t xml:space="preserve"> </w:t>
      </w:r>
      <w:r>
        <w:t>mg twice</w:t>
      </w:r>
      <w:r>
        <w:rPr>
          <w:spacing w:val="-2"/>
        </w:rPr>
        <w:t xml:space="preserve"> </w:t>
      </w:r>
      <w:r>
        <w:t>daily</w:t>
      </w:r>
      <w:r>
        <w:rPr>
          <w:spacing w:val="14"/>
        </w:rPr>
        <w:t xml:space="preserve"> </w:t>
      </w:r>
      <w:r>
        <w:t>or</w:t>
      </w:r>
      <w:r>
        <w:rPr>
          <w:spacing w:val="10"/>
        </w:rPr>
        <w:t xml:space="preserve"> </w:t>
      </w:r>
      <w:r>
        <w:t>MTX</w:t>
      </w:r>
      <w:r>
        <w:rPr>
          <w:spacing w:val="21"/>
        </w:rPr>
        <w:t xml:space="preserve"> </w:t>
      </w:r>
      <w:r>
        <w:t>dose-titrated</w:t>
      </w:r>
      <w:r>
        <w:rPr>
          <w:spacing w:val="14"/>
        </w:rPr>
        <w:t xml:space="preserve"> </w:t>
      </w:r>
      <w:r>
        <w:t>over</w:t>
      </w:r>
      <w:r>
        <w:rPr>
          <w:spacing w:val="10"/>
        </w:rPr>
        <w:t xml:space="preserve"> </w:t>
      </w:r>
      <w:r>
        <w:t>8</w:t>
      </w:r>
      <w:r>
        <w:rPr>
          <w:spacing w:val="15"/>
        </w:rPr>
        <w:t xml:space="preserve"> </w:t>
      </w:r>
      <w:r>
        <w:t>weeks</w:t>
      </w:r>
      <w:r>
        <w:rPr>
          <w:spacing w:val="-4"/>
        </w:rPr>
        <w:t xml:space="preserve"> </w:t>
      </w:r>
      <w:r>
        <w:t>from</w:t>
      </w:r>
      <w:r>
        <w:rPr>
          <w:spacing w:val="7"/>
        </w:rPr>
        <w:t xml:space="preserve"> </w:t>
      </w:r>
      <w:r>
        <w:t>10</w:t>
      </w:r>
      <w:r>
        <w:rPr>
          <w:spacing w:val="14"/>
        </w:rPr>
        <w:t xml:space="preserve"> </w:t>
      </w:r>
      <w:r>
        <w:t>mg</w:t>
      </w:r>
      <w:r>
        <w:rPr>
          <w:spacing w:val="14"/>
        </w:rPr>
        <w:t xml:space="preserve"> </w:t>
      </w:r>
      <w:r>
        <w:t>to</w:t>
      </w:r>
      <w:r>
        <w:rPr>
          <w:spacing w:val="15"/>
        </w:rPr>
        <w:t xml:space="preserve"> </w:t>
      </w:r>
      <w:proofErr w:type="gramStart"/>
      <w:r>
        <w:rPr>
          <w:spacing w:val="-5"/>
        </w:rPr>
        <w:t>20</w:t>
      </w:r>
      <w:proofErr w:type="gramEnd"/>
    </w:p>
    <w:p w14:paraId="154D181D" w14:textId="77777777" w:rsidR="001825E2" w:rsidRDefault="001825E2" w:rsidP="00CB00A7">
      <w:pPr>
        <w:spacing w:line="242" w:lineRule="auto"/>
        <w:sectPr w:rsidR="001825E2">
          <w:pgSz w:w="11910" w:h="16850"/>
          <w:pgMar w:top="1360" w:right="1220" w:bottom="980" w:left="1220" w:header="0" w:footer="785" w:gutter="0"/>
          <w:cols w:space="720"/>
        </w:sectPr>
      </w:pPr>
    </w:p>
    <w:p w14:paraId="49A2C476" w14:textId="77777777" w:rsidR="001825E2" w:rsidRDefault="000839A5" w:rsidP="00CB00A7">
      <w:pPr>
        <w:pStyle w:val="BodyText"/>
        <w:spacing w:before="80" w:line="235" w:lineRule="auto"/>
        <w:ind w:left="219" w:right="234"/>
        <w:jc w:val="left"/>
      </w:pPr>
      <w:r>
        <w:lastRenderedPageBreak/>
        <w:t>mg</w:t>
      </w:r>
      <w:r>
        <w:rPr>
          <w:spacing w:val="-1"/>
        </w:rPr>
        <w:t xml:space="preserve"> </w:t>
      </w:r>
      <w:r>
        <w:t>weekly. The</w:t>
      </w:r>
      <w:r>
        <w:rPr>
          <w:spacing w:val="-3"/>
        </w:rPr>
        <w:t xml:space="preserve"> </w:t>
      </w:r>
      <w:r>
        <w:t>primary endpoints</w:t>
      </w:r>
      <w:r>
        <w:rPr>
          <w:spacing w:val="-5"/>
        </w:rPr>
        <w:t xml:space="preserve"> </w:t>
      </w:r>
      <w:r>
        <w:t>were</w:t>
      </w:r>
      <w:r>
        <w:rPr>
          <w:spacing w:val="-3"/>
        </w:rPr>
        <w:t xml:space="preserve"> </w:t>
      </w:r>
      <w:r>
        <w:t>mean</w:t>
      </w:r>
      <w:r>
        <w:rPr>
          <w:spacing w:val="-1"/>
        </w:rPr>
        <w:t xml:space="preserve"> </w:t>
      </w:r>
      <w:r>
        <w:t>change</w:t>
      </w:r>
      <w:r>
        <w:rPr>
          <w:spacing w:val="-3"/>
        </w:rPr>
        <w:t xml:space="preserve"> </w:t>
      </w:r>
      <w:r>
        <w:t>from</w:t>
      </w:r>
      <w:r>
        <w:rPr>
          <w:spacing w:val="-8"/>
        </w:rPr>
        <w:t xml:space="preserve"> </w:t>
      </w:r>
      <w:r>
        <w:t>baseline in</w:t>
      </w:r>
      <w:r>
        <w:rPr>
          <w:spacing w:val="-1"/>
        </w:rPr>
        <w:t xml:space="preserve"> </w:t>
      </w:r>
      <w:r>
        <w:t>van</w:t>
      </w:r>
      <w:r>
        <w:rPr>
          <w:spacing w:val="-1"/>
        </w:rPr>
        <w:t xml:space="preserve"> </w:t>
      </w:r>
      <w:r>
        <w:t>der</w:t>
      </w:r>
      <w:r>
        <w:rPr>
          <w:spacing w:val="-6"/>
        </w:rPr>
        <w:t xml:space="preserve"> </w:t>
      </w:r>
      <w:proofErr w:type="spellStart"/>
      <w:r>
        <w:t>Heijde</w:t>
      </w:r>
      <w:proofErr w:type="spellEnd"/>
      <w:r>
        <w:rPr>
          <w:spacing w:val="-2"/>
        </w:rPr>
        <w:t xml:space="preserve"> </w:t>
      </w:r>
      <w:proofErr w:type="spellStart"/>
      <w:r>
        <w:t>mTSS</w:t>
      </w:r>
      <w:proofErr w:type="spellEnd"/>
      <w:r>
        <w:t xml:space="preserve"> at Month</w:t>
      </w:r>
      <w:r>
        <w:rPr>
          <w:spacing w:val="-8"/>
        </w:rPr>
        <w:t xml:space="preserve"> </w:t>
      </w:r>
      <w:r>
        <w:t>6 and the proportion of patients who</w:t>
      </w:r>
      <w:r>
        <w:rPr>
          <w:spacing w:val="-8"/>
        </w:rPr>
        <w:t xml:space="preserve"> </w:t>
      </w:r>
      <w:r>
        <w:t>achieved an ACR70</w:t>
      </w:r>
      <w:r>
        <w:rPr>
          <w:spacing w:val="-8"/>
        </w:rPr>
        <w:t xml:space="preserve"> </w:t>
      </w:r>
      <w:r>
        <w:t>response at Month</w:t>
      </w:r>
      <w:r>
        <w:rPr>
          <w:spacing w:val="-8"/>
        </w:rPr>
        <w:t xml:space="preserve"> </w:t>
      </w:r>
      <w:r>
        <w:t>6.</w:t>
      </w:r>
    </w:p>
    <w:p w14:paraId="0457B7FD" w14:textId="77777777" w:rsidR="001825E2" w:rsidRDefault="000839A5" w:rsidP="00CB00A7">
      <w:pPr>
        <w:pStyle w:val="BodyText"/>
        <w:spacing w:before="250"/>
        <w:ind w:left="215" w:right="204" w:firstLine="4"/>
        <w:jc w:val="left"/>
      </w:pPr>
      <w:r>
        <w:t xml:space="preserve">Study VII (A3921133/PASS) was a large </w:t>
      </w:r>
      <w:proofErr w:type="spellStart"/>
      <w:r>
        <w:t>randomised</w:t>
      </w:r>
      <w:proofErr w:type="spellEnd"/>
      <w:r>
        <w:t xml:space="preserve"> open-label study in RA patients who were 50 years or older with at least one additional cardiovascular risk factor and on a stable dose of methotrexate. Patients were treated with tofacitinib 5 mg twice daily, tofacitinib 10 mg twice daily or a</w:t>
      </w:r>
      <w:r>
        <w:rPr>
          <w:spacing w:val="28"/>
        </w:rPr>
        <w:t xml:space="preserve"> </w:t>
      </w:r>
      <w:r>
        <w:t>TNF inhibitor. Notably,</w:t>
      </w:r>
      <w:r>
        <w:rPr>
          <w:spacing w:val="30"/>
        </w:rPr>
        <w:t xml:space="preserve"> </w:t>
      </w:r>
      <w:r>
        <w:t>in February 2019, the dose of</w:t>
      </w:r>
      <w:r>
        <w:rPr>
          <w:spacing w:val="25"/>
        </w:rPr>
        <w:t xml:space="preserve"> </w:t>
      </w:r>
      <w:r>
        <w:t>tofacitinib in the 10 mg twice daily arm of the study was reduced</w:t>
      </w:r>
      <w:r>
        <w:rPr>
          <w:spacing w:val="30"/>
        </w:rPr>
        <w:t xml:space="preserve"> </w:t>
      </w:r>
      <w:r>
        <w:t>to 5 mg twice</w:t>
      </w:r>
      <w:r>
        <w:rPr>
          <w:spacing w:val="-2"/>
        </w:rPr>
        <w:t xml:space="preserve"> </w:t>
      </w:r>
      <w:r>
        <w:t>daily after it was</w:t>
      </w:r>
      <w:r>
        <w:rPr>
          <w:spacing w:val="-4"/>
        </w:rPr>
        <w:t xml:space="preserve"> </w:t>
      </w:r>
      <w:r>
        <w:t>determined that the</w:t>
      </w:r>
      <w:r>
        <w:rPr>
          <w:spacing w:val="-2"/>
        </w:rPr>
        <w:t xml:space="preserve"> </w:t>
      </w:r>
      <w:r>
        <w:t>frequency of pulmonary embolism</w:t>
      </w:r>
      <w:r>
        <w:rPr>
          <w:spacing w:val="-7"/>
        </w:rPr>
        <w:t xml:space="preserve"> </w:t>
      </w:r>
      <w:r>
        <w:t>was increased in the</w:t>
      </w:r>
      <w:r>
        <w:rPr>
          <w:spacing w:val="-2"/>
        </w:rPr>
        <w:t xml:space="preserve"> </w:t>
      </w:r>
      <w:r>
        <w:t>tofacitinib 10 mg twice</w:t>
      </w:r>
      <w:r>
        <w:rPr>
          <w:spacing w:val="-2"/>
        </w:rPr>
        <w:t xml:space="preserve"> </w:t>
      </w:r>
      <w:r>
        <w:t xml:space="preserve">daily </w:t>
      </w:r>
      <w:r>
        <w:t>treatment arm</w:t>
      </w:r>
      <w:r>
        <w:rPr>
          <w:spacing w:val="-9"/>
        </w:rPr>
        <w:t xml:space="preserve"> </w:t>
      </w:r>
      <w:r>
        <w:t>versus</w:t>
      </w:r>
      <w:r>
        <w:rPr>
          <w:spacing w:val="-6"/>
        </w:rPr>
        <w:t xml:space="preserve"> </w:t>
      </w:r>
      <w:r>
        <w:t>the TNF</w:t>
      </w:r>
      <w:r>
        <w:rPr>
          <w:spacing w:val="-1"/>
        </w:rPr>
        <w:t xml:space="preserve"> </w:t>
      </w:r>
      <w:r>
        <w:t>inhibitor.</w:t>
      </w:r>
      <w:r>
        <w:rPr>
          <w:spacing w:val="-2"/>
        </w:rPr>
        <w:t xml:space="preserve"> </w:t>
      </w:r>
      <w:r>
        <w:t>Additionally,</w:t>
      </w:r>
      <w:r>
        <w:rPr>
          <w:spacing w:val="-2"/>
        </w:rPr>
        <w:t xml:space="preserve"> </w:t>
      </w:r>
      <w:r>
        <w:t>all-cause</w:t>
      </w:r>
      <w:r>
        <w:rPr>
          <w:spacing w:val="-4"/>
        </w:rPr>
        <w:t xml:space="preserve"> </w:t>
      </w:r>
      <w:r>
        <w:t>mortality</w:t>
      </w:r>
      <w:r>
        <w:rPr>
          <w:spacing w:val="-2"/>
        </w:rPr>
        <w:t xml:space="preserve"> </w:t>
      </w:r>
      <w:r>
        <w:t>was</w:t>
      </w:r>
      <w:r>
        <w:rPr>
          <w:spacing w:val="-6"/>
        </w:rPr>
        <w:t xml:space="preserve"> </w:t>
      </w:r>
      <w:r>
        <w:t>increased in</w:t>
      </w:r>
      <w:r>
        <w:rPr>
          <w:spacing w:val="-2"/>
        </w:rPr>
        <w:t xml:space="preserve"> </w:t>
      </w:r>
      <w:r>
        <w:t>the tofacitinib 10 mg twice daily treatment arm versus the TNF inhibitor and tofacitinib 5 mg twice daily treatment</w:t>
      </w:r>
      <w:r>
        <w:rPr>
          <w:spacing w:val="40"/>
        </w:rPr>
        <w:t xml:space="preserve"> </w:t>
      </w:r>
      <w:r>
        <w:t xml:space="preserve">arms. In the final study data, patients in the tofacitinib 10 mg twice daily treatment arm were </w:t>
      </w:r>
      <w:proofErr w:type="spellStart"/>
      <w:r>
        <w:t>analysed</w:t>
      </w:r>
      <w:proofErr w:type="spellEnd"/>
      <w:r>
        <w:t xml:space="preserve"> in their originally </w:t>
      </w:r>
      <w:proofErr w:type="spellStart"/>
      <w:r>
        <w:t>randomised</w:t>
      </w:r>
      <w:proofErr w:type="spellEnd"/>
      <w:r>
        <w:t xml:space="preserve"> treatment group. Results from</w:t>
      </w:r>
      <w:r>
        <w:rPr>
          <w:spacing w:val="-4"/>
        </w:rPr>
        <w:t xml:space="preserve"> </w:t>
      </w:r>
      <w:r>
        <w:t>final</w:t>
      </w:r>
      <w:r>
        <w:rPr>
          <w:spacing w:val="-4"/>
        </w:rPr>
        <w:t xml:space="preserve"> </w:t>
      </w:r>
      <w:r>
        <w:t>safety data from</w:t>
      </w:r>
      <w:r>
        <w:rPr>
          <w:spacing w:val="-4"/>
        </w:rPr>
        <w:t xml:space="preserve"> </w:t>
      </w:r>
      <w:r>
        <w:t>the study for</w:t>
      </w:r>
      <w:r>
        <w:rPr>
          <w:spacing w:val="-2"/>
        </w:rPr>
        <w:t xml:space="preserve"> </w:t>
      </w:r>
      <w:r>
        <w:t>selected events</w:t>
      </w:r>
      <w:r>
        <w:rPr>
          <w:spacing w:val="-1"/>
        </w:rPr>
        <w:t xml:space="preserve"> </w:t>
      </w:r>
      <w:r>
        <w:t>are presented in Section 4.8 Adverse Effects (Undesirable Effects).</w:t>
      </w:r>
    </w:p>
    <w:p w14:paraId="343A2593" w14:textId="77777777" w:rsidR="001825E2" w:rsidRDefault="000839A5" w:rsidP="00CB00A7">
      <w:pPr>
        <w:spacing w:before="243"/>
        <w:ind w:left="215"/>
        <w:rPr>
          <w:i/>
          <w:sz w:val="24"/>
        </w:rPr>
      </w:pPr>
      <w:r>
        <w:rPr>
          <w:i/>
          <w:sz w:val="24"/>
        </w:rPr>
        <w:t>Clinical</w:t>
      </w:r>
      <w:r>
        <w:rPr>
          <w:i/>
          <w:spacing w:val="2"/>
          <w:sz w:val="24"/>
        </w:rPr>
        <w:t xml:space="preserve"> </w:t>
      </w:r>
      <w:r>
        <w:rPr>
          <w:i/>
          <w:spacing w:val="-2"/>
          <w:sz w:val="24"/>
        </w:rPr>
        <w:t>Response</w:t>
      </w:r>
    </w:p>
    <w:p w14:paraId="35C048E0" w14:textId="77777777" w:rsidR="001825E2" w:rsidRDefault="000839A5" w:rsidP="00CB00A7">
      <w:pPr>
        <w:pStyle w:val="BodyText"/>
        <w:spacing w:before="114"/>
        <w:ind w:left="220"/>
        <w:jc w:val="left"/>
      </w:pPr>
      <w:r>
        <w:rPr>
          <w:u w:val="single"/>
        </w:rPr>
        <w:t xml:space="preserve">ACR </w:t>
      </w:r>
      <w:r>
        <w:rPr>
          <w:spacing w:val="-2"/>
          <w:u w:val="single"/>
        </w:rPr>
        <w:t>Response</w:t>
      </w:r>
    </w:p>
    <w:p w14:paraId="2CB8965D" w14:textId="77777777" w:rsidR="001825E2" w:rsidRDefault="000839A5" w:rsidP="00CB00A7">
      <w:pPr>
        <w:pStyle w:val="BodyText"/>
        <w:spacing w:before="114" w:line="242" w:lineRule="auto"/>
        <w:ind w:left="218" w:right="199" w:firstLine="1"/>
        <w:jc w:val="left"/>
      </w:pPr>
      <w:r>
        <w:t>The percentages of XELJANZ-treated patients achieving ACR20, ACR50 and ACR70 responses</w:t>
      </w:r>
      <w:r>
        <w:rPr>
          <w:spacing w:val="40"/>
        </w:rPr>
        <w:t xml:space="preserve"> </w:t>
      </w:r>
      <w:r>
        <w:t>in Studies</w:t>
      </w:r>
      <w:r>
        <w:rPr>
          <w:spacing w:val="-6"/>
        </w:rPr>
        <w:t xml:space="preserve"> </w:t>
      </w:r>
      <w:r>
        <w:t>I,</w:t>
      </w:r>
      <w:r>
        <w:rPr>
          <w:spacing w:val="-15"/>
        </w:rPr>
        <w:t xml:space="preserve"> </w:t>
      </w:r>
      <w:r>
        <w:t>II,</w:t>
      </w:r>
      <w:r>
        <w:rPr>
          <w:spacing w:val="-3"/>
        </w:rPr>
        <w:t xml:space="preserve"> </w:t>
      </w:r>
      <w:r>
        <w:t>III,</w:t>
      </w:r>
      <w:r>
        <w:rPr>
          <w:spacing w:val="-2"/>
        </w:rPr>
        <w:t xml:space="preserve"> </w:t>
      </w:r>
      <w:r>
        <w:t>IV,</w:t>
      </w:r>
      <w:r>
        <w:rPr>
          <w:spacing w:val="-3"/>
        </w:rPr>
        <w:t xml:space="preserve"> </w:t>
      </w:r>
      <w:r>
        <w:t>and V</w:t>
      </w:r>
      <w:r>
        <w:rPr>
          <w:spacing w:val="40"/>
        </w:rPr>
        <w:t xml:space="preserve"> </w:t>
      </w:r>
      <w:r>
        <w:t>are shown in Table</w:t>
      </w:r>
      <w:r>
        <w:rPr>
          <w:spacing w:val="-4"/>
        </w:rPr>
        <w:t xml:space="preserve"> </w:t>
      </w:r>
      <w:r>
        <w:t>6. Results are provided</w:t>
      </w:r>
      <w:r>
        <w:rPr>
          <w:spacing w:val="40"/>
        </w:rPr>
        <w:t xml:space="preserve"> </w:t>
      </w:r>
      <w:r>
        <w:t>for XELJANZ 5 mg</w:t>
      </w:r>
      <w:r>
        <w:rPr>
          <w:spacing w:val="40"/>
        </w:rPr>
        <w:t xml:space="preserve"> </w:t>
      </w:r>
      <w:r>
        <w:t>twice daily.</w:t>
      </w:r>
    </w:p>
    <w:p w14:paraId="406D3139" w14:textId="77777777" w:rsidR="001825E2" w:rsidRDefault="000839A5" w:rsidP="00CB00A7">
      <w:pPr>
        <w:pStyle w:val="BodyText"/>
        <w:spacing w:before="246" w:line="237" w:lineRule="auto"/>
        <w:ind w:left="216" w:right="205" w:firstLine="1"/>
        <w:jc w:val="left"/>
      </w:pPr>
      <w:r>
        <w:t>In</w:t>
      </w:r>
      <w:r>
        <w:rPr>
          <w:spacing w:val="-3"/>
        </w:rPr>
        <w:t xml:space="preserve"> </w:t>
      </w:r>
      <w:r>
        <w:t>Studies</w:t>
      </w:r>
      <w:r>
        <w:rPr>
          <w:spacing w:val="-7"/>
        </w:rPr>
        <w:t xml:space="preserve"> </w:t>
      </w:r>
      <w:r>
        <w:t>I and V,</w:t>
      </w:r>
      <w:r>
        <w:rPr>
          <w:spacing w:val="-3"/>
        </w:rPr>
        <w:t xml:space="preserve"> </w:t>
      </w:r>
      <w:r>
        <w:t>patients</w:t>
      </w:r>
      <w:r>
        <w:rPr>
          <w:spacing w:val="-7"/>
        </w:rPr>
        <w:t xml:space="preserve"> </w:t>
      </w:r>
      <w:r>
        <w:t>treated with</w:t>
      </w:r>
      <w:r>
        <w:rPr>
          <w:spacing w:val="-3"/>
        </w:rPr>
        <w:t xml:space="preserve"> </w:t>
      </w:r>
      <w:r>
        <w:t>5</w:t>
      </w:r>
      <w:r>
        <w:rPr>
          <w:spacing w:val="-3"/>
        </w:rPr>
        <w:t xml:space="preserve"> </w:t>
      </w:r>
      <w:r>
        <w:t>mg</w:t>
      </w:r>
      <w:r>
        <w:rPr>
          <w:spacing w:val="-3"/>
        </w:rPr>
        <w:t xml:space="preserve"> </w:t>
      </w:r>
      <w:r>
        <w:t>twice</w:t>
      </w:r>
      <w:r>
        <w:rPr>
          <w:spacing w:val="-5"/>
        </w:rPr>
        <w:t xml:space="preserve"> </w:t>
      </w:r>
      <w:r>
        <w:t>daily</w:t>
      </w:r>
      <w:r>
        <w:rPr>
          <w:spacing w:val="-3"/>
        </w:rPr>
        <w:t xml:space="preserve"> </w:t>
      </w:r>
      <w:r>
        <w:t>XELJANZ had statistically</w:t>
      </w:r>
      <w:r>
        <w:rPr>
          <w:spacing w:val="-3"/>
        </w:rPr>
        <w:t xml:space="preserve"> </w:t>
      </w:r>
      <w:r>
        <w:t>superior ACR20, ACR50, and ACR70 response rates at Month</w:t>
      </w:r>
      <w:r>
        <w:rPr>
          <w:spacing w:val="-2"/>
        </w:rPr>
        <w:t xml:space="preserve"> </w:t>
      </w:r>
      <w:r>
        <w:t>3 vs. placebo-treated patients. In Studies</w:t>
      </w:r>
      <w:r>
        <w:rPr>
          <w:spacing w:val="-5"/>
        </w:rPr>
        <w:t xml:space="preserve"> </w:t>
      </w:r>
      <w:r>
        <w:t>II,</w:t>
      </w:r>
      <w:r>
        <w:rPr>
          <w:spacing w:val="-15"/>
        </w:rPr>
        <w:t xml:space="preserve"> </w:t>
      </w:r>
      <w:r>
        <w:t>III and</w:t>
      </w:r>
      <w:r>
        <w:rPr>
          <w:spacing w:val="-1"/>
        </w:rPr>
        <w:t xml:space="preserve"> </w:t>
      </w:r>
      <w:r>
        <w:t>IV, patients treated with 5 mg twice daily XELJANZ had statistically superior ACR20, ACR50, and ACR70 response rates at Months</w:t>
      </w:r>
      <w:r>
        <w:rPr>
          <w:spacing w:val="-6"/>
        </w:rPr>
        <w:t xml:space="preserve"> </w:t>
      </w:r>
      <w:r>
        <w:t>3</w:t>
      </w:r>
      <w:r>
        <w:rPr>
          <w:spacing w:val="-2"/>
        </w:rPr>
        <w:t xml:space="preserve"> </w:t>
      </w:r>
      <w:r>
        <w:t>and 6 vs placebo-treated patients (Table</w:t>
      </w:r>
      <w:r>
        <w:rPr>
          <w:spacing w:val="40"/>
        </w:rPr>
        <w:t xml:space="preserve"> </w:t>
      </w:r>
      <w:r>
        <w:t>6).</w:t>
      </w:r>
    </w:p>
    <w:p w14:paraId="38061D77" w14:textId="77777777" w:rsidR="001825E2" w:rsidRDefault="000839A5" w:rsidP="00CB00A7">
      <w:pPr>
        <w:pStyle w:val="BodyText"/>
        <w:spacing w:before="252"/>
        <w:ind w:left="216"/>
        <w:jc w:val="left"/>
      </w:pPr>
      <w:r>
        <w:t>In</w:t>
      </w:r>
      <w:r>
        <w:rPr>
          <w:spacing w:val="-16"/>
        </w:rPr>
        <w:t xml:space="preserve"> </w:t>
      </w:r>
      <w:r>
        <w:t>Study</w:t>
      </w:r>
      <w:r>
        <w:rPr>
          <w:spacing w:val="-14"/>
        </w:rPr>
        <w:t xml:space="preserve"> </w:t>
      </w:r>
      <w:r>
        <w:t>IV,</w:t>
      </w:r>
      <w:r>
        <w:rPr>
          <w:spacing w:val="-13"/>
        </w:rPr>
        <w:t xml:space="preserve"> </w:t>
      </w:r>
      <w:r>
        <w:t>ACR20/50/70</w:t>
      </w:r>
      <w:r>
        <w:rPr>
          <w:spacing w:val="-14"/>
        </w:rPr>
        <w:t xml:space="preserve"> </w:t>
      </w:r>
      <w:r>
        <w:t>response</w:t>
      </w:r>
      <w:r>
        <w:rPr>
          <w:spacing w:val="15"/>
        </w:rPr>
        <w:t xml:space="preserve"> </w:t>
      </w:r>
      <w:r>
        <w:t>rates</w:t>
      </w:r>
      <w:r>
        <w:rPr>
          <w:spacing w:val="13"/>
        </w:rPr>
        <w:t xml:space="preserve"> </w:t>
      </w:r>
      <w:r>
        <w:t>at</w:t>
      </w:r>
      <w:r>
        <w:rPr>
          <w:spacing w:val="-5"/>
        </w:rPr>
        <w:t xml:space="preserve"> </w:t>
      </w:r>
      <w:r>
        <w:t>Month</w:t>
      </w:r>
      <w:r>
        <w:rPr>
          <w:spacing w:val="2"/>
        </w:rPr>
        <w:t xml:space="preserve"> </w:t>
      </w:r>
      <w:r>
        <w:t>12</w:t>
      </w:r>
      <w:r>
        <w:rPr>
          <w:spacing w:val="2"/>
        </w:rPr>
        <w:t xml:space="preserve"> </w:t>
      </w:r>
      <w:r>
        <w:t>were maintained</w:t>
      </w:r>
      <w:r>
        <w:rPr>
          <w:spacing w:val="17"/>
        </w:rPr>
        <w:t xml:space="preserve"> </w:t>
      </w:r>
      <w:r>
        <w:t>through</w:t>
      </w:r>
      <w:r>
        <w:rPr>
          <w:spacing w:val="2"/>
        </w:rPr>
        <w:t xml:space="preserve"> </w:t>
      </w:r>
      <w:r>
        <w:t>Month</w:t>
      </w:r>
      <w:r>
        <w:rPr>
          <w:spacing w:val="2"/>
        </w:rPr>
        <w:t xml:space="preserve"> </w:t>
      </w:r>
      <w:r>
        <w:rPr>
          <w:spacing w:val="-5"/>
        </w:rPr>
        <w:t>24.</w:t>
      </w:r>
    </w:p>
    <w:p w14:paraId="5DA53C30" w14:textId="77777777" w:rsidR="001825E2" w:rsidRDefault="000839A5" w:rsidP="00CB00A7">
      <w:pPr>
        <w:pStyle w:val="BodyText"/>
        <w:spacing w:before="234" w:line="242" w:lineRule="auto"/>
        <w:ind w:left="216" w:right="221"/>
        <w:jc w:val="left"/>
      </w:pPr>
      <w:r>
        <w:t>In</w:t>
      </w:r>
      <w:r>
        <w:rPr>
          <w:spacing w:val="-3"/>
        </w:rPr>
        <w:t xml:space="preserve"> </w:t>
      </w:r>
      <w:r>
        <w:t>Studies</w:t>
      </w:r>
      <w:r>
        <w:rPr>
          <w:spacing w:val="-7"/>
        </w:rPr>
        <w:t xml:space="preserve"> </w:t>
      </w:r>
      <w:r>
        <w:t>I,</w:t>
      </w:r>
      <w:r>
        <w:rPr>
          <w:spacing w:val="-3"/>
        </w:rPr>
        <w:t xml:space="preserve"> </w:t>
      </w:r>
      <w:r>
        <w:t>II and V,</w:t>
      </w:r>
      <w:r>
        <w:rPr>
          <w:spacing w:val="-3"/>
        </w:rPr>
        <w:t xml:space="preserve"> </w:t>
      </w:r>
      <w:r>
        <w:t>improvement in ACR20</w:t>
      </w:r>
      <w:r>
        <w:rPr>
          <w:spacing w:val="-3"/>
        </w:rPr>
        <w:t xml:space="preserve"> </w:t>
      </w:r>
      <w:r>
        <w:t>response rate</w:t>
      </w:r>
      <w:r>
        <w:rPr>
          <w:spacing w:val="-5"/>
        </w:rPr>
        <w:t xml:space="preserve"> </w:t>
      </w:r>
      <w:r>
        <w:t>vs.</w:t>
      </w:r>
      <w:r>
        <w:rPr>
          <w:spacing w:val="-3"/>
        </w:rPr>
        <w:t xml:space="preserve"> </w:t>
      </w:r>
      <w:r>
        <w:t>placebo was</w:t>
      </w:r>
      <w:r>
        <w:rPr>
          <w:spacing w:val="-7"/>
        </w:rPr>
        <w:t xml:space="preserve"> </w:t>
      </w:r>
      <w:r>
        <w:t>observed within 2 weeks. In Study</w:t>
      </w:r>
      <w:r>
        <w:rPr>
          <w:spacing w:val="-15"/>
        </w:rPr>
        <w:t xml:space="preserve"> </w:t>
      </w:r>
      <w:r>
        <w:t>III the proportion achieving an ACR20 response at Month 6; change in HAQ-DI</w:t>
      </w:r>
      <w:r>
        <w:rPr>
          <w:spacing w:val="9"/>
        </w:rPr>
        <w:t xml:space="preserve"> </w:t>
      </w:r>
      <w:r>
        <w:t>at</w:t>
      </w:r>
      <w:r>
        <w:rPr>
          <w:spacing w:val="7"/>
        </w:rPr>
        <w:t xml:space="preserve"> </w:t>
      </w:r>
      <w:r>
        <w:t>Month</w:t>
      </w:r>
      <w:r>
        <w:rPr>
          <w:spacing w:val="-1"/>
        </w:rPr>
        <w:t xml:space="preserve"> </w:t>
      </w:r>
      <w:r>
        <w:t>3, and</w:t>
      </w:r>
      <w:r>
        <w:rPr>
          <w:spacing w:val="14"/>
        </w:rPr>
        <w:t xml:space="preserve"> </w:t>
      </w:r>
      <w:r>
        <w:t>DAS28-4(ESR)</w:t>
      </w:r>
      <w:r>
        <w:rPr>
          <w:spacing w:val="-6"/>
        </w:rPr>
        <w:t xml:space="preserve"> </w:t>
      </w:r>
      <w:r>
        <w:t>&lt;2.6</w:t>
      </w:r>
      <w:r>
        <w:rPr>
          <w:spacing w:val="-1"/>
        </w:rPr>
        <w:t xml:space="preserve"> </w:t>
      </w:r>
      <w:r>
        <w:t>at</w:t>
      </w:r>
      <w:r>
        <w:rPr>
          <w:spacing w:val="8"/>
        </w:rPr>
        <w:t xml:space="preserve"> </w:t>
      </w:r>
      <w:r>
        <w:t>Month</w:t>
      </w:r>
      <w:r>
        <w:rPr>
          <w:spacing w:val="-2"/>
        </w:rPr>
        <w:t xml:space="preserve"> </w:t>
      </w:r>
      <w:r>
        <w:t>6</w:t>
      </w:r>
      <w:r>
        <w:rPr>
          <w:spacing w:val="-1"/>
        </w:rPr>
        <w:t xml:space="preserve"> </w:t>
      </w:r>
      <w:r>
        <w:t>were</w:t>
      </w:r>
      <w:r>
        <w:rPr>
          <w:spacing w:val="-2"/>
        </w:rPr>
        <w:t xml:space="preserve"> </w:t>
      </w:r>
      <w:r>
        <w:t>51.5,</w:t>
      </w:r>
      <w:r>
        <w:rPr>
          <w:spacing w:val="-1"/>
        </w:rPr>
        <w:t xml:space="preserve"> </w:t>
      </w:r>
      <w:r>
        <w:t>47.2</w:t>
      </w:r>
      <w:r>
        <w:rPr>
          <w:spacing w:val="14"/>
        </w:rPr>
        <w:t xml:space="preserve"> </w:t>
      </w:r>
      <w:r>
        <w:t>and</w:t>
      </w:r>
      <w:r>
        <w:rPr>
          <w:spacing w:val="14"/>
        </w:rPr>
        <w:t xml:space="preserve"> </w:t>
      </w:r>
      <w:r>
        <w:t>28.3%;</w:t>
      </w:r>
      <w:r>
        <w:rPr>
          <w:spacing w:val="8"/>
        </w:rPr>
        <w:t xml:space="preserve"> </w:t>
      </w:r>
      <w:r>
        <w:t>-</w:t>
      </w:r>
      <w:r>
        <w:rPr>
          <w:spacing w:val="-2"/>
        </w:rPr>
        <w:t>0.55,</w:t>
      </w:r>
    </w:p>
    <w:p w14:paraId="2702F51A" w14:textId="77777777" w:rsidR="001825E2" w:rsidRDefault="000839A5" w:rsidP="00CB00A7">
      <w:pPr>
        <w:pStyle w:val="BodyText"/>
        <w:ind w:left="215" w:right="228" w:firstLine="1"/>
        <w:jc w:val="left"/>
      </w:pPr>
      <w:r>
        <w:t>-0.49 and -0.24; and 6.2%, 6.7% and 1.1%</w:t>
      </w:r>
      <w:r>
        <w:rPr>
          <w:spacing w:val="-8"/>
        </w:rPr>
        <w:t xml:space="preserve"> </w:t>
      </w:r>
      <w:r>
        <w:t>for the</w:t>
      </w:r>
      <w:r>
        <w:rPr>
          <w:spacing w:val="-5"/>
        </w:rPr>
        <w:t xml:space="preserve"> </w:t>
      </w:r>
      <w:r>
        <w:t>5</w:t>
      </w:r>
      <w:r>
        <w:rPr>
          <w:spacing w:val="-3"/>
        </w:rPr>
        <w:t xml:space="preserve"> </w:t>
      </w:r>
      <w:r>
        <w:t>mg twice</w:t>
      </w:r>
      <w:r>
        <w:rPr>
          <w:spacing w:val="-5"/>
        </w:rPr>
        <w:t xml:space="preserve"> </w:t>
      </w:r>
      <w:r>
        <w:t>daily XELJANZ, adalimumab 40</w:t>
      </w:r>
      <w:r>
        <w:rPr>
          <w:spacing w:val="-5"/>
        </w:rPr>
        <w:t xml:space="preserve"> </w:t>
      </w:r>
      <w:r>
        <w:t>mg</w:t>
      </w:r>
      <w:r>
        <w:rPr>
          <w:spacing w:val="-5"/>
        </w:rPr>
        <w:t xml:space="preserve"> </w:t>
      </w:r>
      <w:r>
        <w:t>subcutaneously every</w:t>
      </w:r>
      <w:r>
        <w:rPr>
          <w:spacing w:val="-5"/>
        </w:rPr>
        <w:t xml:space="preserve"> </w:t>
      </w:r>
      <w:r>
        <w:t>other</w:t>
      </w:r>
      <w:r>
        <w:rPr>
          <w:spacing w:val="-10"/>
        </w:rPr>
        <w:t xml:space="preserve"> </w:t>
      </w:r>
      <w:r>
        <w:t>week</w:t>
      </w:r>
      <w:r>
        <w:rPr>
          <w:spacing w:val="-5"/>
        </w:rPr>
        <w:t xml:space="preserve"> </w:t>
      </w:r>
      <w:r>
        <w:t>and placebo groups, respectively.</w:t>
      </w:r>
      <w:r>
        <w:rPr>
          <w:spacing w:val="-5"/>
        </w:rPr>
        <w:t xml:space="preserve"> </w:t>
      </w:r>
      <w:r>
        <w:t>For</w:t>
      </w:r>
      <w:r>
        <w:rPr>
          <w:spacing w:val="-10"/>
        </w:rPr>
        <w:t xml:space="preserve"> </w:t>
      </w:r>
      <w:r>
        <w:t>a</w:t>
      </w:r>
      <w:r>
        <w:rPr>
          <w:spacing w:val="-7"/>
        </w:rPr>
        <w:t xml:space="preserve"> </w:t>
      </w:r>
      <w:r>
        <w:t>pre-specified secondary endpoint, the ACR70 response rates at</w:t>
      </w:r>
      <w:r>
        <w:rPr>
          <w:spacing w:val="40"/>
        </w:rPr>
        <w:t xml:space="preserve"> </w:t>
      </w:r>
      <w:r>
        <w:t>Month</w:t>
      </w:r>
      <w:r>
        <w:rPr>
          <w:spacing w:val="-1"/>
        </w:rPr>
        <w:t xml:space="preserve"> </w:t>
      </w:r>
      <w:r>
        <w:t>6 for the 5</w:t>
      </w:r>
      <w:r>
        <w:rPr>
          <w:spacing w:val="-1"/>
        </w:rPr>
        <w:t xml:space="preserve"> </w:t>
      </w:r>
      <w:r>
        <w:t>mg twice daily XELJANZ</w:t>
      </w:r>
      <w:r>
        <w:rPr>
          <w:spacing w:val="-12"/>
        </w:rPr>
        <w:t xml:space="preserve"> </w:t>
      </w:r>
      <w:r>
        <w:t>group was</w:t>
      </w:r>
      <w:r>
        <w:rPr>
          <w:spacing w:val="-19"/>
        </w:rPr>
        <w:t xml:space="preserve"> </w:t>
      </w:r>
      <w:r>
        <w:t>significantly</w:t>
      </w:r>
      <w:r>
        <w:rPr>
          <w:spacing w:val="31"/>
        </w:rPr>
        <w:t xml:space="preserve"> </w:t>
      </w:r>
      <w:r>
        <w:t>greater</w:t>
      </w:r>
      <w:r>
        <w:rPr>
          <w:spacing w:val="-5"/>
        </w:rPr>
        <w:t xml:space="preserve"> </w:t>
      </w:r>
      <w:r>
        <w:t>than adalimumab (19.9%</w:t>
      </w:r>
      <w:r>
        <w:rPr>
          <w:spacing w:val="-5"/>
        </w:rPr>
        <w:t xml:space="preserve"> </w:t>
      </w:r>
      <w:r>
        <w:t>and 9.1%, respectively).</w:t>
      </w:r>
    </w:p>
    <w:p w14:paraId="37819CFE" w14:textId="77777777" w:rsidR="001825E2" w:rsidRDefault="000839A5" w:rsidP="00CB00A7">
      <w:pPr>
        <w:pStyle w:val="BodyText"/>
        <w:spacing w:before="235"/>
        <w:ind w:left="214" w:right="208"/>
        <w:jc w:val="left"/>
      </w:pPr>
      <w:r>
        <w:t>The treatment effect was similar in patients independent of rheumatoid factor status, age, gender,</w:t>
      </w:r>
      <w:r>
        <w:rPr>
          <w:spacing w:val="80"/>
        </w:rPr>
        <w:t xml:space="preserve"> </w:t>
      </w:r>
      <w:proofErr w:type="gramStart"/>
      <w:r>
        <w:t>race</w:t>
      </w:r>
      <w:proofErr w:type="gramEnd"/>
      <w:r>
        <w:rPr>
          <w:spacing w:val="80"/>
        </w:rPr>
        <w:t xml:space="preserve"> </w:t>
      </w:r>
      <w:r>
        <w:t>or</w:t>
      </w:r>
      <w:r>
        <w:rPr>
          <w:spacing w:val="80"/>
        </w:rPr>
        <w:t xml:space="preserve"> </w:t>
      </w:r>
      <w:r>
        <w:t>disease</w:t>
      </w:r>
      <w:r>
        <w:rPr>
          <w:spacing w:val="80"/>
        </w:rPr>
        <w:t xml:space="preserve"> </w:t>
      </w:r>
      <w:r>
        <w:t>status.</w:t>
      </w:r>
      <w:r>
        <w:rPr>
          <w:spacing w:val="80"/>
        </w:rPr>
        <w:t xml:space="preserve"> </w:t>
      </w:r>
      <w:r>
        <w:t>Time</w:t>
      </w:r>
      <w:r>
        <w:rPr>
          <w:spacing w:val="80"/>
        </w:rPr>
        <w:t xml:space="preserve"> </w:t>
      </w:r>
      <w:r>
        <w:t>to</w:t>
      </w:r>
      <w:r>
        <w:rPr>
          <w:spacing w:val="80"/>
        </w:rPr>
        <w:t xml:space="preserve"> </w:t>
      </w:r>
      <w:r>
        <w:t>onset</w:t>
      </w:r>
      <w:r>
        <w:rPr>
          <w:spacing w:val="80"/>
        </w:rPr>
        <w:t xml:space="preserve"> </w:t>
      </w:r>
      <w:r>
        <w:t>was</w:t>
      </w:r>
      <w:r>
        <w:rPr>
          <w:spacing w:val="80"/>
        </w:rPr>
        <w:t xml:space="preserve"> </w:t>
      </w:r>
      <w:r>
        <w:t>rapid</w:t>
      </w:r>
      <w:r>
        <w:rPr>
          <w:spacing w:val="80"/>
        </w:rPr>
        <w:t xml:space="preserve"> </w:t>
      </w:r>
      <w:r>
        <w:t>(as</w:t>
      </w:r>
      <w:r>
        <w:rPr>
          <w:spacing w:val="80"/>
        </w:rPr>
        <w:t xml:space="preserve"> </w:t>
      </w:r>
      <w:r>
        <w:t>early</w:t>
      </w:r>
      <w:r>
        <w:rPr>
          <w:spacing w:val="80"/>
        </w:rPr>
        <w:t xml:space="preserve"> </w:t>
      </w:r>
      <w:r>
        <w:t>as</w:t>
      </w:r>
      <w:r>
        <w:rPr>
          <w:spacing w:val="80"/>
        </w:rPr>
        <w:t xml:space="preserve"> </w:t>
      </w:r>
      <w:r>
        <w:t>Week</w:t>
      </w:r>
      <w:r>
        <w:rPr>
          <w:spacing w:val="-2"/>
        </w:rPr>
        <w:t xml:space="preserve"> </w:t>
      </w:r>
      <w:r>
        <w:t>2</w:t>
      </w:r>
      <w:r>
        <w:rPr>
          <w:spacing w:val="80"/>
        </w:rPr>
        <w:t xml:space="preserve"> </w:t>
      </w:r>
      <w:r>
        <w:t>in Studies</w:t>
      </w:r>
      <w:r>
        <w:rPr>
          <w:spacing w:val="-7"/>
        </w:rPr>
        <w:t xml:space="preserve"> </w:t>
      </w:r>
      <w:r>
        <w:t>I,</w:t>
      </w:r>
      <w:r>
        <w:rPr>
          <w:spacing w:val="-3"/>
        </w:rPr>
        <w:t xml:space="preserve"> </w:t>
      </w:r>
      <w:r>
        <w:t xml:space="preserve">II and V) and the magnitude of response continued to improve with duration of treatment. As with the overall ACR response, each of the components of the ACR response was consistently improved from baseline, </w:t>
      </w:r>
      <w:proofErr w:type="gramStart"/>
      <w:r>
        <w:t>including:</w:t>
      </w:r>
      <w:proofErr w:type="gramEnd"/>
      <w:r>
        <w:t xml:space="preserve"> tender and swollen joint counts; patient and physician</w:t>
      </w:r>
      <w:r>
        <w:rPr>
          <w:spacing w:val="-3"/>
        </w:rPr>
        <w:t xml:space="preserve"> </w:t>
      </w:r>
      <w:r>
        <w:t>global</w:t>
      </w:r>
      <w:r>
        <w:rPr>
          <w:spacing w:val="-10"/>
        </w:rPr>
        <w:t xml:space="preserve"> </w:t>
      </w:r>
      <w:r>
        <w:t>assessment;</w:t>
      </w:r>
      <w:r>
        <w:rPr>
          <w:spacing w:val="-10"/>
        </w:rPr>
        <w:t xml:space="preserve"> </w:t>
      </w:r>
      <w:r>
        <w:t>disability index</w:t>
      </w:r>
      <w:r>
        <w:rPr>
          <w:spacing w:val="-3"/>
        </w:rPr>
        <w:t xml:space="preserve"> </w:t>
      </w:r>
      <w:r>
        <w:t>scores; pain assessment and CRP</w:t>
      </w:r>
      <w:r>
        <w:rPr>
          <w:spacing w:val="-2"/>
        </w:rPr>
        <w:t xml:space="preserve"> </w:t>
      </w:r>
      <w:r>
        <w:t>compared to</w:t>
      </w:r>
      <w:r>
        <w:rPr>
          <w:spacing w:val="-7"/>
        </w:rPr>
        <w:t xml:space="preserve"> </w:t>
      </w:r>
      <w:r>
        <w:t>patients receiving</w:t>
      </w:r>
      <w:r>
        <w:rPr>
          <w:spacing w:val="40"/>
        </w:rPr>
        <w:t xml:space="preserve"> </w:t>
      </w:r>
      <w:r>
        <w:t>placebo plus MTX</w:t>
      </w:r>
      <w:r>
        <w:rPr>
          <w:spacing w:val="35"/>
        </w:rPr>
        <w:t xml:space="preserve"> </w:t>
      </w:r>
      <w:r>
        <w:t>or other DMARDs</w:t>
      </w:r>
      <w:r>
        <w:rPr>
          <w:spacing w:val="-12"/>
        </w:rPr>
        <w:t xml:space="preserve"> </w:t>
      </w:r>
      <w:r>
        <w:t>in all studies.</w:t>
      </w:r>
    </w:p>
    <w:p w14:paraId="02709F1C" w14:textId="77777777" w:rsidR="001825E2" w:rsidRDefault="000839A5" w:rsidP="00CB00A7">
      <w:pPr>
        <w:pStyle w:val="BodyText"/>
        <w:spacing w:before="243"/>
        <w:ind w:left="220"/>
        <w:jc w:val="left"/>
      </w:pPr>
      <w:r>
        <w:rPr>
          <w:u w:val="single"/>
        </w:rPr>
        <w:t>DAS28-4(ESR)</w:t>
      </w:r>
      <w:r>
        <w:rPr>
          <w:spacing w:val="-10"/>
          <w:u w:val="single"/>
        </w:rPr>
        <w:t xml:space="preserve"> </w:t>
      </w:r>
      <w:r>
        <w:rPr>
          <w:spacing w:val="-2"/>
          <w:u w:val="single"/>
        </w:rPr>
        <w:t>Response</w:t>
      </w:r>
    </w:p>
    <w:p w14:paraId="359498B0" w14:textId="77777777" w:rsidR="001825E2" w:rsidRDefault="000839A5" w:rsidP="00CB00A7">
      <w:pPr>
        <w:pStyle w:val="BodyText"/>
        <w:spacing w:before="114" w:line="273" w:lineRule="exact"/>
        <w:ind w:left="220"/>
        <w:jc w:val="left"/>
      </w:pPr>
      <w:r>
        <w:t>Patients</w:t>
      </w:r>
      <w:r>
        <w:rPr>
          <w:spacing w:val="10"/>
        </w:rPr>
        <w:t xml:space="preserve"> </w:t>
      </w:r>
      <w:r>
        <w:t>in</w:t>
      </w:r>
      <w:r>
        <w:rPr>
          <w:spacing w:val="14"/>
        </w:rPr>
        <w:t xml:space="preserve"> </w:t>
      </w:r>
      <w:r>
        <w:t>the</w:t>
      </w:r>
      <w:r>
        <w:rPr>
          <w:spacing w:val="12"/>
        </w:rPr>
        <w:t xml:space="preserve"> </w:t>
      </w:r>
      <w:r>
        <w:t>Phase</w:t>
      </w:r>
      <w:r>
        <w:rPr>
          <w:spacing w:val="12"/>
        </w:rPr>
        <w:t xml:space="preserve"> </w:t>
      </w:r>
      <w:r>
        <w:t>3</w:t>
      </w:r>
      <w:r>
        <w:rPr>
          <w:spacing w:val="-1"/>
        </w:rPr>
        <w:t xml:space="preserve"> </w:t>
      </w:r>
      <w:r>
        <w:t>studies</w:t>
      </w:r>
      <w:r>
        <w:rPr>
          <w:spacing w:val="10"/>
        </w:rPr>
        <w:t xml:space="preserve"> </w:t>
      </w:r>
      <w:r>
        <w:t>had</w:t>
      </w:r>
      <w:r>
        <w:rPr>
          <w:spacing w:val="29"/>
        </w:rPr>
        <w:t xml:space="preserve"> </w:t>
      </w:r>
      <w:r>
        <w:t>a</w:t>
      </w:r>
      <w:r>
        <w:rPr>
          <w:spacing w:val="12"/>
        </w:rPr>
        <w:t xml:space="preserve"> </w:t>
      </w:r>
      <w:r>
        <w:t>mean</w:t>
      </w:r>
      <w:r>
        <w:rPr>
          <w:spacing w:val="29"/>
        </w:rPr>
        <w:t xml:space="preserve"> </w:t>
      </w:r>
      <w:r>
        <w:t>Disease</w:t>
      </w:r>
      <w:r>
        <w:rPr>
          <w:spacing w:val="27"/>
        </w:rPr>
        <w:t xml:space="preserve"> </w:t>
      </w:r>
      <w:r>
        <w:t>Activity</w:t>
      </w:r>
      <w:r>
        <w:rPr>
          <w:spacing w:val="14"/>
        </w:rPr>
        <w:t xml:space="preserve"> </w:t>
      </w:r>
      <w:r>
        <w:t>Score</w:t>
      </w:r>
      <w:r>
        <w:rPr>
          <w:spacing w:val="12"/>
        </w:rPr>
        <w:t xml:space="preserve"> </w:t>
      </w:r>
      <w:r>
        <w:t>(DAS28-4(ESR))</w:t>
      </w:r>
      <w:r>
        <w:rPr>
          <w:spacing w:val="10"/>
        </w:rPr>
        <w:t xml:space="preserve"> </w:t>
      </w:r>
      <w:r>
        <w:t>of</w:t>
      </w:r>
      <w:r>
        <w:rPr>
          <w:spacing w:val="24"/>
        </w:rPr>
        <w:t xml:space="preserve"> </w:t>
      </w:r>
      <w:r>
        <w:rPr>
          <w:spacing w:val="-4"/>
        </w:rPr>
        <w:t>6.1–</w:t>
      </w:r>
    </w:p>
    <w:p w14:paraId="20B27587" w14:textId="77777777" w:rsidR="001825E2" w:rsidRDefault="000839A5" w:rsidP="00CB00A7">
      <w:pPr>
        <w:pStyle w:val="BodyText"/>
        <w:spacing w:line="247" w:lineRule="auto"/>
        <w:ind w:left="219" w:right="201"/>
        <w:jc w:val="left"/>
      </w:pPr>
      <w:r>
        <w:t>6.7</w:t>
      </w:r>
      <w:r>
        <w:rPr>
          <w:spacing w:val="-5"/>
        </w:rPr>
        <w:t xml:space="preserve"> </w:t>
      </w:r>
      <w:r>
        <w:t>at baseline. Significant reductions in DAS28-4(ESR) from baseline (mean improvement) of</w:t>
      </w:r>
      <w:r>
        <w:rPr>
          <w:spacing w:val="46"/>
        </w:rPr>
        <w:t xml:space="preserve"> </w:t>
      </w:r>
      <w:r>
        <w:t>1.8-2.0</w:t>
      </w:r>
      <w:r>
        <w:rPr>
          <w:spacing w:val="-4"/>
        </w:rPr>
        <w:t xml:space="preserve"> </w:t>
      </w:r>
      <w:r>
        <w:t>were</w:t>
      </w:r>
      <w:r>
        <w:rPr>
          <w:spacing w:val="38"/>
        </w:rPr>
        <w:t xml:space="preserve"> </w:t>
      </w:r>
      <w:r>
        <w:t>observed</w:t>
      </w:r>
      <w:r>
        <w:rPr>
          <w:spacing w:val="53"/>
        </w:rPr>
        <w:t xml:space="preserve"> </w:t>
      </w:r>
      <w:r>
        <w:t>in</w:t>
      </w:r>
      <w:r>
        <w:rPr>
          <w:spacing w:val="39"/>
        </w:rPr>
        <w:t xml:space="preserve"> </w:t>
      </w:r>
      <w:r>
        <w:t>5</w:t>
      </w:r>
      <w:r>
        <w:rPr>
          <w:spacing w:val="-4"/>
        </w:rPr>
        <w:t xml:space="preserve"> </w:t>
      </w:r>
      <w:r>
        <w:t>mg</w:t>
      </w:r>
      <w:r>
        <w:rPr>
          <w:spacing w:val="39"/>
        </w:rPr>
        <w:t xml:space="preserve"> </w:t>
      </w:r>
      <w:r>
        <w:t>XELJANZ-treated</w:t>
      </w:r>
      <w:r>
        <w:rPr>
          <w:spacing w:val="53"/>
        </w:rPr>
        <w:t xml:space="preserve"> </w:t>
      </w:r>
      <w:r>
        <w:t>patients</w:t>
      </w:r>
      <w:r>
        <w:rPr>
          <w:spacing w:val="36"/>
        </w:rPr>
        <w:t xml:space="preserve"> </w:t>
      </w:r>
      <w:r>
        <w:t>compared</w:t>
      </w:r>
      <w:r>
        <w:rPr>
          <w:spacing w:val="39"/>
        </w:rPr>
        <w:t xml:space="preserve"> </w:t>
      </w:r>
      <w:r>
        <w:t>to</w:t>
      </w:r>
      <w:r>
        <w:rPr>
          <w:spacing w:val="39"/>
        </w:rPr>
        <w:t xml:space="preserve"> </w:t>
      </w:r>
      <w:r>
        <w:t>placebo-</w:t>
      </w:r>
      <w:proofErr w:type="gramStart"/>
      <w:r>
        <w:rPr>
          <w:spacing w:val="-2"/>
        </w:rPr>
        <w:t>treated</w:t>
      </w:r>
      <w:proofErr w:type="gramEnd"/>
    </w:p>
    <w:p w14:paraId="79538180" w14:textId="77777777" w:rsidR="001825E2" w:rsidRDefault="001825E2" w:rsidP="00CB00A7">
      <w:pPr>
        <w:spacing w:line="247" w:lineRule="auto"/>
        <w:sectPr w:rsidR="001825E2">
          <w:pgSz w:w="11910" w:h="16850"/>
          <w:pgMar w:top="1360" w:right="1220" w:bottom="980" w:left="1220" w:header="0" w:footer="785" w:gutter="0"/>
          <w:cols w:space="720"/>
        </w:sectPr>
      </w:pPr>
    </w:p>
    <w:p w14:paraId="139BF3F4" w14:textId="77777777" w:rsidR="001825E2" w:rsidRDefault="000839A5" w:rsidP="00CB00A7">
      <w:pPr>
        <w:pStyle w:val="BodyText"/>
        <w:spacing w:before="76" w:line="242" w:lineRule="auto"/>
        <w:ind w:left="219" w:right="207"/>
        <w:jc w:val="left"/>
      </w:pPr>
      <w:r>
        <w:lastRenderedPageBreak/>
        <w:t>patients (0.7-1.1) at 3</w:t>
      </w:r>
      <w:r>
        <w:rPr>
          <w:spacing w:val="-2"/>
        </w:rPr>
        <w:t xml:space="preserve"> </w:t>
      </w:r>
      <w:r>
        <w:t>months. The proportion of patients achieving a DAS28 clinical remission (DAS28-4(ESR)&lt;2.6) in Studies</w:t>
      </w:r>
      <w:r>
        <w:rPr>
          <w:spacing w:val="-9"/>
        </w:rPr>
        <w:t xml:space="preserve"> </w:t>
      </w:r>
      <w:r>
        <w:t>II,</w:t>
      </w:r>
      <w:r>
        <w:rPr>
          <w:spacing w:val="-5"/>
        </w:rPr>
        <w:t xml:space="preserve"> </w:t>
      </w:r>
      <w:r>
        <w:t>III and IV was significantly higher in patients receiving 5</w:t>
      </w:r>
      <w:r>
        <w:rPr>
          <w:spacing w:val="-1"/>
        </w:rPr>
        <w:t xml:space="preserve"> </w:t>
      </w:r>
      <w:r>
        <w:t>mg</w:t>
      </w:r>
      <w:r>
        <w:rPr>
          <w:spacing w:val="40"/>
        </w:rPr>
        <w:t xml:space="preserve"> </w:t>
      </w:r>
      <w:r>
        <w:t>XELJANZ (6–9%) compared</w:t>
      </w:r>
      <w:r>
        <w:rPr>
          <w:spacing w:val="40"/>
        </w:rPr>
        <w:t xml:space="preserve"> </w:t>
      </w:r>
      <w:r>
        <w:t>to placebo (1–3%) patients at 6 months. In Study</w:t>
      </w:r>
      <w:r>
        <w:rPr>
          <w:spacing w:val="-2"/>
        </w:rPr>
        <w:t xml:space="preserve"> </w:t>
      </w:r>
      <w:r>
        <w:t>III, the</w:t>
      </w:r>
      <w:r>
        <w:rPr>
          <w:spacing w:val="-4"/>
        </w:rPr>
        <w:t xml:space="preserve"> </w:t>
      </w:r>
      <w:r>
        <w:t>percentages of patients achieving DAS28-4(ESR)&lt;2.6 observed for</w:t>
      </w:r>
      <w:r>
        <w:rPr>
          <w:spacing w:val="-7"/>
        </w:rPr>
        <w:t xml:space="preserve"> </w:t>
      </w:r>
      <w:r>
        <w:t>XELJANZ 5 mg twice daily and adalimumab at Month 6 were 6.2% and 6.7%, respectively.</w:t>
      </w:r>
    </w:p>
    <w:p w14:paraId="60EA9335" w14:textId="77777777" w:rsidR="001825E2" w:rsidRDefault="001825E2" w:rsidP="00CB00A7">
      <w:pPr>
        <w:spacing w:line="242" w:lineRule="auto"/>
        <w:sectPr w:rsidR="001825E2">
          <w:pgSz w:w="11910" w:h="16850"/>
          <w:pgMar w:top="1360" w:right="1220" w:bottom="980" w:left="1220" w:header="0" w:footer="785" w:gutter="0"/>
          <w:cols w:space="720"/>
        </w:sectPr>
      </w:pPr>
    </w:p>
    <w:p w14:paraId="221E419B" w14:textId="77777777" w:rsidR="001825E2" w:rsidRDefault="000839A5" w:rsidP="00CB00A7">
      <w:pPr>
        <w:pStyle w:val="Heading3"/>
        <w:spacing w:before="91"/>
        <w:ind w:left="195"/>
      </w:pPr>
      <w:r>
        <w:rPr>
          <w:noProof/>
        </w:rPr>
        <w:lastRenderedPageBreak/>
        <mc:AlternateContent>
          <mc:Choice Requires="wps">
            <w:drawing>
              <wp:anchor distT="0" distB="0" distL="0" distR="0" simplePos="0" relativeHeight="15734272" behindDoc="0" locked="0" layoutInCell="1" allowOverlap="1" wp14:anchorId="308B4CCE" wp14:editId="6B0E50DA">
                <wp:simplePos x="0" y="0"/>
                <wp:positionH relativeFrom="page">
                  <wp:posOffset>895350</wp:posOffset>
                </wp:positionH>
                <wp:positionV relativeFrom="page">
                  <wp:posOffset>6886562</wp:posOffset>
                </wp:positionV>
                <wp:extent cx="8905875" cy="10160"/>
                <wp:effectExtent l="0" t="0" r="0" b="0"/>
                <wp:wrapNone/>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05875" cy="10160"/>
                        </a:xfrm>
                        <a:custGeom>
                          <a:avLst/>
                          <a:gdLst/>
                          <a:ahLst/>
                          <a:cxnLst/>
                          <a:rect l="l" t="t" r="r" b="b"/>
                          <a:pathLst>
                            <a:path w="8905875" h="10160">
                              <a:moveTo>
                                <a:pt x="8905875" y="0"/>
                              </a:moveTo>
                              <a:lnTo>
                                <a:pt x="0" y="0"/>
                              </a:lnTo>
                              <a:lnTo>
                                <a:pt x="0" y="9537"/>
                              </a:lnTo>
                              <a:lnTo>
                                <a:pt x="8905875" y="9537"/>
                              </a:lnTo>
                              <a:lnTo>
                                <a:pt x="89058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DF1C48" id="Graphic 89" o:spid="_x0000_s1026" style="position:absolute;margin-left:70.5pt;margin-top:542.25pt;width:701.25pt;height:.8pt;z-index:15734272;visibility:visible;mso-wrap-style:square;mso-wrap-distance-left:0;mso-wrap-distance-top:0;mso-wrap-distance-right:0;mso-wrap-distance-bottom:0;mso-position-horizontal:absolute;mso-position-horizontal-relative:page;mso-position-vertical:absolute;mso-position-vertical-relative:page;v-text-anchor:top" coordsize="890587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" path="m8905875,l,,,9537r8905875,l8905875,xe" fillcolor="black" stroked="f">
                <v:path arrowok="t"/>
                <w10:wrap anchorx="page" anchory="page"/>
              </v:shape>
            </w:pict>
          </mc:Fallback>
        </mc:AlternateContent>
      </w:r>
      <w:r>
        <w:t>Table</w:t>
      </w:r>
      <w:r>
        <w:rPr>
          <w:spacing w:val="-5"/>
        </w:rPr>
        <w:t xml:space="preserve"> </w:t>
      </w:r>
      <w:r>
        <w:t>6:</w:t>
      </w:r>
      <w:r>
        <w:rPr>
          <w:spacing w:val="79"/>
          <w:w w:val="150"/>
        </w:rPr>
        <w:t xml:space="preserve"> </w:t>
      </w:r>
      <w:r>
        <w:t>Proportion</w:t>
      </w:r>
      <w:r>
        <w:rPr>
          <w:spacing w:val="13"/>
        </w:rPr>
        <w:t xml:space="preserve"> </w:t>
      </w:r>
      <w:r>
        <w:t>of</w:t>
      </w:r>
      <w:r>
        <w:rPr>
          <w:spacing w:val="-7"/>
        </w:rPr>
        <w:t xml:space="preserve"> </w:t>
      </w:r>
      <w:r>
        <w:t>Patients</w:t>
      </w:r>
      <w:r>
        <w:rPr>
          <w:spacing w:val="8"/>
        </w:rPr>
        <w:t xml:space="preserve"> </w:t>
      </w:r>
      <w:r>
        <w:t>with</w:t>
      </w:r>
      <w:r>
        <w:rPr>
          <w:spacing w:val="-1"/>
        </w:rPr>
        <w:t xml:space="preserve"> </w:t>
      </w:r>
      <w:r>
        <w:t>an</w:t>
      </w:r>
      <w:r>
        <w:rPr>
          <w:spacing w:val="-2"/>
        </w:rPr>
        <w:t xml:space="preserve"> </w:t>
      </w:r>
      <w:r>
        <w:t>ACR</w:t>
      </w:r>
      <w:r>
        <w:rPr>
          <w:spacing w:val="-10"/>
        </w:rPr>
        <w:t xml:space="preserve"> </w:t>
      </w:r>
      <w:r>
        <w:rPr>
          <w:spacing w:val="-2"/>
        </w:rPr>
        <w:t>Response</w:t>
      </w:r>
    </w:p>
    <w:p w14:paraId="7DC7999E" w14:textId="77777777" w:rsidR="001825E2" w:rsidRDefault="001825E2" w:rsidP="00CB00A7">
      <w:pPr>
        <w:pStyle w:val="BodyText"/>
        <w:spacing w:before="9"/>
        <w:jc w:val="left"/>
        <w:rPr>
          <w:b/>
          <w:sz w:val="9"/>
        </w:rPr>
      </w:pPr>
    </w:p>
    <w:tbl>
      <w:tblPr>
        <w:tblW w:w="0" w:type="auto"/>
        <w:tblInd w:w="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75"/>
        <w:gridCol w:w="870"/>
        <w:gridCol w:w="1035"/>
        <w:gridCol w:w="990"/>
        <w:gridCol w:w="1140"/>
        <w:gridCol w:w="840"/>
        <w:gridCol w:w="1140"/>
        <w:gridCol w:w="1275"/>
        <w:gridCol w:w="855"/>
        <w:gridCol w:w="1125"/>
        <w:gridCol w:w="1050"/>
        <w:gridCol w:w="1080"/>
      </w:tblGrid>
      <w:tr w:rsidR="001825E2" w14:paraId="0C3101C1" w14:textId="77777777">
        <w:trPr>
          <w:trHeight w:val="510"/>
        </w:trPr>
        <w:tc>
          <w:tcPr>
            <w:tcW w:w="975" w:type="dxa"/>
          </w:tcPr>
          <w:p w14:paraId="6D5D3915" w14:textId="77777777" w:rsidR="001825E2" w:rsidRDefault="001825E2" w:rsidP="00CB00A7">
            <w:pPr>
              <w:pStyle w:val="TableParagraph"/>
              <w:ind w:left="0"/>
              <w:jc w:val="left"/>
              <w:rPr>
                <w:sz w:val="18"/>
              </w:rPr>
            </w:pPr>
          </w:p>
        </w:tc>
        <w:tc>
          <w:tcPr>
            <w:tcW w:w="11400" w:type="dxa"/>
            <w:gridSpan w:val="11"/>
          </w:tcPr>
          <w:p w14:paraId="2C63D00B" w14:textId="77777777" w:rsidR="001825E2" w:rsidRDefault="000839A5" w:rsidP="00CB00A7">
            <w:pPr>
              <w:pStyle w:val="TableParagraph"/>
              <w:spacing w:before="139"/>
              <w:ind w:left="127"/>
              <w:jc w:val="left"/>
              <w:rPr>
                <w:b/>
              </w:rPr>
            </w:pPr>
            <w:r>
              <w:rPr>
                <w:b/>
              </w:rPr>
              <w:t>Percent</w:t>
            </w:r>
            <w:r>
              <w:rPr>
                <w:b/>
                <w:spacing w:val="8"/>
              </w:rPr>
              <w:t xml:space="preserve"> </w:t>
            </w:r>
            <w:r>
              <w:rPr>
                <w:b/>
              </w:rPr>
              <w:t>of</w:t>
            </w:r>
            <w:r>
              <w:rPr>
                <w:b/>
                <w:spacing w:val="8"/>
              </w:rPr>
              <w:t xml:space="preserve"> </w:t>
            </w:r>
            <w:r>
              <w:rPr>
                <w:b/>
                <w:spacing w:val="-2"/>
              </w:rPr>
              <w:t>Patients</w:t>
            </w:r>
          </w:p>
        </w:tc>
      </w:tr>
      <w:tr w:rsidR="001825E2" w14:paraId="69D6E7A2" w14:textId="77777777">
        <w:trPr>
          <w:trHeight w:val="1004"/>
        </w:trPr>
        <w:tc>
          <w:tcPr>
            <w:tcW w:w="975" w:type="dxa"/>
          </w:tcPr>
          <w:p w14:paraId="4F1CEEBA" w14:textId="77777777" w:rsidR="001825E2" w:rsidRDefault="001825E2" w:rsidP="00CB00A7">
            <w:pPr>
              <w:pStyle w:val="TableParagraph"/>
              <w:ind w:left="0"/>
              <w:jc w:val="left"/>
              <w:rPr>
                <w:sz w:val="18"/>
              </w:rPr>
            </w:pPr>
          </w:p>
        </w:tc>
        <w:tc>
          <w:tcPr>
            <w:tcW w:w="1905" w:type="dxa"/>
            <w:gridSpan w:val="2"/>
          </w:tcPr>
          <w:p w14:paraId="23FF3674" w14:textId="77777777" w:rsidR="001825E2" w:rsidRDefault="000839A5" w:rsidP="00CB00A7">
            <w:pPr>
              <w:pStyle w:val="TableParagraph"/>
              <w:spacing w:before="4" w:line="242" w:lineRule="auto"/>
              <w:ind w:left="127"/>
              <w:jc w:val="left"/>
              <w:rPr>
                <w:b/>
              </w:rPr>
            </w:pPr>
            <w:r>
              <w:rPr>
                <w:b/>
              </w:rPr>
              <w:t xml:space="preserve">Monotherapy in </w:t>
            </w:r>
            <w:r>
              <w:rPr>
                <w:b/>
                <w:spacing w:val="-2"/>
              </w:rPr>
              <w:t>DMARD</w:t>
            </w:r>
          </w:p>
          <w:p w14:paraId="10D8D4AA" w14:textId="77777777" w:rsidR="001825E2" w:rsidRDefault="000839A5" w:rsidP="00CB00A7">
            <w:pPr>
              <w:pStyle w:val="TableParagraph"/>
              <w:spacing w:line="240" w:lineRule="exact"/>
              <w:ind w:left="127"/>
              <w:jc w:val="left"/>
              <w:rPr>
                <w:b/>
              </w:rPr>
            </w:pPr>
            <w:r>
              <w:rPr>
                <w:b/>
                <w:spacing w:val="-2"/>
              </w:rPr>
              <w:t>Inadequate Responders</w:t>
            </w:r>
          </w:p>
        </w:tc>
        <w:tc>
          <w:tcPr>
            <w:tcW w:w="2130" w:type="dxa"/>
            <w:gridSpan w:val="2"/>
          </w:tcPr>
          <w:p w14:paraId="69632D09" w14:textId="77777777" w:rsidR="001825E2" w:rsidRDefault="000839A5" w:rsidP="00CB00A7">
            <w:pPr>
              <w:pStyle w:val="TableParagraph"/>
              <w:spacing w:before="124"/>
              <w:jc w:val="left"/>
              <w:rPr>
                <w:b/>
              </w:rPr>
            </w:pPr>
            <w:r>
              <w:rPr>
                <w:b/>
                <w:spacing w:val="-2"/>
              </w:rPr>
              <w:t>DMARD</w:t>
            </w:r>
          </w:p>
          <w:p w14:paraId="1CC3A3B7" w14:textId="77777777" w:rsidR="001825E2" w:rsidRDefault="000839A5" w:rsidP="00CB00A7">
            <w:pPr>
              <w:pStyle w:val="TableParagraph"/>
              <w:spacing w:before="2"/>
              <w:ind w:right="414"/>
              <w:jc w:val="left"/>
              <w:rPr>
                <w:b/>
              </w:rPr>
            </w:pPr>
            <w:r>
              <w:rPr>
                <w:b/>
                <w:spacing w:val="-2"/>
              </w:rPr>
              <w:t>Inadequate Responders</w:t>
            </w:r>
          </w:p>
        </w:tc>
        <w:tc>
          <w:tcPr>
            <w:tcW w:w="3255" w:type="dxa"/>
            <w:gridSpan w:val="3"/>
          </w:tcPr>
          <w:p w14:paraId="186C571C" w14:textId="77777777" w:rsidR="001825E2" w:rsidRDefault="001825E2" w:rsidP="00CB00A7">
            <w:pPr>
              <w:pStyle w:val="TableParagraph"/>
              <w:spacing w:before="126"/>
              <w:ind w:left="0"/>
              <w:jc w:val="left"/>
              <w:rPr>
                <w:b/>
              </w:rPr>
            </w:pPr>
          </w:p>
          <w:p w14:paraId="0F56866C" w14:textId="77777777" w:rsidR="001825E2" w:rsidRDefault="000839A5" w:rsidP="00CB00A7">
            <w:pPr>
              <w:pStyle w:val="TableParagraph"/>
              <w:jc w:val="left"/>
              <w:rPr>
                <w:b/>
              </w:rPr>
            </w:pPr>
            <w:r>
              <w:rPr>
                <w:b/>
              </w:rPr>
              <w:t>MTX</w:t>
            </w:r>
            <w:r>
              <w:rPr>
                <w:b/>
                <w:spacing w:val="3"/>
              </w:rPr>
              <w:t xml:space="preserve"> </w:t>
            </w:r>
            <w:r>
              <w:rPr>
                <w:b/>
              </w:rPr>
              <w:t>Inadequate</w:t>
            </w:r>
            <w:r>
              <w:rPr>
                <w:b/>
                <w:spacing w:val="8"/>
              </w:rPr>
              <w:t xml:space="preserve"> </w:t>
            </w:r>
            <w:r>
              <w:rPr>
                <w:b/>
                <w:spacing w:val="-2"/>
              </w:rPr>
              <w:t>Responders</w:t>
            </w:r>
          </w:p>
        </w:tc>
        <w:tc>
          <w:tcPr>
            <w:tcW w:w="1980" w:type="dxa"/>
            <w:gridSpan w:val="2"/>
          </w:tcPr>
          <w:p w14:paraId="056F8806" w14:textId="77777777" w:rsidR="001825E2" w:rsidRDefault="001825E2" w:rsidP="00CB00A7">
            <w:pPr>
              <w:pStyle w:val="TableParagraph"/>
              <w:spacing w:before="6"/>
              <w:ind w:left="0"/>
              <w:jc w:val="left"/>
              <w:rPr>
                <w:b/>
              </w:rPr>
            </w:pPr>
          </w:p>
          <w:p w14:paraId="22C1F6CB" w14:textId="77777777" w:rsidR="001825E2" w:rsidRDefault="000839A5" w:rsidP="00CB00A7">
            <w:pPr>
              <w:pStyle w:val="TableParagraph"/>
              <w:jc w:val="left"/>
              <w:rPr>
                <w:b/>
              </w:rPr>
            </w:pPr>
            <w:r>
              <w:rPr>
                <w:b/>
              </w:rPr>
              <w:t>MTX</w:t>
            </w:r>
            <w:r>
              <w:rPr>
                <w:b/>
                <w:spacing w:val="-10"/>
              </w:rPr>
              <w:t xml:space="preserve"> </w:t>
            </w:r>
            <w:r>
              <w:rPr>
                <w:b/>
              </w:rPr>
              <w:t xml:space="preserve">Inadequate </w:t>
            </w:r>
            <w:r>
              <w:rPr>
                <w:b/>
                <w:spacing w:val="-2"/>
              </w:rPr>
              <w:t>Responders</w:t>
            </w:r>
          </w:p>
        </w:tc>
        <w:tc>
          <w:tcPr>
            <w:tcW w:w="2130" w:type="dxa"/>
            <w:gridSpan w:val="2"/>
          </w:tcPr>
          <w:p w14:paraId="06258E76" w14:textId="77777777" w:rsidR="001825E2" w:rsidRDefault="000839A5" w:rsidP="00CB00A7">
            <w:pPr>
              <w:pStyle w:val="TableParagraph"/>
              <w:spacing w:before="124"/>
              <w:ind w:right="414"/>
              <w:jc w:val="left"/>
              <w:rPr>
                <w:b/>
              </w:rPr>
            </w:pPr>
            <w:r>
              <w:rPr>
                <w:b/>
              </w:rPr>
              <w:t>TNF</w:t>
            </w:r>
            <w:r>
              <w:rPr>
                <w:b/>
                <w:spacing w:val="-14"/>
              </w:rPr>
              <w:t xml:space="preserve"> </w:t>
            </w:r>
            <w:r>
              <w:rPr>
                <w:b/>
              </w:rPr>
              <w:t xml:space="preserve">Inhibitor </w:t>
            </w:r>
            <w:r>
              <w:rPr>
                <w:b/>
                <w:spacing w:val="-2"/>
              </w:rPr>
              <w:t>Inadequate Responders</w:t>
            </w:r>
          </w:p>
        </w:tc>
      </w:tr>
      <w:tr w:rsidR="001825E2" w14:paraId="4DCFC183" w14:textId="77777777">
        <w:trPr>
          <w:trHeight w:val="285"/>
        </w:trPr>
        <w:tc>
          <w:tcPr>
            <w:tcW w:w="975" w:type="dxa"/>
          </w:tcPr>
          <w:p w14:paraId="7481167A" w14:textId="77777777" w:rsidR="001825E2" w:rsidRDefault="001825E2" w:rsidP="00CB00A7">
            <w:pPr>
              <w:pStyle w:val="TableParagraph"/>
              <w:ind w:left="0"/>
              <w:jc w:val="left"/>
              <w:rPr>
                <w:sz w:val="18"/>
              </w:rPr>
            </w:pPr>
          </w:p>
        </w:tc>
        <w:tc>
          <w:tcPr>
            <w:tcW w:w="1905" w:type="dxa"/>
            <w:gridSpan w:val="2"/>
          </w:tcPr>
          <w:p w14:paraId="1748445A" w14:textId="77777777" w:rsidR="001825E2" w:rsidRDefault="000839A5" w:rsidP="00CB00A7">
            <w:pPr>
              <w:pStyle w:val="TableParagraph"/>
              <w:spacing w:before="19" w:line="245" w:lineRule="exact"/>
              <w:ind w:left="127"/>
              <w:jc w:val="left"/>
              <w:rPr>
                <w:b/>
              </w:rPr>
            </w:pPr>
            <w:r>
              <w:rPr>
                <w:b/>
              </w:rPr>
              <w:t>Study</w:t>
            </w:r>
            <w:r>
              <w:rPr>
                <w:b/>
                <w:spacing w:val="-6"/>
              </w:rPr>
              <w:t xml:space="preserve"> </w:t>
            </w:r>
            <w:r>
              <w:rPr>
                <w:b/>
              </w:rPr>
              <w:t>I</w:t>
            </w:r>
            <w:r>
              <w:rPr>
                <w:b/>
                <w:spacing w:val="4"/>
              </w:rPr>
              <w:t xml:space="preserve"> </w:t>
            </w:r>
            <w:r>
              <w:rPr>
                <w:b/>
                <w:spacing w:val="-2"/>
              </w:rPr>
              <w:t>(SOLO)</w:t>
            </w:r>
          </w:p>
        </w:tc>
        <w:tc>
          <w:tcPr>
            <w:tcW w:w="2130" w:type="dxa"/>
            <w:gridSpan w:val="2"/>
          </w:tcPr>
          <w:p w14:paraId="4A72F840" w14:textId="77777777" w:rsidR="001825E2" w:rsidRDefault="000839A5" w:rsidP="00CB00A7">
            <w:pPr>
              <w:pStyle w:val="TableParagraph"/>
              <w:spacing w:before="19" w:line="245" w:lineRule="exact"/>
              <w:jc w:val="left"/>
              <w:rPr>
                <w:b/>
              </w:rPr>
            </w:pPr>
            <w:r>
              <w:rPr>
                <w:b/>
              </w:rPr>
              <w:t>Study</w:t>
            </w:r>
            <w:r>
              <w:rPr>
                <w:b/>
                <w:spacing w:val="-4"/>
              </w:rPr>
              <w:t xml:space="preserve"> </w:t>
            </w:r>
            <w:r>
              <w:rPr>
                <w:b/>
              </w:rPr>
              <w:t>II</w:t>
            </w:r>
            <w:r>
              <w:rPr>
                <w:b/>
                <w:spacing w:val="-9"/>
              </w:rPr>
              <w:t xml:space="preserve"> </w:t>
            </w:r>
            <w:r>
              <w:rPr>
                <w:b/>
                <w:spacing w:val="-2"/>
              </w:rPr>
              <w:t>(SYNC)</w:t>
            </w:r>
          </w:p>
        </w:tc>
        <w:tc>
          <w:tcPr>
            <w:tcW w:w="3255" w:type="dxa"/>
            <w:gridSpan w:val="3"/>
          </w:tcPr>
          <w:p w14:paraId="37AA9AFF" w14:textId="77777777" w:rsidR="001825E2" w:rsidRDefault="000839A5" w:rsidP="00CB00A7">
            <w:pPr>
              <w:pStyle w:val="TableParagraph"/>
              <w:spacing w:before="19" w:line="245" w:lineRule="exact"/>
              <w:jc w:val="left"/>
              <w:rPr>
                <w:b/>
              </w:rPr>
            </w:pPr>
            <w:r>
              <w:rPr>
                <w:b/>
              </w:rPr>
              <w:t>Study</w:t>
            </w:r>
            <w:r>
              <w:rPr>
                <w:b/>
                <w:spacing w:val="-2"/>
              </w:rPr>
              <w:t xml:space="preserve"> </w:t>
            </w:r>
            <w:r>
              <w:rPr>
                <w:b/>
              </w:rPr>
              <w:t>III</w:t>
            </w:r>
            <w:r>
              <w:rPr>
                <w:b/>
                <w:spacing w:val="-7"/>
              </w:rPr>
              <w:t xml:space="preserve"> </w:t>
            </w:r>
            <w:r>
              <w:rPr>
                <w:b/>
                <w:spacing w:val="-2"/>
              </w:rPr>
              <w:t>(Standard)</w:t>
            </w:r>
          </w:p>
        </w:tc>
        <w:tc>
          <w:tcPr>
            <w:tcW w:w="1980" w:type="dxa"/>
            <w:gridSpan w:val="2"/>
          </w:tcPr>
          <w:p w14:paraId="27090A1F" w14:textId="77777777" w:rsidR="001825E2" w:rsidRDefault="000839A5" w:rsidP="00CB00A7">
            <w:pPr>
              <w:pStyle w:val="TableParagraph"/>
              <w:spacing w:before="19" w:line="245" w:lineRule="exact"/>
              <w:jc w:val="left"/>
              <w:rPr>
                <w:b/>
              </w:rPr>
            </w:pPr>
            <w:r>
              <w:rPr>
                <w:b/>
              </w:rPr>
              <w:t>Study</w:t>
            </w:r>
            <w:r>
              <w:rPr>
                <w:b/>
                <w:spacing w:val="-4"/>
              </w:rPr>
              <w:t xml:space="preserve"> </w:t>
            </w:r>
            <w:r>
              <w:rPr>
                <w:b/>
              </w:rPr>
              <w:t>IV</w:t>
            </w:r>
            <w:r>
              <w:rPr>
                <w:b/>
                <w:spacing w:val="-8"/>
              </w:rPr>
              <w:t xml:space="preserve"> </w:t>
            </w:r>
            <w:r>
              <w:rPr>
                <w:b/>
                <w:spacing w:val="-2"/>
              </w:rPr>
              <w:t>(SCAN)</w:t>
            </w:r>
          </w:p>
        </w:tc>
        <w:tc>
          <w:tcPr>
            <w:tcW w:w="2130" w:type="dxa"/>
            <w:gridSpan w:val="2"/>
          </w:tcPr>
          <w:p w14:paraId="20D606CE" w14:textId="77777777" w:rsidR="001825E2" w:rsidRDefault="000839A5" w:rsidP="00CB00A7">
            <w:pPr>
              <w:pStyle w:val="TableParagraph"/>
              <w:spacing w:before="19" w:line="245" w:lineRule="exact"/>
              <w:jc w:val="left"/>
              <w:rPr>
                <w:b/>
              </w:rPr>
            </w:pPr>
            <w:r>
              <w:rPr>
                <w:b/>
              </w:rPr>
              <w:t>Study</w:t>
            </w:r>
            <w:r>
              <w:rPr>
                <w:b/>
                <w:spacing w:val="-5"/>
              </w:rPr>
              <w:t xml:space="preserve"> </w:t>
            </w:r>
            <w:r>
              <w:rPr>
                <w:b/>
              </w:rPr>
              <w:t>V</w:t>
            </w:r>
            <w:r>
              <w:rPr>
                <w:b/>
                <w:spacing w:val="5"/>
              </w:rPr>
              <w:t xml:space="preserve"> </w:t>
            </w:r>
            <w:r>
              <w:rPr>
                <w:b/>
                <w:spacing w:val="-2"/>
              </w:rPr>
              <w:t>(STEP)</w:t>
            </w:r>
          </w:p>
        </w:tc>
      </w:tr>
      <w:tr w:rsidR="001825E2" w14:paraId="77634463" w14:textId="77777777">
        <w:trPr>
          <w:trHeight w:val="1041"/>
        </w:trPr>
        <w:tc>
          <w:tcPr>
            <w:tcW w:w="975" w:type="dxa"/>
            <w:tcBorders>
              <w:bottom w:val="nil"/>
            </w:tcBorders>
          </w:tcPr>
          <w:p w14:paraId="363F8CAB" w14:textId="77777777" w:rsidR="001825E2" w:rsidRDefault="000839A5" w:rsidP="00CB00A7">
            <w:pPr>
              <w:pStyle w:val="TableParagraph"/>
              <w:spacing w:line="242" w:lineRule="auto"/>
              <w:ind w:right="82"/>
              <w:jc w:val="left"/>
              <w:rPr>
                <w:sz w:val="18"/>
              </w:rPr>
            </w:pPr>
            <w:r>
              <w:rPr>
                <w:spacing w:val="-2"/>
                <w:sz w:val="18"/>
              </w:rPr>
              <w:t xml:space="preserve">Response </w:t>
            </w:r>
            <w:r>
              <w:rPr>
                <w:spacing w:val="-4"/>
                <w:sz w:val="18"/>
              </w:rPr>
              <w:t>Rate</w:t>
            </w:r>
          </w:p>
        </w:tc>
        <w:tc>
          <w:tcPr>
            <w:tcW w:w="870" w:type="dxa"/>
            <w:tcBorders>
              <w:bottom w:val="nil"/>
            </w:tcBorders>
          </w:tcPr>
          <w:p w14:paraId="3F0439F0" w14:textId="77777777" w:rsidR="001825E2" w:rsidRDefault="000839A5" w:rsidP="00CB00A7">
            <w:pPr>
              <w:pStyle w:val="TableParagraph"/>
              <w:spacing w:line="204" w:lineRule="exact"/>
              <w:ind w:left="127"/>
              <w:jc w:val="left"/>
              <w:rPr>
                <w:sz w:val="18"/>
              </w:rPr>
            </w:pPr>
            <w:r>
              <w:rPr>
                <w:spacing w:val="-2"/>
                <w:sz w:val="18"/>
              </w:rPr>
              <w:t>Placebo</w:t>
            </w:r>
          </w:p>
        </w:tc>
        <w:tc>
          <w:tcPr>
            <w:tcW w:w="1035" w:type="dxa"/>
            <w:tcBorders>
              <w:bottom w:val="nil"/>
            </w:tcBorders>
          </w:tcPr>
          <w:p w14:paraId="202F8069" w14:textId="77777777" w:rsidR="001825E2" w:rsidRDefault="000839A5" w:rsidP="00CB00A7">
            <w:pPr>
              <w:pStyle w:val="TableParagraph"/>
              <w:spacing w:line="204" w:lineRule="exact"/>
              <w:jc w:val="left"/>
              <w:rPr>
                <w:sz w:val="18"/>
              </w:rPr>
            </w:pPr>
            <w:r>
              <w:rPr>
                <w:spacing w:val="-2"/>
                <w:sz w:val="18"/>
              </w:rPr>
              <w:t>XELJANZ</w:t>
            </w:r>
          </w:p>
          <w:p w14:paraId="595DF5EA" w14:textId="77777777" w:rsidR="001825E2" w:rsidRDefault="000839A5" w:rsidP="00CB00A7">
            <w:pPr>
              <w:pStyle w:val="TableParagraph"/>
              <w:spacing w:before="3" w:line="242" w:lineRule="auto"/>
              <w:ind w:right="468"/>
              <w:jc w:val="left"/>
              <w:rPr>
                <w:sz w:val="18"/>
              </w:rPr>
            </w:pPr>
            <w:r>
              <w:rPr>
                <w:sz w:val="18"/>
              </w:rPr>
              <w:t xml:space="preserve">5 mg </w:t>
            </w:r>
            <w:r>
              <w:rPr>
                <w:spacing w:val="-6"/>
                <w:sz w:val="18"/>
              </w:rPr>
              <w:t>Twice</w:t>
            </w:r>
            <w:r>
              <w:rPr>
                <w:spacing w:val="-2"/>
                <w:sz w:val="18"/>
              </w:rPr>
              <w:t xml:space="preserve"> Daily</w:t>
            </w:r>
          </w:p>
        </w:tc>
        <w:tc>
          <w:tcPr>
            <w:tcW w:w="990" w:type="dxa"/>
            <w:tcBorders>
              <w:bottom w:val="nil"/>
            </w:tcBorders>
          </w:tcPr>
          <w:p w14:paraId="04AFED93" w14:textId="77777777" w:rsidR="001825E2" w:rsidRDefault="000839A5" w:rsidP="00CB00A7">
            <w:pPr>
              <w:pStyle w:val="TableParagraph"/>
              <w:spacing w:line="204" w:lineRule="exact"/>
              <w:jc w:val="left"/>
              <w:rPr>
                <w:sz w:val="18"/>
              </w:rPr>
            </w:pPr>
            <w:r>
              <w:rPr>
                <w:spacing w:val="-2"/>
                <w:sz w:val="18"/>
              </w:rPr>
              <w:t>Placebo</w:t>
            </w:r>
          </w:p>
          <w:p w14:paraId="6C39D287" w14:textId="77777777" w:rsidR="001825E2" w:rsidRDefault="000839A5" w:rsidP="00CB00A7">
            <w:pPr>
              <w:pStyle w:val="TableParagraph"/>
              <w:spacing w:before="3"/>
              <w:jc w:val="left"/>
              <w:rPr>
                <w:sz w:val="18"/>
              </w:rPr>
            </w:pPr>
            <w:r>
              <w:rPr>
                <w:spacing w:val="-10"/>
                <w:sz w:val="18"/>
              </w:rPr>
              <w:t>+</w:t>
            </w:r>
          </w:p>
          <w:p w14:paraId="014E72BE" w14:textId="77777777" w:rsidR="001825E2" w:rsidRDefault="000839A5" w:rsidP="00CB00A7">
            <w:pPr>
              <w:pStyle w:val="TableParagraph"/>
              <w:spacing w:before="3"/>
              <w:jc w:val="left"/>
              <w:rPr>
                <w:sz w:val="18"/>
              </w:rPr>
            </w:pPr>
            <w:r>
              <w:rPr>
                <w:spacing w:val="-2"/>
                <w:sz w:val="18"/>
              </w:rPr>
              <w:t>DMARD</w:t>
            </w:r>
          </w:p>
        </w:tc>
        <w:tc>
          <w:tcPr>
            <w:tcW w:w="1140" w:type="dxa"/>
            <w:tcBorders>
              <w:bottom w:val="nil"/>
            </w:tcBorders>
          </w:tcPr>
          <w:p w14:paraId="39949381" w14:textId="77777777" w:rsidR="001825E2" w:rsidRDefault="000839A5" w:rsidP="00CB00A7">
            <w:pPr>
              <w:pStyle w:val="TableParagraph"/>
              <w:spacing w:line="204" w:lineRule="exact"/>
              <w:jc w:val="left"/>
              <w:rPr>
                <w:sz w:val="18"/>
              </w:rPr>
            </w:pPr>
            <w:r>
              <w:rPr>
                <w:spacing w:val="-2"/>
                <w:sz w:val="18"/>
              </w:rPr>
              <w:t>XELJANZ</w:t>
            </w:r>
          </w:p>
          <w:p w14:paraId="13EB8359" w14:textId="77777777" w:rsidR="001825E2" w:rsidRDefault="000839A5" w:rsidP="00CB00A7">
            <w:pPr>
              <w:pStyle w:val="TableParagraph"/>
              <w:spacing w:before="3" w:line="242" w:lineRule="auto"/>
              <w:ind w:right="168"/>
              <w:jc w:val="left"/>
              <w:rPr>
                <w:sz w:val="18"/>
              </w:rPr>
            </w:pPr>
            <w:r>
              <w:rPr>
                <w:spacing w:val="-2"/>
                <w:sz w:val="18"/>
              </w:rPr>
              <w:t>5</w:t>
            </w:r>
            <w:r>
              <w:rPr>
                <w:spacing w:val="-10"/>
                <w:sz w:val="18"/>
              </w:rPr>
              <w:t xml:space="preserve"> </w:t>
            </w:r>
            <w:r>
              <w:rPr>
                <w:spacing w:val="-2"/>
                <w:sz w:val="18"/>
              </w:rPr>
              <w:t>mg</w:t>
            </w:r>
            <w:r>
              <w:rPr>
                <w:spacing w:val="-9"/>
                <w:sz w:val="18"/>
              </w:rPr>
              <w:t xml:space="preserve"> </w:t>
            </w:r>
            <w:r>
              <w:rPr>
                <w:spacing w:val="-2"/>
                <w:sz w:val="18"/>
              </w:rPr>
              <w:t xml:space="preserve">Twice </w:t>
            </w:r>
            <w:r>
              <w:rPr>
                <w:sz w:val="18"/>
              </w:rPr>
              <w:t>Daily +</w:t>
            </w:r>
          </w:p>
          <w:p w14:paraId="4D1AB736" w14:textId="77777777" w:rsidR="001825E2" w:rsidRDefault="000839A5" w:rsidP="00CB00A7">
            <w:pPr>
              <w:pStyle w:val="TableParagraph"/>
              <w:spacing w:before="2"/>
              <w:jc w:val="left"/>
              <w:rPr>
                <w:sz w:val="18"/>
              </w:rPr>
            </w:pPr>
            <w:r>
              <w:rPr>
                <w:spacing w:val="-2"/>
                <w:sz w:val="18"/>
              </w:rPr>
              <w:t>DMARD</w:t>
            </w:r>
          </w:p>
        </w:tc>
        <w:tc>
          <w:tcPr>
            <w:tcW w:w="840" w:type="dxa"/>
            <w:tcBorders>
              <w:bottom w:val="nil"/>
            </w:tcBorders>
          </w:tcPr>
          <w:p w14:paraId="14F37035" w14:textId="77777777" w:rsidR="001825E2" w:rsidRDefault="000839A5" w:rsidP="00CB00A7">
            <w:pPr>
              <w:pStyle w:val="TableParagraph"/>
              <w:spacing w:line="204" w:lineRule="exact"/>
              <w:jc w:val="left"/>
              <w:rPr>
                <w:sz w:val="18"/>
              </w:rPr>
            </w:pPr>
            <w:r>
              <w:rPr>
                <w:spacing w:val="-2"/>
                <w:sz w:val="18"/>
              </w:rPr>
              <w:t>Placebo</w:t>
            </w:r>
          </w:p>
          <w:p w14:paraId="5A244FB5" w14:textId="77777777" w:rsidR="001825E2" w:rsidRDefault="000839A5" w:rsidP="00CB00A7">
            <w:pPr>
              <w:pStyle w:val="TableParagraph"/>
              <w:spacing w:before="3"/>
              <w:jc w:val="left"/>
              <w:rPr>
                <w:sz w:val="18"/>
              </w:rPr>
            </w:pPr>
            <w:r>
              <w:rPr>
                <w:sz w:val="18"/>
              </w:rPr>
              <w:t>+</w:t>
            </w:r>
            <w:r>
              <w:rPr>
                <w:spacing w:val="3"/>
                <w:sz w:val="18"/>
              </w:rPr>
              <w:t xml:space="preserve"> </w:t>
            </w:r>
            <w:r>
              <w:rPr>
                <w:spacing w:val="-5"/>
                <w:sz w:val="18"/>
              </w:rPr>
              <w:t>MTX</w:t>
            </w:r>
          </w:p>
        </w:tc>
        <w:tc>
          <w:tcPr>
            <w:tcW w:w="1140" w:type="dxa"/>
            <w:tcBorders>
              <w:bottom w:val="nil"/>
            </w:tcBorders>
          </w:tcPr>
          <w:p w14:paraId="3E12C445" w14:textId="77777777" w:rsidR="001825E2" w:rsidRDefault="000839A5" w:rsidP="00CB00A7">
            <w:pPr>
              <w:pStyle w:val="TableParagraph"/>
              <w:spacing w:line="204" w:lineRule="exact"/>
              <w:jc w:val="left"/>
              <w:rPr>
                <w:sz w:val="18"/>
              </w:rPr>
            </w:pPr>
            <w:r>
              <w:rPr>
                <w:spacing w:val="-2"/>
                <w:sz w:val="18"/>
              </w:rPr>
              <w:t>XELJANZ</w:t>
            </w:r>
          </w:p>
          <w:p w14:paraId="71006C05" w14:textId="77777777" w:rsidR="001825E2" w:rsidRDefault="000839A5" w:rsidP="00CB00A7">
            <w:pPr>
              <w:pStyle w:val="TableParagraph"/>
              <w:spacing w:before="3" w:line="242" w:lineRule="auto"/>
              <w:ind w:right="168"/>
              <w:jc w:val="left"/>
              <w:rPr>
                <w:sz w:val="18"/>
              </w:rPr>
            </w:pPr>
            <w:r>
              <w:rPr>
                <w:spacing w:val="-2"/>
                <w:sz w:val="18"/>
              </w:rPr>
              <w:t>5</w:t>
            </w:r>
            <w:r>
              <w:rPr>
                <w:spacing w:val="-10"/>
                <w:sz w:val="18"/>
              </w:rPr>
              <w:t xml:space="preserve"> </w:t>
            </w:r>
            <w:r>
              <w:rPr>
                <w:spacing w:val="-2"/>
                <w:sz w:val="18"/>
              </w:rPr>
              <w:t>mg</w:t>
            </w:r>
            <w:r>
              <w:rPr>
                <w:spacing w:val="-9"/>
                <w:sz w:val="18"/>
              </w:rPr>
              <w:t xml:space="preserve"> </w:t>
            </w:r>
            <w:r>
              <w:rPr>
                <w:spacing w:val="-2"/>
                <w:sz w:val="18"/>
              </w:rPr>
              <w:t xml:space="preserve">Twice </w:t>
            </w:r>
            <w:r>
              <w:rPr>
                <w:sz w:val="18"/>
              </w:rPr>
              <w:t xml:space="preserve">Daily + </w:t>
            </w:r>
            <w:r>
              <w:rPr>
                <w:spacing w:val="-4"/>
                <w:sz w:val="18"/>
              </w:rPr>
              <w:t>MTX</w:t>
            </w:r>
          </w:p>
        </w:tc>
        <w:tc>
          <w:tcPr>
            <w:tcW w:w="1275" w:type="dxa"/>
            <w:tcBorders>
              <w:bottom w:val="nil"/>
            </w:tcBorders>
          </w:tcPr>
          <w:p w14:paraId="383CFDAB" w14:textId="77777777" w:rsidR="001825E2" w:rsidRDefault="000839A5" w:rsidP="00CB00A7">
            <w:pPr>
              <w:pStyle w:val="TableParagraph"/>
              <w:spacing w:line="242" w:lineRule="auto"/>
              <w:ind w:right="228"/>
              <w:jc w:val="left"/>
              <w:rPr>
                <w:sz w:val="18"/>
              </w:rPr>
            </w:pPr>
            <w:r>
              <w:rPr>
                <w:spacing w:val="-4"/>
                <w:sz w:val="18"/>
              </w:rPr>
              <w:t xml:space="preserve">Adalimumab </w:t>
            </w:r>
            <w:r>
              <w:rPr>
                <w:sz w:val="18"/>
              </w:rPr>
              <w:t>40 mg</w:t>
            </w:r>
          </w:p>
          <w:p w14:paraId="16DC5AB9" w14:textId="77777777" w:rsidR="001825E2" w:rsidRDefault="000839A5" w:rsidP="00CB00A7">
            <w:pPr>
              <w:pStyle w:val="TableParagraph"/>
              <w:spacing w:line="242" w:lineRule="auto"/>
              <w:ind w:right="228"/>
              <w:jc w:val="left"/>
              <w:rPr>
                <w:sz w:val="18"/>
              </w:rPr>
            </w:pPr>
            <w:r>
              <w:rPr>
                <w:sz w:val="18"/>
              </w:rPr>
              <w:t>q2</w:t>
            </w:r>
            <w:r>
              <w:rPr>
                <w:spacing w:val="-12"/>
                <w:sz w:val="18"/>
              </w:rPr>
              <w:t xml:space="preserve"> </w:t>
            </w:r>
            <w:r>
              <w:rPr>
                <w:sz w:val="18"/>
              </w:rPr>
              <w:t>Weeks</w:t>
            </w:r>
            <w:r>
              <w:rPr>
                <w:spacing w:val="-3"/>
                <w:sz w:val="18"/>
              </w:rPr>
              <w:t xml:space="preserve"> </w:t>
            </w:r>
            <w:r>
              <w:rPr>
                <w:sz w:val="18"/>
              </w:rPr>
              <w:t xml:space="preserve">+ </w:t>
            </w:r>
            <w:r>
              <w:rPr>
                <w:spacing w:val="-4"/>
                <w:sz w:val="18"/>
              </w:rPr>
              <w:t>MTX</w:t>
            </w:r>
          </w:p>
        </w:tc>
        <w:tc>
          <w:tcPr>
            <w:tcW w:w="855" w:type="dxa"/>
            <w:tcBorders>
              <w:bottom w:val="nil"/>
            </w:tcBorders>
          </w:tcPr>
          <w:p w14:paraId="1E911744" w14:textId="77777777" w:rsidR="001825E2" w:rsidRDefault="000839A5" w:rsidP="00CB00A7">
            <w:pPr>
              <w:pStyle w:val="TableParagraph"/>
              <w:spacing w:line="204" w:lineRule="exact"/>
              <w:jc w:val="left"/>
              <w:rPr>
                <w:sz w:val="18"/>
              </w:rPr>
            </w:pPr>
            <w:r>
              <w:rPr>
                <w:spacing w:val="-2"/>
                <w:sz w:val="18"/>
              </w:rPr>
              <w:t>Placebo</w:t>
            </w:r>
          </w:p>
          <w:p w14:paraId="3F365E0D" w14:textId="77777777" w:rsidR="001825E2" w:rsidRDefault="000839A5" w:rsidP="00CB00A7">
            <w:pPr>
              <w:pStyle w:val="TableParagraph"/>
              <w:spacing w:before="3"/>
              <w:jc w:val="left"/>
              <w:rPr>
                <w:sz w:val="18"/>
              </w:rPr>
            </w:pPr>
            <w:r>
              <w:rPr>
                <w:sz w:val="18"/>
              </w:rPr>
              <w:t>+</w:t>
            </w:r>
            <w:r>
              <w:rPr>
                <w:spacing w:val="3"/>
                <w:sz w:val="18"/>
              </w:rPr>
              <w:t xml:space="preserve"> </w:t>
            </w:r>
            <w:r>
              <w:rPr>
                <w:spacing w:val="-5"/>
                <w:sz w:val="18"/>
              </w:rPr>
              <w:t>MTX</w:t>
            </w:r>
          </w:p>
        </w:tc>
        <w:tc>
          <w:tcPr>
            <w:tcW w:w="1125" w:type="dxa"/>
            <w:tcBorders>
              <w:bottom w:val="nil"/>
            </w:tcBorders>
          </w:tcPr>
          <w:p w14:paraId="23C2E41A" w14:textId="77777777" w:rsidR="001825E2" w:rsidRDefault="000839A5" w:rsidP="00CB00A7">
            <w:pPr>
              <w:pStyle w:val="TableParagraph"/>
              <w:spacing w:line="204" w:lineRule="exact"/>
              <w:jc w:val="left"/>
              <w:rPr>
                <w:sz w:val="18"/>
              </w:rPr>
            </w:pPr>
            <w:r>
              <w:rPr>
                <w:spacing w:val="-2"/>
                <w:sz w:val="18"/>
              </w:rPr>
              <w:t>XELJANZ</w:t>
            </w:r>
          </w:p>
          <w:p w14:paraId="06B588F3" w14:textId="77777777" w:rsidR="001825E2" w:rsidRDefault="000839A5" w:rsidP="00CB00A7">
            <w:pPr>
              <w:pStyle w:val="TableParagraph"/>
              <w:spacing w:before="3" w:line="242" w:lineRule="auto"/>
              <w:ind w:right="141"/>
              <w:jc w:val="left"/>
              <w:rPr>
                <w:sz w:val="18"/>
              </w:rPr>
            </w:pPr>
            <w:r>
              <w:rPr>
                <w:sz w:val="18"/>
              </w:rPr>
              <w:t>5</w:t>
            </w:r>
            <w:r>
              <w:rPr>
                <w:spacing w:val="-12"/>
                <w:sz w:val="18"/>
              </w:rPr>
              <w:t xml:space="preserve"> </w:t>
            </w:r>
            <w:r>
              <w:rPr>
                <w:sz w:val="18"/>
              </w:rPr>
              <w:t>mg</w:t>
            </w:r>
            <w:r>
              <w:rPr>
                <w:spacing w:val="-11"/>
                <w:sz w:val="18"/>
              </w:rPr>
              <w:t xml:space="preserve"> </w:t>
            </w:r>
            <w:r>
              <w:rPr>
                <w:sz w:val="18"/>
              </w:rPr>
              <w:t xml:space="preserve">Twice Daily + </w:t>
            </w:r>
            <w:r>
              <w:rPr>
                <w:spacing w:val="-4"/>
                <w:sz w:val="18"/>
              </w:rPr>
              <w:t>MTX</w:t>
            </w:r>
          </w:p>
        </w:tc>
        <w:tc>
          <w:tcPr>
            <w:tcW w:w="1050" w:type="dxa"/>
            <w:tcBorders>
              <w:bottom w:val="nil"/>
            </w:tcBorders>
          </w:tcPr>
          <w:p w14:paraId="7D537B09" w14:textId="77777777" w:rsidR="001825E2" w:rsidRDefault="000839A5" w:rsidP="00CB00A7">
            <w:pPr>
              <w:pStyle w:val="TableParagraph"/>
              <w:spacing w:line="204" w:lineRule="exact"/>
              <w:jc w:val="left"/>
              <w:rPr>
                <w:sz w:val="18"/>
              </w:rPr>
            </w:pPr>
            <w:r>
              <w:rPr>
                <w:spacing w:val="-2"/>
                <w:sz w:val="18"/>
              </w:rPr>
              <w:t>Placebo</w:t>
            </w:r>
          </w:p>
          <w:p w14:paraId="06A40148" w14:textId="77777777" w:rsidR="001825E2" w:rsidRDefault="000839A5" w:rsidP="00CB00A7">
            <w:pPr>
              <w:pStyle w:val="TableParagraph"/>
              <w:spacing w:before="3"/>
              <w:jc w:val="left"/>
              <w:rPr>
                <w:sz w:val="18"/>
              </w:rPr>
            </w:pPr>
            <w:r>
              <w:rPr>
                <w:sz w:val="18"/>
              </w:rPr>
              <w:t>+</w:t>
            </w:r>
            <w:r>
              <w:rPr>
                <w:spacing w:val="3"/>
                <w:sz w:val="18"/>
              </w:rPr>
              <w:t xml:space="preserve"> </w:t>
            </w:r>
            <w:r>
              <w:rPr>
                <w:spacing w:val="-5"/>
                <w:sz w:val="18"/>
              </w:rPr>
              <w:t>MTX</w:t>
            </w:r>
          </w:p>
        </w:tc>
        <w:tc>
          <w:tcPr>
            <w:tcW w:w="1080" w:type="dxa"/>
            <w:tcBorders>
              <w:bottom w:val="nil"/>
            </w:tcBorders>
          </w:tcPr>
          <w:p w14:paraId="5CD1E81E" w14:textId="77777777" w:rsidR="001825E2" w:rsidRDefault="000839A5" w:rsidP="00CB00A7">
            <w:pPr>
              <w:pStyle w:val="TableParagraph"/>
              <w:spacing w:line="204" w:lineRule="exact"/>
              <w:jc w:val="left"/>
              <w:rPr>
                <w:sz w:val="18"/>
              </w:rPr>
            </w:pPr>
            <w:r>
              <w:rPr>
                <w:spacing w:val="-2"/>
                <w:sz w:val="18"/>
              </w:rPr>
              <w:t>XELJANZ</w:t>
            </w:r>
          </w:p>
          <w:p w14:paraId="7BC2B33E" w14:textId="77777777" w:rsidR="001825E2" w:rsidRDefault="000839A5" w:rsidP="00CB00A7">
            <w:pPr>
              <w:pStyle w:val="TableParagraph"/>
              <w:spacing w:before="3" w:line="242" w:lineRule="auto"/>
              <w:ind w:right="108"/>
              <w:jc w:val="left"/>
              <w:rPr>
                <w:sz w:val="18"/>
              </w:rPr>
            </w:pPr>
            <w:r>
              <w:rPr>
                <w:spacing w:val="-2"/>
                <w:sz w:val="18"/>
              </w:rPr>
              <w:t>5</w:t>
            </w:r>
            <w:r>
              <w:rPr>
                <w:spacing w:val="-10"/>
                <w:sz w:val="18"/>
              </w:rPr>
              <w:t xml:space="preserve"> </w:t>
            </w:r>
            <w:r>
              <w:rPr>
                <w:spacing w:val="-2"/>
                <w:sz w:val="18"/>
              </w:rPr>
              <w:t>mg</w:t>
            </w:r>
            <w:r>
              <w:rPr>
                <w:spacing w:val="-9"/>
                <w:sz w:val="18"/>
              </w:rPr>
              <w:t xml:space="preserve"> </w:t>
            </w:r>
            <w:r>
              <w:rPr>
                <w:spacing w:val="-2"/>
                <w:sz w:val="18"/>
              </w:rPr>
              <w:t xml:space="preserve">Twice </w:t>
            </w:r>
            <w:r>
              <w:rPr>
                <w:sz w:val="18"/>
              </w:rPr>
              <w:t xml:space="preserve">Daily + </w:t>
            </w:r>
            <w:r>
              <w:rPr>
                <w:spacing w:val="-4"/>
                <w:sz w:val="18"/>
              </w:rPr>
              <w:t>MTX</w:t>
            </w:r>
          </w:p>
        </w:tc>
      </w:tr>
      <w:tr w:rsidR="001825E2" w14:paraId="0D0C3134" w14:textId="77777777">
        <w:trPr>
          <w:trHeight w:val="413"/>
        </w:trPr>
        <w:tc>
          <w:tcPr>
            <w:tcW w:w="975" w:type="dxa"/>
            <w:tcBorders>
              <w:top w:val="nil"/>
            </w:tcBorders>
          </w:tcPr>
          <w:p w14:paraId="36437557" w14:textId="77777777" w:rsidR="001825E2" w:rsidRDefault="001825E2" w:rsidP="00CB00A7">
            <w:pPr>
              <w:pStyle w:val="TableParagraph"/>
              <w:ind w:left="0"/>
              <w:jc w:val="left"/>
              <w:rPr>
                <w:sz w:val="18"/>
              </w:rPr>
            </w:pPr>
          </w:p>
        </w:tc>
        <w:tc>
          <w:tcPr>
            <w:tcW w:w="870" w:type="dxa"/>
            <w:tcBorders>
              <w:top w:val="nil"/>
            </w:tcBorders>
          </w:tcPr>
          <w:p w14:paraId="54F94952" w14:textId="77777777" w:rsidR="001825E2" w:rsidRDefault="000839A5" w:rsidP="00CB00A7">
            <w:pPr>
              <w:pStyle w:val="TableParagraph"/>
              <w:spacing w:before="200" w:line="193" w:lineRule="exact"/>
              <w:ind w:left="127"/>
              <w:jc w:val="left"/>
              <w:rPr>
                <w:sz w:val="18"/>
              </w:rPr>
            </w:pPr>
            <w:r>
              <w:rPr>
                <w:spacing w:val="-2"/>
                <w:sz w:val="18"/>
              </w:rPr>
              <w:t>N=120</w:t>
            </w:r>
          </w:p>
        </w:tc>
        <w:tc>
          <w:tcPr>
            <w:tcW w:w="1035" w:type="dxa"/>
            <w:tcBorders>
              <w:top w:val="nil"/>
            </w:tcBorders>
          </w:tcPr>
          <w:p w14:paraId="7A7EA9E6" w14:textId="77777777" w:rsidR="001825E2" w:rsidRDefault="000839A5" w:rsidP="00CB00A7">
            <w:pPr>
              <w:pStyle w:val="TableParagraph"/>
              <w:spacing w:before="200" w:line="193" w:lineRule="exact"/>
              <w:jc w:val="left"/>
              <w:rPr>
                <w:sz w:val="18"/>
              </w:rPr>
            </w:pPr>
            <w:r>
              <w:rPr>
                <w:spacing w:val="-2"/>
                <w:sz w:val="18"/>
              </w:rPr>
              <w:t>N=241</w:t>
            </w:r>
          </w:p>
        </w:tc>
        <w:tc>
          <w:tcPr>
            <w:tcW w:w="990" w:type="dxa"/>
            <w:tcBorders>
              <w:top w:val="nil"/>
            </w:tcBorders>
          </w:tcPr>
          <w:p w14:paraId="6848D7F6" w14:textId="77777777" w:rsidR="001825E2" w:rsidRDefault="000839A5" w:rsidP="00CB00A7">
            <w:pPr>
              <w:pStyle w:val="TableParagraph"/>
              <w:spacing w:before="200" w:line="193" w:lineRule="exact"/>
              <w:jc w:val="left"/>
              <w:rPr>
                <w:sz w:val="18"/>
              </w:rPr>
            </w:pPr>
            <w:r>
              <w:rPr>
                <w:spacing w:val="-2"/>
                <w:sz w:val="18"/>
              </w:rPr>
              <w:t>N=157</w:t>
            </w:r>
          </w:p>
        </w:tc>
        <w:tc>
          <w:tcPr>
            <w:tcW w:w="1140" w:type="dxa"/>
            <w:tcBorders>
              <w:top w:val="nil"/>
            </w:tcBorders>
          </w:tcPr>
          <w:p w14:paraId="4D91D880" w14:textId="77777777" w:rsidR="001825E2" w:rsidRDefault="000839A5" w:rsidP="00CB00A7">
            <w:pPr>
              <w:pStyle w:val="TableParagraph"/>
              <w:spacing w:before="200" w:line="193" w:lineRule="exact"/>
              <w:jc w:val="left"/>
              <w:rPr>
                <w:sz w:val="18"/>
              </w:rPr>
            </w:pPr>
            <w:r>
              <w:rPr>
                <w:spacing w:val="-2"/>
                <w:sz w:val="18"/>
              </w:rPr>
              <w:t>N=311</w:t>
            </w:r>
          </w:p>
        </w:tc>
        <w:tc>
          <w:tcPr>
            <w:tcW w:w="840" w:type="dxa"/>
            <w:tcBorders>
              <w:top w:val="nil"/>
            </w:tcBorders>
          </w:tcPr>
          <w:p w14:paraId="6F2B820F" w14:textId="77777777" w:rsidR="001825E2" w:rsidRDefault="000839A5" w:rsidP="00CB00A7">
            <w:pPr>
              <w:pStyle w:val="TableParagraph"/>
              <w:spacing w:before="200" w:line="193" w:lineRule="exact"/>
              <w:jc w:val="left"/>
              <w:rPr>
                <w:sz w:val="18"/>
              </w:rPr>
            </w:pPr>
            <w:r>
              <w:rPr>
                <w:spacing w:val="-2"/>
                <w:sz w:val="18"/>
              </w:rPr>
              <w:t>N=106</w:t>
            </w:r>
          </w:p>
        </w:tc>
        <w:tc>
          <w:tcPr>
            <w:tcW w:w="1140" w:type="dxa"/>
            <w:tcBorders>
              <w:top w:val="nil"/>
            </w:tcBorders>
          </w:tcPr>
          <w:p w14:paraId="7329784D" w14:textId="77777777" w:rsidR="001825E2" w:rsidRDefault="000839A5" w:rsidP="00CB00A7">
            <w:pPr>
              <w:pStyle w:val="TableParagraph"/>
              <w:spacing w:before="200" w:line="193" w:lineRule="exact"/>
              <w:jc w:val="left"/>
              <w:rPr>
                <w:sz w:val="18"/>
              </w:rPr>
            </w:pPr>
            <w:r>
              <w:rPr>
                <w:spacing w:val="-2"/>
                <w:sz w:val="18"/>
              </w:rPr>
              <w:t>N=196</w:t>
            </w:r>
          </w:p>
        </w:tc>
        <w:tc>
          <w:tcPr>
            <w:tcW w:w="1275" w:type="dxa"/>
            <w:tcBorders>
              <w:top w:val="nil"/>
            </w:tcBorders>
          </w:tcPr>
          <w:p w14:paraId="18F90FBF" w14:textId="77777777" w:rsidR="001825E2" w:rsidRDefault="000839A5" w:rsidP="00CB00A7">
            <w:pPr>
              <w:pStyle w:val="TableParagraph"/>
              <w:spacing w:before="200" w:line="193" w:lineRule="exact"/>
              <w:jc w:val="left"/>
              <w:rPr>
                <w:sz w:val="18"/>
              </w:rPr>
            </w:pPr>
            <w:r>
              <w:rPr>
                <w:spacing w:val="-2"/>
                <w:sz w:val="18"/>
              </w:rPr>
              <w:t>N=199</w:t>
            </w:r>
          </w:p>
        </w:tc>
        <w:tc>
          <w:tcPr>
            <w:tcW w:w="855" w:type="dxa"/>
            <w:tcBorders>
              <w:top w:val="nil"/>
            </w:tcBorders>
          </w:tcPr>
          <w:p w14:paraId="25DDC9E9" w14:textId="77777777" w:rsidR="001825E2" w:rsidRDefault="000839A5" w:rsidP="00CB00A7">
            <w:pPr>
              <w:pStyle w:val="TableParagraph"/>
              <w:spacing w:before="200" w:line="193" w:lineRule="exact"/>
              <w:jc w:val="left"/>
              <w:rPr>
                <w:sz w:val="18"/>
              </w:rPr>
            </w:pPr>
            <w:r>
              <w:rPr>
                <w:spacing w:val="-2"/>
                <w:sz w:val="18"/>
              </w:rPr>
              <w:t>N=154</w:t>
            </w:r>
          </w:p>
        </w:tc>
        <w:tc>
          <w:tcPr>
            <w:tcW w:w="1125" w:type="dxa"/>
            <w:tcBorders>
              <w:top w:val="nil"/>
            </w:tcBorders>
          </w:tcPr>
          <w:p w14:paraId="4897B9F9" w14:textId="77777777" w:rsidR="001825E2" w:rsidRDefault="000839A5" w:rsidP="00CB00A7">
            <w:pPr>
              <w:pStyle w:val="TableParagraph"/>
              <w:spacing w:before="200" w:line="193" w:lineRule="exact"/>
              <w:jc w:val="left"/>
              <w:rPr>
                <w:sz w:val="18"/>
              </w:rPr>
            </w:pPr>
            <w:r>
              <w:rPr>
                <w:spacing w:val="-2"/>
                <w:sz w:val="18"/>
              </w:rPr>
              <w:t>N=309</w:t>
            </w:r>
          </w:p>
        </w:tc>
        <w:tc>
          <w:tcPr>
            <w:tcW w:w="1050" w:type="dxa"/>
            <w:tcBorders>
              <w:top w:val="nil"/>
            </w:tcBorders>
          </w:tcPr>
          <w:p w14:paraId="7FC6667C" w14:textId="77777777" w:rsidR="001825E2" w:rsidRDefault="000839A5" w:rsidP="00CB00A7">
            <w:pPr>
              <w:pStyle w:val="TableParagraph"/>
              <w:spacing w:before="200" w:line="193" w:lineRule="exact"/>
              <w:jc w:val="left"/>
              <w:rPr>
                <w:sz w:val="18"/>
              </w:rPr>
            </w:pPr>
            <w:r>
              <w:rPr>
                <w:spacing w:val="-2"/>
                <w:sz w:val="18"/>
              </w:rPr>
              <w:t>N=131</w:t>
            </w:r>
          </w:p>
        </w:tc>
        <w:tc>
          <w:tcPr>
            <w:tcW w:w="1080" w:type="dxa"/>
            <w:tcBorders>
              <w:top w:val="nil"/>
            </w:tcBorders>
          </w:tcPr>
          <w:p w14:paraId="7956ABDD" w14:textId="77777777" w:rsidR="001825E2" w:rsidRDefault="000839A5" w:rsidP="00CB00A7">
            <w:pPr>
              <w:pStyle w:val="TableParagraph"/>
              <w:spacing w:before="200" w:line="193" w:lineRule="exact"/>
              <w:jc w:val="left"/>
              <w:rPr>
                <w:sz w:val="18"/>
              </w:rPr>
            </w:pPr>
            <w:r>
              <w:rPr>
                <w:spacing w:val="-2"/>
                <w:sz w:val="18"/>
              </w:rPr>
              <w:t>N=132</w:t>
            </w:r>
          </w:p>
        </w:tc>
      </w:tr>
      <w:tr w:rsidR="001825E2" w14:paraId="13B47E9F" w14:textId="77777777">
        <w:trPr>
          <w:trHeight w:val="209"/>
        </w:trPr>
        <w:tc>
          <w:tcPr>
            <w:tcW w:w="975" w:type="dxa"/>
            <w:tcBorders>
              <w:bottom w:val="nil"/>
            </w:tcBorders>
          </w:tcPr>
          <w:p w14:paraId="27C84B5E" w14:textId="77777777" w:rsidR="001825E2" w:rsidRDefault="000839A5" w:rsidP="00CB00A7">
            <w:pPr>
              <w:pStyle w:val="TableParagraph"/>
              <w:spacing w:line="189" w:lineRule="exact"/>
              <w:ind w:left="45" w:right="192"/>
              <w:jc w:val="left"/>
              <w:rPr>
                <w:b/>
                <w:sz w:val="18"/>
              </w:rPr>
            </w:pPr>
            <w:r>
              <w:rPr>
                <w:b/>
                <w:spacing w:val="-4"/>
                <w:sz w:val="18"/>
              </w:rPr>
              <w:t>ACR20</w:t>
            </w:r>
          </w:p>
        </w:tc>
        <w:tc>
          <w:tcPr>
            <w:tcW w:w="870" w:type="dxa"/>
            <w:tcBorders>
              <w:bottom w:val="nil"/>
            </w:tcBorders>
          </w:tcPr>
          <w:p w14:paraId="4A0026D2" w14:textId="77777777" w:rsidR="001825E2" w:rsidRDefault="001825E2" w:rsidP="00CB00A7">
            <w:pPr>
              <w:pStyle w:val="TableParagraph"/>
              <w:ind w:left="0"/>
              <w:jc w:val="left"/>
              <w:rPr>
                <w:sz w:val="14"/>
              </w:rPr>
            </w:pPr>
          </w:p>
        </w:tc>
        <w:tc>
          <w:tcPr>
            <w:tcW w:w="1035" w:type="dxa"/>
            <w:tcBorders>
              <w:bottom w:val="nil"/>
            </w:tcBorders>
          </w:tcPr>
          <w:p w14:paraId="02DE1FAF" w14:textId="77777777" w:rsidR="001825E2" w:rsidRDefault="001825E2" w:rsidP="00CB00A7">
            <w:pPr>
              <w:pStyle w:val="TableParagraph"/>
              <w:ind w:left="0"/>
              <w:jc w:val="left"/>
              <w:rPr>
                <w:sz w:val="14"/>
              </w:rPr>
            </w:pPr>
          </w:p>
        </w:tc>
        <w:tc>
          <w:tcPr>
            <w:tcW w:w="990" w:type="dxa"/>
            <w:tcBorders>
              <w:bottom w:val="nil"/>
            </w:tcBorders>
          </w:tcPr>
          <w:p w14:paraId="1E722470" w14:textId="77777777" w:rsidR="001825E2" w:rsidRDefault="001825E2" w:rsidP="00CB00A7">
            <w:pPr>
              <w:pStyle w:val="TableParagraph"/>
              <w:ind w:left="0"/>
              <w:jc w:val="left"/>
              <w:rPr>
                <w:sz w:val="14"/>
              </w:rPr>
            </w:pPr>
          </w:p>
        </w:tc>
        <w:tc>
          <w:tcPr>
            <w:tcW w:w="1140" w:type="dxa"/>
            <w:tcBorders>
              <w:bottom w:val="nil"/>
            </w:tcBorders>
          </w:tcPr>
          <w:p w14:paraId="1BECA872" w14:textId="77777777" w:rsidR="001825E2" w:rsidRDefault="001825E2" w:rsidP="00CB00A7">
            <w:pPr>
              <w:pStyle w:val="TableParagraph"/>
              <w:ind w:left="0"/>
              <w:jc w:val="left"/>
              <w:rPr>
                <w:sz w:val="14"/>
              </w:rPr>
            </w:pPr>
          </w:p>
        </w:tc>
        <w:tc>
          <w:tcPr>
            <w:tcW w:w="840" w:type="dxa"/>
            <w:tcBorders>
              <w:bottom w:val="nil"/>
            </w:tcBorders>
          </w:tcPr>
          <w:p w14:paraId="6106DA08" w14:textId="77777777" w:rsidR="001825E2" w:rsidRDefault="001825E2" w:rsidP="00CB00A7">
            <w:pPr>
              <w:pStyle w:val="TableParagraph"/>
              <w:ind w:left="0"/>
              <w:jc w:val="left"/>
              <w:rPr>
                <w:sz w:val="14"/>
              </w:rPr>
            </w:pPr>
          </w:p>
        </w:tc>
        <w:tc>
          <w:tcPr>
            <w:tcW w:w="1140" w:type="dxa"/>
            <w:tcBorders>
              <w:bottom w:val="nil"/>
            </w:tcBorders>
          </w:tcPr>
          <w:p w14:paraId="5EE73CB8" w14:textId="77777777" w:rsidR="001825E2" w:rsidRDefault="001825E2" w:rsidP="00CB00A7">
            <w:pPr>
              <w:pStyle w:val="TableParagraph"/>
              <w:ind w:left="0"/>
              <w:jc w:val="left"/>
              <w:rPr>
                <w:sz w:val="14"/>
              </w:rPr>
            </w:pPr>
          </w:p>
        </w:tc>
        <w:tc>
          <w:tcPr>
            <w:tcW w:w="1275" w:type="dxa"/>
            <w:tcBorders>
              <w:bottom w:val="nil"/>
            </w:tcBorders>
          </w:tcPr>
          <w:p w14:paraId="68115A8C" w14:textId="77777777" w:rsidR="001825E2" w:rsidRDefault="001825E2" w:rsidP="00CB00A7">
            <w:pPr>
              <w:pStyle w:val="TableParagraph"/>
              <w:ind w:left="0"/>
              <w:jc w:val="left"/>
              <w:rPr>
                <w:sz w:val="14"/>
              </w:rPr>
            </w:pPr>
          </w:p>
        </w:tc>
        <w:tc>
          <w:tcPr>
            <w:tcW w:w="855" w:type="dxa"/>
            <w:tcBorders>
              <w:bottom w:val="nil"/>
            </w:tcBorders>
          </w:tcPr>
          <w:p w14:paraId="7CCBA8CA" w14:textId="77777777" w:rsidR="001825E2" w:rsidRDefault="001825E2" w:rsidP="00CB00A7">
            <w:pPr>
              <w:pStyle w:val="TableParagraph"/>
              <w:ind w:left="0"/>
              <w:jc w:val="left"/>
              <w:rPr>
                <w:sz w:val="14"/>
              </w:rPr>
            </w:pPr>
          </w:p>
        </w:tc>
        <w:tc>
          <w:tcPr>
            <w:tcW w:w="1125" w:type="dxa"/>
            <w:tcBorders>
              <w:bottom w:val="nil"/>
            </w:tcBorders>
          </w:tcPr>
          <w:p w14:paraId="2C1737DC" w14:textId="77777777" w:rsidR="001825E2" w:rsidRDefault="001825E2" w:rsidP="00CB00A7">
            <w:pPr>
              <w:pStyle w:val="TableParagraph"/>
              <w:ind w:left="0"/>
              <w:jc w:val="left"/>
              <w:rPr>
                <w:sz w:val="14"/>
              </w:rPr>
            </w:pPr>
          </w:p>
        </w:tc>
        <w:tc>
          <w:tcPr>
            <w:tcW w:w="1050" w:type="dxa"/>
            <w:tcBorders>
              <w:bottom w:val="nil"/>
            </w:tcBorders>
          </w:tcPr>
          <w:p w14:paraId="11C6AABF" w14:textId="77777777" w:rsidR="001825E2" w:rsidRDefault="001825E2" w:rsidP="00CB00A7">
            <w:pPr>
              <w:pStyle w:val="TableParagraph"/>
              <w:ind w:left="0"/>
              <w:jc w:val="left"/>
              <w:rPr>
                <w:sz w:val="14"/>
              </w:rPr>
            </w:pPr>
          </w:p>
        </w:tc>
        <w:tc>
          <w:tcPr>
            <w:tcW w:w="1080" w:type="dxa"/>
            <w:tcBorders>
              <w:bottom w:val="nil"/>
            </w:tcBorders>
          </w:tcPr>
          <w:p w14:paraId="0D91213B" w14:textId="77777777" w:rsidR="001825E2" w:rsidRDefault="001825E2" w:rsidP="00CB00A7">
            <w:pPr>
              <w:pStyle w:val="TableParagraph"/>
              <w:ind w:left="0"/>
              <w:jc w:val="left"/>
              <w:rPr>
                <w:sz w:val="14"/>
              </w:rPr>
            </w:pPr>
          </w:p>
        </w:tc>
      </w:tr>
      <w:tr w:rsidR="001825E2" w14:paraId="2838E6F1" w14:textId="77777777">
        <w:trPr>
          <w:trHeight w:val="210"/>
        </w:trPr>
        <w:tc>
          <w:tcPr>
            <w:tcW w:w="975" w:type="dxa"/>
            <w:tcBorders>
              <w:top w:val="nil"/>
              <w:bottom w:val="nil"/>
            </w:tcBorders>
          </w:tcPr>
          <w:p w14:paraId="0E6A575B" w14:textId="77777777" w:rsidR="001825E2" w:rsidRDefault="000839A5" w:rsidP="00CB00A7">
            <w:pPr>
              <w:pStyle w:val="TableParagraph"/>
              <w:spacing w:line="190" w:lineRule="exact"/>
              <w:ind w:left="45" w:right="164"/>
              <w:jc w:val="left"/>
              <w:rPr>
                <w:sz w:val="18"/>
              </w:rPr>
            </w:pPr>
            <w:r>
              <w:rPr>
                <w:sz w:val="18"/>
              </w:rPr>
              <w:t>Month</w:t>
            </w:r>
            <w:r>
              <w:rPr>
                <w:spacing w:val="-2"/>
                <w:sz w:val="18"/>
              </w:rPr>
              <w:t xml:space="preserve"> </w:t>
            </w:r>
            <w:r>
              <w:rPr>
                <w:spacing w:val="-10"/>
                <w:sz w:val="18"/>
              </w:rPr>
              <w:t>3</w:t>
            </w:r>
          </w:p>
        </w:tc>
        <w:tc>
          <w:tcPr>
            <w:tcW w:w="870" w:type="dxa"/>
            <w:tcBorders>
              <w:top w:val="nil"/>
              <w:bottom w:val="nil"/>
            </w:tcBorders>
          </w:tcPr>
          <w:p w14:paraId="20A5FD60" w14:textId="77777777" w:rsidR="001825E2" w:rsidRDefault="000839A5" w:rsidP="00CB00A7">
            <w:pPr>
              <w:pStyle w:val="TableParagraph"/>
              <w:spacing w:line="190" w:lineRule="exact"/>
              <w:ind w:left="127"/>
              <w:jc w:val="left"/>
              <w:rPr>
                <w:sz w:val="18"/>
              </w:rPr>
            </w:pPr>
            <w:r>
              <w:rPr>
                <w:spacing w:val="-5"/>
                <w:sz w:val="18"/>
              </w:rPr>
              <w:t>27%</w:t>
            </w:r>
          </w:p>
        </w:tc>
        <w:tc>
          <w:tcPr>
            <w:tcW w:w="1035" w:type="dxa"/>
            <w:tcBorders>
              <w:top w:val="nil"/>
              <w:bottom w:val="nil"/>
            </w:tcBorders>
          </w:tcPr>
          <w:p w14:paraId="1AF61203" w14:textId="77777777" w:rsidR="001825E2" w:rsidRDefault="000839A5" w:rsidP="00CB00A7">
            <w:pPr>
              <w:pStyle w:val="TableParagraph"/>
              <w:spacing w:line="190" w:lineRule="exact"/>
              <w:jc w:val="left"/>
              <w:rPr>
                <w:sz w:val="18"/>
              </w:rPr>
            </w:pPr>
            <w:r>
              <w:rPr>
                <w:spacing w:val="-2"/>
                <w:sz w:val="18"/>
              </w:rPr>
              <w:t>60%***</w:t>
            </w:r>
          </w:p>
        </w:tc>
        <w:tc>
          <w:tcPr>
            <w:tcW w:w="990" w:type="dxa"/>
            <w:tcBorders>
              <w:top w:val="nil"/>
              <w:bottom w:val="nil"/>
            </w:tcBorders>
          </w:tcPr>
          <w:p w14:paraId="6D1DB12A" w14:textId="77777777" w:rsidR="001825E2" w:rsidRDefault="000839A5" w:rsidP="00CB00A7">
            <w:pPr>
              <w:pStyle w:val="TableParagraph"/>
              <w:spacing w:line="190" w:lineRule="exact"/>
              <w:jc w:val="left"/>
              <w:rPr>
                <w:sz w:val="18"/>
              </w:rPr>
            </w:pPr>
            <w:r>
              <w:rPr>
                <w:spacing w:val="-5"/>
                <w:sz w:val="18"/>
              </w:rPr>
              <w:t>27%</w:t>
            </w:r>
          </w:p>
        </w:tc>
        <w:tc>
          <w:tcPr>
            <w:tcW w:w="1140" w:type="dxa"/>
            <w:tcBorders>
              <w:top w:val="nil"/>
              <w:bottom w:val="nil"/>
            </w:tcBorders>
          </w:tcPr>
          <w:p w14:paraId="27227B51" w14:textId="77777777" w:rsidR="001825E2" w:rsidRDefault="000839A5" w:rsidP="00CB00A7">
            <w:pPr>
              <w:pStyle w:val="TableParagraph"/>
              <w:spacing w:line="190" w:lineRule="exact"/>
              <w:jc w:val="left"/>
              <w:rPr>
                <w:sz w:val="18"/>
              </w:rPr>
            </w:pPr>
            <w:r>
              <w:rPr>
                <w:spacing w:val="-2"/>
                <w:sz w:val="18"/>
              </w:rPr>
              <w:t>56%***</w:t>
            </w:r>
          </w:p>
        </w:tc>
        <w:tc>
          <w:tcPr>
            <w:tcW w:w="840" w:type="dxa"/>
            <w:tcBorders>
              <w:top w:val="nil"/>
              <w:bottom w:val="nil"/>
            </w:tcBorders>
          </w:tcPr>
          <w:p w14:paraId="70E18AFE" w14:textId="77777777" w:rsidR="001825E2" w:rsidRDefault="000839A5" w:rsidP="00CB00A7">
            <w:pPr>
              <w:pStyle w:val="TableParagraph"/>
              <w:spacing w:line="190" w:lineRule="exact"/>
              <w:jc w:val="left"/>
              <w:rPr>
                <w:sz w:val="18"/>
              </w:rPr>
            </w:pPr>
            <w:r>
              <w:rPr>
                <w:spacing w:val="-5"/>
                <w:sz w:val="18"/>
              </w:rPr>
              <w:t>26%</w:t>
            </w:r>
          </w:p>
        </w:tc>
        <w:tc>
          <w:tcPr>
            <w:tcW w:w="1140" w:type="dxa"/>
            <w:tcBorders>
              <w:top w:val="nil"/>
              <w:bottom w:val="nil"/>
            </w:tcBorders>
          </w:tcPr>
          <w:p w14:paraId="179E37CC" w14:textId="77777777" w:rsidR="001825E2" w:rsidRDefault="000839A5" w:rsidP="00CB00A7">
            <w:pPr>
              <w:pStyle w:val="TableParagraph"/>
              <w:spacing w:line="190" w:lineRule="exact"/>
              <w:jc w:val="left"/>
              <w:rPr>
                <w:sz w:val="18"/>
              </w:rPr>
            </w:pPr>
            <w:r>
              <w:rPr>
                <w:spacing w:val="-2"/>
                <w:sz w:val="18"/>
              </w:rPr>
              <w:t>61%***</w:t>
            </w:r>
          </w:p>
        </w:tc>
        <w:tc>
          <w:tcPr>
            <w:tcW w:w="1275" w:type="dxa"/>
            <w:tcBorders>
              <w:top w:val="nil"/>
              <w:bottom w:val="nil"/>
            </w:tcBorders>
          </w:tcPr>
          <w:p w14:paraId="2BCF5AF6" w14:textId="77777777" w:rsidR="001825E2" w:rsidRDefault="000839A5" w:rsidP="00CB00A7">
            <w:pPr>
              <w:pStyle w:val="TableParagraph"/>
              <w:spacing w:line="190" w:lineRule="exact"/>
              <w:jc w:val="left"/>
              <w:rPr>
                <w:sz w:val="18"/>
              </w:rPr>
            </w:pPr>
            <w:r>
              <w:rPr>
                <w:spacing w:val="-2"/>
                <w:sz w:val="18"/>
              </w:rPr>
              <w:t>56%***</w:t>
            </w:r>
          </w:p>
        </w:tc>
        <w:tc>
          <w:tcPr>
            <w:tcW w:w="855" w:type="dxa"/>
            <w:tcBorders>
              <w:top w:val="nil"/>
              <w:bottom w:val="nil"/>
            </w:tcBorders>
          </w:tcPr>
          <w:p w14:paraId="4CE15EA4" w14:textId="77777777" w:rsidR="001825E2" w:rsidRDefault="000839A5" w:rsidP="00CB00A7">
            <w:pPr>
              <w:pStyle w:val="TableParagraph"/>
              <w:spacing w:line="190" w:lineRule="exact"/>
              <w:jc w:val="left"/>
              <w:rPr>
                <w:sz w:val="18"/>
              </w:rPr>
            </w:pPr>
            <w:r>
              <w:rPr>
                <w:spacing w:val="-5"/>
                <w:sz w:val="18"/>
              </w:rPr>
              <w:t>27%</w:t>
            </w:r>
          </w:p>
        </w:tc>
        <w:tc>
          <w:tcPr>
            <w:tcW w:w="1125" w:type="dxa"/>
            <w:tcBorders>
              <w:top w:val="nil"/>
              <w:bottom w:val="nil"/>
            </w:tcBorders>
          </w:tcPr>
          <w:p w14:paraId="7CF89A28" w14:textId="77777777" w:rsidR="001825E2" w:rsidRDefault="000839A5" w:rsidP="00CB00A7">
            <w:pPr>
              <w:pStyle w:val="TableParagraph"/>
              <w:spacing w:line="190" w:lineRule="exact"/>
              <w:jc w:val="left"/>
              <w:rPr>
                <w:sz w:val="18"/>
              </w:rPr>
            </w:pPr>
            <w:r>
              <w:rPr>
                <w:spacing w:val="-2"/>
                <w:sz w:val="18"/>
              </w:rPr>
              <w:t>56%***</w:t>
            </w:r>
          </w:p>
        </w:tc>
        <w:tc>
          <w:tcPr>
            <w:tcW w:w="1050" w:type="dxa"/>
            <w:tcBorders>
              <w:top w:val="nil"/>
              <w:bottom w:val="nil"/>
            </w:tcBorders>
          </w:tcPr>
          <w:p w14:paraId="683EF5E7" w14:textId="77777777" w:rsidR="001825E2" w:rsidRDefault="000839A5" w:rsidP="00CB00A7">
            <w:pPr>
              <w:pStyle w:val="TableParagraph"/>
              <w:spacing w:line="190" w:lineRule="exact"/>
              <w:jc w:val="left"/>
              <w:rPr>
                <w:sz w:val="18"/>
              </w:rPr>
            </w:pPr>
            <w:r>
              <w:rPr>
                <w:spacing w:val="-5"/>
                <w:sz w:val="18"/>
              </w:rPr>
              <w:t>24%</w:t>
            </w:r>
          </w:p>
        </w:tc>
        <w:tc>
          <w:tcPr>
            <w:tcW w:w="1080" w:type="dxa"/>
            <w:tcBorders>
              <w:top w:val="nil"/>
              <w:bottom w:val="nil"/>
            </w:tcBorders>
          </w:tcPr>
          <w:p w14:paraId="526C850B" w14:textId="77777777" w:rsidR="001825E2" w:rsidRDefault="000839A5" w:rsidP="00CB00A7">
            <w:pPr>
              <w:pStyle w:val="TableParagraph"/>
              <w:spacing w:line="190" w:lineRule="exact"/>
              <w:jc w:val="left"/>
              <w:rPr>
                <w:sz w:val="18"/>
              </w:rPr>
            </w:pPr>
            <w:r>
              <w:rPr>
                <w:spacing w:val="-4"/>
                <w:sz w:val="18"/>
              </w:rPr>
              <w:t>42%*</w:t>
            </w:r>
          </w:p>
        </w:tc>
      </w:tr>
      <w:tr w:rsidR="001825E2" w14:paraId="0CCDD499" w14:textId="77777777">
        <w:trPr>
          <w:trHeight w:val="210"/>
        </w:trPr>
        <w:tc>
          <w:tcPr>
            <w:tcW w:w="975" w:type="dxa"/>
            <w:tcBorders>
              <w:top w:val="nil"/>
              <w:bottom w:val="nil"/>
            </w:tcBorders>
          </w:tcPr>
          <w:p w14:paraId="2A006D44" w14:textId="77777777" w:rsidR="001825E2" w:rsidRDefault="000839A5" w:rsidP="00CB00A7">
            <w:pPr>
              <w:pStyle w:val="TableParagraph"/>
              <w:spacing w:line="190" w:lineRule="exact"/>
              <w:ind w:left="45" w:right="164"/>
              <w:jc w:val="left"/>
              <w:rPr>
                <w:sz w:val="18"/>
              </w:rPr>
            </w:pPr>
            <w:r>
              <w:rPr>
                <w:sz w:val="18"/>
              </w:rPr>
              <w:t>Month</w:t>
            </w:r>
            <w:r>
              <w:rPr>
                <w:spacing w:val="-2"/>
                <w:sz w:val="18"/>
              </w:rPr>
              <w:t xml:space="preserve"> </w:t>
            </w:r>
            <w:r>
              <w:rPr>
                <w:spacing w:val="-10"/>
                <w:sz w:val="18"/>
              </w:rPr>
              <w:t>6</w:t>
            </w:r>
          </w:p>
        </w:tc>
        <w:tc>
          <w:tcPr>
            <w:tcW w:w="870" w:type="dxa"/>
            <w:tcBorders>
              <w:top w:val="nil"/>
              <w:bottom w:val="nil"/>
            </w:tcBorders>
          </w:tcPr>
          <w:p w14:paraId="6D6C88A4" w14:textId="77777777" w:rsidR="001825E2" w:rsidRDefault="000839A5" w:rsidP="00CB00A7">
            <w:pPr>
              <w:pStyle w:val="TableParagraph"/>
              <w:spacing w:line="190" w:lineRule="exact"/>
              <w:ind w:left="127"/>
              <w:jc w:val="left"/>
              <w:rPr>
                <w:sz w:val="18"/>
              </w:rPr>
            </w:pPr>
            <w:r>
              <w:rPr>
                <w:spacing w:val="-5"/>
                <w:sz w:val="18"/>
              </w:rPr>
              <w:t>NA</w:t>
            </w:r>
          </w:p>
        </w:tc>
        <w:tc>
          <w:tcPr>
            <w:tcW w:w="1035" w:type="dxa"/>
            <w:tcBorders>
              <w:top w:val="nil"/>
              <w:bottom w:val="nil"/>
            </w:tcBorders>
          </w:tcPr>
          <w:p w14:paraId="77C2EB98" w14:textId="77777777" w:rsidR="001825E2" w:rsidRDefault="000839A5" w:rsidP="00CB00A7">
            <w:pPr>
              <w:pStyle w:val="TableParagraph"/>
              <w:spacing w:line="190" w:lineRule="exact"/>
              <w:jc w:val="left"/>
              <w:rPr>
                <w:sz w:val="18"/>
              </w:rPr>
            </w:pPr>
            <w:r>
              <w:rPr>
                <w:spacing w:val="-5"/>
                <w:sz w:val="18"/>
              </w:rPr>
              <w:t>69%</w:t>
            </w:r>
          </w:p>
        </w:tc>
        <w:tc>
          <w:tcPr>
            <w:tcW w:w="990" w:type="dxa"/>
            <w:tcBorders>
              <w:top w:val="nil"/>
              <w:bottom w:val="nil"/>
            </w:tcBorders>
          </w:tcPr>
          <w:p w14:paraId="0BD51557" w14:textId="77777777" w:rsidR="001825E2" w:rsidRDefault="000839A5" w:rsidP="00CB00A7">
            <w:pPr>
              <w:pStyle w:val="TableParagraph"/>
              <w:spacing w:line="190" w:lineRule="exact"/>
              <w:jc w:val="left"/>
              <w:rPr>
                <w:sz w:val="18"/>
              </w:rPr>
            </w:pPr>
            <w:r>
              <w:rPr>
                <w:spacing w:val="-5"/>
                <w:sz w:val="18"/>
              </w:rPr>
              <w:t>31%</w:t>
            </w:r>
          </w:p>
        </w:tc>
        <w:tc>
          <w:tcPr>
            <w:tcW w:w="1140" w:type="dxa"/>
            <w:tcBorders>
              <w:top w:val="nil"/>
              <w:bottom w:val="nil"/>
            </w:tcBorders>
          </w:tcPr>
          <w:p w14:paraId="08A06C79" w14:textId="77777777" w:rsidR="001825E2" w:rsidRDefault="000839A5" w:rsidP="00CB00A7">
            <w:pPr>
              <w:pStyle w:val="TableParagraph"/>
              <w:spacing w:line="190" w:lineRule="exact"/>
              <w:jc w:val="left"/>
              <w:rPr>
                <w:sz w:val="18"/>
              </w:rPr>
            </w:pPr>
            <w:r>
              <w:rPr>
                <w:spacing w:val="-2"/>
                <w:sz w:val="18"/>
              </w:rPr>
              <w:t>53%***</w:t>
            </w:r>
          </w:p>
        </w:tc>
        <w:tc>
          <w:tcPr>
            <w:tcW w:w="840" w:type="dxa"/>
            <w:tcBorders>
              <w:top w:val="nil"/>
              <w:bottom w:val="nil"/>
            </w:tcBorders>
          </w:tcPr>
          <w:p w14:paraId="0D6E0479" w14:textId="77777777" w:rsidR="001825E2" w:rsidRDefault="000839A5" w:rsidP="00CB00A7">
            <w:pPr>
              <w:pStyle w:val="TableParagraph"/>
              <w:spacing w:line="190" w:lineRule="exact"/>
              <w:jc w:val="left"/>
              <w:rPr>
                <w:sz w:val="18"/>
              </w:rPr>
            </w:pPr>
            <w:r>
              <w:rPr>
                <w:spacing w:val="-5"/>
                <w:sz w:val="18"/>
              </w:rPr>
              <w:t>28%</w:t>
            </w:r>
          </w:p>
        </w:tc>
        <w:tc>
          <w:tcPr>
            <w:tcW w:w="1140" w:type="dxa"/>
            <w:tcBorders>
              <w:top w:val="nil"/>
              <w:bottom w:val="nil"/>
            </w:tcBorders>
          </w:tcPr>
          <w:p w14:paraId="50AE575E" w14:textId="77777777" w:rsidR="001825E2" w:rsidRDefault="000839A5" w:rsidP="00CB00A7">
            <w:pPr>
              <w:pStyle w:val="TableParagraph"/>
              <w:spacing w:line="190" w:lineRule="exact"/>
              <w:jc w:val="left"/>
              <w:rPr>
                <w:sz w:val="18"/>
              </w:rPr>
            </w:pPr>
            <w:r>
              <w:rPr>
                <w:spacing w:val="-2"/>
                <w:sz w:val="18"/>
              </w:rPr>
              <w:t>52%***</w:t>
            </w:r>
          </w:p>
        </w:tc>
        <w:tc>
          <w:tcPr>
            <w:tcW w:w="1275" w:type="dxa"/>
            <w:tcBorders>
              <w:top w:val="nil"/>
              <w:bottom w:val="nil"/>
            </w:tcBorders>
          </w:tcPr>
          <w:p w14:paraId="4B5AA0F1" w14:textId="77777777" w:rsidR="001825E2" w:rsidRDefault="000839A5" w:rsidP="00CB00A7">
            <w:pPr>
              <w:pStyle w:val="TableParagraph"/>
              <w:spacing w:line="190" w:lineRule="exact"/>
              <w:jc w:val="left"/>
              <w:rPr>
                <w:sz w:val="18"/>
              </w:rPr>
            </w:pPr>
            <w:r>
              <w:rPr>
                <w:spacing w:val="-2"/>
                <w:sz w:val="18"/>
              </w:rPr>
              <w:t>47%**</w:t>
            </w:r>
          </w:p>
        </w:tc>
        <w:tc>
          <w:tcPr>
            <w:tcW w:w="855" w:type="dxa"/>
            <w:tcBorders>
              <w:top w:val="nil"/>
              <w:bottom w:val="nil"/>
            </w:tcBorders>
          </w:tcPr>
          <w:p w14:paraId="6EDD17B0" w14:textId="77777777" w:rsidR="001825E2" w:rsidRDefault="000839A5" w:rsidP="00CB00A7">
            <w:pPr>
              <w:pStyle w:val="TableParagraph"/>
              <w:spacing w:line="190" w:lineRule="exact"/>
              <w:jc w:val="left"/>
              <w:rPr>
                <w:sz w:val="18"/>
              </w:rPr>
            </w:pPr>
            <w:r>
              <w:rPr>
                <w:spacing w:val="-5"/>
                <w:sz w:val="18"/>
              </w:rPr>
              <w:t>25%</w:t>
            </w:r>
          </w:p>
        </w:tc>
        <w:tc>
          <w:tcPr>
            <w:tcW w:w="1125" w:type="dxa"/>
            <w:tcBorders>
              <w:top w:val="nil"/>
              <w:bottom w:val="nil"/>
            </w:tcBorders>
          </w:tcPr>
          <w:p w14:paraId="32E2A87C" w14:textId="77777777" w:rsidR="001825E2" w:rsidRDefault="000839A5" w:rsidP="00CB00A7">
            <w:pPr>
              <w:pStyle w:val="TableParagraph"/>
              <w:spacing w:line="190" w:lineRule="exact"/>
              <w:jc w:val="left"/>
              <w:rPr>
                <w:sz w:val="18"/>
              </w:rPr>
            </w:pPr>
            <w:r>
              <w:rPr>
                <w:spacing w:val="-2"/>
                <w:sz w:val="18"/>
              </w:rPr>
              <w:t>51%***</w:t>
            </w:r>
          </w:p>
        </w:tc>
        <w:tc>
          <w:tcPr>
            <w:tcW w:w="1050" w:type="dxa"/>
            <w:tcBorders>
              <w:top w:val="nil"/>
              <w:bottom w:val="nil"/>
            </w:tcBorders>
          </w:tcPr>
          <w:p w14:paraId="3C66661A" w14:textId="77777777" w:rsidR="001825E2" w:rsidRDefault="000839A5" w:rsidP="00CB00A7">
            <w:pPr>
              <w:pStyle w:val="TableParagraph"/>
              <w:spacing w:line="190" w:lineRule="exact"/>
              <w:jc w:val="left"/>
              <w:rPr>
                <w:sz w:val="18"/>
              </w:rPr>
            </w:pPr>
            <w:r>
              <w:rPr>
                <w:spacing w:val="-5"/>
                <w:sz w:val="18"/>
              </w:rPr>
              <w:t>NA</w:t>
            </w:r>
          </w:p>
        </w:tc>
        <w:tc>
          <w:tcPr>
            <w:tcW w:w="1080" w:type="dxa"/>
            <w:tcBorders>
              <w:top w:val="nil"/>
              <w:bottom w:val="nil"/>
            </w:tcBorders>
          </w:tcPr>
          <w:p w14:paraId="3F67D11B" w14:textId="77777777" w:rsidR="001825E2" w:rsidRDefault="000839A5" w:rsidP="00CB00A7">
            <w:pPr>
              <w:pStyle w:val="TableParagraph"/>
              <w:spacing w:line="190" w:lineRule="exact"/>
              <w:jc w:val="left"/>
              <w:rPr>
                <w:sz w:val="18"/>
              </w:rPr>
            </w:pPr>
            <w:r>
              <w:rPr>
                <w:spacing w:val="-5"/>
                <w:sz w:val="18"/>
              </w:rPr>
              <w:t>52%</w:t>
            </w:r>
          </w:p>
        </w:tc>
      </w:tr>
      <w:tr w:rsidR="001825E2" w14:paraId="422C290B" w14:textId="77777777">
        <w:trPr>
          <w:trHeight w:val="210"/>
        </w:trPr>
        <w:tc>
          <w:tcPr>
            <w:tcW w:w="975" w:type="dxa"/>
            <w:tcBorders>
              <w:top w:val="nil"/>
              <w:bottom w:val="nil"/>
            </w:tcBorders>
          </w:tcPr>
          <w:p w14:paraId="4F61B89D" w14:textId="77777777" w:rsidR="001825E2" w:rsidRDefault="000839A5" w:rsidP="00CB00A7">
            <w:pPr>
              <w:pStyle w:val="TableParagraph"/>
              <w:spacing w:line="190" w:lineRule="exact"/>
              <w:ind w:left="45" w:right="74"/>
              <w:jc w:val="left"/>
              <w:rPr>
                <w:sz w:val="18"/>
              </w:rPr>
            </w:pPr>
            <w:r>
              <w:rPr>
                <w:sz w:val="18"/>
              </w:rPr>
              <w:t>Month</w:t>
            </w:r>
            <w:r>
              <w:rPr>
                <w:spacing w:val="-2"/>
                <w:sz w:val="18"/>
              </w:rPr>
              <w:t xml:space="preserve"> </w:t>
            </w:r>
            <w:r>
              <w:rPr>
                <w:spacing w:val="-5"/>
                <w:sz w:val="18"/>
              </w:rPr>
              <w:t>12</w:t>
            </w:r>
          </w:p>
        </w:tc>
        <w:tc>
          <w:tcPr>
            <w:tcW w:w="870" w:type="dxa"/>
            <w:tcBorders>
              <w:top w:val="nil"/>
              <w:bottom w:val="nil"/>
            </w:tcBorders>
          </w:tcPr>
          <w:p w14:paraId="72F4405D" w14:textId="77777777" w:rsidR="001825E2" w:rsidRDefault="000839A5" w:rsidP="00CB00A7">
            <w:pPr>
              <w:pStyle w:val="TableParagraph"/>
              <w:spacing w:line="190" w:lineRule="exact"/>
              <w:ind w:left="127"/>
              <w:jc w:val="left"/>
              <w:rPr>
                <w:sz w:val="18"/>
              </w:rPr>
            </w:pPr>
            <w:r>
              <w:rPr>
                <w:spacing w:val="-5"/>
                <w:sz w:val="18"/>
              </w:rPr>
              <w:t>NA</w:t>
            </w:r>
          </w:p>
        </w:tc>
        <w:tc>
          <w:tcPr>
            <w:tcW w:w="1035" w:type="dxa"/>
            <w:tcBorders>
              <w:top w:val="nil"/>
              <w:bottom w:val="nil"/>
            </w:tcBorders>
          </w:tcPr>
          <w:p w14:paraId="1F562E1E" w14:textId="77777777" w:rsidR="001825E2" w:rsidRDefault="000839A5" w:rsidP="00CB00A7">
            <w:pPr>
              <w:pStyle w:val="TableParagraph"/>
              <w:spacing w:line="190" w:lineRule="exact"/>
              <w:jc w:val="left"/>
              <w:rPr>
                <w:sz w:val="18"/>
              </w:rPr>
            </w:pPr>
            <w:r>
              <w:rPr>
                <w:spacing w:val="-5"/>
                <w:sz w:val="18"/>
              </w:rPr>
              <w:t>NA</w:t>
            </w:r>
          </w:p>
        </w:tc>
        <w:tc>
          <w:tcPr>
            <w:tcW w:w="990" w:type="dxa"/>
            <w:tcBorders>
              <w:top w:val="nil"/>
              <w:bottom w:val="nil"/>
            </w:tcBorders>
          </w:tcPr>
          <w:p w14:paraId="4833F1F7" w14:textId="77777777" w:rsidR="001825E2" w:rsidRDefault="000839A5" w:rsidP="00CB00A7">
            <w:pPr>
              <w:pStyle w:val="TableParagraph"/>
              <w:spacing w:line="190" w:lineRule="exact"/>
              <w:jc w:val="left"/>
              <w:rPr>
                <w:sz w:val="18"/>
              </w:rPr>
            </w:pPr>
            <w:r>
              <w:rPr>
                <w:spacing w:val="-5"/>
                <w:sz w:val="18"/>
              </w:rPr>
              <w:t>NA</w:t>
            </w:r>
          </w:p>
        </w:tc>
        <w:tc>
          <w:tcPr>
            <w:tcW w:w="1140" w:type="dxa"/>
            <w:tcBorders>
              <w:top w:val="nil"/>
              <w:bottom w:val="nil"/>
            </w:tcBorders>
          </w:tcPr>
          <w:p w14:paraId="0BD66BFF" w14:textId="77777777" w:rsidR="001825E2" w:rsidRDefault="000839A5" w:rsidP="00CB00A7">
            <w:pPr>
              <w:pStyle w:val="TableParagraph"/>
              <w:spacing w:line="190" w:lineRule="exact"/>
              <w:jc w:val="left"/>
              <w:rPr>
                <w:sz w:val="18"/>
              </w:rPr>
            </w:pPr>
            <w:r>
              <w:rPr>
                <w:spacing w:val="-5"/>
                <w:sz w:val="18"/>
              </w:rPr>
              <w:t>51%</w:t>
            </w:r>
          </w:p>
        </w:tc>
        <w:tc>
          <w:tcPr>
            <w:tcW w:w="840" w:type="dxa"/>
            <w:tcBorders>
              <w:top w:val="nil"/>
              <w:bottom w:val="nil"/>
            </w:tcBorders>
          </w:tcPr>
          <w:p w14:paraId="3BF9D241" w14:textId="77777777" w:rsidR="001825E2" w:rsidRDefault="000839A5" w:rsidP="00CB00A7">
            <w:pPr>
              <w:pStyle w:val="TableParagraph"/>
              <w:spacing w:line="190" w:lineRule="exact"/>
              <w:jc w:val="left"/>
              <w:rPr>
                <w:sz w:val="18"/>
              </w:rPr>
            </w:pPr>
            <w:r>
              <w:rPr>
                <w:spacing w:val="-5"/>
                <w:sz w:val="18"/>
              </w:rPr>
              <w:t>NA</w:t>
            </w:r>
          </w:p>
        </w:tc>
        <w:tc>
          <w:tcPr>
            <w:tcW w:w="1140" w:type="dxa"/>
            <w:tcBorders>
              <w:top w:val="nil"/>
              <w:bottom w:val="nil"/>
            </w:tcBorders>
          </w:tcPr>
          <w:p w14:paraId="7A03DF6D" w14:textId="77777777" w:rsidR="001825E2" w:rsidRDefault="000839A5" w:rsidP="00CB00A7">
            <w:pPr>
              <w:pStyle w:val="TableParagraph"/>
              <w:spacing w:line="190" w:lineRule="exact"/>
              <w:jc w:val="left"/>
              <w:rPr>
                <w:sz w:val="18"/>
              </w:rPr>
            </w:pPr>
            <w:r>
              <w:rPr>
                <w:spacing w:val="-5"/>
                <w:sz w:val="18"/>
              </w:rPr>
              <w:t>49%</w:t>
            </w:r>
          </w:p>
        </w:tc>
        <w:tc>
          <w:tcPr>
            <w:tcW w:w="1275" w:type="dxa"/>
            <w:tcBorders>
              <w:top w:val="nil"/>
              <w:bottom w:val="nil"/>
            </w:tcBorders>
          </w:tcPr>
          <w:p w14:paraId="019F544F" w14:textId="77777777" w:rsidR="001825E2" w:rsidRDefault="000839A5" w:rsidP="00CB00A7">
            <w:pPr>
              <w:pStyle w:val="TableParagraph"/>
              <w:spacing w:line="190" w:lineRule="exact"/>
              <w:jc w:val="left"/>
              <w:rPr>
                <w:sz w:val="18"/>
              </w:rPr>
            </w:pPr>
            <w:r>
              <w:rPr>
                <w:spacing w:val="-5"/>
                <w:sz w:val="18"/>
              </w:rPr>
              <w:t>49%</w:t>
            </w:r>
          </w:p>
        </w:tc>
        <w:tc>
          <w:tcPr>
            <w:tcW w:w="855" w:type="dxa"/>
            <w:tcBorders>
              <w:top w:val="nil"/>
              <w:bottom w:val="nil"/>
            </w:tcBorders>
          </w:tcPr>
          <w:p w14:paraId="587209FA" w14:textId="77777777" w:rsidR="001825E2" w:rsidRDefault="000839A5" w:rsidP="00CB00A7">
            <w:pPr>
              <w:pStyle w:val="TableParagraph"/>
              <w:spacing w:line="190" w:lineRule="exact"/>
              <w:jc w:val="left"/>
              <w:rPr>
                <w:sz w:val="18"/>
              </w:rPr>
            </w:pPr>
            <w:r>
              <w:rPr>
                <w:spacing w:val="-5"/>
                <w:sz w:val="18"/>
              </w:rPr>
              <w:t>NA</w:t>
            </w:r>
          </w:p>
        </w:tc>
        <w:tc>
          <w:tcPr>
            <w:tcW w:w="1125" w:type="dxa"/>
            <w:tcBorders>
              <w:top w:val="nil"/>
              <w:bottom w:val="nil"/>
            </w:tcBorders>
          </w:tcPr>
          <w:p w14:paraId="29F5AD44" w14:textId="77777777" w:rsidR="001825E2" w:rsidRDefault="000839A5" w:rsidP="00CB00A7">
            <w:pPr>
              <w:pStyle w:val="TableParagraph"/>
              <w:spacing w:line="190" w:lineRule="exact"/>
              <w:jc w:val="left"/>
              <w:rPr>
                <w:sz w:val="18"/>
              </w:rPr>
            </w:pPr>
            <w:r>
              <w:rPr>
                <w:spacing w:val="-5"/>
                <w:sz w:val="18"/>
              </w:rPr>
              <w:t>49%</w:t>
            </w:r>
          </w:p>
        </w:tc>
        <w:tc>
          <w:tcPr>
            <w:tcW w:w="1050" w:type="dxa"/>
            <w:tcBorders>
              <w:top w:val="nil"/>
              <w:bottom w:val="nil"/>
            </w:tcBorders>
          </w:tcPr>
          <w:p w14:paraId="5104C8CB" w14:textId="77777777" w:rsidR="001825E2" w:rsidRDefault="000839A5" w:rsidP="00CB00A7">
            <w:pPr>
              <w:pStyle w:val="TableParagraph"/>
              <w:spacing w:line="190" w:lineRule="exact"/>
              <w:jc w:val="left"/>
              <w:rPr>
                <w:sz w:val="18"/>
              </w:rPr>
            </w:pPr>
            <w:r>
              <w:rPr>
                <w:spacing w:val="-5"/>
                <w:sz w:val="18"/>
              </w:rPr>
              <w:t>NA</w:t>
            </w:r>
          </w:p>
        </w:tc>
        <w:tc>
          <w:tcPr>
            <w:tcW w:w="1080" w:type="dxa"/>
            <w:tcBorders>
              <w:top w:val="nil"/>
              <w:bottom w:val="nil"/>
            </w:tcBorders>
          </w:tcPr>
          <w:p w14:paraId="3F97EB56" w14:textId="77777777" w:rsidR="001825E2" w:rsidRDefault="000839A5" w:rsidP="00CB00A7">
            <w:pPr>
              <w:pStyle w:val="TableParagraph"/>
              <w:spacing w:line="190" w:lineRule="exact"/>
              <w:jc w:val="left"/>
              <w:rPr>
                <w:sz w:val="18"/>
              </w:rPr>
            </w:pPr>
            <w:r>
              <w:rPr>
                <w:spacing w:val="-5"/>
                <w:sz w:val="18"/>
              </w:rPr>
              <w:t>NA</w:t>
            </w:r>
          </w:p>
        </w:tc>
      </w:tr>
      <w:tr w:rsidR="001825E2" w14:paraId="414D665C" w14:textId="77777777">
        <w:trPr>
          <w:trHeight w:val="450"/>
        </w:trPr>
        <w:tc>
          <w:tcPr>
            <w:tcW w:w="975" w:type="dxa"/>
            <w:tcBorders>
              <w:top w:val="nil"/>
            </w:tcBorders>
          </w:tcPr>
          <w:p w14:paraId="332F6CEE" w14:textId="77777777" w:rsidR="001825E2" w:rsidRDefault="000839A5" w:rsidP="00CB00A7">
            <w:pPr>
              <w:pStyle w:val="TableParagraph"/>
              <w:spacing w:line="205" w:lineRule="exact"/>
              <w:ind w:left="45" w:right="74"/>
              <w:jc w:val="left"/>
              <w:rPr>
                <w:sz w:val="18"/>
              </w:rPr>
            </w:pPr>
            <w:r>
              <w:rPr>
                <w:sz w:val="18"/>
              </w:rPr>
              <w:t>Month</w:t>
            </w:r>
            <w:r>
              <w:rPr>
                <w:spacing w:val="-2"/>
                <w:sz w:val="18"/>
              </w:rPr>
              <w:t xml:space="preserve"> </w:t>
            </w:r>
            <w:r>
              <w:rPr>
                <w:spacing w:val="-5"/>
                <w:sz w:val="18"/>
              </w:rPr>
              <w:t>24</w:t>
            </w:r>
          </w:p>
        </w:tc>
        <w:tc>
          <w:tcPr>
            <w:tcW w:w="870" w:type="dxa"/>
            <w:tcBorders>
              <w:top w:val="nil"/>
            </w:tcBorders>
          </w:tcPr>
          <w:p w14:paraId="3D72A973" w14:textId="77777777" w:rsidR="001825E2" w:rsidRDefault="000839A5" w:rsidP="00CB00A7">
            <w:pPr>
              <w:pStyle w:val="TableParagraph"/>
              <w:spacing w:line="205" w:lineRule="exact"/>
              <w:ind w:left="127"/>
              <w:jc w:val="left"/>
              <w:rPr>
                <w:sz w:val="18"/>
              </w:rPr>
            </w:pPr>
            <w:r>
              <w:rPr>
                <w:spacing w:val="-5"/>
                <w:sz w:val="18"/>
              </w:rPr>
              <w:t>NA</w:t>
            </w:r>
          </w:p>
        </w:tc>
        <w:tc>
          <w:tcPr>
            <w:tcW w:w="1035" w:type="dxa"/>
            <w:tcBorders>
              <w:top w:val="nil"/>
            </w:tcBorders>
          </w:tcPr>
          <w:p w14:paraId="72DB6316" w14:textId="77777777" w:rsidR="001825E2" w:rsidRDefault="000839A5" w:rsidP="00CB00A7">
            <w:pPr>
              <w:pStyle w:val="TableParagraph"/>
              <w:spacing w:line="205" w:lineRule="exact"/>
              <w:jc w:val="left"/>
              <w:rPr>
                <w:sz w:val="18"/>
              </w:rPr>
            </w:pPr>
            <w:r>
              <w:rPr>
                <w:spacing w:val="-5"/>
                <w:sz w:val="18"/>
              </w:rPr>
              <w:t>NA</w:t>
            </w:r>
          </w:p>
        </w:tc>
        <w:tc>
          <w:tcPr>
            <w:tcW w:w="990" w:type="dxa"/>
            <w:tcBorders>
              <w:top w:val="nil"/>
            </w:tcBorders>
          </w:tcPr>
          <w:p w14:paraId="657539AD" w14:textId="77777777" w:rsidR="001825E2" w:rsidRDefault="000839A5" w:rsidP="00CB00A7">
            <w:pPr>
              <w:pStyle w:val="TableParagraph"/>
              <w:spacing w:line="205" w:lineRule="exact"/>
              <w:jc w:val="left"/>
              <w:rPr>
                <w:sz w:val="18"/>
              </w:rPr>
            </w:pPr>
            <w:r>
              <w:rPr>
                <w:spacing w:val="-5"/>
                <w:sz w:val="18"/>
              </w:rPr>
              <w:t>NA</w:t>
            </w:r>
          </w:p>
        </w:tc>
        <w:tc>
          <w:tcPr>
            <w:tcW w:w="1140" w:type="dxa"/>
            <w:tcBorders>
              <w:top w:val="nil"/>
            </w:tcBorders>
          </w:tcPr>
          <w:p w14:paraId="5D329742" w14:textId="77777777" w:rsidR="001825E2" w:rsidRDefault="000839A5" w:rsidP="00CB00A7">
            <w:pPr>
              <w:pStyle w:val="TableParagraph"/>
              <w:spacing w:line="205" w:lineRule="exact"/>
              <w:jc w:val="left"/>
              <w:rPr>
                <w:sz w:val="18"/>
              </w:rPr>
            </w:pPr>
            <w:r>
              <w:rPr>
                <w:spacing w:val="-5"/>
                <w:sz w:val="18"/>
              </w:rPr>
              <w:t>NA</w:t>
            </w:r>
          </w:p>
        </w:tc>
        <w:tc>
          <w:tcPr>
            <w:tcW w:w="840" w:type="dxa"/>
            <w:tcBorders>
              <w:top w:val="nil"/>
            </w:tcBorders>
          </w:tcPr>
          <w:p w14:paraId="78E1B104" w14:textId="77777777" w:rsidR="001825E2" w:rsidRDefault="000839A5" w:rsidP="00CB00A7">
            <w:pPr>
              <w:pStyle w:val="TableParagraph"/>
              <w:spacing w:line="205" w:lineRule="exact"/>
              <w:jc w:val="left"/>
              <w:rPr>
                <w:sz w:val="18"/>
              </w:rPr>
            </w:pPr>
            <w:r>
              <w:rPr>
                <w:spacing w:val="-5"/>
                <w:sz w:val="18"/>
              </w:rPr>
              <w:t>NA</w:t>
            </w:r>
          </w:p>
        </w:tc>
        <w:tc>
          <w:tcPr>
            <w:tcW w:w="1140" w:type="dxa"/>
            <w:tcBorders>
              <w:top w:val="nil"/>
            </w:tcBorders>
          </w:tcPr>
          <w:p w14:paraId="0550D1D4" w14:textId="77777777" w:rsidR="001825E2" w:rsidRDefault="000839A5" w:rsidP="00CB00A7">
            <w:pPr>
              <w:pStyle w:val="TableParagraph"/>
              <w:spacing w:line="205" w:lineRule="exact"/>
              <w:jc w:val="left"/>
              <w:rPr>
                <w:sz w:val="18"/>
              </w:rPr>
            </w:pPr>
            <w:r>
              <w:rPr>
                <w:spacing w:val="-5"/>
                <w:sz w:val="18"/>
              </w:rPr>
              <w:t>NA</w:t>
            </w:r>
          </w:p>
        </w:tc>
        <w:tc>
          <w:tcPr>
            <w:tcW w:w="1275" w:type="dxa"/>
            <w:tcBorders>
              <w:top w:val="nil"/>
            </w:tcBorders>
          </w:tcPr>
          <w:p w14:paraId="088E70BC" w14:textId="77777777" w:rsidR="001825E2" w:rsidRDefault="000839A5" w:rsidP="00CB00A7">
            <w:pPr>
              <w:pStyle w:val="TableParagraph"/>
              <w:spacing w:line="205" w:lineRule="exact"/>
              <w:jc w:val="left"/>
              <w:rPr>
                <w:sz w:val="18"/>
              </w:rPr>
            </w:pPr>
            <w:r>
              <w:rPr>
                <w:spacing w:val="-5"/>
                <w:sz w:val="18"/>
              </w:rPr>
              <w:t>NA</w:t>
            </w:r>
          </w:p>
        </w:tc>
        <w:tc>
          <w:tcPr>
            <w:tcW w:w="855" w:type="dxa"/>
            <w:tcBorders>
              <w:top w:val="nil"/>
            </w:tcBorders>
          </w:tcPr>
          <w:p w14:paraId="5B87910C" w14:textId="77777777" w:rsidR="001825E2" w:rsidRDefault="000839A5" w:rsidP="00CB00A7">
            <w:pPr>
              <w:pStyle w:val="TableParagraph"/>
              <w:spacing w:line="205" w:lineRule="exact"/>
              <w:jc w:val="left"/>
              <w:rPr>
                <w:sz w:val="18"/>
              </w:rPr>
            </w:pPr>
            <w:r>
              <w:rPr>
                <w:spacing w:val="-5"/>
                <w:sz w:val="18"/>
              </w:rPr>
              <w:t>NA</w:t>
            </w:r>
          </w:p>
        </w:tc>
        <w:tc>
          <w:tcPr>
            <w:tcW w:w="1125" w:type="dxa"/>
            <w:tcBorders>
              <w:top w:val="nil"/>
            </w:tcBorders>
          </w:tcPr>
          <w:p w14:paraId="7AD44E66" w14:textId="77777777" w:rsidR="001825E2" w:rsidRDefault="000839A5" w:rsidP="00CB00A7">
            <w:pPr>
              <w:pStyle w:val="TableParagraph"/>
              <w:spacing w:line="205" w:lineRule="exact"/>
              <w:jc w:val="left"/>
              <w:rPr>
                <w:sz w:val="18"/>
              </w:rPr>
            </w:pPr>
            <w:r>
              <w:rPr>
                <w:spacing w:val="-5"/>
                <w:sz w:val="18"/>
              </w:rPr>
              <w:t>41%</w:t>
            </w:r>
          </w:p>
        </w:tc>
        <w:tc>
          <w:tcPr>
            <w:tcW w:w="1050" w:type="dxa"/>
            <w:tcBorders>
              <w:top w:val="nil"/>
            </w:tcBorders>
          </w:tcPr>
          <w:p w14:paraId="3DD0A57A" w14:textId="77777777" w:rsidR="001825E2" w:rsidRDefault="000839A5" w:rsidP="00CB00A7">
            <w:pPr>
              <w:pStyle w:val="TableParagraph"/>
              <w:spacing w:line="205" w:lineRule="exact"/>
              <w:jc w:val="left"/>
              <w:rPr>
                <w:sz w:val="18"/>
              </w:rPr>
            </w:pPr>
            <w:r>
              <w:rPr>
                <w:spacing w:val="-5"/>
                <w:sz w:val="18"/>
              </w:rPr>
              <w:t>NA</w:t>
            </w:r>
          </w:p>
        </w:tc>
        <w:tc>
          <w:tcPr>
            <w:tcW w:w="1080" w:type="dxa"/>
            <w:tcBorders>
              <w:top w:val="nil"/>
            </w:tcBorders>
          </w:tcPr>
          <w:p w14:paraId="08690E11" w14:textId="77777777" w:rsidR="001825E2" w:rsidRDefault="000839A5" w:rsidP="00CB00A7">
            <w:pPr>
              <w:pStyle w:val="TableParagraph"/>
              <w:spacing w:line="205" w:lineRule="exact"/>
              <w:jc w:val="left"/>
              <w:rPr>
                <w:sz w:val="18"/>
              </w:rPr>
            </w:pPr>
            <w:r>
              <w:rPr>
                <w:spacing w:val="-5"/>
                <w:sz w:val="18"/>
              </w:rPr>
              <w:t>NA</w:t>
            </w:r>
          </w:p>
        </w:tc>
      </w:tr>
      <w:tr w:rsidR="001825E2" w14:paraId="27C51C34" w14:textId="77777777">
        <w:trPr>
          <w:trHeight w:val="200"/>
        </w:trPr>
        <w:tc>
          <w:tcPr>
            <w:tcW w:w="975" w:type="dxa"/>
            <w:tcBorders>
              <w:bottom w:val="nil"/>
            </w:tcBorders>
          </w:tcPr>
          <w:p w14:paraId="515CBC80" w14:textId="77777777" w:rsidR="001825E2" w:rsidRDefault="000839A5" w:rsidP="00CB00A7">
            <w:pPr>
              <w:pStyle w:val="TableParagraph"/>
              <w:spacing w:line="181" w:lineRule="exact"/>
              <w:ind w:left="45" w:right="192"/>
              <w:jc w:val="left"/>
              <w:rPr>
                <w:b/>
                <w:sz w:val="18"/>
              </w:rPr>
            </w:pPr>
            <w:r>
              <w:rPr>
                <w:b/>
                <w:spacing w:val="-4"/>
                <w:sz w:val="18"/>
              </w:rPr>
              <w:t>ACR50</w:t>
            </w:r>
          </w:p>
        </w:tc>
        <w:tc>
          <w:tcPr>
            <w:tcW w:w="870" w:type="dxa"/>
            <w:tcBorders>
              <w:bottom w:val="nil"/>
            </w:tcBorders>
          </w:tcPr>
          <w:p w14:paraId="6DB8559C" w14:textId="77777777" w:rsidR="001825E2" w:rsidRDefault="001825E2" w:rsidP="00CB00A7">
            <w:pPr>
              <w:pStyle w:val="TableParagraph"/>
              <w:ind w:left="0"/>
              <w:jc w:val="left"/>
              <w:rPr>
                <w:sz w:val="12"/>
              </w:rPr>
            </w:pPr>
          </w:p>
        </w:tc>
        <w:tc>
          <w:tcPr>
            <w:tcW w:w="1035" w:type="dxa"/>
            <w:tcBorders>
              <w:bottom w:val="nil"/>
            </w:tcBorders>
          </w:tcPr>
          <w:p w14:paraId="53B93D14" w14:textId="77777777" w:rsidR="001825E2" w:rsidRDefault="001825E2" w:rsidP="00CB00A7">
            <w:pPr>
              <w:pStyle w:val="TableParagraph"/>
              <w:ind w:left="0"/>
              <w:jc w:val="left"/>
              <w:rPr>
                <w:sz w:val="12"/>
              </w:rPr>
            </w:pPr>
          </w:p>
        </w:tc>
        <w:tc>
          <w:tcPr>
            <w:tcW w:w="990" w:type="dxa"/>
            <w:tcBorders>
              <w:bottom w:val="nil"/>
            </w:tcBorders>
          </w:tcPr>
          <w:p w14:paraId="04690867" w14:textId="77777777" w:rsidR="001825E2" w:rsidRDefault="001825E2" w:rsidP="00CB00A7">
            <w:pPr>
              <w:pStyle w:val="TableParagraph"/>
              <w:ind w:left="0"/>
              <w:jc w:val="left"/>
              <w:rPr>
                <w:sz w:val="12"/>
              </w:rPr>
            </w:pPr>
          </w:p>
        </w:tc>
        <w:tc>
          <w:tcPr>
            <w:tcW w:w="1140" w:type="dxa"/>
            <w:tcBorders>
              <w:bottom w:val="nil"/>
            </w:tcBorders>
          </w:tcPr>
          <w:p w14:paraId="4C740C9E" w14:textId="77777777" w:rsidR="001825E2" w:rsidRDefault="001825E2" w:rsidP="00CB00A7">
            <w:pPr>
              <w:pStyle w:val="TableParagraph"/>
              <w:ind w:left="0"/>
              <w:jc w:val="left"/>
              <w:rPr>
                <w:sz w:val="12"/>
              </w:rPr>
            </w:pPr>
          </w:p>
        </w:tc>
        <w:tc>
          <w:tcPr>
            <w:tcW w:w="840" w:type="dxa"/>
            <w:tcBorders>
              <w:bottom w:val="nil"/>
            </w:tcBorders>
          </w:tcPr>
          <w:p w14:paraId="1B14E1E4" w14:textId="77777777" w:rsidR="001825E2" w:rsidRDefault="001825E2" w:rsidP="00CB00A7">
            <w:pPr>
              <w:pStyle w:val="TableParagraph"/>
              <w:ind w:left="0"/>
              <w:jc w:val="left"/>
              <w:rPr>
                <w:sz w:val="12"/>
              </w:rPr>
            </w:pPr>
          </w:p>
        </w:tc>
        <w:tc>
          <w:tcPr>
            <w:tcW w:w="1140" w:type="dxa"/>
            <w:tcBorders>
              <w:bottom w:val="nil"/>
            </w:tcBorders>
          </w:tcPr>
          <w:p w14:paraId="0B2AAF2A" w14:textId="77777777" w:rsidR="001825E2" w:rsidRDefault="001825E2" w:rsidP="00CB00A7">
            <w:pPr>
              <w:pStyle w:val="TableParagraph"/>
              <w:ind w:left="0"/>
              <w:jc w:val="left"/>
              <w:rPr>
                <w:sz w:val="12"/>
              </w:rPr>
            </w:pPr>
          </w:p>
        </w:tc>
        <w:tc>
          <w:tcPr>
            <w:tcW w:w="1275" w:type="dxa"/>
            <w:tcBorders>
              <w:bottom w:val="nil"/>
            </w:tcBorders>
          </w:tcPr>
          <w:p w14:paraId="7F8E8EBC" w14:textId="77777777" w:rsidR="001825E2" w:rsidRDefault="001825E2" w:rsidP="00CB00A7">
            <w:pPr>
              <w:pStyle w:val="TableParagraph"/>
              <w:ind w:left="0"/>
              <w:jc w:val="left"/>
              <w:rPr>
                <w:sz w:val="12"/>
              </w:rPr>
            </w:pPr>
          </w:p>
        </w:tc>
        <w:tc>
          <w:tcPr>
            <w:tcW w:w="855" w:type="dxa"/>
            <w:tcBorders>
              <w:bottom w:val="nil"/>
            </w:tcBorders>
          </w:tcPr>
          <w:p w14:paraId="1B06B025" w14:textId="77777777" w:rsidR="001825E2" w:rsidRDefault="001825E2" w:rsidP="00CB00A7">
            <w:pPr>
              <w:pStyle w:val="TableParagraph"/>
              <w:ind w:left="0"/>
              <w:jc w:val="left"/>
              <w:rPr>
                <w:sz w:val="12"/>
              </w:rPr>
            </w:pPr>
          </w:p>
        </w:tc>
        <w:tc>
          <w:tcPr>
            <w:tcW w:w="1125" w:type="dxa"/>
            <w:tcBorders>
              <w:bottom w:val="nil"/>
            </w:tcBorders>
          </w:tcPr>
          <w:p w14:paraId="6AA03A01" w14:textId="77777777" w:rsidR="001825E2" w:rsidRDefault="001825E2" w:rsidP="00CB00A7">
            <w:pPr>
              <w:pStyle w:val="TableParagraph"/>
              <w:ind w:left="0"/>
              <w:jc w:val="left"/>
              <w:rPr>
                <w:sz w:val="12"/>
              </w:rPr>
            </w:pPr>
          </w:p>
        </w:tc>
        <w:tc>
          <w:tcPr>
            <w:tcW w:w="1050" w:type="dxa"/>
            <w:tcBorders>
              <w:bottom w:val="nil"/>
            </w:tcBorders>
          </w:tcPr>
          <w:p w14:paraId="1FDE2BE8" w14:textId="77777777" w:rsidR="001825E2" w:rsidRDefault="001825E2" w:rsidP="00CB00A7">
            <w:pPr>
              <w:pStyle w:val="TableParagraph"/>
              <w:ind w:left="0"/>
              <w:jc w:val="left"/>
              <w:rPr>
                <w:sz w:val="12"/>
              </w:rPr>
            </w:pPr>
          </w:p>
        </w:tc>
        <w:tc>
          <w:tcPr>
            <w:tcW w:w="1080" w:type="dxa"/>
            <w:tcBorders>
              <w:bottom w:val="nil"/>
            </w:tcBorders>
          </w:tcPr>
          <w:p w14:paraId="29471A35" w14:textId="77777777" w:rsidR="001825E2" w:rsidRDefault="001825E2" w:rsidP="00CB00A7">
            <w:pPr>
              <w:pStyle w:val="TableParagraph"/>
              <w:ind w:left="0"/>
              <w:jc w:val="left"/>
              <w:rPr>
                <w:sz w:val="12"/>
              </w:rPr>
            </w:pPr>
          </w:p>
        </w:tc>
      </w:tr>
      <w:tr w:rsidR="001825E2" w14:paraId="202E7A12" w14:textId="77777777">
        <w:trPr>
          <w:trHeight w:val="203"/>
        </w:trPr>
        <w:tc>
          <w:tcPr>
            <w:tcW w:w="975" w:type="dxa"/>
            <w:tcBorders>
              <w:top w:val="nil"/>
              <w:bottom w:val="nil"/>
            </w:tcBorders>
          </w:tcPr>
          <w:p w14:paraId="4FD7AC2A" w14:textId="77777777" w:rsidR="001825E2" w:rsidRDefault="000839A5" w:rsidP="00CB00A7">
            <w:pPr>
              <w:pStyle w:val="TableParagraph"/>
              <w:spacing w:line="184" w:lineRule="exact"/>
              <w:ind w:left="45" w:right="162"/>
              <w:jc w:val="left"/>
              <w:rPr>
                <w:sz w:val="18"/>
              </w:rPr>
            </w:pPr>
            <w:r>
              <w:rPr>
                <w:sz w:val="18"/>
              </w:rPr>
              <w:t>Month</w:t>
            </w:r>
            <w:r>
              <w:rPr>
                <w:spacing w:val="-1"/>
                <w:sz w:val="18"/>
              </w:rPr>
              <w:t xml:space="preserve"> </w:t>
            </w:r>
            <w:r>
              <w:rPr>
                <w:spacing w:val="-10"/>
                <w:sz w:val="18"/>
              </w:rPr>
              <w:t>3</w:t>
            </w:r>
          </w:p>
        </w:tc>
        <w:tc>
          <w:tcPr>
            <w:tcW w:w="870" w:type="dxa"/>
            <w:tcBorders>
              <w:top w:val="nil"/>
              <w:bottom w:val="nil"/>
            </w:tcBorders>
          </w:tcPr>
          <w:p w14:paraId="1FF4A6B8" w14:textId="77777777" w:rsidR="001825E2" w:rsidRDefault="000839A5" w:rsidP="00CB00A7">
            <w:pPr>
              <w:pStyle w:val="TableParagraph"/>
              <w:spacing w:line="184" w:lineRule="exact"/>
              <w:ind w:left="127"/>
              <w:jc w:val="left"/>
              <w:rPr>
                <w:sz w:val="18"/>
              </w:rPr>
            </w:pPr>
            <w:r>
              <w:rPr>
                <w:spacing w:val="-5"/>
                <w:sz w:val="18"/>
              </w:rPr>
              <w:t>13%</w:t>
            </w:r>
          </w:p>
        </w:tc>
        <w:tc>
          <w:tcPr>
            <w:tcW w:w="1035" w:type="dxa"/>
            <w:tcBorders>
              <w:top w:val="nil"/>
              <w:bottom w:val="nil"/>
            </w:tcBorders>
          </w:tcPr>
          <w:p w14:paraId="07ACA40F" w14:textId="77777777" w:rsidR="001825E2" w:rsidRDefault="000839A5" w:rsidP="00CB00A7">
            <w:pPr>
              <w:pStyle w:val="TableParagraph"/>
              <w:spacing w:line="184" w:lineRule="exact"/>
              <w:jc w:val="left"/>
              <w:rPr>
                <w:sz w:val="18"/>
              </w:rPr>
            </w:pPr>
            <w:r>
              <w:rPr>
                <w:spacing w:val="-2"/>
                <w:sz w:val="18"/>
              </w:rPr>
              <w:t>31%***</w:t>
            </w:r>
          </w:p>
        </w:tc>
        <w:tc>
          <w:tcPr>
            <w:tcW w:w="990" w:type="dxa"/>
            <w:tcBorders>
              <w:top w:val="nil"/>
              <w:bottom w:val="nil"/>
            </w:tcBorders>
          </w:tcPr>
          <w:p w14:paraId="051E844E" w14:textId="77777777" w:rsidR="001825E2" w:rsidRDefault="000839A5" w:rsidP="00CB00A7">
            <w:pPr>
              <w:pStyle w:val="TableParagraph"/>
              <w:spacing w:line="184" w:lineRule="exact"/>
              <w:jc w:val="left"/>
              <w:rPr>
                <w:sz w:val="18"/>
              </w:rPr>
            </w:pPr>
            <w:r>
              <w:rPr>
                <w:spacing w:val="-5"/>
                <w:sz w:val="18"/>
              </w:rPr>
              <w:t>10%</w:t>
            </w:r>
          </w:p>
        </w:tc>
        <w:tc>
          <w:tcPr>
            <w:tcW w:w="1140" w:type="dxa"/>
            <w:tcBorders>
              <w:top w:val="nil"/>
              <w:bottom w:val="nil"/>
            </w:tcBorders>
          </w:tcPr>
          <w:p w14:paraId="7EC6684B" w14:textId="77777777" w:rsidR="001825E2" w:rsidRDefault="000839A5" w:rsidP="00CB00A7">
            <w:pPr>
              <w:pStyle w:val="TableParagraph"/>
              <w:spacing w:line="184" w:lineRule="exact"/>
              <w:jc w:val="left"/>
              <w:rPr>
                <w:sz w:val="18"/>
              </w:rPr>
            </w:pPr>
            <w:r>
              <w:rPr>
                <w:spacing w:val="-2"/>
                <w:sz w:val="18"/>
              </w:rPr>
              <w:t>27%***</w:t>
            </w:r>
          </w:p>
        </w:tc>
        <w:tc>
          <w:tcPr>
            <w:tcW w:w="840" w:type="dxa"/>
            <w:tcBorders>
              <w:top w:val="nil"/>
              <w:bottom w:val="nil"/>
            </w:tcBorders>
          </w:tcPr>
          <w:p w14:paraId="1C9BFBC9" w14:textId="77777777" w:rsidR="001825E2" w:rsidRDefault="000839A5" w:rsidP="00CB00A7">
            <w:pPr>
              <w:pStyle w:val="TableParagraph"/>
              <w:spacing w:line="184" w:lineRule="exact"/>
              <w:jc w:val="left"/>
              <w:rPr>
                <w:sz w:val="18"/>
              </w:rPr>
            </w:pPr>
            <w:r>
              <w:rPr>
                <w:spacing w:val="-5"/>
                <w:sz w:val="18"/>
              </w:rPr>
              <w:t>7%</w:t>
            </w:r>
          </w:p>
        </w:tc>
        <w:tc>
          <w:tcPr>
            <w:tcW w:w="1140" w:type="dxa"/>
            <w:tcBorders>
              <w:top w:val="nil"/>
              <w:bottom w:val="nil"/>
            </w:tcBorders>
          </w:tcPr>
          <w:p w14:paraId="27170F49" w14:textId="77777777" w:rsidR="001825E2" w:rsidRDefault="000839A5" w:rsidP="00CB00A7">
            <w:pPr>
              <w:pStyle w:val="TableParagraph"/>
              <w:spacing w:line="184" w:lineRule="exact"/>
              <w:jc w:val="left"/>
              <w:rPr>
                <w:sz w:val="18"/>
              </w:rPr>
            </w:pPr>
            <w:r>
              <w:rPr>
                <w:spacing w:val="-2"/>
                <w:sz w:val="18"/>
              </w:rPr>
              <w:t>34%***</w:t>
            </w:r>
          </w:p>
        </w:tc>
        <w:tc>
          <w:tcPr>
            <w:tcW w:w="1275" w:type="dxa"/>
            <w:tcBorders>
              <w:top w:val="nil"/>
              <w:bottom w:val="nil"/>
            </w:tcBorders>
          </w:tcPr>
          <w:p w14:paraId="3AB21F03" w14:textId="77777777" w:rsidR="001825E2" w:rsidRDefault="000839A5" w:rsidP="00CB00A7">
            <w:pPr>
              <w:pStyle w:val="TableParagraph"/>
              <w:spacing w:line="184" w:lineRule="exact"/>
              <w:jc w:val="left"/>
              <w:rPr>
                <w:sz w:val="18"/>
              </w:rPr>
            </w:pPr>
            <w:r>
              <w:rPr>
                <w:spacing w:val="-2"/>
                <w:sz w:val="18"/>
              </w:rPr>
              <w:t>24%***</w:t>
            </w:r>
          </w:p>
        </w:tc>
        <w:tc>
          <w:tcPr>
            <w:tcW w:w="855" w:type="dxa"/>
            <w:tcBorders>
              <w:top w:val="nil"/>
              <w:bottom w:val="nil"/>
            </w:tcBorders>
          </w:tcPr>
          <w:p w14:paraId="5E5C9878" w14:textId="77777777" w:rsidR="001825E2" w:rsidRDefault="000839A5" w:rsidP="00CB00A7">
            <w:pPr>
              <w:pStyle w:val="TableParagraph"/>
              <w:spacing w:line="184" w:lineRule="exact"/>
              <w:jc w:val="left"/>
              <w:rPr>
                <w:sz w:val="18"/>
              </w:rPr>
            </w:pPr>
            <w:r>
              <w:rPr>
                <w:spacing w:val="-5"/>
                <w:sz w:val="18"/>
              </w:rPr>
              <w:t>8%</w:t>
            </w:r>
          </w:p>
        </w:tc>
        <w:tc>
          <w:tcPr>
            <w:tcW w:w="1125" w:type="dxa"/>
            <w:tcBorders>
              <w:top w:val="nil"/>
              <w:bottom w:val="nil"/>
            </w:tcBorders>
          </w:tcPr>
          <w:p w14:paraId="21522064" w14:textId="77777777" w:rsidR="001825E2" w:rsidRDefault="000839A5" w:rsidP="00CB00A7">
            <w:pPr>
              <w:pStyle w:val="TableParagraph"/>
              <w:spacing w:line="184" w:lineRule="exact"/>
              <w:jc w:val="left"/>
              <w:rPr>
                <w:sz w:val="18"/>
              </w:rPr>
            </w:pPr>
            <w:r>
              <w:rPr>
                <w:spacing w:val="-2"/>
                <w:sz w:val="18"/>
              </w:rPr>
              <w:t>29%***</w:t>
            </w:r>
          </w:p>
        </w:tc>
        <w:tc>
          <w:tcPr>
            <w:tcW w:w="1050" w:type="dxa"/>
            <w:tcBorders>
              <w:top w:val="nil"/>
              <w:bottom w:val="nil"/>
            </w:tcBorders>
          </w:tcPr>
          <w:p w14:paraId="66B16C46" w14:textId="77777777" w:rsidR="001825E2" w:rsidRDefault="000839A5" w:rsidP="00CB00A7">
            <w:pPr>
              <w:pStyle w:val="TableParagraph"/>
              <w:spacing w:line="184" w:lineRule="exact"/>
              <w:jc w:val="left"/>
              <w:rPr>
                <w:sz w:val="18"/>
              </w:rPr>
            </w:pPr>
            <w:r>
              <w:rPr>
                <w:spacing w:val="-5"/>
                <w:sz w:val="18"/>
              </w:rPr>
              <w:t>8%</w:t>
            </w:r>
          </w:p>
        </w:tc>
        <w:tc>
          <w:tcPr>
            <w:tcW w:w="1080" w:type="dxa"/>
            <w:tcBorders>
              <w:top w:val="nil"/>
              <w:bottom w:val="nil"/>
            </w:tcBorders>
          </w:tcPr>
          <w:p w14:paraId="3F93B25D" w14:textId="77777777" w:rsidR="001825E2" w:rsidRDefault="000839A5" w:rsidP="00CB00A7">
            <w:pPr>
              <w:pStyle w:val="TableParagraph"/>
              <w:spacing w:line="184" w:lineRule="exact"/>
              <w:jc w:val="left"/>
              <w:rPr>
                <w:sz w:val="18"/>
              </w:rPr>
            </w:pPr>
            <w:r>
              <w:rPr>
                <w:spacing w:val="-2"/>
                <w:sz w:val="18"/>
              </w:rPr>
              <w:t>27%***</w:t>
            </w:r>
          </w:p>
        </w:tc>
      </w:tr>
      <w:tr w:rsidR="001825E2" w14:paraId="0D71265D" w14:textId="77777777">
        <w:trPr>
          <w:trHeight w:val="210"/>
        </w:trPr>
        <w:tc>
          <w:tcPr>
            <w:tcW w:w="975" w:type="dxa"/>
            <w:tcBorders>
              <w:top w:val="nil"/>
              <w:bottom w:val="nil"/>
            </w:tcBorders>
          </w:tcPr>
          <w:p w14:paraId="320DC7AD" w14:textId="77777777" w:rsidR="001825E2" w:rsidRDefault="000839A5" w:rsidP="00CB00A7">
            <w:pPr>
              <w:pStyle w:val="TableParagraph"/>
              <w:spacing w:line="190" w:lineRule="exact"/>
              <w:ind w:left="45" w:right="164"/>
              <w:jc w:val="left"/>
              <w:rPr>
                <w:sz w:val="18"/>
              </w:rPr>
            </w:pPr>
            <w:r>
              <w:rPr>
                <w:sz w:val="18"/>
              </w:rPr>
              <w:t>Month</w:t>
            </w:r>
            <w:r>
              <w:rPr>
                <w:spacing w:val="-2"/>
                <w:sz w:val="18"/>
              </w:rPr>
              <w:t xml:space="preserve"> </w:t>
            </w:r>
            <w:r>
              <w:rPr>
                <w:spacing w:val="-10"/>
                <w:sz w:val="18"/>
              </w:rPr>
              <w:t>6</w:t>
            </w:r>
          </w:p>
        </w:tc>
        <w:tc>
          <w:tcPr>
            <w:tcW w:w="870" w:type="dxa"/>
            <w:tcBorders>
              <w:top w:val="nil"/>
              <w:bottom w:val="nil"/>
            </w:tcBorders>
          </w:tcPr>
          <w:p w14:paraId="55B20818" w14:textId="77777777" w:rsidR="001825E2" w:rsidRDefault="000839A5" w:rsidP="00CB00A7">
            <w:pPr>
              <w:pStyle w:val="TableParagraph"/>
              <w:spacing w:line="190" w:lineRule="exact"/>
              <w:ind w:left="127"/>
              <w:jc w:val="left"/>
              <w:rPr>
                <w:sz w:val="18"/>
              </w:rPr>
            </w:pPr>
            <w:r>
              <w:rPr>
                <w:spacing w:val="-5"/>
                <w:sz w:val="18"/>
              </w:rPr>
              <w:t>NA</w:t>
            </w:r>
          </w:p>
        </w:tc>
        <w:tc>
          <w:tcPr>
            <w:tcW w:w="1035" w:type="dxa"/>
            <w:tcBorders>
              <w:top w:val="nil"/>
              <w:bottom w:val="nil"/>
            </w:tcBorders>
          </w:tcPr>
          <w:p w14:paraId="29ED6F2A" w14:textId="77777777" w:rsidR="001825E2" w:rsidRDefault="000839A5" w:rsidP="00CB00A7">
            <w:pPr>
              <w:pStyle w:val="TableParagraph"/>
              <w:spacing w:line="190" w:lineRule="exact"/>
              <w:jc w:val="left"/>
              <w:rPr>
                <w:sz w:val="18"/>
              </w:rPr>
            </w:pPr>
            <w:r>
              <w:rPr>
                <w:spacing w:val="-5"/>
                <w:sz w:val="18"/>
              </w:rPr>
              <w:t>42%</w:t>
            </w:r>
          </w:p>
        </w:tc>
        <w:tc>
          <w:tcPr>
            <w:tcW w:w="990" w:type="dxa"/>
            <w:tcBorders>
              <w:top w:val="nil"/>
              <w:bottom w:val="nil"/>
            </w:tcBorders>
          </w:tcPr>
          <w:p w14:paraId="14CE6E0F" w14:textId="77777777" w:rsidR="001825E2" w:rsidRDefault="000839A5" w:rsidP="00CB00A7">
            <w:pPr>
              <w:pStyle w:val="TableParagraph"/>
              <w:spacing w:line="190" w:lineRule="exact"/>
              <w:jc w:val="left"/>
              <w:rPr>
                <w:sz w:val="18"/>
              </w:rPr>
            </w:pPr>
            <w:r>
              <w:rPr>
                <w:spacing w:val="-5"/>
                <w:sz w:val="18"/>
              </w:rPr>
              <w:t>13%</w:t>
            </w:r>
          </w:p>
        </w:tc>
        <w:tc>
          <w:tcPr>
            <w:tcW w:w="1140" w:type="dxa"/>
            <w:tcBorders>
              <w:top w:val="nil"/>
              <w:bottom w:val="nil"/>
            </w:tcBorders>
          </w:tcPr>
          <w:p w14:paraId="4E60FA15" w14:textId="77777777" w:rsidR="001825E2" w:rsidRDefault="000839A5" w:rsidP="00CB00A7">
            <w:pPr>
              <w:pStyle w:val="TableParagraph"/>
              <w:spacing w:line="190" w:lineRule="exact"/>
              <w:jc w:val="left"/>
              <w:rPr>
                <w:sz w:val="18"/>
              </w:rPr>
            </w:pPr>
            <w:r>
              <w:rPr>
                <w:spacing w:val="-2"/>
                <w:sz w:val="18"/>
              </w:rPr>
              <w:t>34%***</w:t>
            </w:r>
          </w:p>
        </w:tc>
        <w:tc>
          <w:tcPr>
            <w:tcW w:w="840" w:type="dxa"/>
            <w:tcBorders>
              <w:top w:val="nil"/>
              <w:bottom w:val="nil"/>
            </w:tcBorders>
          </w:tcPr>
          <w:p w14:paraId="7966E027" w14:textId="77777777" w:rsidR="001825E2" w:rsidRDefault="000839A5" w:rsidP="00CB00A7">
            <w:pPr>
              <w:pStyle w:val="TableParagraph"/>
              <w:spacing w:line="190" w:lineRule="exact"/>
              <w:jc w:val="left"/>
              <w:rPr>
                <w:sz w:val="18"/>
              </w:rPr>
            </w:pPr>
            <w:r>
              <w:rPr>
                <w:spacing w:val="-5"/>
                <w:sz w:val="18"/>
              </w:rPr>
              <w:t>12%</w:t>
            </w:r>
          </w:p>
        </w:tc>
        <w:tc>
          <w:tcPr>
            <w:tcW w:w="1140" w:type="dxa"/>
            <w:tcBorders>
              <w:top w:val="nil"/>
              <w:bottom w:val="nil"/>
            </w:tcBorders>
          </w:tcPr>
          <w:p w14:paraId="7AB220EA" w14:textId="77777777" w:rsidR="001825E2" w:rsidRDefault="000839A5" w:rsidP="00CB00A7">
            <w:pPr>
              <w:pStyle w:val="TableParagraph"/>
              <w:spacing w:line="190" w:lineRule="exact"/>
              <w:jc w:val="left"/>
              <w:rPr>
                <w:sz w:val="18"/>
              </w:rPr>
            </w:pPr>
            <w:r>
              <w:rPr>
                <w:spacing w:val="-2"/>
                <w:sz w:val="18"/>
              </w:rPr>
              <w:t>37%***</w:t>
            </w:r>
          </w:p>
        </w:tc>
        <w:tc>
          <w:tcPr>
            <w:tcW w:w="1275" w:type="dxa"/>
            <w:tcBorders>
              <w:top w:val="nil"/>
              <w:bottom w:val="nil"/>
            </w:tcBorders>
          </w:tcPr>
          <w:p w14:paraId="1EA5AED1" w14:textId="77777777" w:rsidR="001825E2" w:rsidRDefault="000839A5" w:rsidP="00CB00A7">
            <w:pPr>
              <w:pStyle w:val="TableParagraph"/>
              <w:spacing w:line="190" w:lineRule="exact"/>
              <w:jc w:val="left"/>
              <w:rPr>
                <w:sz w:val="18"/>
              </w:rPr>
            </w:pPr>
            <w:r>
              <w:rPr>
                <w:spacing w:val="-2"/>
                <w:sz w:val="18"/>
              </w:rPr>
              <w:t>28%**</w:t>
            </w:r>
          </w:p>
        </w:tc>
        <w:tc>
          <w:tcPr>
            <w:tcW w:w="855" w:type="dxa"/>
            <w:tcBorders>
              <w:top w:val="nil"/>
              <w:bottom w:val="nil"/>
            </w:tcBorders>
          </w:tcPr>
          <w:p w14:paraId="55303A80" w14:textId="77777777" w:rsidR="001825E2" w:rsidRDefault="000839A5" w:rsidP="00CB00A7">
            <w:pPr>
              <w:pStyle w:val="TableParagraph"/>
              <w:spacing w:line="190" w:lineRule="exact"/>
              <w:jc w:val="left"/>
              <w:rPr>
                <w:sz w:val="18"/>
              </w:rPr>
            </w:pPr>
            <w:r>
              <w:rPr>
                <w:spacing w:val="-5"/>
                <w:sz w:val="18"/>
              </w:rPr>
              <w:t>8%</w:t>
            </w:r>
          </w:p>
        </w:tc>
        <w:tc>
          <w:tcPr>
            <w:tcW w:w="1125" w:type="dxa"/>
            <w:tcBorders>
              <w:top w:val="nil"/>
              <w:bottom w:val="nil"/>
            </w:tcBorders>
          </w:tcPr>
          <w:p w14:paraId="364131A5" w14:textId="77777777" w:rsidR="001825E2" w:rsidRDefault="000839A5" w:rsidP="00CB00A7">
            <w:pPr>
              <w:pStyle w:val="TableParagraph"/>
              <w:spacing w:line="190" w:lineRule="exact"/>
              <w:jc w:val="left"/>
              <w:rPr>
                <w:sz w:val="18"/>
              </w:rPr>
            </w:pPr>
            <w:r>
              <w:rPr>
                <w:spacing w:val="-2"/>
                <w:sz w:val="18"/>
              </w:rPr>
              <w:t>32%***</w:t>
            </w:r>
          </w:p>
        </w:tc>
        <w:tc>
          <w:tcPr>
            <w:tcW w:w="1050" w:type="dxa"/>
            <w:tcBorders>
              <w:top w:val="nil"/>
              <w:bottom w:val="nil"/>
            </w:tcBorders>
          </w:tcPr>
          <w:p w14:paraId="7E1A450E" w14:textId="77777777" w:rsidR="001825E2" w:rsidRDefault="000839A5" w:rsidP="00CB00A7">
            <w:pPr>
              <w:pStyle w:val="TableParagraph"/>
              <w:spacing w:line="190" w:lineRule="exact"/>
              <w:jc w:val="left"/>
              <w:rPr>
                <w:sz w:val="18"/>
              </w:rPr>
            </w:pPr>
            <w:r>
              <w:rPr>
                <w:spacing w:val="-5"/>
                <w:sz w:val="18"/>
              </w:rPr>
              <w:t>NA</w:t>
            </w:r>
          </w:p>
        </w:tc>
        <w:tc>
          <w:tcPr>
            <w:tcW w:w="1080" w:type="dxa"/>
            <w:tcBorders>
              <w:top w:val="nil"/>
              <w:bottom w:val="nil"/>
            </w:tcBorders>
          </w:tcPr>
          <w:p w14:paraId="50D81A2E" w14:textId="77777777" w:rsidR="001825E2" w:rsidRDefault="000839A5" w:rsidP="00CB00A7">
            <w:pPr>
              <w:pStyle w:val="TableParagraph"/>
              <w:spacing w:line="190" w:lineRule="exact"/>
              <w:jc w:val="left"/>
              <w:rPr>
                <w:sz w:val="18"/>
              </w:rPr>
            </w:pPr>
            <w:r>
              <w:rPr>
                <w:spacing w:val="-5"/>
                <w:sz w:val="18"/>
              </w:rPr>
              <w:t>37%</w:t>
            </w:r>
          </w:p>
        </w:tc>
      </w:tr>
      <w:tr w:rsidR="001825E2" w14:paraId="4641C7CD" w14:textId="77777777">
        <w:trPr>
          <w:trHeight w:val="210"/>
        </w:trPr>
        <w:tc>
          <w:tcPr>
            <w:tcW w:w="975" w:type="dxa"/>
            <w:tcBorders>
              <w:top w:val="nil"/>
              <w:bottom w:val="nil"/>
            </w:tcBorders>
          </w:tcPr>
          <w:p w14:paraId="48D9747C" w14:textId="77777777" w:rsidR="001825E2" w:rsidRDefault="000839A5" w:rsidP="00CB00A7">
            <w:pPr>
              <w:pStyle w:val="TableParagraph"/>
              <w:spacing w:line="190" w:lineRule="exact"/>
              <w:ind w:left="45" w:right="74"/>
              <w:jc w:val="left"/>
              <w:rPr>
                <w:sz w:val="18"/>
              </w:rPr>
            </w:pPr>
            <w:r>
              <w:rPr>
                <w:sz w:val="18"/>
              </w:rPr>
              <w:t>Month</w:t>
            </w:r>
            <w:r>
              <w:rPr>
                <w:spacing w:val="-2"/>
                <w:sz w:val="18"/>
              </w:rPr>
              <w:t xml:space="preserve"> </w:t>
            </w:r>
            <w:r>
              <w:rPr>
                <w:spacing w:val="-5"/>
                <w:sz w:val="18"/>
              </w:rPr>
              <w:t>12</w:t>
            </w:r>
          </w:p>
        </w:tc>
        <w:tc>
          <w:tcPr>
            <w:tcW w:w="870" w:type="dxa"/>
            <w:tcBorders>
              <w:top w:val="nil"/>
              <w:bottom w:val="nil"/>
            </w:tcBorders>
          </w:tcPr>
          <w:p w14:paraId="59568373" w14:textId="77777777" w:rsidR="001825E2" w:rsidRDefault="000839A5" w:rsidP="00CB00A7">
            <w:pPr>
              <w:pStyle w:val="TableParagraph"/>
              <w:spacing w:line="190" w:lineRule="exact"/>
              <w:ind w:left="127"/>
              <w:jc w:val="left"/>
              <w:rPr>
                <w:sz w:val="18"/>
              </w:rPr>
            </w:pPr>
            <w:r>
              <w:rPr>
                <w:spacing w:val="-5"/>
                <w:sz w:val="18"/>
              </w:rPr>
              <w:t>NA</w:t>
            </w:r>
          </w:p>
        </w:tc>
        <w:tc>
          <w:tcPr>
            <w:tcW w:w="1035" w:type="dxa"/>
            <w:tcBorders>
              <w:top w:val="nil"/>
              <w:bottom w:val="nil"/>
            </w:tcBorders>
          </w:tcPr>
          <w:p w14:paraId="66FDBAC7" w14:textId="77777777" w:rsidR="001825E2" w:rsidRDefault="000839A5" w:rsidP="00CB00A7">
            <w:pPr>
              <w:pStyle w:val="TableParagraph"/>
              <w:spacing w:line="190" w:lineRule="exact"/>
              <w:jc w:val="left"/>
              <w:rPr>
                <w:sz w:val="18"/>
              </w:rPr>
            </w:pPr>
            <w:r>
              <w:rPr>
                <w:spacing w:val="-5"/>
                <w:sz w:val="18"/>
              </w:rPr>
              <w:t>NA</w:t>
            </w:r>
          </w:p>
        </w:tc>
        <w:tc>
          <w:tcPr>
            <w:tcW w:w="990" w:type="dxa"/>
            <w:tcBorders>
              <w:top w:val="nil"/>
              <w:bottom w:val="nil"/>
            </w:tcBorders>
          </w:tcPr>
          <w:p w14:paraId="2EF342A1" w14:textId="77777777" w:rsidR="001825E2" w:rsidRDefault="000839A5" w:rsidP="00CB00A7">
            <w:pPr>
              <w:pStyle w:val="TableParagraph"/>
              <w:spacing w:line="190" w:lineRule="exact"/>
              <w:jc w:val="left"/>
              <w:rPr>
                <w:sz w:val="18"/>
              </w:rPr>
            </w:pPr>
            <w:r>
              <w:rPr>
                <w:spacing w:val="-5"/>
                <w:sz w:val="18"/>
              </w:rPr>
              <w:t>NA</w:t>
            </w:r>
          </w:p>
        </w:tc>
        <w:tc>
          <w:tcPr>
            <w:tcW w:w="1140" w:type="dxa"/>
            <w:tcBorders>
              <w:top w:val="nil"/>
              <w:bottom w:val="nil"/>
            </w:tcBorders>
          </w:tcPr>
          <w:p w14:paraId="454FE844" w14:textId="77777777" w:rsidR="001825E2" w:rsidRDefault="000839A5" w:rsidP="00CB00A7">
            <w:pPr>
              <w:pStyle w:val="TableParagraph"/>
              <w:spacing w:line="190" w:lineRule="exact"/>
              <w:jc w:val="left"/>
              <w:rPr>
                <w:sz w:val="18"/>
              </w:rPr>
            </w:pPr>
            <w:r>
              <w:rPr>
                <w:spacing w:val="-5"/>
                <w:sz w:val="18"/>
              </w:rPr>
              <w:t>33%</w:t>
            </w:r>
          </w:p>
        </w:tc>
        <w:tc>
          <w:tcPr>
            <w:tcW w:w="840" w:type="dxa"/>
            <w:tcBorders>
              <w:top w:val="nil"/>
              <w:bottom w:val="nil"/>
            </w:tcBorders>
          </w:tcPr>
          <w:p w14:paraId="258E4103" w14:textId="77777777" w:rsidR="001825E2" w:rsidRDefault="000839A5" w:rsidP="00CB00A7">
            <w:pPr>
              <w:pStyle w:val="TableParagraph"/>
              <w:spacing w:line="190" w:lineRule="exact"/>
              <w:jc w:val="left"/>
              <w:rPr>
                <w:sz w:val="18"/>
              </w:rPr>
            </w:pPr>
            <w:r>
              <w:rPr>
                <w:spacing w:val="-5"/>
                <w:sz w:val="18"/>
              </w:rPr>
              <w:t>NA</w:t>
            </w:r>
          </w:p>
        </w:tc>
        <w:tc>
          <w:tcPr>
            <w:tcW w:w="1140" w:type="dxa"/>
            <w:tcBorders>
              <w:top w:val="nil"/>
              <w:bottom w:val="nil"/>
            </w:tcBorders>
          </w:tcPr>
          <w:p w14:paraId="5D60CE6E" w14:textId="77777777" w:rsidR="001825E2" w:rsidRDefault="000839A5" w:rsidP="00CB00A7">
            <w:pPr>
              <w:pStyle w:val="TableParagraph"/>
              <w:spacing w:line="190" w:lineRule="exact"/>
              <w:jc w:val="left"/>
              <w:rPr>
                <w:sz w:val="18"/>
              </w:rPr>
            </w:pPr>
            <w:r>
              <w:rPr>
                <w:spacing w:val="-5"/>
                <w:sz w:val="18"/>
              </w:rPr>
              <w:t>37%</w:t>
            </w:r>
          </w:p>
        </w:tc>
        <w:tc>
          <w:tcPr>
            <w:tcW w:w="1275" w:type="dxa"/>
            <w:tcBorders>
              <w:top w:val="nil"/>
              <w:bottom w:val="nil"/>
            </w:tcBorders>
          </w:tcPr>
          <w:p w14:paraId="65DC3098" w14:textId="77777777" w:rsidR="001825E2" w:rsidRDefault="000839A5" w:rsidP="00CB00A7">
            <w:pPr>
              <w:pStyle w:val="TableParagraph"/>
              <w:spacing w:line="190" w:lineRule="exact"/>
              <w:jc w:val="left"/>
              <w:rPr>
                <w:sz w:val="18"/>
              </w:rPr>
            </w:pPr>
            <w:r>
              <w:rPr>
                <w:spacing w:val="-5"/>
                <w:sz w:val="18"/>
              </w:rPr>
              <w:t>34%</w:t>
            </w:r>
          </w:p>
        </w:tc>
        <w:tc>
          <w:tcPr>
            <w:tcW w:w="855" w:type="dxa"/>
            <w:tcBorders>
              <w:top w:val="nil"/>
              <w:bottom w:val="nil"/>
            </w:tcBorders>
          </w:tcPr>
          <w:p w14:paraId="4B4120DE" w14:textId="77777777" w:rsidR="001825E2" w:rsidRDefault="000839A5" w:rsidP="00CB00A7">
            <w:pPr>
              <w:pStyle w:val="TableParagraph"/>
              <w:spacing w:line="190" w:lineRule="exact"/>
              <w:jc w:val="left"/>
              <w:rPr>
                <w:sz w:val="18"/>
              </w:rPr>
            </w:pPr>
            <w:r>
              <w:rPr>
                <w:spacing w:val="-5"/>
                <w:sz w:val="18"/>
              </w:rPr>
              <w:t>NA</w:t>
            </w:r>
          </w:p>
        </w:tc>
        <w:tc>
          <w:tcPr>
            <w:tcW w:w="1125" w:type="dxa"/>
            <w:tcBorders>
              <w:top w:val="nil"/>
              <w:bottom w:val="nil"/>
            </w:tcBorders>
          </w:tcPr>
          <w:p w14:paraId="1C96C2D6" w14:textId="77777777" w:rsidR="001825E2" w:rsidRDefault="000839A5" w:rsidP="00CB00A7">
            <w:pPr>
              <w:pStyle w:val="TableParagraph"/>
              <w:spacing w:line="190" w:lineRule="exact"/>
              <w:jc w:val="left"/>
              <w:rPr>
                <w:sz w:val="18"/>
              </w:rPr>
            </w:pPr>
            <w:r>
              <w:rPr>
                <w:spacing w:val="-5"/>
                <w:sz w:val="18"/>
              </w:rPr>
              <w:t>32%</w:t>
            </w:r>
          </w:p>
        </w:tc>
        <w:tc>
          <w:tcPr>
            <w:tcW w:w="1050" w:type="dxa"/>
            <w:tcBorders>
              <w:top w:val="nil"/>
              <w:bottom w:val="nil"/>
            </w:tcBorders>
          </w:tcPr>
          <w:p w14:paraId="5EBD4B94" w14:textId="77777777" w:rsidR="001825E2" w:rsidRDefault="000839A5" w:rsidP="00CB00A7">
            <w:pPr>
              <w:pStyle w:val="TableParagraph"/>
              <w:spacing w:line="190" w:lineRule="exact"/>
              <w:jc w:val="left"/>
              <w:rPr>
                <w:sz w:val="18"/>
              </w:rPr>
            </w:pPr>
            <w:r>
              <w:rPr>
                <w:spacing w:val="-5"/>
                <w:sz w:val="18"/>
              </w:rPr>
              <w:t>NA</w:t>
            </w:r>
          </w:p>
        </w:tc>
        <w:tc>
          <w:tcPr>
            <w:tcW w:w="1080" w:type="dxa"/>
            <w:tcBorders>
              <w:top w:val="nil"/>
              <w:bottom w:val="nil"/>
            </w:tcBorders>
          </w:tcPr>
          <w:p w14:paraId="1F0963AE" w14:textId="77777777" w:rsidR="001825E2" w:rsidRDefault="000839A5" w:rsidP="00CB00A7">
            <w:pPr>
              <w:pStyle w:val="TableParagraph"/>
              <w:spacing w:line="190" w:lineRule="exact"/>
              <w:jc w:val="left"/>
              <w:rPr>
                <w:sz w:val="18"/>
              </w:rPr>
            </w:pPr>
            <w:r>
              <w:rPr>
                <w:spacing w:val="-5"/>
                <w:sz w:val="18"/>
              </w:rPr>
              <w:t>NA</w:t>
            </w:r>
          </w:p>
        </w:tc>
      </w:tr>
      <w:tr w:rsidR="001825E2" w14:paraId="4F8C630E" w14:textId="77777777">
        <w:trPr>
          <w:trHeight w:val="450"/>
        </w:trPr>
        <w:tc>
          <w:tcPr>
            <w:tcW w:w="975" w:type="dxa"/>
            <w:tcBorders>
              <w:top w:val="nil"/>
            </w:tcBorders>
          </w:tcPr>
          <w:p w14:paraId="649AE926" w14:textId="77777777" w:rsidR="001825E2" w:rsidRDefault="000839A5" w:rsidP="00CB00A7">
            <w:pPr>
              <w:pStyle w:val="TableParagraph"/>
              <w:spacing w:line="205" w:lineRule="exact"/>
              <w:ind w:left="45" w:right="74"/>
              <w:jc w:val="left"/>
              <w:rPr>
                <w:sz w:val="18"/>
              </w:rPr>
            </w:pPr>
            <w:r>
              <w:rPr>
                <w:sz w:val="18"/>
              </w:rPr>
              <w:t>Month</w:t>
            </w:r>
            <w:r>
              <w:rPr>
                <w:spacing w:val="-2"/>
                <w:sz w:val="18"/>
              </w:rPr>
              <w:t xml:space="preserve"> </w:t>
            </w:r>
            <w:r>
              <w:rPr>
                <w:spacing w:val="-5"/>
                <w:sz w:val="18"/>
              </w:rPr>
              <w:t>24</w:t>
            </w:r>
          </w:p>
        </w:tc>
        <w:tc>
          <w:tcPr>
            <w:tcW w:w="870" w:type="dxa"/>
            <w:tcBorders>
              <w:top w:val="nil"/>
            </w:tcBorders>
          </w:tcPr>
          <w:p w14:paraId="25EF434E" w14:textId="77777777" w:rsidR="001825E2" w:rsidRDefault="000839A5" w:rsidP="00CB00A7">
            <w:pPr>
              <w:pStyle w:val="TableParagraph"/>
              <w:spacing w:line="205" w:lineRule="exact"/>
              <w:ind w:left="127"/>
              <w:jc w:val="left"/>
              <w:rPr>
                <w:sz w:val="18"/>
              </w:rPr>
            </w:pPr>
            <w:r>
              <w:rPr>
                <w:spacing w:val="-5"/>
                <w:sz w:val="18"/>
              </w:rPr>
              <w:t>NA</w:t>
            </w:r>
          </w:p>
        </w:tc>
        <w:tc>
          <w:tcPr>
            <w:tcW w:w="1035" w:type="dxa"/>
            <w:tcBorders>
              <w:top w:val="nil"/>
            </w:tcBorders>
          </w:tcPr>
          <w:p w14:paraId="66F5BB69" w14:textId="77777777" w:rsidR="001825E2" w:rsidRDefault="000839A5" w:rsidP="00CB00A7">
            <w:pPr>
              <w:pStyle w:val="TableParagraph"/>
              <w:spacing w:line="205" w:lineRule="exact"/>
              <w:jc w:val="left"/>
              <w:rPr>
                <w:sz w:val="18"/>
              </w:rPr>
            </w:pPr>
            <w:r>
              <w:rPr>
                <w:spacing w:val="-5"/>
                <w:sz w:val="18"/>
              </w:rPr>
              <w:t>NA</w:t>
            </w:r>
          </w:p>
        </w:tc>
        <w:tc>
          <w:tcPr>
            <w:tcW w:w="990" w:type="dxa"/>
            <w:tcBorders>
              <w:top w:val="nil"/>
            </w:tcBorders>
          </w:tcPr>
          <w:p w14:paraId="7C238E32" w14:textId="77777777" w:rsidR="001825E2" w:rsidRDefault="000839A5" w:rsidP="00CB00A7">
            <w:pPr>
              <w:pStyle w:val="TableParagraph"/>
              <w:spacing w:line="205" w:lineRule="exact"/>
              <w:jc w:val="left"/>
              <w:rPr>
                <w:sz w:val="18"/>
              </w:rPr>
            </w:pPr>
            <w:r>
              <w:rPr>
                <w:spacing w:val="-5"/>
                <w:sz w:val="18"/>
              </w:rPr>
              <w:t>NA</w:t>
            </w:r>
          </w:p>
        </w:tc>
        <w:tc>
          <w:tcPr>
            <w:tcW w:w="1140" w:type="dxa"/>
            <w:tcBorders>
              <w:top w:val="nil"/>
            </w:tcBorders>
          </w:tcPr>
          <w:p w14:paraId="7B13194F" w14:textId="77777777" w:rsidR="001825E2" w:rsidRDefault="000839A5" w:rsidP="00CB00A7">
            <w:pPr>
              <w:pStyle w:val="TableParagraph"/>
              <w:spacing w:line="205" w:lineRule="exact"/>
              <w:jc w:val="left"/>
              <w:rPr>
                <w:sz w:val="18"/>
              </w:rPr>
            </w:pPr>
            <w:r>
              <w:rPr>
                <w:spacing w:val="-5"/>
                <w:sz w:val="18"/>
              </w:rPr>
              <w:t>NA</w:t>
            </w:r>
          </w:p>
        </w:tc>
        <w:tc>
          <w:tcPr>
            <w:tcW w:w="840" w:type="dxa"/>
            <w:tcBorders>
              <w:top w:val="nil"/>
            </w:tcBorders>
          </w:tcPr>
          <w:p w14:paraId="26BEE35D" w14:textId="77777777" w:rsidR="001825E2" w:rsidRDefault="000839A5" w:rsidP="00CB00A7">
            <w:pPr>
              <w:pStyle w:val="TableParagraph"/>
              <w:spacing w:line="205" w:lineRule="exact"/>
              <w:jc w:val="left"/>
              <w:rPr>
                <w:sz w:val="18"/>
              </w:rPr>
            </w:pPr>
            <w:r>
              <w:rPr>
                <w:spacing w:val="-5"/>
                <w:sz w:val="18"/>
              </w:rPr>
              <w:t>NA</w:t>
            </w:r>
          </w:p>
        </w:tc>
        <w:tc>
          <w:tcPr>
            <w:tcW w:w="1140" w:type="dxa"/>
            <w:tcBorders>
              <w:top w:val="nil"/>
            </w:tcBorders>
          </w:tcPr>
          <w:p w14:paraId="04251D69" w14:textId="77777777" w:rsidR="001825E2" w:rsidRDefault="000839A5" w:rsidP="00CB00A7">
            <w:pPr>
              <w:pStyle w:val="TableParagraph"/>
              <w:spacing w:line="205" w:lineRule="exact"/>
              <w:jc w:val="left"/>
              <w:rPr>
                <w:sz w:val="18"/>
              </w:rPr>
            </w:pPr>
            <w:r>
              <w:rPr>
                <w:spacing w:val="-5"/>
                <w:sz w:val="18"/>
              </w:rPr>
              <w:t>NA</w:t>
            </w:r>
          </w:p>
        </w:tc>
        <w:tc>
          <w:tcPr>
            <w:tcW w:w="1275" w:type="dxa"/>
            <w:tcBorders>
              <w:top w:val="nil"/>
            </w:tcBorders>
          </w:tcPr>
          <w:p w14:paraId="1EE60895" w14:textId="77777777" w:rsidR="001825E2" w:rsidRDefault="000839A5" w:rsidP="00CB00A7">
            <w:pPr>
              <w:pStyle w:val="TableParagraph"/>
              <w:spacing w:line="205" w:lineRule="exact"/>
              <w:jc w:val="left"/>
              <w:rPr>
                <w:sz w:val="18"/>
              </w:rPr>
            </w:pPr>
            <w:r>
              <w:rPr>
                <w:spacing w:val="-5"/>
                <w:sz w:val="18"/>
              </w:rPr>
              <w:t>NA</w:t>
            </w:r>
          </w:p>
        </w:tc>
        <w:tc>
          <w:tcPr>
            <w:tcW w:w="855" w:type="dxa"/>
            <w:tcBorders>
              <w:top w:val="nil"/>
            </w:tcBorders>
          </w:tcPr>
          <w:p w14:paraId="79E401E2" w14:textId="77777777" w:rsidR="001825E2" w:rsidRDefault="000839A5" w:rsidP="00CB00A7">
            <w:pPr>
              <w:pStyle w:val="TableParagraph"/>
              <w:spacing w:line="205" w:lineRule="exact"/>
              <w:jc w:val="left"/>
              <w:rPr>
                <w:sz w:val="18"/>
              </w:rPr>
            </w:pPr>
            <w:r>
              <w:rPr>
                <w:spacing w:val="-5"/>
                <w:sz w:val="18"/>
              </w:rPr>
              <w:t>NA</w:t>
            </w:r>
          </w:p>
        </w:tc>
        <w:tc>
          <w:tcPr>
            <w:tcW w:w="1125" w:type="dxa"/>
            <w:tcBorders>
              <w:top w:val="nil"/>
            </w:tcBorders>
          </w:tcPr>
          <w:p w14:paraId="3B293F6D" w14:textId="77777777" w:rsidR="001825E2" w:rsidRDefault="000839A5" w:rsidP="00CB00A7">
            <w:pPr>
              <w:pStyle w:val="TableParagraph"/>
              <w:spacing w:line="205" w:lineRule="exact"/>
              <w:jc w:val="left"/>
              <w:rPr>
                <w:sz w:val="18"/>
              </w:rPr>
            </w:pPr>
            <w:r>
              <w:rPr>
                <w:spacing w:val="-5"/>
                <w:sz w:val="18"/>
              </w:rPr>
              <w:t>29%</w:t>
            </w:r>
          </w:p>
        </w:tc>
        <w:tc>
          <w:tcPr>
            <w:tcW w:w="1050" w:type="dxa"/>
            <w:tcBorders>
              <w:top w:val="nil"/>
            </w:tcBorders>
          </w:tcPr>
          <w:p w14:paraId="38730A0C" w14:textId="77777777" w:rsidR="001825E2" w:rsidRDefault="000839A5" w:rsidP="00CB00A7">
            <w:pPr>
              <w:pStyle w:val="TableParagraph"/>
              <w:spacing w:line="205" w:lineRule="exact"/>
              <w:jc w:val="left"/>
              <w:rPr>
                <w:sz w:val="18"/>
              </w:rPr>
            </w:pPr>
            <w:r>
              <w:rPr>
                <w:spacing w:val="-5"/>
                <w:sz w:val="18"/>
              </w:rPr>
              <w:t>NA</w:t>
            </w:r>
          </w:p>
        </w:tc>
        <w:tc>
          <w:tcPr>
            <w:tcW w:w="1080" w:type="dxa"/>
            <w:tcBorders>
              <w:top w:val="nil"/>
            </w:tcBorders>
          </w:tcPr>
          <w:p w14:paraId="305532D8" w14:textId="77777777" w:rsidR="001825E2" w:rsidRDefault="000839A5" w:rsidP="00CB00A7">
            <w:pPr>
              <w:pStyle w:val="TableParagraph"/>
              <w:spacing w:line="205" w:lineRule="exact"/>
              <w:jc w:val="left"/>
              <w:rPr>
                <w:sz w:val="18"/>
              </w:rPr>
            </w:pPr>
            <w:r>
              <w:rPr>
                <w:spacing w:val="-5"/>
                <w:sz w:val="18"/>
              </w:rPr>
              <w:t>NA</w:t>
            </w:r>
          </w:p>
        </w:tc>
      </w:tr>
      <w:tr w:rsidR="001825E2" w14:paraId="7231E217" w14:textId="77777777">
        <w:trPr>
          <w:trHeight w:val="215"/>
        </w:trPr>
        <w:tc>
          <w:tcPr>
            <w:tcW w:w="975" w:type="dxa"/>
            <w:tcBorders>
              <w:bottom w:val="nil"/>
            </w:tcBorders>
          </w:tcPr>
          <w:p w14:paraId="57C10114" w14:textId="77777777" w:rsidR="001825E2" w:rsidRDefault="000839A5" w:rsidP="00CB00A7">
            <w:pPr>
              <w:pStyle w:val="TableParagraph"/>
              <w:spacing w:before="12" w:line="184" w:lineRule="exact"/>
              <w:ind w:left="45" w:right="192"/>
              <w:jc w:val="left"/>
              <w:rPr>
                <w:b/>
                <w:sz w:val="18"/>
              </w:rPr>
            </w:pPr>
            <w:r>
              <w:rPr>
                <w:b/>
                <w:spacing w:val="-4"/>
                <w:sz w:val="18"/>
              </w:rPr>
              <w:t>ACR70</w:t>
            </w:r>
          </w:p>
        </w:tc>
        <w:tc>
          <w:tcPr>
            <w:tcW w:w="870" w:type="dxa"/>
            <w:tcBorders>
              <w:bottom w:val="nil"/>
            </w:tcBorders>
          </w:tcPr>
          <w:p w14:paraId="225332CF" w14:textId="77777777" w:rsidR="001825E2" w:rsidRDefault="001825E2" w:rsidP="00CB00A7">
            <w:pPr>
              <w:pStyle w:val="TableParagraph"/>
              <w:ind w:left="0"/>
              <w:jc w:val="left"/>
              <w:rPr>
                <w:sz w:val="14"/>
              </w:rPr>
            </w:pPr>
          </w:p>
        </w:tc>
        <w:tc>
          <w:tcPr>
            <w:tcW w:w="1035" w:type="dxa"/>
            <w:tcBorders>
              <w:bottom w:val="nil"/>
            </w:tcBorders>
          </w:tcPr>
          <w:p w14:paraId="6CD1012B" w14:textId="77777777" w:rsidR="001825E2" w:rsidRDefault="001825E2" w:rsidP="00CB00A7">
            <w:pPr>
              <w:pStyle w:val="TableParagraph"/>
              <w:ind w:left="0"/>
              <w:jc w:val="left"/>
              <w:rPr>
                <w:sz w:val="14"/>
              </w:rPr>
            </w:pPr>
          </w:p>
        </w:tc>
        <w:tc>
          <w:tcPr>
            <w:tcW w:w="990" w:type="dxa"/>
            <w:tcBorders>
              <w:bottom w:val="nil"/>
            </w:tcBorders>
          </w:tcPr>
          <w:p w14:paraId="2926C3E3" w14:textId="77777777" w:rsidR="001825E2" w:rsidRDefault="001825E2" w:rsidP="00CB00A7">
            <w:pPr>
              <w:pStyle w:val="TableParagraph"/>
              <w:ind w:left="0"/>
              <w:jc w:val="left"/>
              <w:rPr>
                <w:sz w:val="14"/>
              </w:rPr>
            </w:pPr>
          </w:p>
        </w:tc>
        <w:tc>
          <w:tcPr>
            <w:tcW w:w="1140" w:type="dxa"/>
            <w:tcBorders>
              <w:bottom w:val="nil"/>
            </w:tcBorders>
          </w:tcPr>
          <w:p w14:paraId="4F359948" w14:textId="77777777" w:rsidR="001825E2" w:rsidRDefault="001825E2" w:rsidP="00CB00A7">
            <w:pPr>
              <w:pStyle w:val="TableParagraph"/>
              <w:ind w:left="0"/>
              <w:jc w:val="left"/>
              <w:rPr>
                <w:sz w:val="14"/>
              </w:rPr>
            </w:pPr>
          </w:p>
        </w:tc>
        <w:tc>
          <w:tcPr>
            <w:tcW w:w="840" w:type="dxa"/>
            <w:tcBorders>
              <w:bottom w:val="nil"/>
            </w:tcBorders>
          </w:tcPr>
          <w:p w14:paraId="56463360" w14:textId="77777777" w:rsidR="001825E2" w:rsidRDefault="001825E2" w:rsidP="00CB00A7">
            <w:pPr>
              <w:pStyle w:val="TableParagraph"/>
              <w:ind w:left="0"/>
              <w:jc w:val="left"/>
              <w:rPr>
                <w:sz w:val="14"/>
              </w:rPr>
            </w:pPr>
          </w:p>
        </w:tc>
        <w:tc>
          <w:tcPr>
            <w:tcW w:w="1140" w:type="dxa"/>
            <w:tcBorders>
              <w:bottom w:val="nil"/>
            </w:tcBorders>
          </w:tcPr>
          <w:p w14:paraId="5E2DCA02" w14:textId="77777777" w:rsidR="001825E2" w:rsidRDefault="001825E2" w:rsidP="00CB00A7">
            <w:pPr>
              <w:pStyle w:val="TableParagraph"/>
              <w:ind w:left="0"/>
              <w:jc w:val="left"/>
              <w:rPr>
                <w:sz w:val="14"/>
              </w:rPr>
            </w:pPr>
          </w:p>
        </w:tc>
        <w:tc>
          <w:tcPr>
            <w:tcW w:w="1275" w:type="dxa"/>
            <w:tcBorders>
              <w:bottom w:val="nil"/>
            </w:tcBorders>
          </w:tcPr>
          <w:p w14:paraId="1DAB8A4B" w14:textId="77777777" w:rsidR="001825E2" w:rsidRDefault="001825E2" w:rsidP="00CB00A7">
            <w:pPr>
              <w:pStyle w:val="TableParagraph"/>
              <w:ind w:left="0"/>
              <w:jc w:val="left"/>
              <w:rPr>
                <w:sz w:val="14"/>
              </w:rPr>
            </w:pPr>
          </w:p>
        </w:tc>
        <w:tc>
          <w:tcPr>
            <w:tcW w:w="855" w:type="dxa"/>
            <w:tcBorders>
              <w:bottom w:val="nil"/>
            </w:tcBorders>
          </w:tcPr>
          <w:p w14:paraId="58E5115F" w14:textId="77777777" w:rsidR="001825E2" w:rsidRDefault="001825E2" w:rsidP="00CB00A7">
            <w:pPr>
              <w:pStyle w:val="TableParagraph"/>
              <w:ind w:left="0"/>
              <w:jc w:val="left"/>
              <w:rPr>
                <w:sz w:val="14"/>
              </w:rPr>
            </w:pPr>
          </w:p>
        </w:tc>
        <w:tc>
          <w:tcPr>
            <w:tcW w:w="1125" w:type="dxa"/>
            <w:tcBorders>
              <w:bottom w:val="nil"/>
            </w:tcBorders>
          </w:tcPr>
          <w:p w14:paraId="66D85734" w14:textId="77777777" w:rsidR="001825E2" w:rsidRDefault="001825E2" w:rsidP="00CB00A7">
            <w:pPr>
              <w:pStyle w:val="TableParagraph"/>
              <w:ind w:left="0"/>
              <w:jc w:val="left"/>
              <w:rPr>
                <w:sz w:val="14"/>
              </w:rPr>
            </w:pPr>
          </w:p>
        </w:tc>
        <w:tc>
          <w:tcPr>
            <w:tcW w:w="1050" w:type="dxa"/>
            <w:tcBorders>
              <w:bottom w:val="nil"/>
            </w:tcBorders>
          </w:tcPr>
          <w:p w14:paraId="14966319" w14:textId="77777777" w:rsidR="001825E2" w:rsidRDefault="001825E2" w:rsidP="00CB00A7">
            <w:pPr>
              <w:pStyle w:val="TableParagraph"/>
              <w:ind w:left="0"/>
              <w:jc w:val="left"/>
              <w:rPr>
                <w:sz w:val="14"/>
              </w:rPr>
            </w:pPr>
          </w:p>
        </w:tc>
        <w:tc>
          <w:tcPr>
            <w:tcW w:w="1080" w:type="dxa"/>
            <w:tcBorders>
              <w:bottom w:val="nil"/>
            </w:tcBorders>
          </w:tcPr>
          <w:p w14:paraId="68647D90" w14:textId="77777777" w:rsidR="001825E2" w:rsidRDefault="001825E2" w:rsidP="00CB00A7">
            <w:pPr>
              <w:pStyle w:val="TableParagraph"/>
              <w:ind w:left="0"/>
              <w:jc w:val="left"/>
              <w:rPr>
                <w:sz w:val="14"/>
              </w:rPr>
            </w:pPr>
          </w:p>
        </w:tc>
      </w:tr>
      <w:tr w:rsidR="001825E2" w14:paraId="3AD9DE8C" w14:textId="77777777">
        <w:trPr>
          <w:trHeight w:val="203"/>
        </w:trPr>
        <w:tc>
          <w:tcPr>
            <w:tcW w:w="975" w:type="dxa"/>
            <w:tcBorders>
              <w:top w:val="nil"/>
              <w:bottom w:val="nil"/>
            </w:tcBorders>
          </w:tcPr>
          <w:p w14:paraId="7EBB71F4" w14:textId="77777777" w:rsidR="001825E2" w:rsidRDefault="000839A5" w:rsidP="00CB00A7">
            <w:pPr>
              <w:pStyle w:val="TableParagraph"/>
              <w:spacing w:line="184" w:lineRule="exact"/>
              <w:ind w:left="45" w:right="164"/>
              <w:jc w:val="left"/>
              <w:rPr>
                <w:sz w:val="18"/>
              </w:rPr>
            </w:pPr>
            <w:r>
              <w:rPr>
                <w:sz w:val="18"/>
              </w:rPr>
              <w:t>Month</w:t>
            </w:r>
            <w:r>
              <w:rPr>
                <w:spacing w:val="-2"/>
                <w:sz w:val="18"/>
              </w:rPr>
              <w:t xml:space="preserve"> </w:t>
            </w:r>
            <w:r>
              <w:rPr>
                <w:spacing w:val="-10"/>
                <w:sz w:val="18"/>
              </w:rPr>
              <w:t>3</w:t>
            </w:r>
          </w:p>
        </w:tc>
        <w:tc>
          <w:tcPr>
            <w:tcW w:w="870" w:type="dxa"/>
            <w:tcBorders>
              <w:top w:val="nil"/>
              <w:bottom w:val="nil"/>
            </w:tcBorders>
          </w:tcPr>
          <w:p w14:paraId="780FA987" w14:textId="77777777" w:rsidR="001825E2" w:rsidRDefault="000839A5" w:rsidP="00CB00A7">
            <w:pPr>
              <w:pStyle w:val="TableParagraph"/>
              <w:spacing w:line="184" w:lineRule="exact"/>
              <w:ind w:left="127"/>
              <w:jc w:val="left"/>
              <w:rPr>
                <w:sz w:val="18"/>
              </w:rPr>
            </w:pPr>
            <w:r>
              <w:rPr>
                <w:spacing w:val="-5"/>
                <w:sz w:val="18"/>
              </w:rPr>
              <w:t>6%</w:t>
            </w:r>
          </w:p>
        </w:tc>
        <w:tc>
          <w:tcPr>
            <w:tcW w:w="1035" w:type="dxa"/>
            <w:tcBorders>
              <w:top w:val="nil"/>
              <w:bottom w:val="nil"/>
            </w:tcBorders>
          </w:tcPr>
          <w:p w14:paraId="0BE7A50B" w14:textId="77777777" w:rsidR="001825E2" w:rsidRDefault="000839A5" w:rsidP="00CB00A7">
            <w:pPr>
              <w:pStyle w:val="TableParagraph"/>
              <w:spacing w:line="184" w:lineRule="exact"/>
              <w:jc w:val="left"/>
              <w:rPr>
                <w:sz w:val="18"/>
              </w:rPr>
            </w:pPr>
            <w:r>
              <w:rPr>
                <w:spacing w:val="-4"/>
                <w:sz w:val="18"/>
              </w:rPr>
              <w:t>15%*</w:t>
            </w:r>
          </w:p>
        </w:tc>
        <w:tc>
          <w:tcPr>
            <w:tcW w:w="990" w:type="dxa"/>
            <w:tcBorders>
              <w:top w:val="nil"/>
              <w:bottom w:val="nil"/>
            </w:tcBorders>
          </w:tcPr>
          <w:p w14:paraId="50B35A5B" w14:textId="77777777" w:rsidR="001825E2" w:rsidRDefault="000839A5" w:rsidP="00CB00A7">
            <w:pPr>
              <w:pStyle w:val="TableParagraph"/>
              <w:spacing w:line="184" w:lineRule="exact"/>
              <w:jc w:val="left"/>
              <w:rPr>
                <w:sz w:val="18"/>
              </w:rPr>
            </w:pPr>
            <w:r>
              <w:rPr>
                <w:spacing w:val="-5"/>
                <w:sz w:val="18"/>
              </w:rPr>
              <w:t>2%</w:t>
            </w:r>
          </w:p>
        </w:tc>
        <w:tc>
          <w:tcPr>
            <w:tcW w:w="1140" w:type="dxa"/>
            <w:tcBorders>
              <w:top w:val="nil"/>
              <w:bottom w:val="nil"/>
            </w:tcBorders>
          </w:tcPr>
          <w:p w14:paraId="0B9E3A37" w14:textId="77777777" w:rsidR="001825E2" w:rsidRDefault="000839A5" w:rsidP="00CB00A7">
            <w:pPr>
              <w:pStyle w:val="TableParagraph"/>
              <w:spacing w:line="184" w:lineRule="exact"/>
              <w:jc w:val="left"/>
              <w:rPr>
                <w:sz w:val="18"/>
              </w:rPr>
            </w:pPr>
            <w:r>
              <w:rPr>
                <w:spacing w:val="-4"/>
                <w:sz w:val="18"/>
              </w:rPr>
              <w:t>8%**</w:t>
            </w:r>
          </w:p>
        </w:tc>
        <w:tc>
          <w:tcPr>
            <w:tcW w:w="840" w:type="dxa"/>
            <w:tcBorders>
              <w:top w:val="nil"/>
              <w:bottom w:val="nil"/>
            </w:tcBorders>
          </w:tcPr>
          <w:p w14:paraId="502C0BB3" w14:textId="77777777" w:rsidR="001825E2" w:rsidRDefault="000839A5" w:rsidP="00CB00A7">
            <w:pPr>
              <w:pStyle w:val="TableParagraph"/>
              <w:spacing w:line="184" w:lineRule="exact"/>
              <w:jc w:val="left"/>
              <w:rPr>
                <w:sz w:val="18"/>
              </w:rPr>
            </w:pPr>
            <w:r>
              <w:rPr>
                <w:spacing w:val="-5"/>
                <w:sz w:val="18"/>
              </w:rPr>
              <w:t>2%</w:t>
            </w:r>
          </w:p>
        </w:tc>
        <w:tc>
          <w:tcPr>
            <w:tcW w:w="1140" w:type="dxa"/>
            <w:tcBorders>
              <w:top w:val="nil"/>
              <w:bottom w:val="nil"/>
            </w:tcBorders>
          </w:tcPr>
          <w:p w14:paraId="44C9A2F3" w14:textId="77777777" w:rsidR="001825E2" w:rsidRDefault="000839A5" w:rsidP="00CB00A7">
            <w:pPr>
              <w:pStyle w:val="TableParagraph"/>
              <w:spacing w:line="184" w:lineRule="exact"/>
              <w:jc w:val="left"/>
              <w:rPr>
                <w:sz w:val="18"/>
              </w:rPr>
            </w:pPr>
            <w:r>
              <w:rPr>
                <w:spacing w:val="-2"/>
                <w:sz w:val="18"/>
              </w:rPr>
              <w:t>12%**</w:t>
            </w:r>
          </w:p>
        </w:tc>
        <w:tc>
          <w:tcPr>
            <w:tcW w:w="1275" w:type="dxa"/>
            <w:tcBorders>
              <w:top w:val="nil"/>
              <w:bottom w:val="nil"/>
            </w:tcBorders>
          </w:tcPr>
          <w:p w14:paraId="067D24B7" w14:textId="77777777" w:rsidR="001825E2" w:rsidRDefault="000839A5" w:rsidP="00CB00A7">
            <w:pPr>
              <w:pStyle w:val="TableParagraph"/>
              <w:spacing w:line="184" w:lineRule="exact"/>
              <w:jc w:val="left"/>
              <w:rPr>
                <w:sz w:val="18"/>
              </w:rPr>
            </w:pPr>
            <w:r>
              <w:rPr>
                <w:spacing w:val="-5"/>
                <w:sz w:val="18"/>
              </w:rPr>
              <w:t>9%*</w:t>
            </w:r>
          </w:p>
        </w:tc>
        <w:tc>
          <w:tcPr>
            <w:tcW w:w="855" w:type="dxa"/>
            <w:tcBorders>
              <w:top w:val="nil"/>
              <w:bottom w:val="nil"/>
            </w:tcBorders>
          </w:tcPr>
          <w:p w14:paraId="09F62B31" w14:textId="77777777" w:rsidR="001825E2" w:rsidRDefault="000839A5" w:rsidP="00CB00A7">
            <w:pPr>
              <w:pStyle w:val="TableParagraph"/>
              <w:spacing w:line="184" w:lineRule="exact"/>
              <w:jc w:val="left"/>
              <w:rPr>
                <w:sz w:val="18"/>
              </w:rPr>
            </w:pPr>
            <w:r>
              <w:rPr>
                <w:spacing w:val="-5"/>
                <w:sz w:val="18"/>
              </w:rPr>
              <w:t>3%</w:t>
            </w:r>
          </w:p>
        </w:tc>
        <w:tc>
          <w:tcPr>
            <w:tcW w:w="1125" w:type="dxa"/>
            <w:tcBorders>
              <w:top w:val="nil"/>
              <w:bottom w:val="nil"/>
            </w:tcBorders>
          </w:tcPr>
          <w:p w14:paraId="43E3BECF" w14:textId="77777777" w:rsidR="001825E2" w:rsidRDefault="000839A5" w:rsidP="00CB00A7">
            <w:pPr>
              <w:pStyle w:val="TableParagraph"/>
              <w:spacing w:line="184" w:lineRule="exact"/>
              <w:jc w:val="left"/>
              <w:rPr>
                <w:sz w:val="18"/>
              </w:rPr>
            </w:pPr>
            <w:r>
              <w:rPr>
                <w:spacing w:val="-2"/>
                <w:sz w:val="18"/>
              </w:rPr>
              <w:t>11%**</w:t>
            </w:r>
          </w:p>
        </w:tc>
        <w:tc>
          <w:tcPr>
            <w:tcW w:w="1050" w:type="dxa"/>
            <w:tcBorders>
              <w:top w:val="nil"/>
              <w:bottom w:val="nil"/>
            </w:tcBorders>
          </w:tcPr>
          <w:p w14:paraId="131BD408" w14:textId="77777777" w:rsidR="001825E2" w:rsidRDefault="000839A5" w:rsidP="00CB00A7">
            <w:pPr>
              <w:pStyle w:val="TableParagraph"/>
              <w:spacing w:line="184" w:lineRule="exact"/>
              <w:jc w:val="left"/>
              <w:rPr>
                <w:sz w:val="18"/>
              </w:rPr>
            </w:pPr>
            <w:r>
              <w:rPr>
                <w:spacing w:val="-5"/>
                <w:sz w:val="18"/>
              </w:rPr>
              <w:t>2%</w:t>
            </w:r>
          </w:p>
        </w:tc>
        <w:tc>
          <w:tcPr>
            <w:tcW w:w="1080" w:type="dxa"/>
            <w:tcBorders>
              <w:top w:val="nil"/>
              <w:bottom w:val="nil"/>
            </w:tcBorders>
          </w:tcPr>
          <w:p w14:paraId="2DA1FFAA" w14:textId="77777777" w:rsidR="001825E2" w:rsidRDefault="000839A5" w:rsidP="00CB00A7">
            <w:pPr>
              <w:pStyle w:val="TableParagraph"/>
              <w:spacing w:line="184" w:lineRule="exact"/>
              <w:jc w:val="left"/>
              <w:rPr>
                <w:sz w:val="18"/>
              </w:rPr>
            </w:pPr>
            <w:r>
              <w:rPr>
                <w:spacing w:val="-2"/>
                <w:sz w:val="18"/>
              </w:rPr>
              <w:t>14%**</w:t>
            </w:r>
          </w:p>
        </w:tc>
      </w:tr>
      <w:tr w:rsidR="001825E2" w14:paraId="43400667" w14:textId="77777777">
        <w:trPr>
          <w:trHeight w:val="210"/>
        </w:trPr>
        <w:tc>
          <w:tcPr>
            <w:tcW w:w="975" w:type="dxa"/>
            <w:tcBorders>
              <w:top w:val="nil"/>
              <w:bottom w:val="nil"/>
            </w:tcBorders>
          </w:tcPr>
          <w:p w14:paraId="533B66C4" w14:textId="77777777" w:rsidR="001825E2" w:rsidRDefault="000839A5" w:rsidP="00CB00A7">
            <w:pPr>
              <w:pStyle w:val="TableParagraph"/>
              <w:spacing w:line="190" w:lineRule="exact"/>
              <w:ind w:left="45" w:right="164"/>
              <w:jc w:val="left"/>
              <w:rPr>
                <w:sz w:val="18"/>
              </w:rPr>
            </w:pPr>
            <w:r>
              <w:rPr>
                <w:sz w:val="18"/>
              </w:rPr>
              <w:t>Month</w:t>
            </w:r>
            <w:r>
              <w:rPr>
                <w:spacing w:val="-2"/>
                <w:sz w:val="18"/>
              </w:rPr>
              <w:t xml:space="preserve"> </w:t>
            </w:r>
            <w:r>
              <w:rPr>
                <w:spacing w:val="-10"/>
                <w:sz w:val="18"/>
              </w:rPr>
              <w:t>6</w:t>
            </w:r>
          </w:p>
        </w:tc>
        <w:tc>
          <w:tcPr>
            <w:tcW w:w="870" w:type="dxa"/>
            <w:tcBorders>
              <w:top w:val="nil"/>
              <w:bottom w:val="nil"/>
            </w:tcBorders>
          </w:tcPr>
          <w:p w14:paraId="28E2591A" w14:textId="77777777" w:rsidR="001825E2" w:rsidRDefault="000839A5" w:rsidP="00CB00A7">
            <w:pPr>
              <w:pStyle w:val="TableParagraph"/>
              <w:spacing w:line="190" w:lineRule="exact"/>
              <w:ind w:left="127"/>
              <w:jc w:val="left"/>
              <w:rPr>
                <w:sz w:val="18"/>
              </w:rPr>
            </w:pPr>
            <w:r>
              <w:rPr>
                <w:spacing w:val="-5"/>
                <w:sz w:val="18"/>
              </w:rPr>
              <w:t>NA</w:t>
            </w:r>
          </w:p>
        </w:tc>
        <w:tc>
          <w:tcPr>
            <w:tcW w:w="1035" w:type="dxa"/>
            <w:tcBorders>
              <w:top w:val="nil"/>
              <w:bottom w:val="nil"/>
            </w:tcBorders>
          </w:tcPr>
          <w:p w14:paraId="0E810381" w14:textId="77777777" w:rsidR="001825E2" w:rsidRDefault="000839A5" w:rsidP="00CB00A7">
            <w:pPr>
              <w:pStyle w:val="TableParagraph"/>
              <w:spacing w:line="190" w:lineRule="exact"/>
              <w:jc w:val="left"/>
              <w:rPr>
                <w:sz w:val="18"/>
              </w:rPr>
            </w:pPr>
            <w:r>
              <w:rPr>
                <w:spacing w:val="-5"/>
                <w:sz w:val="18"/>
              </w:rPr>
              <w:t>22%</w:t>
            </w:r>
          </w:p>
        </w:tc>
        <w:tc>
          <w:tcPr>
            <w:tcW w:w="990" w:type="dxa"/>
            <w:tcBorders>
              <w:top w:val="nil"/>
              <w:bottom w:val="nil"/>
            </w:tcBorders>
          </w:tcPr>
          <w:p w14:paraId="0670232A" w14:textId="77777777" w:rsidR="001825E2" w:rsidRDefault="000839A5" w:rsidP="00CB00A7">
            <w:pPr>
              <w:pStyle w:val="TableParagraph"/>
              <w:spacing w:line="190" w:lineRule="exact"/>
              <w:jc w:val="left"/>
              <w:rPr>
                <w:sz w:val="18"/>
              </w:rPr>
            </w:pPr>
            <w:r>
              <w:rPr>
                <w:spacing w:val="-5"/>
                <w:sz w:val="18"/>
              </w:rPr>
              <w:t>3%</w:t>
            </w:r>
          </w:p>
        </w:tc>
        <w:tc>
          <w:tcPr>
            <w:tcW w:w="1140" w:type="dxa"/>
            <w:tcBorders>
              <w:top w:val="nil"/>
              <w:bottom w:val="nil"/>
            </w:tcBorders>
          </w:tcPr>
          <w:p w14:paraId="1701B7AF" w14:textId="77777777" w:rsidR="001825E2" w:rsidRDefault="000839A5" w:rsidP="00CB00A7">
            <w:pPr>
              <w:pStyle w:val="TableParagraph"/>
              <w:spacing w:line="190" w:lineRule="exact"/>
              <w:jc w:val="left"/>
              <w:rPr>
                <w:sz w:val="18"/>
              </w:rPr>
            </w:pPr>
            <w:r>
              <w:rPr>
                <w:spacing w:val="-2"/>
                <w:sz w:val="18"/>
              </w:rPr>
              <w:t>13%***</w:t>
            </w:r>
          </w:p>
        </w:tc>
        <w:tc>
          <w:tcPr>
            <w:tcW w:w="840" w:type="dxa"/>
            <w:tcBorders>
              <w:top w:val="nil"/>
              <w:bottom w:val="nil"/>
            </w:tcBorders>
          </w:tcPr>
          <w:p w14:paraId="37F07B9B" w14:textId="77777777" w:rsidR="001825E2" w:rsidRDefault="000839A5" w:rsidP="00CB00A7">
            <w:pPr>
              <w:pStyle w:val="TableParagraph"/>
              <w:spacing w:line="190" w:lineRule="exact"/>
              <w:jc w:val="left"/>
              <w:rPr>
                <w:sz w:val="18"/>
              </w:rPr>
            </w:pPr>
            <w:r>
              <w:rPr>
                <w:spacing w:val="-5"/>
                <w:sz w:val="18"/>
              </w:rPr>
              <w:t>2%</w:t>
            </w:r>
          </w:p>
        </w:tc>
        <w:tc>
          <w:tcPr>
            <w:tcW w:w="1140" w:type="dxa"/>
            <w:tcBorders>
              <w:top w:val="nil"/>
              <w:bottom w:val="nil"/>
            </w:tcBorders>
          </w:tcPr>
          <w:p w14:paraId="1FC2CAA5" w14:textId="77777777" w:rsidR="001825E2" w:rsidRDefault="000839A5" w:rsidP="00CB00A7">
            <w:pPr>
              <w:pStyle w:val="TableParagraph"/>
              <w:spacing w:line="190" w:lineRule="exact"/>
              <w:jc w:val="left"/>
              <w:rPr>
                <w:sz w:val="18"/>
              </w:rPr>
            </w:pPr>
            <w:r>
              <w:rPr>
                <w:spacing w:val="-2"/>
                <w:sz w:val="18"/>
              </w:rPr>
              <w:t>20%***</w:t>
            </w:r>
          </w:p>
        </w:tc>
        <w:tc>
          <w:tcPr>
            <w:tcW w:w="1275" w:type="dxa"/>
            <w:tcBorders>
              <w:top w:val="nil"/>
              <w:bottom w:val="nil"/>
            </w:tcBorders>
          </w:tcPr>
          <w:p w14:paraId="0EE4CD8C" w14:textId="77777777" w:rsidR="001825E2" w:rsidRDefault="000839A5" w:rsidP="00CB00A7">
            <w:pPr>
              <w:pStyle w:val="TableParagraph"/>
              <w:spacing w:line="190" w:lineRule="exact"/>
              <w:jc w:val="left"/>
              <w:rPr>
                <w:sz w:val="18"/>
              </w:rPr>
            </w:pPr>
            <w:r>
              <w:rPr>
                <w:spacing w:val="-5"/>
                <w:sz w:val="18"/>
              </w:rPr>
              <w:t>9%*</w:t>
            </w:r>
          </w:p>
        </w:tc>
        <w:tc>
          <w:tcPr>
            <w:tcW w:w="855" w:type="dxa"/>
            <w:tcBorders>
              <w:top w:val="nil"/>
              <w:bottom w:val="nil"/>
            </w:tcBorders>
          </w:tcPr>
          <w:p w14:paraId="7AAE30C6" w14:textId="77777777" w:rsidR="001825E2" w:rsidRDefault="000839A5" w:rsidP="00CB00A7">
            <w:pPr>
              <w:pStyle w:val="TableParagraph"/>
              <w:spacing w:line="190" w:lineRule="exact"/>
              <w:jc w:val="left"/>
              <w:rPr>
                <w:sz w:val="18"/>
              </w:rPr>
            </w:pPr>
            <w:r>
              <w:rPr>
                <w:spacing w:val="-5"/>
                <w:sz w:val="18"/>
              </w:rPr>
              <w:t>1%</w:t>
            </w:r>
          </w:p>
        </w:tc>
        <w:tc>
          <w:tcPr>
            <w:tcW w:w="1125" w:type="dxa"/>
            <w:tcBorders>
              <w:top w:val="nil"/>
              <w:bottom w:val="nil"/>
            </w:tcBorders>
          </w:tcPr>
          <w:p w14:paraId="07920F9F" w14:textId="77777777" w:rsidR="001825E2" w:rsidRDefault="000839A5" w:rsidP="00CB00A7">
            <w:pPr>
              <w:pStyle w:val="TableParagraph"/>
              <w:spacing w:line="190" w:lineRule="exact"/>
              <w:jc w:val="left"/>
              <w:rPr>
                <w:sz w:val="18"/>
              </w:rPr>
            </w:pPr>
            <w:r>
              <w:rPr>
                <w:spacing w:val="-2"/>
                <w:sz w:val="18"/>
              </w:rPr>
              <w:t>15%***</w:t>
            </w:r>
          </w:p>
        </w:tc>
        <w:tc>
          <w:tcPr>
            <w:tcW w:w="1050" w:type="dxa"/>
            <w:tcBorders>
              <w:top w:val="nil"/>
              <w:bottom w:val="nil"/>
            </w:tcBorders>
          </w:tcPr>
          <w:p w14:paraId="096E0BA0" w14:textId="77777777" w:rsidR="001825E2" w:rsidRDefault="000839A5" w:rsidP="00CB00A7">
            <w:pPr>
              <w:pStyle w:val="TableParagraph"/>
              <w:spacing w:line="190" w:lineRule="exact"/>
              <w:jc w:val="left"/>
              <w:rPr>
                <w:sz w:val="18"/>
              </w:rPr>
            </w:pPr>
            <w:r>
              <w:rPr>
                <w:spacing w:val="-5"/>
                <w:sz w:val="18"/>
              </w:rPr>
              <w:t>NA</w:t>
            </w:r>
          </w:p>
        </w:tc>
        <w:tc>
          <w:tcPr>
            <w:tcW w:w="1080" w:type="dxa"/>
            <w:tcBorders>
              <w:top w:val="nil"/>
              <w:bottom w:val="nil"/>
            </w:tcBorders>
          </w:tcPr>
          <w:p w14:paraId="5DC0A9D4" w14:textId="77777777" w:rsidR="001825E2" w:rsidRDefault="000839A5" w:rsidP="00CB00A7">
            <w:pPr>
              <w:pStyle w:val="TableParagraph"/>
              <w:spacing w:line="190" w:lineRule="exact"/>
              <w:jc w:val="left"/>
              <w:rPr>
                <w:sz w:val="18"/>
              </w:rPr>
            </w:pPr>
            <w:r>
              <w:rPr>
                <w:spacing w:val="-5"/>
                <w:sz w:val="18"/>
              </w:rPr>
              <w:t>16%</w:t>
            </w:r>
          </w:p>
        </w:tc>
      </w:tr>
      <w:tr w:rsidR="001825E2" w14:paraId="6385042B" w14:textId="77777777">
        <w:trPr>
          <w:trHeight w:val="210"/>
        </w:trPr>
        <w:tc>
          <w:tcPr>
            <w:tcW w:w="975" w:type="dxa"/>
            <w:tcBorders>
              <w:top w:val="nil"/>
              <w:bottom w:val="nil"/>
            </w:tcBorders>
          </w:tcPr>
          <w:p w14:paraId="0A4275D6" w14:textId="77777777" w:rsidR="001825E2" w:rsidRDefault="000839A5" w:rsidP="00CB00A7">
            <w:pPr>
              <w:pStyle w:val="TableParagraph"/>
              <w:spacing w:line="190" w:lineRule="exact"/>
              <w:ind w:left="45" w:right="74"/>
              <w:jc w:val="left"/>
              <w:rPr>
                <w:sz w:val="18"/>
              </w:rPr>
            </w:pPr>
            <w:r>
              <w:rPr>
                <w:sz w:val="18"/>
              </w:rPr>
              <w:t>Month</w:t>
            </w:r>
            <w:r>
              <w:rPr>
                <w:spacing w:val="-2"/>
                <w:sz w:val="18"/>
              </w:rPr>
              <w:t xml:space="preserve"> </w:t>
            </w:r>
            <w:r>
              <w:rPr>
                <w:spacing w:val="-5"/>
                <w:sz w:val="18"/>
              </w:rPr>
              <w:t>12</w:t>
            </w:r>
          </w:p>
        </w:tc>
        <w:tc>
          <w:tcPr>
            <w:tcW w:w="870" w:type="dxa"/>
            <w:tcBorders>
              <w:top w:val="nil"/>
              <w:bottom w:val="nil"/>
            </w:tcBorders>
          </w:tcPr>
          <w:p w14:paraId="32AF531B" w14:textId="77777777" w:rsidR="001825E2" w:rsidRDefault="000839A5" w:rsidP="00CB00A7">
            <w:pPr>
              <w:pStyle w:val="TableParagraph"/>
              <w:spacing w:line="190" w:lineRule="exact"/>
              <w:ind w:left="127"/>
              <w:jc w:val="left"/>
              <w:rPr>
                <w:sz w:val="18"/>
              </w:rPr>
            </w:pPr>
            <w:r>
              <w:rPr>
                <w:spacing w:val="-5"/>
                <w:sz w:val="18"/>
              </w:rPr>
              <w:t>NA</w:t>
            </w:r>
          </w:p>
        </w:tc>
        <w:tc>
          <w:tcPr>
            <w:tcW w:w="1035" w:type="dxa"/>
            <w:tcBorders>
              <w:top w:val="nil"/>
              <w:bottom w:val="nil"/>
            </w:tcBorders>
          </w:tcPr>
          <w:p w14:paraId="0B140DC6" w14:textId="77777777" w:rsidR="001825E2" w:rsidRDefault="000839A5" w:rsidP="00CB00A7">
            <w:pPr>
              <w:pStyle w:val="TableParagraph"/>
              <w:spacing w:line="190" w:lineRule="exact"/>
              <w:jc w:val="left"/>
              <w:rPr>
                <w:sz w:val="18"/>
              </w:rPr>
            </w:pPr>
            <w:r>
              <w:rPr>
                <w:spacing w:val="-5"/>
                <w:sz w:val="18"/>
              </w:rPr>
              <w:t>NA</w:t>
            </w:r>
          </w:p>
        </w:tc>
        <w:tc>
          <w:tcPr>
            <w:tcW w:w="990" w:type="dxa"/>
            <w:tcBorders>
              <w:top w:val="nil"/>
              <w:bottom w:val="nil"/>
            </w:tcBorders>
          </w:tcPr>
          <w:p w14:paraId="1B612C0A" w14:textId="77777777" w:rsidR="001825E2" w:rsidRDefault="000839A5" w:rsidP="00CB00A7">
            <w:pPr>
              <w:pStyle w:val="TableParagraph"/>
              <w:spacing w:line="190" w:lineRule="exact"/>
              <w:jc w:val="left"/>
              <w:rPr>
                <w:sz w:val="18"/>
              </w:rPr>
            </w:pPr>
            <w:r>
              <w:rPr>
                <w:spacing w:val="-5"/>
                <w:sz w:val="18"/>
              </w:rPr>
              <w:t>NA</w:t>
            </w:r>
          </w:p>
        </w:tc>
        <w:tc>
          <w:tcPr>
            <w:tcW w:w="1140" w:type="dxa"/>
            <w:tcBorders>
              <w:top w:val="nil"/>
              <w:bottom w:val="nil"/>
            </w:tcBorders>
          </w:tcPr>
          <w:p w14:paraId="79E33D91" w14:textId="77777777" w:rsidR="001825E2" w:rsidRDefault="000839A5" w:rsidP="00CB00A7">
            <w:pPr>
              <w:pStyle w:val="TableParagraph"/>
              <w:spacing w:line="190" w:lineRule="exact"/>
              <w:jc w:val="left"/>
              <w:rPr>
                <w:sz w:val="18"/>
              </w:rPr>
            </w:pPr>
            <w:r>
              <w:rPr>
                <w:spacing w:val="-5"/>
                <w:sz w:val="18"/>
              </w:rPr>
              <w:t>19%</w:t>
            </w:r>
          </w:p>
        </w:tc>
        <w:tc>
          <w:tcPr>
            <w:tcW w:w="840" w:type="dxa"/>
            <w:tcBorders>
              <w:top w:val="nil"/>
              <w:bottom w:val="nil"/>
            </w:tcBorders>
          </w:tcPr>
          <w:p w14:paraId="1DBDDDE3" w14:textId="77777777" w:rsidR="001825E2" w:rsidRDefault="000839A5" w:rsidP="00CB00A7">
            <w:pPr>
              <w:pStyle w:val="TableParagraph"/>
              <w:spacing w:line="190" w:lineRule="exact"/>
              <w:jc w:val="left"/>
              <w:rPr>
                <w:sz w:val="18"/>
              </w:rPr>
            </w:pPr>
            <w:r>
              <w:rPr>
                <w:spacing w:val="-5"/>
                <w:sz w:val="18"/>
              </w:rPr>
              <w:t>NA</w:t>
            </w:r>
          </w:p>
        </w:tc>
        <w:tc>
          <w:tcPr>
            <w:tcW w:w="1140" w:type="dxa"/>
            <w:tcBorders>
              <w:top w:val="nil"/>
              <w:bottom w:val="nil"/>
            </w:tcBorders>
          </w:tcPr>
          <w:p w14:paraId="17F60AD5" w14:textId="77777777" w:rsidR="001825E2" w:rsidRDefault="000839A5" w:rsidP="00CB00A7">
            <w:pPr>
              <w:pStyle w:val="TableParagraph"/>
              <w:spacing w:line="190" w:lineRule="exact"/>
              <w:jc w:val="left"/>
              <w:rPr>
                <w:sz w:val="18"/>
              </w:rPr>
            </w:pPr>
            <w:r>
              <w:rPr>
                <w:spacing w:val="-5"/>
                <w:sz w:val="18"/>
              </w:rPr>
              <w:t>23%</w:t>
            </w:r>
          </w:p>
        </w:tc>
        <w:tc>
          <w:tcPr>
            <w:tcW w:w="1275" w:type="dxa"/>
            <w:tcBorders>
              <w:top w:val="nil"/>
              <w:bottom w:val="nil"/>
            </w:tcBorders>
          </w:tcPr>
          <w:p w14:paraId="550A5E27" w14:textId="77777777" w:rsidR="001825E2" w:rsidRDefault="000839A5" w:rsidP="00CB00A7">
            <w:pPr>
              <w:pStyle w:val="TableParagraph"/>
              <w:spacing w:line="190" w:lineRule="exact"/>
              <w:jc w:val="left"/>
              <w:rPr>
                <w:sz w:val="18"/>
              </w:rPr>
            </w:pPr>
            <w:r>
              <w:rPr>
                <w:spacing w:val="-5"/>
                <w:sz w:val="18"/>
              </w:rPr>
              <w:t>17%</w:t>
            </w:r>
          </w:p>
        </w:tc>
        <w:tc>
          <w:tcPr>
            <w:tcW w:w="855" w:type="dxa"/>
            <w:tcBorders>
              <w:top w:val="nil"/>
              <w:bottom w:val="nil"/>
            </w:tcBorders>
          </w:tcPr>
          <w:p w14:paraId="09CAD0AB" w14:textId="77777777" w:rsidR="001825E2" w:rsidRDefault="000839A5" w:rsidP="00CB00A7">
            <w:pPr>
              <w:pStyle w:val="TableParagraph"/>
              <w:spacing w:line="190" w:lineRule="exact"/>
              <w:jc w:val="left"/>
              <w:rPr>
                <w:sz w:val="18"/>
              </w:rPr>
            </w:pPr>
            <w:r>
              <w:rPr>
                <w:spacing w:val="-5"/>
                <w:sz w:val="18"/>
              </w:rPr>
              <w:t>NA</w:t>
            </w:r>
          </w:p>
        </w:tc>
        <w:tc>
          <w:tcPr>
            <w:tcW w:w="1125" w:type="dxa"/>
            <w:tcBorders>
              <w:top w:val="nil"/>
              <w:bottom w:val="nil"/>
            </w:tcBorders>
          </w:tcPr>
          <w:p w14:paraId="44B3E313" w14:textId="77777777" w:rsidR="001825E2" w:rsidRDefault="000839A5" w:rsidP="00CB00A7">
            <w:pPr>
              <w:pStyle w:val="TableParagraph"/>
              <w:spacing w:line="190" w:lineRule="exact"/>
              <w:jc w:val="left"/>
              <w:rPr>
                <w:sz w:val="18"/>
              </w:rPr>
            </w:pPr>
            <w:r>
              <w:rPr>
                <w:spacing w:val="-5"/>
                <w:sz w:val="18"/>
              </w:rPr>
              <w:t>19%</w:t>
            </w:r>
          </w:p>
        </w:tc>
        <w:tc>
          <w:tcPr>
            <w:tcW w:w="1050" w:type="dxa"/>
            <w:tcBorders>
              <w:top w:val="nil"/>
              <w:bottom w:val="nil"/>
            </w:tcBorders>
          </w:tcPr>
          <w:p w14:paraId="441B1729" w14:textId="77777777" w:rsidR="001825E2" w:rsidRDefault="000839A5" w:rsidP="00CB00A7">
            <w:pPr>
              <w:pStyle w:val="TableParagraph"/>
              <w:spacing w:line="190" w:lineRule="exact"/>
              <w:jc w:val="left"/>
              <w:rPr>
                <w:sz w:val="18"/>
              </w:rPr>
            </w:pPr>
            <w:r>
              <w:rPr>
                <w:spacing w:val="-5"/>
                <w:sz w:val="18"/>
              </w:rPr>
              <w:t>NA</w:t>
            </w:r>
          </w:p>
        </w:tc>
        <w:tc>
          <w:tcPr>
            <w:tcW w:w="1080" w:type="dxa"/>
            <w:tcBorders>
              <w:top w:val="nil"/>
              <w:bottom w:val="nil"/>
            </w:tcBorders>
          </w:tcPr>
          <w:p w14:paraId="5E544FC4" w14:textId="77777777" w:rsidR="001825E2" w:rsidRDefault="000839A5" w:rsidP="00CB00A7">
            <w:pPr>
              <w:pStyle w:val="TableParagraph"/>
              <w:spacing w:line="190" w:lineRule="exact"/>
              <w:jc w:val="left"/>
              <w:rPr>
                <w:sz w:val="18"/>
              </w:rPr>
            </w:pPr>
            <w:r>
              <w:rPr>
                <w:spacing w:val="-5"/>
                <w:sz w:val="18"/>
              </w:rPr>
              <w:t>NA</w:t>
            </w:r>
          </w:p>
        </w:tc>
      </w:tr>
      <w:tr w:rsidR="001825E2" w14:paraId="3E1527AC" w14:textId="77777777">
        <w:trPr>
          <w:trHeight w:val="435"/>
        </w:trPr>
        <w:tc>
          <w:tcPr>
            <w:tcW w:w="975" w:type="dxa"/>
            <w:tcBorders>
              <w:top w:val="nil"/>
            </w:tcBorders>
          </w:tcPr>
          <w:p w14:paraId="00FDCA07" w14:textId="77777777" w:rsidR="001825E2" w:rsidRDefault="000839A5" w:rsidP="00CB00A7">
            <w:pPr>
              <w:pStyle w:val="TableParagraph"/>
              <w:spacing w:line="205" w:lineRule="exact"/>
              <w:ind w:left="45" w:right="74"/>
              <w:jc w:val="left"/>
              <w:rPr>
                <w:sz w:val="18"/>
              </w:rPr>
            </w:pPr>
            <w:r>
              <w:rPr>
                <w:sz w:val="18"/>
              </w:rPr>
              <w:t>Month</w:t>
            </w:r>
            <w:r>
              <w:rPr>
                <w:spacing w:val="-2"/>
                <w:sz w:val="18"/>
              </w:rPr>
              <w:t xml:space="preserve"> </w:t>
            </w:r>
            <w:r>
              <w:rPr>
                <w:spacing w:val="-5"/>
                <w:sz w:val="18"/>
              </w:rPr>
              <w:t>24</w:t>
            </w:r>
          </w:p>
        </w:tc>
        <w:tc>
          <w:tcPr>
            <w:tcW w:w="870" w:type="dxa"/>
            <w:tcBorders>
              <w:top w:val="nil"/>
            </w:tcBorders>
          </w:tcPr>
          <w:p w14:paraId="233C314E" w14:textId="77777777" w:rsidR="001825E2" w:rsidRDefault="000839A5" w:rsidP="00CB00A7">
            <w:pPr>
              <w:pStyle w:val="TableParagraph"/>
              <w:spacing w:line="205" w:lineRule="exact"/>
              <w:ind w:left="127"/>
              <w:jc w:val="left"/>
              <w:rPr>
                <w:sz w:val="18"/>
              </w:rPr>
            </w:pPr>
            <w:r>
              <w:rPr>
                <w:spacing w:val="-5"/>
                <w:sz w:val="18"/>
              </w:rPr>
              <w:t>NA</w:t>
            </w:r>
          </w:p>
        </w:tc>
        <w:tc>
          <w:tcPr>
            <w:tcW w:w="1035" w:type="dxa"/>
            <w:tcBorders>
              <w:top w:val="nil"/>
            </w:tcBorders>
          </w:tcPr>
          <w:p w14:paraId="573C511B" w14:textId="77777777" w:rsidR="001825E2" w:rsidRDefault="000839A5" w:rsidP="00CB00A7">
            <w:pPr>
              <w:pStyle w:val="TableParagraph"/>
              <w:spacing w:line="205" w:lineRule="exact"/>
              <w:jc w:val="left"/>
              <w:rPr>
                <w:sz w:val="18"/>
              </w:rPr>
            </w:pPr>
            <w:r>
              <w:rPr>
                <w:spacing w:val="-5"/>
                <w:sz w:val="18"/>
              </w:rPr>
              <w:t>NA</w:t>
            </w:r>
          </w:p>
        </w:tc>
        <w:tc>
          <w:tcPr>
            <w:tcW w:w="990" w:type="dxa"/>
            <w:tcBorders>
              <w:top w:val="nil"/>
            </w:tcBorders>
          </w:tcPr>
          <w:p w14:paraId="400060FF" w14:textId="77777777" w:rsidR="001825E2" w:rsidRDefault="000839A5" w:rsidP="00CB00A7">
            <w:pPr>
              <w:pStyle w:val="TableParagraph"/>
              <w:spacing w:line="205" w:lineRule="exact"/>
              <w:jc w:val="left"/>
              <w:rPr>
                <w:sz w:val="18"/>
              </w:rPr>
            </w:pPr>
            <w:r>
              <w:rPr>
                <w:spacing w:val="-5"/>
                <w:sz w:val="18"/>
              </w:rPr>
              <w:t>NA</w:t>
            </w:r>
          </w:p>
        </w:tc>
        <w:tc>
          <w:tcPr>
            <w:tcW w:w="1140" w:type="dxa"/>
            <w:tcBorders>
              <w:top w:val="nil"/>
            </w:tcBorders>
          </w:tcPr>
          <w:p w14:paraId="6995F33F" w14:textId="77777777" w:rsidR="001825E2" w:rsidRDefault="000839A5" w:rsidP="00CB00A7">
            <w:pPr>
              <w:pStyle w:val="TableParagraph"/>
              <w:spacing w:line="205" w:lineRule="exact"/>
              <w:jc w:val="left"/>
              <w:rPr>
                <w:sz w:val="18"/>
              </w:rPr>
            </w:pPr>
            <w:r>
              <w:rPr>
                <w:spacing w:val="-5"/>
                <w:sz w:val="18"/>
              </w:rPr>
              <w:t>NA</w:t>
            </w:r>
          </w:p>
        </w:tc>
        <w:tc>
          <w:tcPr>
            <w:tcW w:w="840" w:type="dxa"/>
            <w:tcBorders>
              <w:top w:val="nil"/>
            </w:tcBorders>
          </w:tcPr>
          <w:p w14:paraId="38A1A535" w14:textId="77777777" w:rsidR="001825E2" w:rsidRDefault="000839A5" w:rsidP="00CB00A7">
            <w:pPr>
              <w:pStyle w:val="TableParagraph"/>
              <w:spacing w:line="205" w:lineRule="exact"/>
              <w:jc w:val="left"/>
              <w:rPr>
                <w:sz w:val="18"/>
              </w:rPr>
            </w:pPr>
            <w:r>
              <w:rPr>
                <w:spacing w:val="-5"/>
                <w:sz w:val="18"/>
              </w:rPr>
              <w:t>NA</w:t>
            </w:r>
          </w:p>
        </w:tc>
        <w:tc>
          <w:tcPr>
            <w:tcW w:w="1140" w:type="dxa"/>
            <w:tcBorders>
              <w:top w:val="nil"/>
            </w:tcBorders>
          </w:tcPr>
          <w:p w14:paraId="2C4BBC9E" w14:textId="77777777" w:rsidR="001825E2" w:rsidRDefault="000839A5" w:rsidP="00CB00A7">
            <w:pPr>
              <w:pStyle w:val="TableParagraph"/>
              <w:spacing w:line="205" w:lineRule="exact"/>
              <w:jc w:val="left"/>
              <w:rPr>
                <w:sz w:val="18"/>
              </w:rPr>
            </w:pPr>
            <w:r>
              <w:rPr>
                <w:spacing w:val="-5"/>
                <w:sz w:val="18"/>
              </w:rPr>
              <w:t>NA</w:t>
            </w:r>
          </w:p>
        </w:tc>
        <w:tc>
          <w:tcPr>
            <w:tcW w:w="1275" w:type="dxa"/>
            <w:tcBorders>
              <w:top w:val="nil"/>
            </w:tcBorders>
          </w:tcPr>
          <w:p w14:paraId="708FD57C" w14:textId="77777777" w:rsidR="001825E2" w:rsidRDefault="000839A5" w:rsidP="00CB00A7">
            <w:pPr>
              <w:pStyle w:val="TableParagraph"/>
              <w:spacing w:line="205" w:lineRule="exact"/>
              <w:jc w:val="left"/>
              <w:rPr>
                <w:sz w:val="18"/>
              </w:rPr>
            </w:pPr>
            <w:r>
              <w:rPr>
                <w:spacing w:val="-5"/>
                <w:sz w:val="18"/>
              </w:rPr>
              <w:t>NA</w:t>
            </w:r>
          </w:p>
        </w:tc>
        <w:tc>
          <w:tcPr>
            <w:tcW w:w="855" w:type="dxa"/>
            <w:tcBorders>
              <w:top w:val="nil"/>
            </w:tcBorders>
          </w:tcPr>
          <w:p w14:paraId="58FDD8F3" w14:textId="77777777" w:rsidR="001825E2" w:rsidRDefault="000839A5" w:rsidP="00CB00A7">
            <w:pPr>
              <w:pStyle w:val="TableParagraph"/>
              <w:spacing w:line="205" w:lineRule="exact"/>
              <w:jc w:val="left"/>
              <w:rPr>
                <w:sz w:val="18"/>
              </w:rPr>
            </w:pPr>
            <w:r>
              <w:rPr>
                <w:spacing w:val="-5"/>
                <w:sz w:val="18"/>
              </w:rPr>
              <w:t>NA</w:t>
            </w:r>
          </w:p>
        </w:tc>
        <w:tc>
          <w:tcPr>
            <w:tcW w:w="1125" w:type="dxa"/>
            <w:tcBorders>
              <w:top w:val="nil"/>
            </w:tcBorders>
          </w:tcPr>
          <w:p w14:paraId="1D78D97E" w14:textId="77777777" w:rsidR="001825E2" w:rsidRDefault="000839A5" w:rsidP="00CB00A7">
            <w:pPr>
              <w:pStyle w:val="TableParagraph"/>
              <w:spacing w:line="205" w:lineRule="exact"/>
              <w:jc w:val="left"/>
              <w:rPr>
                <w:sz w:val="18"/>
              </w:rPr>
            </w:pPr>
            <w:r>
              <w:rPr>
                <w:spacing w:val="-5"/>
                <w:sz w:val="18"/>
              </w:rPr>
              <w:t>17%</w:t>
            </w:r>
          </w:p>
        </w:tc>
        <w:tc>
          <w:tcPr>
            <w:tcW w:w="1050" w:type="dxa"/>
            <w:tcBorders>
              <w:top w:val="nil"/>
            </w:tcBorders>
          </w:tcPr>
          <w:p w14:paraId="403C69E0" w14:textId="77777777" w:rsidR="001825E2" w:rsidRDefault="000839A5" w:rsidP="00CB00A7">
            <w:pPr>
              <w:pStyle w:val="TableParagraph"/>
              <w:spacing w:line="205" w:lineRule="exact"/>
              <w:jc w:val="left"/>
              <w:rPr>
                <w:sz w:val="18"/>
              </w:rPr>
            </w:pPr>
            <w:r>
              <w:rPr>
                <w:spacing w:val="-5"/>
                <w:sz w:val="18"/>
              </w:rPr>
              <w:t>NA</w:t>
            </w:r>
          </w:p>
        </w:tc>
        <w:tc>
          <w:tcPr>
            <w:tcW w:w="1080" w:type="dxa"/>
            <w:tcBorders>
              <w:top w:val="nil"/>
            </w:tcBorders>
          </w:tcPr>
          <w:p w14:paraId="68B68B91" w14:textId="77777777" w:rsidR="001825E2" w:rsidRDefault="000839A5" w:rsidP="00CB00A7">
            <w:pPr>
              <w:pStyle w:val="TableParagraph"/>
              <w:spacing w:line="205" w:lineRule="exact"/>
              <w:jc w:val="left"/>
              <w:rPr>
                <w:sz w:val="18"/>
              </w:rPr>
            </w:pPr>
            <w:r>
              <w:rPr>
                <w:spacing w:val="-5"/>
                <w:sz w:val="18"/>
              </w:rPr>
              <w:t>NA</w:t>
            </w:r>
          </w:p>
        </w:tc>
      </w:tr>
    </w:tbl>
    <w:p w14:paraId="4C9FBDD6" w14:textId="77777777" w:rsidR="001825E2" w:rsidRDefault="000839A5" w:rsidP="00CB00A7">
      <w:pPr>
        <w:tabs>
          <w:tab w:val="left" w:pos="614"/>
        </w:tabs>
        <w:spacing w:before="4"/>
        <w:ind w:left="195"/>
        <w:rPr>
          <w:i/>
          <w:sz w:val="18"/>
        </w:rPr>
      </w:pPr>
      <w:r>
        <w:rPr>
          <w:spacing w:val="-10"/>
          <w:sz w:val="18"/>
        </w:rPr>
        <w:t>*</w:t>
      </w:r>
      <w:r>
        <w:rPr>
          <w:sz w:val="18"/>
        </w:rPr>
        <w:tab/>
      </w:r>
      <w:r>
        <w:rPr>
          <w:i/>
          <w:sz w:val="18"/>
        </w:rPr>
        <w:t>p&lt;0.05,</w:t>
      </w:r>
      <w:r>
        <w:rPr>
          <w:i/>
          <w:spacing w:val="2"/>
          <w:sz w:val="18"/>
        </w:rPr>
        <w:t xml:space="preserve"> </w:t>
      </w:r>
      <w:r>
        <w:rPr>
          <w:sz w:val="18"/>
        </w:rPr>
        <w:t>XELJANZ</w:t>
      </w:r>
      <w:r>
        <w:rPr>
          <w:spacing w:val="-4"/>
          <w:sz w:val="18"/>
        </w:rPr>
        <w:t xml:space="preserve"> </w:t>
      </w:r>
      <w:r>
        <w:rPr>
          <w:i/>
          <w:sz w:val="18"/>
        </w:rPr>
        <w:t>vs.</w:t>
      </w:r>
      <w:r>
        <w:rPr>
          <w:i/>
          <w:spacing w:val="3"/>
          <w:sz w:val="18"/>
        </w:rPr>
        <w:t xml:space="preserve"> </w:t>
      </w:r>
      <w:r>
        <w:rPr>
          <w:i/>
          <w:spacing w:val="-2"/>
          <w:sz w:val="18"/>
        </w:rPr>
        <w:t>placebo</w:t>
      </w:r>
    </w:p>
    <w:p w14:paraId="2742981B" w14:textId="77777777" w:rsidR="001825E2" w:rsidRDefault="000839A5" w:rsidP="00CB00A7">
      <w:pPr>
        <w:tabs>
          <w:tab w:val="left" w:pos="659"/>
        </w:tabs>
        <w:spacing w:before="3" w:line="201" w:lineRule="exact"/>
        <w:ind w:left="194"/>
        <w:rPr>
          <w:i/>
          <w:sz w:val="18"/>
        </w:rPr>
      </w:pPr>
      <w:r>
        <w:rPr>
          <w:spacing w:val="-5"/>
          <w:sz w:val="18"/>
        </w:rPr>
        <w:t>**</w:t>
      </w:r>
      <w:r>
        <w:rPr>
          <w:sz w:val="18"/>
        </w:rPr>
        <w:tab/>
      </w:r>
      <w:r>
        <w:rPr>
          <w:i/>
          <w:sz w:val="18"/>
        </w:rPr>
        <w:t>p&lt;0.001,</w:t>
      </w:r>
      <w:r>
        <w:rPr>
          <w:i/>
          <w:spacing w:val="2"/>
          <w:sz w:val="18"/>
        </w:rPr>
        <w:t xml:space="preserve"> </w:t>
      </w:r>
      <w:r>
        <w:rPr>
          <w:sz w:val="18"/>
        </w:rPr>
        <w:t>XELJANZ</w:t>
      </w:r>
      <w:r>
        <w:rPr>
          <w:spacing w:val="-4"/>
          <w:sz w:val="18"/>
        </w:rPr>
        <w:t xml:space="preserve"> </w:t>
      </w:r>
      <w:r>
        <w:rPr>
          <w:i/>
          <w:sz w:val="18"/>
        </w:rPr>
        <w:t>vs.</w:t>
      </w:r>
      <w:r>
        <w:rPr>
          <w:i/>
          <w:spacing w:val="3"/>
          <w:sz w:val="18"/>
        </w:rPr>
        <w:t xml:space="preserve"> </w:t>
      </w:r>
      <w:r>
        <w:rPr>
          <w:i/>
          <w:spacing w:val="-2"/>
          <w:sz w:val="18"/>
        </w:rPr>
        <w:t>placebo</w:t>
      </w:r>
    </w:p>
    <w:p w14:paraId="40D203B9" w14:textId="77777777" w:rsidR="001825E2" w:rsidRDefault="000839A5" w:rsidP="00CB00A7">
      <w:pPr>
        <w:spacing w:line="201" w:lineRule="exact"/>
        <w:ind w:left="194"/>
        <w:rPr>
          <w:i/>
          <w:sz w:val="18"/>
        </w:rPr>
      </w:pPr>
      <w:r>
        <w:rPr>
          <w:sz w:val="18"/>
        </w:rPr>
        <w:t>**</w:t>
      </w:r>
      <w:proofErr w:type="gramStart"/>
      <w:r>
        <w:rPr>
          <w:sz w:val="18"/>
        </w:rPr>
        <w:t>*</w:t>
      </w:r>
      <w:r>
        <w:rPr>
          <w:spacing w:val="31"/>
          <w:sz w:val="18"/>
        </w:rPr>
        <w:t xml:space="preserve">  </w:t>
      </w:r>
      <w:r>
        <w:rPr>
          <w:i/>
          <w:sz w:val="18"/>
        </w:rPr>
        <w:t>p</w:t>
      </w:r>
      <w:proofErr w:type="gramEnd"/>
      <w:r>
        <w:rPr>
          <w:i/>
          <w:sz w:val="18"/>
        </w:rPr>
        <w:t>&lt;0.0001,</w:t>
      </w:r>
      <w:r>
        <w:rPr>
          <w:i/>
          <w:spacing w:val="1"/>
          <w:sz w:val="18"/>
        </w:rPr>
        <w:t xml:space="preserve"> </w:t>
      </w:r>
      <w:r>
        <w:rPr>
          <w:sz w:val="18"/>
        </w:rPr>
        <w:t>XELJANZ</w:t>
      </w:r>
      <w:r>
        <w:rPr>
          <w:spacing w:val="-5"/>
          <w:sz w:val="18"/>
        </w:rPr>
        <w:t xml:space="preserve"> </w:t>
      </w:r>
      <w:r>
        <w:rPr>
          <w:i/>
          <w:sz w:val="18"/>
        </w:rPr>
        <w:t>vs.</w:t>
      </w:r>
      <w:r>
        <w:rPr>
          <w:i/>
          <w:spacing w:val="2"/>
          <w:sz w:val="18"/>
        </w:rPr>
        <w:t xml:space="preserve"> </w:t>
      </w:r>
      <w:r>
        <w:rPr>
          <w:i/>
          <w:spacing w:val="-2"/>
          <w:sz w:val="18"/>
        </w:rPr>
        <w:t>placebo</w:t>
      </w:r>
    </w:p>
    <w:p w14:paraId="53E5A7B9" w14:textId="77777777" w:rsidR="001825E2" w:rsidRDefault="000839A5" w:rsidP="00CB00A7">
      <w:pPr>
        <w:spacing w:before="3" w:line="242" w:lineRule="auto"/>
        <w:ind w:left="119" w:hanging="1"/>
        <w:rPr>
          <w:sz w:val="18"/>
        </w:rPr>
      </w:pPr>
      <w:r>
        <w:rPr>
          <w:sz w:val="18"/>
        </w:rPr>
        <w:t>Abbreviations:</w:t>
      </w:r>
      <w:r>
        <w:rPr>
          <w:spacing w:val="-10"/>
          <w:sz w:val="18"/>
        </w:rPr>
        <w:t xml:space="preserve"> </w:t>
      </w:r>
      <w:r>
        <w:rPr>
          <w:sz w:val="18"/>
        </w:rPr>
        <w:t>ACR20/50/70=American</w:t>
      </w:r>
      <w:r>
        <w:rPr>
          <w:spacing w:val="3"/>
          <w:sz w:val="18"/>
        </w:rPr>
        <w:t xml:space="preserve"> </w:t>
      </w:r>
      <w:r>
        <w:rPr>
          <w:sz w:val="18"/>
        </w:rPr>
        <w:t>College</w:t>
      </w:r>
      <w:r>
        <w:rPr>
          <w:spacing w:val="-5"/>
          <w:sz w:val="18"/>
        </w:rPr>
        <w:t xml:space="preserve"> </w:t>
      </w:r>
      <w:r>
        <w:rPr>
          <w:sz w:val="18"/>
        </w:rPr>
        <w:t>of</w:t>
      </w:r>
      <w:r>
        <w:rPr>
          <w:spacing w:val="-12"/>
          <w:sz w:val="18"/>
        </w:rPr>
        <w:t xml:space="preserve"> </w:t>
      </w:r>
      <w:r>
        <w:rPr>
          <w:sz w:val="18"/>
        </w:rPr>
        <w:t>Rheumatology</w:t>
      </w:r>
      <w:r>
        <w:rPr>
          <w:spacing w:val="11"/>
          <w:sz w:val="18"/>
        </w:rPr>
        <w:t xml:space="preserve"> </w:t>
      </w:r>
      <w:r>
        <w:rPr>
          <w:sz w:val="18"/>
        </w:rPr>
        <w:t>≥</w:t>
      </w:r>
      <w:r>
        <w:rPr>
          <w:spacing w:val="-12"/>
          <w:sz w:val="18"/>
        </w:rPr>
        <w:t xml:space="preserve"> </w:t>
      </w:r>
      <w:r>
        <w:rPr>
          <w:sz w:val="18"/>
        </w:rPr>
        <w:t>20,</w:t>
      </w:r>
      <w:r>
        <w:rPr>
          <w:spacing w:val="-11"/>
          <w:sz w:val="18"/>
        </w:rPr>
        <w:t xml:space="preserve"> </w:t>
      </w:r>
      <w:r>
        <w:rPr>
          <w:sz w:val="18"/>
        </w:rPr>
        <w:t>50,</w:t>
      </w:r>
      <w:r>
        <w:rPr>
          <w:spacing w:val="-11"/>
          <w:sz w:val="18"/>
        </w:rPr>
        <w:t xml:space="preserve"> </w:t>
      </w:r>
      <w:r>
        <w:rPr>
          <w:sz w:val="18"/>
        </w:rPr>
        <w:t>70%</w:t>
      </w:r>
      <w:r>
        <w:rPr>
          <w:spacing w:val="-11"/>
          <w:sz w:val="18"/>
        </w:rPr>
        <w:t xml:space="preserve"> </w:t>
      </w:r>
      <w:r>
        <w:rPr>
          <w:sz w:val="18"/>
        </w:rPr>
        <w:t>improvement;</w:t>
      </w:r>
      <w:r>
        <w:rPr>
          <w:spacing w:val="17"/>
          <w:sz w:val="18"/>
        </w:rPr>
        <w:t xml:space="preserve"> </w:t>
      </w:r>
      <w:r>
        <w:rPr>
          <w:sz w:val="18"/>
        </w:rPr>
        <w:t>DMARD=disease-modifying</w:t>
      </w:r>
      <w:r>
        <w:rPr>
          <w:spacing w:val="-12"/>
          <w:sz w:val="18"/>
        </w:rPr>
        <w:t xml:space="preserve"> </w:t>
      </w:r>
      <w:r>
        <w:rPr>
          <w:sz w:val="18"/>
        </w:rPr>
        <w:t>antirheumatic</w:t>
      </w:r>
      <w:r>
        <w:rPr>
          <w:spacing w:val="18"/>
          <w:sz w:val="18"/>
        </w:rPr>
        <w:t xml:space="preserve"> </w:t>
      </w:r>
      <w:r>
        <w:rPr>
          <w:sz w:val="18"/>
        </w:rPr>
        <w:t>drug;</w:t>
      </w:r>
      <w:r>
        <w:rPr>
          <w:spacing w:val="-12"/>
          <w:sz w:val="18"/>
        </w:rPr>
        <w:t xml:space="preserve"> </w:t>
      </w:r>
      <w:r>
        <w:rPr>
          <w:sz w:val="18"/>
        </w:rPr>
        <w:t>MTX=methotrexate;</w:t>
      </w:r>
      <w:r>
        <w:rPr>
          <w:spacing w:val="7"/>
          <w:sz w:val="18"/>
        </w:rPr>
        <w:t xml:space="preserve"> </w:t>
      </w:r>
      <w:r>
        <w:rPr>
          <w:sz w:val="18"/>
        </w:rPr>
        <w:t>q2 Weeks=once every 2 weeks; NA=Not</w:t>
      </w:r>
      <w:r>
        <w:rPr>
          <w:spacing w:val="-8"/>
          <w:sz w:val="18"/>
        </w:rPr>
        <w:t xml:space="preserve"> </w:t>
      </w:r>
      <w:r>
        <w:rPr>
          <w:sz w:val="18"/>
        </w:rPr>
        <w:t>applicable.</w:t>
      </w:r>
    </w:p>
    <w:p w14:paraId="2C60440B" w14:textId="77777777" w:rsidR="001825E2" w:rsidRDefault="001825E2" w:rsidP="00CB00A7">
      <w:pPr>
        <w:spacing w:line="242" w:lineRule="auto"/>
        <w:rPr>
          <w:sz w:val="18"/>
        </w:rPr>
        <w:sectPr w:rsidR="001825E2">
          <w:footerReference w:type="default" r:id="rId12"/>
          <w:pgSz w:w="16850" w:h="11910" w:orient="landscape"/>
          <w:pgMar w:top="1340" w:right="2120" w:bottom="1000" w:left="2040" w:header="0" w:footer="814" w:gutter="0"/>
          <w:cols w:space="720"/>
        </w:sectPr>
      </w:pPr>
    </w:p>
    <w:p w14:paraId="041F19B0" w14:textId="77777777" w:rsidR="001825E2" w:rsidRDefault="000839A5" w:rsidP="00CB00A7">
      <w:pPr>
        <w:pStyle w:val="BodyText"/>
        <w:spacing w:before="80" w:line="235" w:lineRule="auto"/>
        <w:ind w:left="219" w:right="745"/>
        <w:jc w:val="left"/>
      </w:pPr>
      <w:r>
        <w:lastRenderedPageBreak/>
        <w:t>The results of</w:t>
      </w:r>
      <w:r>
        <w:rPr>
          <w:spacing w:val="22"/>
        </w:rPr>
        <w:t xml:space="preserve"> </w:t>
      </w:r>
      <w:r>
        <w:t>the components of the ACR response criteria for Studies IV</w:t>
      </w:r>
      <w:r>
        <w:rPr>
          <w:spacing w:val="18"/>
        </w:rPr>
        <w:t xml:space="preserve"> </w:t>
      </w:r>
      <w:r>
        <w:t>and</w:t>
      </w:r>
      <w:r>
        <w:rPr>
          <w:spacing w:val="26"/>
        </w:rPr>
        <w:t xml:space="preserve"> </w:t>
      </w:r>
      <w:r>
        <w:t>V</w:t>
      </w:r>
      <w:r>
        <w:rPr>
          <w:spacing w:val="18"/>
        </w:rPr>
        <w:t xml:space="preserve"> </w:t>
      </w:r>
      <w:r>
        <w:t>are shown in Table</w:t>
      </w:r>
      <w:r>
        <w:rPr>
          <w:spacing w:val="39"/>
        </w:rPr>
        <w:t xml:space="preserve"> </w:t>
      </w:r>
      <w:r>
        <w:t>7. Similar</w:t>
      </w:r>
      <w:r>
        <w:rPr>
          <w:spacing w:val="36"/>
        </w:rPr>
        <w:t xml:space="preserve"> </w:t>
      </w:r>
      <w:r>
        <w:t>results were observed in Studies</w:t>
      </w:r>
      <w:r>
        <w:rPr>
          <w:spacing w:val="-14"/>
        </w:rPr>
        <w:t xml:space="preserve"> </w:t>
      </w:r>
      <w:r>
        <w:t xml:space="preserve">I, II and </w:t>
      </w:r>
      <w:r>
        <w:rPr>
          <w:spacing w:val="10"/>
        </w:rPr>
        <w:t>III.</w:t>
      </w:r>
    </w:p>
    <w:p w14:paraId="3829378D" w14:textId="77777777" w:rsidR="001825E2" w:rsidRDefault="000839A5" w:rsidP="00CB00A7">
      <w:pPr>
        <w:pStyle w:val="Heading3"/>
        <w:spacing w:before="250"/>
        <w:ind w:left="218"/>
      </w:pPr>
      <w:r>
        <w:t>Table</w:t>
      </w:r>
      <w:r>
        <w:rPr>
          <w:spacing w:val="-3"/>
        </w:rPr>
        <w:t xml:space="preserve"> </w:t>
      </w:r>
      <w:r>
        <w:t>7:</w:t>
      </w:r>
      <w:r>
        <w:rPr>
          <w:spacing w:val="27"/>
        </w:rPr>
        <w:t xml:space="preserve">  </w:t>
      </w:r>
      <w:r>
        <w:t>Components</w:t>
      </w:r>
      <w:r>
        <w:rPr>
          <w:spacing w:val="-4"/>
        </w:rPr>
        <w:t xml:space="preserve"> </w:t>
      </w:r>
      <w:r>
        <w:t>of</w:t>
      </w:r>
      <w:r>
        <w:rPr>
          <w:spacing w:val="10"/>
        </w:rPr>
        <w:t xml:space="preserve"> </w:t>
      </w:r>
      <w:r>
        <w:t>ACR</w:t>
      </w:r>
      <w:r>
        <w:rPr>
          <w:spacing w:val="-9"/>
        </w:rPr>
        <w:t xml:space="preserve"> </w:t>
      </w:r>
      <w:r>
        <w:t>Response</w:t>
      </w:r>
      <w:r>
        <w:rPr>
          <w:spacing w:val="-17"/>
        </w:rPr>
        <w:t xml:space="preserve"> </w:t>
      </w:r>
      <w:r>
        <w:t>at</w:t>
      </w:r>
      <w:r>
        <w:rPr>
          <w:spacing w:val="10"/>
        </w:rPr>
        <w:t xml:space="preserve"> </w:t>
      </w:r>
      <w:r>
        <w:t>Month</w:t>
      </w:r>
      <w:r>
        <w:rPr>
          <w:spacing w:val="1"/>
        </w:rPr>
        <w:t xml:space="preserve"> </w:t>
      </w:r>
      <w:r>
        <w:rPr>
          <w:spacing w:val="-10"/>
        </w:rPr>
        <w:t>3</w:t>
      </w:r>
    </w:p>
    <w:p w14:paraId="2044E20F" w14:textId="77777777" w:rsidR="001825E2" w:rsidRDefault="001825E2" w:rsidP="00CB00A7">
      <w:pPr>
        <w:pStyle w:val="BodyText"/>
        <w:spacing w:before="9"/>
        <w:jc w:val="left"/>
        <w:rPr>
          <w:b/>
          <w:sz w:val="9"/>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80"/>
        <w:gridCol w:w="1140"/>
        <w:gridCol w:w="960"/>
        <w:gridCol w:w="1050"/>
        <w:gridCol w:w="1050"/>
        <w:gridCol w:w="1185"/>
        <w:gridCol w:w="990"/>
        <w:gridCol w:w="1140"/>
        <w:gridCol w:w="870"/>
      </w:tblGrid>
      <w:tr w:rsidR="001825E2" w14:paraId="2E2299BF" w14:textId="77777777">
        <w:trPr>
          <w:trHeight w:val="555"/>
        </w:trPr>
        <w:tc>
          <w:tcPr>
            <w:tcW w:w="1380" w:type="dxa"/>
          </w:tcPr>
          <w:p w14:paraId="0DA11805" w14:textId="77777777" w:rsidR="001825E2" w:rsidRDefault="001825E2" w:rsidP="00CB00A7">
            <w:pPr>
              <w:pStyle w:val="TableParagraph"/>
              <w:ind w:left="0"/>
              <w:jc w:val="left"/>
            </w:pPr>
          </w:p>
        </w:tc>
        <w:tc>
          <w:tcPr>
            <w:tcW w:w="4200" w:type="dxa"/>
            <w:gridSpan w:val="4"/>
          </w:tcPr>
          <w:p w14:paraId="78231EA0" w14:textId="77777777" w:rsidR="001825E2" w:rsidRDefault="000839A5" w:rsidP="00CB00A7">
            <w:pPr>
              <w:pStyle w:val="TableParagraph"/>
              <w:spacing w:line="270" w:lineRule="exact"/>
              <w:ind w:left="577" w:right="557" w:firstLine="615"/>
              <w:jc w:val="left"/>
              <w:rPr>
                <w:b/>
                <w:sz w:val="24"/>
              </w:rPr>
            </w:pPr>
            <w:r>
              <w:rPr>
                <w:b/>
                <w:sz w:val="24"/>
              </w:rPr>
              <w:t>Study IV (SCAN)</w:t>
            </w:r>
            <w:r>
              <w:rPr>
                <w:b/>
                <w:spacing w:val="80"/>
                <w:sz w:val="24"/>
              </w:rPr>
              <w:t xml:space="preserve"> </w:t>
            </w:r>
            <w:r>
              <w:rPr>
                <w:b/>
                <w:sz w:val="24"/>
              </w:rPr>
              <w:t>MTX</w:t>
            </w:r>
            <w:r>
              <w:rPr>
                <w:b/>
                <w:spacing w:val="-15"/>
                <w:sz w:val="24"/>
              </w:rPr>
              <w:t xml:space="preserve"> </w:t>
            </w:r>
            <w:r>
              <w:rPr>
                <w:b/>
                <w:sz w:val="24"/>
              </w:rPr>
              <w:t>Inadequate</w:t>
            </w:r>
            <w:r>
              <w:rPr>
                <w:b/>
                <w:spacing w:val="-13"/>
                <w:sz w:val="24"/>
              </w:rPr>
              <w:t xml:space="preserve"> </w:t>
            </w:r>
            <w:r>
              <w:rPr>
                <w:b/>
                <w:sz w:val="24"/>
              </w:rPr>
              <w:t>Responders</w:t>
            </w:r>
          </w:p>
        </w:tc>
        <w:tc>
          <w:tcPr>
            <w:tcW w:w="4185" w:type="dxa"/>
            <w:gridSpan w:val="4"/>
          </w:tcPr>
          <w:p w14:paraId="765AE3C5" w14:textId="77777777" w:rsidR="001825E2" w:rsidRDefault="000839A5" w:rsidP="00CB00A7">
            <w:pPr>
              <w:pStyle w:val="TableParagraph"/>
              <w:spacing w:before="1" w:line="273" w:lineRule="exact"/>
              <w:ind w:left="34"/>
              <w:jc w:val="left"/>
              <w:rPr>
                <w:b/>
                <w:sz w:val="24"/>
              </w:rPr>
            </w:pPr>
            <w:r>
              <w:rPr>
                <w:b/>
                <w:sz w:val="24"/>
              </w:rPr>
              <w:t>Study</w:t>
            </w:r>
            <w:r>
              <w:rPr>
                <w:b/>
                <w:spacing w:val="-1"/>
                <w:sz w:val="24"/>
              </w:rPr>
              <w:t xml:space="preserve"> </w:t>
            </w:r>
            <w:r>
              <w:rPr>
                <w:b/>
                <w:sz w:val="24"/>
              </w:rPr>
              <w:t>V</w:t>
            </w:r>
            <w:r>
              <w:rPr>
                <w:b/>
                <w:spacing w:val="5"/>
                <w:sz w:val="24"/>
              </w:rPr>
              <w:t xml:space="preserve"> </w:t>
            </w:r>
            <w:r>
              <w:rPr>
                <w:b/>
                <w:spacing w:val="-2"/>
                <w:sz w:val="24"/>
              </w:rPr>
              <w:t>(STEP)</w:t>
            </w:r>
          </w:p>
          <w:p w14:paraId="17E10251" w14:textId="77777777" w:rsidR="001825E2" w:rsidRDefault="000839A5" w:rsidP="00CB00A7">
            <w:pPr>
              <w:pStyle w:val="TableParagraph"/>
              <w:spacing w:line="261" w:lineRule="exact"/>
              <w:ind w:left="34" w:right="17"/>
              <w:jc w:val="left"/>
              <w:rPr>
                <w:b/>
                <w:sz w:val="24"/>
              </w:rPr>
            </w:pPr>
            <w:r>
              <w:rPr>
                <w:b/>
                <w:sz w:val="24"/>
              </w:rPr>
              <w:t>TNF</w:t>
            </w:r>
            <w:r>
              <w:rPr>
                <w:b/>
                <w:spacing w:val="-15"/>
                <w:sz w:val="24"/>
              </w:rPr>
              <w:t xml:space="preserve"> </w:t>
            </w:r>
            <w:r>
              <w:rPr>
                <w:b/>
                <w:sz w:val="24"/>
              </w:rPr>
              <w:t>Inhibitor</w:t>
            </w:r>
            <w:r>
              <w:rPr>
                <w:b/>
                <w:spacing w:val="5"/>
                <w:sz w:val="24"/>
              </w:rPr>
              <w:t xml:space="preserve"> </w:t>
            </w:r>
            <w:r>
              <w:rPr>
                <w:b/>
                <w:sz w:val="24"/>
              </w:rPr>
              <w:t>Inadequate</w:t>
            </w:r>
            <w:r>
              <w:rPr>
                <w:b/>
                <w:spacing w:val="7"/>
                <w:sz w:val="24"/>
              </w:rPr>
              <w:t xml:space="preserve"> </w:t>
            </w:r>
            <w:r>
              <w:rPr>
                <w:b/>
                <w:spacing w:val="-2"/>
                <w:sz w:val="24"/>
              </w:rPr>
              <w:t>Responders</w:t>
            </w:r>
          </w:p>
        </w:tc>
      </w:tr>
      <w:tr w:rsidR="001825E2" w14:paraId="01BA0602" w14:textId="77777777">
        <w:trPr>
          <w:trHeight w:val="1094"/>
        </w:trPr>
        <w:tc>
          <w:tcPr>
            <w:tcW w:w="1380" w:type="dxa"/>
          </w:tcPr>
          <w:p w14:paraId="0070F055" w14:textId="77777777" w:rsidR="001825E2" w:rsidRDefault="001825E2" w:rsidP="00CB00A7">
            <w:pPr>
              <w:pStyle w:val="TableParagraph"/>
              <w:ind w:left="0"/>
              <w:jc w:val="left"/>
            </w:pPr>
          </w:p>
        </w:tc>
        <w:tc>
          <w:tcPr>
            <w:tcW w:w="2100" w:type="dxa"/>
            <w:gridSpan w:val="2"/>
          </w:tcPr>
          <w:p w14:paraId="07C0AC59" w14:textId="77777777" w:rsidR="001825E2" w:rsidRDefault="000839A5" w:rsidP="00CB00A7">
            <w:pPr>
              <w:pStyle w:val="TableParagraph"/>
              <w:spacing w:line="262" w:lineRule="exact"/>
              <w:ind w:left="20" w:right="4"/>
              <w:jc w:val="left"/>
              <w:rPr>
                <w:b/>
                <w:sz w:val="24"/>
              </w:rPr>
            </w:pPr>
            <w:r>
              <w:rPr>
                <w:b/>
                <w:spacing w:val="-2"/>
                <w:sz w:val="24"/>
              </w:rPr>
              <w:t>XELJANZ</w:t>
            </w:r>
          </w:p>
          <w:p w14:paraId="05A0800B" w14:textId="77777777" w:rsidR="001825E2" w:rsidRDefault="000839A5" w:rsidP="00CB00A7">
            <w:pPr>
              <w:pStyle w:val="TableParagraph"/>
              <w:spacing w:before="9" w:line="273" w:lineRule="exact"/>
              <w:ind w:left="16" w:right="20"/>
              <w:jc w:val="left"/>
              <w:rPr>
                <w:b/>
                <w:sz w:val="24"/>
              </w:rPr>
            </w:pPr>
            <w:r>
              <w:rPr>
                <w:b/>
                <w:sz w:val="24"/>
              </w:rPr>
              <w:t>5</w:t>
            </w:r>
            <w:r>
              <w:rPr>
                <w:b/>
                <w:spacing w:val="-2"/>
                <w:sz w:val="24"/>
              </w:rPr>
              <w:t xml:space="preserve"> </w:t>
            </w:r>
            <w:r>
              <w:rPr>
                <w:b/>
                <w:sz w:val="24"/>
              </w:rPr>
              <w:t>mg</w:t>
            </w:r>
            <w:r>
              <w:rPr>
                <w:b/>
                <w:spacing w:val="-1"/>
                <w:sz w:val="24"/>
              </w:rPr>
              <w:t xml:space="preserve"> </w:t>
            </w:r>
            <w:r>
              <w:rPr>
                <w:b/>
                <w:sz w:val="24"/>
              </w:rPr>
              <w:t>Twice</w:t>
            </w:r>
            <w:r>
              <w:rPr>
                <w:b/>
                <w:spacing w:val="-3"/>
                <w:sz w:val="24"/>
              </w:rPr>
              <w:t xml:space="preserve"> </w:t>
            </w:r>
            <w:r>
              <w:rPr>
                <w:b/>
                <w:spacing w:val="-4"/>
                <w:sz w:val="24"/>
              </w:rPr>
              <w:t>Daily</w:t>
            </w:r>
          </w:p>
          <w:p w14:paraId="795CDD54" w14:textId="77777777" w:rsidR="001825E2" w:rsidRDefault="000839A5" w:rsidP="00CB00A7">
            <w:pPr>
              <w:pStyle w:val="TableParagraph"/>
              <w:spacing w:line="273" w:lineRule="exact"/>
              <w:ind w:left="16" w:right="8"/>
              <w:jc w:val="left"/>
              <w:rPr>
                <w:b/>
                <w:sz w:val="24"/>
              </w:rPr>
            </w:pPr>
            <w:r>
              <w:rPr>
                <w:b/>
                <w:sz w:val="24"/>
              </w:rPr>
              <w:t>+</w:t>
            </w:r>
            <w:r>
              <w:rPr>
                <w:b/>
                <w:spacing w:val="-2"/>
                <w:sz w:val="24"/>
              </w:rPr>
              <w:t xml:space="preserve"> </w:t>
            </w:r>
            <w:r>
              <w:rPr>
                <w:b/>
                <w:spacing w:val="-5"/>
                <w:sz w:val="24"/>
              </w:rPr>
              <w:t>MTX</w:t>
            </w:r>
          </w:p>
          <w:p w14:paraId="7AA3D1F7" w14:textId="77777777" w:rsidR="001825E2" w:rsidRDefault="000839A5" w:rsidP="00CB00A7">
            <w:pPr>
              <w:pStyle w:val="TableParagraph"/>
              <w:spacing w:before="9" w:line="249" w:lineRule="exact"/>
              <w:ind w:left="18" w:right="4"/>
              <w:jc w:val="left"/>
              <w:rPr>
                <w:b/>
                <w:sz w:val="24"/>
              </w:rPr>
            </w:pPr>
            <w:r>
              <w:rPr>
                <w:b/>
                <w:spacing w:val="-2"/>
                <w:sz w:val="24"/>
              </w:rPr>
              <w:t>N=316</w:t>
            </w:r>
          </w:p>
        </w:tc>
        <w:tc>
          <w:tcPr>
            <w:tcW w:w="2100" w:type="dxa"/>
            <w:gridSpan w:val="2"/>
          </w:tcPr>
          <w:p w14:paraId="79BAEF48" w14:textId="77777777" w:rsidR="001825E2" w:rsidRDefault="000839A5" w:rsidP="00CB00A7">
            <w:pPr>
              <w:pStyle w:val="TableParagraph"/>
              <w:spacing w:line="262" w:lineRule="exact"/>
              <w:ind w:left="16" w:right="20"/>
              <w:jc w:val="left"/>
              <w:rPr>
                <w:b/>
                <w:sz w:val="24"/>
              </w:rPr>
            </w:pPr>
            <w:r>
              <w:rPr>
                <w:b/>
                <w:sz w:val="24"/>
              </w:rPr>
              <w:t>Placebo</w:t>
            </w:r>
            <w:r>
              <w:rPr>
                <w:b/>
                <w:spacing w:val="-4"/>
                <w:sz w:val="24"/>
              </w:rPr>
              <w:t xml:space="preserve"> </w:t>
            </w:r>
            <w:r>
              <w:rPr>
                <w:b/>
                <w:sz w:val="24"/>
              </w:rPr>
              <w:t>+</w:t>
            </w:r>
            <w:r>
              <w:rPr>
                <w:b/>
                <w:spacing w:val="-5"/>
                <w:sz w:val="24"/>
              </w:rPr>
              <w:t xml:space="preserve"> MTX</w:t>
            </w:r>
          </w:p>
          <w:p w14:paraId="137A956B" w14:textId="77777777" w:rsidR="001825E2" w:rsidRDefault="001825E2" w:rsidP="00CB00A7">
            <w:pPr>
              <w:pStyle w:val="TableParagraph"/>
              <w:spacing w:before="3"/>
              <w:ind w:left="0"/>
              <w:jc w:val="left"/>
              <w:rPr>
                <w:b/>
                <w:sz w:val="24"/>
              </w:rPr>
            </w:pPr>
          </w:p>
          <w:p w14:paraId="60C2F1E0" w14:textId="77777777" w:rsidR="001825E2" w:rsidRDefault="000839A5" w:rsidP="00CB00A7">
            <w:pPr>
              <w:pStyle w:val="TableParagraph"/>
              <w:ind w:left="18" w:right="4"/>
              <w:jc w:val="left"/>
              <w:rPr>
                <w:b/>
                <w:sz w:val="24"/>
              </w:rPr>
            </w:pPr>
            <w:r>
              <w:rPr>
                <w:b/>
                <w:spacing w:val="-2"/>
                <w:sz w:val="24"/>
              </w:rPr>
              <w:t>N=156</w:t>
            </w:r>
          </w:p>
        </w:tc>
        <w:tc>
          <w:tcPr>
            <w:tcW w:w="2175" w:type="dxa"/>
            <w:gridSpan w:val="2"/>
          </w:tcPr>
          <w:p w14:paraId="31C60D92" w14:textId="77777777" w:rsidR="001825E2" w:rsidRDefault="000839A5" w:rsidP="00CB00A7">
            <w:pPr>
              <w:pStyle w:val="TableParagraph"/>
              <w:spacing w:line="262" w:lineRule="exact"/>
              <w:ind w:left="31"/>
              <w:jc w:val="left"/>
              <w:rPr>
                <w:b/>
                <w:sz w:val="24"/>
              </w:rPr>
            </w:pPr>
            <w:r>
              <w:rPr>
                <w:b/>
                <w:spacing w:val="-2"/>
                <w:sz w:val="24"/>
              </w:rPr>
              <w:t>XELJANZ</w:t>
            </w:r>
          </w:p>
          <w:p w14:paraId="160362CC" w14:textId="77777777" w:rsidR="001825E2" w:rsidRDefault="000839A5" w:rsidP="00CB00A7">
            <w:pPr>
              <w:pStyle w:val="TableParagraph"/>
              <w:spacing w:before="9" w:line="273" w:lineRule="exact"/>
              <w:ind w:left="31" w:right="23"/>
              <w:jc w:val="left"/>
              <w:rPr>
                <w:b/>
                <w:sz w:val="24"/>
              </w:rPr>
            </w:pPr>
            <w:r>
              <w:rPr>
                <w:b/>
                <w:sz w:val="24"/>
              </w:rPr>
              <w:t>5</w:t>
            </w:r>
            <w:r>
              <w:rPr>
                <w:b/>
                <w:spacing w:val="-2"/>
                <w:sz w:val="24"/>
              </w:rPr>
              <w:t xml:space="preserve"> </w:t>
            </w:r>
            <w:r>
              <w:rPr>
                <w:b/>
                <w:sz w:val="24"/>
              </w:rPr>
              <w:t>mg</w:t>
            </w:r>
            <w:r>
              <w:rPr>
                <w:b/>
                <w:spacing w:val="-1"/>
                <w:sz w:val="24"/>
              </w:rPr>
              <w:t xml:space="preserve"> </w:t>
            </w:r>
            <w:r>
              <w:rPr>
                <w:b/>
                <w:sz w:val="24"/>
              </w:rPr>
              <w:t>Twice</w:t>
            </w:r>
            <w:r>
              <w:rPr>
                <w:b/>
                <w:spacing w:val="-3"/>
                <w:sz w:val="24"/>
              </w:rPr>
              <w:t xml:space="preserve"> </w:t>
            </w:r>
            <w:r>
              <w:rPr>
                <w:b/>
                <w:spacing w:val="-4"/>
                <w:sz w:val="24"/>
              </w:rPr>
              <w:t>Daily</w:t>
            </w:r>
          </w:p>
          <w:p w14:paraId="1AF1EDE6" w14:textId="77777777" w:rsidR="001825E2" w:rsidRDefault="000839A5" w:rsidP="00CB00A7">
            <w:pPr>
              <w:pStyle w:val="TableParagraph"/>
              <w:spacing w:line="273" w:lineRule="exact"/>
              <w:ind w:left="31" w:right="9"/>
              <w:jc w:val="left"/>
              <w:rPr>
                <w:b/>
                <w:sz w:val="24"/>
              </w:rPr>
            </w:pPr>
            <w:r>
              <w:rPr>
                <w:b/>
                <w:sz w:val="24"/>
              </w:rPr>
              <w:t>+</w:t>
            </w:r>
            <w:r>
              <w:rPr>
                <w:b/>
                <w:spacing w:val="-2"/>
                <w:sz w:val="24"/>
              </w:rPr>
              <w:t xml:space="preserve"> </w:t>
            </w:r>
            <w:r>
              <w:rPr>
                <w:b/>
                <w:spacing w:val="-5"/>
                <w:sz w:val="24"/>
              </w:rPr>
              <w:t>MTX</w:t>
            </w:r>
          </w:p>
          <w:p w14:paraId="4E405676" w14:textId="77777777" w:rsidR="001825E2" w:rsidRDefault="000839A5" w:rsidP="00CB00A7">
            <w:pPr>
              <w:pStyle w:val="TableParagraph"/>
              <w:spacing w:before="9" w:line="249" w:lineRule="exact"/>
              <w:ind w:left="31" w:right="2"/>
              <w:jc w:val="left"/>
              <w:rPr>
                <w:b/>
                <w:sz w:val="24"/>
              </w:rPr>
            </w:pPr>
            <w:r>
              <w:rPr>
                <w:b/>
                <w:spacing w:val="-2"/>
                <w:sz w:val="24"/>
              </w:rPr>
              <w:t>N=133</w:t>
            </w:r>
          </w:p>
        </w:tc>
        <w:tc>
          <w:tcPr>
            <w:tcW w:w="2010" w:type="dxa"/>
            <w:gridSpan w:val="2"/>
          </w:tcPr>
          <w:p w14:paraId="1541D8C4" w14:textId="77777777" w:rsidR="001825E2" w:rsidRDefault="000839A5" w:rsidP="00CB00A7">
            <w:pPr>
              <w:pStyle w:val="TableParagraph"/>
              <w:spacing w:line="262" w:lineRule="exact"/>
              <w:ind w:left="44" w:right="21"/>
              <w:jc w:val="left"/>
              <w:rPr>
                <w:b/>
                <w:sz w:val="24"/>
              </w:rPr>
            </w:pPr>
            <w:r>
              <w:rPr>
                <w:b/>
                <w:sz w:val="24"/>
              </w:rPr>
              <w:t>Placebo</w:t>
            </w:r>
            <w:r>
              <w:rPr>
                <w:b/>
                <w:spacing w:val="-4"/>
                <w:sz w:val="24"/>
              </w:rPr>
              <w:t xml:space="preserve"> </w:t>
            </w:r>
            <w:r>
              <w:rPr>
                <w:b/>
                <w:sz w:val="24"/>
              </w:rPr>
              <w:t>+</w:t>
            </w:r>
            <w:r>
              <w:rPr>
                <w:b/>
                <w:spacing w:val="-5"/>
                <w:sz w:val="24"/>
              </w:rPr>
              <w:t xml:space="preserve"> MTX</w:t>
            </w:r>
          </w:p>
          <w:p w14:paraId="1A25A043" w14:textId="77777777" w:rsidR="001825E2" w:rsidRDefault="001825E2" w:rsidP="00CB00A7">
            <w:pPr>
              <w:pStyle w:val="TableParagraph"/>
              <w:spacing w:before="3"/>
              <w:ind w:left="0"/>
              <w:jc w:val="left"/>
              <w:rPr>
                <w:b/>
                <w:sz w:val="24"/>
              </w:rPr>
            </w:pPr>
          </w:p>
          <w:p w14:paraId="3081E1A3" w14:textId="77777777" w:rsidR="001825E2" w:rsidRDefault="000839A5" w:rsidP="00CB00A7">
            <w:pPr>
              <w:pStyle w:val="TableParagraph"/>
              <w:ind w:left="44"/>
              <w:jc w:val="left"/>
              <w:rPr>
                <w:b/>
                <w:sz w:val="24"/>
              </w:rPr>
            </w:pPr>
            <w:r>
              <w:rPr>
                <w:b/>
                <w:spacing w:val="-2"/>
                <w:sz w:val="24"/>
              </w:rPr>
              <w:t>N=132</w:t>
            </w:r>
          </w:p>
        </w:tc>
      </w:tr>
      <w:tr w:rsidR="001825E2" w14:paraId="13B4488A" w14:textId="77777777">
        <w:trPr>
          <w:trHeight w:val="540"/>
        </w:trPr>
        <w:tc>
          <w:tcPr>
            <w:tcW w:w="1380" w:type="dxa"/>
          </w:tcPr>
          <w:p w14:paraId="58851B65" w14:textId="77777777" w:rsidR="001825E2" w:rsidRDefault="000839A5" w:rsidP="00CB00A7">
            <w:pPr>
              <w:pStyle w:val="TableParagraph"/>
              <w:spacing w:line="270" w:lineRule="exact"/>
              <w:ind w:left="97" w:right="131" w:firstLine="15"/>
              <w:jc w:val="left"/>
              <w:rPr>
                <w:sz w:val="24"/>
              </w:rPr>
            </w:pPr>
            <w:r>
              <w:rPr>
                <w:spacing w:val="-2"/>
                <w:sz w:val="24"/>
              </w:rPr>
              <w:t>Component (mean)</w:t>
            </w:r>
          </w:p>
        </w:tc>
        <w:tc>
          <w:tcPr>
            <w:tcW w:w="1140" w:type="dxa"/>
          </w:tcPr>
          <w:p w14:paraId="0578D308" w14:textId="77777777" w:rsidR="001825E2" w:rsidRDefault="000839A5" w:rsidP="00CB00A7">
            <w:pPr>
              <w:pStyle w:val="TableParagraph"/>
              <w:spacing w:before="1"/>
              <w:ind w:left="30" w:right="71"/>
              <w:jc w:val="left"/>
              <w:rPr>
                <w:sz w:val="24"/>
              </w:rPr>
            </w:pPr>
            <w:r>
              <w:rPr>
                <w:spacing w:val="-2"/>
                <w:sz w:val="24"/>
              </w:rPr>
              <w:t>Base-</w:t>
            </w:r>
            <w:r>
              <w:rPr>
                <w:spacing w:val="-4"/>
                <w:sz w:val="24"/>
              </w:rPr>
              <w:t>line</w:t>
            </w:r>
          </w:p>
        </w:tc>
        <w:tc>
          <w:tcPr>
            <w:tcW w:w="960" w:type="dxa"/>
          </w:tcPr>
          <w:p w14:paraId="07447C27" w14:textId="77777777" w:rsidR="001825E2" w:rsidRDefault="000839A5" w:rsidP="00CB00A7">
            <w:pPr>
              <w:pStyle w:val="TableParagraph"/>
              <w:spacing w:before="1"/>
              <w:ind w:left="45"/>
              <w:jc w:val="left"/>
              <w:rPr>
                <w:sz w:val="24"/>
              </w:rPr>
            </w:pPr>
            <w:r>
              <w:rPr>
                <w:sz w:val="24"/>
              </w:rPr>
              <w:t>Month</w:t>
            </w:r>
            <w:r>
              <w:rPr>
                <w:spacing w:val="4"/>
                <w:sz w:val="24"/>
              </w:rPr>
              <w:t xml:space="preserve"> </w:t>
            </w:r>
            <w:r>
              <w:rPr>
                <w:spacing w:val="-10"/>
                <w:sz w:val="24"/>
              </w:rPr>
              <w:t>3</w:t>
            </w:r>
          </w:p>
        </w:tc>
        <w:tc>
          <w:tcPr>
            <w:tcW w:w="1050" w:type="dxa"/>
          </w:tcPr>
          <w:p w14:paraId="695B9804" w14:textId="77777777" w:rsidR="001825E2" w:rsidRDefault="000839A5" w:rsidP="00CB00A7">
            <w:pPr>
              <w:pStyle w:val="TableParagraph"/>
              <w:spacing w:before="1"/>
              <w:jc w:val="left"/>
              <w:rPr>
                <w:sz w:val="24"/>
              </w:rPr>
            </w:pPr>
            <w:r>
              <w:rPr>
                <w:spacing w:val="-2"/>
                <w:sz w:val="24"/>
              </w:rPr>
              <w:t>Base-</w:t>
            </w:r>
            <w:r>
              <w:rPr>
                <w:spacing w:val="-4"/>
                <w:sz w:val="24"/>
              </w:rPr>
              <w:t>line</w:t>
            </w:r>
          </w:p>
        </w:tc>
        <w:tc>
          <w:tcPr>
            <w:tcW w:w="1050" w:type="dxa"/>
          </w:tcPr>
          <w:p w14:paraId="79E3C5F7" w14:textId="77777777" w:rsidR="001825E2" w:rsidRDefault="000839A5" w:rsidP="00CB00A7">
            <w:pPr>
              <w:pStyle w:val="TableParagraph"/>
              <w:spacing w:before="1"/>
              <w:ind w:left="75" w:right="89"/>
              <w:jc w:val="left"/>
              <w:rPr>
                <w:sz w:val="24"/>
              </w:rPr>
            </w:pPr>
            <w:r>
              <w:rPr>
                <w:sz w:val="24"/>
              </w:rPr>
              <w:t>Month</w:t>
            </w:r>
            <w:r>
              <w:rPr>
                <w:spacing w:val="4"/>
                <w:sz w:val="24"/>
              </w:rPr>
              <w:t xml:space="preserve"> </w:t>
            </w:r>
            <w:r>
              <w:rPr>
                <w:spacing w:val="-10"/>
                <w:sz w:val="24"/>
              </w:rPr>
              <w:t>3</w:t>
            </w:r>
          </w:p>
        </w:tc>
        <w:tc>
          <w:tcPr>
            <w:tcW w:w="1185" w:type="dxa"/>
          </w:tcPr>
          <w:p w14:paraId="322E7FE1" w14:textId="77777777" w:rsidR="001825E2" w:rsidRDefault="000839A5" w:rsidP="00CB00A7">
            <w:pPr>
              <w:pStyle w:val="TableParagraph"/>
              <w:spacing w:before="1"/>
              <w:ind w:left="0" w:right="26"/>
              <w:jc w:val="left"/>
              <w:rPr>
                <w:sz w:val="24"/>
              </w:rPr>
            </w:pPr>
            <w:r>
              <w:rPr>
                <w:spacing w:val="-2"/>
                <w:sz w:val="24"/>
              </w:rPr>
              <w:t>Base-</w:t>
            </w:r>
            <w:r>
              <w:rPr>
                <w:spacing w:val="-4"/>
                <w:sz w:val="24"/>
              </w:rPr>
              <w:t>line</w:t>
            </w:r>
          </w:p>
        </w:tc>
        <w:tc>
          <w:tcPr>
            <w:tcW w:w="990" w:type="dxa"/>
          </w:tcPr>
          <w:p w14:paraId="3CECAAFD" w14:textId="77777777" w:rsidR="001825E2" w:rsidRDefault="000839A5" w:rsidP="00CB00A7">
            <w:pPr>
              <w:pStyle w:val="TableParagraph"/>
              <w:spacing w:before="1"/>
              <w:ind w:left="37"/>
              <w:jc w:val="left"/>
              <w:rPr>
                <w:sz w:val="24"/>
              </w:rPr>
            </w:pPr>
            <w:r>
              <w:rPr>
                <w:sz w:val="24"/>
              </w:rPr>
              <w:t>Month</w:t>
            </w:r>
            <w:r>
              <w:rPr>
                <w:spacing w:val="4"/>
                <w:sz w:val="24"/>
              </w:rPr>
              <w:t xml:space="preserve"> </w:t>
            </w:r>
            <w:r>
              <w:rPr>
                <w:spacing w:val="-10"/>
                <w:sz w:val="24"/>
              </w:rPr>
              <w:t>3</w:t>
            </w:r>
          </w:p>
        </w:tc>
        <w:tc>
          <w:tcPr>
            <w:tcW w:w="1140" w:type="dxa"/>
          </w:tcPr>
          <w:p w14:paraId="5E6873FD" w14:textId="77777777" w:rsidR="001825E2" w:rsidRDefault="000839A5" w:rsidP="00CB00A7">
            <w:pPr>
              <w:pStyle w:val="TableParagraph"/>
              <w:spacing w:before="1"/>
              <w:ind w:left="30" w:right="101"/>
              <w:jc w:val="left"/>
              <w:rPr>
                <w:sz w:val="24"/>
              </w:rPr>
            </w:pPr>
            <w:r>
              <w:rPr>
                <w:spacing w:val="-2"/>
                <w:sz w:val="24"/>
              </w:rPr>
              <w:t>Base-</w:t>
            </w:r>
            <w:r>
              <w:rPr>
                <w:spacing w:val="-4"/>
                <w:sz w:val="24"/>
              </w:rPr>
              <w:t>line</w:t>
            </w:r>
          </w:p>
        </w:tc>
        <w:tc>
          <w:tcPr>
            <w:tcW w:w="870" w:type="dxa"/>
          </w:tcPr>
          <w:p w14:paraId="6836A712" w14:textId="77777777" w:rsidR="001825E2" w:rsidRDefault="000839A5" w:rsidP="00CB00A7">
            <w:pPr>
              <w:pStyle w:val="TableParagraph"/>
              <w:spacing w:before="1"/>
              <w:ind w:left="15"/>
              <w:jc w:val="left"/>
              <w:rPr>
                <w:sz w:val="24"/>
              </w:rPr>
            </w:pPr>
            <w:r>
              <w:rPr>
                <w:sz w:val="24"/>
              </w:rPr>
              <w:t>Month</w:t>
            </w:r>
            <w:r>
              <w:rPr>
                <w:spacing w:val="4"/>
                <w:sz w:val="24"/>
              </w:rPr>
              <w:t xml:space="preserve"> </w:t>
            </w:r>
            <w:r>
              <w:rPr>
                <w:spacing w:val="-10"/>
                <w:sz w:val="24"/>
              </w:rPr>
              <w:t>3</w:t>
            </w:r>
          </w:p>
        </w:tc>
      </w:tr>
      <w:tr w:rsidR="001825E2" w14:paraId="18A0778C" w14:textId="77777777">
        <w:trPr>
          <w:trHeight w:val="1110"/>
        </w:trPr>
        <w:tc>
          <w:tcPr>
            <w:tcW w:w="1380" w:type="dxa"/>
          </w:tcPr>
          <w:p w14:paraId="064F984C" w14:textId="77777777" w:rsidR="001825E2" w:rsidRDefault="000839A5" w:rsidP="00CB00A7">
            <w:pPr>
              <w:pStyle w:val="TableParagraph"/>
              <w:spacing w:before="1" w:line="242" w:lineRule="auto"/>
              <w:ind w:left="97" w:right="201" w:firstLine="15"/>
              <w:jc w:val="left"/>
              <w:rPr>
                <w:sz w:val="24"/>
              </w:rPr>
            </w:pPr>
            <w:r>
              <w:rPr>
                <w:sz w:val="24"/>
              </w:rPr>
              <w:t>Number</w:t>
            </w:r>
            <w:r>
              <w:rPr>
                <w:spacing w:val="-15"/>
                <w:sz w:val="24"/>
              </w:rPr>
              <w:t xml:space="preserve"> </w:t>
            </w:r>
            <w:r>
              <w:rPr>
                <w:sz w:val="24"/>
              </w:rPr>
              <w:t xml:space="preserve">of </w:t>
            </w:r>
            <w:r>
              <w:rPr>
                <w:spacing w:val="-2"/>
                <w:sz w:val="24"/>
              </w:rPr>
              <w:t>tender joints</w:t>
            </w:r>
          </w:p>
          <w:p w14:paraId="36925DFF" w14:textId="77777777" w:rsidR="001825E2" w:rsidRDefault="000839A5" w:rsidP="00CB00A7">
            <w:pPr>
              <w:pStyle w:val="TableParagraph"/>
              <w:spacing w:line="253" w:lineRule="exact"/>
              <w:jc w:val="left"/>
              <w:rPr>
                <w:sz w:val="24"/>
              </w:rPr>
            </w:pPr>
            <w:r>
              <w:rPr>
                <w:spacing w:val="-5"/>
                <w:sz w:val="24"/>
              </w:rPr>
              <w:t>(0-68)</w:t>
            </w:r>
          </w:p>
        </w:tc>
        <w:tc>
          <w:tcPr>
            <w:tcW w:w="1140" w:type="dxa"/>
          </w:tcPr>
          <w:p w14:paraId="282CD6EE" w14:textId="77777777" w:rsidR="001825E2" w:rsidRDefault="000839A5" w:rsidP="00CB00A7">
            <w:pPr>
              <w:pStyle w:val="TableParagraph"/>
              <w:spacing w:before="271"/>
              <w:ind w:left="30" w:right="89"/>
              <w:jc w:val="left"/>
              <w:rPr>
                <w:sz w:val="24"/>
              </w:rPr>
            </w:pPr>
            <w:r>
              <w:rPr>
                <w:spacing w:val="-5"/>
                <w:sz w:val="24"/>
              </w:rPr>
              <w:t>24</w:t>
            </w:r>
          </w:p>
        </w:tc>
        <w:tc>
          <w:tcPr>
            <w:tcW w:w="960" w:type="dxa"/>
          </w:tcPr>
          <w:p w14:paraId="5B3E3363" w14:textId="77777777" w:rsidR="001825E2" w:rsidRDefault="000839A5" w:rsidP="00CB00A7">
            <w:pPr>
              <w:pStyle w:val="TableParagraph"/>
              <w:spacing w:before="271"/>
              <w:ind w:left="45" w:right="16"/>
              <w:jc w:val="left"/>
              <w:rPr>
                <w:sz w:val="24"/>
              </w:rPr>
            </w:pPr>
            <w:r>
              <w:rPr>
                <w:spacing w:val="-5"/>
                <w:sz w:val="24"/>
              </w:rPr>
              <w:t>13</w:t>
            </w:r>
          </w:p>
        </w:tc>
        <w:tc>
          <w:tcPr>
            <w:tcW w:w="1050" w:type="dxa"/>
          </w:tcPr>
          <w:p w14:paraId="7C464F61" w14:textId="77777777" w:rsidR="001825E2" w:rsidRDefault="000839A5" w:rsidP="00CB00A7">
            <w:pPr>
              <w:pStyle w:val="TableParagraph"/>
              <w:spacing w:before="271"/>
              <w:ind w:left="61" w:right="89"/>
              <w:jc w:val="left"/>
              <w:rPr>
                <w:sz w:val="24"/>
              </w:rPr>
            </w:pPr>
            <w:r>
              <w:rPr>
                <w:spacing w:val="-5"/>
                <w:sz w:val="24"/>
              </w:rPr>
              <w:t>23</w:t>
            </w:r>
          </w:p>
        </w:tc>
        <w:tc>
          <w:tcPr>
            <w:tcW w:w="1050" w:type="dxa"/>
          </w:tcPr>
          <w:p w14:paraId="30602417" w14:textId="77777777" w:rsidR="001825E2" w:rsidRDefault="000839A5" w:rsidP="00CB00A7">
            <w:pPr>
              <w:pStyle w:val="TableParagraph"/>
              <w:spacing w:before="271"/>
              <w:ind w:left="0" w:right="88"/>
              <w:jc w:val="left"/>
              <w:rPr>
                <w:sz w:val="24"/>
              </w:rPr>
            </w:pPr>
            <w:r>
              <w:rPr>
                <w:spacing w:val="-5"/>
                <w:sz w:val="24"/>
              </w:rPr>
              <w:t>18</w:t>
            </w:r>
          </w:p>
        </w:tc>
        <w:tc>
          <w:tcPr>
            <w:tcW w:w="1185" w:type="dxa"/>
          </w:tcPr>
          <w:p w14:paraId="735556E7" w14:textId="77777777" w:rsidR="001825E2" w:rsidRDefault="000839A5" w:rsidP="00CB00A7">
            <w:pPr>
              <w:pStyle w:val="TableParagraph"/>
              <w:spacing w:before="271"/>
              <w:ind w:left="13" w:right="26"/>
              <w:jc w:val="left"/>
              <w:rPr>
                <w:sz w:val="24"/>
              </w:rPr>
            </w:pPr>
            <w:r>
              <w:rPr>
                <w:spacing w:val="-5"/>
                <w:sz w:val="24"/>
              </w:rPr>
              <w:t>28</w:t>
            </w:r>
          </w:p>
        </w:tc>
        <w:tc>
          <w:tcPr>
            <w:tcW w:w="990" w:type="dxa"/>
          </w:tcPr>
          <w:p w14:paraId="2BF3BFE0" w14:textId="77777777" w:rsidR="001825E2" w:rsidRDefault="000839A5" w:rsidP="00CB00A7">
            <w:pPr>
              <w:pStyle w:val="TableParagraph"/>
              <w:spacing w:before="271"/>
              <w:ind w:left="412"/>
              <w:jc w:val="left"/>
              <w:rPr>
                <w:sz w:val="24"/>
              </w:rPr>
            </w:pPr>
            <w:r>
              <w:rPr>
                <w:spacing w:val="-5"/>
                <w:sz w:val="24"/>
              </w:rPr>
              <w:t>16</w:t>
            </w:r>
          </w:p>
        </w:tc>
        <w:tc>
          <w:tcPr>
            <w:tcW w:w="1140" w:type="dxa"/>
          </w:tcPr>
          <w:p w14:paraId="4114B3D7" w14:textId="77777777" w:rsidR="001825E2" w:rsidRDefault="000839A5" w:rsidP="00CB00A7">
            <w:pPr>
              <w:pStyle w:val="TableParagraph"/>
              <w:spacing w:before="271"/>
              <w:ind w:left="29"/>
              <w:jc w:val="left"/>
              <w:rPr>
                <w:sz w:val="24"/>
              </w:rPr>
            </w:pPr>
            <w:r>
              <w:rPr>
                <w:spacing w:val="-5"/>
                <w:sz w:val="24"/>
              </w:rPr>
              <w:t>28</w:t>
            </w:r>
          </w:p>
        </w:tc>
        <w:tc>
          <w:tcPr>
            <w:tcW w:w="870" w:type="dxa"/>
          </w:tcPr>
          <w:p w14:paraId="5244132D" w14:textId="77777777" w:rsidR="001825E2" w:rsidRDefault="000839A5" w:rsidP="00CB00A7">
            <w:pPr>
              <w:pStyle w:val="TableParagraph"/>
              <w:spacing w:before="270"/>
              <w:ind w:left="0"/>
              <w:jc w:val="left"/>
              <w:rPr>
                <w:sz w:val="24"/>
              </w:rPr>
            </w:pPr>
            <w:r>
              <w:rPr>
                <w:spacing w:val="-5"/>
                <w:sz w:val="24"/>
              </w:rPr>
              <w:t>21</w:t>
            </w:r>
          </w:p>
        </w:tc>
      </w:tr>
      <w:tr w:rsidR="001825E2" w14:paraId="7A579F14" w14:textId="77777777">
        <w:trPr>
          <w:trHeight w:val="1094"/>
        </w:trPr>
        <w:tc>
          <w:tcPr>
            <w:tcW w:w="1380" w:type="dxa"/>
          </w:tcPr>
          <w:p w14:paraId="5F16F34D" w14:textId="77777777" w:rsidR="001825E2" w:rsidRDefault="000839A5" w:rsidP="00CB00A7">
            <w:pPr>
              <w:pStyle w:val="TableParagraph"/>
              <w:spacing w:line="242" w:lineRule="auto"/>
              <w:ind w:left="97" w:right="201" w:firstLine="15"/>
              <w:jc w:val="left"/>
              <w:rPr>
                <w:sz w:val="24"/>
              </w:rPr>
            </w:pPr>
            <w:r>
              <w:rPr>
                <w:sz w:val="24"/>
              </w:rPr>
              <w:t>Number</w:t>
            </w:r>
            <w:r>
              <w:rPr>
                <w:spacing w:val="-15"/>
                <w:sz w:val="24"/>
              </w:rPr>
              <w:t xml:space="preserve"> </w:t>
            </w:r>
            <w:r>
              <w:rPr>
                <w:sz w:val="24"/>
              </w:rPr>
              <w:t xml:space="preserve">of </w:t>
            </w:r>
            <w:r>
              <w:rPr>
                <w:spacing w:val="-2"/>
                <w:sz w:val="24"/>
              </w:rPr>
              <w:t>swollen joints</w:t>
            </w:r>
          </w:p>
          <w:p w14:paraId="0E80A8B8" w14:textId="77777777" w:rsidR="001825E2" w:rsidRDefault="000839A5" w:rsidP="00CB00A7">
            <w:pPr>
              <w:pStyle w:val="TableParagraph"/>
              <w:spacing w:line="249" w:lineRule="exact"/>
              <w:jc w:val="left"/>
              <w:rPr>
                <w:sz w:val="24"/>
              </w:rPr>
            </w:pPr>
            <w:r>
              <w:rPr>
                <w:spacing w:val="-5"/>
                <w:sz w:val="24"/>
              </w:rPr>
              <w:t>(0-66)</w:t>
            </w:r>
          </w:p>
        </w:tc>
        <w:tc>
          <w:tcPr>
            <w:tcW w:w="1140" w:type="dxa"/>
          </w:tcPr>
          <w:p w14:paraId="78D542DA" w14:textId="77777777" w:rsidR="001825E2" w:rsidRDefault="000839A5" w:rsidP="00CB00A7">
            <w:pPr>
              <w:pStyle w:val="TableParagraph"/>
              <w:spacing w:before="271"/>
              <w:ind w:left="30" w:right="89"/>
              <w:jc w:val="left"/>
              <w:rPr>
                <w:sz w:val="24"/>
              </w:rPr>
            </w:pPr>
            <w:r>
              <w:rPr>
                <w:spacing w:val="-5"/>
                <w:sz w:val="24"/>
              </w:rPr>
              <w:t>14</w:t>
            </w:r>
          </w:p>
        </w:tc>
        <w:tc>
          <w:tcPr>
            <w:tcW w:w="960" w:type="dxa"/>
          </w:tcPr>
          <w:p w14:paraId="2872A540" w14:textId="77777777" w:rsidR="001825E2" w:rsidRDefault="000839A5" w:rsidP="00CB00A7">
            <w:pPr>
              <w:pStyle w:val="TableParagraph"/>
              <w:spacing w:before="271"/>
              <w:ind w:left="45" w:right="16"/>
              <w:jc w:val="left"/>
              <w:rPr>
                <w:sz w:val="24"/>
              </w:rPr>
            </w:pPr>
            <w:r>
              <w:rPr>
                <w:spacing w:val="-10"/>
                <w:sz w:val="24"/>
              </w:rPr>
              <w:t>6</w:t>
            </w:r>
          </w:p>
        </w:tc>
        <w:tc>
          <w:tcPr>
            <w:tcW w:w="1050" w:type="dxa"/>
          </w:tcPr>
          <w:p w14:paraId="513A4C0F" w14:textId="77777777" w:rsidR="001825E2" w:rsidRDefault="000839A5" w:rsidP="00CB00A7">
            <w:pPr>
              <w:pStyle w:val="TableParagraph"/>
              <w:spacing w:before="271"/>
              <w:ind w:left="61" w:right="89"/>
              <w:jc w:val="left"/>
              <w:rPr>
                <w:sz w:val="24"/>
              </w:rPr>
            </w:pPr>
            <w:r>
              <w:rPr>
                <w:spacing w:val="-5"/>
                <w:sz w:val="24"/>
              </w:rPr>
              <w:t>14</w:t>
            </w:r>
          </w:p>
        </w:tc>
        <w:tc>
          <w:tcPr>
            <w:tcW w:w="1050" w:type="dxa"/>
          </w:tcPr>
          <w:p w14:paraId="4484C40D" w14:textId="77777777" w:rsidR="001825E2" w:rsidRDefault="000839A5" w:rsidP="00CB00A7">
            <w:pPr>
              <w:pStyle w:val="TableParagraph"/>
              <w:spacing w:before="271"/>
              <w:ind w:left="0" w:right="88"/>
              <w:jc w:val="left"/>
              <w:rPr>
                <w:sz w:val="24"/>
              </w:rPr>
            </w:pPr>
            <w:r>
              <w:rPr>
                <w:spacing w:val="-5"/>
                <w:sz w:val="24"/>
              </w:rPr>
              <w:t>10</w:t>
            </w:r>
          </w:p>
        </w:tc>
        <w:tc>
          <w:tcPr>
            <w:tcW w:w="1185" w:type="dxa"/>
          </w:tcPr>
          <w:p w14:paraId="3461F014" w14:textId="77777777" w:rsidR="001825E2" w:rsidRDefault="000839A5" w:rsidP="00CB00A7">
            <w:pPr>
              <w:pStyle w:val="TableParagraph"/>
              <w:spacing w:before="271"/>
              <w:ind w:left="13" w:right="26"/>
              <w:jc w:val="left"/>
              <w:rPr>
                <w:sz w:val="24"/>
              </w:rPr>
            </w:pPr>
            <w:r>
              <w:rPr>
                <w:spacing w:val="-5"/>
                <w:sz w:val="24"/>
              </w:rPr>
              <w:t>16</w:t>
            </w:r>
          </w:p>
        </w:tc>
        <w:tc>
          <w:tcPr>
            <w:tcW w:w="990" w:type="dxa"/>
          </w:tcPr>
          <w:p w14:paraId="2C440270" w14:textId="77777777" w:rsidR="001825E2" w:rsidRDefault="000839A5" w:rsidP="00CB00A7">
            <w:pPr>
              <w:pStyle w:val="TableParagraph"/>
              <w:spacing w:before="271"/>
              <w:ind w:left="89"/>
              <w:jc w:val="left"/>
              <w:rPr>
                <w:sz w:val="24"/>
              </w:rPr>
            </w:pPr>
            <w:r>
              <w:rPr>
                <w:spacing w:val="-10"/>
                <w:sz w:val="24"/>
              </w:rPr>
              <w:t>8</w:t>
            </w:r>
          </w:p>
        </w:tc>
        <w:tc>
          <w:tcPr>
            <w:tcW w:w="1140" w:type="dxa"/>
          </w:tcPr>
          <w:p w14:paraId="481E4DFE" w14:textId="77777777" w:rsidR="001825E2" w:rsidRDefault="000839A5" w:rsidP="00CB00A7">
            <w:pPr>
              <w:pStyle w:val="TableParagraph"/>
              <w:spacing w:before="271"/>
              <w:ind w:left="29"/>
              <w:jc w:val="left"/>
              <w:rPr>
                <w:sz w:val="24"/>
              </w:rPr>
            </w:pPr>
            <w:r>
              <w:rPr>
                <w:spacing w:val="-5"/>
                <w:sz w:val="24"/>
              </w:rPr>
              <w:t>17</w:t>
            </w:r>
          </w:p>
        </w:tc>
        <w:tc>
          <w:tcPr>
            <w:tcW w:w="870" w:type="dxa"/>
          </w:tcPr>
          <w:p w14:paraId="4DA2D1CE" w14:textId="77777777" w:rsidR="001825E2" w:rsidRDefault="000839A5" w:rsidP="00CB00A7">
            <w:pPr>
              <w:pStyle w:val="TableParagraph"/>
              <w:spacing w:before="271"/>
              <w:ind w:left="0"/>
              <w:jc w:val="left"/>
              <w:rPr>
                <w:sz w:val="24"/>
              </w:rPr>
            </w:pPr>
            <w:r>
              <w:rPr>
                <w:spacing w:val="-5"/>
                <w:sz w:val="24"/>
              </w:rPr>
              <w:t>12</w:t>
            </w:r>
          </w:p>
        </w:tc>
      </w:tr>
      <w:tr w:rsidR="001825E2" w14:paraId="0117213A" w14:textId="77777777">
        <w:trPr>
          <w:trHeight w:val="540"/>
        </w:trPr>
        <w:tc>
          <w:tcPr>
            <w:tcW w:w="1380" w:type="dxa"/>
          </w:tcPr>
          <w:p w14:paraId="0E7EBAE7" w14:textId="77777777" w:rsidR="001825E2" w:rsidRDefault="000839A5" w:rsidP="00CB00A7">
            <w:pPr>
              <w:pStyle w:val="TableParagraph"/>
              <w:spacing w:before="1"/>
              <w:jc w:val="left"/>
              <w:rPr>
                <w:sz w:val="16"/>
              </w:rPr>
            </w:pPr>
            <w:r>
              <w:rPr>
                <w:spacing w:val="-2"/>
                <w:sz w:val="24"/>
              </w:rPr>
              <w:t>Pain</w:t>
            </w:r>
            <w:r>
              <w:rPr>
                <w:spacing w:val="-2"/>
                <w:position w:val="7"/>
                <w:sz w:val="16"/>
              </w:rPr>
              <w:t>a</w:t>
            </w:r>
          </w:p>
        </w:tc>
        <w:tc>
          <w:tcPr>
            <w:tcW w:w="1140" w:type="dxa"/>
          </w:tcPr>
          <w:p w14:paraId="2ED4F47B" w14:textId="77777777" w:rsidR="001825E2" w:rsidRDefault="000839A5" w:rsidP="00CB00A7">
            <w:pPr>
              <w:pStyle w:val="TableParagraph"/>
              <w:spacing w:before="1"/>
              <w:ind w:left="30" w:right="89"/>
              <w:jc w:val="left"/>
              <w:rPr>
                <w:sz w:val="24"/>
              </w:rPr>
            </w:pPr>
            <w:r>
              <w:rPr>
                <w:spacing w:val="-5"/>
                <w:sz w:val="24"/>
              </w:rPr>
              <w:t>58</w:t>
            </w:r>
          </w:p>
        </w:tc>
        <w:tc>
          <w:tcPr>
            <w:tcW w:w="960" w:type="dxa"/>
          </w:tcPr>
          <w:p w14:paraId="3AB3CDE1" w14:textId="77777777" w:rsidR="001825E2" w:rsidRDefault="000839A5" w:rsidP="00CB00A7">
            <w:pPr>
              <w:pStyle w:val="TableParagraph"/>
              <w:spacing w:before="1"/>
              <w:ind w:left="45" w:right="15"/>
              <w:jc w:val="left"/>
              <w:rPr>
                <w:sz w:val="24"/>
              </w:rPr>
            </w:pPr>
            <w:r>
              <w:rPr>
                <w:spacing w:val="-5"/>
                <w:sz w:val="24"/>
              </w:rPr>
              <w:t>35</w:t>
            </w:r>
          </w:p>
        </w:tc>
        <w:tc>
          <w:tcPr>
            <w:tcW w:w="1050" w:type="dxa"/>
          </w:tcPr>
          <w:p w14:paraId="1EEDF740" w14:textId="77777777" w:rsidR="001825E2" w:rsidRDefault="000839A5" w:rsidP="00CB00A7">
            <w:pPr>
              <w:pStyle w:val="TableParagraph"/>
              <w:spacing w:before="1"/>
              <w:ind w:left="60" w:right="89"/>
              <w:jc w:val="left"/>
              <w:rPr>
                <w:sz w:val="24"/>
              </w:rPr>
            </w:pPr>
            <w:r>
              <w:rPr>
                <w:spacing w:val="-5"/>
                <w:sz w:val="24"/>
              </w:rPr>
              <w:t>55</w:t>
            </w:r>
          </w:p>
        </w:tc>
        <w:tc>
          <w:tcPr>
            <w:tcW w:w="1050" w:type="dxa"/>
          </w:tcPr>
          <w:p w14:paraId="2A3302CE" w14:textId="77777777" w:rsidR="001825E2" w:rsidRDefault="000839A5" w:rsidP="00CB00A7">
            <w:pPr>
              <w:pStyle w:val="TableParagraph"/>
              <w:spacing w:before="1"/>
              <w:ind w:left="0" w:right="89"/>
              <w:jc w:val="left"/>
              <w:rPr>
                <w:sz w:val="24"/>
              </w:rPr>
            </w:pPr>
            <w:r>
              <w:rPr>
                <w:spacing w:val="-5"/>
                <w:sz w:val="24"/>
              </w:rPr>
              <w:t>47</w:t>
            </w:r>
          </w:p>
        </w:tc>
        <w:tc>
          <w:tcPr>
            <w:tcW w:w="1185" w:type="dxa"/>
          </w:tcPr>
          <w:p w14:paraId="01FF674A" w14:textId="77777777" w:rsidR="001825E2" w:rsidRDefault="000839A5" w:rsidP="00CB00A7">
            <w:pPr>
              <w:pStyle w:val="TableParagraph"/>
              <w:spacing w:before="1"/>
              <w:ind w:left="12" w:right="26"/>
              <w:jc w:val="left"/>
              <w:rPr>
                <w:sz w:val="24"/>
              </w:rPr>
            </w:pPr>
            <w:r>
              <w:rPr>
                <w:spacing w:val="-5"/>
                <w:sz w:val="24"/>
              </w:rPr>
              <w:t>66</w:t>
            </w:r>
          </w:p>
        </w:tc>
        <w:tc>
          <w:tcPr>
            <w:tcW w:w="990" w:type="dxa"/>
          </w:tcPr>
          <w:p w14:paraId="3E2A3C2D" w14:textId="77777777" w:rsidR="001825E2" w:rsidRDefault="000839A5" w:rsidP="00CB00A7">
            <w:pPr>
              <w:pStyle w:val="TableParagraph"/>
              <w:spacing w:before="1"/>
              <w:ind w:left="412"/>
              <w:jc w:val="left"/>
              <w:rPr>
                <w:sz w:val="24"/>
              </w:rPr>
            </w:pPr>
            <w:r>
              <w:rPr>
                <w:spacing w:val="-5"/>
                <w:sz w:val="24"/>
              </w:rPr>
              <w:t>39</w:t>
            </w:r>
          </w:p>
        </w:tc>
        <w:tc>
          <w:tcPr>
            <w:tcW w:w="1140" w:type="dxa"/>
          </w:tcPr>
          <w:p w14:paraId="75537053" w14:textId="77777777" w:rsidR="001825E2" w:rsidRDefault="000839A5" w:rsidP="00CB00A7">
            <w:pPr>
              <w:pStyle w:val="TableParagraph"/>
              <w:spacing w:before="1"/>
              <w:ind w:left="30"/>
              <w:jc w:val="left"/>
              <w:rPr>
                <w:sz w:val="24"/>
              </w:rPr>
            </w:pPr>
            <w:r>
              <w:rPr>
                <w:spacing w:val="-5"/>
                <w:sz w:val="24"/>
              </w:rPr>
              <w:t>61</w:t>
            </w:r>
          </w:p>
        </w:tc>
        <w:tc>
          <w:tcPr>
            <w:tcW w:w="870" w:type="dxa"/>
          </w:tcPr>
          <w:p w14:paraId="1D09192A" w14:textId="77777777" w:rsidR="001825E2" w:rsidRDefault="000839A5" w:rsidP="00CB00A7">
            <w:pPr>
              <w:pStyle w:val="TableParagraph"/>
              <w:spacing w:before="1"/>
              <w:ind w:left="0"/>
              <w:jc w:val="left"/>
              <w:rPr>
                <w:sz w:val="24"/>
              </w:rPr>
            </w:pPr>
            <w:r>
              <w:rPr>
                <w:spacing w:val="-5"/>
                <w:sz w:val="24"/>
              </w:rPr>
              <w:t>53</w:t>
            </w:r>
          </w:p>
        </w:tc>
      </w:tr>
      <w:tr w:rsidR="001825E2" w14:paraId="62337433" w14:textId="77777777">
        <w:trPr>
          <w:trHeight w:val="824"/>
        </w:trPr>
        <w:tc>
          <w:tcPr>
            <w:tcW w:w="1380" w:type="dxa"/>
          </w:tcPr>
          <w:p w14:paraId="6F624DB0" w14:textId="77777777" w:rsidR="001825E2" w:rsidRDefault="000839A5" w:rsidP="00CB00A7">
            <w:pPr>
              <w:pStyle w:val="TableParagraph"/>
              <w:spacing w:before="5" w:line="235" w:lineRule="auto"/>
              <w:ind w:left="97" w:right="580" w:firstLine="15"/>
              <w:jc w:val="left"/>
              <w:rPr>
                <w:sz w:val="24"/>
              </w:rPr>
            </w:pPr>
            <w:r>
              <w:rPr>
                <w:spacing w:val="-2"/>
                <w:sz w:val="24"/>
              </w:rPr>
              <w:t>Patient global</w:t>
            </w:r>
          </w:p>
          <w:p w14:paraId="294B4BCE" w14:textId="77777777" w:rsidR="001825E2" w:rsidRDefault="000839A5" w:rsidP="00CB00A7">
            <w:pPr>
              <w:pStyle w:val="TableParagraph"/>
              <w:spacing w:before="10" w:line="249" w:lineRule="exact"/>
              <w:ind w:left="97"/>
              <w:jc w:val="left"/>
              <w:rPr>
                <w:sz w:val="16"/>
              </w:rPr>
            </w:pPr>
            <w:r>
              <w:rPr>
                <w:spacing w:val="-2"/>
                <w:sz w:val="24"/>
              </w:rPr>
              <w:t>assessment</w:t>
            </w:r>
            <w:r>
              <w:rPr>
                <w:spacing w:val="-2"/>
                <w:position w:val="7"/>
                <w:sz w:val="16"/>
              </w:rPr>
              <w:t>a</w:t>
            </w:r>
          </w:p>
        </w:tc>
        <w:tc>
          <w:tcPr>
            <w:tcW w:w="1140" w:type="dxa"/>
          </w:tcPr>
          <w:p w14:paraId="48A7EE62" w14:textId="77777777" w:rsidR="001825E2" w:rsidRDefault="000839A5" w:rsidP="00CB00A7">
            <w:pPr>
              <w:pStyle w:val="TableParagraph"/>
              <w:spacing w:before="136"/>
              <w:ind w:left="30" w:right="89"/>
              <w:jc w:val="left"/>
              <w:rPr>
                <w:sz w:val="24"/>
              </w:rPr>
            </w:pPr>
            <w:r>
              <w:rPr>
                <w:spacing w:val="-5"/>
                <w:sz w:val="24"/>
              </w:rPr>
              <w:t>58</w:t>
            </w:r>
          </w:p>
        </w:tc>
        <w:tc>
          <w:tcPr>
            <w:tcW w:w="960" w:type="dxa"/>
          </w:tcPr>
          <w:p w14:paraId="6D71098E" w14:textId="77777777" w:rsidR="001825E2" w:rsidRDefault="000839A5" w:rsidP="00CB00A7">
            <w:pPr>
              <w:pStyle w:val="TableParagraph"/>
              <w:spacing w:before="136"/>
              <w:ind w:left="45" w:right="16"/>
              <w:jc w:val="left"/>
              <w:rPr>
                <w:sz w:val="24"/>
              </w:rPr>
            </w:pPr>
            <w:r>
              <w:rPr>
                <w:spacing w:val="-5"/>
                <w:sz w:val="24"/>
              </w:rPr>
              <w:t>35</w:t>
            </w:r>
          </w:p>
        </w:tc>
        <w:tc>
          <w:tcPr>
            <w:tcW w:w="1050" w:type="dxa"/>
          </w:tcPr>
          <w:p w14:paraId="24887244" w14:textId="77777777" w:rsidR="001825E2" w:rsidRDefault="000839A5" w:rsidP="00CB00A7">
            <w:pPr>
              <w:pStyle w:val="TableParagraph"/>
              <w:spacing w:before="136"/>
              <w:ind w:left="61" w:right="89"/>
              <w:jc w:val="left"/>
              <w:rPr>
                <w:sz w:val="24"/>
              </w:rPr>
            </w:pPr>
            <w:r>
              <w:rPr>
                <w:spacing w:val="-5"/>
                <w:sz w:val="24"/>
              </w:rPr>
              <w:t>54</w:t>
            </w:r>
          </w:p>
        </w:tc>
        <w:tc>
          <w:tcPr>
            <w:tcW w:w="1050" w:type="dxa"/>
          </w:tcPr>
          <w:p w14:paraId="219460EA" w14:textId="77777777" w:rsidR="001825E2" w:rsidRDefault="000839A5" w:rsidP="00CB00A7">
            <w:pPr>
              <w:pStyle w:val="TableParagraph"/>
              <w:spacing w:before="136"/>
              <w:ind w:left="0" w:right="88"/>
              <w:jc w:val="left"/>
              <w:rPr>
                <w:sz w:val="24"/>
              </w:rPr>
            </w:pPr>
            <w:r>
              <w:rPr>
                <w:spacing w:val="-5"/>
                <w:sz w:val="24"/>
              </w:rPr>
              <w:t>47</w:t>
            </w:r>
          </w:p>
        </w:tc>
        <w:tc>
          <w:tcPr>
            <w:tcW w:w="1185" w:type="dxa"/>
          </w:tcPr>
          <w:p w14:paraId="5456AC0D" w14:textId="77777777" w:rsidR="001825E2" w:rsidRDefault="000839A5" w:rsidP="00CB00A7">
            <w:pPr>
              <w:pStyle w:val="TableParagraph"/>
              <w:spacing w:before="136"/>
              <w:ind w:left="13" w:right="26"/>
              <w:jc w:val="left"/>
              <w:rPr>
                <w:sz w:val="24"/>
              </w:rPr>
            </w:pPr>
            <w:r>
              <w:rPr>
                <w:spacing w:val="-5"/>
                <w:sz w:val="24"/>
              </w:rPr>
              <w:t>65</w:t>
            </w:r>
          </w:p>
        </w:tc>
        <w:tc>
          <w:tcPr>
            <w:tcW w:w="990" w:type="dxa"/>
          </w:tcPr>
          <w:p w14:paraId="1C134DA9" w14:textId="77777777" w:rsidR="001825E2" w:rsidRDefault="000839A5" w:rsidP="00CB00A7">
            <w:pPr>
              <w:pStyle w:val="TableParagraph"/>
              <w:spacing w:before="136"/>
              <w:ind w:left="322"/>
              <w:jc w:val="left"/>
              <w:rPr>
                <w:sz w:val="24"/>
              </w:rPr>
            </w:pPr>
            <w:r>
              <w:rPr>
                <w:spacing w:val="-4"/>
                <w:sz w:val="24"/>
              </w:rPr>
              <w:t>41.2</w:t>
            </w:r>
          </w:p>
        </w:tc>
        <w:tc>
          <w:tcPr>
            <w:tcW w:w="1140" w:type="dxa"/>
          </w:tcPr>
          <w:p w14:paraId="2B970531" w14:textId="77777777" w:rsidR="001825E2" w:rsidRDefault="000839A5" w:rsidP="00CB00A7">
            <w:pPr>
              <w:pStyle w:val="TableParagraph"/>
              <w:spacing w:before="136"/>
              <w:ind w:left="29"/>
              <w:jc w:val="left"/>
              <w:rPr>
                <w:sz w:val="24"/>
              </w:rPr>
            </w:pPr>
            <w:r>
              <w:rPr>
                <w:spacing w:val="-5"/>
                <w:sz w:val="24"/>
              </w:rPr>
              <w:t>62</w:t>
            </w:r>
          </w:p>
        </w:tc>
        <w:tc>
          <w:tcPr>
            <w:tcW w:w="870" w:type="dxa"/>
          </w:tcPr>
          <w:p w14:paraId="5BAEF680" w14:textId="77777777" w:rsidR="001825E2" w:rsidRDefault="000839A5" w:rsidP="00CB00A7">
            <w:pPr>
              <w:pStyle w:val="TableParagraph"/>
              <w:spacing w:before="135"/>
              <w:ind w:left="0"/>
              <w:jc w:val="left"/>
              <w:rPr>
                <w:sz w:val="24"/>
              </w:rPr>
            </w:pPr>
            <w:r>
              <w:rPr>
                <w:spacing w:val="-5"/>
                <w:sz w:val="24"/>
              </w:rPr>
              <w:t>53</w:t>
            </w:r>
          </w:p>
        </w:tc>
      </w:tr>
      <w:tr w:rsidR="001825E2" w14:paraId="6DBDC26A" w14:textId="77777777">
        <w:trPr>
          <w:trHeight w:val="825"/>
        </w:trPr>
        <w:tc>
          <w:tcPr>
            <w:tcW w:w="1380" w:type="dxa"/>
          </w:tcPr>
          <w:p w14:paraId="6AFDB15A" w14:textId="77777777" w:rsidR="001825E2" w:rsidRDefault="000839A5" w:rsidP="00CB00A7">
            <w:pPr>
              <w:pStyle w:val="TableParagraph"/>
              <w:spacing w:before="5" w:line="235" w:lineRule="auto"/>
              <w:ind w:left="97" w:right="131" w:firstLine="15"/>
              <w:jc w:val="left"/>
              <w:rPr>
                <w:sz w:val="24"/>
              </w:rPr>
            </w:pPr>
            <w:r>
              <w:rPr>
                <w:spacing w:val="-4"/>
                <w:sz w:val="24"/>
              </w:rPr>
              <w:t xml:space="preserve">Disability </w:t>
            </w:r>
            <w:r>
              <w:rPr>
                <w:spacing w:val="-2"/>
                <w:sz w:val="24"/>
              </w:rPr>
              <w:t>index</w:t>
            </w:r>
          </w:p>
          <w:p w14:paraId="2189A7F5" w14:textId="77777777" w:rsidR="001825E2" w:rsidRDefault="000839A5" w:rsidP="00CB00A7">
            <w:pPr>
              <w:pStyle w:val="TableParagraph"/>
              <w:spacing w:before="10" w:line="249" w:lineRule="exact"/>
              <w:jc w:val="left"/>
              <w:rPr>
                <w:sz w:val="16"/>
              </w:rPr>
            </w:pPr>
            <w:r>
              <w:rPr>
                <w:sz w:val="24"/>
              </w:rPr>
              <w:t>(HAQ-</w:t>
            </w:r>
            <w:proofErr w:type="gramStart"/>
            <w:r>
              <w:rPr>
                <w:spacing w:val="-4"/>
                <w:sz w:val="24"/>
              </w:rPr>
              <w:t>DI)</w:t>
            </w:r>
            <w:r>
              <w:rPr>
                <w:spacing w:val="-4"/>
                <w:position w:val="7"/>
                <w:sz w:val="16"/>
              </w:rPr>
              <w:t>b</w:t>
            </w:r>
            <w:proofErr w:type="gramEnd"/>
          </w:p>
        </w:tc>
        <w:tc>
          <w:tcPr>
            <w:tcW w:w="1140" w:type="dxa"/>
          </w:tcPr>
          <w:p w14:paraId="38FD28F6" w14:textId="77777777" w:rsidR="001825E2" w:rsidRDefault="000839A5" w:rsidP="00CB00A7">
            <w:pPr>
              <w:pStyle w:val="TableParagraph"/>
              <w:spacing w:before="136"/>
              <w:ind w:left="30" w:right="89"/>
              <w:jc w:val="left"/>
              <w:rPr>
                <w:sz w:val="24"/>
              </w:rPr>
            </w:pPr>
            <w:r>
              <w:rPr>
                <w:spacing w:val="-4"/>
                <w:sz w:val="24"/>
              </w:rPr>
              <w:t>1.41</w:t>
            </w:r>
          </w:p>
        </w:tc>
        <w:tc>
          <w:tcPr>
            <w:tcW w:w="960" w:type="dxa"/>
          </w:tcPr>
          <w:p w14:paraId="63193FBB" w14:textId="77777777" w:rsidR="001825E2" w:rsidRDefault="000839A5" w:rsidP="00CB00A7">
            <w:pPr>
              <w:pStyle w:val="TableParagraph"/>
              <w:spacing w:before="136"/>
              <w:ind w:left="45" w:right="15"/>
              <w:jc w:val="left"/>
              <w:rPr>
                <w:sz w:val="24"/>
              </w:rPr>
            </w:pPr>
            <w:r>
              <w:rPr>
                <w:spacing w:val="-4"/>
                <w:sz w:val="24"/>
              </w:rPr>
              <w:t>1.00</w:t>
            </w:r>
          </w:p>
        </w:tc>
        <w:tc>
          <w:tcPr>
            <w:tcW w:w="1050" w:type="dxa"/>
          </w:tcPr>
          <w:p w14:paraId="5AAEC505" w14:textId="77777777" w:rsidR="001825E2" w:rsidRDefault="000839A5" w:rsidP="00CB00A7">
            <w:pPr>
              <w:pStyle w:val="TableParagraph"/>
              <w:spacing w:before="136"/>
              <w:ind w:left="292"/>
              <w:jc w:val="left"/>
              <w:rPr>
                <w:sz w:val="24"/>
              </w:rPr>
            </w:pPr>
            <w:r>
              <w:rPr>
                <w:spacing w:val="-4"/>
                <w:sz w:val="24"/>
              </w:rPr>
              <w:t>1.31</w:t>
            </w:r>
          </w:p>
        </w:tc>
        <w:tc>
          <w:tcPr>
            <w:tcW w:w="1050" w:type="dxa"/>
          </w:tcPr>
          <w:p w14:paraId="7DC933B8" w14:textId="77777777" w:rsidR="001825E2" w:rsidRDefault="000839A5" w:rsidP="00CB00A7">
            <w:pPr>
              <w:pStyle w:val="TableParagraph"/>
              <w:spacing w:before="136"/>
              <w:ind w:left="0" w:right="89"/>
              <w:jc w:val="left"/>
              <w:rPr>
                <w:sz w:val="24"/>
              </w:rPr>
            </w:pPr>
            <w:r>
              <w:rPr>
                <w:spacing w:val="-4"/>
                <w:sz w:val="24"/>
              </w:rPr>
              <w:t>1.19</w:t>
            </w:r>
          </w:p>
        </w:tc>
        <w:tc>
          <w:tcPr>
            <w:tcW w:w="1185" w:type="dxa"/>
          </w:tcPr>
          <w:p w14:paraId="2AD2110E" w14:textId="77777777" w:rsidR="001825E2" w:rsidRDefault="000839A5" w:rsidP="00CB00A7">
            <w:pPr>
              <w:pStyle w:val="TableParagraph"/>
              <w:spacing w:before="136"/>
              <w:ind w:left="14" w:right="26"/>
              <w:jc w:val="left"/>
              <w:rPr>
                <w:sz w:val="24"/>
              </w:rPr>
            </w:pPr>
            <w:r>
              <w:rPr>
                <w:spacing w:val="-4"/>
                <w:sz w:val="24"/>
              </w:rPr>
              <w:t>1.60</w:t>
            </w:r>
          </w:p>
        </w:tc>
        <w:tc>
          <w:tcPr>
            <w:tcW w:w="990" w:type="dxa"/>
          </w:tcPr>
          <w:p w14:paraId="57E51FA0" w14:textId="77777777" w:rsidR="001825E2" w:rsidRDefault="000839A5" w:rsidP="00CB00A7">
            <w:pPr>
              <w:pStyle w:val="TableParagraph"/>
              <w:spacing w:before="136"/>
              <w:ind w:left="322"/>
              <w:jc w:val="left"/>
              <w:rPr>
                <w:sz w:val="24"/>
              </w:rPr>
            </w:pPr>
            <w:r>
              <w:rPr>
                <w:spacing w:val="-4"/>
                <w:sz w:val="24"/>
              </w:rPr>
              <w:t>1.20</w:t>
            </w:r>
          </w:p>
        </w:tc>
        <w:tc>
          <w:tcPr>
            <w:tcW w:w="1140" w:type="dxa"/>
          </w:tcPr>
          <w:p w14:paraId="0BFB194A" w14:textId="77777777" w:rsidR="001825E2" w:rsidRDefault="000839A5" w:rsidP="00CB00A7">
            <w:pPr>
              <w:pStyle w:val="TableParagraph"/>
              <w:spacing w:before="136"/>
              <w:ind w:left="30"/>
              <w:jc w:val="left"/>
              <w:rPr>
                <w:sz w:val="24"/>
              </w:rPr>
            </w:pPr>
            <w:r>
              <w:rPr>
                <w:spacing w:val="-4"/>
                <w:sz w:val="24"/>
              </w:rPr>
              <w:t>1.63</w:t>
            </w:r>
          </w:p>
        </w:tc>
        <w:tc>
          <w:tcPr>
            <w:tcW w:w="870" w:type="dxa"/>
          </w:tcPr>
          <w:p w14:paraId="3B05EF65" w14:textId="77777777" w:rsidR="001825E2" w:rsidRDefault="000839A5" w:rsidP="00CB00A7">
            <w:pPr>
              <w:pStyle w:val="TableParagraph"/>
              <w:spacing w:before="136"/>
              <w:ind w:left="0"/>
              <w:jc w:val="left"/>
              <w:rPr>
                <w:sz w:val="24"/>
              </w:rPr>
            </w:pPr>
            <w:r>
              <w:rPr>
                <w:spacing w:val="-4"/>
                <w:sz w:val="24"/>
              </w:rPr>
              <w:t>1.44</w:t>
            </w:r>
          </w:p>
        </w:tc>
      </w:tr>
      <w:tr w:rsidR="001825E2" w14:paraId="046C9A44" w14:textId="77777777">
        <w:trPr>
          <w:trHeight w:val="825"/>
        </w:trPr>
        <w:tc>
          <w:tcPr>
            <w:tcW w:w="1380" w:type="dxa"/>
          </w:tcPr>
          <w:p w14:paraId="23D85CB6" w14:textId="77777777" w:rsidR="001825E2" w:rsidRDefault="000839A5" w:rsidP="00CB00A7">
            <w:pPr>
              <w:pStyle w:val="TableParagraph"/>
              <w:spacing w:before="5" w:line="235" w:lineRule="auto"/>
              <w:ind w:left="97" w:right="131" w:firstLine="15"/>
              <w:jc w:val="left"/>
              <w:rPr>
                <w:sz w:val="24"/>
              </w:rPr>
            </w:pPr>
            <w:r>
              <w:rPr>
                <w:spacing w:val="-4"/>
                <w:sz w:val="24"/>
              </w:rPr>
              <w:t xml:space="preserve">Physician </w:t>
            </w:r>
            <w:r>
              <w:rPr>
                <w:spacing w:val="-2"/>
                <w:sz w:val="24"/>
              </w:rPr>
              <w:t>global</w:t>
            </w:r>
          </w:p>
          <w:p w14:paraId="3E6983DD" w14:textId="77777777" w:rsidR="001825E2" w:rsidRDefault="000839A5" w:rsidP="00CB00A7">
            <w:pPr>
              <w:pStyle w:val="TableParagraph"/>
              <w:spacing w:before="10" w:line="249" w:lineRule="exact"/>
              <w:ind w:left="97"/>
              <w:jc w:val="left"/>
              <w:rPr>
                <w:sz w:val="16"/>
              </w:rPr>
            </w:pPr>
            <w:r>
              <w:rPr>
                <w:spacing w:val="-2"/>
                <w:sz w:val="24"/>
              </w:rPr>
              <w:t>assessment</w:t>
            </w:r>
            <w:r>
              <w:rPr>
                <w:spacing w:val="-2"/>
                <w:position w:val="7"/>
                <w:sz w:val="16"/>
              </w:rPr>
              <w:t>a</w:t>
            </w:r>
          </w:p>
        </w:tc>
        <w:tc>
          <w:tcPr>
            <w:tcW w:w="1140" w:type="dxa"/>
          </w:tcPr>
          <w:p w14:paraId="70F495A4" w14:textId="77777777" w:rsidR="001825E2" w:rsidRDefault="000839A5" w:rsidP="00CB00A7">
            <w:pPr>
              <w:pStyle w:val="TableParagraph"/>
              <w:spacing w:before="136"/>
              <w:ind w:left="30" w:right="89"/>
              <w:jc w:val="left"/>
              <w:rPr>
                <w:sz w:val="24"/>
              </w:rPr>
            </w:pPr>
            <w:r>
              <w:rPr>
                <w:spacing w:val="-5"/>
                <w:sz w:val="24"/>
              </w:rPr>
              <w:t>59</w:t>
            </w:r>
          </w:p>
        </w:tc>
        <w:tc>
          <w:tcPr>
            <w:tcW w:w="960" w:type="dxa"/>
          </w:tcPr>
          <w:p w14:paraId="721DA50B" w14:textId="77777777" w:rsidR="001825E2" w:rsidRDefault="000839A5" w:rsidP="00CB00A7">
            <w:pPr>
              <w:pStyle w:val="TableParagraph"/>
              <w:spacing w:before="136"/>
              <w:ind w:left="45" w:right="16"/>
              <w:jc w:val="left"/>
              <w:rPr>
                <w:sz w:val="24"/>
              </w:rPr>
            </w:pPr>
            <w:r>
              <w:rPr>
                <w:spacing w:val="-5"/>
                <w:sz w:val="24"/>
              </w:rPr>
              <w:t>30</w:t>
            </w:r>
          </w:p>
        </w:tc>
        <w:tc>
          <w:tcPr>
            <w:tcW w:w="1050" w:type="dxa"/>
          </w:tcPr>
          <w:p w14:paraId="7651898F" w14:textId="77777777" w:rsidR="001825E2" w:rsidRDefault="000839A5" w:rsidP="00CB00A7">
            <w:pPr>
              <w:pStyle w:val="TableParagraph"/>
              <w:spacing w:before="136"/>
              <w:ind w:left="61" w:right="89"/>
              <w:jc w:val="left"/>
              <w:rPr>
                <w:sz w:val="24"/>
              </w:rPr>
            </w:pPr>
            <w:r>
              <w:rPr>
                <w:spacing w:val="-5"/>
                <w:sz w:val="24"/>
              </w:rPr>
              <w:t>56</w:t>
            </w:r>
          </w:p>
        </w:tc>
        <w:tc>
          <w:tcPr>
            <w:tcW w:w="1050" w:type="dxa"/>
          </w:tcPr>
          <w:p w14:paraId="311728D0" w14:textId="77777777" w:rsidR="001825E2" w:rsidRDefault="000839A5" w:rsidP="00CB00A7">
            <w:pPr>
              <w:pStyle w:val="TableParagraph"/>
              <w:spacing w:before="136"/>
              <w:ind w:left="0" w:right="88"/>
              <w:jc w:val="left"/>
              <w:rPr>
                <w:sz w:val="24"/>
              </w:rPr>
            </w:pPr>
            <w:r>
              <w:rPr>
                <w:spacing w:val="-5"/>
                <w:sz w:val="24"/>
              </w:rPr>
              <w:t>43</w:t>
            </w:r>
          </w:p>
        </w:tc>
        <w:tc>
          <w:tcPr>
            <w:tcW w:w="1185" w:type="dxa"/>
          </w:tcPr>
          <w:p w14:paraId="608582C3" w14:textId="77777777" w:rsidR="001825E2" w:rsidRDefault="000839A5" w:rsidP="00CB00A7">
            <w:pPr>
              <w:pStyle w:val="TableParagraph"/>
              <w:spacing w:before="136"/>
              <w:ind w:left="13" w:right="26"/>
              <w:jc w:val="left"/>
              <w:rPr>
                <w:sz w:val="24"/>
              </w:rPr>
            </w:pPr>
            <w:r>
              <w:rPr>
                <w:spacing w:val="-5"/>
                <w:sz w:val="24"/>
              </w:rPr>
              <w:t>65</w:t>
            </w:r>
          </w:p>
        </w:tc>
        <w:tc>
          <w:tcPr>
            <w:tcW w:w="990" w:type="dxa"/>
          </w:tcPr>
          <w:p w14:paraId="7CF64C73" w14:textId="77777777" w:rsidR="001825E2" w:rsidRDefault="000839A5" w:rsidP="00CB00A7">
            <w:pPr>
              <w:pStyle w:val="TableParagraph"/>
              <w:spacing w:before="136"/>
              <w:ind w:left="412"/>
              <w:jc w:val="left"/>
              <w:rPr>
                <w:sz w:val="24"/>
              </w:rPr>
            </w:pPr>
            <w:r>
              <w:rPr>
                <w:spacing w:val="-5"/>
                <w:sz w:val="24"/>
              </w:rPr>
              <w:t>35</w:t>
            </w:r>
          </w:p>
        </w:tc>
        <w:tc>
          <w:tcPr>
            <w:tcW w:w="1140" w:type="dxa"/>
          </w:tcPr>
          <w:p w14:paraId="0FDFE146" w14:textId="77777777" w:rsidR="001825E2" w:rsidRDefault="000839A5" w:rsidP="00CB00A7">
            <w:pPr>
              <w:pStyle w:val="TableParagraph"/>
              <w:spacing w:before="136"/>
              <w:ind w:left="29"/>
              <w:jc w:val="left"/>
              <w:rPr>
                <w:sz w:val="24"/>
              </w:rPr>
            </w:pPr>
            <w:r>
              <w:rPr>
                <w:spacing w:val="-5"/>
                <w:sz w:val="24"/>
              </w:rPr>
              <w:t>64</w:t>
            </w:r>
          </w:p>
        </w:tc>
        <w:tc>
          <w:tcPr>
            <w:tcW w:w="870" w:type="dxa"/>
          </w:tcPr>
          <w:p w14:paraId="1AD1F9E6" w14:textId="77777777" w:rsidR="001825E2" w:rsidRDefault="000839A5" w:rsidP="00CB00A7">
            <w:pPr>
              <w:pStyle w:val="TableParagraph"/>
              <w:spacing w:before="136"/>
              <w:ind w:left="0"/>
              <w:jc w:val="left"/>
              <w:rPr>
                <w:sz w:val="24"/>
              </w:rPr>
            </w:pPr>
            <w:r>
              <w:rPr>
                <w:spacing w:val="-5"/>
                <w:sz w:val="24"/>
              </w:rPr>
              <w:t>44</w:t>
            </w:r>
          </w:p>
        </w:tc>
      </w:tr>
      <w:tr w:rsidR="001825E2" w14:paraId="4C862ADC" w14:textId="77777777">
        <w:trPr>
          <w:trHeight w:val="540"/>
        </w:trPr>
        <w:tc>
          <w:tcPr>
            <w:tcW w:w="1380" w:type="dxa"/>
          </w:tcPr>
          <w:p w14:paraId="5566CE89" w14:textId="77777777" w:rsidR="001825E2" w:rsidRDefault="000839A5" w:rsidP="00CB00A7">
            <w:pPr>
              <w:pStyle w:val="TableParagraph"/>
              <w:spacing w:before="1" w:line="273" w:lineRule="exact"/>
              <w:jc w:val="left"/>
              <w:rPr>
                <w:sz w:val="24"/>
              </w:rPr>
            </w:pPr>
            <w:r>
              <w:rPr>
                <w:spacing w:val="-5"/>
                <w:sz w:val="24"/>
              </w:rPr>
              <w:t>CRP</w:t>
            </w:r>
          </w:p>
          <w:p w14:paraId="640E4192" w14:textId="77777777" w:rsidR="001825E2" w:rsidRDefault="000839A5" w:rsidP="00CB00A7">
            <w:pPr>
              <w:pStyle w:val="TableParagraph"/>
              <w:spacing w:line="246" w:lineRule="exact"/>
              <w:ind w:left="97"/>
              <w:jc w:val="left"/>
              <w:rPr>
                <w:sz w:val="24"/>
              </w:rPr>
            </w:pPr>
            <w:r>
              <w:rPr>
                <w:spacing w:val="-2"/>
                <w:sz w:val="24"/>
              </w:rPr>
              <w:t>(mg/L)</w:t>
            </w:r>
          </w:p>
        </w:tc>
        <w:tc>
          <w:tcPr>
            <w:tcW w:w="1140" w:type="dxa"/>
          </w:tcPr>
          <w:p w14:paraId="11F67C26" w14:textId="77777777" w:rsidR="001825E2" w:rsidRDefault="000839A5" w:rsidP="00CB00A7">
            <w:pPr>
              <w:pStyle w:val="TableParagraph"/>
              <w:spacing w:before="1"/>
              <w:ind w:left="30" w:right="89"/>
              <w:jc w:val="left"/>
              <w:rPr>
                <w:sz w:val="24"/>
              </w:rPr>
            </w:pPr>
            <w:r>
              <w:rPr>
                <w:spacing w:val="-4"/>
                <w:sz w:val="24"/>
              </w:rPr>
              <w:t>15.5</w:t>
            </w:r>
          </w:p>
        </w:tc>
        <w:tc>
          <w:tcPr>
            <w:tcW w:w="960" w:type="dxa"/>
          </w:tcPr>
          <w:p w14:paraId="380565D1" w14:textId="77777777" w:rsidR="001825E2" w:rsidRDefault="000839A5" w:rsidP="00CB00A7">
            <w:pPr>
              <w:pStyle w:val="TableParagraph"/>
              <w:spacing w:before="1"/>
              <w:ind w:left="45" w:right="15"/>
              <w:jc w:val="left"/>
              <w:rPr>
                <w:sz w:val="24"/>
              </w:rPr>
            </w:pPr>
            <w:r>
              <w:rPr>
                <w:spacing w:val="-5"/>
                <w:sz w:val="24"/>
              </w:rPr>
              <w:t>6.9</w:t>
            </w:r>
          </w:p>
        </w:tc>
        <w:tc>
          <w:tcPr>
            <w:tcW w:w="1050" w:type="dxa"/>
          </w:tcPr>
          <w:p w14:paraId="421FDC9D" w14:textId="77777777" w:rsidR="001825E2" w:rsidRDefault="000839A5" w:rsidP="00CB00A7">
            <w:pPr>
              <w:pStyle w:val="TableParagraph"/>
              <w:spacing w:before="1"/>
              <w:ind w:left="292"/>
              <w:jc w:val="left"/>
              <w:rPr>
                <w:sz w:val="24"/>
              </w:rPr>
            </w:pPr>
            <w:r>
              <w:rPr>
                <w:spacing w:val="-4"/>
                <w:sz w:val="24"/>
              </w:rPr>
              <w:t>13.7</w:t>
            </w:r>
          </w:p>
        </w:tc>
        <w:tc>
          <w:tcPr>
            <w:tcW w:w="1050" w:type="dxa"/>
          </w:tcPr>
          <w:p w14:paraId="5B5F5D22" w14:textId="77777777" w:rsidR="001825E2" w:rsidRDefault="000839A5" w:rsidP="00CB00A7">
            <w:pPr>
              <w:pStyle w:val="TableParagraph"/>
              <w:spacing w:before="1"/>
              <w:ind w:left="0" w:right="89"/>
              <w:jc w:val="left"/>
              <w:rPr>
                <w:sz w:val="24"/>
              </w:rPr>
            </w:pPr>
            <w:r>
              <w:rPr>
                <w:spacing w:val="-4"/>
                <w:sz w:val="24"/>
              </w:rPr>
              <w:t>14.6</w:t>
            </w:r>
          </w:p>
        </w:tc>
        <w:tc>
          <w:tcPr>
            <w:tcW w:w="1185" w:type="dxa"/>
          </w:tcPr>
          <w:p w14:paraId="7484C2FB" w14:textId="77777777" w:rsidR="001825E2" w:rsidRDefault="000839A5" w:rsidP="00CB00A7">
            <w:pPr>
              <w:pStyle w:val="TableParagraph"/>
              <w:spacing w:before="1"/>
              <w:ind w:left="12" w:right="26"/>
              <w:jc w:val="left"/>
              <w:rPr>
                <w:sz w:val="24"/>
              </w:rPr>
            </w:pPr>
            <w:r>
              <w:rPr>
                <w:spacing w:val="-4"/>
                <w:sz w:val="24"/>
              </w:rPr>
              <w:t>19.3</w:t>
            </w:r>
          </w:p>
        </w:tc>
        <w:tc>
          <w:tcPr>
            <w:tcW w:w="990" w:type="dxa"/>
          </w:tcPr>
          <w:p w14:paraId="24390B06" w14:textId="77777777" w:rsidR="001825E2" w:rsidRDefault="000839A5" w:rsidP="00CB00A7">
            <w:pPr>
              <w:pStyle w:val="TableParagraph"/>
              <w:spacing w:before="1"/>
              <w:ind w:left="382"/>
              <w:jc w:val="left"/>
              <w:rPr>
                <w:sz w:val="24"/>
              </w:rPr>
            </w:pPr>
            <w:r>
              <w:rPr>
                <w:spacing w:val="-5"/>
                <w:sz w:val="24"/>
              </w:rPr>
              <w:t>6.2</w:t>
            </w:r>
          </w:p>
        </w:tc>
        <w:tc>
          <w:tcPr>
            <w:tcW w:w="1140" w:type="dxa"/>
          </w:tcPr>
          <w:p w14:paraId="3B68B820" w14:textId="77777777" w:rsidR="001825E2" w:rsidRDefault="000839A5" w:rsidP="00CB00A7">
            <w:pPr>
              <w:pStyle w:val="TableParagraph"/>
              <w:spacing w:before="1"/>
              <w:ind w:left="30"/>
              <w:jc w:val="left"/>
              <w:rPr>
                <w:sz w:val="24"/>
              </w:rPr>
            </w:pPr>
            <w:r>
              <w:rPr>
                <w:spacing w:val="-4"/>
                <w:sz w:val="24"/>
              </w:rPr>
              <w:t>16.7</w:t>
            </w:r>
          </w:p>
        </w:tc>
        <w:tc>
          <w:tcPr>
            <w:tcW w:w="870" w:type="dxa"/>
          </w:tcPr>
          <w:p w14:paraId="3B6C8063" w14:textId="77777777" w:rsidR="001825E2" w:rsidRDefault="000839A5" w:rsidP="00CB00A7">
            <w:pPr>
              <w:pStyle w:val="TableParagraph"/>
              <w:spacing w:before="1"/>
              <w:ind w:left="0"/>
              <w:jc w:val="left"/>
              <w:rPr>
                <w:sz w:val="24"/>
              </w:rPr>
            </w:pPr>
            <w:r>
              <w:rPr>
                <w:spacing w:val="-4"/>
                <w:sz w:val="24"/>
              </w:rPr>
              <w:t>18.2</w:t>
            </w:r>
          </w:p>
        </w:tc>
      </w:tr>
    </w:tbl>
    <w:p w14:paraId="52270C0B" w14:textId="77777777" w:rsidR="001825E2" w:rsidRDefault="000839A5" w:rsidP="00CB00A7">
      <w:pPr>
        <w:ind w:left="220"/>
        <w:rPr>
          <w:sz w:val="18"/>
        </w:rPr>
      </w:pPr>
      <w:r>
        <w:rPr>
          <w:sz w:val="18"/>
        </w:rPr>
        <w:t>Abbreviations:</w:t>
      </w:r>
      <w:r>
        <w:rPr>
          <w:spacing w:val="-12"/>
          <w:sz w:val="18"/>
        </w:rPr>
        <w:t xml:space="preserve"> </w:t>
      </w:r>
      <w:r>
        <w:rPr>
          <w:sz w:val="18"/>
        </w:rPr>
        <w:t>MTX=methotrexate;</w:t>
      </w:r>
      <w:r>
        <w:rPr>
          <w:spacing w:val="14"/>
          <w:sz w:val="18"/>
        </w:rPr>
        <w:t xml:space="preserve"> </w:t>
      </w:r>
      <w:r>
        <w:rPr>
          <w:sz w:val="18"/>
        </w:rPr>
        <w:t>TNF=</w:t>
      </w:r>
      <w:proofErr w:type="spellStart"/>
      <w:r>
        <w:rPr>
          <w:sz w:val="18"/>
        </w:rPr>
        <w:t>tumour</w:t>
      </w:r>
      <w:proofErr w:type="spellEnd"/>
      <w:r>
        <w:rPr>
          <w:spacing w:val="-12"/>
          <w:sz w:val="18"/>
        </w:rPr>
        <w:t xml:space="preserve"> </w:t>
      </w:r>
      <w:r>
        <w:rPr>
          <w:sz w:val="18"/>
        </w:rPr>
        <w:t>necrosis</w:t>
      </w:r>
      <w:r>
        <w:rPr>
          <w:spacing w:val="-10"/>
          <w:sz w:val="18"/>
        </w:rPr>
        <w:t xml:space="preserve"> </w:t>
      </w:r>
      <w:r>
        <w:rPr>
          <w:sz w:val="18"/>
        </w:rPr>
        <w:t>factor;</w:t>
      </w:r>
      <w:r>
        <w:rPr>
          <w:spacing w:val="3"/>
          <w:sz w:val="18"/>
        </w:rPr>
        <w:t xml:space="preserve"> </w:t>
      </w:r>
      <w:r>
        <w:rPr>
          <w:sz w:val="18"/>
        </w:rPr>
        <w:t>CRP=C-reactive</w:t>
      </w:r>
      <w:r>
        <w:rPr>
          <w:spacing w:val="-6"/>
          <w:sz w:val="18"/>
        </w:rPr>
        <w:t xml:space="preserve"> </w:t>
      </w:r>
      <w:r>
        <w:rPr>
          <w:spacing w:val="-2"/>
          <w:sz w:val="18"/>
        </w:rPr>
        <w:t>protein.</w:t>
      </w:r>
    </w:p>
    <w:p w14:paraId="3F05DED5" w14:textId="77777777" w:rsidR="001825E2" w:rsidRDefault="000839A5" w:rsidP="00CB00A7">
      <w:pPr>
        <w:spacing w:before="4"/>
        <w:ind w:left="220"/>
        <w:rPr>
          <w:sz w:val="19"/>
        </w:rPr>
      </w:pPr>
      <w:r>
        <w:rPr>
          <w:position w:val="6"/>
          <w:sz w:val="13"/>
        </w:rPr>
        <w:t>a</w:t>
      </w:r>
      <w:r>
        <w:rPr>
          <w:sz w:val="19"/>
        </w:rPr>
        <w:t>Visual</w:t>
      </w:r>
      <w:r>
        <w:rPr>
          <w:spacing w:val="22"/>
          <w:sz w:val="19"/>
        </w:rPr>
        <w:t xml:space="preserve"> </w:t>
      </w:r>
      <w:r>
        <w:rPr>
          <w:sz w:val="19"/>
        </w:rPr>
        <w:t>analog</w:t>
      </w:r>
      <w:r>
        <w:rPr>
          <w:spacing w:val="-17"/>
          <w:sz w:val="19"/>
        </w:rPr>
        <w:t xml:space="preserve"> </w:t>
      </w:r>
      <w:r>
        <w:rPr>
          <w:sz w:val="19"/>
        </w:rPr>
        <w:t>scale:</w:t>
      </w:r>
      <w:r>
        <w:rPr>
          <w:spacing w:val="23"/>
          <w:sz w:val="19"/>
        </w:rPr>
        <w:t xml:space="preserve"> </w:t>
      </w:r>
      <w:r>
        <w:rPr>
          <w:sz w:val="19"/>
        </w:rPr>
        <w:t>0</w:t>
      </w:r>
      <w:r>
        <w:rPr>
          <w:spacing w:val="25"/>
          <w:sz w:val="19"/>
        </w:rPr>
        <w:t xml:space="preserve"> </w:t>
      </w:r>
      <w:r>
        <w:rPr>
          <w:sz w:val="19"/>
        </w:rPr>
        <w:t>=</w:t>
      </w:r>
      <w:r>
        <w:rPr>
          <w:spacing w:val="7"/>
          <w:sz w:val="19"/>
        </w:rPr>
        <w:t xml:space="preserve"> </w:t>
      </w:r>
      <w:r>
        <w:rPr>
          <w:sz w:val="19"/>
        </w:rPr>
        <w:t>best,</w:t>
      </w:r>
      <w:r>
        <w:rPr>
          <w:spacing w:val="29"/>
          <w:sz w:val="19"/>
        </w:rPr>
        <w:t xml:space="preserve"> </w:t>
      </w:r>
      <w:r>
        <w:rPr>
          <w:sz w:val="19"/>
        </w:rPr>
        <w:t>100</w:t>
      </w:r>
      <w:r>
        <w:rPr>
          <w:spacing w:val="4"/>
          <w:sz w:val="19"/>
        </w:rPr>
        <w:t xml:space="preserve"> </w:t>
      </w:r>
      <w:r>
        <w:rPr>
          <w:sz w:val="19"/>
        </w:rPr>
        <w:t>=</w:t>
      </w:r>
      <w:r>
        <w:rPr>
          <w:spacing w:val="28"/>
          <w:sz w:val="19"/>
        </w:rPr>
        <w:t xml:space="preserve"> </w:t>
      </w:r>
      <w:r>
        <w:rPr>
          <w:spacing w:val="-4"/>
          <w:sz w:val="19"/>
        </w:rPr>
        <w:t>worst</w:t>
      </w:r>
    </w:p>
    <w:p w14:paraId="5F426D3D" w14:textId="77777777" w:rsidR="001825E2" w:rsidRDefault="000839A5" w:rsidP="00CB00A7">
      <w:pPr>
        <w:spacing w:before="3" w:line="264" w:lineRule="auto"/>
        <w:ind w:left="220" w:hanging="1"/>
        <w:rPr>
          <w:sz w:val="19"/>
        </w:rPr>
      </w:pPr>
      <w:r>
        <w:rPr>
          <w:position w:val="6"/>
          <w:sz w:val="13"/>
        </w:rPr>
        <w:t>b</w:t>
      </w:r>
      <w:r>
        <w:rPr>
          <w:sz w:val="19"/>
        </w:rPr>
        <w:t>Health</w:t>
      </w:r>
      <w:r>
        <w:rPr>
          <w:spacing w:val="76"/>
          <w:sz w:val="19"/>
        </w:rPr>
        <w:t xml:space="preserve"> </w:t>
      </w:r>
      <w:r>
        <w:rPr>
          <w:sz w:val="19"/>
        </w:rPr>
        <w:t>Assessment</w:t>
      </w:r>
      <w:r>
        <w:rPr>
          <w:spacing w:val="74"/>
          <w:sz w:val="19"/>
        </w:rPr>
        <w:t xml:space="preserve"> </w:t>
      </w:r>
      <w:r>
        <w:rPr>
          <w:sz w:val="19"/>
        </w:rPr>
        <w:t>Questionnaire</w:t>
      </w:r>
      <w:r>
        <w:rPr>
          <w:spacing w:val="71"/>
          <w:sz w:val="19"/>
        </w:rPr>
        <w:t xml:space="preserve"> </w:t>
      </w:r>
      <w:r>
        <w:rPr>
          <w:sz w:val="19"/>
        </w:rPr>
        <w:t>Disability</w:t>
      </w:r>
      <w:r>
        <w:rPr>
          <w:spacing w:val="76"/>
          <w:sz w:val="19"/>
        </w:rPr>
        <w:t xml:space="preserve"> </w:t>
      </w:r>
      <w:r>
        <w:rPr>
          <w:sz w:val="19"/>
        </w:rPr>
        <w:t>Index:</w:t>
      </w:r>
      <w:r>
        <w:rPr>
          <w:spacing w:val="74"/>
          <w:sz w:val="19"/>
        </w:rPr>
        <w:t xml:space="preserve"> </w:t>
      </w:r>
      <w:r>
        <w:rPr>
          <w:sz w:val="19"/>
        </w:rPr>
        <w:t>0</w:t>
      </w:r>
      <w:r>
        <w:rPr>
          <w:spacing w:val="76"/>
          <w:sz w:val="19"/>
        </w:rPr>
        <w:t xml:space="preserve"> </w:t>
      </w:r>
      <w:r>
        <w:rPr>
          <w:sz w:val="19"/>
        </w:rPr>
        <w:t>=</w:t>
      </w:r>
      <w:r>
        <w:rPr>
          <w:spacing w:val="60"/>
          <w:sz w:val="19"/>
        </w:rPr>
        <w:t xml:space="preserve"> </w:t>
      </w:r>
      <w:r>
        <w:rPr>
          <w:sz w:val="19"/>
        </w:rPr>
        <w:t>best,</w:t>
      </w:r>
      <w:r>
        <w:rPr>
          <w:spacing w:val="62"/>
          <w:sz w:val="19"/>
        </w:rPr>
        <w:t xml:space="preserve"> </w:t>
      </w:r>
      <w:r>
        <w:rPr>
          <w:sz w:val="19"/>
        </w:rPr>
        <w:t>3</w:t>
      </w:r>
      <w:r>
        <w:rPr>
          <w:spacing w:val="80"/>
          <w:sz w:val="19"/>
        </w:rPr>
        <w:t xml:space="preserve"> </w:t>
      </w:r>
      <w:r>
        <w:rPr>
          <w:sz w:val="19"/>
        </w:rPr>
        <w:t>=</w:t>
      </w:r>
      <w:r>
        <w:rPr>
          <w:spacing w:val="80"/>
          <w:sz w:val="19"/>
        </w:rPr>
        <w:t xml:space="preserve"> </w:t>
      </w:r>
      <w:r>
        <w:rPr>
          <w:sz w:val="19"/>
        </w:rPr>
        <w:t>worst;</w:t>
      </w:r>
      <w:r>
        <w:rPr>
          <w:spacing w:val="74"/>
          <w:sz w:val="19"/>
        </w:rPr>
        <w:t xml:space="preserve"> </w:t>
      </w:r>
      <w:r>
        <w:rPr>
          <w:sz w:val="19"/>
        </w:rPr>
        <w:t>20</w:t>
      </w:r>
      <w:r>
        <w:rPr>
          <w:spacing w:val="76"/>
          <w:sz w:val="19"/>
        </w:rPr>
        <w:t xml:space="preserve"> </w:t>
      </w:r>
      <w:r>
        <w:rPr>
          <w:sz w:val="19"/>
        </w:rPr>
        <w:t>questions;</w:t>
      </w:r>
      <w:r>
        <w:rPr>
          <w:spacing w:val="74"/>
          <w:sz w:val="19"/>
        </w:rPr>
        <w:t xml:space="preserve"> </w:t>
      </w:r>
      <w:r>
        <w:rPr>
          <w:sz w:val="19"/>
        </w:rPr>
        <w:t>categories:</w:t>
      </w:r>
      <w:r>
        <w:rPr>
          <w:spacing w:val="74"/>
          <w:sz w:val="19"/>
        </w:rPr>
        <w:t xml:space="preserve"> </w:t>
      </w:r>
      <w:r>
        <w:rPr>
          <w:sz w:val="19"/>
        </w:rPr>
        <w:t>dressing</w:t>
      </w:r>
      <w:r>
        <w:rPr>
          <w:spacing w:val="40"/>
          <w:sz w:val="19"/>
        </w:rPr>
        <w:t xml:space="preserve"> </w:t>
      </w:r>
      <w:r>
        <w:rPr>
          <w:sz w:val="19"/>
        </w:rPr>
        <w:t>and grooming,</w:t>
      </w:r>
      <w:r>
        <w:rPr>
          <w:spacing w:val="40"/>
          <w:sz w:val="19"/>
        </w:rPr>
        <w:t xml:space="preserve"> </w:t>
      </w:r>
      <w:r>
        <w:rPr>
          <w:sz w:val="19"/>
        </w:rPr>
        <w:t>arising,</w:t>
      </w:r>
      <w:r>
        <w:rPr>
          <w:spacing w:val="40"/>
          <w:sz w:val="19"/>
        </w:rPr>
        <w:t xml:space="preserve"> </w:t>
      </w:r>
      <w:r>
        <w:rPr>
          <w:sz w:val="19"/>
        </w:rPr>
        <w:t>eating, walking,</w:t>
      </w:r>
      <w:r>
        <w:rPr>
          <w:spacing w:val="40"/>
          <w:sz w:val="19"/>
        </w:rPr>
        <w:t xml:space="preserve"> </w:t>
      </w:r>
      <w:r>
        <w:rPr>
          <w:sz w:val="19"/>
        </w:rPr>
        <w:t>hygiene,</w:t>
      </w:r>
      <w:r>
        <w:rPr>
          <w:spacing w:val="40"/>
          <w:sz w:val="19"/>
        </w:rPr>
        <w:t xml:space="preserve"> </w:t>
      </w:r>
      <w:r>
        <w:rPr>
          <w:sz w:val="19"/>
        </w:rPr>
        <w:t>reach, grip,</w:t>
      </w:r>
      <w:r>
        <w:rPr>
          <w:spacing w:val="40"/>
          <w:sz w:val="19"/>
        </w:rPr>
        <w:t xml:space="preserve"> </w:t>
      </w:r>
      <w:r>
        <w:rPr>
          <w:sz w:val="19"/>
        </w:rPr>
        <w:t>and activities.</w:t>
      </w:r>
    </w:p>
    <w:p w14:paraId="1265B187" w14:textId="77777777" w:rsidR="001825E2" w:rsidRDefault="000839A5" w:rsidP="00CB00A7">
      <w:pPr>
        <w:pStyle w:val="BodyText"/>
        <w:spacing w:before="208" w:line="247" w:lineRule="auto"/>
        <w:ind w:left="220" w:right="745"/>
        <w:jc w:val="left"/>
      </w:pPr>
      <w:r>
        <w:t>The</w:t>
      </w:r>
      <w:r>
        <w:rPr>
          <w:spacing w:val="40"/>
        </w:rPr>
        <w:t xml:space="preserve"> </w:t>
      </w:r>
      <w:r>
        <w:t>percent</w:t>
      </w:r>
      <w:r>
        <w:rPr>
          <w:spacing w:val="69"/>
        </w:rPr>
        <w:t xml:space="preserve"> </w:t>
      </w:r>
      <w:r>
        <w:t>of</w:t>
      </w:r>
      <w:r>
        <w:rPr>
          <w:spacing w:val="71"/>
        </w:rPr>
        <w:t xml:space="preserve"> </w:t>
      </w:r>
      <w:r>
        <w:t>ACR20</w:t>
      </w:r>
      <w:r>
        <w:rPr>
          <w:spacing w:val="40"/>
        </w:rPr>
        <w:t xml:space="preserve"> </w:t>
      </w:r>
      <w:r>
        <w:t>responders</w:t>
      </w:r>
      <w:r>
        <w:rPr>
          <w:spacing w:val="40"/>
        </w:rPr>
        <w:t xml:space="preserve"> </w:t>
      </w:r>
      <w:r>
        <w:t>by</w:t>
      </w:r>
      <w:r>
        <w:rPr>
          <w:spacing w:val="40"/>
        </w:rPr>
        <w:t xml:space="preserve"> </w:t>
      </w:r>
      <w:r>
        <w:t>visit</w:t>
      </w:r>
      <w:r>
        <w:rPr>
          <w:spacing w:val="69"/>
        </w:rPr>
        <w:t xml:space="preserve"> </w:t>
      </w:r>
      <w:r>
        <w:t>for</w:t>
      </w:r>
      <w:r>
        <w:rPr>
          <w:spacing w:val="40"/>
        </w:rPr>
        <w:t xml:space="preserve"> </w:t>
      </w:r>
      <w:r>
        <w:t>Study</w:t>
      </w:r>
      <w:r>
        <w:rPr>
          <w:spacing w:val="-15"/>
        </w:rPr>
        <w:t xml:space="preserve"> </w:t>
      </w:r>
      <w:r>
        <w:t>IV</w:t>
      </w:r>
      <w:r>
        <w:rPr>
          <w:spacing w:val="67"/>
        </w:rPr>
        <w:t xml:space="preserve"> </w:t>
      </w:r>
      <w:r>
        <w:t>is</w:t>
      </w:r>
      <w:r>
        <w:rPr>
          <w:spacing w:val="40"/>
        </w:rPr>
        <w:t xml:space="preserve"> </w:t>
      </w:r>
      <w:r>
        <w:t>shown</w:t>
      </w:r>
      <w:r>
        <w:rPr>
          <w:spacing w:val="40"/>
        </w:rPr>
        <w:t xml:space="preserve"> </w:t>
      </w:r>
      <w:r>
        <w:t>in</w:t>
      </w:r>
      <w:r>
        <w:rPr>
          <w:spacing w:val="40"/>
        </w:rPr>
        <w:t xml:space="preserve"> </w:t>
      </w:r>
      <w:r>
        <w:t>Figure</w:t>
      </w:r>
      <w:r>
        <w:rPr>
          <w:spacing w:val="-2"/>
        </w:rPr>
        <w:t xml:space="preserve"> </w:t>
      </w:r>
      <w:r>
        <w:t>3.</w:t>
      </w:r>
      <w:r>
        <w:rPr>
          <w:spacing w:val="40"/>
        </w:rPr>
        <w:t xml:space="preserve"> </w:t>
      </w:r>
      <w:r>
        <w:t>Similar responses were observed in Studies</w:t>
      </w:r>
      <w:r>
        <w:rPr>
          <w:spacing w:val="-4"/>
        </w:rPr>
        <w:t xml:space="preserve"> </w:t>
      </w:r>
      <w:r>
        <w:t>I, II, III and V.</w:t>
      </w:r>
    </w:p>
    <w:p w14:paraId="62583EE4" w14:textId="77777777" w:rsidR="001825E2" w:rsidRDefault="001825E2" w:rsidP="00CB00A7">
      <w:pPr>
        <w:spacing w:line="247" w:lineRule="auto"/>
        <w:sectPr w:rsidR="001825E2">
          <w:footerReference w:type="default" r:id="rId13"/>
          <w:pgSz w:w="11910" w:h="16850"/>
          <w:pgMar w:top="1360" w:right="700" w:bottom="980" w:left="1220" w:header="0" w:footer="785" w:gutter="0"/>
          <w:pgNumType w:start="53"/>
          <w:cols w:space="720"/>
        </w:sectPr>
      </w:pPr>
    </w:p>
    <w:p w14:paraId="6E71892B" w14:textId="77777777" w:rsidR="001825E2" w:rsidRDefault="000839A5" w:rsidP="00CB00A7">
      <w:pPr>
        <w:pStyle w:val="Heading3"/>
      </w:pPr>
      <w:r>
        <w:lastRenderedPageBreak/>
        <w:t>Figure</w:t>
      </w:r>
      <w:r>
        <w:rPr>
          <w:spacing w:val="-2"/>
        </w:rPr>
        <w:t xml:space="preserve"> </w:t>
      </w:r>
      <w:r>
        <w:t>3:</w:t>
      </w:r>
      <w:r>
        <w:rPr>
          <w:spacing w:val="25"/>
        </w:rPr>
        <w:t xml:space="preserve"> </w:t>
      </w:r>
      <w:r>
        <w:t>Percentage</w:t>
      </w:r>
      <w:r>
        <w:rPr>
          <w:spacing w:val="13"/>
        </w:rPr>
        <w:t xml:space="preserve"> </w:t>
      </w:r>
      <w:r>
        <w:t>of</w:t>
      </w:r>
      <w:r>
        <w:rPr>
          <w:spacing w:val="-5"/>
        </w:rPr>
        <w:t xml:space="preserve"> </w:t>
      </w:r>
      <w:r>
        <w:t>ACR20</w:t>
      </w:r>
      <w:r>
        <w:rPr>
          <w:spacing w:val="-15"/>
        </w:rPr>
        <w:t xml:space="preserve"> </w:t>
      </w:r>
      <w:r>
        <w:t>Responders</w:t>
      </w:r>
      <w:r>
        <w:rPr>
          <w:spacing w:val="-4"/>
        </w:rPr>
        <w:t xml:space="preserve"> </w:t>
      </w:r>
      <w:r>
        <w:t>by Visit</w:t>
      </w:r>
      <w:r>
        <w:rPr>
          <w:spacing w:val="10"/>
        </w:rPr>
        <w:t xml:space="preserve"> </w:t>
      </w:r>
      <w:r>
        <w:t>for</w:t>
      </w:r>
      <w:r>
        <w:rPr>
          <w:spacing w:val="-17"/>
        </w:rPr>
        <w:t xml:space="preserve"> </w:t>
      </w:r>
      <w:r>
        <w:t>Study</w:t>
      </w:r>
      <w:r>
        <w:rPr>
          <w:spacing w:val="-1"/>
        </w:rPr>
        <w:t xml:space="preserve"> </w:t>
      </w:r>
      <w:r>
        <w:rPr>
          <w:spacing w:val="-5"/>
        </w:rPr>
        <w:t>IV</w:t>
      </w:r>
    </w:p>
    <w:p w14:paraId="14A81662" w14:textId="77777777" w:rsidR="001825E2" w:rsidRDefault="000839A5" w:rsidP="00CB00A7">
      <w:pPr>
        <w:pStyle w:val="BodyText"/>
        <w:spacing w:before="8"/>
        <w:jc w:val="left"/>
        <w:rPr>
          <w:b/>
          <w:sz w:val="7"/>
        </w:rPr>
      </w:pPr>
      <w:r>
        <w:rPr>
          <w:noProof/>
        </w:rPr>
        <w:drawing>
          <wp:anchor distT="0" distB="0" distL="0" distR="0" simplePos="0" relativeHeight="487593984" behindDoc="1" locked="0" layoutInCell="1" allowOverlap="1" wp14:anchorId="1F40A91E" wp14:editId="0EA4A95C">
            <wp:simplePos x="0" y="0"/>
            <wp:positionH relativeFrom="page">
              <wp:posOffset>914400</wp:posOffset>
            </wp:positionH>
            <wp:positionV relativeFrom="paragraph">
              <wp:posOffset>71769</wp:posOffset>
            </wp:positionV>
            <wp:extent cx="5358158" cy="4395216"/>
            <wp:effectExtent l="0" t="0" r="0" b="0"/>
            <wp:wrapTopAndBottom/>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14" cstate="print"/>
                    <a:stretch>
                      <a:fillRect/>
                    </a:stretch>
                  </pic:blipFill>
                  <pic:spPr>
                    <a:xfrm>
                      <a:off x="0" y="0"/>
                      <a:ext cx="5358158" cy="4395216"/>
                    </a:xfrm>
                    <a:prstGeom prst="rect">
                      <a:avLst/>
                    </a:prstGeom>
                  </pic:spPr>
                </pic:pic>
              </a:graphicData>
            </a:graphic>
          </wp:anchor>
        </w:drawing>
      </w:r>
    </w:p>
    <w:p w14:paraId="0F6F667A" w14:textId="77777777" w:rsidR="001825E2" w:rsidRDefault="000839A5" w:rsidP="00CB00A7">
      <w:pPr>
        <w:spacing w:before="230"/>
        <w:ind w:left="220"/>
        <w:rPr>
          <w:sz w:val="18"/>
        </w:rPr>
      </w:pPr>
      <w:r>
        <w:rPr>
          <w:sz w:val="18"/>
        </w:rPr>
        <w:t>Abbreviations:</w:t>
      </w:r>
      <w:r>
        <w:rPr>
          <w:spacing w:val="-3"/>
          <w:sz w:val="18"/>
        </w:rPr>
        <w:t xml:space="preserve"> </w:t>
      </w:r>
      <w:r>
        <w:rPr>
          <w:sz w:val="18"/>
        </w:rPr>
        <w:t>ACR20=American</w:t>
      </w:r>
      <w:r>
        <w:rPr>
          <w:spacing w:val="4"/>
          <w:sz w:val="18"/>
        </w:rPr>
        <w:t xml:space="preserve"> </w:t>
      </w:r>
      <w:r>
        <w:rPr>
          <w:sz w:val="18"/>
        </w:rPr>
        <w:t>College of</w:t>
      </w:r>
      <w:r>
        <w:rPr>
          <w:spacing w:val="-8"/>
          <w:sz w:val="18"/>
        </w:rPr>
        <w:t xml:space="preserve"> </w:t>
      </w:r>
      <w:r>
        <w:rPr>
          <w:sz w:val="18"/>
        </w:rPr>
        <w:t>Rheumatology</w:t>
      </w:r>
      <w:r>
        <w:rPr>
          <w:spacing w:val="16"/>
          <w:sz w:val="18"/>
        </w:rPr>
        <w:t xml:space="preserve"> </w:t>
      </w:r>
      <w:r>
        <w:rPr>
          <w:sz w:val="18"/>
        </w:rPr>
        <w:t>≥</w:t>
      </w:r>
      <w:r>
        <w:rPr>
          <w:spacing w:val="-4"/>
          <w:sz w:val="18"/>
        </w:rPr>
        <w:t xml:space="preserve"> </w:t>
      </w:r>
      <w:r>
        <w:rPr>
          <w:sz w:val="18"/>
        </w:rPr>
        <w:t>20%</w:t>
      </w:r>
      <w:r>
        <w:rPr>
          <w:spacing w:val="-8"/>
          <w:sz w:val="18"/>
        </w:rPr>
        <w:t xml:space="preserve"> </w:t>
      </w:r>
      <w:r>
        <w:rPr>
          <w:spacing w:val="-2"/>
          <w:sz w:val="18"/>
        </w:rPr>
        <w:t>improvement</w:t>
      </w:r>
    </w:p>
    <w:p w14:paraId="3FBB04A0" w14:textId="77777777" w:rsidR="001825E2" w:rsidRDefault="001825E2" w:rsidP="00CB00A7">
      <w:pPr>
        <w:pStyle w:val="BodyText"/>
        <w:spacing w:before="40"/>
        <w:jc w:val="left"/>
        <w:rPr>
          <w:sz w:val="18"/>
        </w:rPr>
      </w:pPr>
    </w:p>
    <w:p w14:paraId="04AD51B5" w14:textId="77777777" w:rsidR="001825E2" w:rsidRDefault="000839A5" w:rsidP="00CB00A7">
      <w:pPr>
        <w:ind w:left="220"/>
        <w:rPr>
          <w:i/>
          <w:sz w:val="24"/>
        </w:rPr>
      </w:pPr>
      <w:r>
        <w:rPr>
          <w:i/>
          <w:sz w:val="24"/>
        </w:rPr>
        <w:t>Radiographic</w:t>
      </w:r>
      <w:r>
        <w:rPr>
          <w:i/>
          <w:spacing w:val="-2"/>
          <w:sz w:val="24"/>
        </w:rPr>
        <w:t xml:space="preserve"> Response</w:t>
      </w:r>
    </w:p>
    <w:p w14:paraId="08244F98" w14:textId="77777777" w:rsidR="001825E2" w:rsidRDefault="000839A5" w:rsidP="00CB00A7">
      <w:pPr>
        <w:pStyle w:val="BodyText"/>
        <w:spacing w:before="114" w:line="242" w:lineRule="auto"/>
        <w:ind w:left="219" w:right="726"/>
        <w:jc w:val="left"/>
      </w:pPr>
      <w:r>
        <w:t xml:space="preserve">In Study IV, progression of structural joint damage was assessed radiographically and expressed as change from baseline in </w:t>
      </w:r>
      <w:proofErr w:type="spellStart"/>
      <w:r>
        <w:t>mTSS</w:t>
      </w:r>
      <w:proofErr w:type="spellEnd"/>
      <w:r>
        <w:t xml:space="preserve"> and its components, the erosion score and joint space narrowing (JSN) score, at Months 6 and 12. The proportion of patients with no radiographic progression (</w:t>
      </w:r>
      <w:proofErr w:type="spellStart"/>
      <w:r>
        <w:t>mTSS</w:t>
      </w:r>
      <w:proofErr w:type="spellEnd"/>
      <w:r>
        <w:t xml:space="preserve"> change less than or equal to 0.5) was also assessed. XELJANZ 5</w:t>
      </w:r>
      <w:r>
        <w:rPr>
          <w:spacing w:val="-2"/>
        </w:rPr>
        <w:t xml:space="preserve"> </w:t>
      </w:r>
      <w:r>
        <w:t>mg twice daily plus background</w:t>
      </w:r>
      <w:r>
        <w:rPr>
          <w:spacing w:val="40"/>
        </w:rPr>
        <w:t xml:space="preserve"> </w:t>
      </w:r>
      <w:r>
        <w:t>MTX</w:t>
      </w:r>
      <w:r>
        <w:rPr>
          <w:spacing w:val="40"/>
        </w:rPr>
        <w:t xml:space="preserve"> </w:t>
      </w:r>
      <w:r>
        <w:t>lead</w:t>
      </w:r>
      <w:r>
        <w:rPr>
          <w:spacing w:val="40"/>
        </w:rPr>
        <w:t xml:space="preserve"> </w:t>
      </w:r>
      <w:r>
        <w:t>to a change</w:t>
      </w:r>
      <w:r>
        <w:rPr>
          <w:spacing w:val="40"/>
        </w:rPr>
        <w:t xml:space="preserve"> </w:t>
      </w:r>
      <w:r>
        <w:t>of -0.3</w:t>
      </w:r>
      <w:r>
        <w:rPr>
          <w:spacing w:val="40"/>
        </w:rPr>
        <w:t xml:space="preserve"> </w:t>
      </w:r>
      <w:r>
        <w:t>in the progression of structural damage compared</w:t>
      </w:r>
      <w:r>
        <w:rPr>
          <w:spacing w:val="39"/>
        </w:rPr>
        <w:t xml:space="preserve"> </w:t>
      </w:r>
      <w:r>
        <w:t>to placebo plus MTX at Month 6 but the result was</w:t>
      </w:r>
      <w:r>
        <w:rPr>
          <w:spacing w:val="-4"/>
        </w:rPr>
        <w:t xml:space="preserve"> </w:t>
      </w:r>
      <w:r>
        <w:t>not statistically significant. In the</w:t>
      </w:r>
      <w:r>
        <w:rPr>
          <w:spacing w:val="-2"/>
        </w:rPr>
        <w:t xml:space="preserve"> </w:t>
      </w:r>
      <w:r>
        <w:t>placebo plus MTX group, 78%</w:t>
      </w:r>
      <w:r>
        <w:rPr>
          <w:spacing w:val="-5"/>
        </w:rPr>
        <w:t xml:space="preserve"> </w:t>
      </w:r>
      <w:r>
        <w:t>of patients</w:t>
      </w:r>
      <w:r>
        <w:rPr>
          <w:spacing w:val="-4"/>
        </w:rPr>
        <w:t xml:space="preserve"> </w:t>
      </w:r>
      <w:r>
        <w:t>experienced no radiographic progression at Month 6 compared to 89%</w:t>
      </w:r>
      <w:r>
        <w:rPr>
          <w:spacing w:val="-5"/>
        </w:rPr>
        <w:t xml:space="preserve"> </w:t>
      </w:r>
      <w:r>
        <w:t>of patients</w:t>
      </w:r>
      <w:r>
        <w:rPr>
          <w:spacing w:val="-4"/>
        </w:rPr>
        <w:t xml:space="preserve"> </w:t>
      </w:r>
      <w:r>
        <w:t>treated with XELJANZ 5 mg twice daily plus MTX.</w:t>
      </w:r>
    </w:p>
    <w:p w14:paraId="740E2E97" w14:textId="77777777" w:rsidR="001825E2" w:rsidRDefault="000839A5" w:rsidP="00CB00A7">
      <w:pPr>
        <w:pStyle w:val="BodyText"/>
        <w:spacing w:before="221"/>
        <w:ind w:left="218" w:right="734" w:firstLine="1"/>
        <w:jc w:val="left"/>
      </w:pPr>
      <w:r>
        <w:t xml:space="preserve">In Study VI, XELJANZ monotherapy inhibited the progression of structural damage compared to MTX at Months 6 and 12 in MTX-naïve patients (mean difference in </w:t>
      </w:r>
      <w:proofErr w:type="spellStart"/>
      <w:r>
        <w:t>mTSS</w:t>
      </w:r>
      <w:proofErr w:type="spellEnd"/>
      <w:r>
        <w:rPr>
          <w:spacing w:val="40"/>
        </w:rPr>
        <w:t xml:space="preserve"> </w:t>
      </w:r>
      <w:r>
        <w:t>from MTX was -0.7 and -0.9 respectively), which was maintained at Month 24. Analyses of erosion</w:t>
      </w:r>
      <w:r>
        <w:rPr>
          <w:spacing w:val="-2"/>
        </w:rPr>
        <w:t xml:space="preserve"> </w:t>
      </w:r>
      <w:r>
        <w:t>and JSN scores were</w:t>
      </w:r>
      <w:r>
        <w:rPr>
          <w:spacing w:val="-4"/>
        </w:rPr>
        <w:t xml:space="preserve"> </w:t>
      </w:r>
      <w:r>
        <w:t>consistent with</w:t>
      </w:r>
      <w:r>
        <w:rPr>
          <w:spacing w:val="-2"/>
        </w:rPr>
        <w:t xml:space="preserve"> </w:t>
      </w:r>
      <w:r>
        <w:t>overall</w:t>
      </w:r>
      <w:r>
        <w:rPr>
          <w:spacing w:val="-9"/>
        </w:rPr>
        <w:t xml:space="preserve"> </w:t>
      </w:r>
      <w:r>
        <w:t>results.</w:t>
      </w:r>
      <w:r>
        <w:rPr>
          <w:spacing w:val="-2"/>
        </w:rPr>
        <w:t xml:space="preserve"> </w:t>
      </w:r>
      <w:r>
        <w:t>Significantly</w:t>
      </w:r>
      <w:r>
        <w:rPr>
          <w:spacing w:val="-2"/>
        </w:rPr>
        <w:t xml:space="preserve"> </w:t>
      </w:r>
      <w:r>
        <w:t>more</w:t>
      </w:r>
      <w:r>
        <w:rPr>
          <w:spacing w:val="-4"/>
        </w:rPr>
        <w:t xml:space="preserve"> </w:t>
      </w:r>
      <w:r>
        <w:t>patients</w:t>
      </w:r>
      <w:r>
        <w:rPr>
          <w:spacing w:val="-6"/>
        </w:rPr>
        <w:t xml:space="preserve"> </w:t>
      </w:r>
      <w:r>
        <w:t>in</w:t>
      </w:r>
      <w:r>
        <w:rPr>
          <w:spacing w:val="-2"/>
        </w:rPr>
        <w:t xml:space="preserve"> </w:t>
      </w:r>
      <w:r>
        <w:t>the XELJANZ 5 mg twice daily group experienced no radiographic progression at Month 6 (84%) compared to patients in the MTX group (70%). XELJANZ is not approved for use in MTX-naïve patients.</w:t>
      </w:r>
    </w:p>
    <w:p w14:paraId="5F1E55C8" w14:textId="77777777" w:rsidR="001825E2" w:rsidRDefault="001825E2" w:rsidP="00CB00A7">
      <w:pPr>
        <w:sectPr w:rsidR="001825E2">
          <w:pgSz w:w="11910" w:h="16850"/>
          <w:pgMar w:top="1360" w:right="700" w:bottom="980" w:left="1220" w:header="0" w:footer="785" w:gutter="0"/>
          <w:cols w:space="720"/>
        </w:sectPr>
      </w:pPr>
    </w:p>
    <w:p w14:paraId="29CDCE79" w14:textId="77777777" w:rsidR="001825E2" w:rsidRDefault="000839A5" w:rsidP="00CB00A7">
      <w:pPr>
        <w:spacing w:before="76"/>
        <w:ind w:left="220"/>
        <w:rPr>
          <w:i/>
          <w:sz w:val="24"/>
        </w:rPr>
      </w:pPr>
      <w:r>
        <w:rPr>
          <w:i/>
          <w:sz w:val="24"/>
        </w:rPr>
        <w:lastRenderedPageBreak/>
        <w:t>Physical</w:t>
      </w:r>
      <w:r>
        <w:rPr>
          <w:i/>
          <w:spacing w:val="-4"/>
          <w:sz w:val="24"/>
        </w:rPr>
        <w:t xml:space="preserve"> </w:t>
      </w:r>
      <w:r>
        <w:rPr>
          <w:i/>
          <w:sz w:val="24"/>
        </w:rPr>
        <w:t>Function</w:t>
      </w:r>
      <w:r>
        <w:rPr>
          <w:i/>
          <w:spacing w:val="5"/>
          <w:sz w:val="24"/>
        </w:rPr>
        <w:t xml:space="preserve"> </w:t>
      </w:r>
      <w:r>
        <w:rPr>
          <w:i/>
          <w:sz w:val="24"/>
        </w:rPr>
        <w:t>Response</w:t>
      </w:r>
      <w:r>
        <w:rPr>
          <w:i/>
          <w:spacing w:val="-10"/>
          <w:sz w:val="24"/>
        </w:rPr>
        <w:t xml:space="preserve"> </w:t>
      </w:r>
      <w:r>
        <w:rPr>
          <w:i/>
          <w:sz w:val="24"/>
        </w:rPr>
        <w:t>and</w:t>
      </w:r>
      <w:r>
        <w:rPr>
          <w:i/>
          <w:spacing w:val="-9"/>
          <w:sz w:val="24"/>
        </w:rPr>
        <w:t xml:space="preserve"> </w:t>
      </w:r>
      <w:r>
        <w:rPr>
          <w:i/>
          <w:sz w:val="24"/>
        </w:rPr>
        <w:t>Health</w:t>
      </w:r>
      <w:r>
        <w:rPr>
          <w:i/>
          <w:spacing w:val="5"/>
          <w:sz w:val="24"/>
        </w:rPr>
        <w:t xml:space="preserve"> </w:t>
      </w:r>
      <w:r>
        <w:rPr>
          <w:i/>
          <w:sz w:val="24"/>
        </w:rPr>
        <w:t>Related</w:t>
      </w:r>
      <w:r>
        <w:rPr>
          <w:i/>
          <w:spacing w:val="5"/>
          <w:sz w:val="24"/>
        </w:rPr>
        <w:t xml:space="preserve"> </w:t>
      </w:r>
      <w:r>
        <w:rPr>
          <w:i/>
          <w:spacing w:val="-2"/>
          <w:sz w:val="24"/>
        </w:rPr>
        <w:t>Outcomes</w:t>
      </w:r>
    </w:p>
    <w:p w14:paraId="5776B240" w14:textId="77777777" w:rsidR="001825E2" w:rsidRDefault="000839A5" w:rsidP="00CB00A7">
      <w:pPr>
        <w:pStyle w:val="BodyText"/>
        <w:spacing w:before="114"/>
        <w:ind w:left="220"/>
        <w:jc w:val="left"/>
      </w:pPr>
      <w:r>
        <w:t>Improvements</w:t>
      </w:r>
      <w:r>
        <w:rPr>
          <w:spacing w:val="-6"/>
        </w:rPr>
        <w:t xml:space="preserve"> </w:t>
      </w:r>
      <w:r>
        <w:t>in</w:t>
      </w:r>
      <w:r>
        <w:rPr>
          <w:spacing w:val="14"/>
        </w:rPr>
        <w:t xml:space="preserve"> </w:t>
      </w:r>
      <w:r>
        <w:t>physical</w:t>
      </w:r>
      <w:r>
        <w:rPr>
          <w:spacing w:val="6"/>
        </w:rPr>
        <w:t xml:space="preserve"> </w:t>
      </w:r>
      <w:r>
        <w:t>function</w:t>
      </w:r>
      <w:r>
        <w:rPr>
          <w:spacing w:val="-1"/>
        </w:rPr>
        <w:t xml:space="preserve"> </w:t>
      </w:r>
      <w:r>
        <w:t>have</w:t>
      </w:r>
      <w:r>
        <w:rPr>
          <w:spacing w:val="-3"/>
        </w:rPr>
        <w:t xml:space="preserve"> </w:t>
      </w:r>
      <w:r>
        <w:t>been</w:t>
      </w:r>
      <w:r>
        <w:rPr>
          <w:spacing w:val="-1"/>
        </w:rPr>
        <w:t xml:space="preserve"> </w:t>
      </w:r>
      <w:r>
        <w:t>shown</w:t>
      </w:r>
      <w:r>
        <w:rPr>
          <w:spacing w:val="-1"/>
        </w:rPr>
        <w:t xml:space="preserve"> </w:t>
      </w:r>
      <w:r>
        <w:t>with</w:t>
      </w:r>
      <w:r>
        <w:rPr>
          <w:spacing w:val="-15"/>
        </w:rPr>
        <w:t xml:space="preserve"> </w:t>
      </w:r>
      <w:r>
        <w:t>and</w:t>
      </w:r>
      <w:r>
        <w:rPr>
          <w:spacing w:val="-1"/>
        </w:rPr>
        <w:t xml:space="preserve"> </w:t>
      </w:r>
      <w:r>
        <w:t>without</w:t>
      </w:r>
      <w:r>
        <w:rPr>
          <w:spacing w:val="-7"/>
        </w:rPr>
        <w:t xml:space="preserve"> </w:t>
      </w:r>
      <w:r>
        <w:rPr>
          <w:spacing w:val="-4"/>
        </w:rPr>
        <w:t>MTX.</w:t>
      </w:r>
    </w:p>
    <w:p w14:paraId="7FA12739" w14:textId="77777777" w:rsidR="001825E2" w:rsidRDefault="000839A5" w:rsidP="00CB00A7">
      <w:pPr>
        <w:pStyle w:val="BodyText"/>
        <w:spacing w:before="249"/>
        <w:ind w:left="217" w:right="723" w:firstLine="2"/>
        <w:jc w:val="left"/>
      </w:pPr>
      <w:r>
        <w:t>Improvement in physical functioning was measured by the HAQ-DI. Patients receiving XELJANZ 5</w:t>
      </w:r>
      <w:r>
        <w:rPr>
          <w:spacing w:val="-3"/>
        </w:rPr>
        <w:t xml:space="preserve"> </w:t>
      </w:r>
      <w:r>
        <w:t>mg</w:t>
      </w:r>
      <w:r>
        <w:rPr>
          <w:spacing w:val="-2"/>
        </w:rPr>
        <w:t xml:space="preserve"> </w:t>
      </w:r>
      <w:r>
        <w:t>twice</w:t>
      </w:r>
      <w:r>
        <w:rPr>
          <w:spacing w:val="-4"/>
        </w:rPr>
        <w:t xml:space="preserve"> </w:t>
      </w:r>
      <w:r>
        <w:t>daily</w:t>
      </w:r>
      <w:r>
        <w:rPr>
          <w:spacing w:val="-2"/>
        </w:rPr>
        <w:t xml:space="preserve"> </w:t>
      </w:r>
      <w:r>
        <w:t>demonstrated significantly</w:t>
      </w:r>
      <w:r>
        <w:rPr>
          <w:spacing w:val="-2"/>
        </w:rPr>
        <w:t xml:space="preserve"> </w:t>
      </w:r>
      <w:r>
        <w:t>greater</w:t>
      </w:r>
      <w:r>
        <w:rPr>
          <w:spacing w:val="-7"/>
        </w:rPr>
        <w:t xml:space="preserve"> </w:t>
      </w:r>
      <w:r>
        <w:t>improvement from</w:t>
      </w:r>
      <w:r>
        <w:rPr>
          <w:spacing w:val="-9"/>
        </w:rPr>
        <w:t xml:space="preserve"> </w:t>
      </w:r>
      <w:r>
        <w:t>baseline</w:t>
      </w:r>
      <w:r>
        <w:rPr>
          <w:spacing w:val="-4"/>
        </w:rPr>
        <w:t xml:space="preserve"> </w:t>
      </w:r>
      <w:r>
        <w:t>in physical functioning compared to placebo at Month</w:t>
      </w:r>
      <w:r>
        <w:rPr>
          <w:spacing w:val="-2"/>
        </w:rPr>
        <w:t xml:space="preserve"> </w:t>
      </w:r>
      <w:r>
        <w:t>3 (Studies</w:t>
      </w:r>
      <w:r>
        <w:rPr>
          <w:spacing w:val="-5"/>
        </w:rPr>
        <w:t xml:space="preserve"> </w:t>
      </w:r>
      <w:r>
        <w:t>I,</w:t>
      </w:r>
      <w:r>
        <w:rPr>
          <w:spacing w:val="-2"/>
        </w:rPr>
        <w:t xml:space="preserve"> </w:t>
      </w:r>
      <w:r>
        <w:t>II,</w:t>
      </w:r>
      <w:r>
        <w:rPr>
          <w:spacing w:val="-3"/>
        </w:rPr>
        <w:t xml:space="preserve"> </w:t>
      </w:r>
      <w:r>
        <w:t>III,</w:t>
      </w:r>
      <w:r>
        <w:rPr>
          <w:spacing w:val="-2"/>
        </w:rPr>
        <w:t xml:space="preserve"> </w:t>
      </w:r>
      <w:r>
        <w:t>and V) and Month</w:t>
      </w:r>
      <w:r>
        <w:rPr>
          <w:spacing w:val="-2"/>
        </w:rPr>
        <w:t xml:space="preserve"> </w:t>
      </w:r>
      <w:r>
        <w:t>6 (Studies</w:t>
      </w:r>
      <w:r>
        <w:rPr>
          <w:spacing w:val="-8"/>
        </w:rPr>
        <w:t xml:space="preserve"> </w:t>
      </w:r>
      <w:r>
        <w:t>II and III).</w:t>
      </w:r>
      <w:r>
        <w:rPr>
          <w:spacing w:val="40"/>
        </w:rPr>
        <w:t xml:space="preserve"> </w:t>
      </w:r>
      <w:r>
        <w:t>XELJANZ</w:t>
      </w:r>
      <w:r>
        <w:rPr>
          <w:spacing w:val="40"/>
        </w:rPr>
        <w:t xml:space="preserve"> </w:t>
      </w:r>
      <w:r>
        <w:t>5</w:t>
      </w:r>
      <w:r>
        <w:rPr>
          <w:spacing w:val="-5"/>
        </w:rPr>
        <w:t xml:space="preserve"> </w:t>
      </w:r>
      <w:r>
        <w:t>mg twice daily</w:t>
      </w:r>
      <w:r>
        <w:rPr>
          <w:spacing w:val="40"/>
        </w:rPr>
        <w:t xml:space="preserve"> </w:t>
      </w:r>
      <w:r>
        <w:t>treated</w:t>
      </w:r>
      <w:r>
        <w:rPr>
          <w:spacing w:val="40"/>
        </w:rPr>
        <w:t xml:space="preserve"> </w:t>
      </w:r>
      <w:r>
        <w:t>patients</w:t>
      </w:r>
      <w:r>
        <w:rPr>
          <w:spacing w:val="40"/>
        </w:rPr>
        <w:t xml:space="preserve"> </w:t>
      </w:r>
      <w:r>
        <w:t>exhibited</w:t>
      </w:r>
      <w:r>
        <w:rPr>
          <w:spacing w:val="40"/>
        </w:rPr>
        <w:t xml:space="preserve"> </w:t>
      </w:r>
      <w:r>
        <w:t>significantly greater</w:t>
      </w:r>
      <w:r>
        <w:rPr>
          <w:spacing w:val="40"/>
        </w:rPr>
        <w:t xml:space="preserve"> </w:t>
      </w:r>
      <w:r>
        <w:t>improved</w:t>
      </w:r>
      <w:r>
        <w:rPr>
          <w:spacing w:val="80"/>
        </w:rPr>
        <w:t xml:space="preserve"> </w:t>
      </w:r>
      <w:r>
        <w:t>physical</w:t>
      </w:r>
      <w:r>
        <w:rPr>
          <w:spacing w:val="40"/>
        </w:rPr>
        <w:t xml:space="preserve"> </w:t>
      </w:r>
      <w:r>
        <w:t>functioning</w:t>
      </w:r>
      <w:r>
        <w:rPr>
          <w:spacing w:val="40"/>
        </w:rPr>
        <w:t xml:space="preserve"> </w:t>
      </w:r>
      <w:r>
        <w:t>compared</w:t>
      </w:r>
      <w:r>
        <w:rPr>
          <w:spacing w:val="80"/>
        </w:rPr>
        <w:t xml:space="preserve"> </w:t>
      </w:r>
      <w:r>
        <w:t>to</w:t>
      </w:r>
      <w:r>
        <w:rPr>
          <w:spacing w:val="40"/>
        </w:rPr>
        <w:t xml:space="preserve"> </w:t>
      </w:r>
      <w:r>
        <w:t>placebo</w:t>
      </w:r>
      <w:r>
        <w:rPr>
          <w:spacing w:val="40"/>
        </w:rPr>
        <w:t xml:space="preserve"> </w:t>
      </w:r>
      <w:r>
        <w:t>as</w:t>
      </w:r>
      <w:r>
        <w:rPr>
          <w:spacing w:val="40"/>
        </w:rPr>
        <w:t xml:space="preserve"> </w:t>
      </w:r>
      <w:r>
        <w:t>early</w:t>
      </w:r>
      <w:r>
        <w:rPr>
          <w:spacing w:val="80"/>
        </w:rPr>
        <w:t xml:space="preserve"> </w:t>
      </w:r>
      <w:r>
        <w:t>as</w:t>
      </w:r>
      <w:r>
        <w:rPr>
          <w:spacing w:val="40"/>
        </w:rPr>
        <w:t xml:space="preserve"> </w:t>
      </w:r>
      <w:r>
        <w:t>Week</w:t>
      </w:r>
      <w:r>
        <w:rPr>
          <w:spacing w:val="-1"/>
        </w:rPr>
        <w:t xml:space="preserve"> </w:t>
      </w:r>
      <w:r>
        <w:t>2</w:t>
      </w:r>
      <w:r>
        <w:rPr>
          <w:spacing w:val="80"/>
        </w:rPr>
        <w:t xml:space="preserve"> </w:t>
      </w:r>
      <w:r>
        <w:t>in Studies</w:t>
      </w:r>
      <w:r>
        <w:rPr>
          <w:spacing w:val="-6"/>
        </w:rPr>
        <w:t xml:space="preserve"> </w:t>
      </w:r>
      <w:r>
        <w:t>I and</w:t>
      </w:r>
      <w:r>
        <w:rPr>
          <w:spacing w:val="-3"/>
        </w:rPr>
        <w:t xml:space="preserve"> </w:t>
      </w:r>
      <w:r>
        <w:t>II. Compared with adalimumab-treated patients, at Month</w:t>
      </w:r>
      <w:r>
        <w:rPr>
          <w:spacing w:val="-2"/>
        </w:rPr>
        <w:t xml:space="preserve"> </w:t>
      </w:r>
      <w:r>
        <w:t>3, patients in the XELJANZ 5</w:t>
      </w:r>
      <w:r>
        <w:rPr>
          <w:spacing w:val="-5"/>
        </w:rPr>
        <w:t xml:space="preserve"> </w:t>
      </w:r>
      <w:r>
        <w:t>mg twice daily group had similar decreases from baseline in HAQ-DI values. The</w:t>
      </w:r>
      <w:r>
        <w:rPr>
          <w:spacing w:val="40"/>
        </w:rPr>
        <w:t xml:space="preserve"> </w:t>
      </w:r>
      <w:r>
        <w:t>mean</w:t>
      </w:r>
      <w:r>
        <w:rPr>
          <w:spacing w:val="40"/>
        </w:rPr>
        <w:t xml:space="preserve"> </w:t>
      </w:r>
      <w:r>
        <w:t>change</w:t>
      </w:r>
      <w:r>
        <w:rPr>
          <w:spacing w:val="40"/>
        </w:rPr>
        <w:t xml:space="preserve"> </w:t>
      </w:r>
      <w:r>
        <w:t>in</w:t>
      </w:r>
      <w:r>
        <w:rPr>
          <w:spacing w:val="40"/>
        </w:rPr>
        <w:t xml:space="preserve"> </w:t>
      </w:r>
      <w:r>
        <w:t>HAQ-DI</w:t>
      </w:r>
      <w:r>
        <w:rPr>
          <w:spacing w:val="40"/>
        </w:rPr>
        <w:t xml:space="preserve"> </w:t>
      </w:r>
      <w:r>
        <w:t>from</w:t>
      </w:r>
      <w:r>
        <w:rPr>
          <w:spacing w:val="38"/>
        </w:rPr>
        <w:t xml:space="preserve"> </w:t>
      </w:r>
      <w:r>
        <w:t>baseline</w:t>
      </w:r>
      <w:r>
        <w:rPr>
          <w:spacing w:val="40"/>
        </w:rPr>
        <w:t xml:space="preserve"> </w:t>
      </w:r>
      <w:r>
        <w:t>to</w:t>
      </w:r>
      <w:r>
        <w:rPr>
          <w:spacing w:val="40"/>
        </w:rPr>
        <w:t xml:space="preserve"> </w:t>
      </w:r>
      <w:r>
        <w:t>Month</w:t>
      </w:r>
      <w:r>
        <w:rPr>
          <w:spacing w:val="40"/>
        </w:rPr>
        <w:t xml:space="preserve"> </w:t>
      </w:r>
      <w:r>
        <w:t>3</w:t>
      </w:r>
      <w:r>
        <w:rPr>
          <w:spacing w:val="40"/>
        </w:rPr>
        <w:t xml:space="preserve"> </w:t>
      </w:r>
      <w:r>
        <w:t>in</w:t>
      </w:r>
      <w:r>
        <w:rPr>
          <w:spacing w:val="40"/>
        </w:rPr>
        <w:t xml:space="preserve"> </w:t>
      </w:r>
      <w:r>
        <w:t>Studies</w:t>
      </w:r>
      <w:r>
        <w:rPr>
          <w:spacing w:val="40"/>
        </w:rPr>
        <w:t xml:space="preserve"> </w:t>
      </w:r>
      <w:r>
        <w:t>I</w:t>
      </w:r>
      <w:r>
        <w:rPr>
          <w:spacing w:val="40"/>
        </w:rPr>
        <w:t xml:space="preserve"> </w:t>
      </w:r>
      <w:r>
        <w:t>to</w:t>
      </w:r>
      <w:r>
        <w:rPr>
          <w:spacing w:val="40"/>
        </w:rPr>
        <w:t xml:space="preserve"> </w:t>
      </w:r>
      <w:r>
        <w:t>V are</w:t>
      </w:r>
      <w:r>
        <w:rPr>
          <w:spacing w:val="40"/>
        </w:rPr>
        <w:t xml:space="preserve"> </w:t>
      </w:r>
      <w:r>
        <w:t>shown</w:t>
      </w:r>
      <w:r>
        <w:rPr>
          <w:spacing w:val="40"/>
        </w:rPr>
        <w:t xml:space="preserve"> </w:t>
      </w:r>
      <w:r>
        <w:t>in Table 8.</w:t>
      </w:r>
    </w:p>
    <w:p w14:paraId="646ABE13" w14:textId="77777777" w:rsidR="001825E2" w:rsidRDefault="000839A5" w:rsidP="00CB00A7">
      <w:pPr>
        <w:pStyle w:val="Heading3"/>
        <w:spacing w:before="231"/>
        <w:ind w:left="217"/>
      </w:pPr>
      <w:r>
        <w:t>Table</w:t>
      </w:r>
      <w:r>
        <w:rPr>
          <w:spacing w:val="-7"/>
        </w:rPr>
        <w:t xml:space="preserve"> </w:t>
      </w:r>
      <w:r>
        <w:t>8:</w:t>
      </w:r>
      <w:r>
        <w:rPr>
          <w:spacing w:val="75"/>
          <w:w w:val="150"/>
        </w:rPr>
        <w:t xml:space="preserve"> </w:t>
      </w:r>
      <w:r>
        <w:t>Mean</w:t>
      </w:r>
      <w:r>
        <w:rPr>
          <w:spacing w:val="-2"/>
        </w:rPr>
        <w:t xml:space="preserve"> </w:t>
      </w:r>
      <w:r>
        <w:t>Change</w:t>
      </w:r>
      <w:r>
        <w:rPr>
          <w:spacing w:val="-4"/>
        </w:rPr>
        <w:t xml:space="preserve"> </w:t>
      </w:r>
      <w:r>
        <w:t>from</w:t>
      </w:r>
      <w:r>
        <w:rPr>
          <w:spacing w:val="-20"/>
        </w:rPr>
        <w:t xml:space="preserve"> </w:t>
      </w:r>
      <w:r>
        <w:t>Baseline</w:t>
      </w:r>
      <w:r>
        <w:rPr>
          <w:spacing w:val="9"/>
        </w:rPr>
        <w:t xml:space="preserve"> </w:t>
      </w:r>
      <w:r>
        <w:t>in</w:t>
      </w:r>
      <w:r>
        <w:rPr>
          <w:spacing w:val="13"/>
        </w:rPr>
        <w:t xml:space="preserve"> </w:t>
      </w:r>
      <w:r>
        <w:t>HAQ-</w:t>
      </w:r>
      <w:r>
        <w:rPr>
          <w:spacing w:val="-5"/>
        </w:rPr>
        <w:t>DI</w:t>
      </w:r>
    </w:p>
    <w:p w14:paraId="6E0ACF38" w14:textId="77777777" w:rsidR="001825E2" w:rsidRDefault="001825E2" w:rsidP="00CB00A7">
      <w:pPr>
        <w:pStyle w:val="BodyText"/>
        <w:spacing w:before="1"/>
        <w:jc w:val="left"/>
        <w:rPr>
          <w:b/>
          <w:sz w:val="11"/>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20"/>
        <w:gridCol w:w="1845"/>
        <w:gridCol w:w="2265"/>
        <w:gridCol w:w="2610"/>
      </w:tblGrid>
      <w:tr w:rsidR="001825E2" w14:paraId="6CE9F766" w14:textId="77777777">
        <w:trPr>
          <w:trHeight w:val="270"/>
        </w:trPr>
        <w:tc>
          <w:tcPr>
            <w:tcW w:w="9240" w:type="dxa"/>
            <w:gridSpan w:val="4"/>
          </w:tcPr>
          <w:p w14:paraId="2FBC7BE6" w14:textId="77777777" w:rsidR="001825E2" w:rsidRDefault="000839A5" w:rsidP="00CB00A7">
            <w:pPr>
              <w:pStyle w:val="TableParagraph"/>
              <w:spacing w:line="250" w:lineRule="exact"/>
              <w:ind w:left="33"/>
              <w:jc w:val="left"/>
              <w:rPr>
                <w:b/>
                <w:sz w:val="24"/>
              </w:rPr>
            </w:pPr>
            <w:r>
              <w:rPr>
                <w:b/>
                <w:sz w:val="24"/>
              </w:rPr>
              <w:t>Study I:</w:t>
            </w:r>
            <w:r>
              <w:rPr>
                <w:b/>
                <w:spacing w:val="11"/>
                <w:sz w:val="24"/>
              </w:rPr>
              <w:t xml:space="preserve"> </w:t>
            </w:r>
            <w:r>
              <w:rPr>
                <w:b/>
                <w:sz w:val="24"/>
              </w:rPr>
              <w:t>DMARD</w:t>
            </w:r>
            <w:r>
              <w:rPr>
                <w:b/>
                <w:spacing w:val="-8"/>
                <w:sz w:val="24"/>
              </w:rPr>
              <w:t xml:space="preserve"> </w:t>
            </w:r>
            <w:r>
              <w:rPr>
                <w:b/>
                <w:sz w:val="24"/>
              </w:rPr>
              <w:t>Inadequate</w:t>
            </w:r>
            <w:r>
              <w:rPr>
                <w:b/>
                <w:spacing w:val="-16"/>
                <w:sz w:val="24"/>
              </w:rPr>
              <w:t xml:space="preserve"> </w:t>
            </w:r>
            <w:r>
              <w:rPr>
                <w:b/>
                <w:spacing w:val="-2"/>
                <w:sz w:val="24"/>
              </w:rPr>
              <w:t>Responders</w:t>
            </w:r>
          </w:p>
        </w:tc>
      </w:tr>
      <w:tr w:rsidR="001825E2" w14:paraId="29CF23A9" w14:textId="77777777">
        <w:trPr>
          <w:trHeight w:val="540"/>
        </w:trPr>
        <w:tc>
          <w:tcPr>
            <w:tcW w:w="2520" w:type="dxa"/>
          </w:tcPr>
          <w:p w14:paraId="66C503E1" w14:textId="77777777" w:rsidR="001825E2" w:rsidRDefault="000839A5" w:rsidP="00CB00A7">
            <w:pPr>
              <w:pStyle w:val="TableParagraph"/>
              <w:spacing w:before="136"/>
              <w:ind w:left="16"/>
              <w:jc w:val="left"/>
              <w:rPr>
                <w:b/>
                <w:sz w:val="24"/>
              </w:rPr>
            </w:pPr>
            <w:r>
              <w:rPr>
                <w:b/>
                <w:spacing w:val="-4"/>
                <w:sz w:val="24"/>
              </w:rPr>
              <w:t>Time</w:t>
            </w:r>
          </w:p>
        </w:tc>
        <w:tc>
          <w:tcPr>
            <w:tcW w:w="1845" w:type="dxa"/>
          </w:tcPr>
          <w:p w14:paraId="2F32CA72" w14:textId="77777777" w:rsidR="001825E2" w:rsidRDefault="000839A5" w:rsidP="00CB00A7">
            <w:pPr>
              <w:pStyle w:val="TableParagraph"/>
              <w:spacing w:line="270" w:lineRule="exact"/>
              <w:ind w:left="577" w:right="146" w:hanging="30"/>
              <w:jc w:val="left"/>
              <w:rPr>
                <w:sz w:val="24"/>
              </w:rPr>
            </w:pPr>
            <w:r>
              <w:rPr>
                <w:spacing w:val="-4"/>
                <w:sz w:val="24"/>
              </w:rPr>
              <w:t xml:space="preserve">Placebo </w:t>
            </w:r>
            <w:r>
              <w:rPr>
                <w:spacing w:val="-2"/>
                <w:sz w:val="24"/>
              </w:rPr>
              <w:t>N=109</w:t>
            </w:r>
          </w:p>
        </w:tc>
        <w:tc>
          <w:tcPr>
            <w:tcW w:w="4875" w:type="dxa"/>
            <w:gridSpan w:val="2"/>
          </w:tcPr>
          <w:p w14:paraId="4A8D4CFB" w14:textId="77777777" w:rsidR="001825E2" w:rsidRDefault="000839A5" w:rsidP="00CB00A7">
            <w:pPr>
              <w:pStyle w:val="TableParagraph"/>
              <w:spacing w:line="270" w:lineRule="exact"/>
              <w:ind w:left="2107" w:hanging="1755"/>
              <w:jc w:val="left"/>
              <w:rPr>
                <w:sz w:val="24"/>
              </w:rPr>
            </w:pPr>
            <w:r>
              <w:rPr>
                <w:sz w:val="24"/>
              </w:rPr>
              <w:t>XELJANZ</w:t>
            </w:r>
            <w:r>
              <w:rPr>
                <w:spacing w:val="-15"/>
                <w:sz w:val="24"/>
              </w:rPr>
              <w:t xml:space="preserve"> </w:t>
            </w:r>
            <w:r>
              <w:rPr>
                <w:sz w:val="24"/>
              </w:rPr>
              <w:t>5</w:t>
            </w:r>
            <w:r>
              <w:rPr>
                <w:spacing w:val="-16"/>
                <w:sz w:val="24"/>
              </w:rPr>
              <w:t xml:space="preserve"> </w:t>
            </w:r>
            <w:r>
              <w:rPr>
                <w:sz w:val="24"/>
              </w:rPr>
              <w:t>mg</w:t>
            </w:r>
            <w:r>
              <w:rPr>
                <w:spacing w:val="-12"/>
                <w:sz w:val="24"/>
              </w:rPr>
              <w:t xml:space="preserve"> </w:t>
            </w:r>
            <w:r>
              <w:rPr>
                <w:sz w:val="24"/>
              </w:rPr>
              <w:t>monotherapy</w:t>
            </w:r>
            <w:r>
              <w:rPr>
                <w:spacing w:val="-11"/>
                <w:sz w:val="24"/>
              </w:rPr>
              <w:t xml:space="preserve"> </w:t>
            </w:r>
            <w:r>
              <w:rPr>
                <w:sz w:val="24"/>
              </w:rPr>
              <w:t xml:space="preserve">Twice Daily </w:t>
            </w:r>
            <w:r>
              <w:rPr>
                <w:spacing w:val="-2"/>
                <w:sz w:val="24"/>
              </w:rPr>
              <w:t>N=237</w:t>
            </w:r>
          </w:p>
        </w:tc>
      </w:tr>
      <w:tr w:rsidR="001825E2" w14:paraId="464504AA" w14:textId="77777777">
        <w:trPr>
          <w:trHeight w:val="555"/>
        </w:trPr>
        <w:tc>
          <w:tcPr>
            <w:tcW w:w="2520" w:type="dxa"/>
          </w:tcPr>
          <w:p w14:paraId="0A97C225" w14:textId="77777777" w:rsidR="001825E2" w:rsidRDefault="000839A5" w:rsidP="00CB00A7">
            <w:pPr>
              <w:pStyle w:val="TableParagraph"/>
              <w:spacing w:line="270" w:lineRule="exact"/>
              <w:ind w:right="352"/>
              <w:jc w:val="left"/>
              <w:rPr>
                <w:sz w:val="16"/>
              </w:rPr>
            </w:pPr>
            <w:r>
              <w:rPr>
                <w:sz w:val="24"/>
              </w:rPr>
              <w:t>LS Mean Change in HAQ-DI</w:t>
            </w:r>
            <w:r>
              <w:rPr>
                <w:spacing w:val="-12"/>
                <w:sz w:val="24"/>
              </w:rPr>
              <w:t xml:space="preserve"> </w:t>
            </w:r>
            <w:r>
              <w:rPr>
                <w:sz w:val="24"/>
              </w:rPr>
              <w:t>at</w:t>
            </w:r>
            <w:r>
              <w:rPr>
                <w:spacing w:val="-10"/>
                <w:sz w:val="24"/>
              </w:rPr>
              <w:t xml:space="preserve"> </w:t>
            </w:r>
            <w:r>
              <w:rPr>
                <w:sz w:val="24"/>
              </w:rPr>
              <w:t>Month</w:t>
            </w:r>
            <w:r>
              <w:rPr>
                <w:spacing w:val="-15"/>
                <w:sz w:val="24"/>
              </w:rPr>
              <w:t xml:space="preserve"> </w:t>
            </w:r>
            <w:r>
              <w:rPr>
                <w:sz w:val="24"/>
              </w:rPr>
              <w:t>3</w:t>
            </w:r>
            <w:r>
              <w:rPr>
                <w:position w:val="7"/>
                <w:sz w:val="16"/>
              </w:rPr>
              <w:t>a</w:t>
            </w:r>
          </w:p>
        </w:tc>
        <w:tc>
          <w:tcPr>
            <w:tcW w:w="1845" w:type="dxa"/>
          </w:tcPr>
          <w:p w14:paraId="7AFFBE4F" w14:textId="77777777" w:rsidR="001825E2" w:rsidRDefault="000839A5" w:rsidP="00CB00A7">
            <w:pPr>
              <w:pStyle w:val="TableParagraph"/>
              <w:spacing w:before="136"/>
              <w:ind w:left="20" w:right="20"/>
              <w:jc w:val="left"/>
              <w:rPr>
                <w:sz w:val="24"/>
              </w:rPr>
            </w:pPr>
            <w:r>
              <w:rPr>
                <w:spacing w:val="-6"/>
                <w:sz w:val="24"/>
              </w:rPr>
              <w:t>-</w:t>
            </w:r>
            <w:r>
              <w:rPr>
                <w:spacing w:val="-4"/>
                <w:sz w:val="24"/>
              </w:rPr>
              <w:t>0.19</w:t>
            </w:r>
          </w:p>
        </w:tc>
        <w:tc>
          <w:tcPr>
            <w:tcW w:w="4875" w:type="dxa"/>
            <w:gridSpan w:val="2"/>
          </w:tcPr>
          <w:p w14:paraId="4034D7BB" w14:textId="77777777" w:rsidR="001825E2" w:rsidRDefault="000839A5" w:rsidP="00CB00A7">
            <w:pPr>
              <w:pStyle w:val="TableParagraph"/>
              <w:spacing w:before="136"/>
              <w:ind w:left="30" w:right="1"/>
              <w:jc w:val="left"/>
              <w:rPr>
                <w:sz w:val="16"/>
              </w:rPr>
            </w:pPr>
            <w:r>
              <w:rPr>
                <w:spacing w:val="-6"/>
                <w:sz w:val="24"/>
              </w:rPr>
              <w:t>-</w:t>
            </w:r>
            <w:r>
              <w:rPr>
                <w:spacing w:val="-2"/>
                <w:sz w:val="24"/>
              </w:rPr>
              <w:t>0.50</w:t>
            </w:r>
            <w:r>
              <w:rPr>
                <w:spacing w:val="-2"/>
                <w:position w:val="7"/>
                <w:sz w:val="16"/>
              </w:rPr>
              <w:t>**</w:t>
            </w:r>
          </w:p>
        </w:tc>
      </w:tr>
      <w:tr w:rsidR="001825E2" w14:paraId="432A39E7" w14:textId="77777777">
        <w:trPr>
          <w:trHeight w:val="270"/>
        </w:trPr>
        <w:tc>
          <w:tcPr>
            <w:tcW w:w="9240" w:type="dxa"/>
            <w:gridSpan w:val="4"/>
          </w:tcPr>
          <w:p w14:paraId="60D0BE87" w14:textId="77777777" w:rsidR="001825E2" w:rsidRDefault="000839A5" w:rsidP="00CB00A7">
            <w:pPr>
              <w:pStyle w:val="TableParagraph"/>
              <w:spacing w:line="250" w:lineRule="exact"/>
              <w:ind w:left="33" w:right="16"/>
              <w:jc w:val="left"/>
              <w:rPr>
                <w:b/>
                <w:sz w:val="24"/>
              </w:rPr>
            </w:pPr>
            <w:r>
              <w:rPr>
                <w:b/>
                <w:sz w:val="24"/>
              </w:rPr>
              <w:t>Study</w:t>
            </w:r>
            <w:r>
              <w:rPr>
                <w:b/>
                <w:spacing w:val="-1"/>
                <w:sz w:val="24"/>
              </w:rPr>
              <w:t xml:space="preserve"> </w:t>
            </w:r>
            <w:r>
              <w:rPr>
                <w:b/>
                <w:sz w:val="24"/>
              </w:rPr>
              <w:t>II:</w:t>
            </w:r>
            <w:r>
              <w:rPr>
                <w:b/>
                <w:spacing w:val="10"/>
                <w:sz w:val="24"/>
              </w:rPr>
              <w:t xml:space="preserve"> </w:t>
            </w:r>
            <w:r>
              <w:rPr>
                <w:b/>
                <w:sz w:val="24"/>
              </w:rPr>
              <w:t>DMARD</w:t>
            </w:r>
            <w:r>
              <w:rPr>
                <w:b/>
                <w:spacing w:val="-9"/>
                <w:sz w:val="24"/>
              </w:rPr>
              <w:t xml:space="preserve"> </w:t>
            </w:r>
            <w:r>
              <w:rPr>
                <w:b/>
                <w:sz w:val="24"/>
              </w:rPr>
              <w:t>Inadequate</w:t>
            </w:r>
            <w:r>
              <w:rPr>
                <w:b/>
                <w:spacing w:val="-2"/>
                <w:sz w:val="24"/>
              </w:rPr>
              <w:t xml:space="preserve"> Responders</w:t>
            </w:r>
          </w:p>
        </w:tc>
      </w:tr>
      <w:tr w:rsidR="001825E2" w14:paraId="1BE17A1F" w14:textId="77777777">
        <w:trPr>
          <w:trHeight w:val="825"/>
        </w:trPr>
        <w:tc>
          <w:tcPr>
            <w:tcW w:w="2520" w:type="dxa"/>
          </w:tcPr>
          <w:p w14:paraId="45FC2C3C" w14:textId="77777777" w:rsidR="001825E2" w:rsidRDefault="001825E2" w:rsidP="00CB00A7">
            <w:pPr>
              <w:pStyle w:val="TableParagraph"/>
              <w:ind w:left="0"/>
              <w:jc w:val="left"/>
            </w:pPr>
          </w:p>
        </w:tc>
        <w:tc>
          <w:tcPr>
            <w:tcW w:w="1845" w:type="dxa"/>
          </w:tcPr>
          <w:p w14:paraId="7639C10D" w14:textId="77777777" w:rsidR="001825E2" w:rsidRDefault="000839A5" w:rsidP="00CB00A7">
            <w:pPr>
              <w:pStyle w:val="TableParagraph"/>
              <w:spacing w:line="270" w:lineRule="exact"/>
              <w:ind w:left="382" w:right="376" w:firstLine="11"/>
              <w:jc w:val="left"/>
              <w:rPr>
                <w:sz w:val="24"/>
              </w:rPr>
            </w:pPr>
            <w:r>
              <w:rPr>
                <w:sz w:val="24"/>
              </w:rPr>
              <w:t xml:space="preserve">Placebo + </w:t>
            </w:r>
            <w:r>
              <w:rPr>
                <w:spacing w:val="-2"/>
                <w:sz w:val="24"/>
              </w:rPr>
              <w:t>DMARD/s N=147</w:t>
            </w:r>
          </w:p>
        </w:tc>
        <w:tc>
          <w:tcPr>
            <w:tcW w:w="4875" w:type="dxa"/>
            <w:gridSpan w:val="2"/>
          </w:tcPr>
          <w:p w14:paraId="20B005F6" w14:textId="77777777" w:rsidR="001825E2" w:rsidRDefault="000839A5" w:rsidP="00CB00A7">
            <w:pPr>
              <w:pStyle w:val="TableParagraph"/>
              <w:spacing w:before="140" w:line="235" w:lineRule="auto"/>
              <w:ind w:left="2107" w:hanging="1800"/>
              <w:jc w:val="left"/>
              <w:rPr>
                <w:sz w:val="24"/>
              </w:rPr>
            </w:pPr>
            <w:r>
              <w:rPr>
                <w:sz w:val="24"/>
              </w:rPr>
              <w:t>XELJANZ</w:t>
            </w:r>
            <w:r>
              <w:rPr>
                <w:spacing w:val="-15"/>
                <w:sz w:val="24"/>
              </w:rPr>
              <w:t xml:space="preserve"> </w:t>
            </w:r>
            <w:r>
              <w:rPr>
                <w:sz w:val="24"/>
              </w:rPr>
              <w:t>5</w:t>
            </w:r>
            <w:r>
              <w:rPr>
                <w:spacing w:val="-16"/>
                <w:sz w:val="24"/>
              </w:rPr>
              <w:t xml:space="preserve"> </w:t>
            </w:r>
            <w:r>
              <w:rPr>
                <w:sz w:val="24"/>
              </w:rPr>
              <w:t>mg Twice Daily</w:t>
            </w:r>
            <w:r>
              <w:rPr>
                <w:spacing w:val="-5"/>
                <w:sz w:val="24"/>
              </w:rPr>
              <w:t xml:space="preserve"> </w:t>
            </w:r>
            <w:r>
              <w:rPr>
                <w:sz w:val="24"/>
              </w:rPr>
              <w:t>+</w:t>
            </w:r>
            <w:r>
              <w:rPr>
                <w:spacing w:val="-6"/>
                <w:sz w:val="24"/>
              </w:rPr>
              <w:t xml:space="preserve"> </w:t>
            </w:r>
            <w:r>
              <w:rPr>
                <w:sz w:val="24"/>
              </w:rPr>
              <w:t xml:space="preserve">DMARD(s) </w:t>
            </w:r>
            <w:r>
              <w:rPr>
                <w:spacing w:val="-4"/>
                <w:sz w:val="24"/>
              </w:rPr>
              <w:t>N=292</w:t>
            </w:r>
          </w:p>
        </w:tc>
      </w:tr>
      <w:tr w:rsidR="001825E2" w14:paraId="2B1AD7A9" w14:textId="77777777">
        <w:trPr>
          <w:trHeight w:val="540"/>
        </w:trPr>
        <w:tc>
          <w:tcPr>
            <w:tcW w:w="2520" w:type="dxa"/>
          </w:tcPr>
          <w:p w14:paraId="3416C33D" w14:textId="77777777" w:rsidR="001825E2" w:rsidRDefault="000839A5" w:rsidP="00CB00A7">
            <w:pPr>
              <w:pStyle w:val="TableParagraph"/>
              <w:spacing w:line="262" w:lineRule="exact"/>
              <w:jc w:val="left"/>
              <w:rPr>
                <w:sz w:val="24"/>
              </w:rPr>
            </w:pPr>
            <w:r>
              <w:rPr>
                <w:sz w:val="24"/>
              </w:rPr>
              <w:t>LS</w:t>
            </w:r>
            <w:r>
              <w:rPr>
                <w:spacing w:val="-1"/>
                <w:sz w:val="24"/>
              </w:rPr>
              <w:t xml:space="preserve"> </w:t>
            </w:r>
            <w:r>
              <w:rPr>
                <w:sz w:val="24"/>
              </w:rPr>
              <w:t>Mean</w:t>
            </w:r>
            <w:r>
              <w:rPr>
                <w:spacing w:val="-1"/>
                <w:sz w:val="24"/>
              </w:rPr>
              <w:t xml:space="preserve"> </w:t>
            </w:r>
            <w:r>
              <w:rPr>
                <w:sz w:val="24"/>
              </w:rPr>
              <w:t>Change</w:t>
            </w:r>
            <w:r>
              <w:rPr>
                <w:spacing w:val="-2"/>
                <w:sz w:val="24"/>
              </w:rPr>
              <w:t xml:space="preserve"> </w:t>
            </w:r>
            <w:r>
              <w:rPr>
                <w:spacing w:val="-5"/>
                <w:sz w:val="24"/>
              </w:rPr>
              <w:t>in</w:t>
            </w:r>
          </w:p>
          <w:p w14:paraId="684CDC0A" w14:textId="77777777" w:rsidR="001825E2" w:rsidRDefault="000839A5" w:rsidP="00CB00A7">
            <w:pPr>
              <w:pStyle w:val="TableParagraph"/>
              <w:spacing w:before="9" w:line="249" w:lineRule="exact"/>
              <w:jc w:val="left"/>
              <w:rPr>
                <w:sz w:val="16"/>
              </w:rPr>
            </w:pPr>
            <w:r>
              <w:rPr>
                <w:sz w:val="24"/>
              </w:rPr>
              <w:t>HAQ-DI</w:t>
            </w:r>
            <w:r>
              <w:rPr>
                <w:spacing w:val="2"/>
                <w:sz w:val="24"/>
              </w:rPr>
              <w:t xml:space="preserve"> </w:t>
            </w:r>
            <w:r>
              <w:rPr>
                <w:sz w:val="24"/>
              </w:rPr>
              <w:t>at Month</w:t>
            </w:r>
            <w:r>
              <w:rPr>
                <w:spacing w:val="-8"/>
                <w:sz w:val="24"/>
              </w:rPr>
              <w:t xml:space="preserve"> </w:t>
            </w:r>
            <w:r>
              <w:rPr>
                <w:spacing w:val="-5"/>
                <w:sz w:val="24"/>
              </w:rPr>
              <w:t>3</w:t>
            </w:r>
            <w:r>
              <w:rPr>
                <w:spacing w:val="-5"/>
                <w:position w:val="7"/>
                <w:sz w:val="16"/>
              </w:rPr>
              <w:t>a</w:t>
            </w:r>
          </w:p>
        </w:tc>
        <w:tc>
          <w:tcPr>
            <w:tcW w:w="1845" w:type="dxa"/>
          </w:tcPr>
          <w:p w14:paraId="67A26683" w14:textId="77777777" w:rsidR="001825E2" w:rsidRDefault="000839A5" w:rsidP="00CB00A7">
            <w:pPr>
              <w:pStyle w:val="TableParagraph"/>
              <w:spacing w:before="136"/>
              <w:ind w:left="20" w:right="20"/>
              <w:jc w:val="left"/>
              <w:rPr>
                <w:sz w:val="24"/>
              </w:rPr>
            </w:pPr>
            <w:r>
              <w:rPr>
                <w:spacing w:val="-6"/>
                <w:sz w:val="24"/>
              </w:rPr>
              <w:t>-</w:t>
            </w:r>
            <w:r>
              <w:rPr>
                <w:spacing w:val="-4"/>
                <w:sz w:val="24"/>
              </w:rPr>
              <w:t>0.21</w:t>
            </w:r>
          </w:p>
        </w:tc>
        <w:tc>
          <w:tcPr>
            <w:tcW w:w="4875" w:type="dxa"/>
            <w:gridSpan w:val="2"/>
          </w:tcPr>
          <w:p w14:paraId="5C43AB98" w14:textId="77777777" w:rsidR="001825E2" w:rsidRDefault="000839A5" w:rsidP="00CB00A7">
            <w:pPr>
              <w:pStyle w:val="TableParagraph"/>
              <w:spacing w:before="136"/>
              <w:ind w:left="30" w:right="1"/>
              <w:jc w:val="left"/>
              <w:rPr>
                <w:sz w:val="16"/>
              </w:rPr>
            </w:pPr>
            <w:r>
              <w:rPr>
                <w:spacing w:val="-6"/>
                <w:sz w:val="24"/>
              </w:rPr>
              <w:t>-</w:t>
            </w:r>
            <w:r>
              <w:rPr>
                <w:spacing w:val="-2"/>
                <w:sz w:val="24"/>
              </w:rPr>
              <w:t>0.46</w:t>
            </w:r>
            <w:r>
              <w:rPr>
                <w:spacing w:val="-2"/>
                <w:position w:val="7"/>
                <w:sz w:val="16"/>
              </w:rPr>
              <w:t>**</w:t>
            </w:r>
          </w:p>
        </w:tc>
      </w:tr>
      <w:tr w:rsidR="001825E2" w14:paraId="3475B736" w14:textId="77777777">
        <w:trPr>
          <w:trHeight w:val="269"/>
        </w:trPr>
        <w:tc>
          <w:tcPr>
            <w:tcW w:w="9240" w:type="dxa"/>
            <w:gridSpan w:val="4"/>
          </w:tcPr>
          <w:p w14:paraId="3FD04862" w14:textId="77777777" w:rsidR="001825E2" w:rsidRDefault="000839A5" w:rsidP="00CB00A7">
            <w:pPr>
              <w:pStyle w:val="TableParagraph"/>
              <w:spacing w:before="1" w:line="249" w:lineRule="exact"/>
              <w:ind w:left="33" w:right="15"/>
              <w:jc w:val="left"/>
              <w:rPr>
                <w:b/>
                <w:sz w:val="24"/>
              </w:rPr>
            </w:pPr>
            <w:r>
              <w:rPr>
                <w:b/>
                <w:sz w:val="24"/>
              </w:rPr>
              <w:t>Study</w:t>
            </w:r>
            <w:r>
              <w:rPr>
                <w:b/>
                <w:spacing w:val="-5"/>
                <w:sz w:val="24"/>
              </w:rPr>
              <w:t xml:space="preserve"> </w:t>
            </w:r>
            <w:r>
              <w:rPr>
                <w:b/>
                <w:sz w:val="24"/>
              </w:rPr>
              <w:t>III:</w:t>
            </w:r>
            <w:r>
              <w:rPr>
                <w:b/>
                <w:spacing w:val="5"/>
                <w:sz w:val="24"/>
              </w:rPr>
              <w:t xml:space="preserve"> </w:t>
            </w:r>
            <w:r>
              <w:rPr>
                <w:b/>
                <w:sz w:val="24"/>
              </w:rPr>
              <w:t>MTX</w:t>
            </w:r>
            <w:r>
              <w:rPr>
                <w:b/>
                <w:spacing w:val="-13"/>
                <w:sz w:val="24"/>
              </w:rPr>
              <w:t xml:space="preserve"> </w:t>
            </w:r>
            <w:r>
              <w:rPr>
                <w:b/>
                <w:sz w:val="24"/>
              </w:rPr>
              <w:t>Inadequate</w:t>
            </w:r>
            <w:r>
              <w:rPr>
                <w:b/>
                <w:spacing w:val="8"/>
                <w:sz w:val="24"/>
              </w:rPr>
              <w:t xml:space="preserve"> </w:t>
            </w:r>
            <w:r>
              <w:rPr>
                <w:b/>
                <w:spacing w:val="-2"/>
                <w:sz w:val="24"/>
              </w:rPr>
              <w:t>Responders</w:t>
            </w:r>
          </w:p>
        </w:tc>
      </w:tr>
      <w:tr w:rsidR="001825E2" w14:paraId="3035653E" w14:textId="77777777">
        <w:trPr>
          <w:trHeight w:val="825"/>
        </w:trPr>
        <w:tc>
          <w:tcPr>
            <w:tcW w:w="2520" w:type="dxa"/>
          </w:tcPr>
          <w:p w14:paraId="230263C4" w14:textId="77777777" w:rsidR="001825E2" w:rsidRDefault="001825E2" w:rsidP="00CB00A7">
            <w:pPr>
              <w:pStyle w:val="TableParagraph"/>
              <w:ind w:left="0"/>
              <w:jc w:val="left"/>
            </w:pPr>
          </w:p>
        </w:tc>
        <w:tc>
          <w:tcPr>
            <w:tcW w:w="1845" w:type="dxa"/>
          </w:tcPr>
          <w:p w14:paraId="2DBA252E" w14:textId="77777777" w:rsidR="001825E2" w:rsidRDefault="000839A5" w:rsidP="00CB00A7">
            <w:pPr>
              <w:pStyle w:val="TableParagraph"/>
              <w:spacing w:before="140" w:line="235" w:lineRule="auto"/>
              <w:ind w:left="637" w:right="146" w:hanging="495"/>
              <w:jc w:val="left"/>
              <w:rPr>
                <w:sz w:val="24"/>
              </w:rPr>
            </w:pPr>
            <w:r>
              <w:rPr>
                <w:sz w:val="24"/>
              </w:rPr>
              <w:t>Placebo</w:t>
            </w:r>
            <w:r>
              <w:rPr>
                <w:spacing w:val="-12"/>
                <w:sz w:val="24"/>
              </w:rPr>
              <w:t xml:space="preserve"> </w:t>
            </w:r>
            <w:r>
              <w:rPr>
                <w:sz w:val="24"/>
              </w:rPr>
              <w:t>+</w:t>
            </w:r>
            <w:r>
              <w:rPr>
                <w:spacing w:val="-15"/>
                <w:sz w:val="24"/>
              </w:rPr>
              <w:t xml:space="preserve"> </w:t>
            </w:r>
            <w:r>
              <w:rPr>
                <w:sz w:val="24"/>
              </w:rPr>
              <w:t xml:space="preserve">MTX </w:t>
            </w:r>
            <w:r>
              <w:rPr>
                <w:spacing w:val="-4"/>
                <w:sz w:val="24"/>
              </w:rPr>
              <w:t>N=96</w:t>
            </w:r>
          </w:p>
        </w:tc>
        <w:tc>
          <w:tcPr>
            <w:tcW w:w="2265" w:type="dxa"/>
          </w:tcPr>
          <w:p w14:paraId="59311A6B" w14:textId="77777777" w:rsidR="001825E2" w:rsidRDefault="000839A5" w:rsidP="00CB00A7">
            <w:pPr>
              <w:pStyle w:val="TableParagraph"/>
              <w:spacing w:before="1" w:line="273" w:lineRule="exact"/>
              <w:ind w:left="30" w:right="12"/>
              <w:jc w:val="left"/>
              <w:rPr>
                <w:sz w:val="24"/>
              </w:rPr>
            </w:pPr>
            <w:r>
              <w:rPr>
                <w:spacing w:val="-2"/>
                <w:sz w:val="24"/>
              </w:rPr>
              <w:t>XELJANZ</w:t>
            </w:r>
          </w:p>
          <w:p w14:paraId="4BCF6A5D" w14:textId="77777777" w:rsidR="001825E2" w:rsidRDefault="000839A5" w:rsidP="00CB00A7">
            <w:pPr>
              <w:pStyle w:val="TableParagraph"/>
              <w:spacing w:line="273" w:lineRule="exact"/>
              <w:ind w:left="30" w:right="7"/>
              <w:jc w:val="left"/>
              <w:rPr>
                <w:sz w:val="24"/>
              </w:rPr>
            </w:pPr>
            <w:r>
              <w:rPr>
                <w:sz w:val="24"/>
              </w:rPr>
              <w:t>5</w:t>
            </w:r>
            <w:r>
              <w:rPr>
                <w:spacing w:val="-1"/>
                <w:sz w:val="24"/>
              </w:rPr>
              <w:t xml:space="preserve"> </w:t>
            </w:r>
            <w:r>
              <w:rPr>
                <w:sz w:val="24"/>
              </w:rPr>
              <w:t>mg BD</w:t>
            </w:r>
            <w:r>
              <w:rPr>
                <w:spacing w:val="5"/>
                <w:sz w:val="24"/>
              </w:rPr>
              <w:t xml:space="preserve"> </w:t>
            </w:r>
            <w:r>
              <w:rPr>
                <w:sz w:val="24"/>
              </w:rPr>
              <w:t>+</w:t>
            </w:r>
            <w:r>
              <w:rPr>
                <w:spacing w:val="-1"/>
                <w:sz w:val="24"/>
              </w:rPr>
              <w:t xml:space="preserve"> </w:t>
            </w:r>
            <w:r>
              <w:rPr>
                <w:spacing w:val="-5"/>
                <w:sz w:val="24"/>
              </w:rPr>
              <w:t>MTX</w:t>
            </w:r>
          </w:p>
          <w:p w14:paraId="6F305669" w14:textId="77777777" w:rsidR="001825E2" w:rsidRDefault="000839A5" w:rsidP="00CB00A7">
            <w:pPr>
              <w:pStyle w:val="TableParagraph"/>
              <w:spacing w:before="9" w:line="249" w:lineRule="exact"/>
              <w:ind w:left="30"/>
              <w:jc w:val="left"/>
              <w:rPr>
                <w:sz w:val="24"/>
              </w:rPr>
            </w:pPr>
            <w:r>
              <w:rPr>
                <w:spacing w:val="-2"/>
                <w:sz w:val="24"/>
              </w:rPr>
              <w:t>N=185</w:t>
            </w:r>
          </w:p>
        </w:tc>
        <w:tc>
          <w:tcPr>
            <w:tcW w:w="2610" w:type="dxa"/>
          </w:tcPr>
          <w:p w14:paraId="2C6FF82D" w14:textId="77777777" w:rsidR="001825E2" w:rsidRDefault="000839A5" w:rsidP="00CB00A7">
            <w:pPr>
              <w:pStyle w:val="TableParagraph"/>
              <w:spacing w:before="1" w:line="273" w:lineRule="exact"/>
              <w:ind w:left="15" w:right="1"/>
              <w:jc w:val="left"/>
              <w:rPr>
                <w:sz w:val="24"/>
              </w:rPr>
            </w:pPr>
            <w:r>
              <w:rPr>
                <w:spacing w:val="-2"/>
                <w:sz w:val="24"/>
              </w:rPr>
              <w:t>Adalimumab</w:t>
            </w:r>
          </w:p>
          <w:p w14:paraId="5E909DE7" w14:textId="77777777" w:rsidR="001825E2" w:rsidRDefault="000839A5" w:rsidP="00CB00A7">
            <w:pPr>
              <w:pStyle w:val="TableParagraph"/>
              <w:spacing w:line="273" w:lineRule="exact"/>
              <w:ind w:left="15" w:right="7"/>
              <w:jc w:val="left"/>
              <w:rPr>
                <w:sz w:val="24"/>
              </w:rPr>
            </w:pPr>
            <w:r>
              <w:rPr>
                <w:sz w:val="24"/>
              </w:rPr>
              <w:t>40</w:t>
            </w:r>
            <w:r>
              <w:rPr>
                <w:spacing w:val="1"/>
                <w:sz w:val="24"/>
              </w:rPr>
              <w:t xml:space="preserve"> </w:t>
            </w:r>
            <w:r>
              <w:rPr>
                <w:sz w:val="24"/>
              </w:rPr>
              <w:t>mg</w:t>
            </w:r>
            <w:r>
              <w:rPr>
                <w:spacing w:val="1"/>
                <w:sz w:val="24"/>
              </w:rPr>
              <w:t xml:space="preserve"> </w:t>
            </w:r>
            <w:r>
              <w:rPr>
                <w:sz w:val="24"/>
              </w:rPr>
              <w:t>QOW</w:t>
            </w:r>
            <w:r>
              <w:rPr>
                <w:spacing w:val="-1"/>
                <w:sz w:val="24"/>
              </w:rPr>
              <w:t xml:space="preserve"> </w:t>
            </w:r>
            <w:r>
              <w:rPr>
                <w:sz w:val="24"/>
              </w:rPr>
              <w:t>+</w:t>
            </w:r>
            <w:r>
              <w:rPr>
                <w:spacing w:val="1"/>
                <w:sz w:val="24"/>
              </w:rPr>
              <w:t xml:space="preserve"> </w:t>
            </w:r>
            <w:r>
              <w:rPr>
                <w:spacing w:val="-5"/>
                <w:sz w:val="24"/>
              </w:rPr>
              <w:t>MTX</w:t>
            </w:r>
          </w:p>
          <w:p w14:paraId="6D0692AA" w14:textId="77777777" w:rsidR="001825E2" w:rsidRDefault="000839A5" w:rsidP="00CB00A7">
            <w:pPr>
              <w:pStyle w:val="TableParagraph"/>
              <w:spacing w:before="9" w:line="249" w:lineRule="exact"/>
              <w:ind w:left="15"/>
              <w:jc w:val="left"/>
              <w:rPr>
                <w:sz w:val="24"/>
              </w:rPr>
            </w:pPr>
            <w:r>
              <w:rPr>
                <w:spacing w:val="-2"/>
                <w:sz w:val="24"/>
              </w:rPr>
              <w:t>N=188</w:t>
            </w:r>
          </w:p>
        </w:tc>
      </w:tr>
      <w:tr w:rsidR="001825E2" w14:paraId="05DD777B" w14:textId="77777777">
        <w:trPr>
          <w:trHeight w:val="555"/>
        </w:trPr>
        <w:tc>
          <w:tcPr>
            <w:tcW w:w="2520" w:type="dxa"/>
          </w:tcPr>
          <w:p w14:paraId="0B79BB24" w14:textId="77777777" w:rsidR="001825E2" w:rsidRDefault="000839A5" w:rsidP="00CB00A7">
            <w:pPr>
              <w:pStyle w:val="TableParagraph"/>
              <w:spacing w:line="270" w:lineRule="exact"/>
              <w:ind w:right="352"/>
              <w:jc w:val="left"/>
              <w:rPr>
                <w:sz w:val="16"/>
              </w:rPr>
            </w:pPr>
            <w:r>
              <w:rPr>
                <w:sz w:val="24"/>
              </w:rPr>
              <w:t>LS Mean Change in HAQ-DI</w:t>
            </w:r>
            <w:r>
              <w:rPr>
                <w:spacing w:val="-12"/>
                <w:sz w:val="24"/>
              </w:rPr>
              <w:t xml:space="preserve"> </w:t>
            </w:r>
            <w:r>
              <w:rPr>
                <w:sz w:val="24"/>
              </w:rPr>
              <w:t>at</w:t>
            </w:r>
            <w:r>
              <w:rPr>
                <w:spacing w:val="-10"/>
                <w:sz w:val="24"/>
              </w:rPr>
              <w:t xml:space="preserve"> </w:t>
            </w:r>
            <w:r>
              <w:rPr>
                <w:sz w:val="24"/>
              </w:rPr>
              <w:t>Month</w:t>
            </w:r>
            <w:r>
              <w:rPr>
                <w:spacing w:val="-15"/>
                <w:sz w:val="24"/>
              </w:rPr>
              <w:t xml:space="preserve"> </w:t>
            </w:r>
            <w:r>
              <w:rPr>
                <w:sz w:val="24"/>
              </w:rPr>
              <w:t>3</w:t>
            </w:r>
            <w:r>
              <w:rPr>
                <w:position w:val="7"/>
                <w:sz w:val="16"/>
              </w:rPr>
              <w:t>a</w:t>
            </w:r>
          </w:p>
        </w:tc>
        <w:tc>
          <w:tcPr>
            <w:tcW w:w="1845" w:type="dxa"/>
          </w:tcPr>
          <w:p w14:paraId="580D0FB8" w14:textId="77777777" w:rsidR="001825E2" w:rsidRDefault="000839A5" w:rsidP="00CB00A7">
            <w:pPr>
              <w:pStyle w:val="TableParagraph"/>
              <w:spacing w:before="136"/>
              <w:ind w:left="20" w:right="20"/>
              <w:jc w:val="left"/>
              <w:rPr>
                <w:sz w:val="24"/>
              </w:rPr>
            </w:pPr>
            <w:r>
              <w:rPr>
                <w:spacing w:val="-6"/>
                <w:sz w:val="24"/>
              </w:rPr>
              <w:t>-</w:t>
            </w:r>
            <w:r>
              <w:rPr>
                <w:spacing w:val="-4"/>
                <w:sz w:val="24"/>
              </w:rPr>
              <w:t>0.24</w:t>
            </w:r>
          </w:p>
        </w:tc>
        <w:tc>
          <w:tcPr>
            <w:tcW w:w="2265" w:type="dxa"/>
          </w:tcPr>
          <w:p w14:paraId="0820F62A" w14:textId="77777777" w:rsidR="001825E2" w:rsidRDefault="000839A5" w:rsidP="00CB00A7">
            <w:pPr>
              <w:pStyle w:val="TableParagraph"/>
              <w:spacing w:before="136"/>
              <w:ind w:left="30" w:right="1"/>
              <w:jc w:val="left"/>
              <w:rPr>
                <w:sz w:val="16"/>
              </w:rPr>
            </w:pPr>
            <w:r>
              <w:rPr>
                <w:spacing w:val="-6"/>
                <w:sz w:val="24"/>
              </w:rPr>
              <w:t>-</w:t>
            </w:r>
            <w:r>
              <w:rPr>
                <w:spacing w:val="-2"/>
                <w:sz w:val="24"/>
              </w:rPr>
              <w:t>0.54</w:t>
            </w:r>
            <w:r>
              <w:rPr>
                <w:spacing w:val="-2"/>
                <w:position w:val="7"/>
                <w:sz w:val="16"/>
              </w:rPr>
              <w:t>**</w:t>
            </w:r>
          </w:p>
        </w:tc>
        <w:tc>
          <w:tcPr>
            <w:tcW w:w="2610" w:type="dxa"/>
          </w:tcPr>
          <w:p w14:paraId="73906772" w14:textId="77777777" w:rsidR="001825E2" w:rsidRDefault="000839A5" w:rsidP="00CB00A7">
            <w:pPr>
              <w:pStyle w:val="TableParagraph"/>
              <w:spacing w:before="136"/>
              <w:ind w:left="15" w:right="1"/>
              <w:jc w:val="left"/>
              <w:rPr>
                <w:sz w:val="16"/>
              </w:rPr>
            </w:pPr>
            <w:r>
              <w:rPr>
                <w:spacing w:val="-6"/>
                <w:sz w:val="24"/>
              </w:rPr>
              <w:t>-</w:t>
            </w:r>
            <w:r>
              <w:rPr>
                <w:spacing w:val="-2"/>
                <w:sz w:val="24"/>
              </w:rPr>
              <w:t>0.50</w:t>
            </w:r>
            <w:r>
              <w:rPr>
                <w:spacing w:val="-2"/>
                <w:position w:val="7"/>
                <w:sz w:val="16"/>
              </w:rPr>
              <w:t>**</w:t>
            </w:r>
          </w:p>
        </w:tc>
      </w:tr>
      <w:tr w:rsidR="001825E2" w14:paraId="77099823" w14:textId="77777777">
        <w:trPr>
          <w:trHeight w:val="270"/>
        </w:trPr>
        <w:tc>
          <w:tcPr>
            <w:tcW w:w="9240" w:type="dxa"/>
            <w:gridSpan w:val="4"/>
          </w:tcPr>
          <w:p w14:paraId="1C3D4EED" w14:textId="77777777" w:rsidR="001825E2" w:rsidRDefault="000839A5" w:rsidP="00CB00A7">
            <w:pPr>
              <w:pStyle w:val="TableParagraph"/>
              <w:spacing w:line="250" w:lineRule="exact"/>
              <w:ind w:left="33" w:right="1"/>
              <w:jc w:val="left"/>
              <w:rPr>
                <w:b/>
                <w:sz w:val="24"/>
              </w:rPr>
            </w:pPr>
            <w:r>
              <w:rPr>
                <w:b/>
                <w:sz w:val="24"/>
              </w:rPr>
              <w:t>Study</w:t>
            </w:r>
            <w:r>
              <w:rPr>
                <w:b/>
                <w:spacing w:val="-2"/>
                <w:sz w:val="24"/>
              </w:rPr>
              <w:t xml:space="preserve"> </w:t>
            </w:r>
            <w:r>
              <w:rPr>
                <w:b/>
                <w:sz w:val="24"/>
              </w:rPr>
              <w:t>IV:</w:t>
            </w:r>
            <w:r>
              <w:rPr>
                <w:b/>
                <w:spacing w:val="-6"/>
                <w:sz w:val="24"/>
              </w:rPr>
              <w:t xml:space="preserve"> </w:t>
            </w:r>
            <w:r>
              <w:rPr>
                <w:b/>
                <w:sz w:val="24"/>
              </w:rPr>
              <w:t>MTX</w:t>
            </w:r>
            <w:r>
              <w:rPr>
                <w:b/>
                <w:spacing w:val="5"/>
                <w:sz w:val="24"/>
              </w:rPr>
              <w:t xml:space="preserve"> </w:t>
            </w:r>
            <w:r>
              <w:rPr>
                <w:b/>
                <w:sz w:val="24"/>
              </w:rPr>
              <w:t>Inadequate</w:t>
            </w:r>
            <w:r>
              <w:rPr>
                <w:b/>
                <w:spacing w:val="-3"/>
                <w:sz w:val="24"/>
              </w:rPr>
              <w:t xml:space="preserve"> </w:t>
            </w:r>
            <w:r>
              <w:rPr>
                <w:b/>
                <w:spacing w:val="-2"/>
                <w:sz w:val="24"/>
              </w:rPr>
              <w:t>Responders</w:t>
            </w:r>
          </w:p>
        </w:tc>
      </w:tr>
      <w:tr w:rsidR="001825E2" w14:paraId="1136F8C0" w14:textId="77777777">
        <w:trPr>
          <w:trHeight w:val="539"/>
        </w:trPr>
        <w:tc>
          <w:tcPr>
            <w:tcW w:w="2520" w:type="dxa"/>
          </w:tcPr>
          <w:p w14:paraId="461E5FD7" w14:textId="77777777" w:rsidR="001825E2" w:rsidRDefault="001825E2" w:rsidP="00CB00A7">
            <w:pPr>
              <w:pStyle w:val="TableParagraph"/>
              <w:ind w:left="0"/>
              <w:jc w:val="left"/>
            </w:pPr>
          </w:p>
        </w:tc>
        <w:tc>
          <w:tcPr>
            <w:tcW w:w="1845" w:type="dxa"/>
          </w:tcPr>
          <w:p w14:paraId="164F8EF4" w14:textId="77777777" w:rsidR="001825E2" w:rsidRDefault="000839A5" w:rsidP="00CB00A7">
            <w:pPr>
              <w:pStyle w:val="TableParagraph"/>
              <w:spacing w:line="262" w:lineRule="exact"/>
              <w:ind w:left="20" w:right="12"/>
              <w:jc w:val="left"/>
              <w:rPr>
                <w:sz w:val="24"/>
              </w:rPr>
            </w:pPr>
            <w:proofErr w:type="spellStart"/>
            <w:r>
              <w:rPr>
                <w:spacing w:val="-2"/>
                <w:sz w:val="24"/>
              </w:rPr>
              <w:t>Placebo+MTX</w:t>
            </w:r>
            <w:proofErr w:type="spellEnd"/>
          </w:p>
          <w:p w14:paraId="052BE3F0" w14:textId="77777777" w:rsidR="001825E2" w:rsidRDefault="000839A5" w:rsidP="00CB00A7">
            <w:pPr>
              <w:pStyle w:val="TableParagraph"/>
              <w:spacing w:before="9" w:line="249" w:lineRule="exact"/>
              <w:ind w:left="20" w:right="20"/>
              <w:jc w:val="left"/>
              <w:rPr>
                <w:sz w:val="24"/>
              </w:rPr>
            </w:pPr>
            <w:r>
              <w:rPr>
                <w:spacing w:val="-2"/>
                <w:sz w:val="24"/>
              </w:rPr>
              <w:t>N=146</w:t>
            </w:r>
          </w:p>
        </w:tc>
        <w:tc>
          <w:tcPr>
            <w:tcW w:w="4875" w:type="dxa"/>
            <w:gridSpan w:val="2"/>
          </w:tcPr>
          <w:p w14:paraId="7FD411A0" w14:textId="77777777" w:rsidR="001825E2" w:rsidRDefault="000839A5" w:rsidP="00CB00A7">
            <w:pPr>
              <w:pStyle w:val="TableParagraph"/>
              <w:spacing w:line="262" w:lineRule="exact"/>
              <w:ind w:left="30" w:right="22"/>
              <w:jc w:val="left"/>
              <w:rPr>
                <w:sz w:val="24"/>
              </w:rPr>
            </w:pPr>
            <w:r>
              <w:rPr>
                <w:sz w:val="24"/>
              </w:rPr>
              <w:t>XELJANZ</w:t>
            </w:r>
            <w:r>
              <w:rPr>
                <w:spacing w:val="-15"/>
                <w:sz w:val="24"/>
              </w:rPr>
              <w:t xml:space="preserve"> </w:t>
            </w:r>
            <w:r>
              <w:rPr>
                <w:sz w:val="24"/>
              </w:rPr>
              <w:t>5</w:t>
            </w:r>
            <w:r>
              <w:rPr>
                <w:spacing w:val="-16"/>
                <w:sz w:val="24"/>
              </w:rPr>
              <w:t xml:space="preserve"> </w:t>
            </w:r>
            <w:r>
              <w:rPr>
                <w:sz w:val="24"/>
              </w:rPr>
              <w:t>mg</w:t>
            </w:r>
            <w:r>
              <w:rPr>
                <w:spacing w:val="12"/>
                <w:sz w:val="24"/>
              </w:rPr>
              <w:t xml:space="preserve"> </w:t>
            </w:r>
            <w:r>
              <w:rPr>
                <w:sz w:val="24"/>
              </w:rPr>
              <w:t>Twice</w:t>
            </w:r>
            <w:r>
              <w:rPr>
                <w:spacing w:val="10"/>
                <w:sz w:val="24"/>
              </w:rPr>
              <w:t xml:space="preserve"> </w:t>
            </w:r>
            <w:r>
              <w:rPr>
                <w:sz w:val="24"/>
              </w:rPr>
              <w:t>Daily</w:t>
            </w:r>
            <w:r>
              <w:rPr>
                <w:spacing w:val="-2"/>
                <w:sz w:val="24"/>
              </w:rPr>
              <w:t xml:space="preserve"> </w:t>
            </w:r>
            <w:r>
              <w:rPr>
                <w:sz w:val="24"/>
              </w:rPr>
              <w:t>+</w:t>
            </w:r>
            <w:r>
              <w:rPr>
                <w:spacing w:val="-2"/>
                <w:sz w:val="24"/>
              </w:rPr>
              <w:t xml:space="preserve"> </w:t>
            </w:r>
            <w:r>
              <w:rPr>
                <w:spacing w:val="-5"/>
                <w:sz w:val="24"/>
              </w:rPr>
              <w:t>MTX</w:t>
            </w:r>
          </w:p>
          <w:p w14:paraId="05B5241C" w14:textId="77777777" w:rsidR="001825E2" w:rsidRDefault="000839A5" w:rsidP="00CB00A7">
            <w:pPr>
              <w:pStyle w:val="TableParagraph"/>
              <w:spacing w:before="9" w:line="249" w:lineRule="exact"/>
              <w:ind w:left="30"/>
              <w:jc w:val="left"/>
              <w:rPr>
                <w:sz w:val="24"/>
              </w:rPr>
            </w:pPr>
            <w:r>
              <w:rPr>
                <w:spacing w:val="-2"/>
                <w:sz w:val="24"/>
              </w:rPr>
              <w:t>N=294</w:t>
            </w:r>
          </w:p>
        </w:tc>
      </w:tr>
      <w:tr w:rsidR="001825E2" w14:paraId="14DDD0CC" w14:textId="77777777">
        <w:trPr>
          <w:trHeight w:val="555"/>
        </w:trPr>
        <w:tc>
          <w:tcPr>
            <w:tcW w:w="2520" w:type="dxa"/>
          </w:tcPr>
          <w:p w14:paraId="04F1A888" w14:textId="77777777" w:rsidR="001825E2" w:rsidRDefault="000839A5" w:rsidP="00CB00A7">
            <w:pPr>
              <w:pStyle w:val="TableParagraph"/>
              <w:spacing w:line="270" w:lineRule="exact"/>
              <w:ind w:right="352"/>
              <w:jc w:val="left"/>
              <w:rPr>
                <w:sz w:val="16"/>
              </w:rPr>
            </w:pPr>
            <w:r>
              <w:rPr>
                <w:sz w:val="24"/>
              </w:rPr>
              <w:t>LS Mean Change in HAQ-DI</w:t>
            </w:r>
            <w:r>
              <w:rPr>
                <w:spacing w:val="-12"/>
                <w:sz w:val="24"/>
              </w:rPr>
              <w:t xml:space="preserve"> </w:t>
            </w:r>
            <w:r>
              <w:rPr>
                <w:sz w:val="24"/>
              </w:rPr>
              <w:t>at</w:t>
            </w:r>
            <w:r>
              <w:rPr>
                <w:spacing w:val="-10"/>
                <w:sz w:val="24"/>
              </w:rPr>
              <w:t xml:space="preserve"> </w:t>
            </w:r>
            <w:r>
              <w:rPr>
                <w:sz w:val="24"/>
              </w:rPr>
              <w:t>Month</w:t>
            </w:r>
            <w:r>
              <w:rPr>
                <w:spacing w:val="-15"/>
                <w:sz w:val="24"/>
              </w:rPr>
              <w:t xml:space="preserve"> </w:t>
            </w:r>
            <w:r>
              <w:rPr>
                <w:sz w:val="24"/>
              </w:rPr>
              <w:t>3</w:t>
            </w:r>
            <w:r>
              <w:rPr>
                <w:position w:val="7"/>
                <w:sz w:val="16"/>
              </w:rPr>
              <w:t>a</w:t>
            </w:r>
          </w:p>
        </w:tc>
        <w:tc>
          <w:tcPr>
            <w:tcW w:w="1845" w:type="dxa"/>
          </w:tcPr>
          <w:p w14:paraId="45DB2786" w14:textId="77777777" w:rsidR="001825E2" w:rsidRDefault="000839A5" w:rsidP="00CB00A7">
            <w:pPr>
              <w:pStyle w:val="TableParagraph"/>
              <w:spacing w:before="136"/>
              <w:ind w:left="20" w:right="20"/>
              <w:jc w:val="left"/>
              <w:rPr>
                <w:sz w:val="24"/>
              </w:rPr>
            </w:pPr>
            <w:r>
              <w:rPr>
                <w:spacing w:val="-6"/>
                <w:sz w:val="24"/>
              </w:rPr>
              <w:t>-</w:t>
            </w:r>
            <w:r>
              <w:rPr>
                <w:spacing w:val="-4"/>
                <w:sz w:val="24"/>
              </w:rPr>
              <w:t>0.15</w:t>
            </w:r>
          </w:p>
        </w:tc>
        <w:tc>
          <w:tcPr>
            <w:tcW w:w="4875" w:type="dxa"/>
            <w:gridSpan w:val="2"/>
          </w:tcPr>
          <w:p w14:paraId="0388096A" w14:textId="77777777" w:rsidR="001825E2" w:rsidRDefault="000839A5" w:rsidP="00CB00A7">
            <w:pPr>
              <w:pStyle w:val="TableParagraph"/>
              <w:spacing w:before="136"/>
              <w:ind w:left="30" w:right="8"/>
              <w:jc w:val="left"/>
              <w:rPr>
                <w:sz w:val="16"/>
              </w:rPr>
            </w:pPr>
            <w:r>
              <w:rPr>
                <w:spacing w:val="-6"/>
                <w:sz w:val="24"/>
              </w:rPr>
              <w:t>-</w:t>
            </w:r>
            <w:r>
              <w:rPr>
                <w:spacing w:val="-2"/>
                <w:sz w:val="24"/>
              </w:rPr>
              <w:t>0.40</w:t>
            </w:r>
            <w:r>
              <w:rPr>
                <w:spacing w:val="-2"/>
                <w:position w:val="7"/>
                <w:sz w:val="16"/>
              </w:rPr>
              <w:t>b</w:t>
            </w:r>
          </w:p>
        </w:tc>
      </w:tr>
      <w:tr w:rsidR="001825E2" w14:paraId="3B4D479B" w14:textId="77777777">
        <w:trPr>
          <w:trHeight w:val="269"/>
        </w:trPr>
        <w:tc>
          <w:tcPr>
            <w:tcW w:w="9240" w:type="dxa"/>
            <w:gridSpan w:val="4"/>
          </w:tcPr>
          <w:p w14:paraId="1C9FD8CF" w14:textId="77777777" w:rsidR="001825E2" w:rsidRDefault="000839A5" w:rsidP="00CB00A7">
            <w:pPr>
              <w:pStyle w:val="TableParagraph"/>
              <w:spacing w:line="250" w:lineRule="exact"/>
              <w:ind w:left="33" w:right="16"/>
              <w:jc w:val="left"/>
              <w:rPr>
                <w:b/>
                <w:sz w:val="24"/>
              </w:rPr>
            </w:pPr>
            <w:r>
              <w:rPr>
                <w:b/>
                <w:sz w:val="24"/>
              </w:rPr>
              <w:t>Study</w:t>
            </w:r>
            <w:r>
              <w:rPr>
                <w:b/>
                <w:spacing w:val="-3"/>
                <w:sz w:val="24"/>
              </w:rPr>
              <w:t xml:space="preserve"> </w:t>
            </w:r>
            <w:r>
              <w:rPr>
                <w:b/>
                <w:sz w:val="24"/>
              </w:rPr>
              <w:t>V:</w:t>
            </w:r>
            <w:r>
              <w:rPr>
                <w:b/>
                <w:spacing w:val="-7"/>
                <w:sz w:val="24"/>
              </w:rPr>
              <w:t xml:space="preserve"> </w:t>
            </w:r>
            <w:r>
              <w:rPr>
                <w:b/>
                <w:sz w:val="24"/>
              </w:rPr>
              <w:t>TNF</w:t>
            </w:r>
            <w:r>
              <w:rPr>
                <w:b/>
                <w:spacing w:val="-14"/>
                <w:sz w:val="24"/>
              </w:rPr>
              <w:t xml:space="preserve"> </w:t>
            </w:r>
            <w:r>
              <w:rPr>
                <w:b/>
                <w:sz w:val="24"/>
              </w:rPr>
              <w:t>Inhibitor</w:t>
            </w:r>
            <w:r>
              <w:rPr>
                <w:b/>
                <w:spacing w:val="10"/>
                <w:sz w:val="24"/>
              </w:rPr>
              <w:t xml:space="preserve"> </w:t>
            </w:r>
            <w:r>
              <w:rPr>
                <w:b/>
                <w:sz w:val="24"/>
              </w:rPr>
              <w:t>Inadequate</w:t>
            </w:r>
            <w:r>
              <w:rPr>
                <w:b/>
                <w:spacing w:val="10"/>
                <w:sz w:val="24"/>
              </w:rPr>
              <w:t xml:space="preserve"> </w:t>
            </w:r>
            <w:r>
              <w:rPr>
                <w:b/>
                <w:spacing w:val="-2"/>
                <w:sz w:val="24"/>
              </w:rPr>
              <w:t>Responders</w:t>
            </w:r>
          </w:p>
        </w:tc>
      </w:tr>
      <w:tr w:rsidR="001825E2" w14:paraId="729AE846" w14:textId="77777777">
        <w:trPr>
          <w:trHeight w:val="540"/>
        </w:trPr>
        <w:tc>
          <w:tcPr>
            <w:tcW w:w="2520" w:type="dxa"/>
          </w:tcPr>
          <w:p w14:paraId="1EC0C6F3" w14:textId="77777777" w:rsidR="001825E2" w:rsidRDefault="001825E2" w:rsidP="00CB00A7">
            <w:pPr>
              <w:pStyle w:val="TableParagraph"/>
              <w:ind w:left="0"/>
              <w:jc w:val="left"/>
            </w:pPr>
          </w:p>
        </w:tc>
        <w:tc>
          <w:tcPr>
            <w:tcW w:w="1845" w:type="dxa"/>
          </w:tcPr>
          <w:p w14:paraId="649D103F" w14:textId="77777777" w:rsidR="001825E2" w:rsidRDefault="000839A5" w:rsidP="00CB00A7">
            <w:pPr>
              <w:pStyle w:val="TableParagraph"/>
              <w:spacing w:line="262" w:lineRule="exact"/>
              <w:ind w:left="547"/>
              <w:jc w:val="left"/>
              <w:rPr>
                <w:sz w:val="24"/>
              </w:rPr>
            </w:pPr>
            <w:r>
              <w:rPr>
                <w:spacing w:val="-2"/>
                <w:sz w:val="24"/>
              </w:rPr>
              <w:t>Placebo</w:t>
            </w:r>
          </w:p>
          <w:p w14:paraId="78853506" w14:textId="77777777" w:rsidR="001825E2" w:rsidRDefault="000839A5" w:rsidP="00CB00A7">
            <w:pPr>
              <w:pStyle w:val="TableParagraph"/>
              <w:spacing w:before="9" w:line="249" w:lineRule="exact"/>
              <w:ind w:left="577"/>
              <w:jc w:val="left"/>
              <w:rPr>
                <w:sz w:val="24"/>
              </w:rPr>
            </w:pPr>
            <w:r>
              <w:rPr>
                <w:spacing w:val="-2"/>
                <w:sz w:val="24"/>
              </w:rPr>
              <w:t>N=118</w:t>
            </w:r>
          </w:p>
        </w:tc>
        <w:tc>
          <w:tcPr>
            <w:tcW w:w="4875" w:type="dxa"/>
            <w:gridSpan w:val="2"/>
          </w:tcPr>
          <w:p w14:paraId="295015DA" w14:textId="77777777" w:rsidR="001825E2" w:rsidRDefault="000839A5" w:rsidP="00CB00A7">
            <w:pPr>
              <w:pStyle w:val="TableParagraph"/>
              <w:spacing w:line="262" w:lineRule="exact"/>
              <w:ind w:left="30" w:right="22"/>
              <w:jc w:val="left"/>
              <w:rPr>
                <w:sz w:val="24"/>
              </w:rPr>
            </w:pPr>
            <w:r>
              <w:rPr>
                <w:sz w:val="24"/>
              </w:rPr>
              <w:t>XELJANZ</w:t>
            </w:r>
            <w:r>
              <w:rPr>
                <w:spacing w:val="-15"/>
                <w:sz w:val="24"/>
              </w:rPr>
              <w:t xml:space="preserve"> </w:t>
            </w:r>
            <w:r>
              <w:rPr>
                <w:sz w:val="24"/>
              </w:rPr>
              <w:t>5</w:t>
            </w:r>
            <w:r>
              <w:rPr>
                <w:spacing w:val="-16"/>
                <w:sz w:val="24"/>
              </w:rPr>
              <w:t xml:space="preserve"> </w:t>
            </w:r>
            <w:r>
              <w:rPr>
                <w:sz w:val="24"/>
              </w:rPr>
              <w:t>mg</w:t>
            </w:r>
            <w:r>
              <w:rPr>
                <w:spacing w:val="12"/>
                <w:sz w:val="24"/>
              </w:rPr>
              <w:t xml:space="preserve"> </w:t>
            </w:r>
            <w:r>
              <w:rPr>
                <w:sz w:val="24"/>
              </w:rPr>
              <w:t>Twice</w:t>
            </w:r>
            <w:r>
              <w:rPr>
                <w:spacing w:val="10"/>
                <w:sz w:val="24"/>
              </w:rPr>
              <w:t xml:space="preserve"> </w:t>
            </w:r>
            <w:r>
              <w:rPr>
                <w:sz w:val="24"/>
              </w:rPr>
              <w:t>Daily</w:t>
            </w:r>
            <w:r>
              <w:rPr>
                <w:spacing w:val="-2"/>
                <w:sz w:val="24"/>
              </w:rPr>
              <w:t xml:space="preserve"> </w:t>
            </w:r>
            <w:r>
              <w:rPr>
                <w:sz w:val="24"/>
              </w:rPr>
              <w:t>+</w:t>
            </w:r>
            <w:r>
              <w:rPr>
                <w:spacing w:val="-2"/>
                <w:sz w:val="24"/>
              </w:rPr>
              <w:t xml:space="preserve"> </w:t>
            </w:r>
            <w:r>
              <w:rPr>
                <w:spacing w:val="-5"/>
                <w:sz w:val="24"/>
              </w:rPr>
              <w:t>MTX</w:t>
            </w:r>
          </w:p>
          <w:p w14:paraId="00630A9D" w14:textId="77777777" w:rsidR="001825E2" w:rsidRDefault="000839A5" w:rsidP="00CB00A7">
            <w:pPr>
              <w:pStyle w:val="TableParagraph"/>
              <w:spacing w:before="9" w:line="249" w:lineRule="exact"/>
              <w:ind w:left="30"/>
              <w:jc w:val="left"/>
              <w:rPr>
                <w:sz w:val="24"/>
              </w:rPr>
            </w:pPr>
            <w:r>
              <w:rPr>
                <w:spacing w:val="-2"/>
                <w:sz w:val="24"/>
              </w:rPr>
              <w:t>N=117</w:t>
            </w:r>
          </w:p>
        </w:tc>
      </w:tr>
      <w:tr w:rsidR="001825E2" w14:paraId="4D14F47A" w14:textId="77777777">
        <w:trPr>
          <w:trHeight w:val="554"/>
        </w:trPr>
        <w:tc>
          <w:tcPr>
            <w:tcW w:w="2520" w:type="dxa"/>
          </w:tcPr>
          <w:p w14:paraId="3BCDAAF6" w14:textId="77777777" w:rsidR="001825E2" w:rsidRDefault="000839A5" w:rsidP="00CB00A7">
            <w:pPr>
              <w:pStyle w:val="TableParagraph"/>
              <w:spacing w:line="270" w:lineRule="exact"/>
              <w:ind w:right="352"/>
              <w:jc w:val="left"/>
              <w:rPr>
                <w:sz w:val="16"/>
              </w:rPr>
            </w:pPr>
            <w:r>
              <w:rPr>
                <w:sz w:val="24"/>
              </w:rPr>
              <w:t>LS Mean Change in HAQ-DI</w:t>
            </w:r>
            <w:r>
              <w:rPr>
                <w:spacing w:val="-12"/>
                <w:sz w:val="24"/>
              </w:rPr>
              <w:t xml:space="preserve"> </w:t>
            </w:r>
            <w:r>
              <w:rPr>
                <w:sz w:val="24"/>
              </w:rPr>
              <w:t>at</w:t>
            </w:r>
            <w:r>
              <w:rPr>
                <w:spacing w:val="-10"/>
                <w:sz w:val="24"/>
              </w:rPr>
              <w:t xml:space="preserve"> </w:t>
            </w:r>
            <w:r>
              <w:rPr>
                <w:sz w:val="24"/>
              </w:rPr>
              <w:t>Month</w:t>
            </w:r>
            <w:r>
              <w:rPr>
                <w:spacing w:val="-15"/>
                <w:sz w:val="24"/>
              </w:rPr>
              <w:t xml:space="preserve"> </w:t>
            </w:r>
            <w:r>
              <w:rPr>
                <w:sz w:val="24"/>
              </w:rPr>
              <w:t>3</w:t>
            </w:r>
            <w:r>
              <w:rPr>
                <w:position w:val="7"/>
                <w:sz w:val="16"/>
              </w:rPr>
              <w:t>a</w:t>
            </w:r>
          </w:p>
        </w:tc>
        <w:tc>
          <w:tcPr>
            <w:tcW w:w="1845" w:type="dxa"/>
          </w:tcPr>
          <w:p w14:paraId="5C246606" w14:textId="77777777" w:rsidR="001825E2" w:rsidRDefault="000839A5" w:rsidP="00CB00A7">
            <w:pPr>
              <w:pStyle w:val="TableParagraph"/>
              <w:spacing w:before="136"/>
              <w:ind w:left="20" w:right="20"/>
              <w:jc w:val="left"/>
              <w:rPr>
                <w:sz w:val="24"/>
              </w:rPr>
            </w:pPr>
            <w:r>
              <w:rPr>
                <w:spacing w:val="-6"/>
                <w:sz w:val="24"/>
              </w:rPr>
              <w:t>-</w:t>
            </w:r>
            <w:r>
              <w:rPr>
                <w:spacing w:val="-4"/>
                <w:sz w:val="24"/>
              </w:rPr>
              <w:t>0.18</w:t>
            </w:r>
          </w:p>
        </w:tc>
        <w:tc>
          <w:tcPr>
            <w:tcW w:w="4875" w:type="dxa"/>
            <w:gridSpan w:val="2"/>
          </w:tcPr>
          <w:p w14:paraId="7B6AD908" w14:textId="77777777" w:rsidR="001825E2" w:rsidRDefault="000839A5" w:rsidP="00CB00A7">
            <w:pPr>
              <w:pStyle w:val="TableParagraph"/>
              <w:spacing w:before="136"/>
              <w:ind w:left="30" w:right="1"/>
              <w:jc w:val="left"/>
              <w:rPr>
                <w:sz w:val="16"/>
              </w:rPr>
            </w:pPr>
            <w:r>
              <w:rPr>
                <w:spacing w:val="-6"/>
                <w:sz w:val="24"/>
              </w:rPr>
              <w:t>-</w:t>
            </w:r>
            <w:r>
              <w:rPr>
                <w:spacing w:val="-2"/>
                <w:sz w:val="24"/>
              </w:rPr>
              <w:t>0.43</w:t>
            </w:r>
            <w:r>
              <w:rPr>
                <w:spacing w:val="-2"/>
                <w:position w:val="7"/>
                <w:sz w:val="16"/>
              </w:rPr>
              <w:t>**</w:t>
            </w:r>
          </w:p>
        </w:tc>
      </w:tr>
    </w:tbl>
    <w:p w14:paraId="37F3CDCE" w14:textId="77777777" w:rsidR="001825E2" w:rsidRDefault="000839A5" w:rsidP="00CB00A7">
      <w:pPr>
        <w:tabs>
          <w:tab w:val="left" w:pos="519"/>
        </w:tabs>
        <w:ind w:left="220"/>
        <w:rPr>
          <w:sz w:val="19"/>
        </w:rPr>
      </w:pPr>
      <w:r>
        <w:rPr>
          <w:spacing w:val="-5"/>
          <w:position w:val="6"/>
          <w:sz w:val="13"/>
        </w:rPr>
        <w:t>a.</w:t>
      </w:r>
      <w:r>
        <w:rPr>
          <w:position w:val="6"/>
          <w:sz w:val="13"/>
        </w:rPr>
        <w:tab/>
      </w:r>
      <w:r>
        <w:rPr>
          <w:sz w:val="19"/>
        </w:rPr>
        <w:t>Primary</w:t>
      </w:r>
      <w:r>
        <w:rPr>
          <w:spacing w:val="36"/>
          <w:sz w:val="19"/>
        </w:rPr>
        <w:t xml:space="preserve"> </w:t>
      </w:r>
      <w:r>
        <w:rPr>
          <w:sz w:val="19"/>
        </w:rPr>
        <w:t>efficacy</w:t>
      </w:r>
      <w:r>
        <w:rPr>
          <w:spacing w:val="13"/>
          <w:sz w:val="19"/>
        </w:rPr>
        <w:t xml:space="preserve"> </w:t>
      </w:r>
      <w:r>
        <w:rPr>
          <w:sz w:val="19"/>
        </w:rPr>
        <w:t>time</w:t>
      </w:r>
      <w:r>
        <w:rPr>
          <w:spacing w:val="29"/>
          <w:sz w:val="19"/>
        </w:rPr>
        <w:t xml:space="preserve"> </w:t>
      </w:r>
      <w:r>
        <w:rPr>
          <w:spacing w:val="-2"/>
          <w:sz w:val="19"/>
        </w:rPr>
        <w:t>point.</w:t>
      </w:r>
    </w:p>
    <w:p w14:paraId="1F2B1761" w14:textId="77777777" w:rsidR="001825E2" w:rsidRDefault="000839A5" w:rsidP="00CB00A7">
      <w:pPr>
        <w:spacing w:before="5"/>
        <w:ind w:left="220"/>
        <w:rPr>
          <w:sz w:val="19"/>
        </w:rPr>
      </w:pPr>
      <w:r>
        <w:rPr>
          <w:position w:val="6"/>
          <w:sz w:val="13"/>
        </w:rPr>
        <w:t>b.</w:t>
      </w:r>
      <w:r>
        <w:rPr>
          <w:spacing w:val="72"/>
          <w:w w:val="150"/>
          <w:position w:val="6"/>
          <w:sz w:val="13"/>
        </w:rPr>
        <w:t xml:space="preserve">  </w:t>
      </w:r>
      <w:proofErr w:type="spellStart"/>
      <w:r>
        <w:rPr>
          <w:sz w:val="19"/>
        </w:rPr>
        <w:t>Statistica</w:t>
      </w:r>
      <w:proofErr w:type="spellEnd"/>
      <w:r>
        <w:rPr>
          <w:spacing w:val="-25"/>
          <w:sz w:val="19"/>
        </w:rPr>
        <w:t xml:space="preserve"> </w:t>
      </w:r>
      <w:r>
        <w:rPr>
          <w:sz w:val="19"/>
        </w:rPr>
        <w:t>l</w:t>
      </w:r>
      <w:r>
        <w:rPr>
          <w:spacing w:val="-3"/>
          <w:sz w:val="19"/>
        </w:rPr>
        <w:t xml:space="preserve"> </w:t>
      </w:r>
      <w:proofErr w:type="spellStart"/>
      <w:r>
        <w:rPr>
          <w:sz w:val="19"/>
        </w:rPr>
        <w:t>significa</w:t>
      </w:r>
      <w:proofErr w:type="spellEnd"/>
      <w:r>
        <w:rPr>
          <w:spacing w:val="-25"/>
          <w:sz w:val="19"/>
        </w:rPr>
        <w:t xml:space="preserve"> </w:t>
      </w:r>
      <w:proofErr w:type="spellStart"/>
      <w:r>
        <w:rPr>
          <w:sz w:val="19"/>
        </w:rPr>
        <w:t>nce</w:t>
      </w:r>
      <w:proofErr w:type="spellEnd"/>
      <w:r>
        <w:rPr>
          <w:spacing w:val="32"/>
          <w:sz w:val="19"/>
        </w:rPr>
        <w:t xml:space="preserve"> </w:t>
      </w:r>
      <w:r>
        <w:rPr>
          <w:sz w:val="19"/>
        </w:rPr>
        <w:t>could</w:t>
      </w:r>
      <w:r>
        <w:rPr>
          <w:spacing w:val="19"/>
          <w:sz w:val="19"/>
        </w:rPr>
        <w:t xml:space="preserve"> </w:t>
      </w:r>
      <w:r>
        <w:rPr>
          <w:sz w:val="19"/>
        </w:rPr>
        <w:t>not</w:t>
      </w:r>
      <w:r>
        <w:rPr>
          <w:spacing w:val="-3"/>
          <w:sz w:val="19"/>
        </w:rPr>
        <w:t xml:space="preserve"> </w:t>
      </w:r>
      <w:r>
        <w:rPr>
          <w:sz w:val="19"/>
        </w:rPr>
        <w:t>be</w:t>
      </w:r>
      <w:r>
        <w:rPr>
          <w:spacing w:val="13"/>
          <w:sz w:val="19"/>
        </w:rPr>
        <w:t xml:space="preserve"> </w:t>
      </w:r>
      <w:r>
        <w:rPr>
          <w:sz w:val="19"/>
        </w:rPr>
        <w:t>declared</w:t>
      </w:r>
      <w:r>
        <w:rPr>
          <w:spacing w:val="19"/>
          <w:sz w:val="19"/>
        </w:rPr>
        <w:t xml:space="preserve"> </w:t>
      </w:r>
      <w:r>
        <w:rPr>
          <w:sz w:val="19"/>
        </w:rPr>
        <w:t>in</w:t>
      </w:r>
      <w:r>
        <w:rPr>
          <w:spacing w:val="19"/>
          <w:sz w:val="19"/>
        </w:rPr>
        <w:t xml:space="preserve"> </w:t>
      </w:r>
      <w:r>
        <w:rPr>
          <w:sz w:val="19"/>
        </w:rPr>
        <w:t>Study</w:t>
      </w:r>
      <w:r>
        <w:rPr>
          <w:spacing w:val="20"/>
          <w:sz w:val="19"/>
        </w:rPr>
        <w:t xml:space="preserve"> </w:t>
      </w:r>
      <w:r>
        <w:rPr>
          <w:sz w:val="19"/>
        </w:rPr>
        <w:t>IV</w:t>
      </w:r>
      <w:r>
        <w:rPr>
          <w:spacing w:val="1"/>
          <w:sz w:val="19"/>
        </w:rPr>
        <w:t xml:space="preserve"> </w:t>
      </w:r>
      <w:r>
        <w:rPr>
          <w:sz w:val="19"/>
        </w:rPr>
        <w:t>due</w:t>
      </w:r>
      <w:r>
        <w:rPr>
          <w:spacing w:val="13"/>
          <w:sz w:val="19"/>
        </w:rPr>
        <w:t xml:space="preserve"> </w:t>
      </w:r>
      <w:r>
        <w:rPr>
          <w:sz w:val="19"/>
        </w:rPr>
        <w:t>to</w:t>
      </w:r>
      <w:r>
        <w:rPr>
          <w:spacing w:val="-1"/>
          <w:sz w:val="19"/>
        </w:rPr>
        <w:t xml:space="preserve"> </w:t>
      </w:r>
      <w:r>
        <w:rPr>
          <w:sz w:val="19"/>
        </w:rPr>
        <w:t>step-down</w:t>
      </w:r>
      <w:r>
        <w:rPr>
          <w:spacing w:val="19"/>
          <w:sz w:val="19"/>
        </w:rPr>
        <w:t xml:space="preserve"> </w:t>
      </w:r>
      <w:r>
        <w:rPr>
          <w:spacing w:val="-2"/>
          <w:sz w:val="19"/>
        </w:rPr>
        <w:t>procedure.</w:t>
      </w:r>
    </w:p>
    <w:p w14:paraId="532C98E9" w14:textId="77777777" w:rsidR="001825E2" w:rsidRDefault="000839A5" w:rsidP="00CB00A7">
      <w:pPr>
        <w:spacing w:before="2"/>
        <w:ind w:left="220"/>
        <w:rPr>
          <w:sz w:val="19"/>
        </w:rPr>
      </w:pPr>
      <w:r>
        <w:rPr>
          <w:position w:val="6"/>
          <w:sz w:val="13"/>
        </w:rPr>
        <w:t>*</w:t>
      </w:r>
      <w:proofErr w:type="gramStart"/>
      <w:r>
        <w:rPr>
          <w:position w:val="6"/>
          <w:sz w:val="13"/>
        </w:rPr>
        <w:t>*</w:t>
      </w:r>
      <w:r>
        <w:rPr>
          <w:spacing w:val="79"/>
          <w:position w:val="6"/>
          <w:sz w:val="13"/>
        </w:rPr>
        <w:t xml:space="preserve">  </w:t>
      </w:r>
      <w:r>
        <w:rPr>
          <w:sz w:val="19"/>
        </w:rPr>
        <w:t>p</w:t>
      </w:r>
      <w:proofErr w:type="gramEnd"/>
      <w:r>
        <w:rPr>
          <w:sz w:val="19"/>
        </w:rPr>
        <w:t>&lt;0.0001,</w:t>
      </w:r>
      <w:r>
        <w:rPr>
          <w:spacing w:val="12"/>
          <w:sz w:val="19"/>
        </w:rPr>
        <w:t xml:space="preserve"> </w:t>
      </w:r>
      <w:r>
        <w:rPr>
          <w:sz w:val="19"/>
        </w:rPr>
        <w:t>XELJANZ</w:t>
      </w:r>
      <w:r>
        <w:rPr>
          <w:spacing w:val="60"/>
          <w:sz w:val="19"/>
        </w:rPr>
        <w:t xml:space="preserve"> </w:t>
      </w:r>
      <w:r>
        <w:rPr>
          <w:sz w:val="19"/>
        </w:rPr>
        <w:t>(or</w:t>
      </w:r>
      <w:r>
        <w:rPr>
          <w:spacing w:val="31"/>
          <w:sz w:val="19"/>
        </w:rPr>
        <w:t xml:space="preserve"> </w:t>
      </w:r>
      <w:r>
        <w:rPr>
          <w:sz w:val="19"/>
        </w:rPr>
        <w:t>adalimumab</w:t>
      </w:r>
      <w:r>
        <w:rPr>
          <w:spacing w:val="6"/>
          <w:sz w:val="19"/>
        </w:rPr>
        <w:t xml:space="preserve"> </w:t>
      </w:r>
      <w:r>
        <w:rPr>
          <w:sz w:val="19"/>
        </w:rPr>
        <w:t>in</w:t>
      </w:r>
      <w:r>
        <w:rPr>
          <w:spacing w:val="6"/>
          <w:sz w:val="19"/>
        </w:rPr>
        <w:t xml:space="preserve"> </w:t>
      </w:r>
      <w:r>
        <w:rPr>
          <w:sz w:val="19"/>
        </w:rPr>
        <w:t>Study</w:t>
      </w:r>
      <w:r>
        <w:rPr>
          <w:spacing w:val="7"/>
          <w:sz w:val="19"/>
        </w:rPr>
        <w:t xml:space="preserve"> </w:t>
      </w:r>
      <w:r>
        <w:rPr>
          <w:sz w:val="19"/>
        </w:rPr>
        <w:t>III)</w:t>
      </w:r>
      <w:r>
        <w:rPr>
          <w:spacing w:val="-13"/>
          <w:sz w:val="19"/>
        </w:rPr>
        <w:t xml:space="preserve"> </w:t>
      </w:r>
      <w:r>
        <w:rPr>
          <w:sz w:val="19"/>
        </w:rPr>
        <w:t>vs.</w:t>
      </w:r>
      <w:r>
        <w:rPr>
          <w:spacing w:val="11"/>
          <w:sz w:val="19"/>
        </w:rPr>
        <w:t xml:space="preserve"> </w:t>
      </w:r>
      <w:r>
        <w:rPr>
          <w:sz w:val="19"/>
        </w:rPr>
        <w:t>placebo</w:t>
      </w:r>
      <w:r>
        <w:rPr>
          <w:spacing w:val="7"/>
          <w:sz w:val="19"/>
        </w:rPr>
        <w:t xml:space="preserve"> </w:t>
      </w:r>
      <w:r>
        <w:rPr>
          <w:sz w:val="19"/>
        </w:rPr>
        <w:t>+</w:t>
      </w:r>
      <w:r>
        <w:rPr>
          <w:spacing w:val="30"/>
          <w:sz w:val="19"/>
        </w:rPr>
        <w:t xml:space="preserve"> </w:t>
      </w:r>
      <w:r>
        <w:rPr>
          <w:spacing w:val="-2"/>
          <w:sz w:val="19"/>
        </w:rPr>
        <w:t>MTX/DMARD</w:t>
      </w:r>
    </w:p>
    <w:p w14:paraId="70F31715" w14:textId="77777777" w:rsidR="001825E2" w:rsidRDefault="000839A5" w:rsidP="00CB00A7">
      <w:pPr>
        <w:spacing w:before="7" w:line="264" w:lineRule="auto"/>
        <w:ind w:left="220" w:right="745"/>
        <w:rPr>
          <w:sz w:val="19"/>
        </w:rPr>
      </w:pPr>
      <w:r>
        <w:rPr>
          <w:sz w:val="19"/>
        </w:rPr>
        <w:t>Results</w:t>
      </w:r>
      <w:r>
        <w:rPr>
          <w:spacing w:val="40"/>
          <w:sz w:val="19"/>
        </w:rPr>
        <w:t xml:space="preserve"> </w:t>
      </w:r>
      <w:r>
        <w:rPr>
          <w:sz w:val="19"/>
        </w:rPr>
        <w:t>are obtained from</w:t>
      </w:r>
      <w:r>
        <w:rPr>
          <w:spacing w:val="25"/>
          <w:sz w:val="19"/>
        </w:rPr>
        <w:t xml:space="preserve"> </w:t>
      </w:r>
      <w:r>
        <w:rPr>
          <w:sz w:val="19"/>
        </w:rPr>
        <w:t>a</w:t>
      </w:r>
      <w:r>
        <w:rPr>
          <w:spacing w:val="33"/>
          <w:sz w:val="19"/>
        </w:rPr>
        <w:t xml:space="preserve"> </w:t>
      </w:r>
      <w:r>
        <w:rPr>
          <w:sz w:val="19"/>
        </w:rPr>
        <w:t>longitudinal</w:t>
      </w:r>
      <w:r>
        <w:rPr>
          <w:spacing w:val="38"/>
          <w:sz w:val="19"/>
        </w:rPr>
        <w:t xml:space="preserve"> </w:t>
      </w:r>
      <w:r>
        <w:rPr>
          <w:sz w:val="19"/>
        </w:rPr>
        <w:t>linear</w:t>
      </w:r>
      <w:r>
        <w:rPr>
          <w:spacing w:val="40"/>
          <w:sz w:val="19"/>
        </w:rPr>
        <w:t xml:space="preserve"> </w:t>
      </w:r>
      <w:r>
        <w:rPr>
          <w:sz w:val="19"/>
        </w:rPr>
        <w:t>model</w:t>
      </w:r>
      <w:r>
        <w:rPr>
          <w:spacing w:val="-13"/>
          <w:sz w:val="19"/>
        </w:rPr>
        <w:t xml:space="preserve"> </w:t>
      </w:r>
      <w:r>
        <w:rPr>
          <w:sz w:val="19"/>
        </w:rPr>
        <w:t>with</w:t>
      </w:r>
      <w:r>
        <w:rPr>
          <w:spacing w:val="40"/>
          <w:sz w:val="19"/>
        </w:rPr>
        <w:t xml:space="preserve"> </w:t>
      </w:r>
      <w:r>
        <w:rPr>
          <w:sz w:val="19"/>
        </w:rPr>
        <w:t>change from</w:t>
      </w:r>
      <w:r>
        <w:rPr>
          <w:spacing w:val="40"/>
          <w:sz w:val="19"/>
        </w:rPr>
        <w:t xml:space="preserve"> </w:t>
      </w:r>
      <w:r>
        <w:rPr>
          <w:sz w:val="19"/>
        </w:rPr>
        <w:t>baseline</w:t>
      </w:r>
      <w:r>
        <w:rPr>
          <w:spacing w:val="33"/>
          <w:sz w:val="19"/>
        </w:rPr>
        <w:t xml:space="preserve"> </w:t>
      </w:r>
      <w:r>
        <w:rPr>
          <w:sz w:val="19"/>
        </w:rPr>
        <w:t>as a</w:t>
      </w:r>
      <w:r>
        <w:rPr>
          <w:spacing w:val="33"/>
          <w:sz w:val="19"/>
        </w:rPr>
        <w:t xml:space="preserve"> </w:t>
      </w:r>
      <w:r>
        <w:rPr>
          <w:sz w:val="19"/>
        </w:rPr>
        <w:t>dependent variable and treatment, baseline, visit,</w:t>
      </w:r>
      <w:r>
        <w:rPr>
          <w:spacing w:val="80"/>
          <w:sz w:val="19"/>
        </w:rPr>
        <w:t xml:space="preserve"> </w:t>
      </w:r>
      <w:r>
        <w:rPr>
          <w:sz w:val="19"/>
        </w:rPr>
        <w:t>region</w:t>
      </w:r>
      <w:r>
        <w:rPr>
          <w:spacing w:val="80"/>
          <w:sz w:val="19"/>
        </w:rPr>
        <w:t xml:space="preserve"> </w:t>
      </w:r>
      <w:r>
        <w:rPr>
          <w:sz w:val="19"/>
        </w:rPr>
        <w:t>as</w:t>
      </w:r>
      <w:r>
        <w:rPr>
          <w:spacing w:val="35"/>
          <w:sz w:val="19"/>
        </w:rPr>
        <w:t xml:space="preserve"> </w:t>
      </w:r>
      <w:r>
        <w:rPr>
          <w:sz w:val="19"/>
        </w:rPr>
        <w:t>fixed</w:t>
      </w:r>
      <w:r>
        <w:rPr>
          <w:spacing w:val="40"/>
          <w:sz w:val="19"/>
        </w:rPr>
        <w:t xml:space="preserve"> </w:t>
      </w:r>
      <w:r>
        <w:rPr>
          <w:sz w:val="19"/>
        </w:rPr>
        <w:t>effects and</w:t>
      </w:r>
      <w:r>
        <w:rPr>
          <w:spacing w:val="24"/>
          <w:sz w:val="19"/>
        </w:rPr>
        <w:t xml:space="preserve"> </w:t>
      </w:r>
      <w:r>
        <w:rPr>
          <w:sz w:val="19"/>
        </w:rPr>
        <w:t>patient</w:t>
      </w:r>
      <w:r>
        <w:rPr>
          <w:spacing w:val="20"/>
          <w:sz w:val="19"/>
        </w:rPr>
        <w:t xml:space="preserve"> </w:t>
      </w:r>
      <w:r>
        <w:rPr>
          <w:sz w:val="19"/>
        </w:rPr>
        <w:t>as random</w:t>
      </w:r>
      <w:r>
        <w:rPr>
          <w:spacing w:val="33"/>
          <w:sz w:val="19"/>
        </w:rPr>
        <w:t xml:space="preserve"> </w:t>
      </w:r>
      <w:r>
        <w:rPr>
          <w:sz w:val="19"/>
        </w:rPr>
        <w:t>effect.</w:t>
      </w:r>
    </w:p>
    <w:p w14:paraId="38C964CF" w14:textId="77777777" w:rsidR="001825E2" w:rsidRDefault="000839A5" w:rsidP="00CB00A7">
      <w:pPr>
        <w:spacing w:line="203" w:lineRule="exact"/>
        <w:ind w:left="220"/>
        <w:rPr>
          <w:sz w:val="19"/>
        </w:rPr>
      </w:pPr>
      <w:r>
        <w:rPr>
          <w:sz w:val="19"/>
        </w:rPr>
        <w:t>Abbreviations:</w:t>
      </w:r>
      <w:r>
        <w:rPr>
          <w:spacing w:val="20"/>
          <w:sz w:val="19"/>
        </w:rPr>
        <w:t xml:space="preserve"> </w:t>
      </w:r>
      <w:r>
        <w:rPr>
          <w:sz w:val="19"/>
        </w:rPr>
        <w:t>BD=twice</w:t>
      </w:r>
      <w:r>
        <w:rPr>
          <w:spacing w:val="57"/>
          <w:sz w:val="19"/>
        </w:rPr>
        <w:t xml:space="preserve"> </w:t>
      </w:r>
      <w:r>
        <w:rPr>
          <w:sz w:val="19"/>
        </w:rPr>
        <w:t>daily,</w:t>
      </w:r>
      <w:r>
        <w:rPr>
          <w:spacing w:val="7"/>
          <w:sz w:val="19"/>
        </w:rPr>
        <w:t xml:space="preserve"> </w:t>
      </w:r>
      <w:r>
        <w:rPr>
          <w:sz w:val="19"/>
        </w:rPr>
        <w:t>CI</w:t>
      </w:r>
      <w:r>
        <w:rPr>
          <w:spacing w:val="26"/>
          <w:sz w:val="19"/>
        </w:rPr>
        <w:t xml:space="preserve"> </w:t>
      </w:r>
      <w:r>
        <w:rPr>
          <w:sz w:val="19"/>
        </w:rPr>
        <w:t>=</w:t>
      </w:r>
      <w:r>
        <w:rPr>
          <w:spacing w:val="26"/>
          <w:sz w:val="19"/>
        </w:rPr>
        <w:t xml:space="preserve"> </w:t>
      </w:r>
      <w:r>
        <w:rPr>
          <w:sz w:val="19"/>
        </w:rPr>
        <w:t>confidence</w:t>
      </w:r>
      <w:r>
        <w:rPr>
          <w:spacing w:val="-4"/>
          <w:sz w:val="19"/>
        </w:rPr>
        <w:t xml:space="preserve"> </w:t>
      </w:r>
      <w:r>
        <w:rPr>
          <w:sz w:val="19"/>
        </w:rPr>
        <w:t>interval,</w:t>
      </w:r>
      <w:r>
        <w:rPr>
          <w:spacing w:val="7"/>
          <w:sz w:val="19"/>
        </w:rPr>
        <w:t xml:space="preserve"> </w:t>
      </w:r>
      <w:r>
        <w:rPr>
          <w:sz w:val="19"/>
        </w:rPr>
        <w:t>FAS</w:t>
      </w:r>
      <w:r>
        <w:rPr>
          <w:spacing w:val="48"/>
          <w:sz w:val="19"/>
        </w:rPr>
        <w:t xml:space="preserve"> </w:t>
      </w:r>
      <w:r>
        <w:rPr>
          <w:sz w:val="19"/>
        </w:rPr>
        <w:t>=</w:t>
      </w:r>
      <w:r>
        <w:rPr>
          <w:spacing w:val="26"/>
          <w:sz w:val="19"/>
        </w:rPr>
        <w:t xml:space="preserve"> </w:t>
      </w:r>
      <w:r>
        <w:rPr>
          <w:sz w:val="19"/>
        </w:rPr>
        <w:t>full</w:t>
      </w:r>
      <w:r>
        <w:rPr>
          <w:spacing w:val="20"/>
          <w:sz w:val="19"/>
        </w:rPr>
        <w:t xml:space="preserve"> </w:t>
      </w:r>
      <w:r>
        <w:rPr>
          <w:sz w:val="19"/>
        </w:rPr>
        <w:t>analysis</w:t>
      </w:r>
      <w:r>
        <w:rPr>
          <w:spacing w:val="-9"/>
          <w:sz w:val="19"/>
        </w:rPr>
        <w:t xml:space="preserve"> </w:t>
      </w:r>
      <w:r>
        <w:rPr>
          <w:sz w:val="19"/>
        </w:rPr>
        <w:t>set,</w:t>
      </w:r>
      <w:r>
        <w:rPr>
          <w:spacing w:val="7"/>
          <w:sz w:val="19"/>
        </w:rPr>
        <w:t xml:space="preserve"> </w:t>
      </w:r>
      <w:r>
        <w:rPr>
          <w:sz w:val="19"/>
        </w:rPr>
        <w:t>LS</w:t>
      </w:r>
      <w:r>
        <w:rPr>
          <w:spacing w:val="29"/>
          <w:sz w:val="19"/>
        </w:rPr>
        <w:t xml:space="preserve"> </w:t>
      </w:r>
      <w:r>
        <w:rPr>
          <w:sz w:val="19"/>
        </w:rPr>
        <w:t>=</w:t>
      </w:r>
      <w:r>
        <w:rPr>
          <w:spacing w:val="26"/>
          <w:sz w:val="19"/>
        </w:rPr>
        <w:t xml:space="preserve"> </w:t>
      </w:r>
      <w:r>
        <w:rPr>
          <w:sz w:val="19"/>
        </w:rPr>
        <w:t>least</w:t>
      </w:r>
      <w:r>
        <w:rPr>
          <w:spacing w:val="20"/>
          <w:sz w:val="19"/>
        </w:rPr>
        <w:t xml:space="preserve"> </w:t>
      </w:r>
      <w:r>
        <w:rPr>
          <w:sz w:val="19"/>
        </w:rPr>
        <w:t>squares,</w:t>
      </w:r>
      <w:r>
        <w:rPr>
          <w:spacing w:val="7"/>
          <w:sz w:val="19"/>
        </w:rPr>
        <w:t xml:space="preserve"> </w:t>
      </w:r>
      <w:r>
        <w:rPr>
          <w:sz w:val="19"/>
        </w:rPr>
        <w:t>N</w:t>
      </w:r>
      <w:r>
        <w:rPr>
          <w:spacing w:val="25"/>
          <w:sz w:val="19"/>
        </w:rPr>
        <w:t xml:space="preserve"> </w:t>
      </w:r>
      <w:r>
        <w:rPr>
          <w:spacing w:val="-10"/>
          <w:sz w:val="19"/>
        </w:rPr>
        <w:t>=</w:t>
      </w:r>
    </w:p>
    <w:p w14:paraId="212D2D7F" w14:textId="77777777" w:rsidR="001825E2" w:rsidRDefault="000839A5" w:rsidP="00CB00A7">
      <w:pPr>
        <w:spacing w:before="7" w:line="254" w:lineRule="auto"/>
        <w:ind w:left="220" w:right="1064"/>
        <w:rPr>
          <w:sz w:val="19"/>
        </w:rPr>
      </w:pPr>
      <w:r>
        <w:rPr>
          <w:sz w:val="19"/>
        </w:rPr>
        <w:t>number</w:t>
      </w:r>
      <w:r>
        <w:rPr>
          <w:spacing w:val="-5"/>
          <w:sz w:val="19"/>
        </w:rPr>
        <w:t xml:space="preserve"> </w:t>
      </w:r>
      <w:r>
        <w:rPr>
          <w:sz w:val="19"/>
        </w:rPr>
        <w:t>of</w:t>
      </w:r>
      <w:r>
        <w:rPr>
          <w:spacing w:val="40"/>
          <w:sz w:val="19"/>
        </w:rPr>
        <w:t xml:space="preserve"> </w:t>
      </w:r>
      <w:r>
        <w:rPr>
          <w:sz w:val="19"/>
        </w:rPr>
        <w:t>patients,</w:t>
      </w:r>
      <w:r>
        <w:rPr>
          <w:spacing w:val="-3"/>
          <w:sz w:val="19"/>
        </w:rPr>
        <w:t xml:space="preserve"> </w:t>
      </w:r>
      <w:r>
        <w:rPr>
          <w:sz w:val="19"/>
        </w:rPr>
        <w:t>MTX</w:t>
      </w:r>
      <w:r>
        <w:rPr>
          <w:spacing w:val="40"/>
          <w:sz w:val="19"/>
        </w:rPr>
        <w:t xml:space="preserve"> </w:t>
      </w:r>
      <w:r>
        <w:rPr>
          <w:sz w:val="19"/>
        </w:rPr>
        <w:t>=</w:t>
      </w:r>
      <w:r>
        <w:rPr>
          <w:spacing w:val="40"/>
          <w:sz w:val="19"/>
        </w:rPr>
        <w:t xml:space="preserve"> </w:t>
      </w:r>
      <w:r>
        <w:rPr>
          <w:sz w:val="19"/>
        </w:rPr>
        <w:t>methotrexate,</w:t>
      </w:r>
      <w:r>
        <w:rPr>
          <w:spacing w:val="-3"/>
          <w:sz w:val="19"/>
        </w:rPr>
        <w:t xml:space="preserve"> </w:t>
      </w:r>
      <w:r>
        <w:rPr>
          <w:sz w:val="19"/>
        </w:rPr>
        <w:t>QOW</w:t>
      </w:r>
      <w:r>
        <w:rPr>
          <w:spacing w:val="40"/>
          <w:sz w:val="19"/>
        </w:rPr>
        <w:t xml:space="preserve"> </w:t>
      </w:r>
      <w:r>
        <w:rPr>
          <w:sz w:val="19"/>
        </w:rPr>
        <w:t>=</w:t>
      </w:r>
      <w:r>
        <w:rPr>
          <w:spacing w:val="40"/>
          <w:sz w:val="19"/>
        </w:rPr>
        <w:t xml:space="preserve"> </w:t>
      </w:r>
      <w:r>
        <w:rPr>
          <w:sz w:val="19"/>
        </w:rPr>
        <w:t>every</w:t>
      </w:r>
      <w:r>
        <w:rPr>
          <w:spacing w:val="40"/>
          <w:sz w:val="19"/>
        </w:rPr>
        <w:t xml:space="preserve"> </w:t>
      </w:r>
      <w:r>
        <w:rPr>
          <w:sz w:val="19"/>
        </w:rPr>
        <w:t>other week,</w:t>
      </w:r>
      <w:r>
        <w:rPr>
          <w:spacing w:val="24"/>
          <w:sz w:val="19"/>
        </w:rPr>
        <w:t xml:space="preserve"> </w:t>
      </w:r>
      <w:r>
        <w:rPr>
          <w:sz w:val="19"/>
        </w:rPr>
        <w:t>HAQ-DI</w:t>
      </w:r>
      <w:r>
        <w:rPr>
          <w:spacing w:val="80"/>
          <w:sz w:val="19"/>
        </w:rPr>
        <w:t xml:space="preserve"> </w:t>
      </w:r>
      <w:r>
        <w:rPr>
          <w:sz w:val="19"/>
        </w:rPr>
        <w:t>=</w:t>
      </w:r>
      <w:r>
        <w:rPr>
          <w:spacing w:val="40"/>
          <w:sz w:val="19"/>
        </w:rPr>
        <w:t xml:space="preserve"> </w:t>
      </w:r>
      <w:r>
        <w:rPr>
          <w:sz w:val="19"/>
        </w:rPr>
        <w:t>Hea</w:t>
      </w:r>
      <w:r>
        <w:rPr>
          <w:spacing w:val="-17"/>
          <w:sz w:val="19"/>
        </w:rPr>
        <w:t xml:space="preserve"> </w:t>
      </w:r>
      <w:r>
        <w:rPr>
          <w:sz w:val="19"/>
        </w:rPr>
        <w:t xml:space="preserve">lth Assessment </w:t>
      </w:r>
      <w:proofErr w:type="spellStart"/>
      <w:r>
        <w:rPr>
          <w:sz w:val="19"/>
        </w:rPr>
        <w:t>Questionna</w:t>
      </w:r>
      <w:proofErr w:type="spellEnd"/>
      <w:r>
        <w:rPr>
          <w:spacing w:val="-18"/>
          <w:sz w:val="19"/>
        </w:rPr>
        <w:t xml:space="preserve"> </w:t>
      </w:r>
      <w:r>
        <w:rPr>
          <w:sz w:val="19"/>
        </w:rPr>
        <w:t>ire</w:t>
      </w:r>
      <w:r>
        <w:rPr>
          <w:spacing w:val="32"/>
          <w:sz w:val="19"/>
        </w:rPr>
        <w:t xml:space="preserve"> </w:t>
      </w:r>
      <w:r>
        <w:rPr>
          <w:sz w:val="19"/>
        </w:rPr>
        <w:t>Disability</w:t>
      </w:r>
      <w:r>
        <w:rPr>
          <w:spacing w:val="80"/>
          <w:sz w:val="19"/>
        </w:rPr>
        <w:t xml:space="preserve"> </w:t>
      </w:r>
      <w:r>
        <w:rPr>
          <w:sz w:val="19"/>
        </w:rPr>
        <w:t>Index,</w:t>
      </w:r>
      <w:r>
        <w:rPr>
          <w:spacing w:val="-5"/>
          <w:sz w:val="19"/>
        </w:rPr>
        <w:t xml:space="preserve"> </w:t>
      </w:r>
      <w:r>
        <w:rPr>
          <w:sz w:val="19"/>
        </w:rPr>
        <w:t>DMARDs</w:t>
      </w:r>
      <w:r>
        <w:rPr>
          <w:spacing w:val="40"/>
          <w:sz w:val="19"/>
        </w:rPr>
        <w:t xml:space="preserve"> </w:t>
      </w:r>
      <w:r>
        <w:rPr>
          <w:sz w:val="19"/>
        </w:rPr>
        <w:t>=</w:t>
      </w:r>
      <w:r>
        <w:rPr>
          <w:spacing w:val="40"/>
          <w:sz w:val="19"/>
        </w:rPr>
        <w:t xml:space="preserve"> </w:t>
      </w:r>
      <w:r>
        <w:rPr>
          <w:sz w:val="19"/>
        </w:rPr>
        <w:t>disease-modifying anti-rheumatic drugs,</w:t>
      </w:r>
      <w:r>
        <w:rPr>
          <w:spacing w:val="40"/>
          <w:sz w:val="19"/>
        </w:rPr>
        <w:t xml:space="preserve"> </w:t>
      </w:r>
      <w:r>
        <w:rPr>
          <w:sz w:val="19"/>
        </w:rPr>
        <w:t>TNF=</w:t>
      </w:r>
      <w:r>
        <w:rPr>
          <w:spacing w:val="40"/>
          <w:sz w:val="19"/>
        </w:rPr>
        <w:t xml:space="preserve"> </w:t>
      </w:r>
      <w:proofErr w:type="spellStart"/>
      <w:r>
        <w:rPr>
          <w:sz w:val="19"/>
        </w:rPr>
        <w:t>tumour</w:t>
      </w:r>
      <w:proofErr w:type="spellEnd"/>
      <w:r>
        <w:rPr>
          <w:spacing w:val="-7"/>
          <w:sz w:val="19"/>
        </w:rPr>
        <w:t xml:space="preserve"> </w:t>
      </w:r>
      <w:r>
        <w:rPr>
          <w:sz w:val="19"/>
        </w:rPr>
        <w:t xml:space="preserve">necrosis </w:t>
      </w:r>
      <w:r>
        <w:rPr>
          <w:spacing w:val="-2"/>
          <w:sz w:val="19"/>
        </w:rPr>
        <w:t>factor</w:t>
      </w:r>
    </w:p>
    <w:p w14:paraId="5D3721E0" w14:textId="77777777" w:rsidR="001825E2" w:rsidRDefault="001825E2" w:rsidP="00CB00A7">
      <w:pPr>
        <w:spacing w:line="254" w:lineRule="auto"/>
        <w:rPr>
          <w:sz w:val="19"/>
        </w:rPr>
        <w:sectPr w:rsidR="001825E2">
          <w:pgSz w:w="11910" w:h="16850"/>
          <w:pgMar w:top="1360" w:right="700" w:bottom="980" w:left="1220" w:header="0" w:footer="785" w:gutter="0"/>
          <w:cols w:space="720"/>
        </w:sectPr>
      </w:pPr>
    </w:p>
    <w:p w14:paraId="271B65D1" w14:textId="77777777" w:rsidR="001825E2" w:rsidRDefault="000839A5" w:rsidP="00CB00A7">
      <w:pPr>
        <w:pStyle w:val="BodyText"/>
        <w:spacing w:before="76"/>
        <w:ind w:left="218" w:right="739" w:firstLine="1"/>
        <w:jc w:val="left"/>
      </w:pPr>
      <w:bookmarkStart w:id="64" w:name="Psoriatic_arthritis"/>
      <w:bookmarkEnd w:id="64"/>
      <w:r>
        <w:lastRenderedPageBreak/>
        <w:t>Health-related</w:t>
      </w:r>
      <w:r>
        <w:rPr>
          <w:spacing w:val="37"/>
        </w:rPr>
        <w:t xml:space="preserve"> </w:t>
      </w:r>
      <w:r>
        <w:t>quality</w:t>
      </w:r>
      <w:r>
        <w:rPr>
          <w:spacing w:val="23"/>
        </w:rPr>
        <w:t xml:space="preserve"> </w:t>
      </w:r>
      <w:r>
        <w:t>of</w:t>
      </w:r>
      <w:r>
        <w:rPr>
          <w:spacing w:val="32"/>
        </w:rPr>
        <w:t xml:space="preserve"> </w:t>
      </w:r>
      <w:r>
        <w:t>life was</w:t>
      </w:r>
      <w:r>
        <w:rPr>
          <w:spacing w:val="19"/>
        </w:rPr>
        <w:t xml:space="preserve"> </w:t>
      </w:r>
      <w:r>
        <w:t>assessed</w:t>
      </w:r>
      <w:r>
        <w:rPr>
          <w:spacing w:val="37"/>
        </w:rPr>
        <w:t xml:space="preserve"> </w:t>
      </w:r>
      <w:r>
        <w:t>by</w:t>
      </w:r>
      <w:r>
        <w:rPr>
          <w:spacing w:val="23"/>
        </w:rPr>
        <w:t xml:space="preserve"> </w:t>
      </w:r>
      <w:r>
        <w:t>the</w:t>
      </w:r>
      <w:r>
        <w:rPr>
          <w:spacing w:val="21"/>
        </w:rPr>
        <w:t xml:space="preserve"> </w:t>
      </w:r>
      <w:r>
        <w:t>Short</w:t>
      </w:r>
      <w:r>
        <w:rPr>
          <w:spacing w:val="30"/>
        </w:rPr>
        <w:t xml:space="preserve"> </w:t>
      </w:r>
      <w:r>
        <w:t>Form</w:t>
      </w:r>
      <w:r>
        <w:rPr>
          <w:spacing w:val="16"/>
        </w:rPr>
        <w:t xml:space="preserve"> </w:t>
      </w:r>
      <w:r>
        <w:t>Health</w:t>
      </w:r>
      <w:r>
        <w:rPr>
          <w:spacing w:val="23"/>
        </w:rPr>
        <w:t xml:space="preserve"> </w:t>
      </w:r>
      <w:r>
        <w:t>Survey</w:t>
      </w:r>
      <w:r>
        <w:rPr>
          <w:spacing w:val="23"/>
        </w:rPr>
        <w:t xml:space="preserve"> </w:t>
      </w:r>
      <w:r>
        <w:t>(SF-36)</w:t>
      </w:r>
      <w:r>
        <w:rPr>
          <w:spacing w:val="18"/>
        </w:rPr>
        <w:t xml:space="preserve"> </w:t>
      </w:r>
      <w:r>
        <w:t>in</w:t>
      </w:r>
      <w:r>
        <w:rPr>
          <w:spacing w:val="23"/>
        </w:rPr>
        <w:t xml:space="preserve"> </w:t>
      </w:r>
      <w:r>
        <w:t>all 5</w:t>
      </w:r>
      <w:r>
        <w:rPr>
          <w:spacing w:val="-3"/>
        </w:rPr>
        <w:t xml:space="preserve"> </w:t>
      </w:r>
      <w:r>
        <w:t>studies. XELJANZ-treated patients exhibited significantly greater improvement from baseline compared to placebo in all 8</w:t>
      </w:r>
      <w:r>
        <w:rPr>
          <w:spacing w:val="-2"/>
        </w:rPr>
        <w:t xml:space="preserve"> </w:t>
      </w:r>
      <w:r>
        <w:t>domains of the SF-36 as well as the Physical Component Summary (PCS) and the Mental Component Summary (MCS) at Month</w:t>
      </w:r>
      <w:r>
        <w:rPr>
          <w:spacing w:val="-3"/>
        </w:rPr>
        <w:t xml:space="preserve"> </w:t>
      </w:r>
      <w:r>
        <w:t>3 in Studies</w:t>
      </w:r>
      <w:r>
        <w:rPr>
          <w:spacing w:val="-7"/>
        </w:rPr>
        <w:t xml:space="preserve"> </w:t>
      </w:r>
      <w:r>
        <w:t>I,</w:t>
      </w:r>
      <w:r>
        <w:rPr>
          <w:spacing w:val="-3"/>
        </w:rPr>
        <w:t xml:space="preserve"> </w:t>
      </w:r>
      <w:r>
        <w:t>IV,</w:t>
      </w:r>
      <w:r>
        <w:rPr>
          <w:spacing w:val="-4"/>
        </w:rPr>
        <w:t xml:space="preserve"> </w:t>
      </w:r>
      <w:r>
        <w:t>and V.</w:t>
      </w:r>
      <w:r>
        <w:rPr>
          <w:spacing w:val="40"/>
        </w:rPr>
        <w:t xml:space="preserve"> </w:t>
      </w:r>
      <w:r>
        <w:t>In</w:t>
      </w:r>
      <w:r>
        <w:rPr>
          <w:spacing w:val="40"/>
        </w:rPr>
        <w:t xml:space="preserve"> </w:t>
      </w:r>
      <w:r>
        <w:t>Studies</w:t>
      </w:r>
      <w:r>
        <w:rPr>
          <w:spacing w:val="-7"/>
        </w:rPr>
        <w:t xml:space="preserve"> </w:t>
      </w:r>
      <w:r>
        <w:t>III and</w:t>
      </w:r>
      <w:r>
        <w:rPr>
          <w:spacing w:val="-4"/>
        </w:rPr>
        <w:t xml:space="preserve"> </w:t>
      </w:r>
      <w:r>
        <w:t>IV,</w:t>
      </w:r>
      <w:r>
        <w:rPr>
          <w:spacing w:val="40"/>
        </w:rPr>
        <w:t xml:space="preserve"> </w:t>
      </w:r>
      <w:r>
        <w:t>mean</w:t>
      </w:r>
      <w:r>
        <w:rPr>
          <w:spacing w:val="40"/>
        </w:rPr>
        <w:t xml:space="preserve"> </w:t>
      </w:r>
      <w:r>
        <w:t>SF-36</w:t>
      </w:r>
      <w:r>
        <w:rPr>
          <w:spacing w:val="40"/>
        </w:rPr>
        <w:t xml:space="preserve"> </w:t>
      </w:r>
      <w:r>
        <w:t>improvements</w:t>
      </w:r>
      <w:r>
        <w:rPr>
          <w:spacing w:val="37"/>
        </w:rPr>
        <w:t xml:space="preserve"> </w:t>
      </w:r>
      <w:r>
        <w:t>were</w:t>
      </w:r>
      <w:r>
        <w:rPr>
          <w:spacing w:val="40"/>
        </w:rPr>
        <w:t xml:space="preserve"> </w:t>
      </w:r>
      <w:r>
        <w:t>maintained</w:t>
      </w:r>
      <w:r>
        <w:rPr>
          <w:spacing w:val="40"/>
        </w:rPr>
        <w:t xml:space="preserve"> </w:t>
      </w:r>
      <w:r>
        <w:t>to 12 months in XELJANZ-treated patients.</w:t>
      </w:r>
    </w:p>
    <w:p w14:paraId="611DDBCA" w14:textId="77777777" w:rsidR="001825E2" w:rsidRDefault="000839A5" w:rsidP="00CB00A7">
      <w:pPr>
        <w:pStyle w:val="BodyText"/>
        <w:spacing w:before="234" w:line="242" w:lineRule="auto"/>
        <w:ind w:left="217" w:right="728"/>
        <w:jc w:val="left"/>
      </w:pPr>
      <w:r>
        <w:t>Improvement in fatigue was evaluated by the Functional Assessment of Chronic Illness Therapy-Fatigue</w:t>
      </w:r>
      <w:r>
        <w:rPr>
          <w:spacing w:val="40"/>
        </w:rPr>
        <w:t xml:space="preserve"> </w:t>
      </w:r>
      <w:r>
        <w:t>(FACIT-F)</w:t>
      </w:r>
      <w:r>
        <w:rPr>
          <w:spacing w:val="37"/>
        </w:rPr>
        <w:t xml:space="preserve"> </w:t>
      </w:r>
      <w:r>
        <w:t>scale</w:t>
      </w:r>
      <w:r>
        <w:rPr>
          <w:spacing w:val="40"/>
        </w:rPr>
        <w:t xml:space="preserve"> </w:t>
      </w:r>
      <w:r>
        <w:t>at</w:t>
      </w:r>
      <w:r>
        <w:rPr>
          <w:spacing w:val="40"/>
        </w:rPr>
        <w:t xml:space="preserve"> </w:t>
      </w:r>
      <w:r>
        <w:t>Month</w:t>
      </w:r>
      <w:r>
        <w:rPr>
          <w:spacing w:val="-2"/>
        </w:rPr>
        <w:t xml:space="preserve"> </w:t>
      </w:r>
      <w:r>
        <w:t>3</w:t>
      </w:r>
      <w:r>
        <w:rPr>
          <w:spacing w:val="40"/>
        </w:rPr>
        <w:t xml:space="preserve"> </w:t>
      </w:r>
      <w:r>
        <w:t>in</w:t>
      </w:r>
      <w:r>
        <w:rPr>
          <w:spacing w:val="40"/>
        </w:rPr>
        <w:t xml:space="preserve"> </w:t>
      </w:r>
      <w:r>
        <w:t>all</w:t>
      </w:r>
      <w:r>
        <w:rPr>
          <w:spacing w:val="35"/>
        </w:rPr>
        <w:t xml:space="preserve"> </w:t>
      </w:r>
      <w:r>
        <w:t>studies.</w:t>
      </w:r>
      <w:r>
        <w:rPr>
          <w:spacing w:val="40"/>
        </w:rPr>
        <w:t xml:space="preserve"> </w:t>
      </w:r>
      <w:r>
        <w:t>Patients</w:t>
      </w:r>
      <w:r>
        <w:rPr>
          <w:spacing w:val="38"/>
        </w:rPr>
        <w:t xml:space="preserve"> </w:t>
      </w:r>
      <w:r>
        <w:t>receiving</w:t>
      </w:r>
      <w:r>
        <w:rPr>
          <w:spacing w:val="40"/>
        </w:rPr>
        <w:t xml:space="preserve"> </w:t>
      </w:r>
      <w:r>
        <w:t>XELJANZ 5</w:t>
      </w:r>
      <w:r>
        <w:rPr>
          <w:spacing w:val="-4"/>
        </w:rPr>
        <w:t xml:space="preserve"> </w:t>
      </w:r>
      <w:r>
        <w:t>mg twice daily demonstrated significantly greater improvement from baseline in fatigue compared</w:t>
      </w:r>
      <w:r>
        <w:rPr>
          <w:spacing w:val="40"/>
        </w:rPr>
        <w:t xml:space="preserve"> </w:t>
      </w:r>
      <w:r>
        <w:t>to placebo in all 5</w:t>
      </w:r>
      <w:r>
        <w:rPr>
          <w:spacing w:val="-3"/>
        </w:rPr>
        <w:t xml:space="preserve"> </w:t>
      </w:r>
      <w:r>
        <w:t>studies. In Studies</w:t>
      </w:r>
      <w:r>
        <w:rPr>
          <w:spacing w:val="-7"/>
        </w:rPr>
        <w:t xml:space="preserve"> </w:t>
      </w:r>
      <w:r>
        <w:t>III and</w:t>
      </w:r>
      <w:r>
        <w:rPr>
          <w:spacing w:val="-4"/>
        </w:rPr>
        <w:t xml:space="preserve"> </w:t>
      </w:r>
      <w:r>
        <w:t>IV, mean FACIT-F improvements were maintained to 12 months in XELJANZ-treated patients.</w:t>
      </w:r>
    </w:p>
    <w:p w14:paraId="5185BE8E" w14:textId="77777777" w:rsidR="001825E2" w:rsidRDefault="000839A5" w:rsidP="00CB00A7">
      <w:pPr>
        <w:pStyle w:val="BodyText"/>
        <w:spacing w:before="226"/>
        <w:ind w:left="216" w:right="726" w:firstLine="1"/>
        <w:jc w:val="left"/>
      </w:pPr>
      <w:r>
        <w:t>Improvement in sleep was assessed</w:t>
      </w:r>
      <w:r>
        <w:rPr>
          <w:spacing w:val="25"/>
        </w:rPr>
        <w:t xml:space="preserve"> </w:t>
      </w:r>
      <w:r>
        <w:t>using the Sleep Problems Index</w:t>
      </w:r>
      <w:r>
        <w:rPr>
          <w:spacing w:val="-15"/>
        </w:rPr>
        <w:t xml:space="preserve"> </w:t>
      </w:r>
      <w:r>
        <w:t>I and II summary scales of the Medical Outcomes Study Sleep (MOS-Sleep) measure at Month</w:t>
      </w:r>
      <w:r>
        <w:rPr>
          <w:spacing w:val="-1"/>
        </w:rPr>
        <w:t xml:space="preserve"> </w:t>
      </w:r>
      <w:r>
        <w:t>3 in all studies. Patients receiving XELJANZ 5</w:t>
      </w:r>
      <w:r>
        <w:rPr>
          <w:spacing w:val="-1"/>
        </w:rPr>
        <w:t xml:space="preserve"> </w:t>
      </w:r>
      <w:r>
        <w:t>mg twice daily demonstrated significantly greater improvement from baseline in both scales compared to placebo in Studies</w:t>
      </w:r>
      <w:r>
        <w:rPr>
          <w:spacing w:val="-8"/>
        </w:rPr>
        <w:t xml:space="preserve"> </w:t>
      </w:r>
      <w:r>
        <w:t>II,</w:t>
      </w:r>
      <w:r>
        <w:rPr>
          <w:spacing w:val="-15"/>
        </w:rPr>
        <w:t xml:space="preserve"> </w:t>
      </w:r>
      <w:r>
        <w:t>III,</w:t>
      </w:r>
      <w:r>
        <w:rPr>
          <w:spacing w:val="-5"/>
        </w:rPr>
        <w:t xml:space="preserve"> </w:t>
      </w:r>
      <w:r>
        <w:t>and IV. In Studies</w:t>
      </w:r>
      <w:r>
        <w:rPr>
          <w:spacing w:val="-5"/>
        </w:rPr>
        <w:t xml:space="preserve"> </w:t>
      </w:r>
      <w:r>
        <w:t>III and IV, mean improvements in both scales were maintained to 12</w:t>
      </w:r>
      <w:r>
        <w:rPr>
          <w:spacing w:val="-1"/>
        </w:rPr>
        <w:t xml:space="preserve"> </w:t>
      </w:r>
      <w:r>
        <w:t>months in XELJANZ-treated patients.</w:t>
      </w:r>
    </w:p>
    <w:p w14:paraId="12EC3630" w14:textId="77777777" w:rsidR="001825E2" w:rsidRDefault="000839A5" w:rsidP="00CB00A7">
      <w:pPr>
        <w:spacing w:before="249"/>
        <w:ind w:left="215"/>
        <w:rPr>
          <w:i/>
          <w:sz w:val="24"/>
        </w:rPr>
      </w:pPr>
      <w:r>
        <w:rPr>
          <w:i/>
          <w:sz w:val="24"/>
        </w:rPr>
        <w:t>Durability</w:t>
      </w:r>
      <w:r>
        <w:rPr>
          <w:i/>
          <w:spacing w:val="7"/>
          <w:sz w:val="24"/>
        </w:rPr>
        <w:t xml:space="preserve"> </w:t>
      </w:r>
      <w:r>
        <w:rPr>
          <w:i/>
          <w:sz w:val="24"/>
        </w:rPr>
        <w:t>of</w:t>
      </w:r>
      <w:r>
        <w:rPr>
          <w:i/>
          <w:spacing w:val="-15"/>
          <w:sz w:val="24"/>
        </w:rPr>
        <w:t xml:space="preserve"> </w:t>
      </w:r>
      <w:r>
        <w:rPr>
          <w:i/>
          <w:sz w:val="24"/>
        </w:rPr>
        <w:t>Clinical</w:t>
      </w:r>
      <w:r>
        <w:rPr>
          <w:i/>
          <w:spacing w:val="7"/>
          <w:sz w:val="24"/>
        </w:rPr>
        <w:t xml:space="preserve"> </w:t>
      </w:r>
      <w:r>
        <w:rPr>
          <w:i/>
          <w:spacing w:val="-2"/>
          <w:sz w:val="24"/>
        </w:rPr>
        <w:t>Responses</w:t>
      </w:r>
    </w:p>
    <w:p w14:paraId="0AE798CC" w14:textId="77777777" w:rsidR="001825E2" w:rsidRDefault="000839A5" w:rsidP="00CB00A7">
      <w:pPr>
        <w:pStyle w:val="BodyText"/>
        <w:spacing w:before="114" w:line="242" w:lineRule="auto"/>
        <w:ind w:left="214" w:right="727"/>
        <w:jc w:val="left"/>
      </w:pPr>
      <w:r>
        <w:t>Durability</w:t>
      </w:r>
      <w:r>
        <w:rPr>
          <w:spacing w:val="-2"/>
        </w:rPr>
        <w:t xml:space="preserve"> </w:t>
      </w:r>
      <w:r>
        <w:t>of effect was</w:t>
      </w:r>
      <w:r>
        <w:rPr>
          <w:spacing w:val="-6"/>
        </w:rPr>
        <w:t xml:space="preserve"> </w:t>
      </w:r>
      <w:r>
        <w:t>assessed by</w:t>
      </w:r>
      <w:r>
        <w:rPr>
          <w:spacing w:val="-2"/>
        </w:rPr>
        <w:t xml:space="preserve"> </w:t>
      </w:r>
      <w:r>
        <w:t>ACR20,</w:t>
      </w:r>
      <w:r>
        <w:rPr>
          <w:spacing w:val="-2"/>
        </w:rPr>
        <w:t xml:space="preserve"> </w:t>
      </w:r>
      <w:r>
        <w:t>ACR50,</w:t>
      </w:r>
      <w:r>
        <w:rPr>
          <w:spacing w:val="-2"/>
        </w:rPr>
        <w:t xml:space="preserve"> </w:t>
      </w:r>
      <w:r>
        <w:t>ACR70</w:t>
      </w:r>
      <w:r>
        <w:rPr>
          <w:spacing w:val="-2"/>
        </w:rPr>
        <w:t xml:space="preserve"> </w:t>
      </w:r>
      <w:r>
        <w:t>response</w:t>
      </w:r>
      <w:r>
        <w:rPr>
          <w:spacing w:val="-4"/>
        </w:rPr>
        <w:t xml:space="preserve"> </w:t>
      </w:r>
      <w:r>
        <w:t>rates, mean</w:t>
      </w:r>
      <w:r>
        <w:rPr>
          <w:spacing w:val="-2"/>
        </w:rPr>
        <w:t xml:space="preserve"> </w:t>
      </w:r>
      <w:r>
        <w:t>HAQ-DI, and mean DAS28-4(ESR) in the three Phase 3 DMARD IR studies with duration of at least one year</w:t>
      </w:r>
      <w:r>
        <w:rPr>
          <w:spacing w:val="28"/>
        </w:rPr>
        <w:t xml:space="preserve"> </w:t>
      </w:r>
      <w:r>
        <w:t>(studies</w:t>
      </w:r>
      <w:r>
        <w:rPr>
          <w:spacing w:val="-9"/>
        </w:rPr>
        <w:t xml:space="preserve"> </w:t>
      </w:r>
      <w:r>
        <w:t>II,</w:t>
      </w:r>
      <w:r>
        <w:rPr>
          <w:spacing w:val="-4"/>
        </w:rPr>
        <w:t xml:space="preserve"> </w:t>
      </w:r>
      <w:r>
        <w:t>III and IV).</w:t>
      </w:r>
      <w:r>
        <w:rPr>
          <w:spacing w:val="-5"/>
        </w:rPr>
        <w:t xml:space="preserve"> </w:t>
      </w:r>
      <w:r>
        <w:t>Efficacy</w:t>
      </w:r>
      <w:r>
        <w:rPr>
          <w:spacing w:val="-4"/>
        </w:rPr>
        <w:t xml:space="preserve"> </w:t>
      </w:r>
      <w:r>
        <w:t>was maintained</w:t>
      </w:r>
      <w:r>
        <w:rPr>
          <w:spacing w:val="34"/>
        </w:rPr>
        <w:t xml:space="preserve"> </w:t>
      </w:r>
      <w:r>
        <w:t>through</w:t>
      </w:r>
      <w:r>
        <w:rPr>
          <w:spacing w:val="-4"/>
        </w:rPr>
        <w:t xml:space="preserve"> </w:t>
      </w:r>
      <w:r>
        <w:t>to the end of the studies.</w:t>
      </w:r>
    </w:p>
    <w:p w14:paraId="71DD76EA" w14:textId="77777777" w:rsidR="001825E2" w:rsidRDefault="000839A5" w:rsidP="00CB00A7">
      <w:pPr>
        <w:pStyle w:val="BodyText"/>
        <w:spacing w:before="229" w:line="242" w:lineRule="auto"/>
        <w:ind w:left="213" w:right="759" w:firstLine="1"/>
        <w:jc w:val="left"/>
      </w:pPr>
      <w:r>
        <w:t xml:space="preserve">Evidence of persistence of efficacy with tofacitinib treatment for up to 7 years is also provided from data in the one ongoing and one completed open-label, long-term follow-up </w:t>
      </w:r>
      <w:r>
        <w:rPr>
          <w:spacing w:val="-2"/>
        </w:rPr>
        <w:t>studies.</w:t>
      </w:r>
    </w:p>
    <w:p w14:paraId="5827E0AC" w14:textId="77777777" w:rsidR="001825E2" w:rsidRDefault="000839A5" w:rsidP="00CB00A7">
      <w:pPr>
        <w:pStyle w:val="Heading4"/>
        <w:spacing w:before="244"/>
        <w:ind w:left="213"/>
        <w:jc w:val="left"/>
      </w:pPr>
      <w:r>
        <w:t xml:space="preserve">Psoriatic </w:t>
      </w:r>
      <w:r>
        <w:rPr>
          <w:spacing w:val="-2"/>
        </w:rPr>
        <w:t>arthritis</w:t>
      </w:r>
    </w:p>
    <w:p w14:paraId="0CE31575" w14:textId="77777777" w:rsidR="001825E2" w:rsidRDefault="000839A5" w:rsidP="00CB00A7">
      <w:pPr>
        <w:pStyle w:val="BodyText"/>
        <w:spacing w:before="114"/>
        <w:ind w:left="212" w:right="730" w:firstLine="1"/>
        <w:jc w:val="left"/>
      </w:pPr>
      <w:r>
        <w:t>The</w:t>
      </w:r>
      <w:r>
        <w:rPr>
          <w:spacing w:val="40"/>
        </w:rPr>
        <w:t xml:space="preserve"> </w:t>
      </w:r>
      <w:r>
        <w:t>efficacy</w:t>
      </w:r>
      <w:r>
        <w:rPr>
          <w:spacing w:val="40"/>
        </w:rPr>
        <w:t xml:space="preserve"> </w:t>
      </w:r>
      <w:r>
        <w:t>and</w:t>
      </w:r>
      <w:r>
        <w:rPr>
          <w:spacing w:val="40"/>
        </w:rPr>
        <w:t xml:space="preserve"> </w:t>
      </w:r>
      <w:r>
        <w:t>safety</w:t>
      </w:r>
      <w:r>
        <w:rPr>
          <w:spacing w:val="40"/>
        </w:rPr>
        <w:t xml:space="preserve"> </w:t>
      </w:r>
      <w:r>
        <w:t>of</w:t>
      </w:r>
      <w:r>
        <w:rPr>
          <w:spacing w:val="40"/>
        </w:rPr>
        <w:t xml:space="preserve"> </w:t>
      </w:r>
      <w:r>
        <w:t>XELJANZ</w:t>
      </w:r>
      <w:r>
        <w:rPr>
          <w:spacing w:val="40"/>
        </w:rPr>
        <w:t xml:space="preserve"> </w:t>
      </w:r>
      <w:r>
        <w:t>were</w:t>
      </w:r>
      <w:r>
        <w:rPr>
          <w:spacing w:val="40"/>
        </w:rPr>
        <w:t xml:space="preserve"> </w:t>
      </w:r>
      <w:r>
        <w:t>assessed</w:t>
      </w:r>
      <w:r>
        <w:rPr>
          <w:spacing w:val="40"/>
        </w:rPr>
        <w:t xml:space="preserve"> </w:t>
      </w:r>
      <w:r>
        <w:t>in</w:t>
      </w:r>
      <w:r>
        <w:rPr>
          <w:spacing w:val="40"/>
        </w:rPr>
        <w:t xml:space="preserve"> </w:t>
      </w:r>
      <w:r>
        <w:t>2</w:t>
      </w:r>
      <w:r>
        <w:rPr>
          <w:spacing w:val="40"/>
        </w:rPr>
        <w:t xml:space="preserve"> </w:t>
      </w:r>
      <w:proofErr w:type="spellStart"/>
      <w:r>
        <w:t>randomised</w:t>
      </w:r>
      <w:proofErr w:type="spellEnd"/>
      <w:r>
        <w:t>,</w:t>
      </w:r>
      <w:r>
        <w:rPr>
          <w:spacing w:val="40"/>
        </w:rPr>
        <w:t xml:space="preserve"> </w:t>
      </w:r>
      <w:r>
        <w:t>double-blind, placebo-controlled Phase 3 studies in adult patients with active PsA (≥</w:t>
      </w:r>
      <w:r>
        <w:rPr>
          <w:spacing w:val="-1"/>
        </w:rPr>
        <w:t xml:space="preserve"> </w:t>
      </w:r>
      <w:r>
        <w:t>3 swollen and ≥</w:t>
      </w:r>
      <w:r>
        <w:rPr>
          <w:spacing w:val="-1"/>
        </w:rPr>
        <w:t xml:space="preserve"> </w:t>
      </w:r>
      <w:r>
        <w:t xml:space="preserve">3 tender joints); patients received 1 </w:t>
      </w:r>
      <w:proofErr w:type="spellStart"/>
      <w:r>
        <w:t>csDMARD</w:t>
      </w:r>
      <w:proofErr w:type="spellEnd"/>
      <w:r>
        <w:t xml:space="preserve"> as concomitant therapy. Patients with each subtype of PsA were enrolled in these studies including: polyarticular arthritis, &lt;</w:t>
      </w:r>
      <w:r>
        <w:rPr>
          <w:spacing w:val="-1"/>
        </w:rPr>
        <w:t xml:space="preserve"> </w:t>
      </w:r>
      <w:r>
        <w:t xml:space="preserve">5 joints or asymmetric involvement, distal interphalangeal (DIP) joint involvement, arthritis </w:t>
      </w:r>
      <w:proofErr w:type="spellStart"/>
      <w:r>
        <w:t>mutilans</w:t>
      </w:r>
      <w:proofErr w:type="spellEnd"/>
      <w:r>
        <w:rPr>
          <w:spacing w:val="40"/>
        </w:rPr>
        <w:t xml:space="preserve"> </w:t>
      </w:r>
      <w:r>
        <w:t>and spondylitis with peripheral arthritis. The median PsA disease duration was 5.5 years. Patients</w:t>
      </w:r>
      <w:r>
        <w:rPr>
          <w:spacing w:val="-3"/>
        </w:rPr>
        <w:t xml:space="preserve"> </w:t>
      </w:r>
      <w:r>
        <w:t>were</w:t>
      </w:r>
      <w:r>
        <w:rPr>
          <w:spacing w:val="-1"/>
        </w:rPr>
        <w:t xml:space="preserve"> </w:t>
      </w:r>
      <w:r>
        <w:t>required to have</w:t>
      </w:r>
      <w:r>
        <w:rPr>
          <w:spacing w:val="-1"/>
        </w:rPr>
        <w:t xml:space="preserve"> </w:t>
      </w:r>
      <w:r>
        <w:t>active</w:t>
      </w:r>
      <w:r>
        <w:rPr>
          <w:spacing w:val="-1"/>
        </w:rPr>
        <w:t xml:space="preserve"> </w:t>
      </w:r>
      <w:r>
        <w:t>plaque</w:t>
      </w:r>
      <w:r>
        <w:rPr>
          <w:spacing w:val="-1"/>
        </w:rPr>
        <w:t xml:space="preserve"> </w:t>
      </w:r>
      <w:r>
        <w:t>psoriasis at the</w:t>
      </w:r>
      <w:r>
        <w:rPr>
          <w:spacing w:val="-1"/>
        </w:rPr>
        <w:t xml:space="preserve"> </w:t>
      </w:r>
      <w:r>
        <w:t>screening visit. At baseline, 80% and 53% of patients had enthesitis and dactylitis,</w:t>
      </w:r>
      <w:r>
        <w:t xml:space="preserve"> respectively. For both studies, the primary endpoints</w:t>
      </w:r>
      <w:r>
        <w:rPr>
          <w:spacing w:val="-11"/>
        </w:rPr>
        <w:t xml:space="preserve"> </w:t>
      </w:r>
      <w:r>
        <w:t>were ACR20</w:t>
      </w:r>
      <w:r>
        <w:rPr>
          <w:spacing w:val="-6"/>
        </w:rPr>
        <w:t xml:space="preserve"> </w:t>
      </w:r>
      <w:r>
        <w:t>response rate and change from baseline in HAQ-DI at Month</w:t>
      </w:r>
      <w:r>
        <w:rPr>
          <w:spacing w:val="-6"/>
        </w:rPr>
        <w:t xml:space="preserve"> </w:t>
      </w:r>
      <w:r>
        <w:t>3.</w:t>
      </w:r>
    </w:p>
    <w:p w14:paraId="7EBADD5A" w14:textId="77777777" w:rsidR="001825E2" w:rsidRDefault="000839A5" w:rsidP="00CB00A7">
      <w:pPr>
        <w:pStyle w:val="BodyText"/>
        <w:spacing w:before="251" w:line="235" w:lineRule="auto"/>
        <w:ind w:left="211" w:right="732"/>
        <w:jc w:val="left"/>
      </w:pPr>
      <w:r>
        <w:t xml:space="preserve">Study PsA-I (OPAL BROADEN) evaluated 422 patients who had a previous inadequate response (due to lack of efficacy or intolerance) to a </w:t>
      </w:r>
      <w:proofErr w:type="spellStart"/>
      <w:r>
        <w:t>csDMARD</w:t>
      </w:r>
      <w:proofErr w:type="spellEnd"/>
      <w:r>
        <w:t xml:space="preserve"> (MTX for 92.7% of</w:t>
      </w:r>
      <w:r>
        <w:rPr>
          <w:spacing w:val="40"/>
        </w:rPr>
        <w:t xml:space="preserve"> </w:t>
      </w:r>
      <w:r>
        <w:t>patients);</w:t>
      </w:r>
      <w:r>
        <w:rPr>
          <w:spacing w:val="48"/>
          <w:w w:val="150"/>
        </w:rPr>
        <w:t xml:space="preserve"> </w:t>
      </w:r>
      <w:r>
        <w:t>32.7%</w:t>
      </w:r>
      <w:r>
        <w:rPr>
          <w:spacing w:val="53"/>
          <w:w w:val="150"/>
        </w:rPr>
        <w:t xml:space="preserve"> </w:t>
      </w:r>
      <w:r>
        <w:t>of</w:t>
      </w:r>
      <w:r>
        <w:rPr>
          <w:spacing w:val="68"/>
          <w:w w:val="150"/>
        </w:rPr>
        <w:t xml:space="preserve"> </w:t>
      </w:r>
      <w:r>
        <w:t>the</w:t>
      </w:r>
      <w:r>
        <w:rPr>
          <w:spacing w:val="71"/>
        </w:rPr>
        <w:t xml:space="preserve"> </w:t>
      </w:r>
      <w:r>
        <w:t>patients</w:t>
      </w:r>
      <w:r>
        <w:rPr>
          <w:spacing w:val="53"/>
          <w:w w:val="150"/>
        </w:rPr>
        <w:t xml:space="preserve"> </w:t>
      </w:r>
      <w:r>
        <w:t>in</w:t>
      </w:r>
      <w:r>
        <w:rPr>
          <w:spacing w:val="73"/>
        </w:rPr>
        <w:t xml:space="preserve"> </w:t>
      </w:r>
      <w:r>
        <w:t>this</w:t>
      </w:r>
      <w:r>
        <w:rPr>
          <w:spacing w:val="54"/>
          <w:w w:val="150"/>
        </w:rPr>
        <w:t xml:space="preserve"> </w:t>
      </w:r>
      <w:r>
        <w:t>study</w:t>
      </w:r>
      <w:r>
        <w:rPr>
          <w:spacing w:val="58"/>
          <w:w w:val="150"/>
        </w:rPr>
        <w:t xml:space="preserve"> </w:t>
      </w:r>
      <w:r>
        <w:t>had</w:t>
      </w:r>
      <w:r>
        <w:rPr>
          <w:spacing w:val="72"/>
          <w:w w:val="150"/>
        </w:rPr>
        <w:t xml:space="preserve"> </w:t>
      </w:r>
      <w:r>
        <w:t>a</w:t>
      </w:r>
      <w:r>
        <w:rPr>
          <w:spacing w:val="71"/>
        </w:rPr>
        <w:t xml:space="preserve"> </w:t>
      </w:r>
      <w:r>
        <w:t>previous</w:t>
      </w:r>
      <w:r>
        <w:rPr>
          <w:spacing w:val="54"/>
          <w:w w:val="150"/>
        </w:rPr>
        <w:t xml:space="preserve"> </w:t>
      </w:r>
      <w:r>
        <w:t>inadequate</w:t>
      </w:r>
      <w:r>
        <w:rPr>
          <w:spacing w:val="56"/>
          <w:w w:val="150"/>
        </w:rPr>
        <w:t xml:space="preserve"> </w:t>
      </w:r>
      <w:r>
        <w:t>response</w:t>
      </w:r>
      <w:r>
        <w:rPr>
          <w:spacing w:val="56"/>
          <w:w w:val="150"/>
        </w:rPr>
        <w:t xml:space="preserve"> </w:t>
      </w:r>
      <w:r>
        <w:rPr>
          <w:spacing w:val="-5"/>
        </w:rPr>
        <w:t>to</w:t>
      </w:r>
    </w:p>
    <w:p w14:paraId="61CABA35" w14:textId="77777777" w:rsidR="001825E2" w:rsidRDefault="000839A5" w:rsidP="00CB00A7">
      <w:pPr>
        <w:pStyle w:val="ListParagraph"/>
        <w:numPr>
          <w:ilvl w:val="0"/>
          <w:numId w:val="3"/>
        </w:numPr>
        <w:tabs>
          <w:tab w:val="left" w:pos="405"/>
        </w:tabs>
        <w:spacing w:before="9"/>
        <w:ind w:right="727" w:firstLine="0"/>
        <w:jc w:val="left"/>
        <w:rPr>
          <w:sz w:val="24"/>
        </w:rPr>
      </w:pPr>
      <w:r>
        <w:rPr>
          <w:sz w:val="24"/>
        </w:rPr>
        <w:t xml:space="preserve">1 </w:t>
      </w:r>
      <w:proofErr w:type="spellStart"/>
      <w:r>
        <w:rPr>
          <w:sz w:val="24"/>
        </w:rPr>
        <w:t>csDMARD</w:t>
      </w:r>
      <w:proofErr w:type="spellEnd"/>
      <w:r>
        <w:rPr>
          <w:sz w:val="24"/>
        </w:rPr>
        <w:t xml:space="preserve"> or 1 </w:t>
      </w:r>
      <w:proofErr w:type="spellStart"/>
      <w:r>
        <w:rPr>
          <w:sz w:val="24"/>
        </w:rPr>
        <w:t>csDMARD</w:t>
      </w:r>
      <w:proofErr w:type="spellEnd"/>
      <w:r>
        <w:rPr>
          <w:sz w:val="24"/>
        </w:rPr>
        <w:t xml:space="preserve"> and a targeted synthetic DMARD (</w:t>
      </w:r>
      <w:proofErr w:type="spellStart"/>
      <w:r>
        <w:rPr>
          <w:sz w:val="24"/>
        </w:rPr>
        <w:t>tsDMARD</w:t>
      </w:r>
      <w:proofErr w:type="spellEnd"/>
      <w:r>
        <w:rPr>
          <w:sz w:val="24"/>
        </w:rPr>
        <w:t xml:space="preserve">). In OPAL BROADEN, previous treatment with TNF inhibitor was not allowed. All patients were required to have 1 concomitant </w:t>
      </w:r>
      <w:proofErr w:type="spellStart"/>
      <w:r>
        <w:rPr>
          <w:sz w:val="24"/>
        </w:rPr>
        <w:t>csDMARD</w:t>
      </w:r>
      <w:proofErr w:type="spellEnd"/>
      <w:r>
        <w:rPr>
          <w:sz w:val="24"/>
        </w:rPr>
        <w:t>; 83.9% of patients received concomitant MTX. Patients</w:t>
      </w:r>
      <w:r>
        <w:rPr>
          <w:spacing w:val="-5"/>
          <w:sz w:val="24"/>
        </w:rPr>
        <w:t xml:space="preserve"> </w:t>
      </w:r>
      <w:proofErr w:type="spellStart"/>
      <w:r>
        <w:rPr>
          <w:sz w:val="24"/>
        </w:rPr>
        <w:t>randomised</w:t>
      </w:r>
      <w:proofErr w:type="spellEnd"/>
      <w:r>
        <w:rPr>
          <w:sz w:val="24"/>
        </w:rPr>
        <w:t xml:space="preserve"> to</w:t>
      </w:r>
      <w:r>
        <w:rPr>
          <w:spacing w:val="-1"/>
          <w:sz w:val="24"/>
        </w:rPr>
        <w:t xml:space="preserve"> </w:t>
      </w:r>
      <w:r>
        <w:rPr>
          <w:sz w:val="24"/>
        </w:rPr>
        <w:t>XELJANZ received 5</w:t>
      </w:r>
      <w:r>
        <w:rPr>
          <w:spacing w:val="-1"/>
          <w:sz w:val="24"/>
        </w:rPr>
        <w:t xml:space="preserve"> </w:t>
      </w:r>
      <w:r>
        <w:rPr>
          <w:sz w:val="24"/>
        </w:rPr>
        <w:t>mg</w:t>
      </w:r>
      <w:r>
        <w:rPr>
          <w:spacing w:val="-1"/>
          <w:sz w:val="24"/>
        </w:rPr>
        <w:t xml:space="preserve"> </w:t>
      </w:r>
      <w:r>
        <w:rPr>
          <w:sz w:val="24"/>
        </w:rPr>
        <w:t>twice</w:t>
      </w:r>
      <w:r>
        <w:rPr>
          <w:spacing w:val="-3"/>
          <w:sz w:val="24"/>
        </w:rPr>
        <w:t xml:space="preserve"> </w:t>
      </w:r>
      <w:r>
        <w:rPr>
          <w:sz w:val="24"/>
        </w:rPr>
        <w:t>daily</w:t>
      </w:r>
      <w:r>
        <w:rPr>
          <w:spacing w:val="-1"/>
          <w:sz w:val="24"/>
        </w:rPr>
        <w:t xml:space="preserve"> </w:t>
      </w:r>
      <w:r>
        <w:rPr>
          <w:sz w:val="24"/>
        </w:rPr>
        <w:t>or</w:t>
      </w:r>
      <w:r>
        <w:rPr>
          <w:spacing w:val="-6"/>
          <w:sz w:val="24"/>
        </w:rPr>
        <w:t xml:space="preserve"> </w:t>
      </w:r>
      <w:r>
        <w:rPr>
          <w:sz w:val="24"/>
        </w:rPr>
        <w:t>XELJANZ 10</w:t>
      </w:r>
      <w:r>
        <w:rPr>
          <w:spacing w:val="-1"/>
          <w:sz w:val="24"/>
        </w:rPr>
        <w:t xml:space="preserve"> </w:t>
      </w:r>
      <w:r>
        <w:rPr>
          <w:sz w:val="24"/>
        </w:rPr>
        <w:t>mg</w:t>
      </w:r>
      <w:r>
        <w:rPr>
          <w:spacing w:val="-1"/>
          <w:sz w:val="24"/>
        </w:rPr>
        <w:t xml:space="preserve"> </w:t>
      </w:r>
      <w:r>
        <w:rPr>
          <w:sz w:val="24"/>
        </w:rPr>
        <w:t>twice</w:t>
      </w:r>
      <w:r>
        <w:rPr>
          <w:spacing w:val="-3"/>
          <w:sz w:val="24"/>
        </w:rPr>
        <w:t xml:space="preserve"> </w:t>
      </w:r>
      <w:r>
        <w:rPr>
          <w:sz w:val="24"/>
        </w:rPr>
        <w:t>daily for</w:t>
      </w:r>
      <w:r>
        <w:rPr>
          <w:spacing w:val="40"/>
          <w:sz w:val="24"/>
        </w:rPr>
        <w:t xml:space="preserve"> </w:t>
      </w:r>
      <w:r>
        <w:rPr>
          <w:sz w:val="24"/>
        </w:rPr>
        <w:t>12</w:t>
      </w:r>
      <w:r>
        <w:rPr>
          <w:spacing w:val="-3"/>
          <w:sz w:val="24"/>
        </w:rPr>
        <w:t xml:space="preserve"> </w:t>
      </w:r>
      <w:r>
        <w:rPr>
          <w:sz w:val="24"/>
        </w:rPr>
        <w:t>months.</w:t>
      </w:r>
      <w:r>
        <w:rPr>
          <w:spacing w:val="40"/>
          <w:sz w:val="24"/>
        </w:rPr>
        <w:t xml:space="preserve"> </w:t>
      </w:r>
      <w:r>
        <w:rPr>
          <w:sz w:val="24"/>
        </w:rPr>
        <w:t>Patients</w:t>
      </w:r>
      <w:r>
        <w:rPr>
          <w:spacing w:val="40"/>
          <w:sz w:val="24"/>
        </w:rPr>
        <w:t xml:space="preserve"> </w:t>
      </w:r>
      <w:proofErr w:type="spellStart"/>
      <w:r>
        <w:rPr>
          <w:sz w:val="24"/>
        </w:rPr>
        <w:t>randomised</w:t>
      </w:r>
      <w:proofErr w:type="spellEnd"/>
      <w:r>
        <w:rPr>
          <w:spacing w:val="40"/>
          <w:sz w:val="24"/>
        </w:rPr>
        <w:t xml:space="preserve"> </w:t>
      </w:r>
      <w:r>
        <w:rPr>
          <w:sz w:val="24"/>
        </w:rPr>
        <w:t>to</w:t>
      </w:r>
      <w:r>
        <w:rPr>
          <w:spacing w:val="40"/>
          <w:sz w:val="24"/>
        </w:rPr>
        <w:t xml:space="preserve"> </w:t>
      </w:r>
      <w:r>
        <w:rPr>
          <w:sz w:val="24"/>
        </w:rPr>
        <w:t>placebo</w:t>
      </w:r>
      <w:r>
        <w:rPr>
          <w:spacing w:val="40"/>
          <w:sz w:val="24"/>
        </w:rPr>
        <w:t xml:space="preserve"> </w:t>
      </w:r>
      <w:r>
        <w:rPr>
          <w:sz w:val="24"/>
        </w:rPr>
        <w:t>were</w:t>
      </w:r>
      <w:r>
        <w:rPr>
          <w:spacing w:val="40"/>
          <w:sz w:val="24"/>
        </w:rPr>
        <w:t xml:space="preserve"> </w:t>
      </w:r>
      <w:r>
        <w:rPr>
          <w:sz w:val="24"/>
        </w:rPr>
        <w:t>advanced</w:t>
      </w:r>
      <w:r>
        <w:rPr>
          <w:spacing w:val="40"/>
          <w:sz w:val="24"/>
        </w:rPr>
        <w:t xml:space="preserve"> </w:t>
      </w:r>
      <w:r>
        <w:rPr>
          <w:sz w:val="24"/>
        </w:rPr>
        <w:t>in</w:t>
      </w:r>
      <w:r>
        <w:rPr>
          <w:spacing w:val="40"/>
          <w:sz w:val="24"/>
        </w:rPr>
        <w:t xml:space="preserve"> </w:t>
      </w:r>
      <w:r>
        <w:rPr>
          <w:sz w:val="24"/>
        </w:rPr>
        <w:t>a</w:t>
      </w:r>
      <w:r>
        <w:rPr>
          <w:spacing w:val="40"/>
          <w:sz w:val="24"/>
        </w:rPr>
        <w:t xml:space="preserve"> </w:t>
      </w:r>
      <w:r>
        <w:rPr>
          <w:sz w:val="24"/>
        </w:rPr>
        <w:t>blinded</w:t>
      </w:r>
      <w:r>
        <w:rPr>
          <w:spacing w:val="40"/>
          <w:sz w:val="24"/>
        </w:rPr>
        <w:t xml:space="preserve"> </w:t>
      </w:r>
      <w:r>
        <w:rPr>
          <w:sz w:val="24"/>
        </w:rPr>
        <w:t>manner</w:t>
      </w:r>
      <w:r>
        <w:rPr>
          <w:spacing w:val="40"/>
          <w:sz w:val="24"/>
        </w:rPr>
        <w:t xml:space="preserve"> </w:t>
      </w:r>
      <w:r>
        <w:rPr>
          <w:sz w:val="24"/>
        </w:rPr>
        <w:t>at Month</w:t>
      </w:r>
      <w:r>
        <w:rPr>
          <w:spacing w:val="-1"/>
          <w:sz w:val="24"/>
        </w:rPr>
        <w:t xml:space="preserve"> </w:t>
      </w:r>
      <w:r>
        <w:rPr>
          <w:sz w:val="24"/>
        </w:rPr>
        <w:t>3</w:t>
      </w:r>
      <w:r>
        <w:rPr>
          <w:spacing w:val="14"/>
          <w:sz w:val="24"/>
        </w:rPr>
        <w:t xml:space="preserve"> </w:t>
      </w:r>
      <w:r>
        <w:rPr>
          <w:sz w:val="24"/>
        </w:rPr>
        <w:t>to</w:t>
      </w:r>
      <w:r>
        <w:rPr>
          <w:spacing w:val="14"/>
          <w:sz w:val="24"/>
        </w:rPr>
        <w:t xml:space="preserve"> </w:t>
      </w:r>
      <w:r>
        <w:rPr>
          <w:sz w:val="24"/>
        </w:rPr>
        <w:t>either</w:t>
      </w:r>
      <w:r>
        <w:rPr>
          <w:spacing w:val="-6"/>
          <w:sz w:val="24"/>
        </w:rPr>
        <w:t xml:space="preserve"> </w:t>
      </w:r>
      <w:r>
        <w:rPr>
          <w:sz w:val="24"/>
        </w:rPr>
        <w:t>XELJANZ</w:t>
      </w:r>
      <w:r>
        <w:rPr>
          <w:spacing w:val="17"/>
          <w:sz w:val="24"/>
        </w:rPr>
        <w:t xml:space="preserve"> </w:t>
      </w:r>
      <w:r>
        <w:rPr>
          <w:sz w:val="24"/>
        </w:rPr>
        <w:t>5</w:t>
      </w:r>
      <w:r>
        <w:rPr>
          <w:spacing w:val="-1"/>
          <w:sz w:val="24"/>
        </w:rPr>
        <w:t xml:space="preserve"> </w:t>
      </w:r>
      <w:r>
        <w:rPr>
          <w:sz w:val="24"/>
        </w:rPr>
        <w:t>mg</w:t>
      </w:r>
      <w:r>
        <w:rPr>
          <w:spacing w:val="-1"/>
          <w:sz w:val="24"/>
        </w:rPr>
        <w:t xml:space="preserve"> </w:t>
      </w:r>
      <w:r>
        <w:rPr>
          <w:sz w:val="24"/>
        </w:rPr>
        <w:t>twice</w:t>
      </w:r>
      <w:r>
        <w:rPr>
          <w:spacing w:val="-3"/>
          <w:sz w:val="24"/>
        </w:rPr>
        <w:t xml:space="preserve"> </w:t>
      </w:r>
      <w:r>
        <w:rPr>
          <w:sz w:val="24"/>
        </w:rPr>
        <w:t>daily</w:t>
      </w:r>
      <w:r>
        <w:rPr>
          <w:spacing w:val="14"/>
          <w:sz w:val="24"/>
        </w:rPr>
        <w:t xml:space="preserve"> </w:t>
      </w:r>
      <w:r>
        <w:rPr>
          <w:sz w:val="24"/>
        </w:rPr>
        <w:t>or XELJANZ</w:t>
      </w:r>
      <w:r>
        <w:rPr>
          <w:spacing w:val="17"/>
          <w:sz w:val="24"/>
        </w:rPr>
        <w:t xml:space="preserve"> </w:t>
      </w:r>
      <w:r>
        <w:rPr>
          <w:sz w:val="24"/>
        </w:rPr>
        <w:t>10</w:t>
      </w:r>
      <w:r>
        <w:rPr>
          <w:spacing w:val="-1"/>
          <w:sz w:val="24"/>
        </w:rPr>
        <w:t xml:space="preserve"> </w:t>
      </w:r>
      <w:r>
        <w:rPr>
          <w:sz w:val="24"/>
        </w:rPr>
        <w:t>mg</w:t>
      </w:r>
      <w:r>
        <w:rPr>
          <w:spacing w:val="-1"/>
          <w:sz w:val="24"/>
        </w:rPr>
        <w:t xml:space="preserve"> </w:t>
      </w:r>
      <w:r>
        <w:rPr>
          <w:sz w:val="24"/>
        </w:rPr>
        <w:t>twice</w:t>
      </w:r>
      <w:r>
        <w:rPr>
          <w:spacing w:val="-3"/>
          <w:sz w:val="24"/>
        </w:rPr>
        <w:t xml:space="preserve"> </w:t>
      </w:r>
      <w:r>
        <w:rPr>
          <w:sz w:val="24"/>
        </w:rPr>
        <w:t>daily</w:t>
      </w:r>
      <w:r>
        <w:rPr>
          <w:spacing w:val="14"/>
          <w:sz w:val="24"/>
        </w:rPr>
        <w:t xml:space="preserve"> </w:t>
      </w:r>
      <w:r>
        <w:rPr>
          <w:sz w:val="24"/>
        </w:rPr>
        <w:t>and</w:t>
      </w:r>
      <w:r>
        <w:rPr>
          <w:spacing w:val="29"/>
          <w:sz w:val="24"/>
        </w:rPr>
        <w:t xml:space="preserve"> </w:t>
      </w:r>
      <w:proofErr w:type="gramStart"/>
      <w:r>
        <w:rPr>
          <w:sz w:val="24"/>
        </w:rPr>
        <w:t>received</w:t>
      </w:r>
      <w:proofErr w:type="gramEnd"/>
    </w:p>
    <w:p w14:paraId="39566E7A" w14:textId="77777777" w:rsidR="001825E2" w:rsidRDefault="001825E2" w:rsidP="00CB00A7">
      <w:pPr>
        <w:rPr>
          <w:sz w:val="24"/>
        </w:rPr>
        <w:sectPr w:rsidR="001825E2">
          <w:pgSz w:w="11910" w:h="16850"/>
          <w:pgMar w:top="1360" w:right="700" w:bottom="980" w:left="1220" w:header="0" w:footer="785" w:gutter="0"/>
          <w:cols w:space="720"/>
        </w:sectPr>
      </w:pPr>
    </w:p>
    <w:p w14:paraId="43D91563" w14:textId="77777777" w:rsidR="001825E2" w:rsidRDefault="000839A5" w:rsidP="00CB00A7">
      <w:pPr>
        <w:pStyle w:val="BodyText"/>
        <w:spacing w:before="80" w:line="235" w:lineRule="auto"/>
        <w:ind w:left="219" w:right="753"/>
        <w:jc w:val="left"/>
      </w:pPr>
      <w:r>
        <w:lastRenderedPageBreak/>
        <w:t>treatment until Month</w:t>
      </w:r>
      <w:r>
        <w:rPr>
          <w:spacing w:val="-6"/>
        </w:rPr>
        <w:t xml:space="preserve"> </w:t>
      </w:r>
      <w:r>
        <w:t xml:space="preserve">12. Patients </w:t>
      </w:r>
      <w:proofErr w:type="spellStart"/>
      <w:r>
        <w:t>randomised</w:t>
      </w:r>
      <w:proofErr w:type="spellEnd"/>
      <w:r>
        <w:t xml:space="preserve"> to adalimumab (active-control arm) received 40 mg subcutaneously every 2 weeks for</w:t>
      </w:r>
      <w:r>
        <w:rPr>
          <w:spacing w:val="-9"/>
        </w:rPr>
        <w:t xml:space="preserve"> </w:t>
      </w:r>
      <w:r>
        <w:t>12 months.</w:t>
      </w:r>
    </w:p>
    <w:p w14:paraId="7A165359" w14:textId="77777777" w:rsidR="001825E2" w:rsidRDefault="000839A5" w:rsidP="00CB00A7">
      <w:pPr>
        <w:pStyle w:val="BodyText"/>
        <w:spacing w:before="254" w:line="235" w:lineRule="auto"/>
        <w:ind w:left="219" w:right="725"/>
        <w:jc w:val="left"/>
      </w:pPr>
      <w:r>
        <w:t>Study PsA-II (OPAL BEYOND) evaluated 394 patients who had discontinued a TNF inhibitor</w:t>
      </w:r>
      <w:r>
        <w:rPr>
          <w:spacing w:val="4"/>
        </w:rPr>
        <w:t xml:space="preserve"> </w:t>
      </w:r>
      <w:r>
        <w:t>due</w:t>
      </w:r>
      <w:r>
        <w:rPr>
          <w:spacing w:val="9"/>
        </w:rPr>
        <w:t xml:space="preserve"> </w:t>
      </w:r>
      <w:r>
        <w:t>to</w:t>
      </w:r>
      <w:r>
        <w:rPr>
          <w:spacing w:val="12"/>
        </w:rPr>
        <w:t xml:space="preserve"> </w:t>
      </w:r>
      <w:r>
        <w:t>lack</w:t>
      </w:r>
      <w:r>
        <w:rPr>
          <w:spacing w:val="11"/>
        </w:rPr>
        <w:t xml:space="preserve"> </w:t>
      </w:r>
      <w:r>
        <w:t>of</w:t>
      </w:r>
      <w:r>
        <w:rPr>
          <w:spacing w:val="6"/>
        </w:rPr>
        <w:t xml:space="preserve"> </w:t>
      </w:r>
      <w:r>
        <w:t>efficacy</w:t>
      </w:r>
      <w:r>
        <w:rPr>
          <w:spacing w:val="12"/>
        </w:rPr>
        <w:t xml:space="preserve"> </w:t>
      </w:r>
      <w:r>
        <w:t>or</w:t>
      </w:r>
      <w:r>
        <w:rPr>
          <w:spacing w:val="6"/>
        </w:rPr>
        <w:t xml:space="preserve"> </w:t>
      </w:r>
      <w:r>
        <w:t>intolerance;</w:t>
      </w:r>
      <w:r>
        <w:rPr>
          <w:spacing w:val="5"/>
        </w:rPr>
        <w:t xml:space="preserve"> </w:t>
      </w:r>
      <w:r>
        <w:t>36.0%</w:t>
      </w:r>
      <w:r>
        <w:rPr>
          <w:spacing w:val="6"/>
        </w:rPr>
        <w:t xml:space="preserve"> </w:t>
      </w:r>
      <w:r>
        <w:t>had</w:t>
      </w:r>
      <w:r>
        <w:rPr>
          <w:spacing w:val="26"/>
        </w:rPr>
        <w:t xml:space="preserve"> </w:t>
      </w:r>
      <w:r>
        <w:t>a</w:t>
      </w:r>
      <w:r>
        <w:rPr>
          <w:spacing w:val="9"/>
        </w:rPr>
        <w:t xml:space="preserve"> </w:t>
      </w:r>
      <w:r>
        <w:t>previous</w:t>
      </w:r>
      <w:r>
        <w:rPr>
          <w:spacing w:val="8"/>
        </w:rPr>
        <w:t xml:space="preserve"> </w:t>
      </w:r>
      <w:r>
        <w:t>inadequate</w:t>
      </w:r>
      <w:r>
        <w:rPr>
          <w:spacing w:val="9"/>
        </w:rPr>
        <w:t xml:space="preserve"> </w:t>
      </w:r>
      <w:r>
        <w:t>response</w:t>
      </w:r>
      <w:r>
        <w:rPr>
          <w:spacing w:val="10"/>
        </w:rPr>
        <w:t xml:space="preserve"> </w:t>
      </w:r>
      <w:r>
        <w:rPr>
          <w:spacing w:val="-5"/>
        </w:rPr>
        <w:t>to</w:t>
      </w:r>
    </w:p>
    <w:p w14:paraId="45887C1C" w14:textId="77777777" w:rsidR="001825E2" w:rsidRDefault="000839A5" w:rsidP="00CB00A7">
      <w:pPr>
        <w:pStyle w:val="ListParagraph"/>
        <w:numPr>
          <w:ilvl w:val="0"/>
          <w:numId w:val="3"/>
        </w:numPr>
        <w:tabs>
          <w:tab w:val="left" w:pos="413"/>
        </w:tabs>
        <w:spacing w:before="12" w:line="237" w:lineRule="auto"/>
        <w:ind w:left="219" w:right="724" w:firstLine="0"/>
        <w:jc w:val="left"/>
        <w:rPr>
          <w:sz w:val="24"/>
        </w:rPr>
      </w:pPr>
      <w:r>
        <w:rPr>
          <w:sz w:val="24"/>
        </w:rPr>
        <w:t>1 biological</w:t>
      </w:r>
      <w:r>
        <w:rPr>
          <w:spacing w:val="-6"/>
          <w:sz w:val="24"/>
        </w:rPr>
        <w:t xml:space="preserve"> </w:t>
      </w:r>
      <w:r>
        <w:rPr>
          <w:sz w:val="24"/>
        </w:rPr>
        <w:t>DMARD. All</w:t>
      </w:r>
      <w:r>
        <w:rPr>
          <w:spacing w:val="-6"/>
          <w:sz w:val="24"/>
        </w:rPr>
        <w:t xml:space="preserve"> </w:t>
      </w:r>
      <w:r>
        <w:rPr>
          <w:sz w:val="24"/>
        </w:rPr>
        <w:t>patients</w:t>
      </w:r>
      <w:r>
        <w:rPr>
          <w:spacing w:val="-3"/>
          <w:sz w:val="24"/>
        </w:rPr>
        <w:t xml:space="preserve"> </w:t>
      </w:r>
      <w:r>
        <w:rPr>
          <w:sz w:val="24"/>
        </w:rPr>
        <w:t>were</w:t>
      </w:r>
      <w:r>
        <w:rPr>
          <w:spacing w:val="-1"/>
          <w:sz w:val="24"/>
        </w:rPr>
        <w:t xml:space="preserve"> </w:t>
      </w:r>
      <w:r>
        <w:rPr>
          <w:sz w:val="24"/>
        </w:rPr>
        <w:t>required to have</w:t>
      </w:r>
      <w:r>
        <w:rPr>
          <w:spacing w:val="-1"/>
          <w:sz w:val="24"/>
        </w:rPr>
        <w:t xml:space="preserve"> </w:t>
      </w:r>
      <w:r>
        <w:rPr>
          <w:sz w:val="24"/>
        </w:rPr>
        <w:t xml:space="preserve">1 concomitant </w:t>
      </w:r>
      <w:proofErr w:type="spellStart"/>
      <w:r>
        <w:rPr>
          <w:sz w:val="24"/>
        </w:rPr>
        <w:t>csDMARD</w:t>
      </w:r>
      <w:proofErr w:type="spellEnd"/>
      <w:r>
        <w:rPr>
          <w:sz w:val="24"/>
        </w:rPr>
        <w:t>;</w:t>
      </w:r>
      <w:r>
        <w:rPr>
          <w:spacing w:val="-6"/>
          <w:sz w:val="24"/>
        </w:rPr>
        <w:t xml:space="preserve"> </w:t>
      </w:r>
      <w:r>
        <w:rPr>
          <w:sz w:val="24"/>
        </w:rPr>
        <w:t xml:space="preserve">71.6% of patients received concomitant MTX. Patients </w:t>
      </w:r>
      <w:proofErr w:type="spellStart"/>
      <w:r>
        <w:rPr>
          <w:sz w:val="24"/>
        </w:rPr>
        <w:t>randomised</w:t>
      </w:r>
      <w:proofErr w:type="spellEnd"/>
      <w:r>
        <w:rPr>
          <w:sz w:val="24"/>
        </w:rPr>
        <w:t xml:space="preserve"> to XELJANZ received 5 mg twice daily or XELJANZ 10 mg twice daily for 6 months. Patients </w:t>
      </w:r>
      <w:proofErr w:type="spellStart"/>
      <w:r>
        <w:rPr>
          <w:sz w:val="24"/>
        </w:rPr>
        <w:t>randomised</w:t>
      </w:r>
      <w:proofErr w:type="spellEnd"/>
      <w:r>
        <w:rPr>
          <w:sz w:val="24"/>
        </w:rPr>
        <w:t xml:space="preserve"> to placebo were advanced in a blinded manner at Month 3 to either XELJANZ 5 mg twice daily or XELJANZ 10</w:t>
      </w:r>
      <w:r>
        <w:rPr>
          <w:spacing w:val="-3"/>
          <w:sz w:val="24"/>
        </w:rPr>
        <w:t xml:space="preserve"> </w:t>
      </w:r>
      <w:r>
        <w:rPr>
          <w:sz w:val="24"/>
        </w:rPr>
        <w:t>mg twice</w:t>
      </w:r>
      <w:r>
        <w:rPr>
          <w:spacing w:val="-6"/>
          <w:sz w:val="24"/>
        </w:rPr>
        <w:t xml:space="preserve"> </w:t>
      </w:r>
      <w:r>
        <w:rPr>
          <w:sz w:val="24"/>
        </w:rPr>
        <w:t>daily and received treatment until Month</w:t>
      </w:r>
      <w:r>
        <w:rPr>
          <w:spacing w:val="-3"/>
          <w:sz w:val="24"/>
        </w:rPr>
        <w:t xml:space="preserve"> </w:t>
      </w:r>
      <w:r>
        <w:rPr>
          <w:sz w:val="24"/>
        </w:rPr>
        <w:t>6.</w:t>
      </w:r>
    </w:p>
    <w:p w14:paraId="200E24E7" w14:textId="77777777" w:rsidR="001825E2" w:rsidRDefault="000839A5" w:rsidP="00CB00A7">
      <w:pPr>
        <w:spacing w:before="252"/>
        <w:ind w:left="219"/>
        <w:rPr>
          <w:i/>
          <w:sz w:val="24"/>
        </w:rPr>
      </w:pPr>
      <w:r>
        <w:rPr>
          <w:i/>
          <w:sz w:val="24"/>
        </w:rPr>
        <w:t>Signs</w:t>
      </w:r>
      <w:r>
        <w:rPr>
          <w:i/>
          <w:spacing w:val="7"/>
          <w:sz w:val="24"/>
        </w:rPr>
        <w:t xml:space="preserve"> </w:t>
      </w:r>
      <w:r>
        <w:rPr>
          <w:i/>
          <w:sz w:val="24"/>
        </w:rPr>
        <w:t>and</w:t>
      </w:r>
      <w:r>
        <w:rPr>
          <w:i/>
          <w:spacing w:val="-4"/>
          <w:sz w:val="24"/>
        </w:rPr>
        <w:t xml:space="preserve"> </w:t>
      </w:r>
      <w:r>
        <w:rPr>
          <w:i/>
          <w:spacing w:val="-2"/>
          <w:sz w:val="24"/>
        </w:rPr>
        <w:t>symptoms</w:t>
      </w:r>
    </w:p>
    <w:p w14:paraId="59AA6684" w14:textId="77777777" w:rsidR="001825E2" w:rsidRDefault="000839A5" w:rsidP="00CB00A7">
      <w:pPr>
        <w:pStyle w:val="BodyText"/>
        <w:spacing w:before="114" w:line="242" w:lineRule="auto"/>
        <w:ind w:left="219" w:right="749"/>
        <w:jc w:val="left"/>
      </w:pPr>
      <w:r>
        <w:t>Treatment with</w:t>
      </w:r>
      <w:r>
        <w:rPr>
          <w:spacing w:val="-7"/>
        </w:rPr>
        <w:t xml:space="preserve"> </w:t>
      </w:r>
      <w:r>
        <w:t>XELJANZ</w:t>
      </w:r>
      <w:r>
        <w:rPr>
          <w:spacing w:val="-4"/>
        </w:rPr>
        <w:t xml:space="preserve"> </w:t>
      </w:r>
      <w:r>
        <w:t>resulted in</w:t>
      </w:r>
      <w:r>
        <w:rPr>
          <w:spacing w:val="-7"/>
        </w:rPr>
        <w:t xml:space="preserve"> </w:t>
      </w:r>
      <w:r>
        <w:t>significant improvements</w:t>
      </w:r>
      <w:r>
        <w:rPr>
          <w:spacing w:val="-10"/>
        </w:rPr>
        <w:t xml:space="preserve"> </w:t>
      </w:r>
      <w:r>
        <w:t>in</w:t>
      </w:r>
      <w:r>
        <w:rPr>
          <w:spacing w:val="-7"/>
        </w:rPr>
        <w:t xml:space="preserve"> </w:t>
      </w:r>
      <w:r>
        <w:t>the</w:t>
      </w:r>
      <w:r>
        <w:rPr>
          <w:spacing w:val="-9"/>
        </w:rPr>
        <w:t xml:space="preserve"> </w:t>
      </w:r>
      <w:r>
        <w:t>signs</w:t>
      </w:r>
      <w:r>
        <w:rPr>
          <w:spacing w:val="-10"/>
        </w:rPr>
        <w:t xml:space="preserve"> </w:t>
      </w:r>
      <w:r>
        <w:t>and symptoms</w:t>
      </w:r>
      <w:r>
        <w:rPr>
          <w:spacing w:val="-10"/>
        </w:rPr>
        <w:t xml:space="preserve"> </w:t>
      </w:r>
      <w:r>
        <w:t>of PsA, as assessed by the ACR20 response criteria compared to placebo at Month 3. The efficacy results for other important endpoints</w:t>
      </w:r>
      <w:r>
        <w:rPr>
          <w:spacing w:val="-13"/>
        </w:rPr>
        <w:t xml:space="preserve"> </w:t>
      </w:r>
      <w:r>
        <w:t>assessed</w:t>
      </w:r>
      <w:r>
        <w:rPr>
          <w:spacing w:val="40"/>
        </w:rPr>
        <w:t xml:space="preserve"> </w:t>
      </w:r>
      <w:r>
        <w:t>are shown in Table</w:t>
      </w:r>
      <w:r>
        <w:rPr>
          <w:spacing w:val="40"/>
        </w:rPr>
        <w:t xml:space="preserve"> </w:t>
      </w:r>
      <w:r>
        <w:t>9.</w:t>
      </w:r>
    </w:p>
    <w:p w14:paraId="792BC36C" w14:textId="77777777" w:rsidR="001825E2" w:rsidRDefault="000839A5" w:rsidP="00CB00A7">
      <w:pPr>
        <w:pStyle w:val="Heading3"/>
        <w:spacing w:before="228" w:line="247" w:lineRule="auto"/>
        <w:ind w:left="1239" w:right="745" w:hanging="1020"/>
      </w:pPr>
      <w:r>
        <w:t>Table</w:t>
      </w:r>
      <w:r>
        <w:rPr>
          <w:spacing w:val="-8"/>
        </w:rPr>
        <w:t xml:space="preserve"> </w:t>
      </w:r>
      <w:r>
        <w:t>9:</w:t>
      </w:r>
      <w:r>
        <w:rPr>
          <w:spacing w:val="80"/>
        </w:rPr>
        <w:t xml:space="preserve"> </w:t>
      </w:r>
      <w:r>
        <w:t>Proportion (%)</w:t>
      </w:r>
      <w:r>
        <w:rPr>
          <w:spacing w:val="-10"/>
        </w:rPr>
        <w:t xml:space="preserve"> </w:t>
      </w:r>
      <w:r>
        <w:t>of PsA</w:t>
      </w:r>
      <w:r>
        <w:rPr>
          <w:spacing w:val="-14"/>
        </w:rPr>
        <w:t xml:space="preserve"> </w:t>
      </w:r>
      <w:r>
        <w:t>Patients Who</w:t>
      </w:r>
      <w:r>
        <w:rPr>
          <w:spacing w:val="-6"/>
        </w:rPr>
        <w:t xml:space="preserve"> </w:t>
      </w:r>
      <w:r>
        <w:t>Achieved</w:t>
      </w:r>
      <w:r>
        <w:rPr>
          <w:spacing w:val="-5"/>
        </w:rPr>
        <w:t xml:space="preserve"> </w:t>
      </w:r>
      <w:r>
        <w:t>Clinical Response</w:t>
      </w:r>
      <w:r>
        <w:rPr>
          <w:spacing w:val="-7"/>
        </w:rPr>
        <w:t xml:space="preserve"> </w:t>
      </w:r>
      <w:r>
        <w:t>and</w:t>
      </w:r>
      <w:r>
        <w:rPr>
          <w:spacing w:val="-5"/>
        </w:rPr>
        <w:t xml:space="preserve"> </w:t>
      </w:r>
      <w:r>
        <w:t>Mean Change</w:t>
      </w:r>
      <w:r>
        <w:rPr>
          <w:spacing w:val="-2"/>
        </w:rPr>
        <w:t xml:space="preserve"> </w:t>
      </w:r>
      <w:r>
        <w:t>from Baseline</w:t>
      </w:r>
      <w:r>
        <w:rPr>
          <w:spacing w:val="39"/>
        </w:rPr>
        <w:t xml:space="preserve"> </w:t>
      </w:r>
      <w:r>
        <w:t>in</w:t>
      </w:r>
      <w:r>
        <w:rPr>
          <w:spacing w:val="40"/>
        </w:rPr>
        <w:t xml:space="preserve"> </w:t>
      </w:r>
      <w:r>
        <w:t>OPAL BROADEN and OPAL BEYOND Studies</w:t>
      </w:r>
    </w:p>
    <w:p w14:paraId="1EF4EE89" w14:textId="77777777" w:rsidR="001825E2" w:rsidRDefault="001825E2" w:rsidP="00CB00A7">
      <w:pPr>
        <w:pStyle w:val="BodyText"/>
        <w:spacing w:before="2" w:after="1"/>
        <w:jc w:val="left"/>
        <w:rPr>
          <w:b/>
          <w:sz w:val="9"/>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30"/>
        <w:gridCol w:w="1500"/>
        <w:gridCol w:w="1500"/>
        <w:gridCol w:w="1665"/>
        <w:gridCol w:w="1560"/>
        <w:gridCol w:w="1425"/>
      </w:tblGrid>
      <w:tr w:rsidR="001825E2" w14:paraId="3F89416D" w14:textId="77777777">
        <w:trPr>
          <w:trHeight w:val="539"/>
        </w:trPr>
        <w:tc>
          <w:tcPr>
            <w:tcW w:w="1530" w:type="dxa"/>
            <w:vMerge w:val="restart"/>
          </w:tcPr>
          <w:p w14:paraId="356FD19E" w14:textId="77777777" w:rsidR="001825E2" w:rsidRDefault="001825E2" w:rsidP="00CB00A7">
            <w:pPr>
              <w:pStyle w:val="TableParagraph"/>
              <w:ind w:left="0"/>
              <w:jc w:val="left"/>
            </w:pPr>
          </w:p>
        </w:tc>
        <w:tc>
          <w:tcPr>
            <w:tcW w:w="4665" w:type="dxa"/>
            <w:gridSpan w:val="3"/>
          </w:tcPr>
          <w:p w14:paraId="1DC957B1" w14:textId="77777777" w:rsidR="001825E2" w:rsidRDefault="000839A5" w:rsidP="00CB00A7">
            <w:pPr>
              <w:pStyle w:val="TableParagraph"/>
              <w:spacing w:line="270" w:lineRule="exact"/>
              <w:ind w:left="2002" w:hanging="1890"/>
              <w:jc w:val="left"/>
              <w:rPr>
                <w:b/>
                <w:sz w:val="24"/>
              </w:rPr>
            </w:pPr>
            <w:proofErr w:type="spellStart"/>
            <w:r>
              <w:rPr>
                <w:b/>
                <w:sz w:val="24"/>
              </w:rPr>
              <w:t>csDMARD</w:t>
            </w:r>
            <w:proofErr w:type="spellEnd"/>
            <w:r>
              <w:rPr>
                <w:b/>
                <w:spacing w:val="-15"/>
                <w:sz w:val="24"/>
              </w:rPr>
              <w:t xml:space="preserve"> </w:t>
            </w:r>
            <w:r>
              <w:rPr>
                <w:b/>
                <w:sz w:val="24"/>
              </w:rPr>
              <w:t>Inadequate</w:t>
            </w:r>
            <w:r>
              <w:rPr>
                <w:b/>
                <w:spacing w:val="-10"/>
                <w:sz w:val="24"/>
              </w:rPr>
              <w:t xml:space="preserve"> </w:t>
            </w:r>
            <w:r>
              <w:rPr>
                <w:b/>
                <w:sz w:val="24"/>
              </w:rPr>
              <w:t>Responders</w:t>
            </w:r>
            <w:r>
              <w:rPr>
                <w:b/>
                <w:position w:val="7"/>
                <w:sz w:val="16"/>
              </w:rPr>
              <w:t xml:space="preserve">a </w:t>
            </w:r>
            <w:r>
              <w:rPr>
                <w:b/>
                <w:sz w:val="24"/>
              </w:rPr>
              <w:t>(</w:t>
            </w:r>
            <w:proofErr w:type="spellStart"/>
            <w:r>
              <w:rPr>
                <w:b/>
                <w:sz w:val="24"/>
              </w:rPr>
              <w:t>TNFi</w:t>
            </w:r>
            <w:proofErr w:type="spellEnd"/>
            <w:r>
              <w:rPr>
                <w:b/>
                <w:sz w:val="24"/>
              </w:rPr>
              <w:t xml:space="preserve">- </w:t>
            </w:r>
            <w:r>
              <w:rPr>
                <w:b/>
                <w:spacing w:val="-2"/>
                <w:sz w:val="24"/>
              </w:rPr>
              <w:t>Naïve)</w:t>
            </w:r>
          </w:p>
        </w:tc>
        <w:tc>
          <w:tcPr>
            <w:tcW w:w="2985" w:type="dxa"/>
            <w:gridSpan w:val="2"/>
          </w:tcPr>
          <w:p w14:paraId="5035EB1B" w14:textId="77777777" w:rsidR="001825E2" w:rsidRDefault="000839A5" w:rsidP="00CB00A7">
            <w:pPr>
              <w:pStyle w:val="TableParagraph"/>
              <w:spacing w:line="270" w:lineRule="exact"/>
              <w:ind w:left="862" w:right="589" w:hanging="240"/>
              <w:jc w:val="left"/>
              <w:rPr>
                <w:b/>
                <w:sz w:val="16"/>
              </w:rPr>
            </w:pPr>
            <w:proofErr w:type="spellStart"/>
            <w:r>
              <w:rPr>
                <w:b/>
                <w:sz w:val="24"/>
              </w:rPr>
              <w:t>TNFi</w:t>
            </w:r>
            <w:proofErr w:type="spellEnd"/>
            <w:r>
              <w:rPr>
                <w:b/>
                <w:spacing w:val="-22"/>
                <w:sz w:val="24"/>
              </w:rPr>
              <w:t xml:space="preserve"> </w:t>
            </w:r>
            <w:r>
              <w:rPr>
                <w:b/>
                <w:sz w:val="24"/>
              </w:rPr>
              <w:t xml:space="preserve">Inadequate </w:t>
            </w:r>
            <w:r>
              <w:rPr>
                <w:b/>
                <w:spacing w:val="-2"/>
                <w:sz w:val="24"/>
              </w:rPr>
              <w:t>Responders</w:t>
            </w:r>
            <w:r>
              <w:rPr>
                <w:b/>
                <w:spacing w:val="-2"/>
                <w:position w:val="7"/>
                <w:sz w:val="16"/>
              </w:rPr>
              <w:t>b</w:t>
            </w:r>
          </w:p>
        </w:tc>
      </w:tr>
      <w:tr w:rsidR="001825E2" w14:paraId="14BFF75C" w14:textId="77777777">
        <w:trPr>
          <w:trHeight w:val="285"/>
        </w:trPr>
        <w:tc>
          <w:tcPr>
            <w:tcW w:w="1530" w:type="dxa"/>
            <w:vMerge/>
            <w:tcBorders>
              <w:top w:val="nil"/>
            </w:tcBorders>
          </w:tcPr>
          <w:p w14:paraId="0F9FCB8A" w14:textId="77777777" w:rsidR="001825E2" w:rsidRDefault="001825E2" w:rsidP="00CB00A7">
            <w:pPr>
              <w:rPr>
                <w:sz w:val="2"/>
                <w:szCs w:val="2"/>
              </w:rPr>
            </w:pPr>
          </w:p>
        </w:tc>
        <w:tc>
          <w:tcPr>
            <w:tcW w:w="4665" w:type="dxa"/>
            <w:gridSpan w:val="3"/>
          </w:tcPr>
          <w:p w14:paraId="005037EA" w14:textId="77777777" w:rsidR="001825E2" w:rsidRDefault="000839A5" w:rsidP="00CB00A7">
            <w:pPr>
              <w:pStyle w:val="TableParagraph"/>
              <w:spacing w:before="1" w:line="264" w:lineRule="exact"/>
              <w:ind w:left="1357"/>
              <w:jc w:val="left"/>
              <w:rPr>
                <w:b/>
                <w:sz w:val="24"/>
              </w:rPr>
            </w:pPr>
            <w:r>
              <w:rPr>
                <w:b/>
                <w:sz w:val="24"/>
              </w:rPr>
              <w:t>OPAL</w:t>
            </w:r>
            <w:r>
              <w:rPr>
                <w:b/>
                <w:spacing w:val="-9"/>
                <w:sz w:val="24"/>
              </w:rPr>
              <w:t xml:space="preserve"> </w:t>
            </w:r>
            <w:r>
              <w:rPr>
                <w:b/>
                <w:spacing w:val="-2"/>
                <w:sz w:val="24"/>
              </w:rPr>
              <w:t>BROADEN</w:t>
            </w:r>
          </w:p>
        </w:tc>
        <w:tc>
          <w:tcPr>
            <w:tcW w:w="2985" w:type="dxa"/>
            <w:gridSpan w:val="2"/>
          </w:tcPr>
          <w:p w14:paraId="207DCA20" w14:textId="77777777" w:rsidR="001825E2" w:rsidRDefault="000839A5" w:rsidP="00CB00A7">
            <w:pPr>
              <w:pStyle w:val="TableParagraph"/>
              <w:spacing w:before="1" w:line="264" w:lineRule="exact"/>
              <w:ind w:left="577"/>
              <w:jc w:val="left"/>
              <w:rPr>
                <w:sz w:val="16"/>
              </w:rPr>
            </w:pPr>
            <w:r>
              <w:rPr>
                <w:b/>
                <w:sz w:val="24"/>
              </w:rPr>
              <w:t>OPAL</w:t>
            </w:r>
            <w:r>
              <w:rPr>
                <w:b/>
                <w:spacing w:val="-9"/>
                <w:sz w:val="24"/>
              </w:rPr>
              <w:t xml:space="preserve"> </w:t>
            </w:r>
            <w:r>
              <w:rPr>
                <w:b/>
                <w:spacing w:val="-2"/>
                <w:sz w:val="24"/>
              </w:rPr>
              <w:t>BEYOND</w:t>
            </w:r>
            <w:r>
              <w:rPr>
                <w:spacing w:val="-2"/>
                <w:position w:val="7"/>
                <w:sz w:val="16"/>
              </w:rPr>
              <w:t>c</w:t>
            </w:r>
          </w:p>
        </w:tc>
      </w:tr>
      <w:tr w:rsidR="001825E2" w14:paraId="1EDDEA9B" w14:textId="77777777">
        <w:trPr>
          <w:trHeight w:val="809"/>
        </w:trPr>
        <w:tc>
          <w:tcPr>
            <w:tcW w:w="1530" w:type="dxa"/>
          </w:tcPr>
          <w:p w14:paraId="23813C18" w14:textId="77777777" w:rsidR="001825E2" w:rsidRDefault="000839A5" w:rsidP="00CB00A7">
            <w:pPr>
              <w:pStyle w:val="TableParagraph"/>
              <w:spacing w:line="247" w:lineRule="auto"/>
              <w:ind w:right="308"/>
              <w:jc w:val="left"/>
              <w:rPr>
                <w:b/>
                <w:sz w:val="24"/>
              </w:rPr>
            </w:pPr>
            <w:r>
              <w:rPr>
                <w:b/>
                <w:spacing w:val="-2"/>
                <w:sz w:val="24"/>
              </w:rPr>
              <w:t>Treatment Group</w:t>
            </w:r>
          </w:p>
        </w:tc>
        <w:tc>
          <w:tcPr>
            <w:tcW w:w="1500" w:type="dxa"/>
          </w:tcPr>
          <w:p w14:paraId="2FEB3CFC" w14:textId="77777777" w:rsidR="001825E2" w:rsidRDefault="000839A5" w:rsidP="00CB00A7">
            <w:pPr>
              <w:pStyle w:val="TableParagraph"/>
              <w:spacing w:line="262" w:lineRule="exact"/>
              <w:ind w:left="46" w:right="32"/>
              <w:jc w:val="left"/>
              <w:rPr>
                <w:b/>
                <w:sz w:val="24"/>
              </w:rPr>
            </w:pPr>
            <w:r>
              <w:rPr>
                <w:b/>
                <w:spacing w:val="-2"/>
                <w:sz w:val="24"/>
              </w:rPr>
              <w:t>Placebo</w:t>
            </w:r>
          </w:p>
        </w:tc>
        <w:tc>
          <w:tcPr>
            <w:tcW w:w="1500" w:type="dxa"/>
          </w:tcPr>
          <w:p w14:paraId="6E8F6856" w14:textId="77777777" w:rsidR="001825E2" w:rsidRDefault="000839A5" w:rsidP="00CB00A7">
            <w:pPr>
              <w:pStyle w:val="TableParagraph"/>
              <w:spacing w:line="262" w:lineRule="exact"/>
              <w:ind w:left="46"/>
              <w:jc w:val="left"/>
              <w:rPr>
                <w:b/>
                <w:sz w:val="24"/>
              </w:rPr>
            </w:pPr>
            <w:r>
              <w:rPr>
                <w:b/>
                <w:spacing w:val="-2"/>
                <w:sz w:val="24"/>
              </w:rPr>
              <w:t>XELJANZ</w:t>
            </w:r>
          </w:p>
          <w:p w14:paraId="0EA28E73" w14:textId="77777777" w:rsidR="001825E2" w:rsidRDefault="000839A5" w:rsidP="00CB00A7">
            <w:pPr>
              <w:pStyle w:val="TableParagraph"/>
              <w:spacing w:line="270" w:lineRule="exact"/>
              <w:ind w:left="46" w:right="13"/>
              <w:jc w:val="left"/>
              <w:rPr>
                <w:b/>
                <w:sz w:val="24"/>
              </w:rPr>
            </w:pPr>
            <w:r>
              <w:rPr>
                <w:b/>
                <w:sz w:val="24"/>
              </w:rPr>
              <w:t>5</w:t>
            </w:r>
            <w:r>
              <w:rPr>
                <w:b/>
                <w:spacing w:val="-15"/>
                <w:sz w:val="24"/>
              </w:rPr>
              <w:t xml:space="preserve"> </w:t>
            </w:r>
            <w:r>
              <w:rPr>
                <w:b/>
                <w:sz w:val="24"/>
              </w:rPr>
              <w:t>mg</w:t>
            </w:r>
            <w:r>
              <w:rPr>
                <w:b/>
                <w:spacing w:val="-15"/>
                <w:sz w:val="24"/>
              </w:rPr>
              <w:t xml:space="preserve"> </w:t>
            </w:r>
            <w:r>
              <w:rPr>
                <w:b/>
                <w:sz w:val="24"/>
              </w:rPr>
              <w:t xml:space="preserve">Twice </w:t>
            </w:r>
            <w:r>
              <w:rPr>
                <w:b/>
                <w:spacing w:val="-2"/>
                <w:sz w:val="24"/>
              </w:rPr>
              <w:t>Daily</w:t>
            </w:r>
          </w:p>
        </w:tc>
        <w:tc>
          <w:tcPr>
            <w:tcW w:w="1665" w:type="dxa"/>
          </w:tcPr>
          <w:p w14:paraId="0D3F9823" w14:textId="77777777" w:rsidR="001825E2" w:rsidRDefault="000839A5" w:rsidP="00CB00A7">
            <w:pPr>
              <w:pStyle w:val="TableParagraph"/>
              <w:spacing w:line="262" w:lineRule="exact"/>
              <w:ind w:left="148" w:right="120"/>
              <w:jc w:val="left"/>
              <w:rPr>
                <w:b/>
                <w:sz w:val="24"/>
              </w:rPr>
            </w:pPr>
            <w:r>
              <w:rPr>
                <w:b/>
                <w:spacing w:val="-2"/>
                <w:sz w:val="24"/>
              </w:rPr>
              <w:t>Adalimumab</w:t>
            </w:r>
          </w:p>
          <w:p w14:paraId="5BBC3FB2" w14:textId="77777777" w:rsidR="001825E2" w:rsidRDefault="000839A5" w:rsidP="00CB00A7">
            <w:pPr>
              <w:pStyle w:val="TableParagraph"/>
              <w:spacing w:line="270" w:lineRule="exact"/>
              <w:ind w:left="130" w:right="120"/>
              <w:jc w:val="left"/>
              <w:rPr>
                <w:b/>
                <w:sz w:val="24"/>
              </w:rPr>
            </w:pPr>
            <w:r>
              <w:rPr>
                <w:b/>
                <w:sz w:val="24"/>
              </w:rPr>
              <w:t>40</w:t>
            </w:r>
            <w:r>
              <w:rPr>
                <w:b/>
                <w:spacing w:val="-15"/>
                <w:sz w:val="24"/>
              </w:rPr>
              <w:t xml:space="preserve"> </w:t>
            </w:r>
            <w:r>
              <w:rPr>
                <w:b/>
                <w:sz w:val="24"/>
              </w:rPr>
              <w:t>mg</w:t>
            </w:r>
            <w:r>
              <w:rPr>
                <w:b/>
                <w:spacing w:val="-15"/>
                <w:sz w:val="24"/>
              </w:rPr>
              <w:t xml:space="preserve"> </w:t>
            </w:r>
            <w:r>
              <w:rPr>
                <w:b/>
                <w:sz w:val="24"/>
              </w:rPr>
              <w:t xml:space="preserve">SC </w:t>
            </w:r>
            <w:r>
              <w:rPr>
                <w:b/>
                <w:spacing w:val="-4"/>
                <w:sz w:val="24"/>
              </w:rPr>
              <w:t>q2W</w:t>
            </w:r>
          </w:p>
        </w:tc>
        <w:tc>
          <w:tcPr>
            <w:tcW w:w="1560" w:type="dxa"/>
          </w:tcPr>
          <w:p w14:paraId="5FE4665B" w14:textId="77777777" w:rsidR="001825E2" w:rsidRDefault="000839A5" w:rsidP="00CB00A7">
            <w:pPr>
              <w:pStyle w:val="TableParagraph"/>
              <w:spacing w:line="262" w:lineRule="exact"/>
              <w:ind w:left="60" w:right="16"/>
              <w:jc w:val="left"/>
              <w:rPr>
                <w:b/>
                <w:sz w:val="24"/>
              </w:rPr>
            </w:pPr>
            <w:r>
              <w:rPr>
                <w:b/>
                <w:spacing w:val="-2"/>
                <w:sz w:val="24"/>
              </w:rPr>
              <w:t>Placebo</w:t>
            </w:r>
          </w:p>
        </w:tc>
        <w:tc>
          <w:tcPr>
            <w:tcW w:w="1425" w:type="dxa"/>
          </w:tcPr>
          <w:p w14:paraId="583790F7" w14:textId="77777777" w:rsidR="001825E2" w:rsidRDefault="000839A5" w:rsidP="00CB00A7">
            <w:pPr>
              <w:pStyle w:val="TableParagraph"/>
              <w:spacing w:line="262" w:lineRule="exact"/>
              <w:ind w:left="61"/>
              <w:jc w:val="left"/>
              <w:rPr>
                <w:b/>
                <w:sz w:val="24"/>
              </w:rPr>
            </w:pPr>
            <w:r>
              <w:rPr>
                <w:b/>
                <w:spacing w:val="-2"/>
                <w:sz w:val="24"/>
              </w:rPr>
              <w:t>XELJANZ</w:t>
            </w:r>
          </w:p>
          <w:p w14:paraId="66C140C0" w14:textId="77777777" w:rsidR="001825E2" w:rsidRDefault="000839A5" w:rsidP="00CB00A7">
            <w:pPr>
              <w:pStyle w:val="TableParagraph"/>
              <w:spacing w:line="270" w:lineRule="exact"/>
              <w:ind w:left="61" w:right="13"/>
              <w:jc w:val="left"/>
              <w:rPr>
                <w:b/>
                <w:sz w:val="24"/>
              </w:rPr>
            </w:pPr>
            <w:r>
              <w:rPr>
                <w:b/>
                <w:sz w:val="24"/>
              </w:rPr>
              <w:t>5</w:t>
            </w:r>
            <w:r>
              <w:rPr>
                <w:b/>
                <w:spacing w:val="-15"/>
                <w:sz w:val="24"/>
              </w:rPr>
              <w:t xml:space="preserve"> </w:t>
            </w:r>
            <w:r>
              <w:rPr>
                <w:b/>
                <w:sz w:val="24"/>
              </w:rPr>
              <w:t>mg</w:t>
            </w:r>
            <w:r>
              <w:rPr>
                <w:b/>
                <w:spacing w:val="-15"/>
                <w:sz w:val="24"/>
              </w:rPr>
              <w:t xml:space="preserve"> </w:t>
            </w:r>
            <w:r>
              <w:rPr>
                <w:b/>
                <w:sz w:val="24"/>
              </w:rPr>
              <w:t xml:space="preserve">Twice </w:t>
            </w:r>
            <w:r>
              <w:rPr>
                <w:b/>
                <w:spacing w:val="-2"/>
                <w:sz w:val="24"/>
              </w:rPr>
              <w:t>Daily</w:t>
            </w:r>
          </w:p>
        </w:tc>
      </w:tr>
      <w:tr w:rsidR="001825E2" w14:paraId="71EFB9B0" w14:textId="77777777">
        <w:trPr>
          <w:trHeight w:val="270"/>
        </w:trPr>
        <w:tc>
          <w:tcPr>
            <w:tcW w:w="1530" w:type="dxa"/>
          </w:tcPr>
          <w:p w14:paraId="427E0284" w14:textId="77777777" w:rsidR="001825E2" w:rsidRDefault="000839A5" w:rsidP="00CB00A7">
            <w:pPr>
              <w:pStyle w:val="TableParagraph"/>
              <w:spacing w:before="1" w:line="249" w:lineRule="exact"/>
              <w:jc w:val="left"/>
              <w:rPr>
                <w:sz w:val="24"/>
              </w:rPr>
            </w:pPr>
            <w:r>
              <w:rPr>
                <w:spacing w:val="-10"/>
                <w:sz w:val="24"/>
              </w:rPr>
              <w:t>N</w:t>
            </w:r>
          </w:p>
        </w:tc>
        <w:tc>
          <w:tcPr>
            <w:tcW w:w="1500" w:type="dxa"/>
          </w:tcPr>
          <w:p w14:paraId="7733635B" w14:textId="77777777" w:rsidR="001825E2" w:rsidRDefault="000839A5" w:rsidP="00CB00A7">
            <w:pPr>
              <w:pStyle w:val="TableParagraph"/>
              <w:spacing w:before="1" w:line="249" w:lineRule="exact"/>
              <w:ind w:left="46" w:right="16"/>
              <w:jc w:val="left"/>
              <w:rPr>
                <w:sz w:val="24"/>
              </w:rPr>
            </w:pPr>
            <w:r>
              <w:rPr>
                <w:spacing w:val="-5"/>
                <w:sz w:val="24"/>
              </w:rPr>
              <w:t>105</w:t>
            </w:r>
          </w:p>
        </w:tc>
        <w:tc>
          <w:tcPr>
            <w:tcW w:w="1500" w:type="dxa"/>
          </w:tcPr>
          <w:p w14:paraId="09779F5C" w14:textId="77777777" w:rsidR="001825E2" w:rsidRDefault="000839A5" w:rsidP="00CB00A7">
            <w:pPr>
              <w:pStyle w:val="TableParagraph"/>
              <w:spacing w:before="1" w:line="249" w:lineRule="exact"/>
              <w:ind w:left="46" w:right="16"/>
              <w:jc w:val="left"/>
              <w:rPr>
                <w:sz w:val="24"/>
              </w:rPr>
            </w:pPr>
            <w:r>
              <w:rPr>
                <w:spacing w:val="-5"/>
                <w:sz w:val="24"/>
              </w:rPr>
              <w:t>107</w:t>
            </w:r>
          </w:p>
        </w:tc>
        <w:tc>
          <w:tcPr>
            <w:tcW w:w="1665" w:type="dxa"/>
          </w:tcPr>
          <w:p w14:paraId="4D29454B" w14:textId="77777777" w:rsidR="001825E2" w:rsidRDefault="000839A5" w:rsidP="00CB00A7">
            <w:pPr>
              <w:pStyle w:val="TableParagraph"/>
              <w:spacing w:before="1" w:line="249" w:lineRule="exact"/>
              <w:ind w:left="135" w:right="120"/>
              <w:jc w:val="left"/>
              <w:rPr>
                <w:sz w:val="24"/>
              </w:rPr>
            </w:pPr>
            <w:r>
              <w:rPr>
                <w:spacing w:val="-5"/>
                <w:sz w:val="24"/>
              </w:rPr>
              <w:t>106</w:t>
            </w:r>
          </w:p>
        </w:tc>
        <w:tc>
          <w:tcPr>
            <w:tcW w:w="1560" w:type="dxa"/>
          </w:tcPr>
          <w:p w14:paraId="435422EA" w14:textId="77777777" w:rsidR="001825E2" w:rsidRDefault="000839A5" w:rsidP="00CB00A7">
            <w:pPr>
              <w:pStyle w:val="TableParagraph"/>
              <w:spacing w:before="1" w:line="249" w:lineRule="exact"/>
              <w:ind w:left="60"/>
              <w:jc w:val="left"/>
              <w:rPr>
                <w:sz w:val="24"/>
              </w:rPr>
            </w:pPr>
            <w:r>
              <w:rPr>
                <w:spacing w:val="-5"/>
                <w:sz w:val="24"/>
              </w:rPr>
              <w:t>131</w:t>
            </w:r>
          </w:p>
        </w:tc>
        <w:tc>
          <w:tcPr>
            <w:tcW w:w="1425" w:type="dxa"/>
          </w:tcPr>
          <w:p w14:paraId="0DCC4E97" w14:textId="77777777" w:rsidR="001825E2" w:rsidRDefault="000839A5" w:rsidP="00CB00A7">
            <w:pPr>
              <w:pStyle w:val="TableParagraph"/>
              <w:spacing w:before="1" w:line="249" w:lineRule="exact"/>
              <w:ind w:left="61" w:right="16"/>
              <w:jc w:val="left"/>
              <w:rPr>
                <w:sz w:val="24"/>
              </w:rPr>
            </w:pPr>
            <w:r>
              <w:rPr>
                <w:spacing w:val="-5"/>
                <w:sz w:val="24"/>
              </w:rPr>
              <w:t>131</w:t>
            </w:r>
          </w:p>
        </w:tc>
      </w:tr>
      <w:tr w:rsidR="001825E2" w14:paraId="789202C1" w14:textId="77777777">
        <w:trPr>
          <w:trHeight w:val="556"/>
        </w:trPr>
        <w:tc>
          <w:tcPr>
            <w:tcW w:w="1530" w:type="dxa"/>
            <w:tcBorders>
              <w:bottom w:val="nil"/>
            </w:tcBorders>
          </w:tcPr>
          <w:p w14:paraId="14B3960B" w14:textId="77777777" w:rsidR="001825E2" w:rsidRDefault="000839A5" w:rsidP="00CB00A7">
            <w:pPr>
              <w:pStyle w:val="TableParagraph"/>
              <w:spacing w:before="1" w:line="273" w:lineRule="exact"/>
              <w:jc w:val="left"/>
              <w:rPr>
                <w:sz w:val="24"/>
              </w:rPr>
            </w:pPr>
            <w:r>
              <w:rPr>
                <w:spacing w:val="-2"/>
                <w:sz w:val="24"/>
              </w:rPr>
              <w:t>ACR20</w:t>
            </w:r>
          </w:p>
          <w:p w14:paraId="488FD646" w14:textId="77777777" w:rsidR="001825E2" w:rsidRDefault="000839A5" w:rsidP="00CB00A7">
            <w:pPr>
              <w:pStyle w:val="TableParagraph"/>
              <w:spacing w:line="263" w:lineRule="exact"/>
              <w:jc w:val="left"/>
              <w:rPr>
                <w:sz w:val="24"/>
              </w:rPr>
            </w:pPr>
            <w:r>
              <w:rPr>
                <w:sz w:val="24"/>
              </w:rPr>
              <w:t>Month</w:t>
            </w:r>
            <w:r>
              <w:rPr>
                <w:spacing w:val="4"/>
                <w:sz w:val="24"/>
              </w:rPr>
              <w:t xml:space="preserve"> </w:t>
            </w:r>
            <w:r>
              <w:rPr>
                <w:spacing w:val="-10"/>
                <w:sz w:val="24"/>
              </w:rPr>
              <w:t>3</w:t>
            </w:r>
          </w:p>
        </w:tc>
        <w:tc>
          <w:tcPr>
            <w:tcW w:w="1500" w:type="dxa"/>
            <w:tcBorders>
              <w:bottom w:val="nil"/>
            </w:tcBorders>
          </w:tcPr>
          <w:p w14:paraId="511C10B3" w14:textId="77777777" w:rsidR="001825E2" w:rsidRDefault="000839A5" w:rsidP="00CB00A7">
            <w:pPr>
              <w:pStyle w:val="TableParagraph"/>
              <w:spacing w:before="271" w:line="266" w:lineRule="exact"/>
              <w:ind w:left="46" w:right="27"/>
              <w:jc w:val="left"/>
              <w:rPr>
                <w:sz w:val="24"/>
              </w:rPr>
            </w:pPr>
            <w:r>
              <w:rPr>
                <w:spacing w:val="-5"/>
                <w:sz w:val="24"/>
              </w:rPr>
              <w:t>33%</w:t>
            </w:r>
          </w:p>
        </w:tc>
        <w:tc>
          <w:tcPr>
            <w:tcW w:w="1500" w:type="dxa"/>
            <w:tcBorders>
              <w:bottom w:val="nil"/>
            </w:tcBorders>
          </w:tcPr>
          <w:p w14:paraId="3CB971A1" w14:textId="77777777" w:rsidR="001825E2" w:rsidRDefault="001825E2" w:rsidP="00CB00A7">
            <w:pPr>
              <w:pStyle w:val="TableParagraph"/>
              <w:spacing w:before="86"/>
              <w:ind w:left="0"/>
              <w:jc w:val="left"/>
              <w:rPr>
                <w:b/>
                <w:sz w:val="16"/>
              </w:rPr>
            </w:pPr>
          </w:p>
          <w:p w14:paraId="3148F5B8" w14:textId="77777777" w:rsidR="001825E2" w:rsidRDefault="000839A5" w:rsidP="00CB00A7">
            <w:pPr>
              <w:pStyle w:val="TableParagraph"/>
              <w:spacing w:line="266" w:lineRule="exact"/>
              <w:ind w:left="46" w:right="20"/>
              <w:jc w:val="left"/>
              <w:rPr>
                <w:sz w:val="16"/>
              </w:rPr>
            </w:pPr>
            <w:r>
              <w:rPr>
                <w:spacing w:val="-2"/>
                <w:position w:val="-7"/>
                <w:sz w:val="24"/>
              </w:rPr>
              <w:t>50%</w:t>
            </w:r>
            <w:proofErr w:type="gramStart"/>
            <w:r>
              <w:rPr>
                <w:spacing w:val="-2"/>
                <w:sz w:val="16"/>
              </w:rPr>
              <w:t>d,*</w:t>
            </w:r>
            <w:proofErr w:type="gramEnd"/>
          </w:p>
        </w:tc>
        <w:tc>
          <w:tcPr>
            <w:tcW w:w="1665" w:type="dxa"/>
            <w:tcBorders>
              <w:bottom w:val="nil"/>
            </w:tcBorders>
          </w:tcPr>
          <w:p w14:paraId="57077194" w14:textId="77777777" w:rsidR="001825E2" w:rsidRDefault="000839A5" w:rsidP="00CB00A7">
            <w:pPr>
              <w:pStyle w:val="TableParagraph"/>
              <w:spacing w:before="271" w:line="266" w:lineRule="exact"/>
              <w:ind w:left="142" w:right="120"/>
              <w:jc w:val="left"/>
              <w:rPr>
                <w:sz w:val="16"/>
              </w:rPr>
            </w:pPr>
            <w:r>
              <w:rPr>
                <w:spacing w:val="-4"/>
                <w:sz w:val="24"/>
              </w:rPr>
              <w:t>52%</w:t>
            </w:r>
            <w:r>
              <w:rPr>
                <w:spacing w:val="-4"/>
                <w:position w:val="7"/>
                <w:sz w:val="16"/>
              </w:rPr>
              <w:t>*</w:t>
            </w:r>
          </w:p>
        </w:tc>
        <w:tc>
          <w:tcPr>
            <w:tcW w:w="1560" w:type="dxa"/>
            <w:tcBorders>
              <w:bottom w:val="nil"/>
            </w:tcBorders>
          </w:tcPr>
          <w:p w14:paraId="539D1D85" w14:textId="77777777" w:rsidR="001825E2" w:rsidRDefault="000839A5" w:rsidP="00CB00A7">
            <w:pPr>
              <w:pStyle w:val="TableParagraph"/>
              <w:spacing w:before="271" w:line="266" w:lineRule="exact"/>
              <w:ind w:left="60" w:right="11"/>
              <w:jc w:val="left"/>
              <w:rPr>
                <w:sz w:val="24"/>
              </w:rPr>
            </w:pPr>
            <w:r>
              <w:rPr>
                <w:spacing w:val="-5"/>
                <w:sz w:val="24"/>
              </w:rPr>
              <w:t>24%</w:t>
            </w:r>
          </w:p>
        </w:tc>
        <w:tc>
          <w:tcPr>
            <w:tcW w:w="1425" w:type="dxa"/>
            <w:tcBorders>
              <w:bottom w:val="nil"/>
            </w:tcBorders>
          </w:tcPr>
          <w:p w14:paraId="4D826097" w14:textId="77777777" w:rsidR="001825E2" w:rsidRDefault="001825E2" w:rsidP="00CB00A7">
            <w:pPr>
              <w:pStyle w:val="TableParagraph"/>
              <w:spacing w:before="86"/>
              <w:ind w:left="0"/>
              <w:jc w:val="left"/>
              <w:rPr>
                <w:b/>
                <w:sz w:val="16"/>
              </w:rPr>
            </w:pPr>
          </w:p>
          <w:p w14:paraId="1DC06290" w14:textId="77777777" w:rsidR="001825E2" w:rsidRDefault="000839A5" w:rsidP="00CB00A7">
            <w:pPr>
              <w:pStyle w:val="TableParagraph"/>
              <w:spacing w:line="266" w:lineRule="exact"/>
              <w:ind w:left="61" w:right="17"/>
              <w:jc w:val="left"/>
              <w:rPr>
                <w:sz w:val="16"/>
              </w:rPr>
            </w:pPr>
            <w:r>
              <w:rPr>
                <w:spacing w:val="-2"/>
                <w:position w:val="-7"/>
                <w:sz w:val="24"/>
              </w:rPr>
              <w:t>50%</w:t>
            </w:r>
            <w:proofErr w:type="gramStart"/>
            <w:r>
              <w:rPr>
                <w:spacing w:val="-2"/>
                <w:sz w:val="16"/>
              </w:rPr>
              <w:t>d,*</w:t>
            </w:r>
            <w:proofErr w:type="gramEnd"/>
            <w:r>
              <w:rPr>
                <w:spacing w:val="-2"/>
                <w:sz w:val="16"/>
              </w:rPr>
              <w:t>**</w:t>
            </w:r>
          </w:p>
        </w:tc>
      </w:tr>
      <w:tr w:rsidR="001825E2" w14:paraId="23C8EDCD" w14:textId="77777777">
        <w:trPr>
          <w:trHeight w:val="553"/>
        </w:trPr>
        <w:tc>
          <w:tcPr>
            <w:tcW w:w="1530" w:type="dxa"/>
            <w:tcBorders>
              <w:top w:val="nil"/>
            </w:tcBorders>
          </w:tcPr>
          <w:p w14:paraId="14809B27" w14:textId="77777777" w:rsidR="001825E2" w:rsidRDefault="000839A5" w:rsidP="00CB00A7">
            <w:pPr>
              <w:pStyle w:val="TableParagraph"/>
              <w:spacing w:line="272" w:lineRule="exact"/>
              <w:jc w:val="left"/>
              <w:rPr>
                <w:sz w:val="24"/>
              </w:rPr>
            </w:pPr>
            <w:r>
              <w:rPr>
                <w:sz w:val="24"/>
              </w:rPr>
              <w:t>Month</w:t>
            </w:r>
            <w:r>
              <w:rPr>
                <w:spacing w:val="4"/>
                <w:sz w:val="24"/>
              </w:rPr>
              <w:t xml:space="preserve"> </w:t>
            </w:r>
            <w:r>
              <w:rPr>
                <w:spacing w:val="-10"/>
                <w:sz w:val="24"/>
              </w:rPr>
              <w:t>6</w:t>
            </w:r>
          </w:p>
          <w:p w14:paraId="24CCF685" w14:textId="77777777" w:rsidR="001825E2" w:rsidRDefault="000839A5" w:rsidP="00CB00A7">
            <w:pPr>
              <w:pStyle w:val="TableParagraph"/>
              <w:spacing w:line="261" w:lineRule="exact"/>
              <w:jc w:val="left"/>
              <w:rPr>
                <w:sz w:val="24"/>
              </w:rPr>
            </w:pPr>
            <w:r>
              <w:rPr>
                <w:sz w:val="24"/>
              </w:rPr>
              <w:t>Month</w:t>
            </w:r>
            <w:r>
              <w:rPr>
                <w:spacing w:val="4"/>
                <w:sz w:val="24"/>
              </w:rPr>
              <w:t xml:space="preserve"> </w:t>
            </w:r>
            <w:r>
              <w:rPr>
                <w:spacing w:val="-5"/>
                <w:sz w:val="24"/>
              </w:rPr>
              <w:t>12</w:t>
            </w:r>
          </w:p>
        </w:tc>
        <w:tc>
          <w:tcPr>
            <w:tcW w:w="1500" w:type="dxa"/>
            <w:tcBorders>
              <w:top w:val="nil"/>
            </w:tcBorders>
          </w:tcPr>
          <w:p w14:paraId="661A0D81" w14:textId="77777777" w:rsidR="001825E2" w:rsidRDefault="000839A5" w:rsidP="00CB00A7">
            <w:pPr>
              <w:pStyle w:val="TableParagraph"/>
              <w:spacing w:line="270" w:lineRule="exact"/>
              <w:ind w:left="577" w:right="545" w:hanging="1"/>
              <w:jc w:val="left"/>
              <w:rPr>
                <w:sz w:val="24"/>
              </w:rPr>
            </w:pPr>
            <w:r>
              <w:rPr>
                <w:spacing w:val="-6"/>
                <w:sz w:val="24"/>
              </w:rPr>
              <w:t xml:space="preserve">NA </w:t>
            </w:r>
            <w:proofErr w:type="spellStart"/>
            <w:r>
              <w:rPr>
                <w:spacing w:val="-5"/>
                <w:sz w:val="24"/>
              </w:rPr>
              <w:t>NA</w:t>
            </w:r>
            <w:proofErr w:type="spellEnd"/>
          </w:p>
        </w:tc>
        <w:tc>
          <w:tcPr>
            <w:tcW w:w="1500" w:type="dxa"/>
            <w:tcBorders>
              <w:top w:val="nil"/>
            </w:tcBorders>
          </w:tcPr>
          <w:p w14:paraId="1084E8C1" w14:textId="77777777" w:rsidR="001825E2" w:rsidRDefault="000839A5" w:rsidP="00CB00A7">
            <w:pPr>
              <w:pStyle w:val="TableParagraph"/>
              <w:spacing w:line="272" w:lineRule="exact"/>
              <w:ind w:left="46" w:right="27"/>
              <w:jc w:val="left"/>
              <w:rPr>
                <w:sz w:val="24"/>
              </w:rPr>
            </w:pPr>
            <w:r>
              <w:rPr>
                <w:spacing w:val="-5"/>
                <w:sz w:val="24"/>
              </w:rPr>
              <w:t>59%</w:t>
            </w:r>
          </w:p>
          <w:p w14:paraId="55E1F440" w14:textId="77777777" w:rsidR="001825E2" w:rsidRDefault="000839A5" w:rsidP="00CB00A7">
            <w:pPr>
              <w:pStyle w:val="TableParagraph"/>
              <w:spacing w:line="261" w:lineRule="exact"/>
              <w:ind w:left="46" w:right="27"/>
              <w:jc w:val="left"/>
              <w:rPr>
                <w:sz w:val="24"/>
              </w:rPr>
            </w:pPr>
            <w:r>
              <w:rPr>
                <w:spacing w:val="-5"/>
                <w:sz w:val="24"/>
              </w:rPr>
              <w:t>68%</w:t>
            </w:r>
          </w:p>
        </w:tc>
        <w:tc>
          <w:tcPr>
            <w:tcW w:w="1665" w:type="dxa"/>
            <w:tcBorders>
              <w:top w:val="nil"/>
            </w:tcBorders>
          </w:tcPr>
          <w:p w14:paraId="586427AC" w14:textId="77777777" w:rsidR="001825E2" w:rsidRDefault="000839A5" w:rsidP="00CB00A7">
            <w:pPr>
              <w:pStyle w:val="TableParagraph"/>
              <w:spacing w:line="272" w:lineRule="exact"/>
              <w:ind w:left="154" w:right="120"/>
              <w:jc w:val="left"/>
              <w:rPr>
                <w:sz w:val="24"/>
              </w:rPr>
            </w:pPr>
            <w:r>
              <w:rPr>
                <w:spacing w:val="-5"/>
                <w:sz w:val="24"/>
              </w:rPr>
              <w:t>64%</w:t>
            </w:r>
          </w:p>
          <w:p w14:paraId="1552C4F5" w14:textId="77777777" w:rsidR="001825E2" w:rsidRDefault="000839A5" w:rsidP="00CB00A7">
            <w:pPr>
              <w:pStyle w:val="TableParagraph"/>
              <w:spacing w:line="261" w:lineRule="exact"/>
              <w:ind w:left="154" w:right="120"/>
              <w:jc w:val="left"/>
              <w:rPr>
                <w:sz w:val="24"/>
              </w:rPr>
            </w:pPr>
            <w:r>
              <w:rPr>
                <w:spacing w:val="-5"/>
                <w:sz w:val="24"/>
              </w:rPr>
              <w:t>60%</w:t>
            </w:r>
          </w:p>
        </w:tc>
        <w:tc>
          <w:tcPr>
            <w:tcW w:w="1560" w:type="dxa"/>
            <w:tcBorders>
              <w:top w:val="nil"/>
            </w:tcBorders>
          </w:tcPr>
          <w:p w14:paraId="235AABD2" w14:textId="77777777" w:rsidR="001825E2" w:rsidRDefault="000839A5" w:rsidP="00CB00A7">
            <w:pPr>
              <w:pStyle w:val="TableParagraph"/>
              <w:spacing w:line="272" w:lineRule="exact"/>
              <w:ind w:left="60" w:right="1"/>
              <w:jc w:val="left"/>
              <w:rPr>
                <w:sz w:val="24"/>
              </w:rPr>
            </w:pPr>
            <w:r>
              <w:rPr>
                <w:spacing w:val="-5"/>
                <w:sz w:val="24"/>
              </w:rPr>
              <w:t>NA</w:t>
            </w:r>
          </w:p>
          <w:p w14:paraId="687E4F55" w14:textId="77777777" w:rsidR="001825E2" w:rsidRDefault="000839A5" w:rsidP="00CB00A7">
            <w:pPr>
              <w:pStyle w:val="TableParagraph"/>
              <w:spacing w:line="261" w:lineRule="exact"/>
              <w:ind w:left="60" w:right="11"/>
              <w:jc w:val="left"/>
              <w:rPr>
                <w:sz w:val="24"/>
              </w:rPr>
            </w:pPr>
            <w:r>
              <w:rPr>
                <w:spacing w:val="-10"/>
                <w:sz w:val="24"/>
              </w:rPr>
              <w:t>-</w:t>
            </w:r>
          </w:p>
        </w:tc>
        <w:tc>
          <w:tcPr>
            <w:tcW w:w="1425" w:type="dxa"/>
            <w:tcBorders>
              <w:top w:val="nil"/>
            </w:tcBorders>
          </w:tcPr>
          <w:p w14:paraId="50B66AFC" w14:textId="77777777" w:rsidR="001825E2" w:rsidRDefault="000839A5" w:rsidP="00CB00A7">
            <w:pPr>
              <w:pStyle w:val="TableParagraph"/>
              <w:spacing w:line="272" w:lineRule="exact"/>
              <w:ind w:left="61" w:right="27"/>
              <w:jc w:val="left"/>
              <w:rPr>
                <w:sz w:val="24"/>
              </w:rPr>
            </w:pPr>
            <w:r>
              <w:rPr>
                <w:spacing w:val="-5"/>
                <w:sz w:val="24"/>
              </w:rPr>
              <w:t>60%</w:t>
            </w:r>
          </w:p>
          <w:p w14:paraId="01333019" w14:textId="77777777" w:rsidR="001825E2" w:rsidRDefault="000839A5" w:rsidP="00CB00A7">
            <w:pPr>
              <w:pStyle w:val="TableParagraph"/>
              <w:spacing w:line="261" w:lineRule="exact"/>
              <w:ind w:left="61" w:right="27"/>
              <w:jc w:val="left"/>
              <w:rPr>
                <w:sz w:val="24"/>
              </w:rPr>
            </w:pPr>
            <w:r>
              <w:rPr>
                <w:spacing w:val="-10"/>
                <w:sz w:val="24"/>
              </w:rPr>
              <w:t>-</w:t>
            </w:r>
          </w:p>
        </w:tc>
      </w:tr>
      <w:tr w:rsidR="001825E2" w14:paraId="0E6C334E" w14:textId="77777777">
        <w:trPr>
          <w:trHeight w:val="826"/>
        </w:trPr>
        <w:tc>
          <w:tcPr>
            <w:tcW w:w="1530" w:type="dxa"/>
            <w:tcBorders>
              <w:bottom w:val="nil"/>
            </w:tcBorders>
          </w:tcPr>
          <w:p w14:paraId="6E578639" w14:textId="77777777" w:rsidR="001825E2" w:rsidRDefault="000839A5" w:rsidP="00CB00A7">
            <w:pPr>
              <w:pStyle w:val="TableParagraph"/>
              <w:spacing w:line="262" w:lineRule="exact"/>
              <w:jc w:val="left"/>
              <w:rPr>
                <w:sz w:val="24"/>
              </w:rPr>
            </w:pPr>
            <w:r>
              <w:rPr>
                <w:spacing w:val="-2"/>
                <w:sz w:val="24"/>
              </w:rPr>
              <w:t>ACR50</w:t>
            </w:r>
          </w:p>
          <w:p w14:paraId="2EC51941" w14:textId="77777777" w:rsidR="001825E2" w:rsidRDefault="000839A5" w:rsidP="00CB00A7">
            <w:pPr>
              <w:pStyle w:val="TableParagraph"/>
              <w:spacing w:before="9" w:line="273" w:lineRule="exact"/>
              <w:jc w:val="left"/>
              <w:rPr>
                <w:sz w:val="24"/>
              </w:rPr>
            </w:pPr>
            <w:r>
              <w:rPr>
                <w:sz w:val="24"/>
              </w:rPr>
              <w:t>Month</w:t>
            </w:r>
            <w:r>
              <w:rPr>
                <w:spacing w:val="4"/>
                <w:sz w:val="24"/>
              </w:rPr>
              <w:t xml:space="preserve"> </w:t>
            </w:r>
            <w:r>
              <w:rPr>
                <w:spacing w:val="-10"/>
                <w:sz w:val="24"/>
              </w:rPr>
              <w:t>3</w:t>
            </w:r>
          </w:p>
          <w:p w14:paraId="5A669B11" w14:textId="77777777" w:rsidR="001825E2" w:rsidRDefault="000839A5" w:rsidP="00CB00A7">
            <w:pPr>
              <w:pStyle w:val="TableParagraph"/>
              <w:spacing w:line="263" w:lineRule="exact"/>
              <w:jc w:val="left"/>
              <w:rPr>
                <w:sz w:val="24"/>
              </w:rPr>
            </w:pPr>
            <w:r>
              <w:rPr>
                <w:sz w:val="24"/>
              </w:rPr>
              <w:t>Month</w:t>
            </w:r>
            <w:r>
              <w:rPr>
                <w:spacing w:val="4"/>
                <w:sz w:val="24"/>
              </w:rPr>
              <w:t xml:space="preserve"> </w:t>
            </w:r>
            <w:r>
              <w:rPr>
                <w:spacing w:val="-10"/>
                <w:sz w:val="24"/>
              </w:rPr>
              <w:t>6</w:t>
            </w:r>
          </w:p>
        </w:tc>
        <w:tc>
          <w:tcPr>
            <w:tcW w:w="1500" w:type="dxa"/>
            <w:tcBorders>
              <w:bottom w:val="nil"/>
            </w:tcBorders>
          </w:tcPr>
          <w:p w14:paraId="2D57CDD1" w14:textId="77777777" w:rsidR="001825E2" w:rsidRDefault="000839A5" w:rsidP="00CB00A7">
            <w:pPr>
              <w:pStyle w:val="TableParagraph"/>
              <w:spacing w:before="266" w:line="270" w:lineRule="exact"/>
              <w:ind w:left="392" w:right="370"/>
              <w:jc w:val="left"/>
              <w:rPr>
                <w:sz w:val="24"/>
              </w:rPr>
            </w:pPr>
            <w:r>
              <w:rPr>
                <w:spacing w:val="-4"/>
                <w:sz w:val="24"/>
              </w:rPr>
              <w:t xml:space="preserve">10% </w:t>
            </w:r>
            <w:r>
              <w:rPr>
                <w:spacing w:val="-6"/>
                <w:sz w:val="24"/>
              </w:rPr>
              <w:t>NA</w:t>
            </w:r>
          </w:p>
        </w:tc>
        <w:tc>
          <w:tcPr>
            <w:tcW w:w="1500" w:type="dxa"/>
            <w:tcBorders>
              <w:bottom w:val="nil"/>
            </w:tcBorders>
          </w:tcPr>
          <w:p w14:paraId="1C7FA152" w14:textId="77777777" w:rsidR="001825E2" w:rsidRDefault="001825E2" w:rsidP="00CB00A7">
            <w:pPr>
              <w:pStyle w:val="TableParagraph"/>
              <w:spacing w:before="86"/>
              <w:ind w:left="0"/>
              <w:jc w:val="left"/>
              <w:rPr>
                <w:b/>
                <w:sz w:val="16"/>
              </w:rPr>
            </w:pPr>
          </w:p>
          <w:p w14:paraId="675C8AD2" w14:textId="77777777" w:rsidR="001825E2" w:rsidRDefault="000839A5" w:rsidP="00CB00A7">
            <w:pPr>
              <w:pStyle w:val="TableParagraph"/>
              <w:spacing w:line="276" w:lineRule="exact"/>
              <w:ind w:left="46" w:right="39"/>
              <w:jc w:val="left"/>
              <w:rPr>
                <w:sz w:val="16"/>
              </w:rPr>
            </w:pPr>
            <w:r>
              <w:rPr>
                <w:spacing w:val="-2"/>
                <w:position w:val="-7"/>
                <w:sz w:val="24"/>
              </w:rPr>
              <w:t>28%</w:t>
            </w:r>
            <w:proofErr w:type="gramStart"/>
            <w:r>
              <w:rPr>
                <w:spacing w:val="-2"/>
                <w:sz w:val="16"/>
              </w:rPr>
              <w:t>e,*</w:t>
            </w:r>
            <w:proofErr w:type="gramEnd"/>
            <w:r>
              <w:rPr>
                <w:spacing w:val="-2"/>
                <w:sz w:val="16"/>
              </w:rPr>
              <w:t>*</w:t>
            </w:r>
          </w:p>
          <w:p w14:paraId="644697CB" w14:textId="77777777" w:rsidR="001825E2" w:rsidRDefault="000839A5" w:rsidP="00CB00A7">
            <w:pPr>
              <w:pStyle w:val="TableParagraph"/>
              <w:spacing w:line="260" w:lineRule="exact"/>
              <w:ind w:left="46" w:right="27"/>
              <w:jc w:val="left"/>
              <w:rPr>
                <w:sz w:val="24"/>
              </w:rPr>
            </w:pPr>
            <w:r>
              <w:rPr>
                <w:spacing w:val="-5"/>
                <w:sz w:val="24"/>
              </w:rPr>
              <w:t>38%</w:t>
            </w:r>
          </w:p>
        </w:tc>
        <w:tc>
          <w:tcPr>
            <w:tcW w:w="1665" w:type="dxa"/>
            <w:tcBorders>
              <w:bottom w:val="nil"/>
            </w:tcBorders>
          </w:tcPr>
          <w:p w14:paraId="033A2A1B" w14:textId="77777777" w:rsidR="001825E2" w:rsidRDefault="001825E2" w:rsidP="00CB00A7">
            <w:pPr>
              <w:pStyle w:val="TableParagraph"/>
              <w:spacing w:before="86"/>
              <w:ind w:left="0"/>
              <w:jc w:val="left"/>
              <w:rPr>
                <w:b/>
                <w:sz w:val="16"/>
              </w:rPr>
            </w:pPr>
          </w:p>
          <w:p w14:paraId="696DFBBD" w14:textId="77777777" w:rsidR="001825E2" w:rsidRDefault="000839A5" w:rsidP="00CB00A7">
            <w:pPr>
              <w:pStyle w:val="TableParagraph"/>
              <w:spacing w:line="276" w:lineRule="exact"/>
              <w:ind w:left="149" w:right="120"/>
              <w:jc w:val="left"/>
              <w:rPr>
                <w:sz w:val="16"/>
              </w:rPr>
            </w:pPr>
            <w:r>
              <w:rPr>
                <w:spacing w:val="-2"/>
                <w:position w:val="-7"/>
                <w:sz w:val="24"/>
              </w:rPr>
              <w:t>33%</w:t>
            </w:r>
            <w:r>
              <w:rPr>
                <w:spacing w:val="-2"/>
                <w:sz w:val="16"/>
              </w:rPr>
              <w:t>***</w:t>
            </w:r>
          </w:p>
          <w:p w14:paraId="3B5F68C4" w14:textId="77777777" w:rsidR="001825E2" w:rsidRDefault="000839A5" w:rsidP="00CB00A7">
            <w:pPr>
              <w:pStyle w:val="TableParagraph"/>
              <w:spacing w:line="260" w:lineRule="exact"/>
              <w:ind w:left="154" w:right="120"/>
              <w:jc w:val="left"/>
              <w:rPr>
                <w:sz w:val="24"/>
              </w:rPr>
            </w:pPr>
            <w:r>
              <w:rPr>
                <w:spacing w:val="-5"/>
                <w:sz w:val="24"/>
              </w:rPr>
              <w:t>42%</w:t>
            </w:r>
          </w:p>
        </w:tc>
        <w:tc>
          <w:tcPr>
            <w:tcW w:w="1560" w:type="dxa"/>
            <w:tcBorders>
              <w:bottom w:val="nil"/>
            </w:tcBorders>
          </w:tcPr>
          <w:p w14:paraId="5642EF48" w14:textId="77777777" w:rsidR="001825E2" w:rsidRDefault="000839A5" w:rsidP="00CB00A7">
            <w:pPr>
              <w:pStyle w:val="TableParagraph"/>
              <w:spacing w:before="266" w:line="270" w:lineRule="exact"/>
              <w:ind w:left="437" w:right="385"/>
              <w:jc w:val="left"/>
              <w:rPr>
                <w:sz w:val="24"/>
              </w:rPr>
            </w:pPr>
            <w:r>
              <w:rPr>
                <w:spacing w:val="-4"/>
                <w:sz w:val="24"/>
              </w:rPr>
              <w:t xml:space="preserve">15% </w:t>
            </w:r>
            <w:r>
              <w:rPr>
                <w:spacing w:val="-6"/>
                <w:sz w:val="24"/>
              </w:rPr>
              <w:t>NA</w:t>
            </w:r>
          </w:p>
        </w:tc>
        <w:tc>
          <w:tcPr>
            <w:tcW w:w="1425" w:type="dxa"/>
            <w:tcBorders>
              <w:bottom w:val="nil"/>
            </w:tcBorders>
          </w:tcPr>
          <w:p w14:paraId="60E29351" w14:textId="77777777" w:rsidR="001825E2" w:rsidRDefault="001825E2" w:rsidP="00CB00A7">
            <w:pPr>
              <w:pStyle w:val="TableParagraph"/>
              <w:spacing w:before="86"/>
              <w:ind w:left="0"/>
              <w:jc w:val="left"/>
              <w:rPr>
                <w:b/>
                <w:sz w:val="16"/>
              </w:rPr>
            </w:pPr>
          </w:p>
          <w:p w14:paraId="6F3A756C" w14:textId="77777777" w:rsidR="001825E2" w:rsidRDefault="000839A5" w:rsidP="00CB00A7">
            <w:pPr>
              <w:pStyle w:val="TableParagraph"/>
              <w:spacing w:line="276" w:lineRule="exact"/>
              <w:ind w:left="397"/>
              <w:jc w:val="left"/>
              <w:rPr>
                <w:sz w:val="16"/>
              </w:rPr>
            </w:pPr>
            <w:r>
              <w:rPr>
                <w:spacing w:val="-2"/>
                <w:position w:val="-7"/>
                <w:sz w:val="24"/>
              </w:rPr>
              <w:t>30%</w:t>
            </w:r>
            <w:proofErr w:type="gramStart"/>
            <w:r>
              <w:rPr>
                <w:spacing w:val="-2"/>
                <w:sz w:val="16"/>
              </w:rPr>
              <w:t>e,*</w:t>
            </w:r>
            <w:proofErr w:type="gramEnd"/>
          </w:p>
          <w:p w14:paraId="30B798C3" w14:textId="77777777" w:rsidR="001825E2" w:rsidRDefault="000839A5" w:rsidP="00CB00A7">
            <w:pPr>
              <w:pStyle w:val="TableParagraph"/>
              <w:spacing w:line="260" w:lineRule="exact"/>
              <w:ind w:left="502"/>
              <w:jc w:val="left"/>
              <w:rPr>
                <w:sz w:val="24"/>
              </w:rPr>
            </w:pPr>
            <w:r>
              <w:rPr>
                <w:spacing w:val="-5"/>
                <w:sz w:val="24"/>
              </w:rPr>
              <w:t>38%</w:t>
            </w:r>
          </w:p>
        </w:tc>
      </w:tr>
      <w:tr w:rsidR="001825E2" w14:paraId="2DC33FBF" w14:textId="77777777">
        <w:trPr>
          <w:trHeight w:val="268"/>
        </w:trPr>
        <w:tc>
          <w:tcPr>
            <w:tcW w:w="1530" w:type="dxa"/>
            <w:tcBorders>
              <w:top w:val="nil"/>
            </w:tcBorders>
          </w:tcPr>
          <w:p w14:paraId="67F8EF3B" w14:textId="77777777" w:rsidR="001825E2" w:rsidRDefault="000839A5" w:rsidP="00CB00A7">
            <w:pPr>
              <w:pStyle w:val="TableParagraph"/>
              <w:spacing w:line="248" w:lineRule="exact"/>
              <w:jc w:val="left"/>
              <w:rPr>
                <w:sz w:val="24"/>
              </w:rPr>
            </w:pPr>
            <w:r>
              <w:rPr>
                <w:sz w:val="24"/>
              </w:rPr>
              <w:t>Month</w:t>
            </w:r>
            <w:r>
              <w:rPr>
                <w:spacing w:val="4"/>
                <w:sz w:val="24"/>
              </w:rPr>
              <w:t xml:space="preserve"> </w:t>
            </w:r>
            <w:r>
              <w:rPr>
                <w:spacing w:val="-5"/>
                <w:sz w:val="24"/>
              </w:rPr>
              <w:t>12</w:t>
            </w:r>
          </w:p>
        </w:tc>
        <w:tc>
          <w:tcPr>
            <w:tcW w:w="1500" w:type="dxa"/>
            <w:tcBorders>
              <w:top w:val="nil"/>
            </w:tcBorders>
          </w:tcPr>
          <w:p w14:paraId="53FE979A" w14:textId="77777777" w:rsidR="001825E2" w:rsidRDefault="000839A5" w:rsidP="00CB00A7">
            <w:pPr>
              <w:pStyle w:val="TableParagraph"/>
              <w:spacing w:line="248" w:lineRule="exact"/>
              <w:ind w:left="46" w:right="16"/>
              <w:jc w:val="left"/>
              <w:rPr>
                <w:sz w:val="24"/>
              </w:rPr>
            </w:pPr>
            <w:r>
              <w:rPr>
                <w:spacing w:val="-5"/>
                <w:sz w:val="24"/>
              </w:rPr>
              <w:t>NA</w:t>
            </w:r>
          </w:p>
        </w:tc>
        <w:tc>
          <w:tcPr>
            <w:tcW w:w="1500" w:type="dxa"/>
            <w:tcBorders>
              <w:top w:val="nil"/>
            </w:tcBorders>
          </w:tcPr>
          <w:p w14:paraId="690AE1BC" w14:textId="77777777" w:rsidR="001825E2" w:rsidRDefault="000839A5" w:rsidP="00CB00A7">
            <w:pPr>
              <w:pStyle w:val="TableParagraph"/>
              <w:spacing w:line="248" w:lineRule="exact"/>
              <w:ind w:left="46" w:right="27"/>
              <w:jc w:val="left"/>
              <w:rPr>
                <w:sz w:val="24"/>
              </w:rPr>
            </w:pPr>
            <w:r>
              <w:rPr>
                <w:spacing w:val="-5"/>
                <w:sz w:val="24"/>
              </w:rPr>
              <w:t>45%</w:t>
            </w:r>
          </w:p>
        </w:tc>
        <w:tc>
          <w:tcPr>
            <w:tcW w:w="1665" w:type="dxa"/>
            <w:tcBorders>
              <w:top w:val="nil"/>
            </w:tcBorders>
          </w:tcPr>
          <w:p w14:paraId="6182CDA0" w14:textId="77777777" w:rsidR="001825E2" w:rsidRDefault="000839A5" w:rsidP="00CB00A7">
            <w:pPr>
              <w:pStyle w:val="TableParagraph"/>
              <w:spacing w:line="248" w:lineRule="exact"/>
              <w:ind w:left="154" w:right="120"/>
              <w:jc w:val="left"/>
              <w:rPr>
                <w:sz w:val="24"/>
              </w:rPr>
            </w:pPr>
            <w:r>
              <w:rPr>
                <w:spacing w:val="-5"/>
                <w:sz w:val="24"/>
              </w:rPr>
              <w:t>41%</w:t>
            </w:r>
          </w:p>
        </w:tc>
        <w:tc>
          <w:tcPr>
            <w:tcW w:w="1560" w:type="dxa"/>
            <w:tcBorders>
              <w:top w:val="nil"/>
            </w:tcBorders>
          </w:tcPr>
          <w:p w14:paraId="72175547" w14:textId="77777777" w:rsidR="001825E2" w:rsidRDefault="000839A5" w:rsidP="00CB00A7">
            <w:pPr>
              <w:pStyle w:val="TableParagraph"/>
              <w:spacing w:line="248" w:lineRule="exact"/>
              <w:ind w:left="60" w:right="11"/>
              <w:jc w:val="left"/>
              <w:rPr>
                <w:sz w:val="24"/>
              </w:rPr>
            </w:pPr>
            <w:r>
              <w:rPr>
                <w:spacing w:val="-10"/>
                <w:sz w:val="24"/>
              </w:rPr>
              <w:t>-</w:t>
            </w:r>
          </w:p>
        </w:tc>
        <w:tc>
          <w:tcPr>
            <w:tcW w:w="1425" w:type="dxa"/>
            <w:tcBorders>
              <w:top w:val="nil"/>
            </w:tcBorders>
          </w:tcPr>
          <w:p w14:paraId="042F830D" w14:textId="77777777" w:rsidR="001825E2" w:rsidRDefault="000839A5" w:rsidP="00CB00A7">
            <w:pPr>
              <w:pStyle w:val="TableParagraph"/>
              <w:spacing w:line="248" w:lineRule="exact"/>
              <w:ind w:left="61" w:right="27"/>
              <w:jc w:val="left"/>
              <w:rPr>
                <w:sz w:val="24"/>
              </w:rPr>
            </w:pPr>
            <w:r>
              <w:rPr>
                <w:spacing w:val="-10"/>
                <w:sz w:val="24"/>
              </w:rPr>
              <w:t>-</w:t>
            </w:r>
          </w:p>
        </w:tc>
      </w:tr>
      <w:tr w:rsidR="001825E2" w14:paraId="186BA6BF" w14:textId="77777777">
        <w:trPr>
          <w:trHeight w:val="549"/>
        </w:trPr>
        <w:tc>
          <w:tcPr>
            <w:tcW w:w="1530" w:type="dxa"/>
            <w:tcBorders>
              <w:bottom w:val="nil"/>
            </w:tcBorders>
          </w:tcPr>
          <w:p w14:paraId="36715ACE" w14:textId="77777777" w:rsidR="001825E2" w:rsidRDefault="000839A5" w:rsidP="00CB00A7">
            <w:pPr>
              <w:pStyle w:val="TableParagraph"/>
              <w:spacing w:before="1" w:line="273" w:lineRule="exact"/>
              <w:jc w:val="left"/>
              <w:rPr>
                <w:sz w:val="24"/>
              </w:rPr>
            </w:pPr>
            <w:r>
              <w:rPr>
                <w:spacing w:val="-2"/>
                <w:sz w:val="24"/>
              </w:rPr>
              <w:t>ACR70</w:t>
            </w:r>
          </w:p>
          <w:p w14:paraId="35B55133" w14:textId="77777777" w:rsidR="001825E2" w:rsidRDefault="000839A5" w:rsidP="00CB00A7">
            <w:pPr>
              <w:pStyle w:val="TableParagraph"/>
              <w:spacing w:line="255" w:lineRule="exact"/>
              <w:jc w:val="left"/>
              <w:rPr>
                <w:sz w:val="24"/>
              </w:rPr>
            </w:pPr>
            <w:r>
              <w:rPr>
                <w:sz w:val="24"/>
              </w:rPr>
              <w:t>Month</w:t>
            </w:r>
            <w:r>
              <w:rPr>
                <w:spacing w:val="4"/>
                <w:sz w:val="24"/>
              </w:rPr>
              <w:t xml:space="preserve"> </w:t>
            </w:r>
            <w:r>
              <w:rPr>
                <w:spacing w:val="-10"/>
                <w:sz w:val="24"/>
              </w:rPr>
              <w:t>3</w:t>
            </w:r>
          </w:p>
        </w:tc>
        <w:tc>
          <w:tcPr>
            <w:tcW w:w="1500" w:type="dxa"/>
            <w:tcBorders>
              <w:bottom w:val="nil"/>
            </w:tcBorders>
          </w:tcPr>
          <w:p w14:paraId="07F8EC7E" w14:textId="77777777" w:rsidR="001825E2" w:rsidRDefault="000839A5" w:rsidP="00CB00A7">
            <w:pPr>
              <w:pStyle w:val="TableParagraph"/>
              <w:spacing w:before="271" w:line="258" w:lineRule="exact"/>
              <w:ind w:left="46" w:right="27"/>
              <w:jc w:val="left"/>
              <w:rPr>
                <w:sz w:val="24"/>
              </w:rPr>
            </w:pPr>
            <w:r>
              <w:rPr>
                <w:spacing w:val="-5"/>
                <w:sz w:val="24"/>
              </w:rPr>
              <w:t>5%</w:t>
            </w:r>
          </w:p>
        </w:tc>
        <w:tc>
          <w:tcPr>
            <w:tcW w:w="1500" w:type="dxa"/>
            <w:tcBorders>
              <w:bottom w:val="nil"/>
            </w:tcBorders>
          </w:tcPr>
          <w:p w14:paraId="739564E1" w14:textId="77777777" w:rsidR="001825E2" w:rsidRDefault="001825E2" w:rsidP="00CB00A7">
            <w:pPr>
              <w:pStyle w:val="TableParagraph"/>
              <w:spacing w:before="86"/>
              <w:ind w:left="0"/>
              <w:jc w:val="left"/>
              <w:rPr>
                <w:b/>
                <w:sz w:val="16"/>
              </w:rPr>
            </w:pPr>
          </w:p>
          <w:p w14:paraId="454BF40A" w14:textId="77777777" w:rsidR="001825E2" w:rsidRDefault="000839A5" w:rsidP="00CB00A7">
            <w:pPr>
              <w:pStyle w:val="TableParagraph"/>
              <w:spacing w:line="258" w:lineRule="exact"/>
              <w:ind w:left="46" w:right="39"/>
              <w:jc w:val="left"/>
              <w:rPr>
                <w:sz w:val="16"/>
              </w:rPr>
            </w:pPr>
            <w:r>
              <w:rPr>
                <w:spacing w:val="-2"/>
                <w:position w:val="-7"/>
                <w:sz w:val="24"/>
              </w:rPr>
              <w:t>17%</w:t>
            </w:r>
            <w:proofErr w:type="gramStart"/>
            <w:r>
              <w:rPr>
                <w:spacing w:val="-2"/>
                <w:sz w:val="16"/>
              </w:rPr>
              <w:t>e,*</w:t>
            </w:r>
            <w:proofErr w:type="gramEnd"/>
          </w:p>
        </w:tc>
        <w:tc>
          <w:tcPr>
            <w:tcW w:w="1665" w:type="dxa"/>
            <w:tcBorders>
              <w:bottom w:val="nil"/>
            </w:tcBorders>
          </w:tcPr>
          <w:p w14:paraId="0DDDF77B" w14:textId="77777777" w:rsidR="001825E2" w:rsidRDefault="000839A5" w:rsidP="00CB00A7">
            <w:pPr>
              <w:pStyle w:val="TableParagraph"/>
              <w:spacing w:before="271" w:line="258" w:lineRule="exact"/>
              <w:ind w:left="142" w:right="120"/>
              <w:jc w:val="left"/>
              <w:rPr>
                <w:sz w:val="16"/>
              </w:rPr>
            </w:pPr>
            <w:r>
              <w:rPr>
                <w:spacing w:val="-4"/>
                <w:sz w:val="24"/>
              </w:rPr>
              <w:t>19%</w:t>
            </w:r>
            <w:r>
              <w:rPr>
                <w:spacing w:val="-4"/>
                <w:position w:val="7"/>
                <w:sz w:val="16"/>
              </w:rPr>
              <w:t>*</w:t>
            </w:r>
          </w:p>
        </w:tc>
        <w:tc>
          <w:tcPr>
            <w:tcW w:w="1560" w:type="dxa"/>
            <w:tcBorders>
              <w:bottom w:val="nil"/>
            </w:tcBorders>
          </w:tcPr>
          <w:p w14:paraId="176BE6FA" w14:textId="77777777" w:rsidR="001825E2" w:rsidRDefault="000839A5" w:rsidP="00CB00A7">
            <w:pPr>
              <w:pStyle w:val="TableParagraph"/>
              <w:spacing w:before="271" w:line="258" w:lineRule="exact"/>
              <w:ind w:left="60" w:right="11"/>
              <w:jc w:val="left"/>
              <w:rPr>
                <w:sz w:val="24"/>
              </w:rPr>
            </w:pPr>
            <w:r>
              <w:rPr>
                <w:spacing w:val="-5"/>
                <w:sz w:val="24"/>
              </w:rPr>
              <w:t>10%</w:t>
            </w:r>
          </w:p>
        </w:tc>
        <w:tc>
          <w:tcPr>
            <w:tcW w:w="1425" w:type="dxa"/>
            <w:tcBorders>
              <w:bottom w:val="nil"/>
            </w:tcBorders>
          </w:tcPr>
          <w:p w14:paraId="2188CEA0" w14:textId="77777777" w:rsidR="001825E2" w:rsidRDefault="000839A5" w:rsidP="00CB00A7">
            <w:pPr>
              <w:pStyle w:val="TableParagraph"/>
              <w:spacing w:before="271" w:line="258" w:lineRule="exact"/>
              <w:ind w:left="61" w:right="27"/>
              <w:jc w:val="left"/>
              <w:rPr>
                <w:sz w:val="24"/>
              </w:rPr>
            </w:pPr>
            <w:r>
              <w:rPr>
                <w:spacing w:val="-5"/>
                <w:sz w:val="24"/>
              </w:rPr>
              <w:t>17%</w:t>
            </w:r>
          </w:p>
        </w:tc>
      </w:tr>
      <w:tr w:rsidR="001825E2" w14:paraId="1057FAB7" w14:textId="77777777">
        <w:trPr>
          <w:trHeight w:val="277"/>
        </w:trPr>
        <w:tc>
          <w:tcPr>
            <w:tcW w:w="1530" w:type="dxa"/>
            <w:tcBorders>
              <w:top w:val="nil"/>
              <w:bottom w:val="nil"/>
            </w:tcBorders>
          </w:tcPr>
          <w:p w14:paraId="74E89FF6" w14:textId="77777777" w:rsidR="001825E2" w:rsidRDefault="000839A5" w:rsidP="00CB00A7">
            <w:pPr>
              <w:pStyle w:val="TableParagraph"/>
              <w:spacing w:line="258" w:lineRule="exact"/>
              <w:jc w:val="left"/>
              <w:rPr>
                <w:sz w:val="24"/>
              </w:rPr>
            </w:pPr>
            <w:r>
              <w:rPr>
                <w:sz w:val="24"/>
              </w:rPr>
              <w:t>Month</w:t>
            </w:r>
            <w:r>
              <w:rPr>
                <w:spacing w:val="4"/>
                <w:sz w:val="24"/>
              </w:rPr>
              <w:t xml:space="preserve"> </w:t>
            </w:r>
            <w:r>
              <w:rPr>
                <w:spacing w:val="-10"/>
                <w:sz w:val="24"/>
              </w:rPr>
              <w:t>6</w:t>
            </w:r>
          </w:p>
        </w:tc>
        <w:tc>
          <w:tcPr>
            <w:tcW w:w="1500" w:type="dxa"/>
            <w:tcBorders>
              <w:top w:val="nil"/>
              <w:bottom w:val="nil"/>
            </w:tcBorders>
          </w:tcPr>
          <w:p w14:paraId="1B4D9183" w14:textId="77777777" w:rsidR="001825E2" w:rsidRDefault="000839A5" w:rsidP="00CB00A7">
            <w:pPr>
              <w:pStyle w:val="TableParagraph"/>
              <w:spacing w:line="258" w:lineRule="exact"/>
              <w:ind w:left="46" w:right="17"/>
              <w:jc w:val="left"/>
              <w:rPr>
                <w:sz w:val="24"/>
              </w:rPr>
            </w:pPr>
            <w:r>
              <w:rPr>
                <w:spacing w:val="-5"/>
                <w:sz w:val="24"/>
              </w:rPr>
              <w:t>NA</w:t>
            </w:r>
          </w:p>
        </w:tc>
        <w:tc>
          <w:tcPr>
            <w:tcW w:w="1500" w:type="dxa"/>
            <w:tcBorders>
              <w:top w:val="nil"/>
              <w:bottom w:val="nil"/>
            </w:tcBorders>
          </w:tcPr>
          <w:p w14:paraId="09D40CDC" w14:textId="77777777" w:rsidR="001825E2" w:rsidRDefault="000839A5" w:rsidP="00CB00A7">
            <w:pPr>
              <w:pStyle w:val="TableParagraph"/>
              <w:spacing w:line="258" w:lineRule="exact"/>
              <w:ind w:left="46" w:right="27"/>
              <w:jc w:val="left"/>
              <w:rPr>
                <w:sz w:val="24"/>
              </w:rPr>
            </w:pPr>
            <w:r>
              <w:rPr>
                <w:spacing w:val="-5"/>
                <w:sz w:val="24"/>
              </w:rPr>
              <w:t>18%</w:t>
            </w:r>
          </w:p>
        </w:tc>
        <w:tc>
          <w:tcPr>
            <w:tcW w:w="1665" w:type="dxa"/>
            <w:tcBorders>
              <w:top w:val="nil"/>
              <w:bottom w:val="nil"/>
            </w:tcBorders>
          </w:tcPr>
          <w:p w14:paraId="26FE053A" w14:textId="77777777" w:rsidR="001825E2" w:rsidRDefault="000839A5" w:rsidP="00CB00A7">
            <w:pPr>
              <w:pStyle w:val="TableParagraph"/>
              <w:spacing w:line="258" w:lineRule="exact"/>
              <w:ind w:left="154" w:right="120"/>
              <w:jc w:val="left"/>
              <w:rPr>
                <w:sz w:val="24"/>
              </w:rPr>
            </w:pPr>
            <w:r>
              <w:rPr>
                <w:spacing w:val="-5"/>
                <w:sz w:val="24"/>
              </w:rPr>
              <w:t>30%</w:t>
            </w:r>
          </w:p>
        </w:tc>
        <w:tc>
          <w:tcPr>
            <w:tcW w:w="1560" w:type="dxa"/>
            <w:tcBorders>
              <w:top w:val="nil"/>
              <w:bottom w:val="nil"/>
            </w:tcBorders>
          </w:tcPr>
          <w:p w14:paraId="7A1B4979" w14:textId="77777777" w:rsidR="001825E2" w:rsidRDefault="000839A5" w:rsidP="00CB00A7">
            <w:pPr>
              <w:pStyle w:val="TableParagraph"/>
              <w:spacing w:line="258" w:lineRule="exact"/>
              <w:ind w:left="60" w:right="1"/>
              <w:jc w:val="left"/>
              <w:rPr>
                <w:sz w:val="24"/>
              </w:rPr>
            </w:pPr>
            <w:r>
              <w:rPr>
                <w:spacing w:val="-5"/>
                <w:sz w:val="24"/>
              </w:rPr>
              <w:t>NA</w:t>
            </w:r>
          </w:p>
        </w:tc>
        <w:tc>
          <w:tcPr>
            <w:tcW w:w="1425" w:type="dxa"/>
            <w:tcBorders>
              <w:top w:val="nil"/>
              <w:bottom w:val="nil"/>
            </w:tcBorders>
          </w:tcPr>
          <w:p w14:paraId="03DEAB22" w14:textId="77777777" w:rsidR="001825E2" w:rsidRDefault="000839A5" w:rsidP="00CB00A7">
            <w:pPr>
              <w:pStyle w:val="TableParagraph"/>
              <w:spacing w:line="258" w:lineRule="exact"/>
              <w:ind w:left="61" w:right="27"/>
              <w:jc w:val="left"/>
              <w:rPr>
                <w:sz w:val="24"/>
              </w:rPr>
            </w:pPr>
            <w:r>
              <w:rPr>
                <w:spacing w:val="-5"/>
                <w:sz w:val="24"/>
              </w:rPr>
              <w:t>21%</w:t>
            </w:r>
          </w:p>
        </w:tc>
      </w:tr>
      <w:tr w:rsidR="001825E2" w14:paraId="599ED04F" w14:textId="77777777">
        <w:trPr>
          <w:trHeight w:val="268"/>
        </w:trPr>
        <w:tc>
          <w:tcPr>
            <w:tcW w:w="1530" w:type="dxa"/>
            <w:tcBorders>
              <w:top w:val="nil"/>
            </w:tcBorders>
          </w:tcPr>
          <w:p w14:paraId="1A39FD46" w14:textId="77777777" w:rsidR="001825E2" w:rsidRDefault="000839A5" w:rsidP="00CB00A7">
            <w:pPr>
              <w:pStyle w:val="TableParagraph"/>
              <w:spacing w:line="248" w:lineRule="exact"/>
              <w:jc w:val="left"/>
              <w:rPr>
                <w:sz w:val="24"/>
              </w:rPr>
            </w:pPr>
            <w:r>
              <w:rPr>
                <w:sz w:val="24"/>
              </w:rPr>
              <w:t>Month</w:t>
            </w:r>
            <w:r>
              <w:rPr>
                <w:spacing w:val="4"/>
                <w:sz w:val="24"/>
              </w:rPr>
              <w:t xml:space="preserve"> </w:t>
            </w:r>
            <w:r>
              <w:rPr>
                <w:spacing w:val="-5"/>
                <w:sz w:val="24"/>
              </w:rPr>
              <w:t>12</w:t>
            </w:r>
          </w:p>
        </w:tc>
        <w:tc>
          <w:tcPr>
            <w:tcW w:w="1500" w:type="dxa"/>
            <w:tcBorders>
              <w:top w:val="nil"/>
            </w:tcBorders>
          </w:tcPr>
          <w:p w14:paraId="3DB62226" w14:textId="77777777" w:rsidR="001825E2" w:rsidRDefault="000839A5" w:rsidP="00CB00A7">
            <w:pPr>
              <w:pStyle w:val="TableParagraph"/>
              <w:spacing w:line="248" w:lineRule="exact"/>
              <w:ind w:left="46" w:right="16"/>
              <w:jc w:val="left"/>
              <w:rPr>
                <w:sz w:val="24"/>
              </w:rPr>
            </w:pPr>
            <w:r>
              <w:rPr>
                <w:spacing w:val="-5"/>
                <w:sz w:val="24"/>
              </w:rPr>
              <w:t>NA</w:t>
            </w:r>
          </w:p>
        </w:tc>
        <w:tc>
          <w:tcPr>
            <w:tcW w:w="1500" w:type="dxa"/>
            <w:tcBorders>
              <w:top w:val="nil"/>
            </w:tcBorders>
          </w:tcPr>
          <w:p w14:paraId="0F48DCBB" w14:textId="77777777" w:rsidR="001825E2" w:rsidRDefault="000839A5" w:rsidP="00CB00A7">
            <w:pPr>
              <w:pStyle w:val="TableParagraph"/>
              <w:spacing w:line="248" w:lineRule="exact"/>
              <w:ind w:left="46" w:right="27"/>
              <w:jc w:val="left"/>
              <w:rPr>
                <w:sz w:val="24"/>
              </w:rPr>
            </w:pPr>
            <w:r>
              <w:rPr>
                <w:spacing w:val="-5"/>
                <w:sz w:val="24"/>
              </w:rPr>
              <w:t>23%</w:t>
            </w:r>
          </w:p>
        </w:tc>
        <w:tc>
          <w:tcPr>
            <w:tcW w:w="1665" w:type="dxa"/>
            <w:tcBorders>
              <w:top w:val="nil"/>
            </w:tcBorders>
          </w:tcPr>
          <w:p w14:paraId="7948AC00" w14:textId="77777777" w:rsidR="001825E2" w:rsidRDefault="000839A5" w:rsidP="00CB00A7">
            <w:pPr>
              <w:pStyle w:val="TableParagraph"/>
              <w:spacing w:line="248" w:lineRule="exact"/>
              <w:ind w:left="154" w:right="120"/>
              <w:jc w:val="left"/>
              <w:rPr>
                <w:sz w:val="24"/>
              </w:rPr>
            </w:pPr>
            <w:r>
              <w:rPr>
                <w:spacing w:val="-5"/>
                <w:sz w:val="24"/>
              </w:rPr>
              <w:t>29%</w:t>
            </w:r>
          </w:p>
        </w:tc>
        <w:tc>
          <w:tcPr>
            <w:tcW w:w="1560" w:type="dxa"/>
            <w:tcBorders>
              <w:top w:val="nil"/>
            </w:tcBorders>
          </w:tcPr>
          <w:p w14:paraId="73FB736F" w14:textId="77777777" w:rsidR="001825E2" w:rsidRDefault="000839A5" w:rsidP="00CB00A7">
            <w:pPr>
              <w:pStyle w:val="TableParagraph"/>
              <w:spacing w:line="248" w:lineRule="exact"/>
              <w:ind w:left="60" w:right="11"/>
              <w:jc w:val="left"/>
              <w:rPr>
                <w:sz w:val="24"/>
              </w:rPr>
            </w:pPr>
            <w:r>
              <w:rPr>
                <w:spacing w:val="-10"/>
                <w:sz w:val="24"/>
              </w:rPr>
              <w:t>-</w:t>
            </w:r>
          </w:p>
        </w:tc>
        <w:tc>
          <w:tcPr>
            <w:tcW w:w="1425" w:type="dxa"/>
            <w:tcBorders>
              <w:top w:val="nil"/>
            </w:tcBorders>
          </w:tcPr>
          <w:p w14:paraId="108857D9" w14:textId="77777777" w:rsidR="001825E2" w:rsidRDefault="000839A5" w:rsidP="00CB00A7">
            <w:pPr>
              <w:pStyle w:val="TableParagraph"/>
              <w:spacing w:line="248" w:lineRule="exact"/>
              <w:ind w:left="61" w:right="27"/>
              <w:jc w:val="left"/>
              <w:rPr>
                <w:sz w:val="24"/>
              </w:rPr>
            </w:pPr>
            <w:r>
              <w:rPr>
                <w:spacing w:val="-10"/>
                <w:sz w:val="24"/>
              </w:rPr>
              <w:t>-</w:t>
            </w:r>
          </w:p>
        </w:tc>
      </w:tr>
      <w:tr w:rsidR="001825E2" w14:paraId="062B6933" w14:textId="77777777">
        <w:trPr>
          <w:trHeight w:val="556"/>
        </w:trPr>
        <w:tc>
          <w:tcPr>
            <w:tcW w:w="1530" w:type="dxa"/>
            <w:tcBorders>
              <w:bottom w:val="nil"/>
            </w:tcBorders>
          </w:tcPr>
          <w:p w14:paraId="3CAA548B" w14:textId="77777777" w:rsidR="001825E2" w:rsidRDefault="000839A5" w:rsidP="00CB00A7">
            <w:pPr>
              <w:pStyle w:val="TableParagraph"/>
              <w:spacing w:before="1" w:line="273" w:lineRule="exact"/>
              <w:jc w:val="left"/>
              <w:rPr>
                <w:sz w:val="16"/>
              </w:rPr>
            </w:pPr>
            <w:r>
              <w:rPr>
                <w:spacing w:val="-2"/>
                <w:sz w:val="24"/>
              </w:rPr>
              <w:t>∆LEI</w:t>
            </w:r>
            <w:r>
              <w:rPr>
                <w:spacing w:val="-2"/>
                <w:position w:val="7"/>
                <w:sz w:val="16"/>
              </w:rPr>
              <w:t>f</w:t>
            </w:r>
          </w:p>
          <w:p w14:paraId="6D7A3D46" w14:textId="77777777" w:rsidR="001825E2" w:rsidRDefault="000839A5" w:rsidP="00CB00A7">
            <w:pPr>
              <w:pStyle w:val="TableParagraph"/>
              <w:spacing w:line="263" w:lineRule="exact"/>
              <w:jc w:val="left"/>
              <w:rPr>
                <w:sz w:val="24"/>
              </w:rPr>
            </w:pPr>
            <w:r>
              <w:rPr>
                <w:sz w:val="24"/>
              </w:rPr>
              <w:t>Month</w:t>
            </w:r>
            <w:r>
              <w:rPr>
                <w:spacing w:val="4"/>
                <w:sz w:val="24"/>
              </w:rPr>
              <w:t xml:space="preserve"> </w:t>
            </w:r>
            <w:r>
              <w:rPr>
                <w:spacing w:val="-10"/>
                <w:sz w:val="24"/>
              </w:rPr>
              <w:t>3</w:t>
            </w:r>
          </w:p>
        </w:tc>
        <w:tc>
          <w:tcPr>
            <w:tcW w:w="1500" w:type="dxa"/>
            <w:tcBorders>
              <w:bottom w:val="nil"/>
            </w:tcBorders>
          </w:tcPr>
          <w:p w14:paraId="058D8C09" w14:textId="77777777" w:rsidR="001825E2" w:rsidRDefault="000839A5" w:rsidP="00CB00A7">
            <w:pPr>
              <w:pStyle w:val="TableParagraph"/>
              <w:spacing w:before="271" w:line="266" w:lineRule="exact"/>
              <w:ind w:left="46" w:right="32"/>
              <w:jc w:val="left"/>
              <w:rPr>
                <w:sz w:val="24"/>
              </w:rPr>
            </w:pPr>
            <w:r>
              <w:rPr>
                <w:spacing w:val="-6"/>
                <w:sz w:val="24"/>
              </w:rPr>
              <w:t>-</w:t>
            </w:r>
            <w:r>
              <w:rPr>
                <w:spacing w:val="-5"/>
                <w:sz w:val="24"/>
              </w:rPr>
              <w:t>0.4</w:t>
            </w:r>
          </w:p>
        </w:tc>
        <w:tc>
          <w:tcPr>
            <w:tcW w:w="1500" w:type="dxa"/>
            <w:tcBorders>
              <w:bottom w:val="nil"/>
            </w:tcBorders>
          </w:tcPr>
          <w:p w14:paraId="2241F470" w14:textId="77777777" w:rsidR="001825E2" w:rsidRDefault="000839A5" w:rsidP="00CB00A7">
            <w:pPr>
              <w:pStyle w:val="TableParagraph"/>
              <w:spacing w:before="271" w:line="266" w:lineRule="exact"/>
              <w:ind w:left="46" w:right="32"/>
              <w:jc w:val="left"/>
              <w:rPr>
                <w:sz w:val="24"/>
              </w:rPr>
            </w:pPr>
            <w:r>
              <w:rPr>
                <w:spacing w:val="-6"/>
                <w:sz w:val="24"/>
              </w:rPr>
              <w:t>-</w:t>
            </w:r>
            <w:r>
              <w:rPr>
                <w:spacing w:val="-5"/>
                <w:sz w:val="24"/>
              </w:rPr>
              <w:t>0.8</w:t>
            </w:r>
          </w:p>
        </w:tc>
        <w:tc>
          <w:tcPr>
            <w:tcW w:w="1665" w:type="dxa"/>
            <w:tcBorders>
              <w:bottom w:val="nil"/>
            </w:tcBorders>
          </w:tcPr>
          <w:p w14:paraId="574B24E2" w14:textId="77777777" w:rsidR="001825E2" w:rsidRDefault="000839A5" w:rsidP="00CB00A7">
            <w:pPr>
              <w:pStyle w:val="TableParagraph"/>
              <w:spacing w:before="271" w:line="266" w:lineRule="exact"/>
              <w:ind w:left="142" w:right="120"/>
              <w:jc w:val="left"/>
              <w:rPr>
                <w:sz w:val="16"/>
              </w:rPr>
            </w:pPr>
            <w:r>
              <w:rPr>
                <w:spacing w:val="-6"/>
                <w:sz w:val="24"/>
              </w:rPr>
              <w:t>-</w:t>
            </w:r>
            <w:r>
              <w:rPr>
                <w:spacing w:val="-4"/>
                <w:sz w:val="24"/>
              </w:rPr>
              <w:t>1.1</w:t>
            </w:r>
            <w:r>
              <w:rPr>
                <w:spacing w:val="-4"/>
                <w:position w:val="7"/>
                <w:sz w:val="16"/>
              </w:rPr>
              <w:t>*</w:t>
            </w:r>
          </w:p>
        </w:tc>
        <w:tc>
          <w:tcPr>
            <w:tcW w:w="1560" w:type="dxa"/>
            <w:tcBorders>
              <w:bottom w:val="nil"/>
            </w:tcBorders>
          </w:tcPr>
          <w:p w14:paraId="78D2D4C7" w14:textId="77777777" w:rsidR="001825E2" w:rsidRDefault="000839A5" w:rsidP="00CB00A7">
            <w:pPr>
              <w:pStyle w:val="TableParagraph"/>
              <w:spacing w:before="271" w:line="266" w:lineRule="exact"/>
              <w:ind w:left="60" w:right="16"/>
              <w:jc w:val="left"/>
              <w:rPr>
                <w:sz w:val="24"/>
              </w:rPr>
            </w:pPr>
            <w:r>
              <w:rPr>
                <w:spacing w:val="-6"/>
                <w:sz w:val="24"/>
              </w:rPr>
              <w:t>-</w:t>
            </w:r>
            <w:r>
              <w:rPr>
                <w:spacing w:val="-5"/>
                <w:sz w:val="24"/>
              </w:rPr>
              <w:t>0.5</w:t>
            </w:r>
          </w:p>
        </w:tc>
        <w:tc>
          <w:tcPr>
            <w:tcW w:w="1425" w:type="dxa"/>
            <w:tcBorders>
              <w:bottom w:val="nil"/>
            </w:tcBorders>
          </w:tcPr>
          <w:p w14:paraId="4B39DEF6" w14:textId="77777777" w:rsidR="001825E2" w:rsidRDefault="000839A5" w:rsidP="00CB00A7">
            <w:pPr>
              <w:pStyle w:val="TableParagraph"/>
              <w:spacing w:before="271" w:line="266" w:lineRule="exact"/>
              <w:ind w:left="61" w:right="39"/>
              <w:jc w:val="left"/>
              <w:rPr>
                <w:sz w:val="16"/>
              </w:rPr>
            </w:pPr>
            <w:r>
              <w:rPr>
                <w:spacing w:val="-6"/>
                <w:sz w:val="24"/>
              </w:rPr>
              <w:t>-</w:t>
            </w:r>
            <w:r>
              <w:rPr>
                <w:spacing w:val="-4"/>
                <w:sz w:val="24"/>
              </w:rPr>
              <w:t>1.3</w:t>
            </w:r>
            <w:r>
              <w:rPr>
                <w:spacing w:val="-4"/>
                <w:position w:val="7"/>
                <w:sz w:val="16"/>
              </w:rPr>
              <w:t>*</w:t>
            </w:r>
          </w:p>
        </w:tc>
      </w:tr>
      <w:tr w:rsidR="001825E2" w14:paraId="3E940144" w14:textId="77777777">
        <w:trPr>
          <w:trHeight w:val="277"/>
        </w:trPr>
        <w:tc>
          <w:tcPr>
            <w:tcW w:w="1530" w:type="dxa"/>
            <w:tcBorders>
              <w:top w:val="nil"/>
              <w:bottom w:val="nil"/>
            </w:tcBorders>
          </w:tcPr>
          <w:p w14:paraId="4A6F773C" w14:textId="77777777" w:rsidR="001825E2" w:rsidRDefault="000839A5" w:rsidP="00CB00A7">
            <w:pPr>
              <w:pStyle w:val="TableParagraph"/>
              <w:spacing w:line="258" w:lineRule="exact"/>
              <w:jc w:val="left"/>
              <w:rPr>
                <w:sz w:val="24"/>
              </w:rPr>
            </w:pPr>
            <w:r>
              <w:rPr>
                <w:sz w:val="24"/>
              </w:rPr>
              <w:t>Month</w:t>
            </w:r>
            <w:r>
              <w:rPr>
                <w:spacing w:val="4"/>
                <w:sz w:val="24"/>
              </w:rPr>
              <w:t xml:space="preserve"> </w:t>
            </w:r>
            <w:r>
              <w:rPr>
                <w:spacing w:val="-10"/>
                <w:sz w:val="24"/>
              </w:rPr>
              <w:t>6</w:t>
            </w:r>
          </w:p>
        </w:tc>
        <w:tc>
          <w:tcPr>
            <w:tcW w:w="1500" w:type="dxa"/>
            <w:tcBorders>
              <w:top w:val="nil"/>
              <w:bottom w:val="nil"/>
            </w:tcBorders>
          </w:tcPr>
          <w:p w14:paraId="313E0AFF" w14:textId="77777777" w:rsidR="001825E2" w:rsidRDefault="000839A5" w:rsidP="00CB00A7">
            <w:pPr>
              <w:pStyle w:val="TableParagraph"/>
              <w:spacing w:line="258" w:lineRule="exact"/>
              <w:ind w:left="46" w:right="17"/>
              <w:jc w:val="left"/>
              <w:rPr>
                <w:sz w:val="24"/>
              </w:rPr>
            </w:pPr>
            <w:r>
              <w:rPr>
                <w:spacing w:val="-5"/>
                <w:sz w:val="24"/>
              </w:rPr>
              <w:t>NA</w:t>
            </w:r>
          </w:p>
        </w:tc>
        <w:tc>
          <w:tcPr>
            <w:tcW w:w="1500" w:type="dxa"/>
            <w:tcBorders>
              <w:top w:val="nil"/>
              <w:bottom w:val="nil"/>
            </w:tcBorders>
          </w:tcPr>
          <w:p w14:paraId="34389614" w14:textId="77777777" w:rsidR="001825E2" w:rsidRDefault="000839A5" w:rsidP="00CB00A7">
            <w:pPr>
              <w:pStyle w:val="TableParagraph"/>
              <w:spacing w:line="258" w:lineRule="exact"/>
              <w:ind w:left="46" w:right="32"/>
              <w:jc w:val="left"/>
              <w:rPr>
                <w:sz w:val="24"/>
              </w:rPr>
            </w:pPr>
            <w:r>
              <w:rPr>
                <w:spacing w:val="-6"/>
                <w:sz w:val="24"/>
              </w:rPr>
              <w:t>-</w:t>
            </w:r>
            <w:r>
              <w:rPr>
                <w:spacing w:val="-5"/>
                <w:sz w:val="24"/>
              </w:rPr>
              <w:t>1.3</w:t>
            </w:r>
          </w:p>
        </w:tc>
        <w:tc>
          <w:tcPr>
            <w:tcW w:w="1665" w:type="dxa"/>
            <w:tcBorders>
              <w:top w:val="nil"/>
              <w:bottom w:val="nil"/>
            </w:tcBorders>
          </w:tcPr>
          <w:p w14:paraId="79E25501" w14:textId="77777777" w:rsidR="001825E2" w:rsidRDefault="000839A5" w:rsidP="00CB00A7">
            <w:pPr>
              <w:pStyle w:val="TableParagraph"/>
              <w:spacing w:line="258" w:lineRule="exact"/>
              <w:ind w:left="149" w:right="120"/>
              <w:jc w:val="left"/>
              <w:rPr>
                <w:sz w:val="24"/>
              </w:rPr>
            </w:pPr>
            <w:r>
              <w:rPr>
                <w:spacing w:val="-6"/>
                <w:sz w:val="24"/>
              </w:rPr>
              <w:t>-</w:t>
            </w:r>
            <w:r>
              <w:rPr>
                <w:spacing w:val="-5"/>
                <w:sz w:val="24"/>
              </w:rPr>
              <w:t>1.3</w:t>
            </w:r>
          </w:p>
        </w:tc>
        <w:tc>
          <w:tcPr>
            <w:tcW w:w="1560" w:type="dxa"/>
            <w:tcBorders>
              <w:top w:val="nil"/>
              <w:bottom w:val="nil"/>
            </w:tcBorders>
          </w:tcPr>
          <w:p w14:paraId="7AE3FC19" w14:textId="77777777" w:rsidR="001825E2" w:rsidRDefault="000839A5" w:rsidP="00CB00A7">
            <w:pPr>
              <w:pStyle w:val="TableParagraph"/>
              <w:spacing w:line="258" w:lineRule="exact"/>
              <w:ind w:left="60" w:right="1"/>
              <w:jc w:val="left"/>
              <w:rPr>
                <w:sz w:val="24"/>
              </w:rPr>
            </w:pPr>
            <w:r>
              <w:rPr>
                <w:spacing w:val="-5"/>
                <w:sz w:val="24"/>
              </w:rPr>
              <w:t>NA</w:t>
            </w:r>
          </w:p>
        </w:tc>
        <w:tc>
          <w:tcPr>
            <w:tcW w:w="1425" w:type="dxa"/>
            <w:tcBorders>
              <w:top w:val="nil"/>
              <w:bottom w:val="nil"/>
            </w:tcBorders>
          </w:tcPr>
          <w:p w14:paraId="174B4B4A" w14:textId="77777777" w:rsidR="001825E2" w:rsidRDefault="000839A5" w:rsidP="00CB00A7">
            <w:pPr>
              <w:pStyle w:val="TableParagraph"/>
              <w:spacing w:line="258" w:lineRule="exact"/>
              <w:ind w:left="61" w:right="32"/>
              <w:jc w:val="left"/>
              <w:rPr>
                <w:sz w:val="24"/>
              </w:rPr>
            </w:pPr>
            <w:r>
              <w:rPr>
                <w:spacing w:val="-6"/>
                <w:sz w:val="24"/>
              </w:rPr>
              <w:t>-</w:t>
            </w:r>
            <w:r>
              <w:rPr>
                <w:spacing w:val="-5"/>
                <w:sz w:val="24"/>
              </w:rPr>
              <w:t>1.5</w:t>
            </w:r>
          </w:p>
        </w:tc>
      </w:tr>
      <w:tr w:rsidR="001825E2" w14:paraId="6A6121FF" w14:textId="77777777">
        <w:trPr>
          <w:trHeight w:val="260"/>
        </w:trPr>
        <w:tc>
          <w:tcPr>
            <w:tcW w:w="1530" w:type="dxa"/>
            <w:tcBorders>
              <w:top w:val="nil"/>
            </w:tcBorders>
          </w:tcPr>
          <w:p w14:paraId="4F016E0F" w14:textId="77777777" w:rsidR="001825E2" w:rsidRDefault="000839A5" w:rsidP="00CB00A7">
            <w:pPr>
              <w:pStyle w:val="TableParagraph"/>
              <w:spacing w:line="241" w:lineRule="exact"/>
              <w:jc w:val="left"/>
              <w:rPr>
                <w:sz w:val="24"/>
              </w:rPr>
            </w:pPr>
            <w:r>
              <w:rPr>
                <w:sz w:val="24"/>
              </w:rPr>
              <w:t>Month</w:t>
            </w:r>
            <w:r>
              <w:rPr>
                <w:spacing w:val="4"/>
                <w:sz w:val="24"/>
              </w:rPr>
              <w:t xml:space="preserve"> </w:t>
            </w:r>
            <w:r>
              <w:rPr>
                <w:spacing w:val="-5"/>
                <w:sz w:val="24"/>
              </w:rPr>
              <w:t>12</w:t>
            </w:r>
          </w:p>
        </w:tc>
        <w:tc>
          <w:tcPr>
            <w:tcW w:w="1500" w:type="dxa"/>
            <w:tcBorders>
              <w:top w:val="nil"/>
            </w:tcBorders>
          </w:tcPr>
          <w:p w14:paraId="04E825EC" w14:textId="77777777" w:rsidR="001825E2" w:rsidRDefault="000839A5" w:rsidP="00CB00A7">
            <w:pPr>
              <w:pStyle w:val="TableParagraph"/>
              <w:spacing w:line="241" w:lineRule="exact"/>
              <w:ind w:left="46" w:right="16"/>
              <w:jc w:val="left"/>
              <w:rPr>
                <w:sz w:val="24"/>
              </w:rPr>
            </w:pPr>
            <w:r>
              <w:rPr>
                <w:spacing w:val="-5"/>
                <w:sz w:val="24"/>
              </w:rPr>
              <w:t>NA</w:t>
            </w:r>
          </w:p>
        </w:tc>
        <w:tc>
          <w:tcPr>
            <w:tcW w:w="1500" w:type="dxa"/>
            <w:tcBorders>
              <w:top w:val="nil"/>
            </w:tcBorders>
          </w:tcPr>
          <w:p w14:paraId="5903747F" w14:textId="77777777" w:rsidR="001825E2" w:rsidRDefault="000839A5" w:rsidP="00CB00A7">
            <w:pPr>
              <w:pStyle w:val="TableParagraph"/>
              <w:spacing w:line="241" w:lineRule="exact"/>
              <w:ind w:left="46" w:right="31"/>
              <w:jc w:val="left"/>
              <w:rPr>
                <w:sz w:val="24"/>
              </w:rPr>
            </w:pPr>
            <w:r>
              <w:rPr>
                <w:spacing w:val="-5"/>
                <w:sz w:val="24"/>
              </w:rPr>
              <w:t>-1.7</w:t>
            </w:r>
          </w:p>
        </w:tc>
        <w:tc>
          <w:tcPr>
            <w:tcW w:w="1665" w:type="dxa"/>
            <w:tcBorders>
              <w:top w:val="nil"/>
            </w:tcBorders>
          </w:tcPr>
          <w:p w14:paraId="74991AF4" w14:textId="77777777" w:rsidR="001825E2" w:rsidRDefault="000839A5" w:rsidP="00CB00A7">
            <w:pPr>
              <w:pStyle w:val="TableParagraph"/>
              <w:spacing w:line="241" w:lineRule="exact"/>
              <w:ind w:left="150" w:right="120"/>
              <w:jc w:val="left"/>
              <w:rPr>
                <w:sz w:val="24"/>
              </w:rPr>
            </w:pPr>
            <w:r>
              <w:rPr>
                <w:spacing w:val="-5"/>
                <w:sz w:val="24"/>
              </w:rPr>
              <w:t>-1.6</w:t>
            </w:r>
          </w:p>
        </w:tc>
        <w:tc>
          <w:tcPr>
            <w:tcW w:w="1560" w:type="dxa"/>
            <w:tcBorders>
              <w:top w:val="nil"/>
            </w:tcBorders>
          </w:tcPr>
          <w:p w14:paraId="30ABF548" w14:textId="77777777" w:rsidR="001825E2" w:rsidRDefault="000839A5" w:rsidP="00CB00A7">
            <w:pPr>
              <w:pStyle w:val="TableParagraph"/>
              <w:spacing w:line="241" w:lineRule="exact"/>
              <w:ind w:left="60" w:right="11"/>
              <w:jc w:val="left"/>
              <w:rPr>
                <w:sz w:val="24"/>
              </w:rPr>
            </w:pPr>
            <w:r>
              <w:rPr>
                <w:spacing w:val="-10"/>
                <w:sz w:val="24"/>
              </w:rPr>
              <w:t>-</w:t>
            </w:r>
          </w:p>
        </w:tc>
        <w:tc>
          <w:tcPr>
            <w:tcW w:w="1425" w:type="dxa"/>
            <w:tcBorders>
              <w:top w:val="nil"/>
            </w:tcBorders>
          </w:tcPr>
          <w:p w14:paraId="4FEDA1B3" w14:textId="77777777" w:rsidR="001825E2" w:rsidRDefault="000839A5" w:rsidP="00CB00A7">
            <w:pPr>
              <w:pStyle w:val="TableParagraph"/>
              <w:spacing w:line="241" w:lineRule="exact"/>
              <w:ind w:left="61" w:right="27"/>
              <w:jc w:val="left"/>
              <w:rPr>
                <w:sz w:val="24"/>
              </w:rPr>
            </w:pPr>
            <w:r>
              <w:rPr>
                <w:spacing w:val="-10"/>
                <w:sz w:val="24"/>
              </w:rPr>
              <w:t>-</w:t>
            </w:r>
          </w:p>
        </w:tc>
      </w:tr>
      <w:tr w:rsidR="001825E2" w14:paraId="46B281E5" w14:textId="77777777">
        <w:trPr>
          <w:trHeight w:val="282"/>
        </w:trPr>
        <w:tc>
          <w:tcPr>
            <w:tcW w:w="1530" w:type="dxa"/>
            <w:tcBorders>
              <w:bottom w:val="nil"/>
            </w:tcBorders>
          </w:tcPr>
          <w:p w14:paraId="2B6228E7" w14:textId="77777777" w:rsidR="001825E2" w:rsidRDefault="000839A5" w:rsidP="00CB00A7">
            <w:pPr>
              <w:pStyle w:val="TableParagraph"/>
              <w:spacing w:before="1" w:line="262" w:lineRule="exact"/>
              <w:jc w:val="left"/>
              <w:rPr>
                <w:sz w:val="16"/>
              </w:rPr>
            </w:pPr>
            <w:r>
              <w:rPr>
                <w:spacing w:val="-2"/>
                <w:sz w:val="24"/>
              </w:rPr>
              <w:t>∆DSS</w:t>
            </w:r>
            <w:r>
              <w:rPr>
                <w:spacing w:val="-2"/>
                <w:position w:val="7"/>
                <w:sz w:val="16"/>
              </w:rPr>
              <w:t>f</w:t>
            </w:r>
          </w:p>
        </w:tc>
        <w:tc>
          <w:tcPr>
            <w:tcW w:w="1500" w:type="dxa"/>
            <w:tcBorders>
              <w:bottom w:val="nil"/>
            </w:tcBorders>
          </w:tcPr>
          <w:p w14:paraId="6FC7E3A8" w14:textId="77777777" w:rsidR="001825E2" w:rsidRDefault="001825E2" w:rsidP="00CB00A7">
            <w:pPr>
              <w:pStyle w:val="TableParagraph"/>
              <w:ind w:left="0"/>
              <w:jc w:val="left"/>
              <w:rPr>
                <w:sz w:val="20"/>
              </w:rPr>
            </w:pPr>
          </w:p>
        </w:tc>
        <w:tc>
          <w:tcPr>
            <w:tcW w:w="1500" w:type="dxa"/>
            <w:tcBorders>
              <w:bottom w:val="nil"/>
            </w:tcBorders>
          </w:tcPr>
          <w:p w14:paraId="627597A5" w14:textId="77777777" w:rsidR="001825E2" w:rsidRDefault="001825E2" w:rsidP="00CB00A7">
            <w:pPr>
              <w:pStyle w:val="TableParagraph"/>
              <w:ind w:left="0"/>
              <w:jc w:val="left"/>
              <w:rPr>
                <w:sz w:val="20"/>
              </w:rPr>
            </w:pPr>
          </w:p>
        </w:tc>
        <w:tc>
          <w:tcPr>
            <w:tcW w:w="1665" w:type="dxa"/>
            <w:tcBorders>
              <w:bottom w:val="nil"/>
            </w:tcBorders>
          </w:tcPr>
          <w:p w14:paraId="54477945" w14:textId="77777777" w:rsidR="001825E2" w:rsidRDefault="001825E2" w:rsidP="00CB00A7">
            <w:pPr>
              <w:pStyle w:val="TableParagraph"/>
              <w:ind w:left="0"/>
              <w:jc w:val="left"/>
              <w:rPr>
                <w:sz w:val="20"/>
              </w:rPr>
            </w:pPr>
          </w:p>
        </w:tc>
        <w:tc>
          <w:tcPr>
            <w:tcW w:w="1560" w:type="dxa"/>
            <w:tcBorders>
              <w:bottom w:val="nil"/>
            </w:tcBorders>
          </w:tcPr>
          <w:p w14:paraId="55042E39" w14:textId="77777777" w:rsidR="001825E2" w:rsidRDefault="001825E2" w:rsidP="00CB00A7">
            <w:pPr>
              <w:pStyle w:val="TableParagraph"/>
              <w:ind w:left="0"/>
              <w:jc w:val="left"/>
              <w:rPr>
                <w:sz w:val="20"/>
              </w:rPr>
            </w:pPr>
          </w:p>
        </w:tc>
        <w:tc>
          <w:tcPr>
            <w:tcW w:w="1425" w:type="dxa"/>
            <w:tcBorders>
              <w:bottom w:val="nil"/>
            </w:tcBorders>
          </w:tcPr>
          <w:p w14:paraId="1C6E189A" w14:textId="77777777" w:rsidR="001825E2" w:rsidRDefault="001825E2" w:rsidP="00CB00A7">
            <w:pPr>
              <w:pStyle w:val="TableParagraph"/>
              <w:ind w:left="0"/>
              <w:jc w:val="left"/>
              <w:rPr>
                <w:sz w:val="20"/>
              </w:rPr>
            </w:pPr>
          </w:p>
        </w:tc>
      </w:tr>
      <w:tr w:rsidR="001825E2" w14:paraId="6AEC3FBA" w14:textId="77777777">
        <w:trPr>
          <w:trHeight w:val="281"/>
        </w:trPr>
        <w:tc>
          <w:tcPr>
            <w:tcW w:w="1530" w:type="dxa"/>
            <w:tcBorders>
              <w:top w:val="nil"/>
              <w:bottom w:val="nil"/>
            </w:tcBorders>
          </w:tcPr>
          <w:p w14:paraId="492DFFA3" w14:textId="77777777" w:rsidR="001825E2" w:rsidRDefault="000839A5" w:rsidP="00CB00A7">
            <w:pPr>
              <w:pStyle w:val="TableParagraph"/>
              <w:spacing w:before="3" w:line="258" w:lineRule="exact"/>
              <w:jc w:val="left"/>
              <w:rPr>
                <w:sz w:val="24"/>
              </w:rPr>
            </w:pPr>
            <w:r>
              <w:rPr>
                <w:sz w:val="24"/>
              </w:rPr>
              <w:t>Month</w:t>
            </w:r>
            <w:r>
              <w:rPr>
                <w:spacing w:val="4"/>
                <w:sz w:val="24"/>
              </w:rPr>
              <w:t xml:space="preserve"> </w:t>
            </w:r>
            <w:r>
              <w:rPr>
                <w:spacing w:val="-10"/>
                <w:sz w:val="24"/>
              </w:rPr>
              <w:t>3</w:t>
            </w:r>
          </w:p>
        </w:tc>
        <w:tc>
          <w:tcPr>
            <w:tcW w:w="1500" w:type="dxa"/>
            <w:tcBorders>
              <w:top w:val="nil"/>
              <w:bottom w:val="nil"/>
            </w:tcBorders>
          </w:tcPr>
          <w:p w14:paraId="04B4FB11" w14:textId="77777777" w:rsidR="001825E2" w:rsidRDefault="000839A5" w:rsidP="00CB00A7">
            <w:pPr>
              <w:pStyle w:val="TableParagraph"/>
              <w:spacing w:before="3" w:line="258" w:lineRule="exact"/>
              <w:ind w:left="46" w:right="32"/>
              <w:jc w:val="left"/>
              <w:rPr>
                <w:sz w:val="24"/>
              </w:rPr>
            </w:pPr>
            <w:r>
              <w:rPr>
                <w:spacing w:val="-6"/>
                <w:sz w:val="24"/>
              </w:rPr>
              <w:t>-</w:t>
            </w:r>
            <w:r>
              <w:rPr>
                <w:spacing w:val="-5"/>
                <w:sz w:val="24"/>
              </w:rPr>
              <w:t>2.0</w:t>
            </w:r>
          </w:p>
        </w:tc>
        <w:tc>
          <w:tcPr>
            <w:tcW w:w="1500" w:type="dxa"/>
            <w:tcBorders>
              <w:top w:val="nil"/>
              <w:bottom w:val="nil"/>
            </w:tcBorders>
          </w:tcPr>
          <w:p w14:paraId="2E106F67" w14:textId="77777777" w:rsidR="001825E2" w:rsidRDefault="000839A5" w:rsidP="00CB00A7">
            <w:pPr>
              <w:pStyle w:val="TableParagraph"/>
              <w:spacing w:before="3" w:line="258" w:lineRule="exact"/>
              <w:ind w:left="46" w:right="32"/>
              <w:jc w:val="left"/>
              <w:rPr>
                <w:sz w:val="24"/>
              </w:rPr>
            </w:pPr>
            <w:r>
              <w:rPr>
                <w:spacing w:val="-6"/>
                <w:sz w:val="24"/>
              </w:rPr>
              <w:t>-</w:t>
            </w:r>
            <w:r>
              <w:rPr>
                <w:spacing w:val="-5"/>
                <w:sz w:val="24"/>
              </w:rPr>
              <w:t>3.5</w:t>
            </w:r>
          </w:p>
        </w:tc>
        <w:tc>
          <w:tcPr>
            <w:tcW w:w="1665" w:type="dxa"/>
            <w:tcBorders>
              <w:top w:val="nil"/>
              <w:bottom w:val="nil"/>
            </w:tcBorders>
          </w:tcPr>
          <w:p w14:paraId="478E8D0C" w14:textId="77777777" w:rsidR="001825E2" w:rsidRDefault="000839A5" w:rsidP="00CB00A7">
            <w:pPr>
              <w:pStyle w:val="TableParagraph"/>
              <w:spacing w:before="3" w:line="258" w:lineRule="exact"/>
              <w:ind w:left="149" w:right="120"/>
              <w:jc w:val="left"/>
              <w:rPr>
                <w:sz w:val="24"/>
              </w:rPr>
            </w:pPr>
            <w:r>
              <w:rPr>
                <w:spacing w:val="-6"/>
                <w:sz w:val="24"/>
              </w:rPr>
              <w:t>-</w:t>
            </w:r>
            <w:r>
              <w:rPr>
                <w:spacing w:val="-5"/>
                <w:sz w:val="24"/>
              </w:rPr>
              <w:t>4.0</w:t>
            </w:r>
          </w:p>
        </w:tc>
        <w:tc>
          <w:tcPr>
            <w:tcW w:w="1560" w:type="dxa"/>
            <w:tcBorders>
              <w:top w:val="nil"/>
              <w:bottom w:val="nil"/>
            </w:tcBorders>
          </w:tcPr>
          <w:p w14:paraId="42C5DBE7" w14:textId="77777777" w:rsidR="001825E2" w:rsidRDefault="000839A5" w:rsidP="00CB00A7">
            <w:pPr>
              <w:pStyle w:val="TableParagraph"/>
              <w:spacing w:before="3" w:line="258" w:lineRule="exact"/>
              <w:ind w:left="60" w:right="16"/>
              <w:jc w:val="left"/>
              <w:rPr>
                <w:sz w:val="24"/>
              </w:rPr>
            </w:pPr>
            <w:r>
              <w:rPr>
                <w:spacing w:val="-6"/>
                <w:sz w:val="24"/>
              </w:rPr>
              <w:t>-</w:t>
            </w:r>
            <w:r>
              <w:rPr>
                <w:spacing w:val="-5"/>
                <w:sz w:val="24"/>
              </w:rPr>
              <w:t>1.9</w:t>
            </w:r>
          </w:p>
        </w:tc>
        <w:tc>
          <w:tcPr>
            <w:tcW w:w="1425" w:type="dxa"/>
            <w:tcBorders>
              <w:top w:val="nil"/>
              <w:bottom w:val="nil"/>
            </w:tcBorders>
          </w:tcPr>
          <w:p w14:paraId="3B91FEE4" w14:textId="77777777" w:rsidR="001825E2" w:rsidRDefault="000839A5" w:rsidP="00CB00A7">
            <w:pPr>
              <w:pStyle w:val="TableParagraph"/>
              <w:spacing w:before="3" w:line="258" w:lineRule="exact"/>
              <w:ind w:left="61" w:right="39"/>
              <w:jc w:val="left"/>
              <w:rPr>
                <w:sz w:val="16"/>
              </w:rPr>
            </w:pPr>
            <w:r>
              <w:rPr>
                <w:spacing w:val="-6"/>
                <w:sz w:val="24"/>
              </w:rPr>
              <w:t>-</w:t>
            </w:r>
            <w:r>
              <w:rPr>
                <w:spacing w:val="-4"/>
                <w:sz w:val="24"/>
              </w:rPr>
              <w:t>5.2</w:t>
            </w:r>
            <w:r>
              <w:rPr>
                <w:spacing w:val="-4"/>
                <w:position w:val="7"/>
                <w:sz w:val="16"/>
              </w:rPr>
              <w:t>*</w:t>
            </w:r>
          </w:p>
        </w:tc>
      </w:tr>
      <w:tr w:rsidR="001825E2" w14:paraId="73EC73A8" w14:textId="77777777">
        <w:trPr>
          <w:trHeight w:val="270"/>
        </w:trPr>
        <w:tc>
          <w:tcPr>
            <w:tcW w:w="1530" w:type="dxa"/>
            <w:tcBorders>
              <w:top w:val="nil"/>
              <w:bottom w:val="nil"/>
            </w:tcBorders>
          </w:tcPr>
          <w:p w14:paraId="0455A6AE" w14:textId="77777777" w:rsidR="001825E2" w:rsidRDefault="000839A5" w:rsidP="00CB00A7">
            <w:pPr>
              <w:pStyle w:val="TableParagraph"/>
              <w:spacing w:line="250" w:lineRule="exact"/>
              <w:jc w:val="left"/>
              <w:rPr>
                <w:sz w:val="24"/>
              </w:rPr>
            </w:pPr>
            <w:r>
              <w:rPr>
                <w:sz w:val="24"/>
              </w:rPr>
              <w:t>Month</w:t>
            </w:r>
            <w:r>
              <w:rPr>
                <w:spacing w:val="4"/>
                <w:sz w:val="24"/>
              </w:rPr>
              <w:t xml:space="preserve"> </w:t>
            </w:r>
            <w:r>
              <w:rPr>
                <w:spacing w:val="-10"/>
                <w:sz w:val="24"/>
              </w:rPr>
              <w:t>6</w:t>
            </w:r>
          </w:p>
        </w:tc>
        <w:tc>
          <w:tcPr>
            <w:tcW w:w="1500" w:type="dxa"/>
            <w:tcBorders>
              <w:top w:val="nil"/>
              <w:bottom w:val="nil"/>
            </w:tcBorders>
          </w:tcPr>
          <w:p w14:paraId="64E80819" w14:textId="77777777" w:rsidR="001825E2" w:rsidRDefault="000839A5" w:rsidP="00CB00A7">
            <w:pPr>
              <w:pStyle w:val="TableParagraph"/>
              <w:spacing w:line="250" w:lineRule="exact"/>
              <w:ind w:left="46" w:right="17"/>
              <w:jc w:val="left"/>
              <w:rPr>
                <w:sz w:val="24"/>
              </w:rPr>
            </w:pPr>
            <w:r>
              <w:rPr>
                <w:spacing w:val="-5"/>
                <w:sz w:val="24"/>
              </w:rPr>
              <w:t>NA</w:t>
            </w:r>
          </w:p>
        </w:tc>
        <w:tc>
          <w:tcPr>
            <w:tcW w:w="1500" w:type="dxa"/>
            <w:tcBorders>
              <w:top w:val="nil"/>
              <w:bottom w:val="nil"/>
            </w:tcBorders>
          </w:tcPr>
          <w:p w14:paraId="348B8B56" w14:textId="77777777" w:rsidR="001825E2" w:rsidRDefault="000839A5" w:rsidP="00CB00A7">
            <w:pPr>
              <w:pStyle w:val="TableParagraph"/>
              <w:spacing w:line="250" w:lineRule="exact"/>
              <w:ind w:left="46" w:right="32"/>
              <w:jc w:val="left"/>
              <w:rPr>
                <w:sz w:val="24"/>
              </w:rPr>
            </w:pPr>
            <w:r>
              <w:rPr>
                <w:spacing w:val="-6"/>
                <w:sz w:val="24"/>
              </w:rPr>
              <w:t>-</w:t>
            </w:r>
            <w:r>
              <w:rPr>
                <w:spacing w:val="-5"/>
                <w:sz w:val="24"/>
              </w:rPr>
              <w:t>5.2</w:t>
            </w:r>
          </w:p>
        </w:tc>
        <w:tc>
          <w:tcPr>
            <w:tcW w:w="1665" w:type="dxa"/>
            <w:tcBorders>
              <w:top w:val="nil"/>
              <w:bottom w:val="nil"/>
            </w:tcBorders>
          </w:tcPr>
          <w:p w14:paraId="686D3D6E" w14:textId="77777777" w:rsidR="001825E2" w:rsidRDefault="000839A5" w:rsidP="00CB00A7">
            <w:pPr>
              <w:pStyle w:val="TableParagraph"/>
              <w:spacing w:line="250" w:lineRule="exact"/>
              <w:ind w:left="149" w:right="120"/>
              <w:jc w:val="left"/>
              <w:rPr>
                <w:sz w:val="24"/>
              </w:rPr>
            </w:pPr>
            <w:r>
              <w:rPr>
                <w:spacing w:val="-6"/>
                <w:sz w:val="24"/>
              </w:rPr>
              <w:t>-</w:t>
            </w:r>
            <w:r>
              <w:rPr>
                <w:spacing w:val="-5"/>
                <w:sz w:val="24"/>
              </w:rPr>
              <w:t>5.4</w:t>
            </w:r>
          </w:p>
        </w:tc>
        <w:tc>
          <w:tcPr>
            <w:tcW w:w="1560" w:type="dxa"/>
            <w:tcBorders>
              <w:top w:val="nil"/>
              <w:bottom w:val="nil"/>
            </w:tcBorders>
          </w:tcPr>
          <w:p w14:paraId="41DA80F9" w14:textId="77777777" w:rsidR="001825E2" w:rsidRDefault="000839A5" w:rsidP="00CB00A7">
            <w:pPr>
              <w:pStyle w:val="TableParagraph"/>
              <w:spacing w:line="250" w:lineRule="exact"/>
              <w:ind w:left="60" w:right="1"/>
              <w:jc w:val="left"/>
              <w:rPr>
                <w:sz w:val="24"/>
              </w:rPr>
            </w:pPr>
            <w:r>
              <w:rPr>
                <w:spacing w:val="-5"/>
                <w:sz w:val="24"/>
              </w:rPr>
              <w:t>NA</w:t>
            </w:r>
          </w:p>
        </w:tc>
        <w:tc>
          <w:tcPr>
            <w:tcW w:w="1425" w:type="dxa"/>
            <w:tcBorders>
              <w:top w:val="nil"/>
              <w:bottom w:val="nil"/>
            </w:tcBorders>
          </w:tcPr>
          <w:p w14:paraId="7692AC64" w14:textId="77777777" w:rsidR="001825E2" w:rsidRDefault="000839A5" w:rsidP="00CB00A7">
            <w:pPr>
              <w:pStyle w:val="TableParagraph"/>
              <w:spacing w:line="250" w:lineRule="exact"/>
              <w:ind w:left="61" w:right="32"/>
              <w:jc w:val="left"/>
              <w:rPr>
                <w:sz w:val="24"/>
              </w:rPr>
            </w:pPr>
            <w:r>
              <w:rPr>
                <w:spacing w:val="-6"/>
                <w:sz w:val="24"/>
              </w:rPr>
              <w:t>-</w:t>
            </w:r>
            <w:r>
              <w:rPr>
                <w:spacing w:val="-5"/>
                <w:sz w:val="24"/>
              </w:rPr>
              <w:t>6.0</w:t>
            </w:r>
          </w:p>
        </w:tc>
      </w:tr>
      <w:tr w:rsidR="001825E2" w14:paraId="111CE3DB" w14:textId="77777777">
        <w:trPr>
          <w:trHeight w:val="275"/>
        </w:trPr>
        <w:tc>
          <w:tcPr>
            <w:tcW w:w="1530" w:type="dxa"/>
            <w:tcBorders>
              <w:top w:val="nil"/>
            </w:tcBorders>
          </w:tcPr>
          <w:p w14:paraId="511DF3A2" w14:textId="77777777" w:rsidR="001825E2" w:rsidRDefault="000839A5" w:rsidP="00CB00A7">
            <w:pPr>
              <w:pStyle w:val="TableParagraph"/>
              <w:spacing w:line="256" w:lineRule="exact"/>
              <w:jc w:val="left"/>
              <w:rPr>
                <w:sz w:val="24"/>
              </w:rPr>
            </w:pPr>
            <w:r>
              <w:rPr>
                <w:sz w:val="24"/>
              </w:rPr>
              <w:t>Month</w:t>
            </w:r>
            <w:r>
              <w:rPr>
                <w:spacing w:val="4"/>
                <w:sz w:val="24"/>
              </w:rPr>
              <w:t xml:space="preserve"> </w:t>
            </w:r>
            <w:r>
              <w:rPr>
                <w:spacing w:val="-5"/>
                <w:sz w:val="24"/>
              </w:rPr>
              <w:t>12</w:t>
            </w:r>
          </w:p>
        </w:tc>
        <w:tc>
          <w:tcPr>
            <w:tcW w:w="1500" w:type="dxa"/>
            <w:tcBorders>
              <w:top w:val="nil"/>
            </w:tcBorders>
          </w:tcPr>
          <w:p w14:paraId="05187495" w14:textId="77777777" w:rsidR="001825E2" w:rsidRDefault="000839A5" w:rsidP="00CB00A7">
            <w:pPr>
              <w:pStyle w:val="TableParagraph"/>
              <w:spacing w:line="256" w:lineRule="exact"/>
              <w:ind w:left="46" w:right="16"/>
              <w:jc w:val="left"/>
              <w:rPr>
                <w:sz w:val="24"/>
              </w:rPr>
            </w:pPr>
            <w:r>
              <w:rPr>
                <w:spacing w:val="-5"/>
                <w:sz w:val="24"/>
              </w:rPr>
              <w:t>NA</w:t>
            </w:r>
          </w:p>
        </w:tc>
        <w:tc>
          <w:tcPr>
            <w:tcW w:w="1500" w:type="dxa"/>
            <w:tcBorders>
              <w:top w:val="nil"/>
            </w:tcBorders>
          </w:tcPr>
          <w:p w14:paraId="163D2CBB" w14:textId="77777777" w:rsidR="001825E2" w:rsidRDefault="000839A5" w:rsidP="00CB00A7">
            <w:pPr>
              <w:pStyle w:val="TableParagraph"/>
              <w:spacing w:line="256" w:lineRule="exact"/>
              <w:ind w:left="46" w:right="31"/>
              <w:jc w:val="left"/>
              <w:rPr>
                <w:sz w:val="24"/>
              </w:rPr>
            </w:pPr>
            <w:r>
              <w:rPr>
                <w:spacing w:val="-5"/>
                <w:sz w:val="24"/>
              </w:rPr>
              <w:t>-7.4</w:t>
            </w:r>
          </w:p>
        </w:tc>
        <w:tc>
          <w:tcPr>
            <w:tcW w:w="1665" w:type="dxa"/>
            <w:tcBorders>
              <w:top w:val="nil"/>
            </w:tcBorders>
          </w:tcPr>
          <w:p w14:paraId="43E9C90A" w14:textId="77777777" w:rsidR="001825E2" w:rsidRDefault="000839A5" w:rsidP="00CB00A7">
            <w:pPr>
              <w:pStyle w:val="TableParagraph"/>
              <w:spacing w:line="256" w:lineRule="exact"/>
              <w:ind w:left="150" w:right="120"/>
              <w:jc w:val="left"/>
              <w:rPr>
                <w:sz w:val="24"/>
              </w:rPr>
            </w:pPr>
            <w:r>
              <w:rPr>
                <w:spacing w:val="-5"/>
                <w:sz w:val="24"/>
              </w:rPr>
              <w:t>-6.1</w:t>
            </w:r>
          </w:p>
        </w:tc>
        <w:tc>
          <w:tcPr>
            <w:tcW w:w="1560" w:type="dxa"/>
            <w:tcBorders>
              <w:top w:val="nil"/>
            </w:tcBorders>
          </w:tcPr>
          <w:p w14:paraId="7AD26CEE" w14:textId="77777777" w:rsidR="001825E2" w:rsidRDefault="000839A5" w:rsidP="00CB00A7">
            <w:pPr>
              <w:pStyle w:val="TableParagraph"/>
              <w:spacing w:line="256" w:lineRule="exact"/>
              <w:ind w:left="60" w:right="11"/>
              <w:jc w:val="left"/>
              <w:rPr>
                <w:sz w:val="24"/>
              </w:rPr>
            </w:pPr>
            <w:r>
              <w:rPr>
                <w:spacing w:val="-10"/>
                <w:sz w:val="24"/>
              </w:rPr>
              <w:t>-</w:t>
            </w:r>
          </w:p>
        </w:tc>
        <w:tc>
          <w:tcPr>
            <w:tcW w:w="1425" w:type="dxa"/>
            <w:tcBorders>
              <w:top w:val="nil"/>
            </w:tcBorders>
          </w:tcPr>
          <w:p w14:paraId="75A9E0AB" w14:textId="77777777" w:rsidR="001825E2" w:rsidRDefault="000839A5" w:rsidP="00CB00A7">
            <w:pPr>
              <w:pStyle w:val="TableParagraph"/>
              <w:spacing w:line="256" w:lineRule="exact"/>
              <w:ind w:left="61" w:right="27"/>
              <w:jc w:val="left"/>
              <w:rPr>
                <w:sz w:val="24"/>
              </w:rPr>
            </w:pPr>
            <w:r>
              <w:rPr>
                <w:spacing w:val="-10"/>
                <w:sz w:val="24"/>
              </w:rPr>
              <w:t>-</w:t>
            </w:r>
          </w:p>
        </w:tc>
      </w:tr>
      <w:tr w:rsidR="001825E2" w14:paraId="5FAF768C" w14:textId="77777777">
        <w:trPr>
          <w:trHeight w:val="549"/>
        </w:trPr>
        <w:tc>
          <w:tcPr>
            <w:tcW w:w="1530" w:type="dxa"/>
            <w:tcBorders>
              <w:bottom w:val="nil"/>
            </w:tcBorders>
          </w:tcPr>
          <w:p w14:paraId="1C5DF30C" w14:textId="77777777" w:rsidR="001825E2" w:rsidRDefault="000839A5" w:rsidP="00CB00A7">
            <w:pPr>
              <w:pStyle w:val="TableParagraph"/>
              <w:spacing w:line="262" w:lineRule="exact"/>
              <w:jc w:val="left"/>
              <w:rPr>
                <w:sz w:val="16"/>
              </w:rPr>
            </w:pPr>
            <w:r>
              <w:rPr>
                <w:spacing w:val="-2"/>
                <w:sz w:val="24"/>
              </w:rPr>
              <w:t>PASI75</w:t>
            </w:r>
            <w:r>
              <w:rPr>
                <w:spacing w:val="-2"/>
                <w:position w:val="7"/>
                <w:sz w:val="16"/>
              </w:rPr>
              <w:t>g</w:t>
            </w:r>
          </w:p>
          <w:p w14:paraId="5B41C676" w14:textId="77777777" w:rsidR="001825E2" w:rsidRDefault="000839A5" w:rsidP="00CB00A7">
            <w:pPr>
              <w:pStyle w:val="TableParagraph"/>
              <w:spacing w:before="9" w:line="258" w:lineRule="exact"/>
              <w:jc w:val="left"/>
              <w:rPr>
                <w:sz w:val="24"/>
              </w:rPr>
            </w:pPr>
            <w:r>
              <w:rPr>
                <w:sz w:val="24"/>
              </w:rPr>
              <w:t>Month</w:t>
            </w:r>
            <w:r>
              <w:rPr>
                <w:spacing w:val="4"/>
                <w:sz w:val="24"/>
              </w:rPr>
              <w:t xml:space="preserve"> </w:t>
            </w:r>
            <w:r>
              <w:rPr>
                <w:spacing w:val="-10"/>
                <w:sz w:val="24"/>
              </w:rPr>
              <w:t>3</w:t>
            </w:r>
          </w:p>
        </w:tc>
        <w:tc>
          <w:tcPr>
            <w:tcW w:w="1500" w:type="dxa"/>
            <w:tcBorders>
              <w:bottom w:val="nil"/>
            </w:tcBorders>
          </w:tcPr>
          <w:p w14:paraId="05677211" w14:textId="77777777" w:rsidR="001825E2" w:rsidRDefault="000839A5" w:rsidP="00CB00A7">
            <w:pPr>
              <w:pStyle w:val="TableParagraph"/>
              <w:spacing w:before="271" w:line="258" w:lineRule="exact"/>
              <w:ind w:left="46" w:right="27"/>
              <w:jc w:val="left"/>
              <w:rPr>
                <w:sz w:val="24"/>
              </w:rPr>
            </w:pPr>
            <w:r>
              <w:rPr>
                <w:spacing w:val="-5"/>
                <w:sz w:val="24"/>
              </w:rPr>
              <w:t>15%</w:t>
            </w:r>
          </w:p>
        </w:tc>
        <w:tc>
          <w:tcPr>
            <w:tcW w:w="1500" w:type="dxa"/>
            <w:tcBorders>
              <w:bottom w:val="nil"/>
            </w:tcBorders>
          </w:tcPr>
          <w:p w14:paraId="6C8F9771" w14:textId="77777777" w:rsidR="001825E2" w:rsidRDefault="001825E2" w:rsidP="00CB00A7">
            <w:pPr>
              <w:pStyle w:val="TableParagraph"/>
              <w:spacing w:before="86"/>
              <w:ind w:left="0"/>
              <w:jc w:val="left"/>
              <w:rPr>
                <w:b/>
                <w:sz w:val="16"/>
              </w:rPr>
            </w:pPr>
          </w:p>
          <w:p w14:paraId="5BB1BCC4" w14:textId="77777777" w:rsidR="001825E2" w:rsidRDefault="000839A5" w:rsidP="00CB00A7">
            <w:pPr>
              <w:pStyle w:val="TableParagraph"/>
              <w:spacing w:line="258" w:lineRule="exact"/>
              <w:ind w:left="46" w:right="17"/>
              <w:jc w:val="left"/>
              <w:rPr>
                <w:sz w:val="16"/>
              </w:rPr>
            </w:pPr>
            <w:r>
              <w:rPr>
                <w:spacing w:val="-2"/>
                <w:position w:val="-7"/>
                <w:sz w:val="24"/>
              </w:rPr>
              <w:t>43%</w:t>
            </w:r>
            <w:proofErr w:type="gramStart"/>
            <w:r>
              <w:rPr>
                <w:spacing w:val="-2"/>
                <w:sz w:val="16"/>
              </w:rPr>
              <w:t>d,*</w:t>
            </w:r>
            <w:proofErr w:type="gramEnd"/>
            <w:r>
              <w:rPr>
                <w:spacing w:val="-2"/>
                <w:sz w:val="16"/>
              </w:rPr>
              <w:t>**</w:t>
            </w:r>
          </w:p>
        </w:tc>
        <w:tc>
          <w:tcPr>
            <w:tcW w:w="1665" w:type="dxa"/>
            <w:tcBorders>
              <w:bottom w:val="nil"/>
            </w:tcBorders>
          </w:tcPr>
          <w:p w14:paraId="4CA388A3" w14:textId="77777777" w:rsidR="001825E2" w:rsidRDefault="000839A5" w:rsidP="00CB00A7">
            <w:pPr>
              <w:pStyle w:val="TableParagraph"/>
              <w:spacing w:before="271" w:line="258" w:lineRule="exact"/>
              <w:ind w:left="149" w:right="120"/>
              <w:jc w:val="left"/>
              <w:rPr>
                <w:sz w:val="16"/>
              </w:rPr>
            </w:pPr>
            <w:r>
              <w:rPr>
                <w:spacing w:val="-4"/>
                <w:sz w:val="24"/>
              </w:rPr>
              <w:t>39%</w:t>
            </w:r>
            <w:r>
              <w:rPr>
                <w:spacing w:val="-4"/>
                <w:position w:val="7"/>
                <w:sz w:val="16"/>
              </w:rPr>
              <w:t>**</w:t>
            </w:r>
          </w:p>
        </w:tc>
        <w:tc>
          <w:tcPr>
            <w:tcW w:w="1560" w:type="dxa"/>
            <w:tcBorders>
              <w:bottom w:val="nil"/>
            </w:tcBorders>
          </w:tcPr>
          <w:p w14:paraId="38BDC276" w14:textId="77777777" w:rsidR="001825E2" w:rsidRDefault="000839A5" w:rsidP="00CB00A7">
            <w:pPr>
              <w:pStyle w:val="TableParagraph"/>
              <w:spacing w:before="271" w:line="258" w:lineRule="exact"/>
              <w:ind w:left="60" w:right="11"/>
              <w:jc w:val="left"/>
              <w:rPr>
                <w:sz w:val="24"/>
              </w:rPr>
            </w:pPr>
            <w:r>
              <w:rPr>
                <w:spacing w:val="-5"/>
                <w:sz w:val="24"/>
              </w:rPr>
              <w:t>14%</w:t>
            </w:r>
          </w:p>
        </w:tc>
        <w:tc>
          <w:tcPr>
            <w:tcW w:w="1425" w:type="dxa"/>
            <w:tcBorders>
              <w:bottom w:val="nil"/>
            </w:tcBorders>
          </w:tcPr>
          <w:p w14:paraId="62D9FC43" w14:textId="77777777" w:rsidR="001825E2" w:rsidRDefault="000839A5" w:rsidP="00CB00A7">
            <w:pPr>
              <w:pStyle w:val="TableParagraph"/>
              <w:spacing w:before="271" w:line="258" w:lineRule="exact"/>
              <w:ind w:left="61" w:right="27"/>
              <w:jc w:val="left"/>
              <w:rPr>
                <w:sz w:val="24"/>
              </w:rPr>
            </w:pPr>
            <w:r>
              <w:rPr>
                <w:spacing w:val="-5"/>
                <w:sz w:val="24"/>
              </w:rPr>
              <w:t>21%</w:t>
            </w:r>
          </w:p>
        </w:tc>
      </w:tr>
      <w:tr w:rsidR="001825E2" w14:paraId="3829DD84" w14:textId="77777777">
        <w:trPr>
          <w:trHeight w:val="277"/>
        </w:trPr>
        <w:tc>
          <w:tcPr>
            <w:tcW w:w="1530" w:type="dxa"/>
            <w:tcBorders>
              <w:top w:val="nil"/>
              <w:bottom w:val="nil"/>
            </w:tcBorders>
          </w:tcPr>
          <w:p w14:paraId="6963BB63" w14:textId="77777777" w:rsidR="001825E2" w:rsidRDefault="000839A5" w:rsidP="00CB00A7">
            <w:pPr>
              <w:pStyle w:val="TableParagraph"/>
              <w:spacing w:line="258" w:lineRule="exact"/>
              <w:jc w:val="left"/>
              <w:rPr>
                <w:sz w:val="24"/>
              </w:rPr>
            </w:pPr>
            <w:r>
              <w:rPr>
                <w:sz w:val="24"/>
              </w:rPr>
              <w:t>Month</w:t>
            </w:r>
            <w:r>
              <w:rPr>
                <w:spacing w:val="4"/>
                <w:sz w:val="24"/>
              </w:rPr>
              <w:t xml:space="preserve"> </w:t>
            </w:r>
            <w:r>
              <w:rPr>
                <w:spacing w:val="-10"/>
                <w:sz w:val="24"/>
              </w:rPr>
              <w:t>6</w:t>
            </w:r>
          </w:p>
        </w:tc>
        <w:tc>
          <w:tcPr>
            <w:tcW w:w="1500" w:type="dxa"/>
            <w:tcBorders>
              <w:top w:val="nil"/>
              <w:bottom w:val="nil"/>
            </w:tcBorders>
          </w:tcPr>
          <w:p w14:paraId="3218BFB3" w14:textId="77777777" w:rsidR="001825E2" w:rsidRDefault="000839A5" w:rsidP="00CB00A7">
            <w:pPr>
              <w:pStyle w:val="TableParagraph"/>
              <w:spacing w:line="258" w:lineRule="exact"/>
              <w:ind w:left="46" w:right="17"/>
              <w:jc w:val="left"/>
              <w:rPr>
                <w:sz w:val="24"/>
              </w:rPr>
            </w:pPr>
            <w:r>
              <w:rPr>
                <w:spacing w:val="-5"/>
                <w:sz w:val="24"/>
              </w:rPr>
              <w:t>NA</w:t>
            </w:r>
          </w:p>
        </w:tc>
        <w:tc>
          <w:tcPr>
            <w:tcW w:w="1500" w:type="dxa"/>
            <w:tcBorders>
              <w:top w:val="nil"/>
              <w:bottom w:val="nil"/>
            </w:tcBorders>
          </w:tcPr>
          <w:p w14:paraId="7A7EFDBB" w14:textId="77777777" w:rsidR="001825E2" w:rsidRDefault="000839A5" w:rsidP="00CB00A7">
            <w:pPr>
              <w:pStyle w:val="TableParagraph"/>
              <w:spacing w:line="258" w:lineRule="exact"/>
              <w:ind w:left="46" w:right="27"/>
              <w:jc w:val="left"/>
              <w:rPr>
                <w:sz w:val="24"/>
              </w:rPr>
            </w:pPr>
            <w:r>
              <w:rPr>
                <w:spacing w:val="-5"/>
                <w:sz w:val="24"/>
              </w:rPr>
              <w:t>46%</w:t>
            </w:r>
          </w:p>
        </w:tc>
        <w:tc>
          <w:tcPr>
            <w:tcW w:w="1665" w:type="dxa"/>
            <w:tcBorders>
              <w:top w:val="nil"/>
              <w:bottom w:val="nil"/>
            </w:tcBorders>
          </w:tcPr>
          <w:p w14:paraId="74D8E89D" w14:textId="77777777" w:rsidR="001825E2" w:rsidRDefault="000839A5" w:rsidP="00CB00A7">
            <w:pPr>
              <w:pStyle w:val="TableParagraph"/>
              <w:spacing w:line="258" w:lineRule="exact"/>
              <w:ind w:left="154" w:right="120"/>
              <w:jc w:val="left"/>
              <w:rPr>
                <w:sz w:val="24"/>
              </w:rPr>
            </w:pPr>
            <w:r>
              <w:rPr>
                <w:spacing w:val="-5"/>
                <w:sz w:val="24"/>
              </w:rPr>
              <w:t>55%</w:t>
            </w:r>
          </w:p>
        </w:tc>
        <w:tc>
          <w:tcPr>
            <w:tcW w:w="1560" w:type="dxa"/>
            <w:tcBorders>
              <w:top w:val="nil"/>
              <w:bottom w:val="nil"/>
            </w:tcBorders>
          </w:tcPr>
          <w:p w14:paraId="4060CEA3" w14:textId="77777777" w:rsidR="001825E2" w:rsidRDefault="000839A5" w:rsidP="00CB00A7">
            <w:pPr>
              <w:pStyle w:val="TableParagraph"/>
              <w:spacing w:line="258" w:lineRule="exact"/>
              <w:ind w:left="60" w:right="1"/>
              <w:jc w:val="left"/>
              <w:rPr>
                <w:sz w:val="24"/>
              </w:rPr>
            </w:pPr>
            <w:r>
              <w:rPr>
                <w:spacing w:val="-5"/>
                <w:sz w:val="24"/>
              </w:rPr>
              <w:t>NA</w:t>
            </w:r>
          </w:p>
        </w:tc>
        <w:tc>
          <w:tcPr>
            <w:tcW w:w="1425" w:type="dxa"/>
            <w:tcBorders>
              <w:top w:val="nil"/>
              <w:bottom w:val="nil"/>
            </w:tcBorders>
          </w:tcPr>
          <w:p w14:paraId="5CE429F1" w14:textId="77777777" w:rsidR="001825E2" w:rsidRDefault="000839A5" w:rsidP="00CB00A7">
            <w:pPr>
              <w:pStyle w:val="TableParagraph"/>
              <w:spacing w:line="258" w:lineRule="exact"/>
              <w:ind w:left="61" w:right="27"/>
              <w:jc w:val="left"/>
              <w:rPr>
                <w:sz w:val="24"/>
              </w:rPr>
            </w:pPr>
            <w:r>
              <w:rPr>
                <w:spacing w:val="-5"/>
                <w:sz w:val="24"/>
              </w:rPr>
              <w:t>34%</w:t>
            </w:r>
          </w:p>
        </w:tc>
      </w:tr>
      <w:tr w:rsidR="001825E2" w14:paraId="7C4D3F74" w14:textId="77777777">
        <w:trPr>
          <w:trHeight w:val="268"/>
        </w:trPr>
        <w:tc>
          <w:tcPr>
            <w:tcW w:w="1530" w:type="dxa"/>
            <w:tcBorders>
              <w:top w:val="nil"/>
            </w:tcBorders>
          </w:tcPr>
          <w:p w14:paraId="3923D810" w14:textId="77777777" w:rsidR="001825E2" w:rsidRDefault="000839A5" w:rsidP="00CB00A7">
            <w:pPr>
              <w:pStyle w:val="TableParagraph"/>
              <w:spacing w:line="248" w:lineRule="exact"/>
              <w:jc w:val="left"/>
              <w:rPr>
                <w:sz w:val="24"/>
              </w:rPr>
            </w:pPr>
            <w:r>
              <w:rPr>
                <w:sz w:val="24"/>
              </w:rPr>
              <w:t>Month</w:t>
            </w:r>
            <w:r>
              <w:rPr>
                <w:spacing w:val="4"/>
                <w:sz w:val="24"/>
              </w:rPr>
              <w:t xml:space="preserve"> </w:t>
            </w:r>
            <w:r>
              <w:rPr>
                <w:spacing w:val="-5"/>
                <w:sz w:val="24"/>
              </w:rPr>
              <w:t>12</w:t>
            </w:r>
          </w:p>
        </w:tc>
        <w:tc>
          <w:tcPr>
            <w:tcW w:w="1500" w:type="dxa"/>
            <w:tcBorders>
              <w:top w:val="nil"/>
            </w:tcBorders>
          </w:tcPr>
          <w:p w14:paraId="2F249FC0" w14:textId="77777777" w:rsidR="001825E2" w:rsidRDefault="000839A5" w:rsidP="00CB00A7">
            <w:pPr>
              <w:pStyle w:val="TableParagraph"/>
              <w:spacing w:line="248" w:lineRule="exact"/>
              <w:ind w:left="46" w:right="16"/>
              <w:jc w:val="left"/>
              <w:rPr>
                <w:sz w:val="24"/>
              </w:rPr>
            </w:pPr>
            <w:r>
              <w:rPr>
                <w:spacing w:val="-5"/>
                <w:sz w:val="24"/>
              </w:rPr>
              <w:t>NA</w:t>
            </w:r>
          </w:p>
        </w:tc>
        <w:tc>
          <w:tcPr>
            <w:tcW w:w="1500" w:type="dxa"/>
            <w:tcBorders>
              <w:top w:val="nil"/>
            </w:tcBorders>
          </w:tcPr>
          <w:p w14:paraId="2B115C99" w14:textId="77777777" w:rsidR="001825E2" w:rsidRDefault="000839A5" w:rsidP="00CB00A7">
            <w:pPr>
              <w:pStyle w:val="TableParagraph"/>
              <w:spacing w:line="248" w:lineRule="exact"/>
              <w:ind w:left="46" w:right="27"/>
              <w:jc w:val="left"/>
              <w:rPr>
                <w:sz w:val="24"/>
              </w:rPr>
            </w:pPr>
            <w:r>
              <w:rPr>
                <w:spacing w:val="-5"/>
                <w:sz w:val="24"/>
              </w:rPr>
              <w:t>56%</w:t>
            </w:r>
          </w:p>
        </w:tc>
        <w:tc>
          <w:tcPr>
            <w:tcW w:w="1665" w:type="dxa"/>
            <w:tcBorders>
              <w:top w:val="nil"/>
            </w:tcBorders>
          </w:tcPr>
          <w:p w14:paraId="541A16DF" w14:textId="77777777" w:rsidR="001825E2" w:rsidRDefault="000839A5" w:rsidP="00CB00A7">
            <w:pPr>
              <w:pStyle w:val="TableParagraph"/>
              <w:spacing w:line="248" w:lineRule="exact"/>
              <w:ind w:left="154" w:right="120"/>
              <w:jc w:val="left"/>
              <w:rPr>
                <w:sz w:val="24"/>
              </w:rPr>
            </w:pPr>
            <w:r>
              <w:rPr>
                <w:spacing w:val="-5"/>
                <w:sz w:val="24"/>
              </w:rPr>
              <w:t>56%</w:t>
            </w:r>
          </w:p>
        </w:tc>
        <w:tc>
          <w:tcPr>
            <w:tcW w:w="1560" w:type="dxa"/>
            <w:tcBorders>
              <w:top w:val="nil"/>
            </w:tcBorders>
          </w:tcPr>
          <w:p w14:paraId="07EC592F" w14:textId="77777777" w:rsidR="001825E2" w:rsidRDefault="000839A5" w:rsidP="00CB00A7">
            <w:pPr>
              <w:pStyle w:val="TableParagraph"/>
              <w:spacing w:line="248" w:lineRule="exact"/>
              <w:ind w:left="60" w:right="11"/>
              <w:jc w:val="left"/>
              <w:rPr>
                <w:sz w:val="24"/>
              </w:rPr>
            </w:pPr>
            <w:r>
              <w:rPr>
                <w:spacing w:val="-10"/>
                <w:sz w:val="24"/>
              </w:rPr>
              <w:t>-</w:t>
            </w:r>
          </w:p>
        </w:tc>
        <w:tc>
          <w:tcPr>
            <w:tcW w:w="1425" w:type="dxa"/>
            <w:tcBorders>
              <w:top w:val="nil"/>
            </w:tcBorders>
          </w:tcPr>
          <w:p w14:paraId="11261055" w14:textId="77777777" w:rsidR="001825E2" w:rsidRDefault="000839A5" w:rsidP="00CB00A7">
            <w:pPr>
              <w:pStyle w:val="TableParagraph"/>
              <w:spacing w:line="248" w:lineRule="exact"/>
              <w:ind w:left="61" w:right="27"/>
              <w:jc w:val="left"/>
              <w:rPr>
                <w:sz w:val="24"/>
              </w:rPr>
            </w:pPr>
            <w:r>
              <w:rPr>
                <w:spacing w:val="-10"/>
                <w:sz w:val="24"/>
              </w:rPr>
              <w:t>-</w:t>
            </w:r>
          </w:p>
        </w:tc>
      </w:tr>
    </w:tbl>
    <w:p w14:paraId="3A883648" w14:textId="77777777" w:rsidR="001825E2" w:rsidRDefault="001825E2" w:rsidP="00CB00A7">
      <w:pPr>
        <w:spacing w:line="248" w:lineRule="exact"/>
        <w:rPr>
          <w:sz w:val="24"/>
        </w:rPr>
        <w:sectPr w:rsidR="001825E2">
          <w:pgSz w:w="11910" w:h="16850"/>
          <w:pgMar w:top="1360" w:right="700" w:bottom="980" w:left="1220" w:header="0" w:footer="785" w:gutter="0"/>
          <w:cols w:space="720"/>
        </w:sectPr>
      </w:pPr>
    </w:p>
    <w:p w14:paraId="16974CCA" w14:textId="77777777" w:rsidR="001825E2" w:rsidRDefault="000839A5" w:rsidP="00CB00A7">
      <w:pPr>
        <w:spacing w:before="73" w:line="252" w:lineRule="auto"/>
        <w:ind w:left="220" w:right="573" w:hanging="1"/>
        <w:rPr>
          <w:sz w:val="19"/>
        </w:rPr>
      </w:pPr>
      <w:r>
        <w:rPr>
          <w:position w:val="6"/>
          <w:sz w:val="13"/>
        </w:rPr>
        <w:lastRenderedPageBreak/>
        <w:t>*</w:t>
      </w:r>
      <w:r>
        <w:rPr>
          <w:spacing w:val="76"/>
          <w:position w:val="6"/>
          <w:sz w:val="13"/>
        </w:rPr>
        <w:t xml:space="preserve">  </w:t>
      </w:r>
      <w:r>
        <w:rPr>
          <w:sz w:val="19"/>
        </w:rPr>
        <w:t>Nominal</w:t>
      </w:r>
      <w:r>
        <w:rPr>
          <w:spacing w:val="21"/>
          <w:sz w:val="19"/>
        </w:rPr>
        <w:t xml:space="preserve"> </w:t>
      </w:r>
      <w:r>
        <w:rPr>
          <w:sz w:val="19"/>
        </w:rPr>
        <w:t>p≤0.05,</w:t>
      </w:r>
      <w:r>
        <w:rPr>
          <w:spacing w:val="30"/>
          <w:sz w:val="19"/>
        </w:rPr>
        <w:t xml:space="preserve"> </w:t>
      </w:r>
      <w:r>
        <w:rPr>
          <w:position w:val="6"/>
          <w:sz w:val="13"/>
        </w:rPr>
        <w:t>**</w:t>
      </w:r>
      <w:r>
        <w:rPr>
          <w:spacing w:val="37"/>
          <w:position w:val="6"/>
          <w:sz w:val="13"/>
        </w:rPr>
        <w:t xml:space="preserve"> </w:t>
      </w:r>
      <w:r>
        <w:rPr>
          <w:sz w:val="19"/>
        </w:rPr>
        <w:t>Nominal</w:t>
      </w:r>
      <w:r>
        <w:rPr>
          <w:spacing w:val="-8"/>
          <w:sz w:val="19"/>
        </w:rPr>
        <w:t xml:space="preserve"> </w:t>
      </w:r>
      <w:r>
        <w:rPr>
          <w:sz w:val="19"/>
        </w:rPr>
        <w:t>p&lt;0.001,</w:t>
      </w:r>
      <w:r>
        <w:rPr>
          <w:spacing w:val="30"/>
          <w:sz w:val="19"/>
        </w:rPr>
        <w:t xml:space="preserve"> </w:t>
      </w:r>
      <w:r>
        <w:rPr>
          <w:position w:val="6"/>
          <w:sz w:val="13"/>
        </w:rPr>
        <w:t>***</w:t>
      </w:r>
      <w:r>
        <w:rPr>
          <w:sz w:val="19"/>
        </w:rPr>
        <w:t>Nominal</w:t>
      </w:r>
      <w:r>
        <w:rPr>
          <w:spacing w:val="-8"/>
          <w:sz w:val="19"/>
        </w:rPr>
        <w:t xml:space="preserve"> </w:t>
      </w:r>
      <w:r>
        <w:rPr>
          <w:sz w:val="19"/>
        </w:rPr>
        <w:t>p&lt;0.0001</w:t>
      </w:r>
      <w:r>
        <w:rPr>
          <w:spacing w:val="24"/>
          <w:sz w:val="19"/>
        </w:rPr>
        <w:t xml:space="preserve"> </w:t>
      </w:r>
      <w:r>
        <w:rPr>
          <w:sz w:val="19"/>
        </w:rPr>
        <w:t>for</w:t>
      </w:r>
      <w:r>
        <w:rPr>
          <w:spacing w:val="-1"/>
          <w:sz w:val="19"/>
        </w:rPr>
        <w:t xml:space="preserve"> </w:t>
      </w:r>
      <w:r>
        <w:rPr>
          <w:sz w:val="19"/>
        </w:rPr>
        <w:t>active</w:t>
      </w:r>
      <w:r>
        <w:rPr>
          <w:spacing w:val="15"/>
          <w:sz w:val="19"/>
        </w:rPr>
        <w:t xml:space="preserve"> </w:t>
      </w:r>
      <w:r>
        <w:rPr>
          <w:sz w:val="19"/>
        </w:rPr>
        <w:t>treatment</w:t>
      </w:r>
      <w:r>
        <w:rPr>
          <w:spacing w:val="21"/>
          <w:sz w:val="19"/>
        </w:rPr>
        <w:t xml:space="preserve"> </w:t>
      </w:r>
      <w:r>
        <w:rPr>
          <w:sz w:val="19"/>
        </w:rPr>
        <w:t>versus placebo</w:t>
      </w:r>
      <w:r>
        <w:rPr>
          <w:spacing w:val="24"/>
          <w:sz w:val="19"/>
        </w:rPr>
        <w:t xml:space="preserve"> </w:t>
      </w:r>
      <w:r>
        <w:rPr>
          <w:sz w:val="19"/>
        </w:rPr>
        <w:t>at</w:t>
      </w:r>
      <w:r>
        <w:rPr>
          <w:spacing w:val="21"/>
          <w:sz w:val="19"/>
        </w:rPr>
        <w:t xml:space="preserve"> </w:t>
      </w:r>
      <w:r>
        <w:rPr>
          <w:sz w:val="19"/>
        </w:rPr>
        <w:t>Month</w:t>
      </w:r>
      <w:r>
        <w:rPr>
          <w:spacing w:val="24"/>
          <w:sz w:val="19"/>
        </w:rPr>
        <w:t xml:space="preserve"> </w:t>
      </w:r>
      <w:r>
        <w:rPr>
          <w:sz w:val="19"/>
        </w:rPr>
        <w:t>3. Abbreviations:</w:t>
      </w:r>
      <w:r>
        <w:rPr>
          <w:spacing w:val="40"/>
          <w:sz w:val="19"/>
        </w:rPr>
        <w:t xml:space="preserve"> </w:t>
      </w:r>
      <w:r>
        <w:rPr>
          <w:sz w:val="19"/>
        </w:rPr>
        <w:t>BSA=body</w:t>
      </w:r>
      <w:r>
        <w:rPr>
          <w:spacing w:val="40"/>
          <w:sz w:val="19"/>
        </w:rPr>
        <w:t xml:space="preserve"> </w:t>
      </w:r>
      <w:r>
        <w:rPr>
          <w:sz w:val="19"/>
        </w:rPr>
        <w:t>surface</w:t>
      </w:r>
      <w:r>
        <w:rPr>
          <w:spacing w:val="26"/>
          <w:sz w:val="19"/>
        </w:rPr>
        <w:t xml:space="preserve"> </w:t>
      </w:r>
      <w:r>
        <w:rPr>
          <w:sz w:val="19"/>
        </w:rPr>
        <w:t>area;</w:t>
      </w:r>
      <w:r>
        <w:rPr>
          <w:spacing w:val="40"/>
          <w:sz w:val="19"/>
        </w:rPr>
        <w:t xml:space="preserve"> </w:t>
      </w:r>
      <w:r>
        <w:rPr>
          <w:sz w:val="19"/>
        </w:rPr>
        <w:t>∆LEI=change</w:t>
      </w:r>
      <w:r>
        <w:rPr>
          <w:spacing w:val="40"/>
          <w:sz w:val="19"/>
        </w:rPr>
        <w:t xml:space="preserve"> </w:t>
      </w:r>
      <w:r>
        <w:rPr>
          <w:sz w:val="19"/>
        </w:rPr>
        <w:t>from</w:t>
      </w:r>
      <w:r>
        <w:rPr>
          <w:spacing w:val="40"/>
          <w:sz w:val="19"/>
        </w:rPr>
        <w:t xml:space="preserve"> </w:t>
      </w:r>
      <w:r>
        <w:rPr>
          <w:sz w:val="19"/>
        </w:rPr>
        <w:t>baseline</w:t>
      </w:r>
      <w:r>
        <w:rPr>
          <w:spacing w:val="40"/>
          <w:sz w:val="19"/>
        </w:rPr>
        <w:t xml:space="preserve"> </w:t>
      </w:r>
      <w:r>
        <w:rPr>
          <w:sz w:val="19"/>
        </w:rPr>
        <w:t>in</w:t>
      </w:r>
      <w:r>
        <w:rPr>
          <w:spacing w:val="40"/>
          <w:sz w:val="19"/>
        </w:rPr>
        <w:t xml:space="preserve"> </w:t>
      </w:r>
      <w:r>
        <w:rPr>
          <w:sz w:val="19"/>
        </w:rPr>
        <w:t>Leeds</w:t>
      </w:r>
      <w:r>
        <w:rPr>
          <w:spacing w:val="40"/>
          <w:sz w:val="19"/>
        </w:rPr>
        <w:t xml:space="preserve"> </w:t>
      </w:r>
      <w:r>
        <w:rPr>
          <w:sz w:val="19"/>
        </w:rPr>
        <w:t>Enthesitis</w:t>
      </w:r>
      <w:r>
        <w:rPr>
          <w:spacing w:val="40"/>
          <w:sz w:val="19"/>
        </w:rPr>
        <w:t xml:space="preserve"> </w:t>
      </w:r>
      <w:r>
        <w:rPr>
          <w:sz w:val="19"/>
        </w:rPr>
        <w:t>Index;</w:t>
      </w:r>
      <w:r>
        <w:rPr>
          <w:spacing w:val="40"/>
          <w:sz w:val="19"/>
        </w:rPr>
        <w:t xml:space="preserve"> </w:t>
      </w:r>
      <w:r>
        <w:rPr>
          <w:sz w:val="19"/>
        </w:rPr>
        <w:t>∆DSS=change from</w:t>
      </w:r>
      <w:r>
        <w:rPr>
          <w:spacing w:val="40"/>
          <w:sz w:val="19"/>
        </w:rPr>
        <w:t xml:space="preserve"> </w:t>
      </w:r>
      <w:r>
        <w:rPr>
          <w:sz w:val="19"/>
        </w:rPr>
        <w:t>baseline</w:t>
      </w:r>
      <w:r>
        <w:rPr>
          <w:spacing w:val="40"/>
          <w:sz w:val="19"/>
        </w:rPr>
        <w:t xml:space="preserve"> </w:t>
      </w:r>
      <w:r>
        <w:rPr>
          <w:sz w:val="19"/>
        </w:rPr>
        <w:t>in</w:t>
      </w:r>
      <w:r>
        <w:rPr>
          <w:spacing w:val="40"/>
          <w:sz w:val="19"/>
        </w:rPr>
        <w:t xml:space="preserve"> </w:t>
      </w:r>
      <w:r>
        <w:rPr>
          <w:sz w:val="19"/>
        </w:rPr>
        <w:t>Dactylitis</w:t>
      </w:r>
      <w:r>
        <w:rPr>
          <w:spacing w:val="40"/>
          <w:sz w:val="19"/>
        </w:rPr>
        <w:t xml:space="preserve"> </w:t>
      </w:r>
      <w:r>
        <w:rPr>
          <w:sz w:val="19"/>
        </w:rPr>
        <w:t>Severity</w:t>
      </w:r>
      <w:r>
        <w:rPr>
          <w:spacing w:val="40"/>
          <w:sz w:val="19"/>
        </w:rPr>
        <w:t xml:space="preserve"> </w:t>
      </w:r>
      <w:r>
        <w:rPr>
          <w:sz w:val="19"/>
        </w:rPr>
        <w:t>Score;</w:t>
      </w:r>
      <w:r>
        <w:rPr>
          <w:spacing w:val="40"/>
          <w:sz w:val="19"/>
        </w:rPr>
        <w:t xml:space="preserve"> </w:t>
      </w:r>
      <w:r>
        <w:rPr>
          <w:sz w:val="19"/>
        </w:rPr>
        <w:t>ACR20/50/70=American</w:t>
      </w:r>
      <w:r>
        <w:rPr>
          <w:spacing w:val="40"/>
          <w:sz w:val="19"/>
        </w:rPr>
        <w:t xml:space="preserve"> </w:t>
      </w:r>
      <w:r>
        <w:rPr>
          <w:sz w:val="19"/>
        </w:rPr>
        <w:t>College</w:t>
      </w:r>
      <w:r>
        <w:rPr>
          <w:spacing w:val="40"/>
          <w:sz w:val="19"/>
        </w:rPr>
        <w:t xml:space="preserve"> </w:t>
      </w:r>
      <w:r>
        <w:rPr>
          <w:sz w:val="19"/>
        </w:rPr>
        <w:t>of</w:t>
      </w:r>
      <w:r>
        <w:rPr>
          <w:spacing w:val="40"/>
          <w:sz w:val="19"/>
        </w:rPr>
        <w:t xml:space="preserve"> </w:t>
      </w:r>
      <w:r>
        <w:rPr>
          <w:sz w:val="19"/>
        </w:rPr>
        <w:t>Rheumatology</w:t>
      </w:r>
      <w:r>
        <w:rPr>
          <w:spacing w:val="40"/>
          <w:sz w:val="19"/>
        </w:rPr>
        <w:t xml:space="preserve"> </w:t>
      </w:r>
      <w:r>
        <w:rPr>
          <w:sz w:val="19"/>
        </w:rPr>
        <w:t>≥ 20,</w:t>
      </w:r>
      <w:r>
        <w:rPr>
          <w:spacing w:val="30"/>
          <w:sz w:val="19"/>
        </w:rPr>
        <w:t xml:space="preserve"> </w:t>
      </w:r>
      <w:r>
        <w:rPr>
          <w:sz w:val="19"/>
        </w:rPr>
        <w:t>50,</w:t>
      </w:r>
      <w:r>
        <w:rPr>
          <w:spacing w:val="40"/>
          <w:sz w:val="19"/>
        </w:rPr>
        <w:t xml:space="preserve"> </w:t>
      </w:r>
      <w:r>
        <w:rPr>
          <w:sz w:val="19"/>
        </w:rPr>
        <w:t>70% improvement;</w:t>
      </w:r>
      <w:r>
        <w:rPr>
          <w:spacing w:val="40"/>
          <w:sz w:val="19"/>
        </w:rPr>
        <w:t xml:space="preserve">  </w:t>
      </w:r>
      <w:proofErr w:type="spellStart"/>
      <w:r>
        <w:rPr>
          <w:sz w:val="19"/>
        </w:rPr>
        <w:t>csDMARD</w:t>
      </w:r>
      <w:proofErr w:type="spellEnd"/>
      <w:r>
        <w:rPr>
          <w:sz w:val="19"/>
        </w:rPr>
        <w:t>=conventional</w:t>
      </w:r>
      <w:r>
        <w:rPr>
          <w:spacing w:val="40"/>
          <w:sz w:val="19"/>
        </w:rPr>
        <w:t xml:space="preserve">  </w:t>
      </w:r>
      <w:r>
        <w:rPr>
          <w:sz w:val="19"/>
        </w:rPr>
        <w:t>synthetic</w:t>
      </w:r>
      <w:r>
        <w:rPr>
          <w:spacing w:val="40"/>
          <w:sz w:val="19"/>
        </w:rPr>
        <w:t xml:space="preserve">  </w:t>
      </w:r>
      <w:r>
        <w:rPr>
          <w:sz w:val="19"/>
        </w:rPr>
        <w:t>disease-modifying</w:t>
      </w:r>
      <w:r>
        <w:rPr>
          <w:spacing w:val="40"/>
          <w:sz w:val="19"/>
        </w:rPr>
        <w:t xml:space="preserve">  </w:t>
      </w:r>
      <w:r>
        <w:rPr>
          <w:sz w:val="19"/>
        </w:rPr>
        <w:t>antirheumatic</w:t>
      </w:r>
      <w:r>
        <w:rPr>
          <w:spacing w:val="40"/>
          <w:sz w:val="19"/>
        </w:rPr>
        <w:t xml:space="preserve">  </w:t>
      </w:r>
      <w:r>
        <w:rPr>
          <w:sz w:val="19"/>
        </w:rPr>
        <w:t>drug;</w:t>
      </w:r>
      <w:r>
        <w:rPr>
          <w:spacing w:val="40"/>
          <w:sz w:val="19"/>
        </w:rPr>
        <w:t xml:space="preserve">  </w:t>
      </w:r>
      <w:r>
        <w:rPr>
          <w:sz w:val="19"/>
        </w:rPr>
        <w:t>N=number</w:t>
      </w:r>
      <w:r>
        <w:rPr>
          <w:spacing w:val="40"/>
          <w:sz w:val="19"/>
        </w:rPr>
        <w:t xml:space="preserve">  </w:t>
      </w:r>
      <w:r>
        <w:rPr>
          <w:sz w:val="19"/>
        </w:rPr>
        <w:t>of</w:t>
      </w:r>
      <w:r>
        <w:rPr>
          <w:spacing w:val="40"/>
          <w:sz w:val="19"/>
        </w:rPr>
        <w:t xml:space="preserve"> </w:t>
      </w:r>
      <w:proofErr w:type="spellStart"/>
      <w:r>
        <w:rPr>
          <w:sz w:val="19"/>
        </w:rPr>
        <w:t>randomised</w:t>
      </w:r>
      <w:proofErr w:type="spellEnd"/>
      <w:r>
        <w:rPr>
          <w:spacing w:val="68"/>
          <w:sz w:val="19"/>
        </w:rPr>
        <w:t xml:space="preserve"> </w:t>
      </w:r>
      <w:r>
        <w:rPr>
          <w:sz w:val="19"/>
        </w:rPr>
        <w:t>and</w:t>
      </w:r>
      <w:r>
        <w:rPr>
          <w:spacing w:val="68"/>
          <w:sz w:val="19"/>
        </w:rPr>
        <w:t xml:space="preserve"> </w:t>
      </w:r>
      <w:r>
        <w:rPr>
          <w:sz w:val="19"/>
        </w:rPr>
        <w:t>treated</w:t>
      </w:r>
      <w:r>
        <w:rPr>
          <w:spacing w:val="68"/>
          <w:sz w:val="19"/>
        </w:rPr>
        <w:t xml:space="preserve"> </w:t>
      </w:r>
      <w:r>
        <w:rPr>
          <w:sz w:val="19"/>
        </w:rPr>
        <w:t>patients;</w:t>
      </w:r>
      <w:r>
        <w:rPr>
          <w:spacing w:val="65"/>
          <w:sz w:val="19"/>
        </w:rPr>
        <w:t xml:space="preserve"> </w:t>
      </w:r>
      <w:r>
        <w:rPr>
          <w:sz w:val="19"/>
        </w:rPr>
        <w:t>NA=Not</w:t>
      </w:r>
      <w:r>
        <w:rPr>
          <w:spacing w:val="65"/>
          <w:sz w:val="19"/>
        </w:rPr>
        <w:t xml:space="preserve"> </w:t>
      </w:r>
      <w:r>
        <w:rPr>
          <w:sz w:val="19"/>
        </w:rPr>
        <w:t>applicable,</w:t>
      </w:r>
      <w:r>
        <w:rPr>
          <w:spacing w:val="40"/>
          <w:sz w:val="19"/>
        </w:rPr>
        <w:t xml:space="preserve"> </w:t>
      </w:r>
      <w:r>
        <w:rPr>
          <w:sz w:val="19"/>
        </w:rPr>
        <w:t>as</w:t>
      </w:r>
      <w:r>
        <w:rPr>
          <w:spacing w:val="40"/>
          <w:sz w:val="19"/>
        </w:rPr>
        <w:t xml:space="preserve"> </w:t>
      </w:r>
      <w:r>
        <w:rPr>
          <w:sz w:val="19"/>
        </w:rPr>
        <w:t>data</w:t>
      </w:r>
      <w:r>
        <w:rPr>
          <w:spacing w:val="80"/>
          <w:sz w:val="19"/>
        </w:rPr>
        <w:t xml:space="preserve"> </w:t>
      </w:r>
      <w:r>
        <w:rPr>
          <w:sz w:val="19"/>
        </w:rPr>
        <w:t>for</w:t>
      </w:r>
      <w:r>
        <w:rPr>
          <w:spacing w:val="40"/>
          <w:sz w:val="19"/>
        </w:rPr>
        <w:t xml:space="preserve"> </w:t>
      </w:r>
      <w:r>
        <w:rPr>
          <w:sz w:val="19"/>
        </w:rPr>
        <w:t>placebo</w:t>
      </w:r>
      <w:r>
        <w:rPr>
          <w:spacing w:val="68"/>
          <w:sz w:val="19"/>
        </w:rPr>
        <w:t xml:space="preserve"> </w:t>
      </w:r>
      <w:r>
        <w:rPr>
          <w:sz w:val="19"/>
        </w:rPr>
        <w:t>treatment</w:t>
      </w:r>
      <w:r>
        <w:rPr>
          <w:spacing w:val="65"/>
          <w:sz w:val="19"/>
        </w:rPr>
        <w:t xml:space="preserve"> </w:t>
      </w:r>
      <w:r>
        <w:rPr>
          <w:sz w:val="19"/>
        </w:rPr>
        <w:t>is</w:t>
      </w:r>
      <w:r>
        <w:rPr>
          <w:spacing w:val="40"/>
          <w:sz w:val="19"/>
        </w:rPr>
        <w:t xml:space="preserve"> </w:t>
      </w:r>
      <w:r>
        <w:rPr>
          <w:sz w:val="19"/>
        </w:rPr>
        <w:t>not</w:t>
      </w:r>
      <w:r>
        <w:rPr>
          <w:spacing w:val="65"/>
          <w:sz w:val="19"/>
        </w:rPr>
        <w:t xml:space="preserve"> </w:t>
      </w:r>
      <w:r>
        <w:rPr>
          <w:sz w:val="19"/>
        </w:rPr>
        <w:t>available</w:t>
      </w:r>
      <w:r>
        <w:rPr>
          <w:spacing w:val="62"/>
          <w:sz w:val="19"/>
        </w:rPr>
        <w:t xml:space="preserve"> </w:t>
      </w:r>
      <w:r>
        <w:rPr>
          <w:sz w:val="19"/>
        </w:rPr>
        <w:t>beyond Month</w:t>
      </w:r>
      <w:r>
        <w:rPr>
          <w:spacing w:val="70"/>
          <w:sz w:val="19"/>
        </w:rPr>
        <w:t xml:space="preserve"> </w:t>
      </w:r>
      <w:r>
        <w:rPr>
          <w:sz w:val="19"/>
        </w:rPr>
        <w:t>3</w:t>
      </w:r>
      <w:r>
        <w:rPr>
          <w:spacing w:val="70"/>
          <w:sz w:val="19"/>
        </w:rPr>
        <w:t xml:space="preserve"> </w:t>
      </w:r>
      <w:r>
        <w:rPr>
          <w:sz w:val="19"/>
        </w:rPr>
        <w:t>due</w:t>
      </w:r>
      <w:r>
        <w:rPr>
          <w:spacing w:val="65"/>
          <w:sz w:val="19"/>
        </w:rPr>
        <w:t xml:space="preserve"> </w:t>
      </w:r>
      <w:r>
        <w:rPr>
          <w:sz w:val="19"/>
        </w:rPr>
        <w:t>to</w:t>
      </w:r>
      <w:r>
        <w:rPr>
          <w:spacing w:val="70"/>
          <w:sz w:val="19"/>
        </w:rPr>
        <w:t xml:space="preserve"> </w:t>
      </w:r>
      <w:r>
        <w:rPr>
          <w:sz w:val="19"/>
        </w:rPr>
        <w:t>placebo</w:t>
      </w:r>
      <w:r>
        <w:rPr>
          <w:spacing w:val="70"/>
          <w:sz w:val="19"/>
        </w:rPr>
        <w:t xml:space="preserve"> </w:t>
      </w:r>
      <w:r>
        <w:rPr>
          <w:sz w:val="19"/>
        </w:rPr>
        <w:t>advanced</w:t>
      </w:r>
      <w:r>
        <w:rPr>
          <w:spacing w:val="70"/>
          <w:sz w:val="19"/>
        </w:rPr>
        <w:t xml:space="preserve"> </w:t>
      </w:r>
      <w:r>
        <w:rPr>
          <w:sz w:val="19"/>
        </w:rPr>
        <w:t>to</w:t>
      </w:r>
      <w:r>
        <w:rPr>
          <w:spacing w:val="70"/>
          <w:sz w:val="19"/>
        </w:rPr>
        <w:t xml:space="preserve"> </w:t>
      </w:r>
      <w:r>
        <w:rPr>
          <w:sz w:val="19"/>
        </w:rPr>
        <w:t>XELJANZ</w:t>
      </w:r>
      <w:r>
        <w:rPr>
          <w:spacing w:val="79"/>
          <w:sz w:val="19"/>
        </w:rPr>
        <w:t xml:space="preserve"> </w:t>
      </w:r>
      <w:r>
        <w:rPr>
          <w:sz w:val="19"/>
        </w:rPr>
        <w:t>5</w:t>
      </w:r>
      <w:r>
        <w:rPr>
          <w:spacing w:val="15"/>
          <w:sz w:val="19"/>
        </w:rPr>
        <w:t xml:space="preserve"> </w:t>
      </w:r>
      <w:r>
        <w:rPr>
          <w:sz w:val="19"/>
        </w:rPr>
        <w:t>mg</w:t>
      </w:r>
      <w:r>
        <w:rPr>
          <w:spacing w:val="40"/>
          <w:sz w:val="19"/>
        </w:rPr>
        <w:t xml:space="preserve"> </w:t>
      </w:r>
      <w:r>
        <w:rPr>
          <w:sz w:val="19"/>
        </w:rPr>
        <w:t>twice</w:t>
      </w:r>
      <w:r>
        <w:rPr>
          <w:spacing w:val="80"/>
          <w:sz w:val="19"/>
        </w:rPr>
        <w:t xml:space="preserve"> </w:t>
      </w:r>
      <w:r>
        <w:rPr>
          <w:sz w:val="19"/>
        </w:rPr>
        <w:t>daily</w:t>
      </w:r>
      <w:r>
        <w:rPr>
          <w:spacing w:val="70"/>
          <w:sz w:val="19"/>
        </w:rPr>
        <w:t xml:space="preserve"> </w:t>
      </w:r>
      <w:r>
        <w:rPr>
          <w:sz w:val="19"/>
        </w:rPr>
        <w:t>or</w:t>
      </w:r>
      <w:r>
        <w:rPr>
          <w:spacing w:val="80"/>
          <w:sz w:val="19"/>
        </w:rPr>
        <w:t xml:space="preserve"> </w:t>
      </w:r>
      <w:r>
        <w:rPr>
          <w:sz w:val="19"/>
        </w:rPr>
        <w:t>XELJANZ</w:t>
      </w:r>
      <w:r>
        <w:rPr>
          <w:spacing w:val="79"/>
          <w:sz w:val="19"/>
        </w:rPr>
        <w:t xml:space="preserve"> </w:t>
      </w:r>
      <w:r>
        <w:rPr>
          <w:sz w:val="19"/>
        </w:rPr>
        <w:t>10</w:t>
      </w:r>
      <w:r>
        <w:rPr>
          <w:spacing w:val="16"/>
          <w:sz w:val="19"/>
        </w:rPr>
        <w:t xml:space="preserve"> </w:t>
      </w:r>
      <w:r>
        <w:rPr>
          <w:sz w:val="19"/>
        </w:rPr>
        <w:t>mg</w:t>
      </w:r>
      <w:r>
        <w:rPr>
          <w:spacing w:val="40"/>
          <w:sz w:val="19"/>
        </w:rPr>
        <w:t xml:space="preserve"> </w:t>
      </w:r>
      <w:r>
        <w:rPr>
          <w:sz w:val="19"/>
        </w:rPr>
        <w:t>twice</w:t>
      </w:r>
      <w:r>
        <w:rPr>
          <w:spacing w:val="80"/>
          <w:sz w:val="19"/>
        </w:rPr>
        <w:t xml:space="preserve"> </w:t>
      </w:r>
      <w:r>
        <w:rPr>
          <w:sz w:val="19"/>
        </w:rPr>
        <w:t>da</w:t>
      </w:r>
      <w:r>
        <w:rPr>
          <w:spacing w:val="-27"/>
          <w:sz w:val="19"/>
        </w:rPr>
        <w:t xml:space="preserve"> </w:t>
      </w:r>
      <w:proofErr w:type="spellStart"/>
      <w:r>
        <w:rPr>
          <w:sz w:val="19"/>
        </w:rPr>
        <w:t>ily</w:t>
      </w:r>
      <w:proofErr w:type="spellEnd"/>
      <w:r>
        <w:rPr>
          <w:sz w:val="19"/>
        </w:rPr>
        <w:t>;</w:t>
      </w:r>
      <w:r>
        <w:rPr>
          <w:spacing w:val="68"/>
          <w:sz w:val="19"/>
        </w:rPr>
        <w:t xml:space="preserve"> </w:t>
      </w:r>
      <w:r>
        <w:rPr>
          <w:sz w:val="19"/>
        </w:rPr>
        <w:t>SC q2w=subcutaneously</w:t>
      </w:r>
      <w:r>
        <w:rPr>
          <w:spacing w:val="66"/>
          <w:sz w:val="19"/>
        </w:rPr>
        <w:t xml:space="preserve"> </w:t>
      </w:r>
      <w:r>
        <w:rPr>
          <w:sz w:val="19"/>
        </w:rPr>
        <w:t>once</w:t>
      </w:r>
      <w:r>
        <w:rPr>
          <w:spacing w:val="40"/>
          <w:sz w:val="19"/>
        </w:rPr>
        <w:t xml:space="preserve"> </w:t>
      </w:r>
      <w:r>
        <w:rPr>
          <w:sz w:val="19"/>
        </w:rPr>
        <w:t>every</w:t>
      </w:r>
      <w:r>
        <w:rPr>
          <w:spacing w:val="66"/>
          <w:sz w:val="19"/>
        </w:rPr>
        <w:t xml:space="preserve"> </w:t>
      </w:r>
      <w:r>
        <w:rPr>
          <w:sz w:val="19"/>
        </w:rPr>
        <w:t>2</w:t>
      </w:r>
      <w:r>
        <w:rPr>
          <w:spacing w:val="66"/>
          <w:sz w:val="19"/>
        </w:rPr>
        <w:t xml:space="preserve"> </w:t>
      </w:r>
      <w:r>
        <w:rPr>
          <w:sz w:val="19"/>
        </w:rPr>
        <w:t>weeks;</w:t>
      </w:r>
      <w:r>
        <w:rPr>
          <w:spacing w:val="80"/>
          <w:sz w:val="19"/>
        </w:rPr>
        <w:t xml:space="preserve"> </w:t>
      </w:r>
      <w:proofErr w:type="spellStart"/>
      <w:r>
        <w:rPr>
          <w:sz w:val="19"/>
        </w:rPr>
        <w:t>TNFi</w:t>
      </w:r>
      <w:proofErr w:type="spellEnd"/>
      <w:r>
        <w:rPr>
          <w:sz w:val="19"/>
        </w:rPr>
        <w:t>=</w:t>
      </w:r>
      <w:proofErr w:type="spellStart"/>
      <w:r>
        <w:rPr>
          <w:sz w:val="19"/>
        </w:rPr>
        <w:t>tumour</w:t>
      </w:r>
      <w:proofErr w:type="spellEnd"/>
      <w:r>
        <w:rPr>
          <w:spacing w:val="40"/>
          <w:sz w:val="19"/>
        </w:rPr>
        <w:t xml:space="preserve"> </w:t>
      </w:r>
      <w:r>
        <w:rPr>
          <w:sz w:val="19"/>
        </w:rPr>
        <w:t>necrosis</w:t>
      </w:r>
      <w:r>
        <w:rPr>
          <w:spacing w:val="76"/>
          <w:sz w:val="19"/>
        </w:rPr>
        <w:t xml:space="preserve"> </w:t>
      </w:r>
      <w:r>
        <w:rPr>
          <w:sz w:val="19"/>
        </w:rPr>
        <w:t>factor</w:t>
      </w:r>
      <w:r>
        <w:rPr>
          <w:spacing w:val="40"/>
          <w:sz w:val="19"/>
        </w:rPr>
        <w:t xml:space="preserve"> </w:t>
      </w:r>
      <w:r>
        <w:rPr>
          <w:sz w:val="19"/>
        </w:rPr>
        <w:t>inhibitor;</w:t>
      </w:r>
      <w:r>
        <w:rPr>
          <w:spacing w:val="80"/>
          <w:sz w:val="19"/>
        </w:rPr>
        <w:t xml:space="preserve"> </w:t>
      </w:r>
      <w:r>
        <w:rPr>
          <w:sz w:val="19"/>
        </w:rPr>
        <w:t>PASI=</w:t>
      </w:r>
      <w:proofErr w:type="spellStart"/>
      <w:r>
        <w:rPr>
          <w:sz w:val="19"/>
        </w:rPr>
        <w:t>Psoria</w:t>
      </w:r>
      <w:proofErr w:type="spellEnd"/>
      <w:r>
        <w:rPr>
          <w:spacing w:val="-23"/>
          <w:sz w:val="19"/>
        </w:rPr>
        <w:t xml:space="preserve"> </w:t>
      </w:r>
      <w:r>
        <w:rPr>
          <w:sz w:val="19"/>
        </w:rPr>
        <w:t>sis</w:t>
      </w:r>
      <w:r>
        <w:rPr>
          <w:spacing w:val="76"/>
          <w:sz w:val="19"/>
        </w:rPr>
        <w:t xml:space="preserve"> </w:t>
      </w:r>
      <w:r>
        <w:rPr>
          <w:sz w:val="19"/>
        </w:rPr>
        <w:t>Area</w:t>
      </w:r>
      <w:r>
        <w:rPr>
          <w:spacing w:val="80"/>
          <w:sz w:val="19"/>
        </w:rPr>
        <w:t xml:space="preserve"> </w:t>
      </w:r>
      <w:r>
        <w:rPr>
          <w:sz w:val="19"/>
        </w:rPr>
        <w:t>and Severity</w:t>
      </w:r>
      <w:r>
        <w:rPr>
          <w:spacing w:val="40"/>
          <w:sz w:val="19"/>
        </w:rPr>
        <w:t xml:space="preserve"> </w:t>
      </w:r>
      <w:r>
        <w:rPr>
          <w:sz w:val="19"/>
        </w:rPr>
        <w:t>index; PASI75=≥</w:t>
      </w:r>
      <w:r>
        <w:rPr>
          <w:spacing w:val="40"/>
          <w:sz w:val="19"/>
        </w:rPr>
        <w:t xml:space="preserve"> </w:t>
      </w:r>
      <w:r>
        <w:rPr>
          <w:sz w:val="19"/>
        </w:rPr>
        <w:t>75% improvement in PASI.</w:t>
      </w:r>
    </w:p>
    <w:p w14:paraId="456992B0" w14:textId="77777777" w:rsidR="001825E2" w:rsidRDefault="000839A5" w:rsidP="00CB00A7">
      <w:pPr>
        <w:spacing w:before="6"/>
        <w:ind w:left="220"/>
        <w:rPr>
          <w:sz w:val="19"/>
        </w:rPr>
      </w:pPr>
      <w:proofErr w:type="spellStart"/>
      <w:proofErr w:type="gramStart"/>
      <w:r>
        <w:rPr>
          <w:position w:val="6"/>
          <w:sz w:val="13"/>
        </w:rPr>
        <w:t>a</w:t>
      </w:r>
      <w:proofErr w:type="spellEnd"/>
      <w:r>
        <w:rPr>
          <w:spacing w:val="57"/>
          <w:position w:val="6"/>
          <w:sz w:val="13"/>
        </w:rPr>
        <w:t xml:space="preserve">  </w:t>
      </w:r>
      <w:r>
        <w:rPr>
          <w:sz w:val="19"/>
        </w:rPr>
        <w:t>Inadequate</w:t>
      </w:r>
      <w:proofErr w:type="gramEnd"/>
      <w:r>
        <w:rPr>
          <w:spacing w:val="2"/>
          <w:sz w:val="19"/>
        </w:rPr>
        <w:t xml:space="preserve"> </w:t>
      </w:r>
      <w:r>
        <w:rPr>
          <w:sz w:val="19"/>
        </w:rPr>
        <w:t>response</w:t>
      </w:r>
      <w:r>
        <w:rPr>
          <w:spacing w:val="1"/>
          <w:sz w:val="19"/>
        </w:rPr>
        <w:t xml:space="preserve"> </w:t>
      </w:r>
      <w:r>
        <w:rPr>
          <w:sz w:val="19"/>
        </w:rPr>
        <w:t>to</w:t>
      </w:r>
      <w:r>
        <w:rPr>
          <w:spacing w:val="9"/>
          <w:sz w:val="19"/>
        </w:rPr>
        <w:t xml:space="preserve"> </w:t>
      </w:r>
      <w:r>
        <w:rPr>
          <w:sz w:val="19"/>
        </w:rPr>
        <w:t>at</w:t>
      </w:r>
      <w:r>
        <w:rPr>
          <w:spacing w:val="6"/>
          <w:sz w:val="19"/>
        </w:rPr>
        <w:t xml:space="preserve"> </w:t>
      </w:r>
      <w:r>
        <w:rPr>
          <w:sz w:val="19"/>
        </w:rPr>
        <w:t>least</w:t>
      </w:r>
      <w:r>
        <w:rPr>
          <w:spacing w:val="6"/>
          <w:sz w:val="19"/>
        </w:rPr>
        <w:t xml:space="preserve"> </w:t>
      </w:r>
      <w:r>
        <w:rPr>
          <w:sz w:val="19"/>
        </w:rPr>
        <w:t>1</w:t>
      </w:r>
      <w:r>
        <w:rPr>
          <w:spacing w:val="32"/>
          <w:sz w:val="19"/>
        </w:rPr>
        <w:t xml:space="preserve"> </w:t>
      </w:r>
      <w:proofErr w:type="spellStart"/>
      <w:r>
        <w:rPr>
          <w:sz w:val="19"/>
        </w:rPr>
        <w:t>csDMARD</w:t>
      </w:r>
      <w:proofErr w:type="spellEnd"/>
      <w:r>
        <w:rPr>
          <w:spacing w:val="56"/>
          <w:sz w:val="19"/>
        </w:rPr>
        <w:t xml:space="preserve"> </w:t>
      </w:r>
      <w:r>
        <w:rPr>
          <w:sz w:val="19"/>
        </w:rPr>
        <w:t>due</w:t>
      </w:r>
      <w:r>
        <w:rPr>
          <w:spacing w:val="24"/>
          <w:sz w:val="19"/>
        </w:rPr>
        <w:t xml:space="preserve"> </w:t>
      </w:r>
      <w:r>
        <w:rPr>
          <w:sz w:val="19"/>
        </w:rPr>
        <w:t>to</w:t>
      </w:r>
      <w:r>
        <w:rPr>
          <w:spacing w:val="31"/>
          <w:sz w:val="19"/>
        </w:rPr>
        <w:t xml:space="preserve"> </w:t>
      </w:r>
      <w:r>
        <w:rPr>
          <w:sz w:val="19"/>
        </w:rPr>
        <w:t>lack</w:t>
      </w:r>
      <w:r>
        <w:rPr>
          <w:spacing w:val="9"/>
          <w:sz w:val="19"/>
        </w:rPr>
        <w:t xml:space="preserve"> </w:t>
      </w:r>
      <w:r>
        <w:rPr>
          <w:sz w:val="19"/>
        </w:rPr>
        <w:t>of</w:t>
      </w:r>
      <w:r>
        <w:rPr>
          <w:spacing w:val="35"/>
          <w:sz w:val="19"/>
        </w:rPr>
        <w:t xml:space="preserve"> </w:t>
      </w:r>
      <w:r>
        <w:rPr>
          <w:sz w:val="19"/>
        </w:rPr>
        <w:t>efficacy</w:t>
      </w:r>
      <w:r>
        <w:rPr>
          <w:spacing w:val="9"/>
          <w:sz w:val="19"/>
        </w:rPr>
        <w:t xml:space="preserve"> </w:t>
      </w:r>
      <w:r>
        <w:rPr>
          <w:sz w:val="19"/>
        </w:rPr>
        <w:t>and/or</w:t>
      </w:r>
      <w:r>
        <w:rPr>
          <w:spacing w:val="-11"/>
          <w:sz w:val="19"/>
        </w:rPr>
        <w:t xml:space="preserve"> </w:t>
      </w:r>
      <w:r>
        <w:rPr>
          <w:spacing w:val="-2"/>
          <w:sz w:val="19"/>
        </w:rPr>
        <w:t>intolerability.</w:t>
      </w:r>
    </w:p>
    <w:p w14:paraId="7E2D3157" w14:textId="77777777" w:rsidR="001825E2" w:rsidRDefault="000839A5" w:rsidP="00CB00A7">
      <w:pPr>
        <w:spacing w:before="3"/>
        <w:ind w:left="220"/>
        <w:rPr>
          <w:sz w:val="19"/>
        </w:rPr>
      </w:pPr>
      <w:proofErr w:type="gramStart"/>
      <w:r>
        <w:rPr>
          <w:position w:val="6"/>
          <w:sz w:val="13"/>
        </w:rPr>
        <w:t>b</w:t>
      </w:r>
      <w:r>
        <w:rPr>
          <w:spacing w:val="51"/>
          <w:position w:val="6"/>
          <w:sz w:val="13"/>
        </w:rPr>
        <w:t xml:space="preserve">  </w:t>
      </w:r>
      <w:r>
        <w:rPr>
          <w:sz w:val="19"/>
        </w:rPr>
        <w:t>Inadequate</w:t>
      </w:r>
      <w:proofErr w:type="gramEnd"/>
      <w:r>
        <w:rPr>
          <w:spacing w:val="1"/>
          <w:sz w:val="19"/>
        </w:rPr>
        <w:t xml:space="preserve"> </w:t>
      </w:r>
      <w:r>
        <w:rPr>
          <w:sz w:val="19"/>
        </w:rPr>
        <w:t>response to</w:t>
      </w:r>
      <w:r>
        <w:rPr>
          <w:spacing w:val="9"/>
          <w:sz w:val="19"/>
        </w:rPr>
        <w:t xml:space="preserve"> </w:t>
      </w:r>
      <w:r>
        <w:rPr>
          <w:sz w:val="19"/>
        </w:rPr>
        <w:t>at</w:t>
      </w:r>
      <w:r>
        <w:rPr>
          <w:spacing w:val="5"/>
          <w:sz w:val="19"/>
        </w:rPr>
        <w:t xml:space="preserve"> </w:t>
      </w:r>
      <w:r>
        <w:rPr>
          <w:sz w:val="19"/>
        </w:rPr>
        <w:t>least</w:t>
      </w:r>
      <w:r>
        <w:rPr>
          <w:spacing w:val="5"/>
          <w:sz w:val="19"/>
        </w:rPr>
        <w:t xml:space="preserve"> </w:t>
      </w:r>
      <w:r>
        <w:rPr>
          <w:sz w:val="19"/>
        </w:rPr>
        <w:t>1</w:t>
      </w:r>
      <w:r>
        <w:rPr>
          <w:spacing w:val="31"/>
          <w:sz w:val="19"/>
        </w:rPr>
        <w:t xml:space="preserve"> </w:t>
      </w:r>
      <w:proofErr w:type="spellStart"/>
      <w:r>
        <w:rPr>
          <w:sz w:val="19"/>
        </w:rPr>
        <w:t>TNFi</w:t>
      </w:r>
      <w:proofErr w:type="spellEnd"/>
      <w:r>
        <w:rPr>
          <w:spacing w:val="70"/>
          <w:sz w:val="19"/>
        </w:rPr>
        <w:t xml:space="preserve"> </w:t>
      </w:r>
      <w:r>
        <w:rPr>
          <w:sz w:val="19"/>
        </w:rPr>
        <w:t>due</w:t>
      </w:r>
      <w:r>
        <w:rPr>
          <w:spacing w:val="1"/>
          <w:sz w:val="19"/>
        </w:rPr>
        <w:t xml:space="preserve"> </w:t>
      </w:r>
      <w:r>
        <w:rPr>
          <w:sz w:val="19"/>
        </w:rPr>
        <w:t>to</w:t>
      </w:r>
      <w:r>
        <w:rPr>
          <w:spacing w:val="31"/>
          <w:sz w:val="19"/>
        </w:rPr>
        <w:t xml:space="preserve"> </w:t>
      </w:r>
      <w:r>
        <w:rPr>
          <w:sz w:val="19"/>
        </w:rPr>
        <w:t>lack</w:t>
      </w:r>
      <w:r>
        <w:rPr>
          <w:spacing w:val="8"/>
          <w:sz w:val="19"/>
        </w:rPr>
        <w:t xml:space="preserve"> </w:t>
      </w:r>
      <w:r>
        <w:rPr>
          <w:sz w:val="19"/>
        </w:rPr>
        <w:t>of</w:t>
      </w:r>
      <w:r>
        <w:rPr>
          <w:spacing w:val="33"/>
          <w:sz w:val="19"/>
        </w:rPr>
        <w:t xml:space="preserve"> </w:t>
      </w:r>
      <w:r>
        <w:rPr>
          <w:sz w:val="19"/>
        </w:rPr>
        <w:t>efficacy</w:t>
      </w:r>
      <w:r>
        <w:rPr>
          <w:spacing w:val="9"/>
          <w:sz w:val="19"/>
        </w:rPr>
        <w:t xml:space="preserve"> </w:t>
      </w:r>
      <w:r>
        <w:rPr>
          <w:sz w:val="19"/>
        </w:rPr>
        <w:t>and/or</w:t>
      </w:r>
      <w:r>
        <w:rPr>
          <w:spacing w:val="-11"/>
          <w:sz w:val="19"/>
        </w:rPr>
        <w:t xml:space="preserve"> </w:t>
      </w:r>
      <w:r>
        <w:rPr>
          <w:spacing w:val="-2"/>
          <w:sz w:val="19"/>
        </w:rPr>
        <w:t>intolerability.</w:t>
      </w:r>
    </w:p>
    <w:p w14:paraId="26CADAC8" w14:textId="77777777" w:rsidR="001825E2" w:rsidRDefault="000839A5" w:rsidP="00CB00A7">
      <w:pPr>
        <w:spacing w:before="2"/>
        <w:ind w:left="220"/>
        <w:rPr>
          <w:sz w:val="19"/>
        </w:rPr>
      </w:pPr>
      <w:proofErr w:type="gramStart"/>
      <w:r>
        <w:rPr>
          <w:position w:val="6"/>
          <w:sz w:val="13"/>
        </w:rPr>
        <w:t>c</w:t>
      </w:r>
      <w:r>
        <w:rPr>
          <w:spacing w:val="37"/>
          <w:position w:val="6"/>
          <w:sz w:val="13"/>
        </w:rPr>
        <w:t xml:space="preserve">  </w:t>
      </w:r>
      <w:r>
        <w:rPr>
          <w:sz w:val="19"/>
        </w:rPr>
        <w:t>OPAL</w:t>
      </w:r>
      <w:proofErr w:type="gramEnd"/>
      <w:r>
        <w:rPr>
          <w:spacing w:val="40"/>
          <w:sz w:val="19"/>
        </w:rPr>
        <w:t xml:space="preserve"> </w:t>
      </w:r>
      <w:r>
        <w:rPr>
          <w:sz w:val="19"/>
        </w:rPr>
        <w:t>BEYOND</w:t>
      </w:r>
      <w:r>
        <w:rPr>
          <w:spacing w:val="50"/>
          <w:sz w:val="19"/>
        </w:rPr>
        <w:t xml:space="preserve"> </w:t>
      </w:r>
      <w:r>
        <w:rPr>
          <w:sz w:val="19"/>
        </w:rPr>
        <w:t>had</w:t>
      </w:r>
      <w:r>
        <w:rPr>
          <w:spacing w:val="-4"/>
          <w:sz w:val="19"/>
        </w:rPr>
        <w:t xml:space="preserve"> </w:t>
      </w:r>
      <w:r>
        <w:rPr>
          <w:sz w:val="19"/>
        </w:rPr>
        <w:t>a</w:t>
      </w:r>
      <w:r>
        <w:rPr>
          <w:spacing w:val="8"/>
          <w:sz w:val="19"/>
        </w:rPr>
        <w:t xml:space="preserve"> </w:t>
      </w:r>
      <w:r>
        <w:rPr>
          <w:sz w:val="19"/>
        </w:rPr>
        <w:t>duration</w:t>
      </w:r>
      <w:r>
        <w:rPr>
          <w:spacing w:val="-3"/>
          <w:sz w:val="19"/>
        </w:rPr>
        <w:t xml:space="preserve"> </w:t>
      </w:r>
      <w:r>
        <w:rPr>
          <w:sz w:val="19"/>
        </w:rPr>
        <w:t>of</w:t>
      </w:r>
      <w:r>
        <w:rPr>
          <w:spacing w:val="-1"/>
          <w:sz w:val="19"/>
        </w:rPr>
        <w:t xml:space="preserve"> </w:t>
      </w:r>
      <w:r>
        <w:rPr>
          <w:sz w:val="19"/>
        </w:rPr>
        <w:t>6</w:t>
      </w:r>
      <w:r>
        <w:rPr>
          <w:spacing w:val="13"/>
          <w:sz w:val="19"/>
        </w:rPr>
        <w:t xml:space="preserve"> </w:t>
      </w:r>
      <w:r>
        <w:rPr>
          <w:spacing w:val="-2"/>
          <w:sz w:val="19"/>
        </w:rPr>
        <w:t>months.</w:t>
      </w:r>
    </w:p>
    <w:p w14:paraId="4F37EE04" w14:textId="77777777" w:rsidR="001825E2" w:rsidRDefault="000839A5" w:rsidP="00CB00A7">
      <w:pPr>
        <w:spacing w:before="18"/>
        <w:ind w:left="220"/>
        <w:rPr>
          <w:sz w:val="19"/>
        </w:rPr>
      </w:pPr>
      <w:proofErr w:type="gramStart"/>
      <w:r>
        <w:rPr>
          <w:position w:val="6"/>
          <w:sz w:val="13"/>
        </w:rPr>
        <w:t>d</w:t>
      </w:r>
      <w:r>
        <w:rPr>
          <w:spacing w:val="38"/>
          <w:position w:val="6"/>
          <w:sz w:val="13"/>
        </w:rPr>
        <w:t xml:space="preserve">  </w:t>
      </w:r>
      <w:r>
        <w:rPr>
          <w:sz w:val="19"/>
        </w:rPr>
        <w:t>Achieved</w:t>
      </w:r>
      <w:proofErr w:type="gramEnd"/>
      <w:r>
        <w:rPr>
          <w:spacing w:val="20"/>
          <w:sz w:val="19"/>
        </w:rPr>
        <w:t xml:space="preserve"> </w:t>
      </w:r>
      <w:proofErr w:type="spellStart"/>
      <w:r>
        <w:rPr>
          <w:sz w:val="19"/>
        </w:rPr>
        <w:t>statistica</w:t>
      </w:r>
      <w:proofErr w:type="spellEnd"/>
      <w:r>
        <w:rPr>
          <w:spacing w:val="-25"/>
          <w:sz w:val="19"/>
        </w:rPr>
        <w:t xml:space="preserve"> </w:t>
      </w:r>
      <w:r>
        <w:rPr>
          <w:sz w:val="19"/>
        </w:rPr>
        <w:t>l</w:t>
      </w:r>
      <w:r>
        <w:rPr>
          <w:spacing w:val="-3"/>
          <w:sz w:val="19"/>
        </w:rPr>
        <w:t xml:space="preserve"> </w:t>
      </w:r>
      <w:proofErr w:type="spellStart"/>
      <w:r>
        <w:rPr>
          <w:sz w:val="19"/>
        </w:rPr>
        <w:t>significa</w:t>
      </w:r>
      <w:proofErr w:type="spellEnd"/>
      <w:r>
        <w:rPr>
          <w:spacing w:val="-25"/>
          <w:sz w:val="19"/>
        </w:rPr>
        <w:t xml:space="preserve"> </w:t>
      </w:r>
      <w:proofErr w:type="spellStart"/>
      <w:r>
        <w:rPr>
          <w:sz w:val="19"/>
        </w:rPr>
        <w:t>nce</w:t>
      </w:r>
      <w:proofErr w:type="spellEnd"/>
      <w:r>
        <w:rPr>
          <w:spacing w:val="32"/>
          <w:sz w:val="19"/>
        </w:rPr>
        <w:t xml:space="preserve"> </w:t>
      </w:r>
      <w:proofErr w:type="spellStart"/>
      <w:r>
        <w:rPr>
          <w:sz w:val="19"/>
        </w:rPr>
        <w:t>globa</w:t>
      </w:r>
      <w:proofErr w:type="spellEnd"/>
      <w:r>
        <w:rPr>
          <w:spacing w:val="-26"/>
          <w:sz w:val="19"/>
        </w:rPr>
        <w:t xml:space="preserve"> </w:t>
      </w:r>
      <w:proofErr w:type="spellStart"/>
      <w:r>
        <w:rPr>
          <w:sz w:val="19"/>
        </w:rPr>
        <w:t>lly</w:t>
      </w:r>
      <w:proofErr w:type="spellEnd"/>
      <w:r>
        <w:rPr>
          <w:spacing w:val="37"/>
          <w:sz w:val="19"/>
        </w:rPr>
        <w:t xml:space="preserve"> </w:t>
      </w:r>
      <w:r>
        <w:rPr>
          <w:sz w:val="19"/>
        </w:rPr>
        <w:t>at</w:t>
      </w:r>
      <w:r>
        <w:rPr>
          <w:spacing w:val="-2"/>
          <w:sz w:val="19"/>
        </w:rPr>
        <w:t xml:space="preserve"> </w:t>
      </w:r>
      <w:r>
        <w:rPr>
          <w:sz w:val="19"/>
        </w:rPr>
        <w:t>p≤</w:t>
      </w:r>
      <w:r>
        <w:rPr>
          <w:spacing w:val="6"/>
          <w:sz w:val="19"/>
        </w:rPr>
        <w:t xml:space="preserve"> </w:t>
      </w:r>
      <w:r>
        <w:rPr>
          <w:sz w:val="19"/>
        </w:rPr>
        <w:t>0.05</w:t>
      </w:r>
      <w:r>
        <w:rPr>
          <w:spacing w:val="19"/>
          <w:sz w:val="19"/>
        </w:rPr>
        <w:t xml:space="preserve"> </w:t>
      </w:r>
      <w:r>
        <w:rPr>
          <w:sz w:val="19"/>
        </w:rPr>
        <w:t>per</w:t>
      </w:r>
      <w:r>
        <w:rPr>
          <w:spacing w:val="3"/>
          <w:sz w:val="19"/>
        </w:rPr>
        <w:t xml:space="preserve"> </w:t>
      </w:r>
      <w:r>
        <w:rPr>
          <w:sz w:val="19"/>
        </w:rPr>
        <w:t>the</w:t>
      </w:r>
      <w:r>
        <w:rPr>
          <w:spacing w:val="12"/>
          <w:sz w:val="19"/>
        </w:rPr>
        <w:t xml:space="preserve"> </w:t>
      </w:r>
      <w:r>
        <w:rPr>
          <w:sz w:val="19"/>
        </w:rPr>
        <w:t>pre-specified</w:t>
      </w:r>
      <w:r>
        <w:rPr>
          <w:spacing w:val="38"/>
          <w:sz w:val="19"/>
        </w:rPr>
        <w:t xml:space="preserve"> </w:t>
      </w:r>
      <w:r>
        <w:rPr>
          <w:sz w:val="19"/>
        </w:rPr>
        <w:t>step-down</w:t>
      </w:r>
      <w:r>
        <w:rPr>
          <w:spacing w:val="19"/>
          <w:sz w:val="19"/>
        </w:rPr>
        <w:t xml:space="preserve"> </w:t>
      </w:r>
      <w:r>
        <w:rPr>
          <w:sz w:val="19"/>
        </w:rPr>
        <w:t>testing</w:t>
      </w:r>
      <w:r>
        <w:rPr>
          <w:spacing w:val="19"/>
          <w:sz w:val="19"/>
        </w:rPr>
        <w:t xml:space="preserve"> </w:t>
      </w:r>
      <w:r>
        <w:rPr>
          <w:spacing w:val="-2"/>
          <w:sz w:val="19"/>
        </w:rPr>
        <w:t>procedure.</w:t>
      </w:r>
    </w:p>
    <w:p w14:paraId="2FB2F49C" w14:textId="77777777" w:rsidR="001825E2" w:rsidRDefault="000839A5" w:rsidP="00CB00A7">
      <w:pPr>
        <w:spacing w:before="2" w:line="247" w:lineRule="auto"/>
        <w:ind w:left="400" w:right="745" w:hanging="181"/>
        <w:rPr>
          <w:sz w:val="19"/>
        </w:rPr>
      </w:pPr>
      <w:proofErr w:type="spellStart"/>
      <w:proofErr w:type="gramStart"/>
      <w:r>
        <w:rPr>
          <w:position w:val="6"/>
          <w:sz w:val="13"/>
        </w:rPr>
        <w:t>e</w:t>
      </w:r>
      <w:proofErr w:type="spellEnd"/>
      <w:r>
        <w:rPr>
          <w:spacing w:val="40"/>
          <w:position w:val="6"/>
          <w:sz w:val="13"/>
        </w:rPr>
        <w:t xml:space="preserve">  </w:t>
      </w:r>
      <w:r>
        <w:rPr>
          <w:sz w:val="19"/>
        </w:rPr>
        <w:t>Achieved</w:t>
      </w:r>
      <w:proofErr w:type="gramEnd"/>
      <w:r>
        <w:rPr>
          <w:spacing w:val="28"/>
          <w:sz w:val="19"/>
        </w:rPr>
        <w:t xml:space="preserve"> </w:t>
      </w:r>
      <w:r>
        <w:rPr>
          <w:sz w:val="19"/>
        </w:rPr>
        <w:t xml:space="preserve">statistical </w:t>
      </w:r>
      <w:proofErr w:type="spellStart"/>
      <w:r>
        <w:rPr>
          <w:sz w:val="19"/>
        </w:rPr>
        <w:t>signif</w:t>
      </w:r>
      <w:proofErr w:type="spellEnd"/>
      <w:r>
        <w:rPr>
          <w:spacing w:val="-13"/>
          <w:sz w:val="19"/>
        </w:rPr>
        <w:t xml:space="preserve"> </w:t>
      </w:r>
      <w:proofErr w:type="spellStart"/>
      <w:r>
        <w:rPr>
          <w:sz w:val="19"/>
        </w:rPr>
        <w:t>icance</w:t>
      </w:r>
      <w:proofErr w:type="spellEnd"/>
      <w:r>
        <w:rPr>
          <w:spacing w:val="21"/>
          <w:sz w:val="19"/>
        </w:rPr>
        <w:t xml:space="preserve"> </w:t>
      </w:r>
      <w:r>
        <w:rPr>
          <w:sz w:val="19"/>
        </w:rPr>
        <w:t>within</w:t>
      </w:r>
      <w:r>
        <w:rPr>
          <w:spacing w:val="28"/>
          <w:sz w:val="19"/>
        </w:rPr>
        <w:t xml:space="preserve"> </w:t>
      </w:r>
      <w:r>
        <w:rPr>
          <w:sz w:val="19"/>
        </w:rPr>
        <w:t>the</w:t>
      </w:r>
      <w:r>
        <w:rPr>
          <w:spacing w:val="21"/>
          <w:sz w:val="19"/>
        </w:rPr>
        <w:t xml:space="preserve"> </w:t>
      </w:r>
      <w:r>
        <w:rPr>
          <w:sz w:val="19"/>
        </w:rPr>
        <w:t>ACR</w:t>
      </w:r>
      <w:r>
        <w:rPr>
          <w:spacing w:val="40"/>
          <w:sz w:val="19"/>
        </w:rPr>
        <w:t xml:space="preserve"> </w:t>
      </w:r>
      <w:r>
        <w:rPr>
          <w:sz w:val="19"/>
        </w:rPr>
        <w:t>family</w:t>
      </w:r>
      <w:r>
        <w:rPr>
          <w:spacing w:val="28"/>
          <w:sz w:val="19"/>
        </w:rPr>
        <w:t xml:space="preserve"> </w:t>
      </w:r>
      <w:r>
        <w:rPr>
          <w:sz w:val="19"/>
        </w:rPr>
        <w:t>(ACR50</w:t>
      </w:r>
      <w:r>
        <w:rPr>
          <w:spacing w:val="28"/>
          <w:sz w:val="19"/>
        </w:rPr>
        <w:t xml:space="preserve"> </w:t>
      </w:r>
      <w:r>
        <w:rPr>
          <w:sz w:val="19"/>
        </w:rPr>
        <w:t>and</w:t>
      </w:r>
      <w:r>
        <w:rPr>
          <w:spacing w:val="28"/>
          <w:sz w:val="19"/>
        </w:rPr>
        <w:t xml:space="preserve"> </w:t>
      </w:r>
      <w:r>
        <w:rPr>
          <w:sz w:val="19"/>
        </w:rPr>
        <w:t>ACR70) at</w:t>
      </w:r>
      <w:r>
        <w:rPr>
          <w:spacing w:val="25"/>
          <w:sz w:val="19"/>
        </w:rPr>
        <w:t xml:space="preserve"> </w:t>
      </w:r>
      <w:r>
        <w:rPr>
          <w:sz w:val="19"/>
        </w:rPr>
        <w:t>p≤ 0.05</w:t>
      </w:r>
      <w:r>
        <w:rPr>
          <w:spacing w:val="28"/>
          <w:sz w:val="19"/>
        </w:rPr>
        <w:t xml:space="preserve"> </w:t>
      </w:r>
      <w:r>
        <w:rPr>
          <w:sz w:val="19"/>
        </w:rPr>
        <w:t>per the</w:t>
      </w:r>
      <w:r>
        <w:rPr>
          <w:spacing w:val="21"/>
          <w:sz w:val="19"/>
        </w:rPr>
        <w:t xml:space="preserve"> </w:t>
      </w:r>
      <w:r>
        <w:rPr>
          <w:sz w:val="19"/>
        </w:rPr>
        <w:t>pre-specified step-down testing procedure.</w:t>
      </w:r>
    </w:p>
    <w:p w14:paraId="7F5EC063" w14:textId="77777777" w:rsidR="001825E2" w:rsidRDefault="000839A5" w:rsidP="00CB00A7">
      <w:pPr>
        <w:spacing w:before="11"/>
        <w:ind w:left="220"/>
        <w:rPr>
          <w:sz w:val="19"/>
        </w:rPr>
      </w:pPr>
      <w:proofErr w:type="gramStart"/>
      <w:r>
        <w:rPr>
          <w:position w:val="6"/>
          <w:sz w:val="13"/>
        </w:rPr>
        <w:t>f</w:t>
      </w:r>
      <w:r>
        <w:rPr>
          <w:spacing w:val="48"/>
          <w:position w:val="6"/>
          <w:sz w:val="13"/>
        </w:rPr>
        <w:t xml:space="preserve">  </w:t>
      </w:r>
      <w:r>
        <w:rPr>
          <w:sz w:val="19"/>
        </w:rPr>
        <w:t>For</w:t>
      </w:r>
      <w:proofErr w:type="gramEnd"/>
      <w:r>
        <w:rPr>
          <w:spacing w:val="19"/>
          <w:sz w:val="19"/>
        </w:rPr>
        <w:t xml:space="preserve"> </w:t>
      </w:r>
      <w:r>
        <w:rPr>
          <w:sz w:val="19"/>
        </w:rPr>
        <w:t>patients</w:t>
      </w:r>
      <w:r>
        <w:rPr>
          <w:spacing w:val="-13"/>
          <w:sz w:val="19"/>
        </w:rPr>
        <w:t xml:space="preserve"> </w:t>
      </w:r>
      <w:r>
        <w:rPr>
          <w:sz w:val="19"/>
        </w:rPr>
        <w:t>with</w:t>
      </w:r>
      <w:r>
        <w:rPr>
          <w:spacing w:val="34"/>
          <w:sz w:val="19"/>
        </w:rPr>
        <w:t xml:space="preserve"> </w:t>
      </w:r>
      <w:r>
        <w:rPr>
          <w:sz w:val="19"/>
        </w:rPr>
        <w:t>Baseline</w:t>
      </w:r>
      <w:r>
        <w:rPr>
          <w:spacing w:val="10"/>
          <w:sz w:val="19"/>
        </w:rPr>
        <w:t xml:space="preserve"> </w:t>
      </w:r>
      <w:r>
        <w:rPr>
          <w:sz w:val="19"/>
        </w:rPr>
        <w:t>score</w:t>
      </w:r>
      <w:r>
        <w:rPr>
          <w:spacing w:val="10"/>
          <w:sz w:val="19"/>
        </w:rPr>
        <w:t xml:space="preserve"> </w:t>
      </w:r>
      <w:r>
        <w:rPr>
          <w:sz w:val="19"/>
        </w:rPr>
        <w:t>&gt;</w:t>
      </w:r>
      <w:r>
        <w:rPr>
          <w:spacing w:val="18"/>
          <w:sz w:val="19"/>
        </w:rPr>
        <w:t xml:space="preserve"> </w:t>
      </w:r>
      <w:r>
        <w:rPr>
          <w:spacing w:val="-5"/>
          <w:sz w:val="19"/>
        </w:rPr>
        <w:t>0.</w:t>
      </w:r>
    </w:p>
    <w:p w14:paraId="71078D3F" w14:textId="77777777" w:rsidR="001825E2" w:rsidRDefault="000839A5" w:rsidP="00CB00A7">
      <w:pPr>
        <w:spacing w:before="3"/>
        <w:ind w:left="220"/>
        <w:rPr>
          <w:sz w:val="19"/>
        </w:rPr>
      </w:pPr>
      <w:proofErr w:type="gramStart"/>
      <w:r>
        <w:rPr>
          <w:position w:val="6"/>
          <w:sz w:val="13"/>
        </w:rPr>
        <w:t>g</w:t>
      </w:r>
      <w:r>
        <w:rPr>
          <w:spacing w:val="34"/>
          <w:position w:val="6"/>
          <w:sz w:val="13"/>
        </w:rPr>
        <w:t xml:space="preserve">  </w:t>
      </w:r>
      <w:r>
        <w:rPr>
          <w:sz w:val="19"/>
        </w:rPr>
        <w:t>For</w:t>
      </w:r>
      <w:proofErr w:type="gramEnd"/>
      <w:r>
        <w:rPr>
          <w:spacing w:val="19"/>
          <w:sz w:val="19"/>
        </w:rPr>
        <w:t xml:space="preserve"> </w:t>
      </w:r>
      <w:r>
        <w:rPr>
          <w:sz w:val="19"/>
        </w:rPr>
        <w:t>patients</w:t>
      </w:r>
      <w:r>
        <w:rPr>
          <w:spacing w:val="-13"/>
          <w:sz w:val="19"/>
        </w:rPr>
        <w:t xml:space="preserve"> </w:t>
      </w:r>
      <w:r>
        <w:rPr>
          <w:sz w:val="19"/>
        </w:rPr>
        <w:t>with</w:t>
      </w:r>
      <w:r>
        <w:rPr>
          <w:spacing w:val="32"/>
          <w:sz w:val="19"/>
        </w:rPr>
        <w:t xml:space="preserve"> </w:t>
      </w:r>
      <w:r>
        <w:rPr>
          <w:sz w:val="19"/>
        </w:rPr>
        <w:t>Baseline</w:t>
      </w:r>
      <w:r>
        <w:rPr>
          <w:spacing w:val="10"/>
          <w:sz w:val="19"/>
        </w:rPr>
        <w:t xml:space="preserve"> </w:t>
      </w:r>
      <w:r>
        <w:rPr>
          <w:sz w:val="19"/>
        </w:rPr>
        <w:t>BSA</w:t>
      </w:r>
      <w:r>
        <w:rPr>
          <w:spacing w:val="16"/>
          <w:sz w:val="19"/>
        </w:rPr>
        <w:t xml:space="preserve"> </w:t>
      </w:r>
      <w:r>
        <w:rPr>
          <w:sz w:val="19"/>
        </w:rPr>
        <w:t>≥</w:t>
      </w:r>
      <w:r>
        <w:rPr>
          <w:spacing w:val="22"/>
          <w:sz w:val="19"/>
        </w:rPr>
        <w:t xml:space="preserve"> </w:t>
      </w:r>
      <w:r>
        <w:rPr>
          <w:sz w:val="19"/>
        </w:rPr>
        <w:t>3%</w:t>
      </w:r>
      <w:r>
        <w:rPr>
          <w:spacing w:val="9"/>
          <w:sz w:val="19"/>
        </w:rPr>
        <w:t xml:space="preserve"> </w:t>
      </w:r>
      <w:r>
        <w:rPr>
          <w:sz w:val="19"/>
        </w:rPr>
        <w:t>and</w:t>
      </w:r>
      <w:r>
        <w:rPr>
          <w:spacing w:val="-2"/>
          <w:sz w:val="19"/>
        </w:rPr>
        <w:t xml:space="preserve"> </w:t>
      </w:r>
      <w:r>
        <w:rPr>
          <w:sz w:val="19"/>
        </w:rPr>
        <w:t>PASI</w:t>
      </w:r>
      <w:r>
        <w:rPr>
          <w:spacing w:val="35"/>
          <w:sz w:val="19"/>
        </w:rPr>
        <w:t xml:space="preserve"> </w:t>
      </w:r>
      <w:r>
        <w:rPr>
          <w:sz w:val="19"/>
        </w:rPr>
        <w:t>&gt;</w:t>
      </w:r>
      <w:r>
        <w:rPr>
          <w:spacing w:val="18"/>
          <w:sz w:val="19"/>
        </w:rPr>
        <w:t xml:space="preserve"> </w:t>
      </w:r>
      <w:r>
        <w:rPr>
          <w:spacing w:val="-5"/>
          <w:sz w:val="19"/>
        </w:rPr>
        <w:t>0.</w:t>
      </w:r>
    </w:p>
    <w:p w14:paraId="49C2B0AF" w14:textId="77777777" w:rsidR="001825E2" w:rsidRDefault="001825E2" w:rsidP="00CB00A7">
      <w:pPr>
        <w:pStyle w:val="BodyText"/>
        <w:spacing w:before="26"/>
        <w:jc w:val="left"/>
        <w:rPr>
          <w:sz w:val="19"/>
        </w:rPr>
      </w:pPr>
    </w:p>
    <w:p w14:paraId="4D00FAB9" w14:textId="77777777" w:rsidR="001825E2" w:rsidRDefault="000839A5" w:rsidP="00CB00A7">
      <w:pPr>
        <w:pStyle w:val="BodyText"/>
        <w:spacing w:line="242" w:lineRule="auto"/>
        <w:ind w:left="220" w:right="720"/>
        <w:jc w:val="left"/>
      </w:pPr>
      <w:r>
        <w:t>Both</w:t>
      </w:r>
      <w:r>
        <w:rPr>
          <w:spacing w:val="-5"/>
        </w:rPr>
        <w:t xml:space="preserve"> </w:t>
      </w:r>
      <w:r>
        <w:t>TNF</w:t>
      </w:r>
      <w:r>
        <w:rPr>
          <w:spacing w:val="-4"/>
        </w:rPr>
        <w:t xml:space="preserve"> </w:t>
      </w:r>
      <w:r>
        <w:t>inhibitor</w:t>
      </w:r>
      <w:r>
        <w:rPr>
          <w:spacing w:val="-9"/>
        </w:rPr>
        <w:t xml:space="preserve"> </w:t>
      </w:r>
      <w:r>
        <w:t>naïve and TNF</w:t>
      </w:r>
      <w:r>
        <w:rPr>
          <w:spacing w:val="-4"/>
        </w:rPr>
        <w:t xml:space="preserve"> </w:t>
      </w:r>
      <w:r>
        <w:t>inhibitor inadequate</w:t>
      </w:r>
      <w:r>
        <w:rPr>
          <w:spacing w:val="-6"/>
        </w:rPr>
        <w:t xml:space="preserve"> </w:t>
      </w:r>
      <w:r>
        <w:t>responder</w:t>
      </w:r>
      <w:r>
        <w:rPr>
          <w:spacing w:val="-9"/>
        </w:rPr>
        <w:t xml:space="preserve"> </w:t>
      </w:r>
      <w:r>
        <w:t>XELJANZ-treated patients had significantly</w:t>
      </w:r>
      <w:r>
        <w:rPr>
          <w:spacing w:val="-3"/>
        </w:rPr>
        <w:t xml:space="preserve"> </w:t>
      </w:r>
      <w:r>
        <w:t>higher</w:t>
      </w:r>
      <w:r>
        <w:rPr>
          <w:spacing w:val="-8"/>
        </w:rPr>
        <w:t xml:space="preserve"> </w:t>
      </w:r>
      <w:r>
        <w:t>ACR20</w:t>
      </w:r>
      <w:r>
        <w:rPr>
          <w:spacing w:val="-3"/>
        </w:rPr>
        <w:t xml:space="preserve"> </w:t>
      </w:r>
      <w:r>
        <w:t>response rates</w:t>
      </w:r>
      <w:r>
        <w:rPr>
          <w:spacing w:val="-7"/>
        </w:rPr>
        <w:t xml:space="preserve"> </w:t>
      </w:r>
      <w:r>
        <w:t>compared to</w:t>
      </w:r>
      <w:r>
        <w:rPr>
          <w:spacing w:val="-3"/>
        </w:rPr>
        <w:t xml:space="preserve"> </w:t>
      </w:r>
      <w:r>
        <w:t>placebo</w:t>
      </w:r>
      <w:r>
        <w:rPr>
          <w:spacing w:val="-3"/>
        </w:rPr>
        <w:t xml:space="preserve"> </w:t>
      </w:r>
      <w:r>
        <w:t>at Month</w:t>
      </w:r>
      <w:r>
        <w:rPr>
          <w:spacing w:val="-3"/>
        </w:rPr>
        <w:t xml:space="preserve"> </w:t>
      </w:r>
      <w:r>
        <w:t>3.</w:t>
      </w:r>
      <w:r>
        <w:rPr>
          <w:spacing w:val="-3"/>
        </w:rPr>
        <w:t xml:space="preserve"> </w:t>
      </w:r>
      <w:r>
        <w:t>Examination of age, sex, race, baseline disease activity and PsA subtype did not identify differences in response to XELJANZ. The number</w:t>
      </w:r>
      <w:r>
        <w:rPr>
          <w:spacing w:val="-3"/>
        </w:rPr>
        <w:t xml:space="preserve"> </w:t>
      </w:r>
      <w:r>
        <w:t>of patients</w:t>
      </w:r>
      <w:r>
        <w:rPr>
          <w:spacing w:val="-2"/>
        </w:rPr>
        <w:t xml:space="preserve"> </w:t>
      </w:r>
      <w:r>
        <w:t xml:space="preserve">with arthritis </w:t>
      </w:r>
      <w:proofErr w:type="spellStart"/>
      <w:r>
        <w:t>mutilans</w:t>
      </w:r>
      <w:proofErr w:type="spellEnd"/>
      <w:r>
        <w:t xml:space="preserve"> was</w:t>
      </w:r>
      <w:r>
        <w:rPr>
          <w:spacing w:val="-2"/>
        </w:rPr>
        <w:t xml:space="preserve"> </w:t>
      </w:r>
      <w:r>
        <w:t>too small to allow meaningful assessment.</w:t>
      </w:r>
    </w:p>
    <w:p w14:paraId="399F5A2F" w14:textId="77777777" w:rsidR="001825E2" w:rsidRDefault="000839A5" w:rsidP="00CB00A7">
      <w:pPr>
        <w:pStyle w:val="BodyText"/>
        <w:spacing w:before="226" w:line="242" w:lineRule="auto"/>
        <w:ind w:left="219" w:right="719"/>
        <w:jc w:val="left"/>
      </w:pPr>
      <w:r>
        <w:t>As with the ACR responses, in patients treated with XELJANZ 5 mg twice daily in OPAL BROADEN and OPAL BEYOND, each of the components of the ACR response was consistently improved from baseline at Month 3 including tender/painful and swollen joint counts, patient assessment of arthritis pain, patient and physician’s global assessment of arthritis, HAQ-DI,</w:t>
      </w:r>
      <w:r>
        <w:rPr>
          <w:spacing w:val="-8"/>
        </w:rPr>
        <w:t xml:space="preserve"> </w:t>
      </w:r>
      <w:r>
        <w:t>and CRP</w:t>
      </w:r>
      <w:r>
        <w:rPr>
          <w:spacing w:val="-7"/>
        </w:rPr>
        <w:t xml:space="preserve"> </w:t>
      </w:r>
      <w:r>
        <w:t>compared to patients</w:t>
      </w:r>
      <w:r>
        <w:rPr>
          <w:spacing w:val="-13"/>
        </w:rPr>
        <w:t xml:space="preserve"> </w:t>
      </w:r>
      <w:r>
        <w:t>receiving</w:t>
      </w:r>
      <w:r>
        <w:rPr>
          <w:spacing w:val="40"/>
        </w:rPr>
        <w:t xml:space="preserve"> </w:t>
      </w:r>
      <w:r>
        <w:t>placebo (Table</w:t>
      </w:r>
      <w:r>
        <w:rPr>
          <w:spacing w:val="40"/>
        </w:rPr>
        <w:t xml:space="preserve"> </w:t>
      </w:r>
      <w:r>
        <w:t>10).</w:t>
      </w:r>
    </w:p>
    <w:p w14:paraId="315381C9" w14:textId="77777777" w:rsidR="001825E2" w:rsidRDefault="000839A5" w:rsidP="00CB00A7">
      <w:pPr>
        <w:pStyle w:val="Heading3"/>
        <w:spacing w:before="226" w:line="247" w:lineRule="auto"/>
        <w:ind w:left="1239" w:right="745" w:hanging="1020"/>
      </w:pPr>
      <w:r>
        <w:t>Table</w:t>
      </w:r>
      <w:r>
        <w:rPr>
          <w:spacing w:val="-5"/>
        </w:rPr>
        <w:t xml:space="preserve"> </w:t>
      </w:r>
      <w:r>
        <w:t>10:</w:t>
      </w:r>
      <w:r>
        <w:rPr>
          <w:spacing w:val="-7"/>
        </w:rPr>
        <w:t xml:space="preserve"> </w:t>
      </w:r>
      <w:r>
        <w:t>Components</w:t>
      </w:r>
      <w:r>
        <w:rPr>
          <w:spacing w:val="-6"/>
        </w:rPr>
        <w:t xml:space="preserve"> </w:t>
      </w:r>
      <w:r>
        <w:t>of ACR Response</w:t>
      </w:r>
      <w:r>
        <w:rPr>
          <w:spacing w:val="-5"/>
        </w:rPr>
        <w:t xml:space="preserve"> </w:t>
      </w:r>
      <w:r>
        <w:t>at</w:t>
      </w:r>
      <w:r>
        <w:rPr>
          <w:spacing w:val="-7"/>
        </w:rPr>
        <w:t xml:space="preserve"> </w:t>
      </w:r>
      <w:r>
        <w:t>Baseline</w:t>
      </w:r>
      <w:r>
        <w:rPr>
          <w:spacing w:val="-5"/>
        </w:rPr>
        <w:t xml:space="preserve"> </w:t>
      </w:r>
      <w:r>
        <w:t>and Month</w:t>
      </w:r>
      <w:r>
        <w:rPr>
          <w:spacing w:val="-2"/>
        </w:rPr>
        <w:t xml:space="preserve"> </w:t>
      </w:r>
      <w:r>
        <w:t>3 in OPAL BROADEN and OPAL BEYOND Studies</w:t>
      </w:r>
    </w:p>
    <w:p w14:paraId="6BA6C526" w14:textId="77777777" w:rsidR="001825E2" w:rsidRDefault="001825E2" w:rsidP="00CB00A7">
      <w:pPr>
        <w:pStyle w:val="BodyText"/>
        <w:spacing w:before="3"/>
        <w:jc w:val="left"/>
        <w:rPr>
          <w:b/>
          <w:sz w:val="9"/>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90"/>
        <w:gridCol w:w="1410"/>
        <w:gridCol w:w="1410"/>
        <w:gridCol w:w="1620"/>
        <w:gridCol w:w="1200"/>
        <w:gridCol w:w="1410"/>
      </w:tblGrid>
      <w:tr w:rsidR="001825E2" w14:paraId="154219C9" w14:textId="77777777">
        <w:trPr>
          <w:trHeight w:val="554"/>
        </w:trPr>
        <w:tc>
          <w:tcPr>
            <w:tcW w:w="2190" w:type="dxa"/>
            <w:vMerge w:val="restart"/>
          </w:tcPr>
          <w:p w14:paraId="77E6276E" w14:textId="77777777" w:rsidR="001825E2" w:rsidRDefault="001825E2" w:rsidP="00CB00A7">
            <w:pPr>
              <w:pStyle w:val="TableParagraph"/>
              <w:ind w:left="0"/>
              <w:jc w:val="left"/>
              <w:rPr>
                <w:sz w:val="20"/>
              </w:rPr>
            </w:pPr>
          </w:p>
        </w:tc>
        <w:tc>
          <w:tcPr>
            <w:tcW w:w="4440" w:type="dxa"/>
            <w:gridSpan w:val="3"/>
          </w:tcPr>
          <w:p w14:paraId="5383A510" w14:textId="77777777" w:rsidR="001825E2" w:rsidRDefault="000839A5" w:rsidP="00CB00A7">
            <w:pPr>
              <w:pStyle w:val="TableParagraph"/>
              <w:spacing w:line="270" w:lineRule="exact"/>
              <w:ind w:left="1897" w:hanging="1770"/>
              <w:jc w:val="left"/>
              <w:rPr>
                <w:sz w:val="24"/>
              </w:rPr>
            </w:pPr>
            <w:proofErr w:type="spellStart"/>
            <w:r>
              <w:rPr>
                <w:sz w:val="24"/>
              </w:rPr>
              <w:t>csDMARD</w:t>
            </w:r>
            <w:proofErr w:type="spellEnd"/>
            <w:r>
              <w:rPr>
                <w:spacing w:val="-12"/>
                <w:sz w:val="24"/>
              </w:rPr>
              <w:t xml:space="preserve"> </w:t>
            </w:r>
            <w:r>
              <w:rPr>
                <w:sz w:val="24"/>
              </w:rPr>
              <w:t>Inadequate</w:t>
            </w:r>
            <w:r>
              <w:rPr>
                <w:spacing w:val="-17"/>
                <w:sz w:val="24"/>
              </w:rPr>
              <w:t xml:space="preserve"> </w:t>
            </w:r>
            <w:r>
              <w:rPr>
                <w:sz w:val="24"/>
              </w:rPr>
              <w:t>Responders</w:t>
            </w:r>
            <w:r>
              <w:rPr>
                <w:position w:val="7"/>
                <w:sz w:val="16"/>
              </w:rPr>
              <w:t>d</w:t>
            </w:r>
            <w:r>
              <w:rPr>
                <w:spacing w:val="10"/>
                <w:position w:val="7"/>
                <w:sz w:val="16"/>
              </w:rPr>
              <w:t xml:space="preserve"> </w:t>
            </w:r>
            <w:r>
              <w:rPr>
                <w:sz w:val="24"/>
              </w:rPr>
              <w:t>(</w:t>
            </w:r>
            <w:proofErr w:type="spellStart"/>
            <w:r>
              <w:rPr>
                <w:sz w:val="24"/>
              </w:rPr>
              <w:t>TNFi</w:t>
            </w:r>
            <w:proofErr w:type="spellEnd"/>
            <w:r>
              <w:rPr>
                <w:sz w:val="24"/>
              </w:rPr>
              <w:t xml:space="preserve">- </w:t>
            </w:r>
            <w:r>
              <w:rPr>
                <w:spacing w:val="-2"/>
                <w:sz w:val="24"/>
              </w:rPr>
              <w:t>Naïve)</w:t>
            </w:r>
          </w:p>
        </w:tc>
        <w:tc>
          <w:tcPr>
            <w:tcW w:w="2610" w:type="dxa"/>
            <w:gridSpan w:val="2"/>
          </w:tcPr>
          <w:p w14:paraId="7C604B9F" w14:textId="77777777" w:rsidR="001825E2" w:rsidRDefault="000839A5" w:rsidP="00CB00A7">
            <w:pPr>
              <w:pStyle w:val="TableParagraph"/>
              <w:spacing w:line="270" w:lineRule="exact"/>
              <w:ind w:left="712" w:hanging="240"/>
              <w:jc w:val="left"/>
              <w:rPr>
                <w:sz w:val="16"/>
              </w:rPr>
            </w:pPr>
            <w:proofErr w:type="spellStart"/>
            <w:r>
              <w:rPr>
                <w:sz w:val="24"/>
              </w:rPr>
              <w:t>TNFi</w:t>
            </w:r>
            <w:proofErr w:type="spellEnd"/>
            <w:r>
              <w:rPr>
                <w:spacing w:val="-4"/>
                <w:sz w:val="24"/>
              </w:rPr>
              <w:t xml:space="preserve"> </w:t>
            </w:r>
            <w:r>
              <w:rPr>
                <w:sz w:val="24"/>
              </w:rPr>
              <w:t xml:space="preserve">Inadequate </w:t>
            </w:r>
            <w:r>
              <w:rPr>
                <w:spacing w:val="-2"/>
                <w:sz w:val="24"/>
              </w:rPr>
              <w:t>Responders</w:t>
            </w:r>
            <w:r>
              <w:rPr>
                <w:spacing w:val="-2"/>
                <w:position w:val="7"/>
                <w:sz w:val="16"/>
              </w:rPr>
              <w:t>e</w:t>
            </w:r>
          </w:p>
        </w:tc>
      </w:tr>
      <w:tr w:rsidR="001825E2" w14:paraId="750C5A68" w14:textId="77777777">
        <w:trPr>
          <w:trHeight w:val="270"/>
        </w:trPr>
        <w:tc>
          <w:tcPr>
            <w:tcW w:w="2190" w:type="dxa"/>
            <w:vMerge/>
            <w:tcBorders>
              <w:top w:val="nil"/>
            </w:tcBorders>
          </w:tcPr>
          <w:p w14:paraId="23E3F3C9" w14:textId="77777777" w:rsidR="001825E2" w:rsidRDefault="001825E2" w:rsidP="00CB00A7">
            <w:pPr>
              <w:rPr>
                <w:sz w:val="2"/>
                <w:szCs w:val="2"/>
              </w:rPr>
            </w:pPr>
          </w:p>
        </w:tc>
        <w:tc>
          <w:tcPr>
            <w:tcW w:w="4440" w:type="dxa"/>
            <w:gridSpan w:val="3"/>
          </w:tcPr>
          <w:p w14:paraId="7B0C2F99" w14:textId="77777777" w:rsidR="001825E2" w:rsidRDefault="000839A5" w:rsidP="00CB00A7">
            <w:pPr>
              <w:pStyle w:val="TableParagraph"/>
              <w:spacing w:line="250" w:lineRule="exact"/>
              <w:ind w:left="1282"/>
              <w:jc w:val="left"/>
              <w:rPr>
                <w:sz w:val="24"/>
              </w:rPr>
            </w:pPr>
            <w:r>
              <w:rPr>
                <w:sz w:val="24"/>
              </w:rPr>
              <w:t>OPAL</w:t>
            </w:r>
            <w:r>
              <w:rPr>
                <w:spacing w:val="1"/>
                <w:sz w:val="24"/>
              </w:rPr>
              <w:t xml:space="preserve"> </w:t>
            </w:r>
            <w:r>
              <w:rPr>
                <w:spacing w:val="-2"/>
                <w:sz w:val="24"/>
              </w:rPr>
              <w:t>BROADEN</w:t>
            </w:r>
          </w:p>
        </w:tc>
        <w:tc>
          <w:tcPr>
            <w:tcW w:w="2610" w:type="dxa"/>
            <w:gridSpan w:val="2"/>
          </w:tcPr>
          <w:p w14:paraId="1D8AE8A9" w14:textId="77777777" w:rsidR="001825E2" w:rsidRDefault="000839A5" w:rsidP="00CB00A7">
            <w:pPr>
              <w:pStyle w:val="TableParagraph"/>
              <w:spacing w:line="250" w:lineRule="exact"/>
              <w:ind w:left="442"/>
              <w:jc w:val="left"/>
              <w:rPr>
                <w:sz w:val="24"/>
              </w:rPr>
            </w:pPr>
            <w:r>
              <w:rPr>
                <w:sz w:val="24"/>
              </w:rPr>
              <w:t>OPAL</w:t>
            </w:r>
            <w:r>
              <w:rPr>
                <w:spacing w:val="1"/>
                <w:sz w:val="24"/>
              </w:rPr>
              <w:t xml:space="preserve"> </w:t>
            </w:r>
            <w:r>
              <w:rPr>
                <w:spacing w:val="-2"/>
                <w:sz w:val="24"/>
              </w:rPr>
              <w:t>BEYOND</w:t>
            </w:r>
          </w:p>
        </w:tc>
      </w:tr>
      <w:tr w:rsidR="001825E2" w14:paraId="2AE8892C" w14:textId="77777777">
        <w:trPr>
          <w:trHeight w:val="810"/>
        </w:trPr>
        <w:tc>
          <w:tcPr>
            <w:tcW w:w="2190" w:type="dxa"/>
          </w:tcPr>
          <w:p w14:paraId="75F53EC4" w14:textId="77777777" w:rsidR="001825E2" w:rsidRDefault="000839A5" w:rsidP="00CB00A7">
            <w:pPr>
              <w:pStyle w:val="TableParagraph"/>
              <w:spacing w:before="271"/>
              <w:jc w:val="left"/>
              <w:rPr>
                <w:sz w:val="24"/>
              </w:rPr>
            </w:pPr>
            <w:r>
              <w:rPr>
                <w:sz w:val="24"/>
              </w:rPr>
              <w:t>Treatment</w:t>
            </w:r>
            <w:r>
              <w:rPr>
                <w:spacing w:val="-1"/>
                <w:sz w:val="24"/>
              </w:rPr>
              <w:t xml:space="preserve"> </w:t>
            </w:r>
            <w:r>
              <w:rPr>
                <w:spacing w:val="-4"/>
                <w:sz w:val="24"/>
              </w:rPr>
              <w:t>Group</w:t>
            </w:r>
          </w:p>
        </w:tc>
        <w:tc>
          <w:tcPr>
            <w:tcW w:w="1410" w:type="dxa"/>
          </w:tcPr>
          <w:p w14:paraId="5C75D020" w14:textId="77777777" w:rsidR="001825E2" w:rsidRDefault="000839A5" w:rsidP="00CB00A7">
            <w:pPr>
              <w:pStyle w:val="TableParagraph"/>
              <w:spacing w:line="262" w:lineRule="exact"/>
              <w:ind w:left="30" w:right="1"/>
              <w:jc w:val="left"/>
              <w:rPr>
                <w:sz w:val="24"/>
              </w:rPr>
            </w:pPr>
            <w:r>
              <w:rPr>
                <w:spacing w:val="-2"/>
                <w:sz w:val="24"/>
              </w:rPr>
              <w:t>Placebo</w:t>
            </w:r>
          </w:p>
        </w:tc>
        <w:tc>
          <w:tcPr>
            <w:tcW w:w="1410" w:type="dxa"/>
          </w:tcPr>
          <w:p w14:paraId="2EBE3D42" w14:textId="77777777" w:rsidR="001825E2" w:rsidRDefault="000839A5" w:rsidP="00CB00A7">
            <w:pPr>
              <w:pStyle w:val="TableParagraph"/>
              <w:spacing w:line="262" w:lineRule="exact"/>
              <w:ind w:left="30" w:right="4"/>
              <w:jc w:val="left"/>
              <w:rPr>
                <w:sz w:val="24"/>
              </w:rPr>
            </w:pPr>
            <w:r>
              <w:rPr>
                <w:spacing w:val="-2"/>
                <w:sz w:val="24"/>
              </w:rPr>
              <w:t>XELJANZ</w:t>
            </w:r>
          </w:p>
          <w:p w14:paraId="5340DA74" w14:textId="77777777" w:rsidR="001825E2" w:rsidRDefault="000839A5" w:rsidP="00CB00A7">
            <w:pPr>
              <w:pStyle w:val="TableParagraph"/>
              <w:spacing w:line="270" w:lineRule="exact"/>
              <w:ind w:left="30" w:right="12"/>
              <w:jc w:val="left"/>
              <w:rPr>
                <w:sz w:val="24"/>
              </w:rPr>
            </w:pPr>
            <w:r>
              <w:rPr>
                <w:sz w:val="24"/>
              </w:rPr>
              <w:t>5</w:t>
            </w:r>
            <w:r>
              <w:rPr>
                <w:spacing w:val="-15"/>
                <w:sz w:val="24"/>
              </w:rPr>
              <w:t xml:space="preserve"> </w:t>
            </w:r>
            <w:r>
              <w:rPr>
                <w:sz w:val="24"/>
              </w:rPr>
              <w:t>mg</w:t>
            </w:r>
            <w:r>
              <w:rPr>
                <w:spacing w:val="-15"/>
                <w:sz w:val="24"/>
              </w:rPr>
              <w:t xml:space="preserve"> </w:t>
            </w:r>
            <w:r>
              <w:rPr>
                <w:sz w:val="24"/>
              </w:rPr>
              <w:t xml:space="preserve">Twice </w:t>
            </w:r>
            <w:r>
              <w:rPr>
                <w:spacing w:val="-2"/>
                <w:sz w:val="24"/>
              </w:rPr>
              <w:t>Daily</w:t>
            </w:r>
          </w:p>
        </w:tc>
        <w:tc>
          <w:tcPr>
            <w:tcW w:w="1620" w:type="dxa"/>
          </w:tcPr>
          <w:p w14:paraId="7A0966EF" w14:textId="77777777" w:rsidR="001825E2" w:rsidRDefault="000839A5" w:rsidP="00CB00A7">
            <w:pPr>
              <w:pStyle w:val="TableParagraph"/>
              <w:spacing w:line="262" w:lineRule="exact"/>
              <w:ind w:left="14"/>
              <w:jc w:val="left"/>
              <w:rPr>
                <w:sz w:val="24"/>
              </w:rPr>
            </w:pPr>
            <w:r>
              <w:rPr>
                <w:spacing w:val="-2"/>
                <w:sz w:val="24"/>
              </w:rPr>
              <w:t>Adalimumab</w:t>
            </w:r>
          </w:p>
          <w:p w14:paraId="55BED403" w14:textId="77777777" w:rsidR="001825E2" w:rsidRDefault="000839A5" w:rsidP="00CB00A7">
            <w:pPr>
              <w:pStyle w:val="TableParagraph"/>
              <w:spacing w:line="270" w:lineRule="exact"/>
              <w:ind w:left="143" w:right="116"/>
              <w:jc w:val="left"/>
              <w:rPr>
                <w:sz w:val="24"/>
              </w:rPr>
            </w:pPr>
            <w:r>
              <w:rPr>
                <w:sz w:val="24"/>
              </w:rPr>
              <w:t>40</w:t>
            </w:r>
            <w:r>
              <w:rPr>
                <w:spacing w:val="-15"/>
                <w:sz w:val="24"/>
              </w:rPr>
              <w:t xml:space="preserve"> </w:t>
            </w:r>
            <w:r>
              <w:rPr>
                <w:sz w:val="24"/>
              </w:rPr>
              <w:t>mg</w:t>
            </w:r>
            <w:r>
              <w:rPr>
                <w:spacing w:val="-15"/>
                <w:sz w:val="24"/>
              </w:rPr>
              <w:t xml:space="preserve"> </w:t>
            </w:r>
            <w:r>
              <w:rPr>
                <w:sz w:val="24"/>
              </w:rPr>
              <w:t xml:space="preserve">SC </w:t>
            </w:r>
            <w:r>
              <w:rPr>
                <w:spacing w:val="-4"/>
                <w:sz w:val="24"/>
              </w:rPr>
              <w:t>q2W</w:t>
            </w:r>
          </w:p>
        </w:tc>
        <w:tc>
          <w:tcPr>
            <w:tcW w:w="1200" w:type="dxa"/>
          </w:tcPr>
          <w:p w14:paraId="14D8543B" w14:textId="77777777" w:rsidR="001825E2" w:rsidRDefault="000839A5" w:rsidP="00CB00A7">
            <w:pPr>
              <w:pStyle w:val="TableParagraph"/>
              <w:spacing w:line="262" w:lineRule="exact"/>
              <w:ind w:left="30" w:right="1"/>
              <w:jc w:val="left"/>
              <w:rPr>
                <w:sz w:val="24"/>
              </w:rPr>
            </w:pPr>
            <w:r>
              <w:rPr>
                <w:spacing w:val="-2"/>
                <w:sz w:val="24"/>
              </w:rPr>
              <w:t>Placebo</w:t>
            </w:r>
          </w:p>
        </w:tc>
        <w:tc>
          <w:tcPr>
            <w:tcW w:w="1410" w:type="dxa"/>
          </w:tcPr>
          <w:p w14:paraId="4A240671" w14:textId="77777777" w:rsidR="001825E2" w:rsidRDefault="000839A5" w:rsidP="00CB00A7">
            <w:pPr>
              <w:pStyle w:val="TableParagraph"/>
              <w:spacing w:line="262" w:lineRule="exact"/>
              <w:ind w:left="30" w:right="4"/>
              <w:jc w:val="left"/>
              <w:rPr>
                <w:sz w:val="24"/>
              </w:rPr>
            </w:pPr>
            <w:r>
              <w:rPr>
                <w:spacing w:val="-2"/>
                <w:sz w:val="24"/>
              </w:rPr>
              <w:t>XELJANZ</w:t>
            </w:r>
          </w:p>
          <w:p w14:paraId="631800EE" w14:textId="77777777" w:rsidR="001825E2" w:rsidRDefault="000839A5" w:rsidP="00CB00A7">
            <w:pPr>
              <w:pStyle w:val="TableParagraph"/>
              <w:spacing w:line="270" w:lineRule="exact"/>
              <w:ind w:left="30" w:right="12"/>
              <w:jc w:val="left"/>
              <w:rPr>
                <w:sz w:val="24"/>
              </w:rPr>
            </w:pPr>
            <w:r>
              <w:rPr>
                <w:sz w:val="24"/>
              </w:rPr>
              <w:t>5</w:t>
            </w:r>
            <w:r>
              <w:rPr>
                <w:spacing w:val="-15"/>
                <w:sz w:val="24"/>
              </w:rPr>
              <w:t xml:space="preserve"> </w:t>
            </w:r>
            <w:r>
              <w:rPr>
                <w:sz w:val="24"/>
              </w:rPr>
              <w:t>mg</w:t>
            </w:r>
            <w:r>
              <w:rPr>
                <w:spacing w:val="-15"/>
                <w:sz w:val="24"/>
              </w:rPr>
              <w:t xml:space="preserve"> </w:t>
            </w:r>
            <w:r>
              <w:rPr>
                <w:sz w:val="24"/>
              </w:rPr>
              <w:t xml:space="preserve">Twice </w:t>
            </w:r>
            <w:r>
              <w:rPr>
                <w:spacing w:val="-2"/>
                <w:sz w:val="24"/>
              </w:rPr>
              <w:t>Daily</w:t>
            </w:r>
          </w:p>
        </w:tc>
      </w:tr>
      <w:tr w:rsidR="001825E2" w14:paraId="2A51B2BA" w14:textId="77777777">
        <w:trPr>
          <w:trHeight w:val="285"/>
        </w:trPr>
        <w:tc>
          <w:tcPr>
            <w:tcW w:w="2190" w:type="dxa"/>
          </w:tcPr>
          <w:p w14:paraId="35E3273D" w14:textId="77777777" w:rsidR="001825E2" w:rsidRDefault="000839A5" w:rsidP="00CB00A7">
            <w:pPr>
              <w:pStyle w:val="TableParagraph"/>
              <w:spacing w:before="1" w:line="264" w:lineRule="exact"/>
              <w:jc w:val="left"/>
              <w:rPr>
                <w:sz w:val="24"/>
              </w:rPr>
            </w:pPr>
            <w:r>
              <w:rPr>
                <w:sz w:val="24"/>
              </w:rPr>
              <w:t>N</w:t>
            </w:r>
            <w:r>
              <w:rPr>
                <w:spacing w:val="2"/>
                <w:sz w:val="24"/>
              </w:rPr>
              <w:t xml:space="preserve"> </w:t>
            </w:r>
            <w:r>
              <w:rPr>
                <w:sz w:val="24"/>
              </w:rPr>
              <w:t>at</w:t>
            </w:r>
            <w:r>
              <w:rPr>
                <w:spacing w:val="-7"/>
                <w:sz w:val="24"/>
              </w:rPr>
              <w:t xml:space="preserve"> </w:t>
            </w:r>
            <w:r>
              <w:rPr>
                <w:spacing w:val="-2"/>
                <w:sz w:val="24"/>
              </w:rPr>
              <w:t>Baseline</w:t>
            </w:r>
          </w:p>
        </w:tc>
        <w:tc>
          <w:tcPr>
            <w:tcW w:w="1410" w:type="dxa"/>
          </w:tcPr>
          <w:p w14:paraId="66652939" w14:textId="77777777" w:rsidR="001825E2" w:rsidRDefault="000839A5" w:rsidP="00CB00A7">
            <w:pPr>
              <w:pStyle w:val="TableParagraph"/>
              <w:spacing w:before="1" w:line="264" w:lineRule="exact"/>
              <w:ind w:left="30"/>
              <w:jc w:val="left"/>
              <w:rPr>
                <w:sz w:val="24"/>
              </w:rPr>
            </w:pPr>
            <w:r>
              <w:rPr>
                <w:spacing w:val="-5"/>
                <w:sz w:val="24"/>
              </w:rPr>
              <w:t>105</w:t>
            </w:r>
          </w:p>
        </w:tc>
        <w:tc>
          <w:tcPr>
            <w:tcW w:w="1410" w:type="dxa"/>
          </w:tcPr>
          <w:p w14:paraId="51EB5648" w14:textId="77777777" w:rsidR="001825E2" w:rsidRDefault="000839A5" w:rsidP="00CB00A7">
            <w:pPr>
              <w:pStyle w:val="TableParagraph"/>
              <w:spacing w:before="1" w:line="264" w:lineRule="exact"/>
              <w:ind w:left="30"/>
              <w:jc w:val="left"/>
              <w:rPr>
                <w:sz w:val="24"/>
              </w:rPr>
            </w:pPr>
            <w:r>
              <w:rPr>
                <w:spacing w:val="-5"/>
                <w:sz w:val="24"/>
              </w:rPr>
              <w:t>107</w:t>
            </w:r>
          </w:p>
        </w:tc>
        <w:tc>
          <w:tcPr>
            <w:tcW w:w="1620" w:type="dxa"/>
          </w:tcPr>
          <w:p w14:paraId="4C59FB8C" w14:textId="77777777" w:rsidR="001825E2" w:rsidRDefault="000839A5" w:rsidP="00CB00A7">
            <w:pPr>
              <w:pStyle w:val="TableParagraph"/>
              <w:spacing w:before="1" w:line="264" w:lineRule="exact"/>
              <w:ind w:left="146" w:right="116"/>
              <w:jc w:val="left"/>
              <w:rPr>
                <w:sz w:val="24"/>
              </w:rPr>
            </w:pPr>
            <w:r>
              <w:rPr>
                <w:spacing w:val="-5"/>
                <w:sz w:val="24"/>
              </w:rPr>
              <w:t>106</w:t>
            </w:r>
          </w:p>
        </w:tc>
        <w:tc>
          <w:tcPr>
            <w:tcW w:w="1200" w:type="dxa"/>
          </w:tcPr>
          <w:p w14:paraId="3313F936" w14:textId="77777777" w:rsidR="001825E2" w:rsidRDefault="000839A5" w:rsidP="00CB00A7">
            <w:pPr>
              <w:pStyle w:val="TableParagraph"/>
              <w:spacing w:before="1" w:line="264" w:lineRule="exact"/>
              <w:ind w:left="30"/>
              <w:jc w:val="left"/>
              <w:rPr>
                <w:sz w:val="24"/>
              </w:rPr>
            </w:pPr>
            <w:r>
              <w:rPr>
                <w:spacing w:val="-5"/>
                <w:sz w:val="24"/>
              </w:rPr>
              <w:t>131</w:t>
            </w:r>
          </w:p>
        </w:tc>
        <w:tc>
          <w:tcPr>
            <w:tcW w:w="1410" w:type="dxa"/>
          </w:tcPr>
          <w:p w14:paraId="204C4DCF" w14:textId="77777777" w:rsidR="001825E2" w:rsidRDefault="000839A5" w:rsidP="00CB00A7">
            <w:pPr>
              <w:pStyle w:val="TableParagraph"/>
              <w:spacing w:before="1" w:line="264" w:lineRule="exact"/>
              <w:ind w:left="30"/>
              <w:jc w:val="left"/>
              <w:rPr>
                <w:sz w:val="24"/>
              </w:rPr>
            </w:pPr>
            <w:r>
              <w:rPr>
                <w:spacing w:val="-5"/>
                <w:sz w:val="24"/>
              </w:rPr>
              <w:t>131</w:t>
            </w:r>
          </w:p>
        </w:tc>
      </w:tr>
      <w:tr w:rsidR="001825E2" w14:paraId="2ED39886" w14:textId="77777777">
        <w:trPr>
          <w:trHeight w:val="270"/>
        </w:trPr>
        <w:tc>
          <w:tcPr>
            <w:tcW w:w="2190" w:type="dxa"/>
          </w:tcPr>
          <w:p w14:paraId="1B4249B6" w14:textId="77777777" w:rsidR="001825E2" w:rsidRDefault="000839A5" w:rsidP="00CB00A7">
            <w:pPr>
              <w:pStyle w:val="TableParagraph"/>
              <w:spacing w:line="250" w:lineRule="exact"/>
              <w:jc w:val="left"/>
              <w:rPr>
                <w:sz w:val="16"/>
              </w:rPr>
            </w:pPr>
            <w:r>
              <w:rPr>
                <w:sz w:val="24"/>
              </w:rPr>
              <w:t>ACR</w:t>
            </w:r>
            <w:r>
              <w:rPr>
                <w:spacing w:val="-1"/>
                <w:sz w:val="24"/>
              </w:rPr>
              <w:t xml:space="preserve"> </w:t>
            </w:r>
            <w:r>
              <w:rPr>
                <w:spacing w:val="-2"/>
                <w:sz w:val="24"/>
              </w:rPr>
              <w:t>Component</w:t>
            </w:r>
            <w:r>
              <w:rPr>
                <w:spacing w:val="-2"/>
                <w:position w:val="7"/>
                <w:sz w:val="16"/>
              </w:rPr>
              <w:t>a</w:t>
            </w:r>
          </w:p>
        </w:tc>
        <w:tc>
          <w:tcPr>
            <w:tcW w:w="1410" w:type="dxa"/>
          </w:tcPr>
          <w:p w14:paraId="5912912D" w14:textId="77777777" w:rsidR="001825E2" w:rsidRDefault="001825E2" w:rsidP="00CB00A7">
            <w:pPr>
              <w:pStyle w:val="TableParagraph"/>
              <w:ind w:left="0"/>
              <w:jc w:val="left"/>
              <w:rPr>
                <w:sz w:val="20"/>
              </w:rPr>
            </w:pPr>
          </w:p>
        </w:tc>
        <w:tc>
          <w:tcPr>
            <w:tcW w:w="1410" w:type="dxa"/>
          </w:tcPr>
          <w:p w14:paraId="38583ED2" w14:textId="77777777" w:rsidR="001825E2" w:rsidRDefault="001825E2" w:rsidP="00CB00A7">
            <w:pPr>
              <w:pStyle w:val="TableParagraph"/>
              <w:ind w:left="0"/>
              <w:jc w:val="left"/>
              <w:rPr>
                <w:sz w:val="20"/>
              </w:rPr>
            </w:pPr>
          </w:p>
        </w:tc>
        <w:tc>
          <w:tcPr>
            <w:tcW w:w="1620" w:type="dxa"/>
          </w:tcPr>
          <w:p w14:paraId="2C6EBF1B" w14:textId="77777777" w:rsidR="001825E2" w:rsidRDefault="001825E2" w:rsidP="00CB00A7">
            <w:pPr>
              <w:pStyle w:val="TableParagraph"/>
              <w:ind w:left="0"/>
              <w:jc w:val="left"/>
              <w:rPr>
                <w:sz w:val="20"/>
              </w:rPr>
            </w:pPr>
          </w:p>
        </w:tc>
        <w:tc>
          <w:tcPr>
            <w:tcW w:w="1200" w:type="dxa"/>
          </w:tcPr>
          <w:p w14:paraId="2FA626DB" w14:textId="77777777" w:rsidR="001825E2" w:rsidRDefault="001825E2" w:rsidP="00CB00A7">
            <w:pPr>
              <w:pStyle w:val="TableParagraph"/>
              <w:ind w:left="0"/>
              <w:jc w:val="left"/>
              <w:rPr>
                <w:sz w:val="20"/>
              </w:rPr>
            </w:pPr>
          </w:p>
        </w:tc>
        <w:tc>
          <w:tcPr>
            <w:tcW w:w="1410" w:type="dxa"/>
          </w:tcPr>
          <w:p w14:paraId="142D744E" w14:textId="77777777" w:rsidR="001825E2" w:rsidRDefault="001825E2" w:rsidP="00CB00A7">
            <w:pPr>
              <w:pStyle w:val="TableParagraph"/>
              <w:ind w:left="0"/>
              <w:jc w:val="left"/>
              <w:rPr>
                <w:sz w:val="20"/>
              </w:rPr>
            </w:pPr>
          </w:p>
        </w:tc>
      </w:tr>
      <w:tr w:rsidR="001825E2" w14:paraId="12DB2353" w14:textId="77777777">
        <w:trPr>
          <w:trHeight w:val="271"/>
        </w:trPr>
        <w:tc>
          <w:tcPr>
            <w:tcW w:w="2190" w:type="dxa"/>
            <w:tcBorders>
              <w:bottom w:val="nil"/>
            </w:tcBorders>
          </w:tcPr>
          <w:p w14:paraId="068F0B66" w14:textId="77777777" w:rsidR="001825E2" w:rsidRDefault="000839A5" w:rsidP="00CB00A7">
            <w:pPr>
              <w:pStyle w:val="TableParagraph"/>
              <w:spacing w:line="252" w:lineRule="exact"/>
              <w:jc w:val="left"/>
              <w:rPr>
                <w:sz w:val="24"/>
              </w:rPr>
            </w:pPr>
            <w:r>
              <w:rPr>
                <w:sz w:val="24"/>
              </w:rPr>
              <w:t>Number</w:t>
            </w:r>
            <w:r>
              <w:rPr>
                <w:spacing w:val="-8"/>
                <w:sz w:val="24"/>
              </w:rPr>
              <w:t xml:space="preserve"> </w:t>
            </w:r>
            <w:r>
              <w:rPr>
                <w:spacing w:val="-5"/>
                <w:sz w:val="24"/>
              </w:rPr>
              <w:t>of</w:t>
            </w:r>
          </w:p>
        </w:tc>
        <w:tc>
          <w:tcPr>
            <w:tcW w:w="1410" w:type="dxa"/>
            <w:tcBorders>
              <w:bottom w:val="nil"/>
            </w:tcBorders>
          </w:tcPr>
          <w:p w14:paraId="38B4FCCE" w14:textId="77777777" w:rsidR="001825E2" w:rsidRDefault="001825E2" w:rsidP="00CB00A7">
            <w:pPr>
              <w:pStyle w:val="TableParagraph"/>
              <w:ind w:left="0"/>
              <w:jc w:val="left"/>
              <w:rPr>
                <w:sz w:val="20"/>
              </w:rPr>
            </w:pPr>
          </w:p>
        </w:tc>
        <w:tc>
          <w:tcPr>
            <w:tcW w:w="1410" w:type="dxa"/>
            <w:tcBorders>
              <w:bottom w:val="nil"/>
            </w:tcBorders>
          </w:tcPr>
          <w:p w14:paraId="12533FE2" w14:textId="77777777" w:rsidR="001825E2" w:rsidRDefault="001825E2" w:rsidP="00CB00A7">
            <w:pPr>
              <w:pStyle w:val="TableParagraph"/>
              <w:ind w:left="0"/>
              <w:jc w:val="left"/>
              <w:rPr>
                <w:sz w:val="20"/>
              </w:rPr>
            </w:pPr>
          </w:p>
        </w:tc>
        <w:tc>
          <w:tcPr>
            <w:tcW w:w="1620" w:type="dxa"/>
            <w:tcBorders>
              <w:bottom w:val="nil"/>
            </w:tcBorders>
          </w:tcPr>
          <w:p w14:paraId="1EC67ACC" w14:textId="77777777" w:rsidR="001825E2" w:rsidRDefault="001825E2" w:rsidP="00CB00A7">
            <w:pPr>
              <w:pStyle w:val="TableParagraph"/>
              <w:ind w:left="0"/>
              <w:jc w:val="left"/>
              <w:rPr>
                <w:sz w:val="20"/>
              </w:rPr>
            </w:pPr>
          </w:p>
        </w:tc>
        <w:tc>
          <w:tcPr>
            <w:tcW w:w="1200" w:type="dxa"/>
            <w:tcBorders>
              <w:bottom w:val="nil"/>
            </w:tcBorders>
          </w:tcPr>
          <w:p w14:paraId="3F61B8B4" w14:textId="77777777" w:rsidR="001825E2" w:rsidRDefault="001825E2" w:rsidP="00CB00A7">
            <w:pPr>
              <w:pStyle w:val="TableParagraph"/>
              <w:ind w:left="0"/>
              <w:jc w:val="left"/>
              <w:rPr>
                <w:sz w:val="20"/>
              </w:rPr>
            </w:pPr>
          </w:p>
        </w:tc>
        <w:tc>
          <w:tcPr>
            <w:tcW w:w="1410" w:type="dxa"/>
            <w:tcBorders>
              <w:bottom w:val="nil"/>
            </w:tcBorders>
          </w:tcPr>
          <w:p w14:paraId="22F7AE01" w14:textId="77777777" w:rsidR="001825E2" w:rsidRDefault="001825E2" w:rsidP="00CB00A7">
            <w:pPr>
              <w:pStyle w:val="TableParagraph"/>
              <w:ind w:left="0"/>
              <w:jc w:val="left"/>
              <w:rPr>
                <w:sz w:val="20"/>
              </w:rPr>
            </w:pPr>
          </w:p>
        </w:tc>
      </w:tr>
      <w:tr w:rsidR="001825E2" w14:paraId="370193DE" w14:textId="77777777">
        <w:trPr>
          <w:trHeight w:val="825"/>
        </w:trPr>
        <w:tc>
          <w:tcPr>
            <w:tcW w:w="2190" w:type="dxa"/>
            <w:tcBorders>
              <w:top w:val="nil"/>
              <w:bottom w:val="nil"/>
            </w:tcBorders>
          </w:tcPr>
          <w:p w14:paraId="7BE6DB26" w14:textId="77777777" w:rsidR="001825E2" w:rsidRDefault="000839A5" w:rsidP="00CB00A7">
            <w:pPr>
              <w:pStyle w:val="TableParagraph"/>
              <w:spacing w:before="4" w:line="235" w:lineRule="auto"/>
              <w:ind w:right="122"/>
              <w:jc w:val="left"/>
              <w:rPr>
                <w:sz w:val="24"/>
              </w:rPr>
            </w:pPr>
            <w:r>
              <w:rPr>
                <w:sz w:val="24"/>
              </w:rPr>
              <w:t>tender/painful</w:t>
            </w:r>
            <w:r>
              <w:rPr>
                <w:spacing w:val="-15"/>
                <w:sz w:val="24"/>
              </w:rPr>
              <w:t xml:space="preserve"> </w:t>
            </w:r>
            <w:r>
              <w:rPr>
                <w:sz w:val="24"/>
              </w:rPr>
              <w:t xml:space="preserve">joints </w:t>
            </w:r>
            <w:r>
              <w:rPr>
                <w:spacing w:val="-2"/>
                <w:sz w:val="24"/>
              </w:rPr>
              <w:t>(0-68)</w:t>
            </w:r>
          </w:p>
          <w:p w14:paraId="62724341" w14:textId="77777777" w:rsidR="001825E2" w:rsidRDefault="000839A5" w:rsidP="00CB00A7">
            <w:pPr>
              <w:pStyle w:val="TableParagraph"/>
              <w:spacing w:line="260" w:lineRule="exact"/>
              <w:ind w:left="247"/>
              <w:jc w:val="left"/>
              <w:rPr>
                <w:sz w:val="24"/>
              </w:rPr>
            </w:pPr>
            <w:r>
              <w:rPr>
                <w:spacing w:val="-2"/>
                <w:sz w:val="24"/>
              </w:rPr>
              <w:t>Baseline</w:t>
            </w:r>
          </w:p>
        </w:tc>
        <w:tc>
          <w:tcPr>
            <w:tcW w:w="1410" w:type="dxa"/>
            <w:tcBorders>
              <w:top w:val="nil"/>
              <w:bottom w:val="nil"/>
            </w:tcBorders>
          </w:tcPr>
          <w:p w14:paraId="548AF798" w14:textId="77777777" w:rsidR="001825E2" w:rsidRDefault="001825E2" w:rsidP="00CB00A7">
            <w:pPr>
              <w:pStyle w:val="TableParagraph"/>
              <w:spacing w:before="263"/>
              <w:ind w:left="0"/>
              <w:jc w:val="left"/>
              <w:rPr>
                <w:b/>
                <w:sz w:val="24"/>
              </w:rPr>
            </w:pPr>
          </w:p>
          <w:p w14:paraId="72495A08" w14:textId="77777777" w:rsidR="001825E2" w:rsidRDefault="000839A5" w:rsidP="00CB00A7">
            <w:pPr>
              <w:pStyle w:val="TableParagraph"/>
              <w:spacing w:line="266" w:lineRule="exact"/>
              <w:ind w:left="30"/>
              <w:jc w:val="left"/>
              <w:rPr>
                <w:sz w:val="24"/>
              </w:rPr>
            </w:pPr>
            <w:r>
              <w:rPr>
                <w:spacing w:val="-4"/>
                <w:sz w:val="24"/>
              </w:rPr>
              <w:t>20.6</w:t>
            </w:r>
          </w:p>
        </w:tc>
        <w:tc>
          <w:tcPr>
            <w:tcW w:w="1410" w:type="dxa"/>
            <w:tcBorders>
              <w:top w:val="nil"/>
              <w:bottom w:val="nil"/>
            </w:tcBorders>
          </w:tcPr>
          <w:p w14:paraId="030FE09E" w14:textId="77777777" w:rsidR="001825E2" w:rsidRDefault="001825E2" w:rsidP="00CB00A7">
            <w:pPr>
              <w:pStyle w:val="TableParagraph"/>
              <w:spacing w:before="263"/>
              <w:ind w:left="0"/>
              <w:jc w:val="left"/>
              <w:rPr>
                <w:b/>
                <w:sz w:val="24"/>
              </w:rPr>
            </w:pPr>
          </w:p>
          <w:p w14:paraId="1328BCAE" w14:textId="77777777" w:rsidR="001825E2" w:rsidRDefault="000839A5" w:rsidP="00CB00A7">
            <w:pPr>
              <w:pStyle w:val="TableParagraph"/>
              <w:spacing w:line="266" w:lineRule="exact"/>
              <w:ind w:left="30"/>
              <w:jc w:val="left"/>
              <w:rPr>
                <w:sz w:val="24"/>
              </w:rPr>
            </w:pPr>
            <w:r>
              <w:rPr>
                <w:spacing w:val="-4"/>
                <w:sz w:val="24"/>
              </w:rPr>
              <w:t>20.5</w:t>
            </w:r>
          </w:p>
        </w:tc>
        <w:tc>
          <w:tcPr>
            <w:tcW w:w="1620" w:type="dxa"/>
            <w:tcBorders>
              <w:top w:val="nil"/>
              <w:bottom w:val="nil"/>
            </w:tcBorders>
          </w:tcPr>
          <w:p w14:paraId="1CDB2A4B" w14:textId="77777777" w:rsidR="001825E2" w:rsidRDefault="001825E2" w:rsidP="00CB00A7">
            <w:pPr>
              <w:pStyle w:val="TableParagraph"/>
              <w:spacing w:before="263"/>
              <w:ind w:left="0"/>
              <w:jc w:val="left"/>
              <w:rPr>
                <w:b/>
                <w:sz w:val="24"/>
              </w:rPr>
            </w:pPr>
          </w:p>
          <w:p w14:paraId="1EF249E1" w14:textId="77777777" w:rsidR="001825E2" w:rsidRDefault="000839A5" w:rsidP="00CB00A7">
            <w:pPr>
              <w:pStyle w:val="TableParagraph"/>
              <w:spacing w:line="266" w:lineRule="exact"/>
              <w:ind w:left="146" w:right="116"/>
              <w:jc w:val="left"/>
              <w:rPr>
                <w:sz w:val="24"/>
              </w:rPr>
            </w:pPr>
            <w:r>
              <w:rPr>
                <w:spacing w:val="-4"/>
                <w:sz w:val="24"/>
              </w:rPr>
              <w:t>17.1</w:t>
            </w:r>
          </w:p>
        </w:tc>
        <w:tc>
          <w:tcPr>
            <w:tcW w:w="1200" w:type="dxa"/>
            <w:tcBorders>
              <w:top w:val="nil"/>
              <w:bottom w:val="nil"/>
            </w:tcBorders>
          </w:tcPr>
          <w:p w14:paraId="5008ECEB" w14:textId="77777777" w:rsidR="001825E2" w:rsidRDefault="001825E2" w:rsidP="00CB00A7">
            <w:pPr>
              <w:pStyle w:val="TableParagraph"/>
              <w:spacing w:before="263"/>
              <w:ind w:left="0"/>
              <w:jc w:val="left"/>
              <w:rPr>
                <w:b/>
                <w:sz w:val="24"/>
              </w:rPr>
            </w:pPr>
          </w:p>
          <w:p w14:paraId="0175C559" w14:textId="77777777" w:rsidR="001825E2" w:rsidRDefault="000839A5" w:rsidP="00CB00A7">
            <w:pPr>
              <w:pStyle w:val="TableParagraph"/>
              <w:spacing w:line="266" w:lineRule="exact"/>
              <w:ind w:left="30"/>
              <w:jc w:val="left"/>
              <w:rPr>
                <w:sz w:val="24"/>
              </w:rPr>
            </w:pPr>
            <w:r>
              <w:rPr>
                <w:spacing w:val="-4"/>
                <w:sz w:val="24"/>
              </w:rPr>
              <w:t>19.8</w:t>
            </w:r>
          </w:p>
        </w:tc>
        <w:tc>
          <w:tcPr>
            <w:tcW w:w="1410" w:type="dxa"/>
            <w:tcBorders>
              <w:top w:val="nil"/>
              <w:bottom w:val="nil"/>
            </w:tcBorders>
          </w:tcPr>
          <w:p w14:paraId="1E208FDF" w14:textId="77777777" w:rsidR="001825E2" w:rsidRDefault="001825E2" w:rsidP="00CB00A7">
            <w:pPr>
              <w:pStyle w:val="TableParagraph"/>
              <w:spacing w:before="263"/>
              <w:ind w:left="0"/>
              <w:jc w:val="left"/>
              <w:rPr>
                <w:b/>
                <w:sz w:val="24"/>
              </w:rPr>
            </w:pPr>
          </w:p>
          <w:p w14:paraId="623C1BC1" w14:textId="77777777" w:rsidR="001825E2" w:rsidRDefault="000839A5" w:rsidP="00CB00A7">
            <w:pPr>
              <w:pStyle w:val="TableParagraph"/>
              <w:spacing w:line="266" w:lineRule="exact"/>
              <w:ind w:left="30"/>
              <w:jc w:val="left"/>
              <w:rPr>
                <w:sz w:val="24"/>
              </w:rPr>
            </w:pPr>
            <w:r>
              <w:rPr>
                <w:spacing w:val="-4"/>
                <w:sz w:val="24"/>
              </w:rPr>
              <w:t>20.5</w:t>
            </w:r>
          </w:p>
        </w:tc>
      </w:tr>
      <w:tr w:rsidR="001825E2" w14:paraId="252FC61E" w14:textId="77777777">
        <w:trPr>
          <w:trHeight w:val="268"/>
        </w:trPr>
        <w:tc>
          <w:tcPr>
            <w:tcW w:w="2190" w:type="dxa"/>
            <w:tcBorders>
              <w:top w:val="nil"/>
            </w:tcBorders>
          </w:tcPr>
          <w:p w14:paraId="52927839" w14:textId="77777777" w:rsidR="001825E2" w:rsidRDefault="000839A5" w:rsidP="00CB00A7">
            <w:pPr>
              <w:pStyle w:val="TableParagraph"/>
              <w:spacing w:line="248" w:lineRule="exact"/>
              <w:ind w:left="247"/>
              <w:jc w:val="left"/>
              <w:rPr>
                <w:sz w:val="24"/>
              </w:rPr>
            </w:pPr>
            <w:r>
              <w:rPr>
                <w:sz w:val="24"/>
              </w:rPr>
              <w:t>Month</w:t>
            </w:r>
            <w:r>
              <w:rPr>
                <w:spacing w:val="4"/>
                <w:sz w:val="24"/>
              </w:rPr>
              <w:t xml:space="preserve"> </w:t>
            </w:r>
            <w:r>
              <w:rPr>
                <w:spacing w:val="-10"/>
                <w:sz w:val="24"/>
              </w:rPr>
              <w:t>3</w:t>
            </w:r>
          </w:p>
        </w:tc>
        <w:tc>
          <w:tcPr>
            <w:tcW w:w="1410" w:type="dxa"/>
            <w:tcBorders>
              <w:top w:val="nil"/>
            </w:tcBorders>
          </w:tcPr>
          <w:p w14:paraId="581B14F9" w14:textId="77777777" w:rsidR="001825E2" w:rsidRDefault="000839A5" w:rsidP="00CB00A7">
            <w:pPr>
              <w:pStyle w:val="TableParagraph"/>
              <w:spacing w:line="248" w:lineRule="exact"/>
              <w:ind w:left="30"/>
              <w:jc w:val="left"/>
              <w:rPr>
                <w:sz w:val="24"/>
              </w:rPr>
            </w:pPr>
            <w:r>
              <w:rPr>
                <w:spacing w:val="-4"/>
                <w:sz w:val="24"/>
              </w:rPr>
              <w:t>14.6</w:t>
            </w:r>
          </w:p>
        </w:tc>
        <w:tc>
          <w:tcPr>
            <w:tcW w:w="1410" w:type="dxa"/>
            <w:tcBorders>
              <w:top w:val="nil"/>
            </w:tcBorders>
          </w:tcPr>
          <w:p w14:paraId="22006E60" w14:textId="77777777" w:rsidR="001825E2" w:rsidRDefault="000839A5" w:rsidP="00CB00A7">
            <w:pPr>
              <w:pStyle w:val="TableParagraph"/>
              <w:spacing w:line="248" w:lineRule="exact"/>
              <w:ind w:left="30"/>
              <w:jc w:val="left"/>
              <w:rPr>
                <w:sz w:val="24"/>
              </w:rPr>
            </w:pPr>
            <w:r>
              <w:rPr>
                <w:spacing w:val="-4"/>
                <w:sz w:val="24"/>
              </w:rPr>
              <w:t>12.2</w:t>
            </w:r>
          </w:p>
        </w:tc>
        <w:tc>
          <w:tcPr>
            <w:tcW w:w="1620" w:type="dxa"/>
            <w:tcBorders>
              <w:top w:val="nil"/>
            </w:tcBorders>
          </w:tcPr>
          <w:p w14:paraId="05970B28" w14:textId="77777777" w:rsidR="001825E2" w:rsidRDefault="000839A5" w:rsidP="00CB00A7">
            <w:pPr>
              <w:pStyle w:val="TableParagraph"/>
              <w:spacing w:line="248" w:lineRule="exact"/>
              <w:ind w:left="146" w:right="116"/>
              <w:jc w:val="left"/>
              <w:rPr>
                <w:sz w:val="24"/>
              </w:rPr>
            </w:pPr>
            <w:r>
              <w:rPr>
                <w:spacing w:val="-4"/>
                <w:sz w:val="24"/>
              </w:rPr>
              <w:t>10.8</w:t>
            </w:r>
          </w:p>
        </w:tc>
        <w:tc>
          <w:tcPr>
            <w:tcW w:w="1200" w:type="dxa"/>
            <w:tcBorders>
              <w:top w:val="nil"/>
            </w:tcBorders>
          </w:tcPr>
          <w:p w14:paraId="0E93AC71" w14:textId="77777777" w:rsidR="001825E2" w:rsidRDefault="000839A5" w:rsidP="00CB00A7">
            <w:pPr>
              <w:pStyle w:val="TableParagraph"/>
              <w:spacing w:line="248" w:lineRule="exact"/>
              <w:ind w:left="30"/>
              <w:jc w:val="left"/>
              <w:rPr>
                <w:sz w:val="24"/>
              </w:rPr>
            </w:pPr>
            <w:r>
              <w:rPr>
                <w:spacing w:val="-4"/>
                <w:sz w:val="24"/>
              </w:rPr>
              <w:t>15.1</w:t>
            </w:r>
          </w:p>
        </w:tc>
        <w:tc>
          <w:tcPr>
            <w:tcW w:w="1410" w:type="dxa"/>
            <w:tcBorders>
              <w:top w:val="nil"/>
            </w:tcBorders>
          </w:tcPr>
          <w:p w14:paraId="524B1349" w14:textId="77777777" w:rsidR="001825E2" w:rsidRDefault="000839A5" w:rsidP="00CB00A7">
            <w:pPr>
              <w:pStyle w:val="TableParagraph"/>
              <w:spacing w:line="248" w:lineRule="exact"/>
              <w:ind w:left="30"/>
              <w:jc w:val="left"/>
              <w:rPr>
                <w:sz w:val="24"/>
              </w:rPr>
            </w:pPr>
            <w:r>
              <w:rPr>
                <w:spacing w:val="-4"/>
                <w:sz w:val="24"/>
              </w:rPr>
              <w:t>11.5</w:t>
            </w:r>
          </w:p>
        </w:tc>
      </w:tr>
      <w:tr w:rsidR="001825E2" w14:paraId="408B39A7" w14:textId="77777777">
        <w:trPr>
          <w:trHeight w:val="556"/>
        </w:trPr>
        <w:tc>
          <w:tcPr>
            <w:tcW w:w="2190" w:type="dxa"/>
            <w:tcBorders>
              <w:bottom w:val="nil"/>
            </w:tcBorders>
          </w:tcPr>
          <w:p w14:paraId="34D02445" w14:textId="77777777" w:rsidR="001825E2" w:rsidRDefault="000839A5" w:rsidP="00CB00A7">
            <w:pPr>
              <w:pStyle w:val="TableParagraph"/>
              <w:spacing w:line="270" w:lineRule="exact"/>
              <w:jc w:val="left"/>
              <w:rPr>
                <w:sz w:val="24"/>
              </w:rPr>
            </w:pPr>
            <w:r>
              <w:rPr>
                <w:sz w:val="24"/>
              </w:rPr>
              <w:t>Number</w:t>
            </w:r>
            <w:r>
              <w:rPr>
                <w:spacing w:val="-15"/>
                <w:sz w:val="24"/>
              </w:rPr>
              <w:t xml:space="preserve"> </w:t>
            </w:r>
            <w:r>
              <w:rPr>
                <w:sz w:val="24"/>
              </w:rPr>
              <w:t>of</w:t>
            </w:r>
            <w:r>
              <w:rPr>
                <w:spacing w:val="-15"/>
                <w:sz w:val="24"/>
              </w:rPr>
              <w:t xml:space="preserve"> </w:t>
            </w:r>
            <w:r>
              <w:rPr>
                <w:sz w:val="24"/>
              </w:rPr>
              <w:t>swollen joints (0-66)</w:t>
            </w:r>
          </w:p>
        </w:tc>
        <w:tc>
          <w:tcPr>
            <w:tcW w:w="1410" w:type="dxa"/>
            <w:tcBorders>
              <w:bottom w:val="nil"/>
            </w:tcBorders>
          </w:tcPr>
          <w:p w14:paraId="300C4DD3" w14:textId="77777777" w:rsidR="001825E2" w:rsidRDefault="001825E2" w:rsidP="00CB00A7">
            <w:pPr>
              <w:pStyle w:val="TableParagraph"/>
              <w:ind w:left="0"/>
              <w:jc w:val="left"/>
              <w:rPr>
                <w:sz w:val="20"/>
              </w:rPr>
            </w:pPr>
          </w:p>
        </w:tc>
        <w:tc>
          <w:tcPr>
            <w:tcW w:w="1410" w:type="dxa"/>
            <w:tcBorders>
              <w:bottom w:val="nil"/>
            </w:tcBorders>
          </w:tcPr>
          <w:p w14:paraId="63125A90" w14:textId="77777777" w:rsidR="001825E2" w:rsidRDefault="001825E2" w:rsidP="00CB00A7">
            <w:pPr>
              <w:pStyle w:val="TableParagraph"/>
              <w:ind w:left="0"/>
              <w:jc w:val="left"/>
              <w:rPr>
                <w:sz w:val="20"/>
              </w:rPr>
            </w:pPr>
          </w:p>
        </w:tc>
        <w:tc>
          <w:tcPr>
            <w:tcW w:w="1620" w:type="dxa"/>
            <w:tcBorders>
              <w:bottom w:val="nil"/>
            </w:tcBorders>
          </w:tcPr>
          <w:p w14:paraId="52292805" w14:textId="77777777" w:rsidR="001825E2" w:rsidRDefault="001825E2" w:rsidP="00CB00A7">
            <w:pPr>
              <w:pStyle w:val="TableParagraph"/>
              <w:ind w:left="0"/>
              <w:jc w:val="left"/>
              <w:rPr>
                <w:sz w:val="20"/>
              </w:rPr>
            </w:pPr>
          </w:p>
        </w:tc>
        <w:tc>
          <w:tcPr>
            <w:tcW w:w="1200" w:type="dxa"/>
            <w:tcBorders>
              <w:bottom w:val="nil"/>
            </w:tcBorders>
          </w:tcPr>
          <w:p w14:paraId="0FF11C44" w14:textId="77777777" w:rsidR="001825E2" w:rsidRDefault="001825E2" w:rsidP="00CB00A7">
            <w:pPr>
              <w:pStyle w:val="TableParagraph"/>
              <w:ind w:left="0"/>
              <w:jc w:val="left"/>
              <w:rPr>
                <w:sz w:val="20"/>
              </w:rPr>
            </w:pPr>
          </w:p>
        </w:tc>
        <w:tc>
          <w:tcPr>
            <w:tcW w:w="1410" w:type="dxa"/>
            <w:tcBorders>
              <w:bottom w:val="nil"/>
            </w:tcBorders>
          </w:tcPr>
          <w:p w14:paraId="2FD60504" w14:textId="77777777" w:rsidR="001825E2" w:rsidRDefault="001825E2" w:rsidP="00CB00A7">
            <w:pPr>
              <w:pStyle w:val="TableParagraph"/>
              <w:ind w:left="0"/>
              <w:jc w:val="left"/>
              <w:rPr>
                <w:sz w:val="20"/>
              </w:rPr>
            </w:pPr>
          </w:p>
        </w:tc>
      </w:tr>
      <w:tr w:rsidR="001825E2" w14:paraId="56E74156" w14:textId="77777777">
        <w:trPr>
          <w:trHeight w:val="553"/>
        </w:trPr>
        <w:tc>
          <w:tcPr>
            <w:tcW w:w="2190" w:type="dxa"/>
            <w:tcBorders>
              <w:top w:val="nil"/>
            </w:tcBorders>
          </w:tcPr>
          <w:p w14:paraId="382F9548" w14:textId="77777777" w:rsidR="001825E2" w:rsidRDefault="000839A5" w:rsidP="00CB00A7">
            <w:pPr>
              <w:pStyle w:val="TableParagraph"/>
              <w:spacing w:line="270" w:lineRule="exact"/>
              <w:ind w:left="247" w:right="1093"/>
              <w:jc w:val="left"/>
              <w:rPr>
                <w:sz w:val="24"/>
              </w:rPr>
            </w:pPr>
            <w:r>
              <w:rPr>
                <w:spacing w:val="-2"/>
                <w:sz w:val="24"/>
              </w:rPr>
              <w:t xml:space="preserve">Baseline </w:t>
            </w:r>
            <w:r>
              <w:rPr>
                <w:sz w:val="24"/>
              </w:rPr>
              <w:t>Month</w:t>
            </w:r>
            <w:r>
              <w:rPr>
                <w:spacing w:val="4"/>
                <w:sz w:val="24"/>
              </w:rPr>
              <w:t xml:space="preserve"> </w:t>
            </w:r>
            <w:r>
              <w:rPr>
                <w:spacing w:val="-10"/>
                <w:sz w:val="24"/>
              </w:rPr>
              <w:t>3</w:t>
            </w:r>
          </w:p>
        </w:tc>
        <w:tc>
          <w:tcPr>
            <w:tcW w:w="1410" w:type="dxa"/>
            <w:tcBorders>
              <w:top w:val="nil"/>
            </w:tcBorders>
          </w:tcPr>
          <w:p w14:paraId="147ECE4A" w14:textId="77777777" w:rsidR="001825E2" w:rsidRDefault="000839A5" w:rsidP="00CB00A7">
            <w:pPr>
              <w:pStyle w:val="TableParagraph"/>
              <w:spacing w:line="272" w:lineRule="exact"/>
              <w:ind w:left="30"/>
              <w:jc w:val="left"/>
              <w:rPr>
                <w:sz w:val="24"/>
              </w:rPr>
            </w:pPr>
            <w:r>
              <w:rPr>
                <w:spacing w:val="-4"/>
                <w:sz w:val="24"/>
              </w:rPr>
              <w:t>11.5</w:t>
            </w:r>
          </w:p>
          <w:p w14:paraId="5FBCAC45" w14:textId="77777777" w:rsidR="001825E2" w:rsidRDefault="000839A5" w:rsidP="00CB00A7">
            <w:pPr>
              <w:pStyle w:val="TableParagraph"/>
              <w:spacing w:line="261" w:lineRule="exact"/>
              <w:ind w:left="30"/>
              <w:jc w:val="left"/>
              <w:rPr>
                <w:sz w:val="24"/>
              </w:rPr>
            </w:pPr>
            <w:r>
              <w:rPr>
                <w:spacing w:val="-5"/>
                <w:sz w:val="24"/>
              </w:rPr>
              <w:t>7.1</w:t>
            </w:r>
          </w:p>
        </w:tc>
        <w:tc>
          <w:tcPr>
            <w:tcW w:w="1410" w:type="dxa"/>
            <w:tcBorders>
              <w:top w:val="nil"/>
            </w:tcBorders>
          </w:tcPr>
          <w:p w14:paraId="6429C687" w14:textId="77777777" w:rsidR="001825E2" w:rsidRDefault="000839A5" w:rsidP="00CB00A7">
            <w:pPr>
              <w:pStyle w:val="TableParagraph"/>
              <w:spacing w:line="272" w:lineRule="exact"/>
              <w:ind w:left="30"/>
              <w:jc w:val="left"/>
              <w:rPr>
                <w:sz w:val="24"/>
              </w:rPr>
            </w:pPr>
            <w:r>
              <w:rPr>
                <w:spacing w:val="-4"/>
                <w:sz w:val="24"/>
              </w:rPr>
              <w:t>12.9</w:t>
            </w:r>
          </w:p>
          <w:p w14:paraId="31B225BA" w14:textId="77777777" w:rsidR="001825E2" w:rsidRDefault="000839A5" w:rsidP="00CB00A7">
            <w:pPr>
              <w:pStyle w:val="TableParagraph"/>
              <w:spacing w:line="261" w:lineRule="exact"/>
              <w:ind w:left="30"/>
              <w:jc w:val="left"/>
              <w:rPr>
                <w:sz w:val="24"/>
              </w:rPr>
            </w:pPr>
            <w:r>
              <w:rPr>
                <w:spacing w:val="-5"/>
                <w:sz w:val="24"/>
              </w:rPr>
              <w:t>6.3</w:t>
            </w:r>
          </w:p>
        </w:tc>
        <w:tc>
          <w:tcPr>
            <w:tcW w:w="1620" w:type="dxa"/>
            <w:tcBorders>
              <w:top w:val="nil"/>
            </w:tcBorders>
          </w:tcPr>
          <w:p w14:paraId="1A5E0DA4" w14:textId="77777777" w:rsidR="001825E2" w:rsidRDefault="000839A5" w:rsidP="00CB00A7">
            <w:pPr>
              <w:pStyle w:val="TableParagraph"/>
              <w:spacing w:line="272" w:lineRule="exact"/>
              <w:ind w:left="146" w:right="116"/>
              <w:jc w:val="left"/>
              <w:rPr>
                <w:sz w:val="24"/>
              </w:rPr>
            </w:pPr>
            <w:r>
              <w:rPr>
                <w:spacing w:val="-5"/>
                <w:sz w:val="24"/>
              </w:rPr>
              <w:t>9.8</w:t>
            </w:r>
          </w:p>
          <w:p w14:paraId="253E017B" w14:textId="77777777" w:rsidR="001825E2" w:rsidRDefault="000839A5" w:rsidP="00CB00A7">
            <w:pPr>
              <w:pStyle w:val="TableParagraph"/>
              <w:spacing w:line="261" w:lineRule="exact"/>
              <w:ind w:left="146" w:right="116"/>
              <w:jc w:val="left"/>
              <w:rPr>
                <w:sz w:val="24"/>
              </w:rPr>
            </w:pPr>
            <w:r>
              <w:rPr>
                <w:spacing w:val="-5"/>
                <w:sz w:val="24"/>
              </w:rPr>
              <w:t>4.0</w:t>
            </w:r>
          </w:p>
        </w:tc>
        <w:tc>
          <w:tcPr>
            <w:tcW w:w="1200" w:type="dxa"/>
            <w:tcBorders>
              <w:top w:val="nil"/>
            </w:tcBorders>
          </w:tcPr>
          <w:p w14:paraId="56CB884D" w14:textId="77777777" w:rsidR="001825E2" w:rsidRDefault="000839A5" w:rsidP="00CB00A7">
            <w:pPr>
              <w:pStyle w:val="TableParagraph"/>
              <w:spacing w:line="272" w:lineRule="exact"/>
              <w:ind w:left="30"/>
              <w:jc w:val="left"/>
              <w:rPr>
                <w:sz w:val="24"/>
              </w:rPr>
            </w:pPr>
            <w:r>
              <w:rPr>
                <w:spacing w:val="-4"/>
                <w:sz w:val="24"/>
              </w:rPr>
              <w:t>10.5</w:t>
            </w:r>
          </w:p>
          <w:p w14:paraId="5938C9CA" w14:textId="77777777" w:rsidR="001825E2" w:rsidRDefault="000839A5" w:rsidP="00CB00A7">
            <w:pPr>
              <w:pStyle w:val="TableParagraph"/>
              <w:spacing w:line="261" w:lineRule="exact"/>
              <w:ind w:left="30"/>
              <w:jc w:val="left"/>
              <w:rPr>
                <w:sz w:val="24"/>
              </w:rPr>
            </w:pPr>
            <w:r>
              <w:rPr>
                <w:spacing w:val="-5"/>
                <w:sz w:val="24"/>
              </w:rPr>
              <w:t>7.7</w:t>
            </w:r>
          </w:p>
        </w:tc>
        <w:tc>
          <w:tcPr>
            <w:tcW w:w="1410" w:type="dxa"/>
            <w:tcBorders>
              <w:top w:val="nil"/>
            </w:tcBorders>
          </w:tcPr>
          <w:p w14:paraId="72A21FB9" w14:textId="77777777" w:rsidR="001825E2" w:rsidRDefault="000839A5" w:rsidP="00CB00A7">
            <w:pPr>
              <w:pStyle w:val="TableParagraph"/>
              <w:spacing w:line="272" w:lineRule="exact"/>
              <w:ind w:left="30"/>
              <w:jc w:val="left"/>
              <w:rPr>
                <w:sz w:val="24"/>
              </w:rPr>
            </w:pPr>
            <w:r>
              <w:rPr>
                <w:spacing w:val="-4"/>
                <w:sz w:val="24"/>
              </w:rPr>
              <w:t>12.1</w:t>
            </w:r>
          </w:p>
          <w:p w14:paraId="50A7F823" w14:textId="77777777" w:rsidR="001825E2" w:rsidRDefault="000839A5" w:rsidP="00CB00A7">
            <w:pPr>
              <w:pStyle w:val="TableParagraph"/>
              <w:spacing w:line="261" w:lineRule="exact"/>
              <w:ind w:left="30"/>
              <w:jc w:val="left"/>
              <w:rPr>
                <w:sz w:val="24"/>
              </w:rPr>
            </w:pPr>
            <w:r>
              <w:rPr>
                <w:spacing w:val="-5"/>
                <w:sz w:val="24"/>
              </w:rPr>
              <w:t>4.8</w:t>
            </w:r>
          </w:p>
        </w:tc>
      </w:tr>
      <w:tr w:rsidR="001825E2" w14:paraId="7E3638DA" w14:textId="77777777">
        <w:trPr>
          <w:trHeight w:val="267"/>
        </w:trPr>
        <w:tc>
          <w:tcPr>
            <w:tcW w:w="2190" w:type="dxa"/>
            <w:tcBorders>
              <w:bottom w:val="nil"/>
            </w:tcBorders>
          </w:tcPr>
          <w:p w14:paraId="00C26C4B" w14:textId="77777777" w:rsidR="001825E2" w:rsidRDefault="000839A5" w:rsidP="00CB00A7">
            <w:pPr>
              <w:pStyle w:val="TableParagraph"/>
              <w:spacing w:line="247" w:lineRule="exact"/>
              <w:jc w:val="left"/>
              <w:rPr>
                <w:sz w:val="24"/>
              </w:rPr>
            </w:pPr>
            <w:r>
              <w:rPr>
                <w:sz w:val="24"/>
              </w:rPr>
              <w:t>Patient</w:t>
            </w:r>
            <w:r>
              <w:rPr>
                <w:spacing w:val="-9"/>
                <w:sz w:val="24"/>
              </w:rPr>
              <w:t xml:space="preserve"> </w:t>
            </w:r>
            <w:r>
              <w:rPr>
                <w:spacing w:val="-2"/>
                <w:sz w:val="24"/>
              </w:rPr>
              <w:t>assessment</w:t>
            </w:r>
          </w:p>
        </w:tc>
        <w:tc>
          <w:tcPr>
            <w:tcW w:w="1410" w:type="dxa"/>
            <w:tcBorders>
              <w:bottom w:val="nil"/>
            </w:tcBorders>
          </w:tcPr>
          <w:p w14:paraId="3DC129E0" w14:textId="77777777" w:rsidR="001825E2" w:rsidRDefault="001825E2" w:rsidP="00CB00A7">
            <w:pPr>
              <w:pStyle w:val="TableParagraph"/>
              <w:ind w:left="0"/>
              <w:jc w:val="left"/>
              <w:rPr>
                <w:sz w:val="18"/>
              </w:rPr>
            </w:pPr>
          </w:p>
        </w:tc>
        <w:tc>
          <w:tcPr>
            <w:tcW w:w="1410" w:type="dxa"/>
            <w:tcBorders>
              <w:bottom w:val="nil"/>
            </w:tcBorders>
          </w:tcPr>
          <w:p w14:paraId="36704BCC" w14:textId="77777777" w:rsidR="001825E2" w:rsidRDefault="001825E2" w:rsidP="00CB00A7">
            <w:pPr>
              <w:pStyle w:val="TableParagraph"/>
              <w:ind w:left="0"/>
              <w:jc w:val="left"/>
              <w:rPr>
                <w:sz w:val="18"/>
              </w:rPr>
            </w:pPr>
          </w:p>
        </w:tc>
        <w:tc>
          <w:tcPr>
            <w:tcW w:w="1620" w:type="dxa"/>
            <w:tcBorders>
              <w:bottom w:val="nil"/>
            </w:tcBorders>
          </w:tcPr>
          <w:p w14:paraId="0D1892C0" w14:textId="77777777" w:rsidR="001825E2" w:rsidRDefault="001825E2" w:rsidP="00CB00A7">
            <w:pPr>
              <w:pStyle w:val="TableParagraph"/>
              <w:ind w:left="0"/>
              <w:jc w:val="left"/>
              <w:rPr>
                <w:sz w:val="18"/>
              </w:rPr>
            </w:pPr>
          </w:p>
        </w:tc>
        <w:tc>
          <w:tcPr>
            <w:tcW w:w="1200" w:type="dxa"/>
            <w:tcBorders>
              <w:bottom w:val="nil"/>
            </w:tcBorders>
          </w:tcPr>
          <w:p w14:paraId="02C287BA" w14:textId="77777777" w:rsidR="001825E2" w:rsidRDefault="001825E2" w:rsidP="00CB00A7">
            <w:pPr>
              <w:pStyle w:val="TableParagraph"/>
              <w:ind w:left="0"/>
              <w:jc w:val="left"/>
              <w:rPr>
                <w:sz w:val="18"/>
              </w:rPr>
            </w:pPr>
          </w:p>
        </w:tc>
        <w:tc>
          <w:tcPr>
            <w:tcW w:w="1410" w:type="dxa"/>
            <w:tcBorders>
              <w:bottom w:val="nil"/>
            </w:tcBorders>
          </w:tcPr>
          <w:p w14:paraId="7BDD91FB" w14:textId="77777777" w:rsidR="001825E2" w:rsidRDefault="001825E2" w:rsidP="00CB00A7">
            <w:pPr>
              <w:pStyle w:val="TableParagraph"/>
              <w:ind w:left="0"/>
              <w:jc w:val="left"/>
              <w:rPr>
                <w:sz w:val="18"/>
              </w:rPr>
            </w:pPr>
          </w:p>
        </w:tc>
      </w:tr>
      <w:tr w:rsidR="001825E2" w14:paraId="3932C2EB" w14:textId="77777777">
        <w:trPr>
          <w:trHeight w:val="281"/>
        </w:trPr>
        <w:tc>
          <w:tcPr>
            <w:tcW w:w="2190" w:type="dxa"/>
            <w:tcBorders>
              <w:top w:val="nil"/>
              <w:bottom w:val="nil"/>
            </w:tcBorders>
          </w:tcPr>
          <w:p w14:paraId="012FFEE8" w14:textId="77777777" w:rsidR="001825E2" w:rsidRDefault="000839A5" w:rsidP="00CB00A7">
            <w:pPr>
              <w:pStyle w:val="TableParagraph"/>
              <w:spacing w:before="3" w:line="258" w:lineRule="exact"/>
              <w:jc w:val="left"/>
              <w:rPr>
                <w:sz w:val="16"/>
              </w:rPr>
            </w:pPr>
            <w:r>
              <w:rPr>
                <w:sz w:val="24"/>
              </w:rPr>
              <w:t>of</w:t>
            </w:r>
            <w:r>
              <w:rPr>
                <w:spacing w:val="-12"/>
                <w:sz w:val="24"/>
              </w:rPr>
              <w:t xml:space="preserve"> </w:t>
            </w:r>
            <w:r>
              <w:rPr>
                <w:sz w:val="24"/>
              </w:rPr>
              <w:t>arthritis</w:t>
            </w:r>
            <w:r>
              <w:rPr>
                <w:spacing w:val="6"/>
                <w:sz w:val="24"/>
              </w:rPr>
              <w:t xml:space="preserve"> </w:t>
            </w:r>
            <w:r>
              <w:rPr>
                <w:spacing w:val="-4"/>
                <w:sz w:val="24"/>
              </w:rPr>
              <w:t>pain</w:t>
            </w:r>
            <w:r>
              <w:rPr>
                <w:spacing w:val="-4"/>
                <w:position w:val="7"/>
                <w:sz w:val="16"/>
              </w:rPr>
              <w:t>b</w:t>
            </w:r>
          </w:p>
        </w:tc>
        <w:tc>
          <w:tcPr>
            <w:tcW w:w="1410" w:type="dxa"/>
            <w:tcBorders>
              <w:top w:val="nil"/>
              <w:bottom w:val="nil"/>
            </w:tcBorders>
          </w:tcPr>
          <w:p w14:paraId="2952B990" w14:textId="77777777" w:rsidR="001825E2" w:rsidRDefault="001825E2" w:rsidP="00CB00A7">
            <w:pPr>
              <w:pStyle w:val="TableParagraph"/>
              <w:ind w:left="0"/>
              <w:jc w:val="left"/>
              <w:rPr>
                <w:sz w:val="20"/>
              </w:rPr>
            </w:pPr>
          </w:p>
        </w:tc>
        <w:tc>
          <w:tcPr>
            <w:tcW w:w="1410" w:type="dxa"/>
            <w:tcBorders>
              <w:top w:val="nil"/>
              <w:bottom w:val="nil"/>
            </w:tcBorders>
          </w:tcPr>
          <w:p w14:paraId="65A59464" w14:textId="77777777" w:rsidR="001825E2" w:rsidRDefault="001825E2" w:rsidP="00CB00A7">
            <w:pPr>
              <w:pStyle w:val="TableParagraph"/>
              <w:ind w:left="0"/>
              <w:jc w:val="left"/>
              <w:rPr>
                <w:sz w:val="20"/>
              </w:rPr>
            </w:pPr>
          </w:p>
        </w:tc>
        <w:tc>
          <w:tcPr>
            <w:tcW w:w="1620" w:type="dxa"/>
            <w:tcBorders>
              <w:top w:val="nil"/>
              <w:bottom w:val="nil"/>
            </w:tcBorders>
          </w:tcPr>
          <w:p w14:paraId="1C3AA5D2" w14:textId="77777777" w:rsidR="001825E2" w:rsidRDefault="001825E2" w:rsidP="00CB00A7">
            <w:pPr>
              <w:pStyle w:val="TableParagraph"/>
              <w:ind w:left="0"/>
              <w:jc w:val="left"/>
              <w:rPr>
                <w:sz w:val="20"/>
              </w:rPr>
            </w:pPr>
          </w:p>
        </w:tc>
        <w:tc>
          <w:tcPr>
            <w:tcW w:w="1200" w:type="dxa"/>
            <w:tcBorders>
              <w:top w:val="nil"/>
              <w:bottom w:val="nil"/>
            </w:tcBorders>
          </w:tcPr>
          <w:p w14:paraId="10F83139" w14:textId="77777777" w:rsidR="001825E2" w:rsidRDefault="001825E2" w:rsidP="00CB00A7">
            <w:pPr>
              <w:pStyle w:val="TableParagraph"/>
              <w:ind w:left="0"/>
              <w:jc w:val="left"/>
              <w:rPr>
                <w:sz w:val="20"/>
              </w:rPr>
            </w:pPr>
          </w:p>
        </w:tc>
        <w:tc>
          <w:tcPr>
            <w:tcW w:w="1410" w:type="dxa"/>
            <w:tcBorders>
              <w:top w:val="nil"/>
              <w:bottom w:val="nil"/>
            </w:tcBorders>
          </w:tcPr>
          <w:p w14:paraId="1C851992" w14:textId="77777777" w:rsidR="001825E2" w:rsidRDefault="001825E2" w:rsidP="00CB00A7">
            <w:pPr>
              <w:pStyle w:val="TableParagraph"/>
              <w:ind w:left="0"/>
              <w:jc w:val="left"/>
              <w:rPr>
                <w:sz w:val="20"/>
              </w:rPr>
            </w:pPr>
          </w:p>
        </w:tc>
      </w:tr>
      <w:tr w:rsidR="001825E2" w14:paraId="7929CE2A" w14:textId="77777777">
        <w:trPr>
          <w:trHeight w:val="270"/>
        </w:trPr>
        <w:tc>
          <w:tcPr>
            <w:tcW w:w="2190" w:type="dxa"/>
            <w:tcBorders>
              <w:top w:val="nil"/>
              <w:bottom w:val="nil"/>
            </w:tcBorders>
          </w:tcPr>
          <w:p w14:paraId="6B6C72C8" w14:textId="77777777" w:rsidR="001825E2" w:rsidRDefault="000839A5" w:rsidP="00CB00A7">
            <w:pPr>
              <w:pStyle w:val="TableParagraph"/>
              <w:spacing w:line="250" w:lineRule="exact"/>
              <w:ind w:left="247"/>
              <w:jc w:val="left"/>
              <w:rPr>
                <w:sz w:val="24"/>
              </w:rPr>
            </w:pPr>
            <w:r>
              <w:rPr>
                <w:spacing w:val="-2"/>
                <w:sz w:val="24"/>
              </w:rPr>
              <w:t>Baseline</w:t>
            </w:r>
          </w:p>
        </w:tc>
        <w:tc>
          <w:tcPr>
            <w:tcW w:w="1410" w:type="dxa"/>
            <w:tcBorders>
              <w:top w:val="nil"/>
              <w:bottom w:val="nil"/>
            </w:tcBorders>
          </w:tcPr>
          <w:p w14:paraId="3A7C5273" w14:textId="77777777" w:rsidR="001825E2" w:rsidRDefault="000839A5" w:rsidP="00CB00A7">
            <w:pPr>
              <w:pStyle w:val="TableParagraph"/>
              <w:spacing w:line="250" w:lineRule="exact"/>
              <w:ind w:left="30"/>
              <w:jc w:val="left"/>
              <w:rPr>
                <w:sz w:val="24"/>
              </w:rPr>
            </w:pPr>
            <w:r>
              <w:rPr>
                <w:spacing w:val="-4"/>
                <w:sz w:val="24"/>
              </w:rPr>
              <w:t>53.2</w:t>
            </w:r>
          </w:p>
        </w:tc>
        <w:tc>
          <w:tcPr>
            <w:tcW w:w="1410" w:type="dxa"/>
            <w:tcBorders>
              <w:top w:val="nil"/>
              <w:bottom w:val="nil"/>
            </w:tcBorders>
          </w:tcPr>
          <w:p w14:paraId="4E73DFEA" w14:textId="77777777" w:rsidR="001825E2" w:rsidRDefault="000839A5" w:rsidP="00CB00A7">
            <w:pPr>
              <w:pStyle w:val="TableParagraph"/>
              <w:spacing w:line="250" w:lineRule="exact"/>
              <w:ind w:left="30"/>
              <w:jc w:val="left"/>
              <w:rPr>
                <w:sz w:val="24"/>
              </w:rPr>
            </w:pPr>
            <w:r>
              <w:rPr>
                <w:spacing w:val="-4"/>
                <w:sz w:val="24"/>
              </w:rPr>
              <w:t>55.7</w:t>
            </w:r>
          </w:p>
        </w:tc>
        <w:tc>
          <w:tcPr>
            <w:tcW w:w="1620" w:type="dxa"/>
            <w:tcBorders>
              <w:top w:val="nil"/>
              <w:bottom w:val="nil"/>
            </w:tcBorders>
          </w:tcPr>
          <w:p w14:paraId="4E62018D" w14:textId="77777777" w:rsidR="001825E2" w:rsidRDefault="000839A5" w:rsidP="00CB00A7">
            <w:pPr>
              <w:pStyle w:val="TableParagraph"/>
              <w:spacing w:line="250" w:lineRule="exact"/>
              <w:ind w:left="146" w:right="116"/>
              <w:jc w:val="left"/>
              <w:rPr>
                <w:sz w:val="24"/>
              </w:rPr>
            </w:pPr>
            <w:r>
              <w:rPr>
                <w:spacing w:val="-4"/>
                <w:sz w:val="24"/>
              </w:rPr>
              <w:t>50.7</w:t>
            </w:r>
          </w:p>
        </w:tc>
        <w:tc>
          <w:tcPr>
            <w:tcW w:w="1200" w:type="dxa"/>
            <w:tcBorders>
              <w:top w:val="nil"/>
              <w:bottom w:val="nil"/>
            </w:tcBorders>
          </w:tcPr>
          <w:p w14:paraId="20E26D7E" w14:textId="77777777" w:rsidR="001825E2" w:rsidRDefault="000839A5" w:rsidP="00CB00A7">
            <w:pPr>
              <w:pStyle w:val="TableParagraph"/>
              <w:spacing w:line="250" w:lineRule="exact"/>
              <w:ind w:left="30"/>
              <w:jc w:val="left"/>
              <w:rPr>
                <w:sz w:val="24"/>
              </w:rPr>
            </w:pPr>
            <w:r>
              <w:rPr>
                <w:spacing w:val="-4"/>
                <w:sz w:val="24"/>
              </w:rPr>
              <w:t>54.9</w:t>
            </w:r>
          </w:p>
        </w:tc>
        <w:tc>
          <w:tcPr>
            <w:tcW w:w="1410" w:type="dxa"/>
            <w:tcBorders>
              <w:top w:val="nil"/>
              <w:bottom w:val="nil"/>
            </w:tcBorders>
          </w:tcPr>
          <w:p w14:paraId="298F4A80" w14:textId="77777777" w:rsidR="001825E2" w:rsidRDefault="000839A5" w:rsidP="00CB00A7">
            <w:pPr>
              <w:pStyle w:val="TableParagraph"/>
              <w:spacing w:line="250" w:lineRule="exact"/>
              <w:ind w:left="30"/>
              <w:jc w:val="left"/>
              <w:rPr>
                <w:sz w:val="24"/>
              </w:rPr>
            </w:pPr>
            <w:r>
              <w:rPr>
                <w:spacing w:val="-4"/>
                <w:sz w:val="24"/>
              </w:rPr>
              <w:t>56.4</w:t>
            </w:r>
          </w:p>
        </w:tc>
      </w:tr>
      <w:tr w:rsidR="001825E2" w14:paraId="2C906AAD" w14:textId="77777777">
        <w:trPr>
          <w:trHeight w:val="260"/>
        </w:trPr>
        <w:tc>
          <w:tcPr>
            <w:tcW w:w="2190" w:type="dxa"/>
            <w:tcBorders>
              <w:top w:val="nil"/>
            </w:tcBorders>
          </w:tcPr>
          <w:p w14:paraId="53D70DE7" w14:textId="77777777" w:rsidR="001825E2" w:rsidRDefault="000839A5" w:rsidP="00CB00A7">
            <w:pPr>
              <w:pStyle w:val="TableParagraph"/>
              <w:spacing w:line="241" w:lineRule="exact"/>
              <w:ind w:left="247"/>
              <w:jc w:val="left"/>
              <w:rPr>
                <w:sz w:val="24"/>
              </w:rPr>
            </w:pPr>
            <w:r>
              <w:rPr>
                <w:sz w:val="24"/>
              </w:rPr>
              <w:t>Month</w:t>
            </w:r>
            <w:r>
              <w:rPr>
                <w:spacing w:val="4"/>
                <w:sz w:val="24"/>
              </w:rPr>
              <w:t xml:space="preserve"> </w:t>
            </w:r>
            <w:r>
              <w:rPr>
                <w:spacing w:val="-10"/>
                <w:sz w:val="24"/>
              </w:rPr>
              <w:t>3</w:t>
            </w:r>
          </w:p>
        </w:tc>
        <w:tc>
          <w:tcPr>
            <w:tcW w:w="1410" w:type="dxa"/>
            <w:tcBorders>
              <w:top w:val="nil"/>
            </w:tcBorders>
          </w:tcPr>
          <w:p w14:paraId="7C3D3F71" w14:textId="77777777" w:rsidR="001825E2" w:rsidRDefault="000839A5" w:rsidP="00CB00A7">
            <w:pPr>
              <w:pStyle w:val="TableParagraph"/>
              <w:spacing w:line="241" w:lineRule="exact"/>
              <w:ind w:left="30"/>
              <w:jc w:val="left"/>
              <w:rPr>
                <w:sz w:val="24"/>
              </w:rPr>
            </w:pPr>
            <w:r>
              <w:rPr>
                <w:spacing w:val="-4"/>
                <w:sz w:val="24"/>
              </w:rPr>
              <w:t>44.7</w:t>
            </w:r>
          </w:p>
        </w:tc>
        <w:tc>
          <w:tcPr>
            <w:tcW w:w="1410" w:type="dxa"/>
            <w:tcBorders>
              <w:top w:val="nil"/>
            </w:tcBorders>
          </w:tcPr>
          <w:p w14:paraId="54B7BACD" w14:textId="77777777" w:rsidR="001825E2" w:rsidRDefault="000839A5" w:rsidP="00CB00A7">
            <w:pPr>
              <w:pStyle w:val="TableParagraph"/>
              <w:spacing w:line="241" w:lineRule="exact"/>
              <w:ind w:left="30"/>
              <w:jc w:val="left"/>
              <w:rPr>
                <w:sz w:val="24"/>
              </w:rPr>
            </w:pPr>
            <w:r>
              <w:rPr>
                <w:spacing w:val="-4"/>
                <w:sz w:val="24"/>
              </w:rPr>
              <w:t>34.7</w:t>
            </w:r>
          </w:p>
        </w:tc>
        <w:tc>
          <w:tcPr>
            <w:tcW w:w="1620" w:type="dxa"/>
            <w:tcBorders>
              <w:top w:val="nil"/>
            </w:tcBorders>
          </w:tcPr>
          <w:p w14:paraId="278621EA" w14:textId="77777777" w:rsidR="001825E2" w:rsidRDefault="000839A5" w:rsidP="00CB00A7">
            <w:pPr>
              <w:pStyle w:val="TableParagraph"/>
              <w:spacing w:line="241" w:lineRule="exact"/>
              <w:ind w:left="146" w:right="116"/>
              <w:jc w:val="left"/>
              <w:rPr>
                <w:sz w:val="24"/>
              </w:rPr>
            </w:pPr>
            <w:r>
              <w:rPr>
                <w:spacing w:val="-4"/>
                <w:sz w:val="24"/>
              </w:rPr>
              <w:t>32.5</w:t>
            </w:r>
          </w:p>
        </w:tc>
        <w:tc>
          <w:tcPr>
            <w:tcW w:w="1200" w:type="dxa"/>
            <w:tcBorders>
              <w:top w:val="nil"/>
            </w:tcBorders>
          </w:tcPr>
          <w:p w14:paraId="5FCFE6DF" w14:textId="77777777" w:rsidR="001825E2" w:rsidRDefault="000839A5" w:rsidP="00CB00A7">
            <w:pPr>
              <w:pStyle w:val="TableParagraph"/>
              <w:spacing w:line="241" w:lineRule="exact"/>
              <w:ind w:left="30"/>
              <w:jc w:val="left"/>
              <w:rPr>
                <w:sz w:val="24"/>
              </w:rPr>
            </w:pPr>
            <w:r>
              <w:rPr>
                <w:spacing w:val="-4"/>
                <w:sz w:val="24"/>
              </w:rPr>
              <w:t>48.0</w:t>
            </w:r>
          </w:p>
        </w:tc>
        <w:tc>
          <w:tcPr>
            <w:tcW w:w="1410" w:type="dxa"/>
            <w:tcBorders>
              <w:top w:val="nil"/>
            </w:tcBorders>
          </w:tcPr>
          <w:p w14:paraId="45D8E32F" w14:textId="77777777" w:rsidR="001825E2" w:rsidRDefault="000839A5" w:rsidP="00CB00A7">
            <w:pPr>
              <w:pStyle w:val="TableParagraph"/>
              <w:spacing w:line="241" w:lineRule="exact"/>
              <w:ind w:left="30"/>
              <w:jc w:val="left"/>
              <w:rPr>
                <w:sz w:val="24"/>
              </w:rPr>
            </w:pPr>
            <w:r>
              <w:rPr>
                <w:spacing w:val="-4"/>
                <w:sz w:val="24"/>
              </w:rPr>
              <w:t>36.1</w:t>
            </w:r>
          </w:p>
        </w:tc>
      </w:tr>
    </w:tbl>
    <w:p w14:paraId="3B593834" w14:textId="77777777" w:rsidR="001825E2" w:rsidRDefault="001825E2" w:rsidP="00CB00A7">
      <w:pPr>
        <w:spacing w:line="241" w:lineRule="exact"/>
        <w:rPr>
          <w:sz w:val="24"/>
        </w:rPr>
        <w:sectPr w:rsidR="001825E2">
          <w:pgSz w:w="11910" w:h="16850"/>
          <w:pgMar w:top="1360" w:right="700" w:bottom="1439" w:left="1220" w:header="0" w:footer="785" w:gutter="0"/>
          <w:cols w:space="720"/>
        </w:sect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90"/>
        <w:gridCol w:w="1410"/>
        <w:gridCol w:w="1410"/>
        <w:gridCol w:w="1620"/>
        <w:gridCol w:w="1200"/>
        <w:gridCol w:w="1410"/>
      </w:tblGrid>
      <w:tr w:rsidR="001825E2" w14:paraId="3C3E6135" w14:textId="77777777">
        <w:trPr>
          <w:trHeight w:val="540"/>
        </w:trPr>
        <w:tc>
          <w:tcPr>
            <w:tcW w:w="2190" w:type="dxa"/>
            <w:vMerge w:val="restart"/>
          </w:tcPr>
          <w:p w14:paraId="68CDF60F" w14:textId="77777777" w:rsidR="001825E2" w:rsidRDefault="001825E2" w:rsidP="00CB00A7">
            <w:pPr>
              <w:pStyle w:val="TableParagraph"/>
              <w:ind w:left="0"/>
              <w:jc w:val="left"/>
            </w:pPr>
          </w:p>
        </w:tc>
        <w:tc>
          <w:tcPr>
            <w:tcW w:w="4440" w:type="dxa"/>
            <w:gridSpan w:val="3"/>
          </w:tcPr>
          <w:p w14:paraId="40658F1E" w14:textId="77777777" w:rsidR="001825E2" w:rsidRDefault="000839A5" w:rsidP="00CB00A7">
            <w:pPr>
              <w:pStyle w:val="TableParagraph"/>
              <w:spacing w:line="270" w:lineRule="exact"/>
              <w:ind w:left="1897" w:hanging="1770"/>
              <w:jc w:val="left"/>
              <w:rPr>
                <w:sz w:val="24"/>
              </w:rPr>
            </w:pPr>
            <w:proofErr w:type="spellStart"/>
            <w:r>
              <w:rPr>
                <w:sz w:val="24"/>
              </w:rPr>
              <w:t>csDMARD</w:t>
            </w:r>
            <w:proofErr w:type="spellEnd"/>
            <w:r>
              <w:rPr>
                <w:spacing w:val="-12"/>
                <w:sz w:val="24"/>
              </w:rPr>
              <w:t xml:space="preserve"> </w:t>
            </w:r>
            <w:r>
              <w:rPr>
                <w:sz w:val="24"/>
              </w:rPr>
              <w:t>Inadequate</w:t>
            </w:r>
            <w:r>
              <w:rPr>
                <w:spacing w:val="-17"/>
                <w:sz w:val="24"/>
              </w:rPr>
              <w:t xml:space="preserve"> </w:t>
            </w:r>
            <w:r>
              <w:rPr>
                <w:sz w:val="24"/>
              </w:rPr>
              <w:t>Responders</w:t>
            </w:r>
            <w:r>
              <w:rPr>
                <w:position w:val="7"/>
                <w:sz w:val="16"/>
              </w:rPr>
              <w:t>d</w:t>
            </w:r>
            <w:r>
              <w:rPr>
                <w:spacing w:val="10"/>
                <w:position w:val="7"/>
                <w:sz w:val="16"/>
              </w:rPr>
              <w:t xml:space="preserve"> </w:t>
            </w:r>
            <w:r>
              <w:rPr>
                <w:sz w:val="24"/>
              </w:rPr>
              <w:t>(</w:t>
            </w:r>
            <w:proofErr w:type="spellStart"/>
            <w:r>
              <w:rPr>
                <w:sz w:val="24"/>
              </w:rPr>
              <w:t>TNFi</w:t>
            </w:r>
            <w:proofErr w:type="spellEnd"/>
            <w:r>
              <w:rPr>
                <w:sz w:val="24"/>
              </w:rPr>
              <w:t xml:space="preserve">- </w:t>
            </w:r>
            <w:r>
              <w:rPr>
                <w:spacing w:val="-2"/>
                <w:sz w:val="24"/>
              </w:rPr>
              <w:t>Naïve)</w:t>
            </w:r>
          </w:p>
        </w:tc>
        <w:tc>
          <w:tcPr>
            <w:tcW w:w="2610" w:type="dxa"/>
            <w:gridSpan w:val="2"/>
          </w:tcPr>
          <w:p w14:paraId="13303A6F" w14:textId="77777777" w:rsidR="001825E2" w:rsidRDefault="000839A5" w:rsidP="00CB00A7">
            <w:pPr>
              <w:pStyle w:val="TableParagraph"/>
              <w:spacing w:line="270" w:lineRule="exact"/>
              <w:ind w:left="712" w:hanging="240"/>
              <w:jc w:val="left"/>
              <w:rPr>
                <w:sz w:val="16"/>
              </w:rPr>
            </w:pPr>
            <w:proofErr w:type="spellStart"/>
            <w:r>
              <w:rPr>
                <w:sz w:val="24"/>
              </w:rPr>
              <w:t>TNFi</w:t>
            </w:r>
            <w:proofErr w:type="spellEnd"/>
            <w:r>
              <w:rPr>
                <w:spacing w:val="-4"/>
                <w:sz w:val="24"/>
              </w:rPr>
              <w:t xml:space="preserve"> </w:t>
            </w:r>
            <w:r>
              <w:rPr>
                <w:sz w:val="24"/>
              </w:rPr>
              <w:t xml:space="preserve">Inadequate </w:t>
            </w:r>
            <w:r>
              <w:rPr>
                <w:spacing w:val="-2"/>
                <w:sz w:val="24"/>
              </w:rPr>
              <w:t>Responders</w:t>
            </w:r>
            <w:r>
              <w:rPr>
                <w:spacing w:val="-2"/>
                <w:position w:val="7"/>
                <w:sz w:val="16"/>
              </w:rPr>
              <w:t>e</w:t>
            </w:r>
          </w:p>
        </w:tc>
      </w:tr>
      <w:tr w:rsidR="001825E2" w14:paraId="3BE07F97" w14:textId="77777777">
        <w:trPr>
          <w:trHeight w:val="285"/>
        </w:trPr>
        <w:tc>
          <w:tcPr>
            <w:tcW w:w="2190" w:type="dxa"/>
            <w:vMerge/>
            <w:tcBorders>
              <w:top w:val="nil"/>
            </w:tcBorders>
          </w:tcPr>
          <w:p w14:paraId="40240087" w14:textId="77777777" w:rsidR="001825E2" w:rsidRDefault="001825E2" w:rsidP="00CB00A7">
            <w:pPr>
              <w:rPr>
                <w:sz w:val="2"/>
                <w:szCs w:val="2"/>
              </w:rPr>
            </w:pPr>
          </w:p>
        </w:tc>
        <w:tc>
          <w:tcPr>
            <w:tcW w:w="4440" w:type="dxa"/>
            <w:gridSpan w:val="3"/>
          </w:tcPr>
          <w:p w14:paraId="4034FF74" w14:textId="77777777" w:rsidR="001825E2" w:rsidRDefault="000839A5" w:rsidP="00CB00A7">
            <w:pPr>
              <w:pStyle w:val="TableParagraph"/>
              <w:spacing w:before="1" w:line="264" w:lineRule="exact"/>
              <w:ind w:left="1282"/>
              <w:jc w:val="left"/>
              <w:rPr>
                <w:sz w:val="24"/>
              </w:rPr>
            </w:pPr>
            <w:r>
              <w:rPr>
                <w:sz w:val="24"/>
              </w:rPr>
              <w:t>OPAL</w:t>
            </w:r>
            <w:r>
              <w:rPr>
                <w:spacing w:val="1"/>
                <w:sz w:val="24"/>
              </w:rPr>
              <w:t xml:space="preserve"> </w:t>
            </w:r>
            <w:r>
              <w:rPr>
                <w:spacing w:val="-2"/>
                <w:sz w:val="24"/>
              </w:rPr>
              <w:t>BROADEN</w:t>
            </w:r>
          </w:p>
        </w:tc>
        <w:tc>
          <w:tcPr>
            <w:tcW w:w="2610" w:type="dxa"/>
            <w:gridSpan w:val="2"/>
          </w:tcPr>
          <w:p w14:paraId="4C38D8C3" w14:textId="77777777" w:rsidR="001825E2" w:rsidRDefault="000839A5" w:rsidP="00CB00A7">
            <w:pPr>
              <w:pStyle w:val="TableParagraph"/>
              <w:spacing w:before="1" w:line="264" w:lineRule="exact"/>
              <w:ind w:left="442"/>
              <w:jc w:val="left"/>
              <w:rPr>
                <w:sz w:val="24"/>
              </w:rPr>
            </w:pPr>
            <w:r>
              <w:rPr>
                <w:sz w:val="24"/>
              </w:rPr>
              <w:t>OPAL</w:t>
            </w:r>
            <w:r>
              <w:rPr>
                <w:spacing w:val="1"/>
                <w:sz w:val="24"/>
              </w:rPr>
              <w:t xml:space="preserve"> </w:t>
            </w:r>
            <w:r>
              <w:rPr>
                <w:spacing w:val="-2"/>
                <w:sz w:val="24"/>
              </w:rPr>
              <w:t>BEYOND</w:t>
            </w:r>
          </w:p>
        </w:tc>
      </w:tr>
      <w:tr w:rsidR="001825E2" w14:paraId="5F5CCABF" w14:textId="77777777">
        <w:trPr>
          <w:trHeight w:val="810"/>
        </w:trPr>
        <w:tc>
          <w:tcPr>
            <w:tcW w:w="2190" w:type="dxa"/>
          </w:tcPr>
          <w:p w14:paraId="2E8B9A06" w14:textId="77777777" w:rsidR="001825E2" w:rsidRDefault="000839A5" w:rsidP="00CB00A7">
            <w:pPr>
              <w:pStyle w:val="TableParagraph"/>
              <w:spacing w:before="271"/>
              <w:jc w:val="left"/>
              <w:rPr>
                <w:sz w:val="24"/>
              </w:rPr>
            </w:pPr>
            <w:r>
              <w:rPr>
                <w:sz w:val="24"/>
              </w:rPr>
              <w:t>Treatment</w:t>
            </w:r>
            <w:r>
              <w:rPr>
                <w:spacing w:val="-1"/>
                <w:sz w:val="24"/>
              </w:rPr>
              <w:t xml:space="preserve"> </w:t>
            </w:r>
            <w:r>
              <w:rPr>
                <w:spacing w:val="-4"/>
                <w:sz w:val="24"/>
              </w:rPr>
              <w:t>Group</w:t>
            </w:r>
          </w:p>
        </w:tc>
        <w:tc>
          <w:tcPr>
            <w:tcW w:w="1410" w:type="dxa"/>
          </w:tcPr>
          <w:p w14:paraId="3CA0ADAC" w14:textId="77777777" w:rsidR="001825E2" w:rsidRDefault="000839A5" w:rsidP="00CB00A7">
            <w:pPr>
              <w:pStyle w:val="TableParagraph"/>
              <w:spacing w:line="262" w:lineRule="exact"/>
              <w:ind w:left="337"/>
              <w:jc w:val="left"/>
              <w:rPr>
                <w:sz w:val="24"/>
              </w:rPr>
            </w:pPr>
            <w:r>
              <w:rPr>
                <w:spacing w:val="-2"/>
                <w:sz w:val="24"/>
              </w:rPr>
              <w:t>Placebo</w:t>
            </w:r>
          </w:p>
        </w:tc>
        <w:tc>
          <w:tcPr>
            <w:tcW w:w="1410" w:type="dxa"/>
          </w:tcPr>
          <w:p w14:paraId="7B3382FC" w14:textId="77777777" w:rsidR="001825E2" w:rsidRDefault="000839A5" w:rsidP="00CB00A7">
            <w:pPr>
              <w:pStyle w:val="TableParagraph"/>
              <w:spacing w:line="262" w:lineRule="exact"/>
              <w:ind w:left="30" w:right="4"/>
              <w:jc w:val="left"/>
              <w:rPr>
                <w:sz w:val="24"/>
              </w:rPr>
            </w:pPr>
            <w:r>
              <w:rPr>
                <w:spacing w:val="-2"/>
                <w:sz w:val="24"/>
              </w:rPr>
              <w:t>XELJANZ</w:t>
            </w:r>
          </w:p>
          <w:p w14:paraId="02350625" w14:textId="77777777" w:rsidR="001825E2" w:rsidRDefault="000839A5" w:rsidP="00CB00A7">
            <w:pPr>
              <w:pStyle w:val="TableParagraph"/>
              <w:spacing w:line="270" w:lineRule="exact"/>
              <w:ind w:left="30" w:right="12"/>
              <w:jc w:val="left"/>
              <w:rPr>
                <w:sz w:val="24"/>
              </w:rPr>
            </w:pPr>
            <w:r>
              <w:rPr>
                <w:sz w:val="24"/>
              </w:rPr>
              <w:t>5</w:t>
            </w:r>
            <w:r>
              <w:rPr>
                <w:spacing w:val="-15"/>
                <w:sz w:val="24"/>
              </w:rPr>
              <w:t xml:space="preserve"> </w:t>
            </w:r>
            <w:r>
              <w:rPr>
                <w:sz w:val="24"/>
              </w:rPr>
              <w:t>mg</w:t>
            </w:r>
            <w:r>
              <w:rPr>
                <w:spacing w:val="-15"/>
                <w:sz w:val="24"/>
              </w:rPr>
              <w:t xml:space="preserve"> </w:t>
            </w:r>
            <w:r>
              <w:rPr>
                <w:sz w:val="24"/>
              </w:rPr>
              <w:t xml:space="preserve">Twice </w:t>
            </w:r>
            <w:r>
              <w:rPr>
                <w:spacing w:val="-2"/>
                <w:sz w:val="24"/>
              </w:rPr>
              <w:t>Daily</w:t>
            </w:r>
          </w:p>
        </w:tc>
        <w:tc>
          <w:tcPr>
            <w:tcW w:w="1620" w:type="dxa"/>
          </w:tcPr>
          <w:p w14:paraId="47397203" w14:textId="77777777" w:rsidR="001825E2" w:rsidRDefault="000839A5" w:rsidP="00CB00A7">
            <w:pPr>
              <w:pStyle w:val="TableParagraph"/>
              <w:spacing w:line="262" w:lineRule="exact"/>
              <w:ind w:left="14"/>
              <w:jc w:val="left"/>
              <w:rPr>
                <w:sz w:val="24"/>
              </w:rPr>
            </w:pPr>
            <w:r>
              <w:rPr>
                <w:spacing w:val="-2"/>
                <w:sz w:val="24"/>
              </w:rPr>
              <w:t>Adalimumab</w:t>
            </w:r>
          </w:p>
          <w:p w14:paraId="01D7BC41" w14:textId="77777777" w:rsidR="001825E2" w:rsidRDefault="000839A5" w:rsidP="00CB00A7">
            <w:pPr>
              <w:pStyle w:val="TableParagraph"/>
              <w:spacing w:line="270" w:lineRule="exact"/>
              <w:ind w:left="143" w:right="116"/>
              <w:jc w:val="left"/>
              <w:rPr>
                <w:sz w:val="24"/>
              </w:rPr>
            </w:pPr>
            <w:r>
              <w:rPr>
                <w:sz w:val="24"/>
              </w:rPr>
              <w:t>40</w:t>
            </w:r>
            <w:r>
              <w:rPr>
                <w:spacing w:val="-15"/>
                <w:sz w:val="24"/>
              </w:rPr>
              <w:t xml:space="preserve"> </w:t>
            </w:r>
            <w:r>
              <w:rPr>
                <w:sz w:val="24"/>
              </w:rPr>
              <w:t>mg</w:t>
            </w:r>
            <w:r>
              <w:rPr>
                <w:spacing w:val="-15"/>
                <w:sz w:val="24"/>
              </w:rPr>
              <w:t xml:space="preserve"> </w:t>
            </w:r>
            <w:r>
              <w:rPr>
                <w:sz w:val="24"/>
              </w:rPr>
              <w:t xml:space="preserve">SC </w:t>
            </w:r>
            <w:r>
              <w:rPr>
                <w:spacing w:val="-4"/>
                <w:sz w:val="24"/>
              </w:rPr>
              <w:t>q2W</w:t>
            </w:r>
          </w:p>
        </w:tc>
        <w:tc>
          <w:tcPr>
            <w:tcW w:w="1200" w:type="dxa"/>
          </w:tcPr>
          <w:p w14:paraId="4C5DC7F4" w14:textId="77777777" w:rsidR="001825E2" w:rsidRDefault="000839A5" w:rsidP="00CB00A7">
            <w:pPr>
              <w:pStyle w:val="TableParagraph"/>
              <w:spacing w:line="262" w:lineRule="exact"/>
              <w:ind w:left="232"/>
              <w:jc w:val="left"/>
              <w:rPr>
                <w:sz w:val="24"/>
              </w:rPr>
            </w:pPr>
            <w:r>
              <w:rPr>
                <w:spacing w:val="-2"/>
                <w:sz w:val="24"/>
              </w:rPr>
              <w:t>Placebo</w:t>
            </w:r>
          </w:p>
        </w:tc>
        <w:tc>
          <w:tcPr>
            <w:tcW w:w="1410" w:type="dxa"/>
          </w:tcPr>
          <w:p w14:paraId="44CCBA47" w14:textId="77777777" w:rsidR="001825E2" w:rsidRDefault="000839A5" w:rsidP="00CB00A7">
            <w:pPr>
              <w:pStyle w:val="TableParagraph"/>
              <w:spacing w:line="262" w:lineRule="exact"/>
              <w:ind w:left="30" w:right="4"/>
              <w:jc w:val="left"/>
              <w:rPr>
                <w:sz w:val="24"/>
              </w:rPr>
            </w:pPr>
            <w:r>
              <w:rPr>
                <w:spacing w:val="-2"/>
                <w:sz w:val="24"/>
              </w:rPr>
              <w:t>XELJANZ</w:t>
            </w:r>
          </w:p>
          <w:p w14:paraId="7D131014" w14:textId="77777777" w:rsidR="001825E2" w:rsidRDefault="000839A5" w:rsidP="00CB00A7">
            <w:pPr>
              <w:pStyle w:val="TableParagraph"/>
              <w:spacing w:line="270" w:lineRule="exact"/>
              <w:ind w:left="30" w:right="12"/>
              <w:jc w:val="left"/>
              <w:rPr>
                <w:sz w:val="24"/>
              </w:rPr>
            </w:pPr>
            <w:r>
              <w:rPr>
                <w:sz w:val="24"/>
              </w:rPr>
              <w:t>5</w:t>
            </w:r>
            <w:r>
              <w:rPr>
                <w:spacing w:val="-15"/>
                <w:sz w:val="24"/>
              </w:rPr>
              <w:t xml:space="preserve"> </w:t>
            </w:r>
            <w:r>
              <w:rPr>
                <w:sz w:val="24"/>
              </w:rPr>
              <w:t>mg</w:t>
            </w:r>
            <w:r>
              <w:rPr>
                <w:spacing w:val="-15"/>
                <w:sz w:val="24"/>
              </w:rPr>
              <w:t xml:space="preserve"> </w:t>
            </w:r>
            <w:r>
              <w:rPr>
                <w:sz w:val="24"/>
              </w:rPr>
              <w:t xml:space="preserve">Twice </w:t>
            </w:r>
            <w:r>
              <w:rPr>
                <w:spacing w:val="-2"/>
                <w:sz w:val="24"/>
              </w:rPr>
              <w:t>Daily</w:t>
            </w:r>
          </w:p>
        </w:tc>
      </w:tr>
      <w:tr w:rsidR="001825E2" w14:paraId="7BFFA51B" w14:textId="77777777">
        <w:trPr>
          <w:trHeight w:val="1380"/>
        </w:trPr>
        <w:tc>
          <w:tcPr>
            <w:tcW w:w="2190" w:type="dxa"/>
          </w:tcPr>
          <w:p w14:paraId="05DAE86B" w14:textId="77777777" w:rsidR="001825E2" w:rsidRDefault="000839A5" w:rsidP="00CB00A7">
            <w:pPr>
              <w:pStyle w:val="TableParagraph"/>
              <w:spacing w:before="1"/>
              <w:ind w:right="731"/>
              <w:jc w:val="left"/>
              <w:rPr>
                <w:sz w:val="24"/>
              </w:rPr>
            </w:pPr>
            <w:r>
              <w:rPr>
                <w:sz w:val="24"/>
              </w:rPr>
              <w:t>Patient</w:t>
            </w:r>
            <w:r>
              <w:rPr>
                <w:spacing w:val="-15"/>
                <w:sz w:val="24"/>
              </w:rPr>
              <w:t xml:space="preserve"> </w:t>
            </w:r>
            <w:r>
              <w:rPr>
                <w:sz w:val="24"/>
              </w:rPr>
              <w:t xml:space="preserve">global </w:t>
            </w:r>
            <w:r>
              <w:rPr>
                <w:spacing w:val="-2"/>
                <w:sz w:val="24"/>
              </w:rPr>
              <w:t>assessment</w:t>
            </w:r>
            <w:r>
              <w:rPr>
                <w:spacing w:val="-7"/>
                <w:sz w:val="24"/>
              </w:rPr>
              <w:t xml:space="preserve"> </w:t>
            </w:r>
            <w:r>
              <w:rPr>
                <w:spacing w:val="-2"/>
                <w:sz w:val="24"/>
              </w:rPr>
              <w:t>of arthritis</w:t>
            </w:r>
            <w:r>
              <w:rPr>
                <w:spacing w:val="-2"/>
                <w:position w:val="7"/>
                <w:sz w:val="16"/>
              </w:rPr>
              <w:t>b</w:t>
            </w:r>
            <w:r>
              <w:rPr>
                <w:spacing w:val="40"/>
                <w:position w:val="7"/>
                <w:sz w:val="16"/>
              </w:rPr>
              <w:t xml:space="preserve"> </w:t>
            </w:r>
            <w:r>
              <w:rPr>
                <w:spacing w:val="-2"/>
                <w:sz w:val="24"/>
              </w:rPr>
              <w:t>Baseline</w:t>
            </w:r>
          </w:p>
          <w:p w14:paraId="3A12FAFB" w14:textId="77777777" w:rsidR="001825E2" w:rsidRDefault="000839A5" w:rsidP="00CB00A7">
            <w:pPr>
              <w:pStyle w:val="TableParagraph"/>
              <w:spacing w:before="6" w:line="249" w:lineRule="exact"/>
              <w:ind w:left="247"/>
              <w:jc w:val="left"/>
              <w:rPr>
                <w:sz w:val="24"/>
              </w:rPr>
            </w:pPr>
            <w:r>
              <w:rPr>
                <w:sz w:val="24"/>
              </w:rPr>
              <w:t>Month</w:t>
            </w:r>
            <w:r>
              <w:rPr>
                <w:spacing w:val="4"/>
                <w:sz w:val="24"/>
              </w:rPr>
              <w:t xml:space="preserve"> </w:t>
            </w:r>
            <w:r>
              <w:rPr>
                <w:spacing w:val="-10"/>
                <w:sz w:val="24"/>
              </w:rPr>
              <w:t>3</w:t>
            </w:r>
          </w:p>
        </w:tc>
        <w:tc>
          <w:tcPr>
            <w:tcW w:w="1410" w:type="dxa"/>
          </w:tcPr>
          <w:p w14:paraId="05334C2C" w14:textId="77777777" w:rsidR="001825E2" w:rsidRDefault="001825E2" w:rsidP="00CB00A7">
            <w:pPr>
              <w:pStyle w:val="TableParagraph"/>
              <w:ind w:left="0"/>
              <w:jc w:val="left"/>
              <w:rPr>
                <w:b/>
                <w:sz w:val="24"/>
              </w:rPr>
            </w:pPr>
          </w:p>
          <w:p w14:paraId="1BFDF76C" w14:textId="77777777" w:rsidR="001825E2" w:rsidRDefault="001825E2" w:rsidP="00CB00A7">
            <w:pPr>
              <w:pStyle w:val="TableParagraph"/>
              <w:spacing w:before="273"/>
              <w:ind w:left="0"/>
              <w:jc w:val="left"/>
              <w:rPr>
                <w:b/>
                <w:sz w:val="24"/>
              </w:rPr>
            </w:pPr>
          </w:p>
          <w:p w14:paraId="7909AFFD" w14:textId="77777777" w:rsidR="001825E2" w:rsidRDefault="000839A5" w:rsidP="00CB00A7">
            <w:pPr>
              <w:pStyle w:val="TableParagraph"/>
              <w:spacing w:before="1"/>
              <w:ind w:left="30"/>
              <w:jc w:val="left"/>
              <w:rPr>
                <w:sz w:val="24"/>
              </w:rPr>
            </w:pPr>
            <w:r>
              <w:rPr>
                <w:spacing w:val="-4"/>
                <w:sz w:val="24"/>
              </w:rPr>
              <w:t>53.9</w:t>
            </w:r>
          </w:p>
          <w:p w14:paraId="03B1813D" w14:textId="77777777" w:rsidR="001825E2" w:rsidRDefault="000839A5" w:rsidP="00CB00A7">
            <w:pPr>
              <w:pStyle w:val="TableParagraph"/>
              <w:spacing w:before="9" w:line="249" w:lineRule="exact"/>
              <w:ind w:left="30"/>
              <w:jc w:val="left"/>
              <w:rPr>
                <w:sz w:val="24"/>
              </w:rPr>
            </w:pPr>
            <w:r>
              <w:rPr>
                <w:spacing w:val="-4"/>
                <w:sz w:val="24"/>
              </w:rPr>
              <w:t>44.4</w:t>
            </w:r>
          </w:p>
        </w:tc>
        <w:tc>
          <w:tcPr>
            <w:tcW w:w="1410" w:type="dxa"/>
          </w:tcPr>
          <w:p w14:paraId="4BB7AC3E" w14:textId="77777777" w:rsidR="001825E2" w:rsidRDefault="001825E2" w:rsidP="00CB00A7">
            <w:pPr>
              <w:pStyle w:val="TableParagraph"/>
              <w:ind w:left="0"/>
              <w:jc w:val="left"/>
              <w:rPr>
                <w:b/>
                <w:sz w:val="24"/>
              </w:rPr>
            </w:pPr>
          </w:p>
          <w:p w14:paraId="6057B15F" w14:textId="77777777" w:rsidR="001825E2" w:rsidRDefault="001825E2" w:rsidP="00CB00A7">
            <w:pPr>
              <w:pStyle w:val="TableParagraph"/>
              <w:spacing w:before="273"/>
              <w:ind w:left="0"/>
              <w:jc w:val="left"/>
              <w:rPr>
                <w:b/>
                <w:sz w:val="24"/>
              </w:rPr>
            </w:pPr>
          </w:p>
          <w:p w14:paraId="1F3C641A" w14:textId="77777777" w:rsidR="001825E2" w:rsidRDefault="000839A5" w:rsidP="00CB00A7">
            <w:pPr>
              <w:pStyle w:val="TableParagraph"/>
              <w:spacing w:before="1"/>
              <w:ind w:left="30"/>
              <w:jc w:val="left"/>
              <w:rPr>
                <w:sz w:val="24"/>
              </w:rPr>
            </w:pPr>
            <w:r>
              <w:rPr>
                <w:spacing w:val="-4"/>
                <w:sz w:val="24"/>
              </w:rPr>
              <w:t>54.7</w:t>
            </w:r>
          </w:p>
          <w:p w14:paraId="6AD90412" w14:textId="77777777" w:rsidR="001825E2" w:rsidRDefault="000839A5" w:rsidP="00CB00A7">
            <w:pPr>
              <w:pStyle w:val="TableParagraph"/>
              <w:spacing w:before="9" w:line="249" w:lineRule="exact"/>
              <w:ind w:left="30"/>
              <w:jc w:val="left"/>
              <w:rPr>
                <w:sz w:val="24"/>
              </w:rPr>
            </w:pPr>
            <w:r>
              <w:rPr>
                <w:spacing w:val="-4"/>
                <w:sz w:val="24"/>
              </w:rPr>
              <w:t>35.5</w:t>
            </w:r>
          </w:p>
        </w:tc>
        <w:tc>
          <w:tcPr>
            <w:tcW w:w="1620" w:type="dxa"/>
          </w:tcPr>
          <w:p w14:paraId="227E2372" w14:textId="77777777" w:rsidR="001825E2" w:rsidRDefault="001825E2" w:rsidP="00CB00A7">
            <w:pPr>
              <w:pStyle w:val="TableParagraph"/>
              <w:ind w:left="0"/>
              <w:jc w:val="left"/>
              <w:rPr>
                <w:b/>
                <w:sz w:val="24"/>
              </w:rPr>
            </w:pPr>
          </w:p>
          <w:p w14:paraId="5C229E76" w14:textId="77777777" w:rsidR="001825E2" w:rsidRDefault="001825E2" w:rsidP="00CB00A7">
            <w:pPr>
              <w:pStyle w:val="TableParagraph"/>
              <w:spacing w:before="273"/>
              <w:ind w:left="0"/>
              <w:jc w:val="left"/>
              <w:rPr>
                <w:b/>
                <w:sz w:val="24"/>
              </w:rPr>
            </w:pPr>
          </w:p>
          <w:p w14:paraId="3725EABC" w14:textId="77777777" w:rsidR="001825E2" w:rsidRDefault="000839A5" w:rsidP="00CB00A7">
            <w:pPr>
              <w:pStyle w:val="TableParagraph"/>
              <w:spacing w:before="1"/>
              <w:ind w:left="146" w:right="116"/>
              <w:jc w:val="left"/>
              <w:rPr>
                <w:sz w:val="24"/>
              </w:rPr>
            </w:pPr>
            <w:r>
              <w:rPr>
                <w:spacing w:val="-4"/>
                <w:sz w:val="24"/>
              </w:rPr>
              <w:t>50.6</w:t>
            </w:r>
          </w:p>
          <w:p w14:paraId="44AB0E48" w14:textId="77777777" w:rsidR="001825E2" w:rsidRDefault="000839A5" w:rsidP="00CB00A7">
            <w:pPr>
              <w:pStyle w:val="TableParagraph"/>
              <w:spacing w:before="9" w:line="249" w:lineRule="exact"/>
              <w:ind w:left="146" w:right="116"/>
              <w:jc w:val="left"/>
              <w:rPr>
                <w:sz w:val="24"/>
              </w:rPr>
            </w:pPr>
            <w:r>
              <w:rPr>
                <w:spacing w:val="-4"/>
                <w:sz w:val="24"/>
              </w:rPr>
              <w:t>32.9</w:t>
            </w:r>
          </w:p>
        </w:tc>
        <w:tc>
          <w:tcPr>
            <w:tcW w:w="1200" w:type="dxa"/>
          </w:tcPr>
          <w:p w14:paraId="714FADC7" w14:textId="77777777" w:rsidR="001825E2" w:rsidRDefault="001825E2" w:rsidP="00CB00A7">
            <w:pPr>
              <w:pStyle w:val="TableParagraph"/>
              <w:ind w:left="0"/>
              <w:jc w:val="left"/>
              <w:rPr>
                <w:b/>
                <w:sz w:val="24"/>
              </w:rPr>
            </w:pPr>
          </w:p>
          <w:p w14:paraId="18CAB264" w14:textId="77777777" w:rsidR="001825E2" w:rsidRDefault="001825E2" w:rsidP="00CB00A7">
            <w:pPr>
              <w:pStyle w:val="TableParagraph"/>
              <w:spacing w:before="273"/>
              <w:ind w:left="0"/>
              <w:jc w:val="left"/>
              <w:rPr>
                <w:b/>
                <w:sz w:val="24"/>
              </w:rPr>
            </w:pPr>
          </w:p>
          <w:p w14:paraId="332A6CFD" w14:textId="77777777" w:rsidR="001825E2" w:rsidRDefault="000839A5" w:rsidP="00CB00A7">
            <w:pPr>
              <w:pStyle w:val="TableParagraph"/>
              <w:spacing w:before="1"/>
              <w:ind w:left="397"/>
              <w:jc w:val="left"/>
              <w:rPr>
                <w:sz w:val="24"/>
              </w:rPr>
            </w:pPr>
            <w:r>
              <w:rPr>
                <w:spacing w:val="-4"/>
                <w:sz w:val="24"/>
              </w:rPr>
              <w:t>55.8</w:t>
            </w:r>
          </w:p>
          <w:p w14:paraId="7DA3E466" w14:textId="77777777" w:rsidR="001825E2" w:rsidRDefault="000839A5" w:rsidP="00CB00A7">
            <w:pPr>
              <w:pStyle w:val="TableParagraph"/>
              <w:spacing w:before="9" w:line="249" w:lineRule="exact"/>
              <w:ind w:left="397"/>
              <w:jc w:val="left"/>
              <w:rPr>
                <w:sz w:val="24"/>
              </w:rPr>
            </w:pPr>
            <w:r>
              <w:rPr>
                <w:spacing w:val="-4"/>
                <w:sz w:val="24"/>
              </w:rPr>
              <w:t>49.2</w:t>
            </w:r>
          </w:p>
        </w:tc>
        <w:tc>
          <w:tcPr>
            <w:tcW w:w="1410" w:type="dxa"/>
          </w:tcPr>
          <w:p w14:paraId="137E09A1" w14:textId="77777777" w:rsidR="001825E2" w:rsidRDefault="001825E2" w:rsidP="00CB00A7">
            <w:pPr>
              <w:pStyle w:val="TableParagraph"/>
              <w:ind w:left="0"/>
              <w:jc w:val="left"/>
              <w:rPr>
                <w:b/>
                <w:sz w:val="24"/>
              </w:rPr>
            </w:pPr>
          </w:p>
          <w:p w14:paraId="6544209B" w14:textId="77777777" w:rsidR="001825E2" w:rsidRDefault="001825E2" w:rsidP="00CB00A7">
            <w:pPr>
              <w:pStyle w:val="TableParagraph"/>
              <w:spacing w:before="273"/>
              <w:ind w:left="0"/>
              <w:jc w:val="left"/>
              <w:rPr>
                <w:b/>
                <w:sz w:val="24"/>
              </w:rPr>
            </w:pPr>
          </w:p>
          <w:p w14:paraId="01A3C037" w14:textId="77777777" w:rsidR="001825E2" w:rsidRDefault="000839A5" w:rsidP="00CB00A7">
            <w:pPr>
              <w:pStyle w:val="TableParagraph"/>
              <w:spacing w:before="1"/>
              <w:ind w:left="30"/>
              <w:jc w:val="left"/>
              <w:rPr>
                <w:sz w:val="24"/>
              </w:rPr>
            </w:pPr>
            <w:r>
              <w:rPr>
                <w:spacing w:val="-4"/>
                <w:sz w:val="24"/>
              </w:rPr>
              <w:t>57.4</w:t>
            </w:r>
          </w:p>
          <w:p w14:paraId="0211B2A9" w14:textId="77777777" w:rsidR="001825E2" w:rsidRDefault="000839A5" w:rsidP="00CB00A7">
            <w:pPr>
              <w:pStyle w:val="TableParagraph"/>
              <w:spacing w:before="9" w:line="249" w:lineRule="exact"/>
              <w:ind w:left="30"/>
              <w:jc w:val="left"/>
              <w:rPr>
                <w:sz w:val="24"/>
              </w:rPr>
            </w:pPr>
            <w:r>
              <w:rPr>
                <w:spacing w:val="-4"/>
                <w:sz w:val="24"/>
              </w:rPr>
              <w:t>36.9</w:t>
            </w:r>
          </w:p>
        </w:tc>
      </w:tr>
      <w:tr w:rsidR="001825E2" w14:paraId="2A980C42" w14:textId="77777777">
        <w:trPr>
          <w:trHeight w:val="825"/>
        </w:trPr>
        <w:tc>
          <w:tcPr>
            <w:tcW w:w="2190" w:type="dxa"/>
          </w:tcPr>
          <w:p w14:paraId="196DEC7D" w14:textId="77777777" w:rsidR="001825E2" w:rsidRDefault="000839A5" w:rsidP="00CB00A7">
            <w:pPr>
              <w:pStyle w:val="TableParagraph"/>
              <w:spacing w:before="1" w:line="273" w:lineRule="exact"/>
              <w:jc w:val="left"/>
              <w:rPr>
                <w:sz w:val="16"/>
              </w:rPr>
            </w:pPr>
            <w:r>
              <w:rPr>
                <w:sz w:val="24"/>
              </w:rPr>
              <w:t>HAQ-</w:t>
            </w:r>
            <w:r>
              <w:rPr>
                <w:spacing w:val="-5"/>
                <w:sz w:val="24"/>
              </w:rPr>
              <w:t>DI</w:t>
            </w:r>
            <w:r>
              <w:rPr>
                <w:spacing w:val="-5"/>
                <w:position w:val="7"/>
                <w:sz w:val="16"/>
              </w:rPr>
              <w:t>c</w:t>
            </w:r>
          </w:p>
          <w:p w14:paraId="29164350" w14:textId="77777777" w:rsidR="001825E2" w:rsidRDefault="000839A5" w:rsidP="00CB00A7">
            <w:pPr>
              <w:pStyle w:val="TableParagraph"/>
              <w:spacing w:line="273" w:lineRule="exact"/>
              <w:ind w:left="247"/>
              <w:jc w:val="left"/>
              <w:rPr>
                <w:sz w:val="24"/>
              </w:rPr>
            </w:pPr>
            <w:r>
              <w:rPr>
                <w:spacing w:val="-2"/>
                <w:sz w:val="24"/>
              </w:rPr>
              <w:t>Baseline</w:t>
            </w:r>
          </w:p>
          <w:p w14:paraId="56212DFA" w14:textId="77777777" w:rsidR="001825E2" w:rsidRDefault="000839A5" w:rsidP="00CB00A7">
            <w:pPr>
              <w:pStyle w:val="TableParagraph"/>
              <w:spacing w:before="9" w:line="249" w:lineRule="exact"/>
              <w:ind w:left="247"/>
              <w:jc w:val="left"/>
              <w:rPr>
                <w:sz w:val="24"/>
              </w:rPr>
            </w:pPr>
            <w:r>
              <w:rPr>
                <w:sz w:val="24"/>
              </w:rPr>
              <w:t>Month</w:t>
            </w:r>
            <w:r>
              <w:rPr>
                <w:spacing w:val="4"/>
                <w:sz w:val="24"/>
              </w:rPr>
              <w:t xml:space="preserve"> </w:t>
            </w:r>
            <w:r>
              <w:rPr>
                <w:spacing w:val="-10"/>
                <w:sz w:val="24"/>
              </w:rPr>
              <w:t>3</w:t>
            </w:r>
          </w:p>
        </w:tc>
        <w:tc>
          <w:tcPr>
            <w:tcW w:w="1410" w:type="dxa"/>
          </w:tcPr>
          <w:p w14:paraId="51EDA876" w14:textId="77777777" w:rsidR="001825E2" w:rsidRDefault="000839A5" w:rsidP="00CB00A7">
            <w:pPr>
              <w:pStyle w:val="TableParagraph"/>
              <w:spacing w:before="271"/>
              <w:ind w:left="30"/>
              <w:jc w:val="left"/>
              <w:rPr>
                <w:sz w:val="24"/>
              </w:rPr>
            </w:pPr>
            <w:r>
              <w:rPr>
                <w:spacing w:val="-4"/>
                <w:sz w:val="24"/>
              </w:rPr>
              <w:t>1.11</w:t>
            </w:r>
          </w:p>
          <w:p w14:paraId="25648C23" w14:textId="77777777" w:rsidR="001825E2" w:rsidRDefault="000839A5" w:rsidP="00CB00A7">
            <w:pPr>
              <w:pStyle w:val="TableParagraph"/>
              <w:spacing w:before="9" w:line="249" w:lineRule="exact"/>
              <w:ind w:left="30"/>
              <w:jc w:val="left"/>
              <w:rPr>
                <w:sz w:val="24"/>
              </w:rPr>
            </w:pPr>
            <w:r>
              <w:rPr>
                <w:spacing w:val="-4"/>
                <w:sz w:val="24"/>
              </w:rPr>
              <w:t>0.95</w:t>
            </w:r>
          </w:p>
        </w:tc>
        <w:tc>
          <w:tcPr>
            <w:tcW w:w="1410" w:type="dxa"/>
          </w:tcPr>
          <w:p w14:paraId="1D60E951" w14:textId="77777777" w:rsidR="001825E2" w:rsidRDefault="000839A5" w:rsidP="00CB00A7">
            <w:pPr>
              <w:pStyle w:val="TableParagraph"/>
              <w:spacing w:before="271"/>
              <w:ind w:left="30"/>
              <w:jc w:val="left"/>
              <w:rPr>
                <w:sz w:val="24"/>
              </w:rPr>
            </w:pPr>
            <w:r>
              <w:rPr>
                <w:spacing w:val="-4"/>
                <w:sz w:val="24"/>
              </w:rPr>
              <w:t>1.16</w:t>
            </w:r>
          </w:p>
          <w:p w14:paraId="29E390A9" w14:textId="77777777" w:rsidR="001825E2" w:rsidRDefault="000839A5" w:rsidP="00CB00A7">
            <w:pPr>
              <w:pStyle w:val="TableParagraph"/>
              <w:spacing w:before="9" w:line="249" w:lineRule="exact"/>
              <w:ind w:left="30"/>
              <w:jc w:val="left"/>
              <w:rPr>
                <w:sz w:val="24"/>
              </w:rPr>
            </w:pPr>
            <w:r>
              <w:rPr>
                <w:spacing w:val="-4"/>
                <w:sz w:val="24"/>
              </w:rPr>
              <w:t>0.81</w:t>
            </w:r>
          </w:p>
        </w:tc>
        <w:tc>
          <w:tcPr>
            <w:tcW w:w="1620" w:type="dxa"/>
          </w:tcPr>
          <w:p w14:paraId="1A315AC5" w14:textId="77777777" w:rsidR="001825E2" w:rsidRDefault="000839A5" w:rsidP="00CB00A7">
            <w:pPr>
              <w:pStyle w:val="TableParagraph"/>
              <w:spacing w:before="271"/>
              <w:ind w:left="146" w:right="116"/>
              <w:jc w:val="left"/>
              <w:rPr>
                <w:sz w:val="24"/>
              </w:rPr>
            </w:pPr>
            <w:r>
              <w:rPr>
                <w:spacing w:val="-4"/>
                <w:sz w:val="24"/>
              </w:rPr>
              <w:t>1.10</w:t>
            </w:r>
          </w:p>
          <w:p w14:paraId="7273F3F5" w14:textId="77777777" w:rsidR="001825E2" w:rsidRDefault="000839A5" w:rsidP="00CB00A7">
            <w:pPr>
              <w:pStyle w:val="TableParagraph"/>
              <w:spacing w:before="9" w:line="249" w:lineRule="exact"/>
              <w:ind w:left="146" w:right="116"/>
              <w:jc w:val="left"/>
              <w:rPr>
                <w:sz w:val="24"/>
              </w:rPr>
            </w:pPr>
            <w:r>
              <w:rPr>
                <w:spacing w:val="-4"/>
                <w:sz w:val="24"/>
              </w:rPr>
              <w:t>0.75</w:t>
            </w:r>
          </w:p>
        </w:tc>
        <w:tc>
          <w:tcPr>
            <w:tcW w:w="1200" w:type="dxa"/>
          </w:tcPr>
          <w:p w14:paraId="6562E747" w14:textId="77777777" w:rsidR="001825E2" w:rsidRDefault="000839A5" w:rsidP="00CB00A7">
            <w:pPr>
              <w:pStyle w:val="TableParagraph"/>
              <w:spacing w:before="271"/>
              <w:ind w:left="397"/>
              <w:jc w:val="left"/>
              <w:rPr>
                <w:sz w:val="24"/>
              </w:rPr>
            </w:pPr>
            <w:r>
              <w:rPr>
                <w:spacing w:val="-4"/>
                <w:sz w:val="24"/>
              </w:rPr>
              <w:t>1.25</w:t>
            </w:r>
          </w:p>
          <w:p w14:paraId="1E4F7094" w14:textId="77777777" w:rsidR="001825E2" w:rsidRDefault="000839A5" w:rsidP="00CB00A7">
            <w:pPr>
              <w:pStyle w:val="TableParagraph"/>
              <w:spacing w:before="9" w:line="249" w:lineRule="exact"/>
              <w:ind w:left="397"/>
              <w:jc w:val="left"/>
              <w:rPr>
                <w:sz w:val="24"/>
              </w:rPr>
            </w:pPr>
            <w:r>
              <w:rPr>
                <w:spacing w:val="-4"/>
                <w:sz w:val="24"/>
              </w:rPr>
              <w:t>1.09</w:t>
            </w:r>
          </w:p>
        </w:tc>
        <w:tc>
          <w:tcPr>
            <w:tcW w:w="1410" w:type="dxa"/>
          </w:tcPr>
          <w:p w14:paraId="689E92D0" w14:textId="77777777" w:rsidR="001825E2" w:rsidRDefault="000839A5" w:rsidP="00CB00A7">
            <w:pPr>
              <w:pStyle w:val="TableParagraph"/>
              <w:spacing w:before="271"/>
              <w:ind w:left="30"/>
              <w:jc w:val="left"/>
              <w:rPr>
                <w:sz w:val="24"/>
              </w:rPr>
            </w:pPr>
            <w:r>
              <w:rPr>
                <w:spacing w:val="-4"/>
                <w:sz w:val="24"/>
              </w:rPr>
              <w:t>1.26</w:t>
            </w:r>
          </w:p>
          <w:p w14:paraId="2673267B" w14:textId="77777777" w:rsidR="001825E2" w:rsidRDefault="000839A5" w:rsidP="00CB00A7">
            <w:pPr>
              <w:pStyle w:val="TableParagraph"/>
              <w:spacing w:before="9" w:line="249" w:lineRule="exact"/>
              <w:ind w:left="30"/>
              <w:jc w:val="left"/>
              <w:rPr>
                <w:sz w:val="24"/>
              </w:rPr>
            </w:pPr>
            <w:r>
              <w:rPr>
                <w:spacing w:val="-4"/>
                <w:sz w:val="24"/>
              </w:rPr>
              <w:t>0.88</w:t>
            </w:r>
          </w:p>
        </w:tc>
      </w:tr>
      <w:tr w:rsidR="001825E2" w14:paraId="29EE92AF" w14:textId="77777777">
        <w:trPr>
          <w:trHeight w:val="1380"/>
        </w:trPr>
        <w:tc>
          <w:tcPr>
            <w:tcW w:w="2190" w:type="dxa"/>
          </w:tcPr>
          <w:p w14:paraId="261B1612" w14:textId="77777777" w:rsidR="001825E2" w:rsidRDefault="000839A5" w:rsidP="00CB00A7">
            <w:pPr>
              <w:pStyle w:val="TableParagraph"/>
              <w:spacing w:before="5" w:line="235" w:lineRule="auto"/>
              <w:jc w:val="left"/>
              <w:rPr>
                <w:sz w:val="16"/>
              </w:rPr>
            </w:pPr>
            <w:r>
              <w:rPr>
                <w:spacing w:val="-2"/>
                <w:sz w:val="24"/>
              </w:rPr>
              <w:t xml:space="preserve">Physician’s Global </w:t>
            </w:r>
            <w:r>
              <w:rPr>
                <w:sz w:val="24"/>
              </w:rPr>
              <w:t xml:space="preserve">Assessment of </w:t>
            </w:r>
            <w:r>
              <w:rPr>
                <w:spacing w:val="-2"/>
                <w:sz w:val="24"/>
              </w:rPr>
              <w:t>Arthritis</w:t>
            </w:r>
            <w:r>
              <w:rPr>
                <w:spacing w:val="-2"/>
                <w:position w:val="7"/>
                <w:sz w:val="16"/>
              </w:rPr>
              <w:t>b</w:t>
            </w:r>
          </w:p>
          <w:p w14:paraId="782A7F10" w14:textId="77777777" w:rsidR="001825E2" w:rsidRDefault="000839A5" w:rsidP="00CB00A7">
            <w:pPr>
              <w:pStyle w:val="TableParagraph"/>
              <w:spacing w:before="3" w:line="270" w:lineRule="exact"/>
              <w:ind w:left="247" w:right="1093"/>
              <w:jc w:val="left"/>
              <w:rPr>
                <w:sz w:val="24"/>
              </w:rPr>
            </w:pPr>
            <w:r>
              <w:rPr>
                <w:spacing w:val="-2"/>
                <w:sz w:val="24"/>
              </w:rPr>
              <w:t xml:space="preserve">Baseline </w:t>
            </w:r>
            <w:r>
              <w:rPr>
                <w:sz w:val="24"/>
              </w:rPr>
              <w:t>Month</w:t>
            </w:r>
            <w:r>
              <w:rPr>
                <w:spacing w:val="4"/>
                <w:sz w:val="24"/>
              </w:rPr>
              <w:t xml:space="preserve"> </w:t>
            </w:r>
            <w:r>
              <w:rPr>
                <w:spacing w:val="-10"/>
                <w:sz w:val="24"/>
              </w:rPr>
              <w:t>3</w:t>
            </w:r>
          </w:p>
        </w:tc>
        <w:tc>
          <w:tcPr>
            <w:tcW w:w="1410" w:type="dxa"/>
          </w:tcPr>
          <w:p w14:paraId="11597071" w14:textId="77777777" w:rsidR="001825E2" w:rsidRDefault="001825E2" w:rsidP="00CB00A7">
            <w:pPr>
              <w:pStyle w:val="TableParagraph"/>
              <w:ind w:left="0"/>
              <w:jc w:val="left"/>
              <w:rPr>
                <w:b/>
                <w:sz w:val="24"/>
              </w:rPr>
            </w:pPr>
          </w:p>
          <w:p w14:paraId="2F3B5A9F" w14:textId="77777777" w:rsidR="001825E2" w:rsidRDefault="001825E2" w:rsidP="00CB00A7">
            <w:pPr>
              <w:pStyle w:val="TableParagraph"/>
              <w:spacing w:before="273"/>
              <w:ind w:left="0"/>
              <w:jc w:val="left"/>
              <w:rPr>
                <w:b/>
                <w:sz w:val="24"/>
              </w:rPr>
            </w:pPr>
          </w:p>
          <w:p w14:paraId="131048C0" w14:textId="77777777" w:rsidR="001825E2" w:rsidRDefault="000839A5" w:rsidP="00CB00A7">
            <w:pPr>
              <w:pStyle w:val="TableParagraph"/>
              <w:spacing w:before="1" w:line="273" w:lineRule="exact"/>
              <w:ind w:left="30"/>
              <w:jc w:val="left"/>
              <w:rPr>
                <w:sz w:val="24"/>
              </w:rPr>
            </w:pPr>
            <w:r>
              <w:rPr>
                <w:spacing w:val="-4"/>
                <w:sz w:val="24"/>
              </w:rPr>
              <w:t>53.8</w:t>
            </w:r>
          </w:p>
          <w:p w14:paraId="72C3B00F" w14:textId="77777777" w:rsidR="001825E2" w:rsidRDefault="000839A5" w:rsidP="00CB00A7">
            <w:pPr>
              <w:pStyle w:val="TableParagraph"/>
              <w:spacing w:line="261" w:lineRule="exact"/>
              <w:ind w:left="30"/>
              <w:jc w:val="left"/>
              <w:rPr>
                <w:sz w:val="24"/>
              </w:rPr>
            </w:pPr>
            <w:r>
              <w:rPr>
                <w:spacing w:val="-4"/>
                <w:sz w:val="24"/>
              </w:rPr>
              <w:t>35.4</w:t>
            </w:r>
          </w:p>
        </w:tc>
        <w:tc>
          <w:tcPr>
            <w:tcW w:w="1410" w:type="dxa"/>
          </w:tcPr>
          <w:p w14:paraId="58462622" w14:textId="77777777" w:rsidR="001825E2" w:rsidRDefault="001825E2" w:rsidP="00CB00A7">
            <w:pPr>
              <w:pStyle w:val="TableParagraph"/>
              <w:ind w:left="0"/>
              <w:jc w:val="left"/>
              <w:rPr>
                <w:b/>
                <w:sz w:val="24"/>
              </w:rPr>
            </w:pPr>
          </w:p>
          <w:p w14:paraId="1631DBC4" w14:textId="77777777" w:rsidR="001825E2" w:rsidRDefault="001825E2" w:rsidP="00CB00A7">
            <w:pPr>
              <w:pStyle w:val="TableParagraph"/>
              <w:spacing w:before="273"/>
              <w:ind w:left="0"/>
              <w:jc w:val="left"/>
              <w:rPr>
                <w:b/>
                <w:sz w:val="24"/>
              </w:rPr>
            </w:pPr>
          </w:p>
          <w:p w14:paraId="11C8B9E2" w14:textId="77777777" w:rsidR="001825E2" w:rsidRDefault="000839A5" w:rsidP="00CB00A7">
            <w:pPr>
              <w:pStyle w:val="TableParagraph"/>
              <w:spacing w:before="1" w:line="273" w:lineRule="exact"/>
              <w:ind w:left="30"/>
              <w:jc w:val="left"/>
              <w:rPr>
                <w:sz w:val="24"/>
              </w:rPr>
            </w:pPr>
            <w:r>
              <w:rPr>
                <w:spacing w:val="-4"/>
                <w:sz w:val="24"/>
              </w:rPr>
              <w:t>54.6</w:t>
            </w:r>
          </w:p>
          <w:p w14:paraId="5C8FD81C" w14:textId="77777777" w:rsidR="001825E2" w:rsidRDefault="000839A5" w:rsidP="00CB00A7">
            <w:pPr>
              <w:pStyle w:val="TableParagraph"/>
              <w:spacing w:line="261" w:lineRule="exact"/>
              <w:ind w:left="30"/>
              <w:jc w:val="left"/>
              <w:rPr>
                <w:sz w:val="24"/>
              </w:rPr>
            </w:pPr>
            <w:r>
              <w:rPr>
                <w:spacing w:val="-4"/>
                <w:sz w:val="24"/>
              </w:rPr>
              <w:t>29.5</w:t>
            </w:r>
          </w:p>
        </w:tc>
        <w:tc>
          <w:tcPr>
            <w:tcW w:w="1620" w:type="dxa"/>
          </w:tcPr>
          <w:p w14:paraId="15628F2E" w14:textId="77777777" w:rsidR="001825E2" w:rsidRDefault="001825E2" w:rsidP="00CB00A7">
            <w:pPr>
              <w:pStyle w:val="TableParagraph"/>
              <w:ind w:left="0"/>
              <w:jc w:val="left"/>
              <w:rPr>
                <w:b/>
                <w:sz w:val="24"/>
              </w:rPr>
            </w:pPr>
          </w:p>
          <w:p w14:paraId="011B857F" w14:textId="77777777" w:rsidR="001825E2" w:rsidRDefault="001825E2" w:rsidP="00CB00A7">
            <w:pPr>
              <w:pStyle w:val="TableParagraph"/>
              <w:spacing w:before="273"/>
              <w:ind w:left="0"/>
              <w:jc w:val="left"/>
              <w:rPr>
                <w:b/>
                <w:sz w:val="24"/>
              </w:rPr>
            </w:pPr>
          </w:p>
          <w:p w14:paraId="17DD0BF1" w14:textId="77777777" w:rsidR="001825E2" w:rsidRDefault="000839A5" w:rsidP="00CB00A7">
            <w:pPr>
              <w:pStyle w:val="TableParagraph"/>
              <w:spacing w:before="1" w:line="273" w:lineRule="exact"/>
              <w:ind w:left="146" w:right="116"/>
              <w:jc w:val="left"/>
              <w:rPr>
                <w:sz w:val="24"/>
              </w:rPr>
            </w:pPr>
            <w:r>
              <w:rPr>
                <w:spacing w:val="-4"/>
                <w:sz w:val="24"/>
              </w:rPr>
              <w:t>50.5</w:t>
            </w:r>
          </w:p>
          <w:p w14:paraId="161FD5E0" w14:textId="77777777" w:rsidR="001825E2" w:rsidRDefault="000839A5" w:rsidP="00CB00A7">
            <w:pPr>
              <w:pStyle w:val="TableParagraph"/>
              <w:spacing w:line="261" w:lineRule="exact"/>
              <w:ind w:left="146" w:right="116"/>
              <w:jc w:val="left"/>
              <w:rPr>
                <w:sz w:val="24"/>
              </w:rPr>
            </w:pPr>
            <w:r>
              <w:rPr>
                <w:spacing w:val="-4"/>
                <w:sz w:val="24"/>
              </w:rPr>
              <w:t>26.3</w:t>
            </w:r>
          </w:p>
        </w:tc>
        <w:tc>
          <w:tcPr>
            <w:tcW w:w="1200" w:type="dxa"/>
          </w:tcPr>
          <w:p w14:paraId="5E5CAFA1" w14:textId="77777777" w:rsidR="001825E2" w:rsidRDefault="001825E2" w:rsidP="00CB00A7">
            <w:pPr>
              <w:pStyle w:val="TableParagraph"/>
              <w:ind w:left="0"/>
              <w:jc w:val="left"/>
              <w:rPr>
                <w:b/>
                <w:sz w:val="24"/>
              </w:rPr>
            </w:pPr>
          </w:p>
          <w:p w14:paraId="24CA8CFE" w14:textId="77777777" w:rsidR="001825E2" w:rsidRDefault="001825E2" w:rsidP="00CB00A7">
            <w:pPr>
              <w:pStyle w:val="TableParagraph"/>
              <w:spacing w:before="273"/>
              <w:ind w:left="0"/>
              <w:jc w:val="left"/>
              <w:rPr>
                <w:b/>
                <w:sz w:val="24"/>
              </w:rPr>
            </w:pPr>
          </w:p>
          <w:p w14:paraId="098FB1CF" w14:textId="77777777" w:rsidR="001825E2" w:rsidRDefault="000839A5" w:rsidP="00CB00A7">
            <w:pPr>
              <w:pStyle w:val="TableParagraph"/>
              <w:spacing w:before="1" w:line="273" w:lineRule="exact"/>
              <w:ind w:left="397"/>
              <w:jc w:val="left"/>
              <w:rPr>
                <w:sz w:val="24"/>
              </w:rPr>
            </w:pPr>
            <w:r>
              <w:rPr>
                <w:spacing w:val="-4"/>
                <w:sz w:val="24"/>
              </w:rPr>
              <w:t>53.7</w:t>
            </w:r>
          </w:p>
          <w:p w14:paraId="68A51B41" w14:textId="77777777" w:rsidR="001825E2" w:rsidRDefault="000839A5" w:rsidP="00CB00A7">
            <w:pPr>
              <w:pStyle w:val="TableParagraph"/>
              <w:spacing w:line="261" w:lineRule="exact"/>
              <w:ind w:left="397"/>
              <w:jc w:val="left"/>
              <w:rPr>
                <w:sz w:val="24"/>
              </w:rPr>
            </w:pPr>
            <w:r>
              <w:rPr>
                <w:spacing w:val="-4"/>
                <w:sz w:val="24"/>
              </w:rPr>
              <w:t>36.4</w:t>
            </w:r>
          </w:p>
        </w:tc>
        <w:tc>
          <w:tcPr>
            <w:tcW w:w="1410" w:type="dxa"/>
          </w:tcPr>
          <w:p w14:paraId="21136A47" w14:textId="77777777" w:rsidR="001825E2" w:rsidRDefault="001825E2" w:rsidP="00CB00A7">
            <w:pPr>
              <w:pStyle w:val="TableParagraph"/>
              <w:ind w:left="0"/>
              <w:jc w:val="left"/>
              <w:rPr>
                <w:b/>
                <w:sz w:val="24"/>
              </w:rPr>
            </w:pPr>
          </w:p>
          <w:p w14:paraId="00E0DB39" w14:textId="77777777" w:rsidR="001825E2" w:rsidRDefault="001825E2" w:rsidP="00CB00A7">
            <w:pPr>
              <w:pStyle w:val="TableParagraph"/>
              <w:spacing w:before="273"/>
              <w:ind w:left="0"/>
              <w:jc w:val="left"/>
              <w:rPr>
                <w:b/>
                <w:sz w:val="24"/>
              </w:rPr>
            </w:pPr>
          </w:p>
          <w:p w14:paraId="4D46BA60" w14:textId="77777777" w:rsidR="001825E2" w:rsidRDefault="000839A5" w:rsidP="00CB00A7">
            <w:pPr>
              <w:pStyle w:val="TableParagraph"/>
              <w:spacing w:before="1" w:line="273" w:lineRule="exact"/>
              <w:ind w:left="30"/>
              <w:jc w:val="left"/>
              <w:rPr>
                <w:sz w:val="24"/>
              </w:rPr>
            </w:pPr>
            <w:r>
              <w:rPr>
                <w:spacing w:val="-4"/>
                <w:sz w:val="24"/>
              </w:rPr>
              <w:t>53.5</w:t>
            </w:r>
          </w:p>
          <w:p w14:paraId="2D68D636" w14:textId="77777777" w:rsidR="001825E2" w:rsidRDefault="000839A5" w:rsidP="00CB00A7">
            <w:pPr>
              <w:pStyle w:val="TableParagraph"/>
              <w:spacing w:line="261" w:lineRule="exact"/>
              <w:ind w:left="30"/>
              <w:jc w:val="left"/>
              <w:rPr>
                <w:sz w:val="24"/>
              </w:rPr>
            </w:pPr>
            <w:r>
              <w:rPr>
                <w:spacing w:val="-4"/>
                <w:sz w:val="24"/>
              </w:rPr>
              <w:t>27.0</w:t>
            </w:r>
          </w:p>
        </w:tc>
      </w:tr>
      <w:tr w:rsidR="001825E2" w14:paraId="23941D98" w14:textId="77777777">
        <w:trPr>
          <w:trHeight w:val="810"/>
        </w:trPr>
        <w:tc>
          <w:tcPr>
            <w:tcW w:w="2190" w:type="dxa"/>
          </w:tcPr>
          <w:p w14:paraId="407E1ED6" w14:textId="77777777" w:rsidR="001825E2" w:rsidRDefault="000839A5" w:rsidP="00CB00A7">
            <w:pPr>
              <w:pStyle w:val="TableParagraph"/>
              <w:spacing w:line="262" w:lineRule="exact"/>
              <w:ind w:left="0" w:right="773"/>
              <w:jc w:val="left"/>
              <w:rPr>
                <w:sz w:val="24"/>
              </w:rPr>
            </w:pPr>
            <w:r>
              <w:rPr>
                <w:sz w:val="24"/>
              </w:rPr>
              <w:t>CRP</w:t>
            </w:r>
            <w:r>
              <w:rPr>
                <w:spacing w:val="-6"/>
                <w:sz w:val="24"/>
              </w:rPr>
              <w:t xml:space="preserve"> </w:t>
            </w:r>
            <w:r>
              <w:rPr>
                <w:spacing w:val="-2"/>
                <w:sz w:val="24"/>
              </w:rPr>
              <w:t>(mg/L)</w:t>
            </w:r>
          </w:p>
          <w:p w14:paraId="4171DAB9" w14:textId="77777777" w:rsidR="001825E2" w:rsidRDefault="000839A5" w:rsidP="00CB00A7">
            <w:pPr>
              <w:pStyle w:val="TableParagraph"/>
              <w:spacing w:line="270" w:lineRule="exact"/>
              <w:ind w:left="247" w:right="1100" w:hanging="14"/>
              <w:jc w:val="left"/>
              <w:rPr>
                <w:sz w:val="24"/>
              </w:rPr>
            </w:pPr>
            <w:r>
              <w:rPr>
                <w:spacing w:val="-2"/>
                <w:sz w:val="24"/>
              </w:rPr>
              <w:t xml:space="preserve">Baseline </w:t>
            </w:r>
            <w:r>
              <w:rPr>
                <w:sz w:val="24"/>
              </w:rPr>
              <w:t>Month</w:t>
            </w:r>
            <w:r>
              <w:rPr>
                <w:spacing w:val="2"/>
                <w:sz w:val="24"/>
              </w:rPr>
              <w:t xml:space="preserve"> </w:t>
            </w:r>
            <w:r>
              <w:rPr>
                <w:spacing w:val="-10"/>
                <w:sz w:val="24"/>
              </w:rPr>
              <w:t>3</w:t>
            </w:r>
          </w:p>
        </w:tc>
        <w:tc>
          <w:tcPr>
            <w:tcW w:w="1410" w:type="dxa"/>
          </w:tcPr>
          <w:p w14:paraId="47E0C306" w14:textId="77777777" w:rsidR="001825E2" w:rsidRDefault="000839A5" w:rsidP="00CB00A7">
            <w:pPr>
              <w:pStyle w:val="TableParagraph"/>
              <w:spacing w:before="271" w:line="273" w:lineRule="exact"/>
              <w:ind w:left="30"/>
              <w:jc w:val="left"/>
              <w:rPr>
                <w:sz w:val="24"/>
              </w:rPr>
            </w:pPr>
            <w:r>
              <w:rPr>
                <w:spacing w:val="-4"/>
                <w:sz w:val="24"/>
              </w:rPr>
              <w:t>10.4</w:t>
            </w:r>
          </w:p>
          <w:p w14:paraId="14A69287" w14:textId="77777777" w:rsidR="001825E2" w:rsidRDefault="000839A5" w:rsidP="00CB00A7">
            <w:pPr>
              <w:pStyle w:val="TableParagraph"/>
              <w:spacing w:line="246" w:lineRule="exact"/>
              <w:ind w:left="30"/>
              <w:jc w:val="left"/>
              <w:rPr>
                <w:sz w:val="24"/>
              </w:rPr>
            </w:pPr>
            <w:r>
              <w:rPr>
                <w:spacing w:val="-4"/>
                <w:sz w:val="24"/>
              </w:rPr>
              <w:t>8.60</w:t>
            </w:r>
          </w:p>
        </w:tc>
        <w:tc>
          <w:tcPr>
            <w:tcW w:w="1410" w:type="dxa"/>
          </w:tcPr>
          <w:p w14:paraId="554FF43F" w14:textId="77777777" w:rsidR="001825E2" w:rsidRDefault="000839A5" w:rsidP="00CB00A7">
            <w:pPr>
              <w:pStyle w:val="TableParagraph"/>
              <w:spacing w:before="271" w:line="273" w:lineRule="exact"/>
              <w:ind w:left="30"/>
              <w:jc w:val="left"/>
              <w:rPr>
                <w:sz w:val="24"/>
              </w:rPr>
            </w:pPr>
            <w:r>
              <w:rPr>
                <w:spacing w:val="-4"/>
                <w:sz w:val="24"/>
              </w:rPr>
              <w:t>10.5</w:t>
            </w:r>
          </w:p>
          <w:p w14:paraId="7759FF5B" w14:textId="77777777" w:rsidR="001825E2" w:rsidRDefault="000839A5" w:rsidP="00CB00A7">
            <w:pPr>
              <w:pStyle w:val="TableParagraph"/>
              <w:spacing w:line="246" w:lineRule="exact"/>
              <w:ind w:left="30"/>
              <w:jc w:val="left"/>
              <w:rPr>
                <w:sz w:val="24"/>
              </w:rPr>
            </w:pPr>
            <w:r>
              <w:rPr>
                <w:spacing w:val="-4"/>
                <w:sz w:val="24"/>
              </w:rPr>
              <w:t>4.02</w:t>
            </w:r>
          </w:p>
        </w:tc>
        <w:tc>
          <w:tcPr>
            <w:tcW w:w="1620" w:type="dxa"/>
          </w:tcPr>
          <w:p w14:paraId="52A64A88" w14:textId="77777777" w:rsidR="001825E2" w:rsidRDefault="000839A5" w:rsidP="00CB00A7">
            <w:pPr>
              <w:pStyle w:val="TableParagraph"/>
              <w:spacing w:before="271" w:line="273" w:lineRule="exact"/>
              <w:ind w:left="146" w:right="116"/>
              <w:jc w:val="left"/>
              <w:rPr>
                <w:sz w:val="24"/>
              </w:rPr>
            </w:pPr>
            <w:r>
              <w:rPr>
                <w:spacing w:val="-4"/>
                <w:sz w:val="24"/>
              </w:rPr>
              <w:t>14.3</w:t>
            </w:r>
          </w:p>
          <w:p w14:paraId="508622A4" w14:textId="77777777" w:rsidR="001825E2" w:rsidRDefault="000839A5" w:rsidP="00CB00A7">
            <w:pPr>
              <w:pStyle w:val="TableParagraph"/>
              <w:spacing w:line="246" w:lineRule="exact"/>
              <w:ind w:left="146" w:right="116"/>
              <w:jc w:val="left"/>
              <w:rPr>
                <w:sz w:val="24"/>
              </w:rPr>
            </w:pPr>
            <w:r>
              <w:rPr>
                <w:spacing w:val="-4"/>
                <w:sz w:val="24"/>
              </w:rPr>
              <w:t>3.10</w:t>
            </w:r>
          </w:p>
        </w:tc>
        <w:tc>
          <w:tcPr>
            <w:tcW w:w="1200" w:type="dxa"/>
          </w:tcPr>
          <w:p w14:paraId="44EBC23F" w14:textId="77777777" w:rsidR="001825E2" w:rsidRDefault="000839A5" w:rsidP="00CB00A7">
            <w:pPr>
              <w:pStyle w:val="TableParagraph"/>
              <w:spacing w:before="271" w:line="273" w:lineRule="exact"/>
              <w:ind w:left="397"/>
              <w:jc w:val="left"/>
              <w:rPr>
                <w:sz w:val="24"/>
              </w:rPr>
            </w:pPr>
            <w:r>
              <w:rPr>
                <w:spacing w:val="-4"/>
                <w:sz w:val="24"/>
              </w:rPr>
              <w:t>12.1</w:t>
            </w:r>
          </w:p>
          <w:p w14:paraId="2387CE78" w14:textId="77777777" w:rsidR="001825E2" w:rsidRDefault="000839A5" w:rsidP="00CB00A7">
            <w:pPr>
              <w:pStyle w:val="TableParagraph"/>
              <w:spacing w:line="246" w:lineRule="exact"/>
              <w:ind w:left="337"/>
              <w:jc w:val="left"/>
              <w:rPr>
                <w:sz w:val="24"/>
              </w:rPr>
            </w:pPr>
            <w:r>
              <w:rPr>
                <w:spacing w:val="-2"/>
                <w:sz w:val="24"/>
              </w:rPr>
              <w:t>11.44</w:t>
            </w:r>
          </w:p>
        </w:tc>
        <w:tc>
          <w:tcPr>
            <w:tcW w:w="1410" w:type="dxa"/>
          </w:tcPr>
          <w:p w14:paraId="2C08946E" w14:textId="77777777" w:rsidR="001825E2" w:rsidRDefault="000839A5" w:rsidP="00CB00A7">
            <w:pPr>
              <w:pStyle w:val="TableParagraph"/>
              <w:spacing w:before="271" w:line="273" w:lineRule="exact"/>
              <w:ind w:left="30"/>
              <w:jc w:val="left"/>
              <w:rPr>
                <w:sz w:val="24"/>
              </w:rPr>
            </w:pPr>
            <w:r>
              <w:rPr>
                <w:spacing w:val="-4"/>
                <w:sz w:val="24"/>
              </w:rPr>
              <w:t>13.8</w:t>
            </w:r>
          </w:p>
          <w:p w14:paraId="60331AB3" w14:textId="77777777" w:rsidR="001825E2" w:rsidRDefault="000839A5" w:rsidP="00CB00A7">
            <w:pPr>
              <w:pStyle w:val="TableParagraph"/>
              <w:spacing w:line="246" w:lineRule="exact"/>
              <w:ind w:left="30"/>
              <w:jc w:val="left"/>
              <w:rPr>
                <w:sz w:val="24"/>
              </w:rPr>
            </w:pPr>
            <w:r>
              <w:rPr>
                <w:spacing w:val="-4"/>
                <w:sz w:val="24"/>
              </w:rPr>
              <w:t>7.72</w:t>
            </w:r>
          </w:p>
        </w:tc>
      </w:tr>
    </w:tbl>
    <w:p w14:paraId="04401E86" w14:textId="77777777" w:rsidR="001825E2" w:rsidRDefault="000839A5" w:rsidP="00CB00A7">
      <w:pPr>
        <w:spacing w:before="17" w:line="254" w:lineRule="auto"/>
        <w:ind w:left="220" w:right="741" w:hanging="1"/>
        <w:rPr>
          <w:sz w:val="19"/>
        </w:rPr>
      </w:pPr>
      <w:proofErr w:type="spellStart"/>
      <w:r>
        <w:rPr>
          <w:sz w:val="19"/>
        </w:rPr>
        <w:t>Abbrevia</w:t>
      </w:r>
      <w:proofErr w:type="spellEnd"/>
      <w:r>
        <w:rPr>
          <w:spacing w:val="-12"/>
          <w:sz w:val="19"/>
        </w:rPr>
        <w:t xml:space="preserve"> </w:t>
      </w:r>
      <w:proofErr w:type="spellStart"/>
      <w:r>
        <w:rPr>
          <w:sz w:val="19"/>
        </w:rPr>
        <w:t>tions</w:t>
      </w:r>
      <w:proofErr w:type="spellEnd"/>
      <w:r>
        <w:rPr>
          <w:sz w:val="19"/>
        </w:rPr>
        <w:t>:</w:t>
      </w:r>
      <w:r>
        <w:rPr>
          <w:spacing w:val="72"/>
          <w:w w:val="150"/>
          <w:sz w:val="19"/>
        </w:rPr>
        <w:t xml:space="preserve">  </w:t>
      </w:r>
      <w:r>
        <w:rPr>
          <w:sz w:val="19"/>
        </w:rPr>
        <w:t>ACR=America</w:t>
      </w:r>
      <w:r>
        <w:rPr>
          <w:spacing w:val="-12"/>
          <w:sz w:val="19"/>
        </w:rPr>
        <w:t xml:space="preserve"> </w:t>
      </w:r>
      <w:proofErr w:type="gramStart"/>
      <w:r>
        <w:rPr>
          <w:sz w:val="19"/>
        </w:rPr>
        <w:t>n</w:t>
      </w:r>
      <w:r>
        <w:rPr>
          <w:spacing w:val="80"/>
          <w:w w:val="150"/>
          <w:sz w:val="19"/>
        </w:rPr>
        <w:t xml:space="preserve">  </w:t>
      </w:r>
      <w:r>
        <w:rPr>
          <w:sz w:val="19"/>
        </w:rPr>
        <w:t>Colle</w:t>
      </w:r>
      <w:proofErr w:type="gramEnd"/>
      <w:r>
        <w:rPr>
          <w:spacing w:val="-12"/>
          <w:sz w:val="19"/>
        </w:rPr>
        <w:t xml:space="preserve"> </w:t>
      </w:r>
      <w:proofErr w:type="spellStart"/>
      <w:r>
        <w:rPr>
          <w:sz w:val="19"/>
        </w:rPr>
        <w:t>ge</w:t>
      </w:r>
      <w:proofErr w:type="spellEnd"/>
      <w:r>
        <w:rPr>
          <w:spacing w:val="80"/>
          <w:w w:val="150"/>
          <w:sz w:val="19"/>
        </w:rPr>
        <w:t xml:space="preserve">  </w:t>
      </w:r>
      <w:r>
        <w:rPr>
          <w:sz w:val="19"/>
        </w:rPr>
        <w:t>of</w:t>
      </w:r>
      <w:r>
        <w:rPr>
          <w:spacing w:val="80"/>
          <w:w w:val="150"/>
          <w:sz w:val="19"/>
        </w:rPr>
        <w:t xml:space="preserve">  </w:t>
      </w:r>
      <w:r>
        <w:rPr>
          <w:sz w:val="19"/>
        </w:rPr>
        <w:t>Rheumatology;</w:t>
      </w:r>
      <w:r>
        <w:rPr>
          <w:spacing w:val="80"/>
          <w:w w:val="150"/>
          <w:sz w:val="19"/>
        </w:rPr>
        <w:t xml:space="preserve">  </w:t>
      </w:r>
      <w:proofErr w:type="spellStart"/>
      <w:r>
        <w:rPr>
          <w:sz w:val="19"/>
        </w:rPr>
        <w:t>csDMARD</w:t>
      </w:r>
      <w:proofErr w:type="spellEnd"/>
      <w:r>
        <w:rPr>
          <w:sz w:val="19"/>
        </w:rPr>
        <w:t>=conventional</w:t>
      </w:r>
      <w:r>
        <w:rPr>
          <w:spacing w:val="80"/>
          <w:sz w:val="19"/>
        </w:rPr>
        <w:t xml:space="preserve">  </w:t>
      </w:r>
      <w:r>
        <w:rPr>
          <w:sz w:val="19"/>
        </w:rPr>
        <w:t xml:space="preserve">synthetic </w:t>
      </w:r>
      <w:proofErr w:type="spellStart"/>
      <w:r>
        <w:rPr>
          <w:sz w:val="19"/>
        </w:rPr>
        <w:t>disea</w:t>
      </w:r>
      <w:proofErr w:type="spellEnd"/>
      <w:r>
        <w:rPr>
          <w:spacing w:val="-12"/>
          <w:sz w:val="19"/>
        </w:rPr>
        <w:t xml:space="preserve"> </w:t>
      </w:r>
      <w:r>
        <w:rPr>
          <w:sz w:val="19"/>
        </w:rPr>
        <w:t>se-modifying antirheumatic</w:t>
      </w:r>
      <w:r>
        <w:rPr>
          <w:spacing w:val="40"/>
          <w:sz w:val="19"/>
        </w:rPr>
        <w:t xml:space="preserve"> </w:t>
      </w:r>
      <w:r>
        <w:rPr>
          <w:sz w:val="19"/>
        </w:rPr>
        <w:t>drug;</w:t>
      </w:r>
      <w:r>
        <w:rPr>
          <w:spacing w:val="40"/>
          <w:sz w:val="19"/>
        </w:rPr>
        <w:t xml:space="preserve"> </w:t>
      </w:r>
      <w:r>
        <w:rPr>
          <w:sz w:val="19"/>
        </w:rPr>
        <w:t>N=number</w:t>
      </w:r>
      <w:r>
        <w:rPr>
          <w:spacing w:val="35"/>
          <w:sz w:val="19"/>
        </w:rPr>
        <w:t xml:space="preserve"> </w:t>
      </w:r>
      <w:r>
        <w:rPr>
          <w:sz w:val="19"/>
        </w:rPr>
        <w:t>of</w:t>
      </w:r>
      <w:r>
        <w:rPr>
          <w:spacing w:val="40"/>
          <w:sz w:val="19"/>
        </w:rPr>
        <w:t xml:space="preserve"> </w:t>
      </w:r>
      <w:proofErr w:type="spellStart"/>
      <w:r>
        <w:rPr>
          <w:sz w:val="19"/>
        </w:rPr>
        <w:t>randomised</w:t>
      </w:r>
      <w:proofErr w:type="spellEnd"/>
      <w:r>
        <w:rPr>
          <w:spacing w:val="40"/>
          <w:sz w:val="19"/>
        </w:rPr>
        <w:t xml:space="preserve"> </w:t>
      </w:r>
      <w:r>
        <w:rPr>
          <w:sz w:val="19"/>
        </w:rPr>
        <w:t>and</w:t>
      </w:r>
      <w:r>
        <w:rPr>
          <w:spacing w:val="40"/>
          <w:sz w:val="19"/>
        </w:rPr>
        <w:t xml:space="preserve"> </w:t>
      </w:r>
      <w:r>
        <w:rPr>
          <w:sz w:val="19"/>
        </w:rPr>
        <w:t>treated</w:t>
      </w:r>
      <w:r>
        <w:rPr>
          <w:spacing w:val="40"/>
          <w:sz w:val="19"/>
        </w:rPr>
        <w:t xml:space="preserve"> </w:t>
      </w:r>
      <w:r>
        <w:rPr>
          <w:sz w:val="19"/>
        </w:rPr>
        <w:t>patients;</w:t>
      </w:r>
      <w:r>
        <w:rPr>
          <w:spacing w:val="40"/>
          <w:sz w:val="19"/>
        </w:rPr>
        <w:t xml:space="preserve"> </w:t>
      </w:r>
      <w:r>
        <w:rPr>
          <w:sz w:val="19"/>
        </w:rPr>
        <w:t>SC</w:t>
      </w:r>
      <w:r>
        <w:rPr>
          <w:spacing w:val="40"/>
          <w:sz w:val="19"/>
        </w:rPr>
        <w:t xml:space="preserve"> </w:t>
      </w:r>
      <w:r>
        <w:rPr>
          <w:sz w:val="19"/>
        </w:rPr>
        <w:t>q2w=subcutaneously once</w:t>
      </w:r>
      <w:r>
        <w:rPr>
          <w:spacing w:val="40"/>
          <w:sz w:val="19"/>
        </w:rPr>
        <w:t xml:space="preserve"> </w:t>
      </w:r>
      <w:r>
        <w:rPr>
          <w:sz w:val="19"/>
        </w:rPr>
        <w:t>every 2</w:t>
      </w:r>
      <w:r>
        <w:rPr>
          <w:spacing w:val="40"/>
          <w:sz w:val="19"/>
        </w:rPr>
        <w:t xml:space="preserve"> </w:t>
      </w:r>
      <w:r>
        <w:rPr>
          <w:sz w:val="19"/>
        </w:rPr>
        <w:t>weeks;</w:t>
      </w:r>
      <w:r>
        <w:rPr>
          <w:spacing w:val="40"/>
          <w:sz w:val="19"/>
        </w:rPr>
        <w:t xml:space="preserve"> </w:t>
      </w:r>
      <w:proofErr w:type="spellStart"/>
      <w:r>
        <w:rPr>
          <w:sz w:val="19"/>
        </w:rPr>
        <w:t>TNFi</w:t>
      </w:r>
      <w:proofErr w:type="spellEnd"/>
      <w:r>
        <w:rPr>
          <w:sz w:val="19"/>
        </w:rPr>
        <w:t>=</w:t>
      </w:r>
      <w:proofErr w:type="spellStart"/>
      <w:r>
        <w:rPr>
          <w:sz w:val="19"/>
        </w:rPr>
        <w:t>tumour</w:t>
      </w:r>
      <w:proofErr w:type="spellEnd"/>
      <w:r>
        <w:rPr>
          <w:spacing w:val="40"/>
          <w:sz w:val="19"/>
        </w:rPr>
        <w:t xml:space="preserve"> </w:t>
      </w:r>
      <w:r>
        <w:rPr>
          <w:sz w:val="19"/>
        </w:rPr>
        <w:t>necrosis</w:t>
      </w:r>
      <w:r>
        <w:rPr>
          <w:spacing w:val="40"/>
          <w:sz w:val="19"/>
        </w:rPr>
        <w:t xml:space="preserve"> </w:t>
      </w:r>
      <w:r>
        <w:rPr>
          <w:sz w:val="19"/>
        </w:rPr>
        <w:t>factor</w:t>
      </w:r>
      <w:r>
        <w:rPr>
          <w:spacing w:val="-1"/>
          <w:sz w:val="19"/>
        </w:rPr>
        <w:t xml:space="preserve"> </w:t>
      </w:r>
      <w:r>
        <w:rPr>
          <w:sz w:val="19"/>
        </w:rPr>
        <w:t>inhibitor;</w:t>
      </w:r>
      <w:r>
        <w:rPr>
          <w:spacing w:val="40"/>
          <w:sz w:val="19"/>
        </w:rPr>
        <w:t xml:space="preserve"> </w:t>
      </w:r>
      <w:r>
        <w:rPr>
          <w:sz w:val="19"/>
        </w:rPr>
        <w:t>CRP=C-reactive</w:t>
      </w:r>
      <w:r>
        <w:rPr>
          <w:spacing w:val="40"/>
          <w:sz w:val="19"/>
        </w:rPr>
        <w:t xml:space="preserve"> </w:t>
      </w:r>
      <w:r>
        <w:rPr>
          <w:sz w:val="19"/>
        </w:rPr>
        <w:t>protein</w:t>
      </w:r>
    </w:p>
    <w:p w14:paraId="2ADFA70A" w14:textId="77777777" w:rsidR="001825E2" w:rsidRDefault="000839A5" w:rsidP="00CB00A7">
      <w:pPr>
        <w:spacing w:line="214" w:lineRule="exact"/>
        <w:ind w:left="220"/>
        <w:rPr>
          <w:sz w:val="19"/>
        </w:rPr>
      </w:pPr>
      <w:proofErr w:type="gramStart"/>
      <w:r>
        <w:rPr>
          <w:position w:val="6"/>
          <w:sz w:val="13"/>
        </w:rPr>
        <w:t>a</w:t>
      </w:r>
      <w:r>
        <w:rPr>
          <w:spacing w:val="58"/>
          <w:position w:val="6"/>
          <w:sz w:val="13"/>
        </w:rPr>
        <w:t xml:space="preserve">  </w:t>
      </w:r>
      <w:r>
        <w:rPr>
          <w:sz w:val="19"/>
        </w:rPr>
        <w:t>Data</w:t>
      </w:r>
      <w:proofErr w:type="gramEnd"/>
      <w:r>
        <w:rPr>
          <w:spacing w:val="24"/>
          <w:sz w:val="19"/>
        </w:rPr>
        <w:t xml:space="preserve"> </w:t>
      </w:r>
      <w:r>
        <w:rPr>
          <w:sz w:val="19"/>
        </w:rPr>
        <w:t>shown</w:t>
      </w:r>
      <w:r>
        <w:rPr>
          <w:spacing w:val="32"/>
          <w:sz w:val="19"/>
        </w:rPr>
        <w:t xml:space="preserve"> </w:t>
      </w:r>
      <w:r>
        <w:rPr>
          <w:sz w:val="19"/>
        </w:rPr>
        <w:t>are</w:t>
      </w:r>
      <w:r>
        <w:rPr>
          <w:spacing w:val="2"/>
          <w:sz w:val="19"/>
        </w:rPr>
        <w:t xml:space="preserve"> </w:t>
      </w:r>
      <w:r>
        <w:rPr>
          <w:sz w:val="19"/>
        </w:rPr>
        <w:t>mean</w:t>
      </w:r>
      <w:r>
        <w:rPr>
          <w:spacing w:val="10"/>
          <w:sz w:val="19"/>
        </w:rPr>
        <w:t xml:space="preserve"> </w:t>
      </w:r>
      <w:r>
        <w:rPr>
          <w:sz w:val="19"/>
        </w:rPr>
        <w:t>value</w:t>
      </w:r>
      <w:r>
        <w:rPr>
          <w:spacing w:val="1"/>
          <w:sz w:val="19"/>
        </w:rPr>
        <w:t xml:space="preserve"> </w:t>
      </w:r>
      <w:r>
        <w:rPr>
          <w:sz w:val="19"/>
        </w:rPr>
        <w:t>at</w:t>
      </w:r>
      <w:r>
        <w:rPr>
          <w:spacing w:val="7"/>
          <w:sz w:val="19"/>
        </w:rPr>
        <w:t xml:space="preserve"> </w:t>
      </w:r>
      <w:r>
        <w:rPr>
          <w:sz w:val="19"/>
        </w:rPr>
        <w:t>baseline</w:t>
      </w:r>
      <w:r>
        <w:rPr>
          <w:spacing w:val="24"/>
          <w:sz w:val="19"/>
        </w:rPr>
        <w:t xml:space="preserve"> </w:t>
      </w:r>
      <w:r>
        <w:rPr>
          <w:sz w:val="19"/>
        </w:rPr>
        <w:t>and</w:t>
      </w:r>
      <w:r>
        <w:rPr>
          <w:spacing w:val="10"/>
          <w:sz w:val="19"/>
        </w:rPr>
        <w:t xml:space="preserve"> </w:t>
      </w:r>
      <w:r>
        <w:rPr>
          <w:sz w:val="19"/>
        </w:rPr>
        <w:t>at</w:t>
      </w:r>
      <w:r>
        <w:rPr>
          <w:spacing w:val="6"/>
          <w:sz w:val="19"/>
        </w:rPr>
        <w:t xml:space="preserve"> </w:t>
      </w:r>
      <w:r>
        <w:rPr>
          <w:sz w:val="19"/>
        </w:rPr>
        <w:t>Month</w:t>
      </w:r>
      <w:r>
        <w:rPr>
          <w:spacing w:val="9"/>
          <w:sz w:val="19"/>
        </w:rPr>
        <w:t xml:space="preserve"> </w:t>
      </w:r>
      <w:r>
        <w:rPr>
          <w:spacing w:val="-10"/>
          <w:sz w:val="19"/>
        </w:rPr>
        <w:t>3</w:t>
      </w:r>
    </w:p>
    <w:p w14:paraId="6117F27D" w14:textId="77777777" w:rsidR="001825E2" w:rsidRDefault="000839A5" w:rsidP="00CB00A7">
      <w:pPr>
        <w:spacing w:before="3"/>
        <w:ind w:left="220"/>
        <w:rPr>
          <w:sz w:val="19"/>
        </w:rPr>
      </w:pPr>
      <w:proofErr w:type="gramStart"/>
      <w:r>
        <w:rPr>
          <w:position w:val="6"/>
          <w:sz w:val="13"/>
        </w:rPr>
        <w:t>b</w:t>
      </w:r>
      <w:r>
        <w:rPr>
          <w:spacing w:val="35"/>
          <w:position w:val="6"/>
          <w:sz w:val="13"/>
        </w:rPr>
        <w:t xml:space="preserve">  </w:t>
      </w:r>
      <w:r>
        <w:rPr>
          <w:sz w:val="19"/>
        </w:rPr>
        <w:t>Visual</w:t>
      </w:r>
      <w:proofErr w:type="gramEnd"/>
      <w:r>
        <w:rPr>
          <w:spacing w:val="14"/>
          <w:sz w:val="19"/>
        </w:rPr>
        <w:t xml:space="preserve"> </w:t>
      </w:r>
      <w:r>
        <w:rPr>
          <w:sz w:val="19"/>
        </w:rPr>
        <w:t>analog</w:t>
      </w:r>
      <w:r>
        <w:rPr>
          <w:spacing w:val="-20"/>
          <w:sz w:val="19"/>
        </w:rPr>
        <w:t xml:space="preserve"> </w:t>
      </w:r>
      <w:r>
        <w:rPr>
          <w:sz w:val="19"/>
        </w:rPr>
        <w:t>scale</w:t>
      </w:r>
      <w:r>
        <w:rPr>
          <w:spacing w:val="10"/>
          <w:sz w:val="19"/>
        </w:rPr>
        <w:t xml:space="preserve"> </w:t>
      </w:r>
      <w:r>
        <w:rPr>
          <w:sz w:val="19"/>
        </w:rPr>
        <w:t>(VAS):</w:t>
      </w:r>
      <w:r>
        <w:rPr>
          <w:spacing w:val="68"/>
          <w:sz w:val="19"/>
        </w:rPr>
        <w:t xml:space="preserve"> </w:t>
      </w:r>
      <w:r>
        <w:rPr>
          <w:sz w:val="19"/>
        </w:rPr>
        <w:t>0</w:t>
      </w:r>
      <w:r>
        <w:rPr>
          <w:spacing w:val="16"/>
          <w:sz w:val="19"/>
        </w:rPr>
        <w:t xml:space="preserve"> </w:t>
      </w:r>
      <w:r>
        <w:rPr>
          <w:sz w:val="19"/>
        </w:rPr>
        <w:t>=</w:t>
      </w:r>
      <w:r>
        <w:rPr>
          <w:spacing w:val="18"/>
          <w:sz w:val="19"/>
        </w:rPr>
        <w:t xml:space="preserve"> </w:t>
      </w:r>
      <w:r>
        <w:rPr>
          <w:sz w:val="19"/>
        </w:rPr>
        <w:t>best,</w:t>
      </w:r>
      <w:r>
        <w:rPr>
          <w:spacing w:val="2"/>
          <w:sz w:val="19"/>
        </w:rPr>
        <w:t xml:space="preserve"> </w:t>
      </w:r>
      <w:r>
        <w:rPr>
          <w:sz w:val="19"/>
        </w:rPr>
        <w:t>100</w:t>
      </w:r>
      <w:r>
        <w:rPr>
          <w:spacing w:val="-2"/>
          <w:sz w:val="19"/>
        </w:rPr>
        <w:t xml:space="preserve"> </w:t>
      </w:r>
      <w:r>
        <w:rPr>
          <w:sz w:val="19"/>
        </w:rPr>
        <w:t>=</w:t>
      </w:r>
      <w:r>
        <w:rPr>
          <w:spacing w:val="18"/>
          <w:sz w:val="19"/>
        </w:rPr>
        <w:t xml:space="preserve"> </w:t>
      </w:r>
      <w:r>
        <w:rPr>
          <w:spacing w:val="-4"/>
          <w:sz w:val="19"/>
        </w:rPr>
        <w:t>worst</w:t>
      </w:r>
    </w:p>
    <w:p w14:paraId="6EBE86AA" w14:textId="77777777" w:rsidR="001825E2" w:rsidRDefault="000839A5" w:rsidP="00CB00A7">
      <w:pPr>
        <w:spacing w:before="17" w:line="247" w:lineRule="auto"/>
        <w:ind w:left="220" w:right="743" w:hanging="1"/>
        <w:rPr>
          <w:sz w:val="19"/>
        </w:rPr>
      </w:pPr>
      <w:r>
        <w:rPr>
          <w:position w:val="6"/>
          <w:sz w:val="13"/>
        </w:rPr>
        <w:t>c</w:t>
      </w:r>
      <w:r>
        <w:rPr>
          <w:spacing w:val="80"/>
          <w:position w:val="6"/>
          <w:sz w:val="13"/>
        </w:rPr>
        <w:t xml:space="preserve"> </w:t>
      </w:r>
      <w:r>
        <w:rPr>
          <w:sz w:val="19"/>
        </w:rPr>
        <w:t>HAQ-DI = Health Assessment Questionnaire – Disability Index: 0 = best, 3 = worst; 20 questions; categories: dressing</w:t>
      </w:r>
      <w:r>
        <w:rPr>
          <w:spacing w:val="40"/>
          <w:sz w:val="19"/>
        </w:rPr>
        <w:t xml:space="preserve"> </w:t>
      </w:r>
      <w:r>
        <w:rPr>
          <w:sz w:val="19"/>
        </w:rPr>
        <w:t>and grooming,</w:t>
      </w:r>
      <w:r>
        <w:rPr>
          <w:spacing w:val="40"/>
          <w:sz w:val="19"/>
        </w:rPr>
        <w:t xml:space="preserve"> </w:t>
      </w:r>
      <w:r>
        <w:rPr>
          <w:sz w:val="19"/>
        </w:rPr>
        <w:t>arising,</w:t>
      </w:r>
      <w:r>
        <w:rPr>
          <w:spacing w:val="40"/>
          <w:sz w:val="19"/>
        </w:rPr>
        <w:t xml:space="preserve"> </w:t>
      </w:r>
      <w:r>
        <w:rPr>
          <w:sz w:val="19"/>
        </w:rPr>
        <w:t>eating, walking,</w:t>
      </w:r>
      <w:r>
        <w:rPr>
          <w:spacing w:val="40"/>
          <w:sz w:val="19"/>
        </w:rPr>
        <w:t xml:space="preserve"> </w:t>
      </w:r>
      <w:r>
        <w:rPr>
          <w:sz w:val="19"/>
        </w:rPr>
        <w:t>hygiene,</w:t>
      </w:r>
      <w:r>
        <w:rPr>
          <w:spacing w:val="40"/>
          <w:sz w:val="19"/>
        </w:rPr>
        <w:t xml:space="preserve"> </w:t>
      </w:r>
      <w:r>
        <w:rPr>
          <w:sz w:val="19"/>
        </w:rPr>
        <w:t>reach,</w:t>
      </w:r>
      <w:r>
        <w:rPr>
          <w:spacing w:val="-3"/>
          <w:sz w:val="19"/>
        </w:rPr>
        <w:t xml:space="preserve"> </w:t>
      </w:r>
      <w:r>
        <w:rPr>
          <w:sz w:val="19"/>
        </w:rPr>
        <w:t>grip,</w:t>
      </w:r>
      <w:r>
        <w:rPr>
          <w:spacing w:val="40"/>
          <w:sz w:val="19"/>
        </w:rPr>
        <w:t xml:space="preserve"> </w:t>
      </w:r>
      <w:r>
        <w:rPr>
          <w:sz w:val="19"/>
        </w:rPr>
        <w:t>and activities</w:t>
      </w:r>
    </w:p>
    <w:p w14:paraId="1E411F1F" w14:textId="77777777" w:rsidR="001825E2" w:rsidRDefault="000839A5" w:rsidP="00CB00A7">
      <w:pPr>
        <w:spacing w:line="218" w:lineRule="exact"/>
        <w:ind w:left="220"/>
        <w:rPr>
          <w:sz w:val="19"/>
        </w:rPr>
      </w:pPr>
      <w:proofErr w:type="gramStart"/>
      <w:r>
        <w:rPr>
          <w:position w:val="6"/>
          <w:sz w:val="13"/>
        </w:rPr>
        <w:t>d</w:t>
      </w:r>
      <w:r>
        <w:rPr>
          <w:spacing w:val="52"/>
          <w:position w:val="6"/>
          <w:sz w:val="13"/>
        </w:rPr>
        <w:t xml:space="preserve">  </w:t>
      </w:r>
      <w:r>
        <w:rPr>
          <w:sz w:val="19"/>
        </w:rPr>
        <w:t>Inadequate</w:t>
      </w:r>
      <w:proofErr w:type="gramEnd"/>
      <w:r>
        <w:rPr>
          <w:spacing w:val="2"/>
          <w:sz w:val="19"/>
        </w:rPr>
        <w:t xml:space="preserve"> </w:t>
      </w:r>
      <w:r>
        <w:rPr>
          <w:sz w:val="19"/>
        </w:rPr>
        <w:t>response</w:t>
      </w:r>
      <w:r>
        <w:rPr>
          <w:spacing w:val="2"/>
          <w:sz w:val="19"/>
        </w:rPr>
        <w:t xml:space="preserve"> </w:t>
      </w:r>
      <w:r>
        <w:rPr>
          <w:sz w:val="19"/>
        </w:rPr>
        <w:t>to</w:t>
      </w:r>
      <w:r>
        <w:rPr>
          <w:spacing w:val="9"/>
          <w:sz w:val="19"/>
        </w:rPr>
        <w:t xml:space="preserve"> </w:t>
      </w:r>
      <w:r>
        <w:rPr>
          <w:sz w:val="19"/>
        </w:rPr>
        <w:t>at</w:t>
      </w:r>
      <w:r>
        <w:rPr>
          <w:spacing w:val="6"/>
          <w:sz w:val="19"/>
        </w:rPr>
        <w:t xml:space="preserve"> </w:t>
      </w:r>
      <w:r>
        <w:rPr>
          <w:sz w:val="19"/>
        </w:rPr>
        <w:t>least</w:t>
      </w:r>
      <w:r>
        <w:rPr>
          <w:spacing w:val="7"/>
          <w:sz w:val="19"/>
        </w:rPr>
        <w:t xml:space="preserve"> </w:t>
      </w:r>
      <w:r>
        <w:rPr>
          <w:sz w:val="19"/>
        </w:rPr>
        <w:t>1</w:t>
      </w:r>
      <w:r>
        <w:rPr>
          <w:spacing w:val="31"/>
          <w:sz w:val="19"/>
        </w:rPr>
        <w:t xml:space="preserve"> </w:t>
      </w:r>
      <w:proofErr w:type="spellStart"/>
      <w:r>
        <w:rPr>
          <w:sz w:val="19"/>
        </w:rPr>
        <w:t>csDMARD</w:t>
      </w:r>
      <w:proofErr w:type="spellEnd"/>
      <w:r>
        <w:rPr>
          <w:spacing w:val="57"/>
          <w:sz w:val="19"/>
        </w:rPr>
        <w:t xml:space="preserve"> </w:t>
      </w:r>
      <w:r>
        <w:rPr>
          <w:sz w:val="19"/>
        </w:rPr>
        <w:t>due</w:t>
      </w:r>
      <w:r>
        <w:rPr>
          <w:spacing w:val="24"/>
          <w:sz w:val="19"/>
        </w:rPr>
        <w:t xml:space="preserve"> </w:t>
      </w:r>
      <w:r>
        <w:rPr>
          <w:sz w:val="19"/>
        </w:rPr>
        <w:t>to</w:t>
      </w:r>
      <w:r>
        <w:rPr>
          <w:spacing w:val="32"/>
          <w:sz w:val="19"/>
        </w:rPr>
        <w:t xml:space="preserve"> </w:t>
      </w:r>
      <w:r>
        <w:rPr>
          <w:sz w:val="19"/>
        </w:rPr>
        <w:t>lack</w:t>
      </w:r>
      <w:r>
        <w:rPr>
          <w:spacing w:val="9"/>
          <w:sz w:val="19"/>
        </w:rPr>
        <w:t xml:space="preserve"> </w:t>
      </w:r>
      <w:r>
        <w:rPr>
          <w:sz w:val="19"/>
        </w:rPr>
        <w:t>of</w:t>
      </w:r>
      <w:r>
        <w:rPr>
          <w:spacing w:val="35"/>
          <w:sz w:val="19"/>
        </w:rPr>
        <w:t xml:space="preserve"> </w:t>
      </w:r>
      <w:r>
        <w:rPr>
          <w:sz w:val="19"/>
        </w:rPr>
        <w:t>efficacy</w:t>
      </w:r>
      <w:r>
        <w:rPr>
          <w:spacing w:val="9"/>
          <w:sz w:val="19"/>
        </w:rPr>
        <w:t xml:space="preserve"> </w:t>
      </w:r>
      <w:r>
        <w:rPr>
          <w:sz w:val="19"/>
        </w:rPr>
        <w:t>and/or</w:t>
      </w:r>
      <w:r>
        <w:rPr>
          <w:spacing w:val="-10"/>
          <w:sz w:val="19"/>
        </w:rPr>
        <w:t xml:space="preserve"> </w:t>
      </w:r>
      <w:r>
        <w:rPr>
          <w:spacing w:val="-2"/>
          <w:sz w:val="19"/>
        </w:rPr>
        <w:t>intolerability.</w:t>
      </w:r>
    </w:p>
    <w:p w14:paraId="4353A960" w14:textId="77777777" w:rsidR="001825E2" w:rsidRDefault="000839A5" w:rsidP="00CB00A7">
      <w:pPr>
        <w:spacing w:before="18"/>
        <w:ind w:left="220"/>
        <w:rPr>
          <w:sz w:val="19"/>
        </w:rPr>
      </w:pPr>
      <w:proofErr w:type="gramStart"/>
      <w:r>
        <w:rPr>
          <w:position w:val="6"/>
          <w:sz w:val="13"/>
        </w:rPr>
        <w:t>e</w:t>
      </w:r>
      <w:r>
        <w:rPr>
          <w:spacing w:val="55"/>
          <w:position w:val="6"/>
          <w:sz w:val="13"/>
        </w:rPr>
        <w:t xml:space="preserve">  </w:t>
      </w:r>
      <w:r>
        <w:rPr>
          <w:sz w:val="19"/>
        </w:rPr>
        <w:t>Inadequate</w:t>
      </w:r>
      <w:proofErr w:type="gramEnd"/>
      <w:r>
        <w:rPr>
          <w:spacing w:val="2"/>
          <w:sz w:val="19"/>
        </w:rPr>
        <w:t xml:space="preserve"> </w:t>
      </w:r>
      <w:r>
        <w:rPr>
          <w:sz w:val="19"/>
        </w:rPr>
        <w:t>response</w:t>
      </w:r>
      <w:r>
        <w:rPr>
          <w:spacing w:val="1"/>
          <w:sz w:val="19"/>
        </w:rPr>
        <w:t xml:space="preserve"> </w:t>
      </w:r>
      <w:r>
        <w:rPr>
          <w:sz w:val="19"/>
        </w:rPr>
        <w:t>to</w:t>
      </w:r>
      <w:r>
        <w:rPr>
          <w:spacing w:val="8"/>
          <w:sz w:val="19"/>
        </w:rPr>
        <w:t xml:space="preserve"> </w:t>
      </w:r>
      <w:r>
        <w:rPr>
          <w:sz w:val="19"/>
        </w:rPr>
        <w:t>at</w:t>
      </w:r>
      <w:r>
        <w:rPr>
          <w:spacing w:val="5"/>
          <w:sz w:val="19"/>
        </w:rPr>
        <w:t xml:space="preserve"> </w:t>
      </w:r>
      <w:r>
        <w:rPr>
          <w:sz w:val="19"/>
        </w:rPr>
        <w:t>least</w:t>
      </w:r>
      <w:r>
        <w:rPr>
          <w:spacing w:val="5"/>
          <w:sz w:val="19"/>
        </w:rPr>
        <w:t xml:space="preserve"> </w:t>
      </w:r>
      <w:r>
        <w:rPr>
          <w:sz w:val="19"/>
        </w:rPr>
        <w:t>1</w:t>
      </w:r>
      <w:r>
        <w:rPr>
          <w:spacing w:val="30"/>
          <w:sz w:val="19"/>
        </w:rPr>
        <w:t xml:space="preserve"> </w:t>
      </w:r>
      <w:proofErr w:type="spellStart"/>
      <w:r>
        <w:rPr>
          <w:sz w:val="19"/>
        </w:rPr>
        <w:t>TNFi</w:t>
      </w:r>
      <w:proofErr w:type="spellEnd"/>
      <w:r>
        <w:rPr>
          <w:spacing w:val="70"/>
          <w:sz w:val="19"/>
        </w:rPr>
        <w:t xml:space="preserve"> </w:t>
      </w:r>
      <w:r>
        <w:rPr>
          <w:sz w:val="19"/>
        </w:rPr>
        <w:t>due</w:t>
      </w:r>
      <w:r>
        <w:rPr>
          <w:spacing w:val="1"/>
          <w:sz w:val="19"/>
        </w:rPr>
        <w:t xml:space="preserve"> </w:t>
      </w:r>
      <w:r>
        <w:rPr>
          <w:sz w:val="19"/>
        </w:rPr>
        <w:t>to</w:t>
      </w:r>
      <w:r>
        <w:rPr>
          <w:spacing w:val="30"/>
          <w:sz w:val="19"/>
        </w:rPr>
        <w:t xml:space="preserve"> </w:t>
      </w:r>
      <w:r>
        <w:rPr>
          <w:sz w:val="19"/>
        </w:rPr>
        <w:t>lack</w:t>
      </w:r>
      <w:r>
        <w:rPr>
          <w:spacing w:val="8"/>
          <w:sz w:val="19"/>
        </w:rPr>
        <w:t xml:space="preserve"> </w:t>
      </w:r>
      <w:r>
        <w:rPr>
          <w:sz w:val="19"/>
        </w:rPr>
        <w:t>of</w:t>
      </w:r>
      <w:r>
        <w:rPr>
          <w:spacing w:val="34"/>
          <w:sz w:val="19"/>
        </w:rPr>
        <w:t xml:space="preserve"> </w:t>
      </w:r>
      <w:r>
        <w:rPr>
          <w:sz w:val="19"/>
        </w:rPr>
        <w:t>efficacy</w:t>
      </w:r>
      <w:r>
        <w:rPr>
          <w:spacing w:val="8"/>
          <w:sz w:val="19"/>
        </w:rPr>
        <w:t xml:space="preserve"> </w:t>
      </w:r>
      <w:r>
        <w:rPr>
          <w:sz w:val="19"/>
        </w:rPr>
        <w:t>and/or</w:t>
      </w:r>
      <w:r>
        <w:rPr>
          <w:spacing w:val="-12"/>
          <w:sz w:val="19"/>
        </w:rPr>
        <w:t xml:space="preserve"> </w:t>
      </w:r>
      <w:r>
        <w:rPr>
          <w:spacing w:val="-2"/>
          <w:sz w:val="19"/>
        </w:rPr>
        <w:t>intolerability.</w:t>
      </w:r>
    </w:p>
    <w:p w14:paraId="7B959BCB" w14:textId="77777777" w:rsidR="001825E2" w:rsidRDefault="001825E2" w:rsidP="00CB00A7">
      <w:pPr>
        <w:pStyle w:val="BodyText"/>
        <w:spacing w:before="26"/>
        <w:jc w:val="left"/>
        <w:rPr>
          <w:sz w:val="19"/>
        </w:rPr>
      </w:pPr>
    </w:p>
    <w:p w14:paraId="3586A55F" w14:textId="77777777" w:rsidR="001825E2" w:rsidRDefault="000839A5" w:rsidP="00CB00A7">
      <w:pPr>
        <w:pStyle w:val="BodyText"/>
        <w:spacing w:line="242" w:lineRule="auto"/>
        <w:ind w:left="220" w:right="751" w:hanging="1"/>
        <w:jc w:val="left"/>
      </w:pPr>
      <w:r>
        <w:t xml:space="preserve">ACR20 response rates for patients receiving tofacitinib 5 mg twice daily were statistically significantly higher than those receiving placebo as early as Week 2 (first post-baseline </w:t>
      </w:r>
      <w:r>
        <w:rPr>
          <w:spacing w:val="-2"/>
        </w:rPr>
        <w:t>assessment).</w:t>
      </w:r>
    </w:p>
    <w:p w14:paraId="0982F346" w14:textId="77777777" w:rsidR="001825E2" w:rsidRDefault="000839A5" w:rsidP="00CB00A7">
      <w:pPr>
        <w:pStyle w:val="BodyText"/>
        <w:spacing w:before="229" w:line="242" w:lineRule="auto"/>
        <w:ind w:left="220" w:right="729"/>
        <w:jc w:val="left"/>
      </w:pPr>
      <w:r>
        <w:t>ACR response rates, as</w:t>
      </w:r>
      <w:r>
        <w:rPr>
          <w:spacing w:val="-1"/>
        </w:rPr>
        <w:t xml:space="preserve"> </w:t>
      </w:r>
      <w:r>
        <w:t>well</w:t>
      </w:r>
      <w:r>
        <w:rPr>
          <w:spacing w:val="-4"/>
        </w:rPr>
        <w:t xml:space="preserve"> </w:t>
      </w:r>
      <w:r>
        <w:t>as</w:t>
      </w:r>
      <w:r>
        <w:rPr>
          <w:spacing w:val="-1"/>
        </w:rPr>
        <w:t xml:space="preserve"> </w:t>
      </w:r>
      <w:r>
        <w:t>effects</w:t>
      </w:r>
      <w:r>
        <w:rPr>
          <w:spacing w:val="-1"/>
        </w:rPr>
        <w:t xml:space="preserve"> </w:t>
      </w:r>
      <w:r>
        <w:t>on other</w:t>
      </w:r>
      <w:r>
        <w:rPr>
          <w:spacing w:val="-2"/>
        </w:rPr>
        <w:t xml:space="preserve"> </w:t>
      </w:r>
      <w:r>
        <w:t>endpoints</w:t>
      </w:r>
      <w:r>
        <w:rPr>
          <w:spacing w:val="-1"/>
        </w:rPr>
        <w:t xml:space="preserve"> </w:t>
      </w:r>
      <w:r>
        <w:t>(skin manifestations, enthesitis and dactylitis) continued to improve or were maintained through Month 6 (OPAL BROADEN</w:t>
      </w:r>
      <w:r>
        <w:rPr>
          <w:spacing w:val="40"/>
        </w:rPr>
        <w:t xml:space="preserve"> </w:t>
      </w:r>
      <w:r>
        <w:t>and OPAL BEYOND) and Month 12 (OPAL BROADEN).</w:t>
      </w:r>
    </w:p>
    <w:p w14:paraId="7FBB7C06" w14:textId="77777777" w:rsidR="001825E2" w:rsidRDefault="000839A5" w:rsidP="00CB00A7">
      <w:pPr>
        <w:pStyle w:val="BodyText"/>
        <w:spacing w:before="229" w:line="242" w:lineRule="auto"/>
        <w:ind w:left="219" w:right="731"/>
        <w:jc w:val="left"/>
      </w:pPr>
      <w:r>
        <w:t>In OPAL BROADEN, resolution of enthesitis at Month 3 occurred in 33.3%, 47.4%, and 21.5% of patients on XELJANZ 5 mg twice</w:t>
      </w:r>
      <w:r>
        <w:rPr>
          <w:spacing w:val="-2"/>
        </w:rPr>
        <w:t xml:space="preserve"> </w:t>
      </w:r>
      <w:r>
        <w:t>daily, adalimumab 40 mg subcutaneously once every 2 weeks, and placebo, respectively. In OPAL BEYOND, resolution of enthesitis at Month 3 occurred in 39.8% and 21.6% of patients on XELJANZ 5</w:t>
      </w:r>
      <w:r>
        <w:rPr>
          <w:spacing w:val="-4"/>
        </w:rPr>
        <w:t xml:space="preserve"> </w:t>
      </w:r>
      <w:r>
        <w:t>mg twice daily and placebo, respectively.</w:t>
      </w:r>
    </w:p>
    <w:p w14:paraId="5691E9D7" w14:textId="77777777" w:rsidR="001825E2" w:rsidRDefault="000839A5" w:rsidP="00CB00A7">
      <w:pPr>
        <w:pStyle w:val="BodyText"/>
        <w:spacing w:before="226" w:line="242" w:lineRule="auto"/>
        <w:ind w:left="219" w:right="747"/>
        <w:jc w:val="left"/>
      </w:pPr>
      <w:r>
        <w:t>In Study OPAL BROADEN, resolution of dactylitis at Month 3 occurred in 34.4%, 46.6%, and 32.8% of patients on XELJANZ 5 mg twice daily, adalimumab 40 mg subcutaneously once</w:t>
      </w:r>
      <w:r>
        <w:rPr>
          <w:spacing w:val="-7"/>
        </w:rPr>
        <w:t xml:space="preserve"> </w:t>
      </w:r>
      <w:r>
        <w:t>every</w:t>
      </w:r>
      <w:r>
        <w:rPr>
          <w:spacing w:val="-5"/>
        </w:rPr>
        <w:t xml:space="preserve"> </w:t>
      </w:r>
      <w:r>
        <w:t>2</w:t>
      </w:r>
      <w:r>
        <w:rPr>
          <w:spacing w:val="-5"/>
        </w:rPr>
        <w:t xml:space="preserve"> </w:t>
      </w:r>
      <w:r>
        <w:t>weeks,</w:t>
      </w:r>
      <w:r>
        <w:rPr>
          <w:spacing w:val="-5"/>
        </w:rPr>
        <w:t xml:space="preserve"> </w:t>
      </w:r>
      <w:r>
        <w:t>and placebo,</w:t>
      </w:r>
      <w:r>
        <w:rPr>
          <w:spacing w:val="-5"/>
        </w:rPr>
        <w:t xml:space="preserve"> </w:t>
      </w:r>
      <w:r>
        <w:t>respectively.</w:t>
      </w:r>
      <w:r>
        <w:rPr>
          <w:spacing w:val="-5"/>
        </w:rPr>
        <w:t xml:space="preserve"> </w:t>
      </w:r>
      <w:r>
        <w:t>In</w:t>
      </w:r>
      <w:r>
        <w:rPr>
          <w:spacing w:val="-5"/>
        </w:rPr>
        <w:t xml:space="preserve"> </w:t>
      </w:r>
      <w:r>
        <w:t>OPAL</w:t>
      </w:r>
      <w:r>
        <w:rPr>
          <w:spacing w:val="-2"/>
        </w:rPr>
        <w:t xml:space="preserve"> </w:t>
      </w:r>
      <w:r>
        <w:t>BEYOND,</w:t>
      </w:r>
      <w:r>
        <w:rPr>
          <w:spacing w:val="-5"/>
        </w:rPr>
        <w:t xml:space="preserve"> </w:t>
      </w:r>
      <w:r>
        <w:t>resolution</w:t>
      </w:r>
      <w:r>
        <w:rPr>
          <w:spacing w:val="-5"/>
        </w:rPr>
        <w:t xml:space="preserve"> </w:t>
      </w:r>
      <w:r>
        <w:t>of dactylitis</w:t>
      </w:r>
      <w:r>
        <w:rPr>
          <w:spacing w:val="-8"/>
        </w:rPr>
        <w:t xml:space="preserve"> </w:t>
      </w:r>
      <w:r>
        <w:t>at Month 3 occurred in 51.5% and 28.6% of patients on XELJANZ 5 mg twice daily and placebo, respectively.</w:t>
      </w:r>
    </w:p>
    <w:p w14:paraId="36C4BA18" w14:textId="77777777" w:rsidR="001825E2" w:rsidRDefault="001825E2" w:rsidP="00CB00A7">
      <w:pPr>
        <w:spacing w:line="242" w:lineRule="auto"/>
        <w:sectPr w:rsidR="001825E2">
          <w:type w:val="continuous"/>
          <w:pgSz w:w="11910" w:h="16850"/>
          <w:pgMar w:top="1420" w:right="700" w:bottom="980" w:left="1220" w:header="0" w:footer="785" w:gutter="0"/>
          <w:cols w:space="720"/>
        </w:sectPr>
      </w:pPr>
    </w:p>
    <w:p w14:paraId="3423EE28" w14:textId="77777777" w:rsidR="001825E2" w:rsidRDefault="000839A5" w:rsidP="00CB00A7">
      <w:pPr>
        <w:pStyle w:val="BodyText"/>
        <w:spacing w:before="80" w:line="235" w:lineRule="auto"/>
        <w:ind w:left="220" w:right="751"/>
        <w:jc w:val="left"/>
      </w:pPr>
      <w:r>
        <w:lastRenderedPageBreak/>
        <w:t>Improvements were observed after treatment with XELJANZ on the Minimum Disease Activity</w:t>
      </w:r>
      <w:r>
        <w:rPr>
          <w:spacing w:val="-9"/>
        </w:rPr>
        <w:t xml:space="preserve"> </w:t>
      </w:r>
      <w:r>
        <w:t>(MDA) response rate and the</w:t>
      </w:r>
      <w:r>
        <w:rPr>
          <w:spacing w:val="-12"/>
        </w:rPr>
        <w:t xml:space="preserve"> </w:t>
      </w:r>
      <w:r>
        <w:t>Psoriatic Arthritis Disease Activity Score (PASDAS).</w:t>
      </w:r>
    </w:p>
    <w:p w14:paraId="61743A4A" w14:textId="77777777" w:rsidR="001825E2" w:rsidRDefault="000839A5" w:rsidP="00CB00A7">
      <w:pPr>
        <w:spacing w:before="250"/>
        <w:ind w:left="220"/>
        <w:rPr>
          <w:i/>
          <w:sz w:val="24"/>
        </w:rPr>
      </w:pPr>
      <w:r>
        <w:rPr>
          <w:i/>
          <w:sz w:val="24"/>
        </w:rPr>
        <w:t>Radiographic</w:t>
      </w:r>
      <w:r>
        <w:rPr>
          <w:i/>
          <w:spacing w:val="-2"/>
          <w:sz w:val="24"/>
        </w:rPr>
        <w:t xml:space="preserve"> response</w:t>
      </w:r>
    </w:p>
    <w:p w14:paraId="42ED06D8" w14:textId="77777777" w:rsidR="001825E2" w:rsidRDefault="000839A5" w:rsidP="00CB00A7">
      <w:pPr>
        <w:pStyle w:val="BodyText"/>
        <w:spacing w:before="114" w:line="242" w:lineRule="auto"/>
        <w:ind w:left="219" w:right="722"/>
        <w:jc w:val="left"/>
      </w:pPr>
      <w:r>
        <w:t xml:space="preserve">In Study OPAL BROADEN, the progression of structural joint damage was assessed radiographically </w:t>
      </w:r>
      <w:proofErr w:type="spellStart"/>
      <w:r>
        <w:t>utilising</w:t>
      </w:r>
      <w:proofErr w:type="spellEnd"/>
      <w:r>
        <w:t xml:space="preserve"> the van der </w:t>
      </w:r>
      <w:proofErr w:type="spellStart"/>
      <w:r>
        <w:t>Heijde</w:t>
      </w:r>
      <w:proofErr w:type="spellEnd"/>
      <w:r>
        <w:t xml:space="preserve"> modified Total Sharp Score (</w:t>
      </w:r>
      <w:proofErr w:type="spellStart"/>
      <w:r>
        <w:t>mTSS</w:t>
      </w:r>
      <w:proofErr w:type="spellEnd"/>
      <w:r>
        <w:t>) and the proportion of patients with radiographic progression (</w:t>
      </w:r>
      <w:proofErr w:type="spellStart"/>
      <w:r>
        <w:t>mTSS</w:t>
      </w:r>
      <w:proofErr w:type="spellEnd"/>
      <w:r>
        <w:t xml:space="preserve"> increase from baseline greater than 0.5) was assessed at Month 12. At Month 12, 96% and 98% of patients receiving XELJANZ 5</w:t>
      </w:r>
      <w:r>
        <w:rPr>
          <w:spacing w:val="-3"/>
        </w:rPr>
        <w:t xml:space="preserve"> </w:t>
      </w:r>
      <w:r>
        <w:t>mg twice daily and adalimumab 40 mg subcutaneously every 2 weeks, respectively, did</w:t>
      </w:r>
      <w:r>
        <w:rPr>
          <w:spacing w:val="34"/>
        </w:rPr>
        <w:t xml:space="preserve"> </w:t>
      </w:r>
      <w:r>
        <w:t>not</w:t>
      </w:r>
      <w:r>
        <w:rPr>
          <w:spacing w:val="28"/>
        </w:rPr>
        <w:t xml:space="preserve"> </w:t>
      </w:r>
      <w:r>
        <w:t>have radiographic progression (</w:t>
      </w:r>
      <w:proofErr w:type="spellStart"/>
      <w:r>
        <w:t>mTSS</w:t>
      </w:r>
      <w:proofErr w:type="spellEnd"/>
      <w:r>
        <w:t xml:space="preserve"> increase from baseline less than or equal to 0.5).</w:t>
      </w:r>
    </w:p>
    <w:p w14:paraId="1A2C5DC5" w14:textId="77777777" w:rsidR="001825E2" w:rsidRDefault="000839A5" w:rsidP="00CB00A7">
      <w:pPr>
        <w:spacing w:before="224"/>
        <w:ind w:left="219"/>
        <w:rPr>
          <w:i/>
          <w:sz w:val="24"/>
        </w:rPr>
      </w:pPr>
      <w:r>
        <w:rPr>
          <w:i/>
          <w:sz w:val="24"/>
        </w:rPr>
        <w:t>Physical</w:t>
      </w:r>
      <w:r>
        <w:rPr>
          <w:i/>
          <w:spacing w:val="-11"/>
          <w:sz w:val="24"/>
        </w:rPr>
        <w:t xml:space="preserve"> </w:t>
      </w:r>
      <w:r>
        <w:rPr>
          <w:i/>
          <w:sz w:val="24"/>
        </w:rPr>
        <w:t>function</w:t>
      </w:r>
      <w:r>
        <w:rPr>
          <w:i/>
          <w:spacing w:val="10"/>
          <w:sz w:val="24"/>
        </w:rPr>
        <w:t xml:space="preserve"> </w:t>
      </w:r>
      <w:r>
        <w:rPr>
          <w:i/>
          <w:sz w:val="24"/>
        </w:rPr>
        <w:t>and</w:t>
      </w:r>
      <w:r>
        <w:rPr>
          <w:i/>
          <w:spacing w:val="-13"/>
          <w:sz w:val="24"/>
        </w:rPr>
        <w:t xml:space="preserve"> </w:t>
      </w:r>
      <w:r>
        <w:rPr>
          <w:i/>
          <w:sz w:val="24"/>
        </w:rPr>
        <w:t>health-related</w:t>
      </w:r>
      <w:r>
        <w:rPr>
          <w:i/>
          <w:spacing w:val="10"/>
          <w:sz w:val="24"/>
        </w:rPr>
        <w:t xml:space="preserve"> </w:t>
      </w:r>
      <w:r>
        <w:rPr>
          <w:i/>
          <w:sz w:val="24"/>
        </w:rPr>
        <w:t>quality</w:t>
      </w:r>
      <w:r>
        <w:rPr>
          <w:i/>
          <w:spacing w:val="9"/>
          <w:sz w:val="24"/>
        </w:rPr>
        <w:t xml:space="preserve"> </w:t>
      </w:r>
      <w:r>
        <w:rPr>
          <w:i/>
          <w:sz w:val="24"/>
        </w:rPr>
        <w:t>of</w:t>
      </w:r>
      <w:r>
        <w:rPr>
          <w:i/>
          <w:spacing w:val="-15"/>
          <w:sz w:val="24"/>
        </w:rPr>
        <w:t xml:space="preserve"> </w:t>
      </w:r>
      <w:r>
        <w:rPr>
          <w:i/>
          <w:spacing w:val="-4"/>
          <w:sz w:val="24"/>
        </w:rPr>
        <w:t>life</w:t>
      </w:r>
    </w:p>
    <w:p w14:paraId="3316051E" w14:textId="77777777" w:rsidR="001825E2" w:rsidRDefault="000839A5" w:rsidP="00CB00A7">
      <w:pPr>
        <w:pStyle w:val="BodyText"/>
        <w:spacing w:before="114" w:line="242" w:lineRule="auto"/>
        <w:ind w:left="218" w:right="740"/>
        <w:jc w:val="left"/>
      </w:pPr>
      <w:r>
        <w:t>Improvement in physical functioning was measured by the HAQ-DI. Patients receiving XELJANZ 5</w:t>
      </w:r>
      <w:r>
        <w:rPr>
          <w:spacing w:val="-4"/>
        </w:rPr>
        <w:t xml:space="preserve"> </w:t>
      </w:r>
      <w:r>
        <w:t>mg twice daily demonstrated greater improvement (p≤0.05) from baseline in physical functioning compared to placebo at Month 3 (see Table 11). HAQ-DI improvement from baseline in XELJANZ-treated patients was maintained or improved through Month</w:t>
      </w:r>
      <w:r>
        <w:rPr>
          <w:spacing w:val="-3"/>
        </w:rPr>
        <w:t xml:space="preserve"> </w:t>
      </w:r>
      <w:r>
        <w:t>6 (OPAL BROADEN and OPAL BEYOND) and Month 12 (OPAL BROADEN).</w:t>
      </w:r>
    </w:p>
    <w:p w14:paraId="6ECF0C5D" w14:textId="77777777" w:rsidR="001825E2" w:rsidRDefault="000839A5" w:rsidP="00CB00A7">
      <w:pPr>
        <w:pStyle w:val="Heading3"/>
        <w:spacing w:before="226" w:line="247" w:lineRule="auto"/>
        <w:ind w:left="1238" w:right="745" w:hanging="1020"/>
      </w:pPr>
      <w:r>
        <w:t>Table</w:t>
      </w:r>
      <w:r>
        <w:rPr>
          <w:spacing w:val="-3"/>
        </w:rPr>
        <w:t xml:space="preserve"> </w:t>
      </w:r>
      <w:r>
        <w:t>11:</w:t>
      </w:r>
      <w:r>
        <w:rPr>
          <w:spacing w:val="-6"/>
        </w:rPr>
        <w:t xml:space="preserve"> </w:t>
      </w:r>
      <w:r>
        <w:t>Change</w:t>
      </w:r>
      <w:r>
        <w:rPr>
          <w:spacing w:val="40"/>
        </w:rPr>
        <w:t xml:space="preserve"> </w:t>
      </w:r>
      <w:r>
        <w:t>From</w:t>
      </w:r>
      <w:r>
        <w:rPr>
          <w:spacing w:val="38"/>
        </w:rPr>
        <w:t xml:space="preserve"> </w:t>
      </w:r>
      <w:r>
        <w:t>Baseline</w:t>
      </w:r>
      <w:r>
        <w:rPr>
          <w:spacing w:val="40"/>
        </w:rPr>
        <w:t xml:space="preserve"> </w:t>
      </w:r>
      <w:r>
        <w:t>in</w:t>
      </w:r>
      <w:r>
        <w:rPr>
          <w:spacing w:val="40"/>
        </w:rPr>
        <w:t xml:space="preserve"> </w:t>
      </w:r>
      <w:r>
        <w:t>HAQ-DI</w:t>
      </w:r>
      <w:r>
        <w:rPr>
          <w:spacing w:val="39"/>
        </w:rPr>
        <w:t xml:space="preserve"> </w:t>
      </w:r>
      <w:r>
        <w:t>in</w:t>
      </w:r>
      <w:r>
        <w:rPr>
          <w:spacing w:val="40"/>
        </w:rPr>
        <w:t xml:space="preserve"> </w:t>
      </w:r>
      <w:r>
        <w:t>PsA</w:t>
      </w:r>
      <w:r>
        <w:rPr>
          <w:spacing w:val="40"/>
        </w:rPr>
        <w:t xml:space="preserve"> </w:t>
      </w:r>
      <w:r>
        <w:t>Studies</w:t>
      </w:r>
      <w:r>
        <w:rPr>
          <w:spacing w:val="40"/>
        </w:rPr>
        <w:t xml:space="preserve"> </w:t>
      </w:r>
      <w:r>
        <w:t>OPAL</w:t>
      </w:r>
      <w:r>
        <w:rPr>
          <w:spacing w:val="40"/>
        </w:rPr>
        <w:t xml:space="preserve"> </w:t>
      </w:r>
      <w:r>
        <w:t>BROADEN</w:t>
      </w:r>
      <w:r>
        <w:rPr>
          <w:spacing w:val="40"/>
        </w:rPr>
        <w:t xml:space="preserve"> </w:t>
      </w:r>
      <w:r>
        <w:t>and OPAL</w:t>
      </w:r>
      <w:r>
        <w:rPr>
          <w:spacing w:val="-3"/>
        </w:rPr>
        <w:t xml:space="preserve"> </w:t>
      </w:r>
      <w:r>
        <w:t>BEYOND</w:t>
      </w:r>
    </w:p>
    <w:p w14:paraId="181A3C08" w14:textId="77777777" w:rsidR="001825E2" w:rsidRDefault="001825E2" w:rsidP="00CB00A7">
      <w:pPr>
        <w:pStyle w:val="BodyText"/>
        <w:spacing w:before="2"/>
        <w:jc w:val="left"/>
        <w:rPr>
          <w:b/>
          <w:sz w:val="9"/>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30"/>
        <w:gridCol w:w="1050"/>
        <w:gridCol w:w="1830"/>
        <w:gridCol w:w="1935"/>
        <w:gridCol w:w="1110"/>
        <w:gridCol w:w="1830"/>
      </w:tblGrid>
      <w:tr w:rsidR="001825E2" w14:paraId="75A37821" w14:textId="77777777">
        <w:trPr>
          <w:trHeight w:val="269"/>
        </w:trPr>
        <w:tc>
          <w:tcPr>
            <w:tcW w:w="1530" w:type="dxa"/>
            <w:vMerge w:val="restart"/>
          </w:tcPr>
          <w:p w14:paraId="417DB647" w14:textId="77777777" w:rsidR="001825E2" w:rsidRDefault="001825E2" w:rsidP="00CB00A7">
            <w:pPr>
              <w:pStyle w:val="TableParagraph"/>
              <w:ind w:left="0"/>
              <w:jc w:val="left"/>
            </w:pPr>
          </w:p>
        </w:tc>
        <w:tc>
          <w:tcPr>
            <w:tcW w:w="7755" w:type="dxa"/>
            <w:gridSpan w:val="5"/>
          </w:tcPr>
          <w:p w14:paraId="0EC6A48D" w14:textId="77777777" w:rsidR="001825E2" w:rsidRDefault="000839A5" w:rsidP="00CB00A7">
            <w:pPr>
              <w:pStyle w:val="TableParagraph"/>
              <w:spacing w:before="1" w:line="249" w:lineRule="exact"/>
              <w:ind w:left="25"/>
              <w:jc w:val="left"/>
              <w:rPr>
                <w:b/>
                <w:sz w:val="24"/>
              </w:rPr>
            </w:pPr>
            <w:r>
              <w:rPr>
                <w:b/>
                <w:sz w:val="24"/>
              </w:rPr>
              <w:t>Least</w:t>
            </w:r>
            <w:r>
              <w:rPr>
                <w:b/>
                <w:spacing w:val="-13"/>
                <w:sz w:val="24"/>
              </w:rPr>
              <w:t xml:space="preserve"> </w:t>
            </w:r>
            <w:r>
              <w:rPr>
                <w:b/>
                <w:sz w:val="24"/>
              </w:rPr>
              <w:t>Squares</w:t>
            </w:r>
            <w:r>
              <w:rPr>
                <w:b/>
                <w:spacing w:val="6"/>
                <w:sz w:val="24"/>
              </w:rPr>
              <w:t xml:space="preserve"> </w:t>
            </w:r>
            <w:r>
              <w:rPr>
                <w:b/>
                <w:sz w:val="24"/>
              </w:rPr>
              <w:t>Mean</w:t>
            </w:r>
            <w:r>
              <w:rPr>
                <w:b/>
                <w:spacing w:val="-4"/>
                <w:sz w:val="24"/>
              </w:rPr>
              <w:t xml:space="preserve"> </w:t>
            </w:r>
            <w:r>
              <w:rPr>
                <w:b/>
                <w:sz w:val="24"/>
              </w:rPr>
              <w:t>Change</w:t>
            </w:r>
            <w:r>
              <w:rPr>
                <w:b/>
                <w:spacing w:val="-17"/>
                <w:sz w:val="24"/>
              </w:rPr>
              <w:t xml:space="preserve"> </w:t>
            </w:r>
            <w:proofErr w:type="gramStart"/>
            <w:r>
              <w:rPr>
                <w:b/>
                <w:sz w:val="24"/>
              </w:rPr>
              <w:t>From</w:t>
            </w:r>
            <w:proofErr w:type="gramEnd"/>
            <w:r>
              <w:rPr>
                <w:b/>
                <w:spacing w:val="-9"/>
                <w:sz w:val="24"/>
              </w:rPr>
              <w:t xml:space="preserve"> </w:t>
            </w:r>
            <w:r>
              <w:rPr>
                <w:b/>
                <w:sz w:val="24"/>
              </w:rPr>
              <w:t>Baseline</w:t>
            </w:r>
            <w:r>
              <w:rPr>
                <w:b/>
                <w:spacing w:val="7"/>
                <w:sz w:val="24"/>
              </w:rPr>
              <w:t xml:space="preserve"> </w:t>
            </w:r>
            <w:r>
              <w:rPr>
                <w:b/>
                <w:sz w:val="24"/>
              </w:rPr>
              <w:t>in</w:t>
            </w:r>
            <w:r>
              <w:rPr>
                <w:b/>
                <w:spacing w:val="11"/>
                <w:sz w:val="24"/>
              </w:rPr>
              <w:t xml:space="preserve"> </w:t>
            </w:r>
            <w:r>
              <w:rPr>
                <w:b/>
                <w:sz w:val="24"/>
              </w:rPr>
              <w:t>HAQ-</w:t>
            </w:r>
            <w:r>
              <w:rPr>
                <w:b/>
                <w:spacing w:val="-5"/>
                <w:sz w:val="24"/>
              </w:rPr>
              <w:t>DI</w:t>
            </w:r>
          </w:p>
        </w:tc>
      </w:tr>
      <w:tr w:rsidR="001825E2" w14:paraId="018B518C" w14:textId="77777777">
        <w:trPr>
          <w:trHeight w:val="555"/>
        </w:trPr>
        <w:tc>
          <w:tcPr>
            <w:tcW w:w="1530" w:type="dxa"/>
            <w:vMerge/>
            <w:tcBorders>
              <w:top w:val="nil"/>
            </w:tcBorders>
          </w:tcPr>
          <w:p w14:paraId="1B449210" w14:textId="77777777" w:rsidR="001825E2" w:rsidRDefault="001825E2" w:rsidP="00CB00A7">
            <w:pPr>
              <w:rPr>
                <w:sz w:val="2"/>
                <w:szCs w:val="2"/>
              </w:rPr>
            </w:pPr>
          </w:p>
        </w:tc>
        <w:tc>
          <w:tcPr>
            <w:tcW w:w="4815" w:type="dxa"/>
            <w:gridSpan w:val="3"/>
          </w:tcPr>
          <w:p w14:paraId="30A41DE5" w14:textId="77777777" w:rsidR="001825E2" w:rsidRDefault="000839A5" w:rsidP="00CB00A7">
            <w:pPr>
              <w:pStyle w:val="TableParagraph"/>
              <w:spacing w:before="1" w:line="273" w:lineRule="exact"/>
              <w:ind w:left="19" w:right="4"/>
              <w:jc w:val="left"/>
              <w:rPr>
                <w:b/>
                <w:sz w:val="24"/>
              </w:rPr>
            </w:pPr>
            <w:proofErr w:type="spellStart"/>
            <w:r>
              <w:rPr>
                <w:b/>
                <w:spacing w:val="-2"/>
                <w:sz w:val="24"/>
              </w:rPr>
              <w:t>csDMARD</w:t>
            </w:r>
            <w:proofErr w:type="spellEnd"/>
          </w:p>
          <w:p w14:paraId="231BA8DE" w14:textId="77777777" w:rsidR="001825E2" w:rsidRDefault="000839A5" w:rsidP="00CB00A7">
            <w:pPr>
              <w:pStyle w:val="TableParagraph"/>
              <w:spacing w:line="261" w:lineRule="exact"/>
              <w:ind w:left="19"/>
              <w:jc w:val="left"/>
              <w:rPr>
                <w:b/>
                <w:sz w:val="24"/>
              </w:rPr>
            </w:pPr>
            <w:r>
              <w:rPr>
                <w:b/>
                <w:sz w:val="24"/>
              </w:rPr>
              <w:t>Inadequate</w:t>
            </w:r>
            <w:r>
              <w:rPr>
                <w:b/>
                <w:spacing w:val="-8"/>
                <w:sz w:val="24"/>
              </w:rPr>
              <w:t xml:space="preserve"> </w:t>
            </w:r>
            <w:r>
              <w:rPr>
                <w:b/>
                <w:sz w:val="24"/>
              </w:rPr>
              <w:t>Responders</w:t>
            </w:r>
            <w:r>
              <w:rPr>
                <w:b/>
                <w:position w:val="7"/>
                <w:sz w:val="16"/>
              </w:rPr>
              <w:t>a</w:t>
            </w:r>
            <w:r>
              <w:rPr>
                <w:b/>
                <w:spacing w:val="20"/>
                <w:position w:val="7"/>
                <w:sz w:val="16"/>
              </w:rPr>
              <w:t xml:space="preserve"> </w:t>
            </w:r>
            <w:r>
              <w:rPr>
                <w:b/>
                <w:sz w:val="24"/>
              </w:rPr>
              <w:t>(</w:t>
            </w:r>
            <w:proofErr w:type="spellStart"/>
            <w:r>
              <w:rPr>
                <w:b/>
                <w:sz w:val="24"/>
              </w:rPr>
              <w:t>TNFi</w:t>
            </w:r>
            <w:proofErr w:type="spellEnd"/>
            <w:r>
              <w:rPr>
                <w:b/>
                <w:sz w:val="24"/>
              </w:rPr>
              <w:t>-</w:t>
            </w:r>
            <w:r>
              <w:rPr>
                <w:b/>
                <w:spacing w:val="-2"/>
                <w:sz w:val="24"/>
              </w:rPr>
              <w:t>Naïve)</w:t>
            </w:r>
          </w:p>
        </w:tc>
        <w:tc>
          <w:tcPr>
            <w:tcW w:w="2940" w:type="dxa"/>
            <w:gridSpan w:val="2"/>
          </w:tcPr>
          <w:p w14:paraId="772A1BD8" w14:textId="77777777" w:rsidR="001825E2" w:rsidRDefault="000839A5" w:rsidP="00CB00A7">
            <w:pPr>
              <w:pStyle w:val="TableParagraph"/>
              <w:spacing w:before="1" w:line="273" w:lineRule="exact"/>
              <w:ind w:left="25"/>
              <w:jc w:val="left"/>
              <w:rPr>
                <w:b/>
                <w:sz w:val="24"/>
              </w:rPr>
            </w:pPr>
            <w:proofErr w:type="spellStart"/>
            <w:r>
              <w:rPr>
                <w:b/>
                <w:spacing w:val="-4"/>
                <w:sz w:val="24"/>
              </w:rPr>
              <w:t>TNFi</w:t>
            </w:r>
            <w:proofErr w:type="spellEnd"/>
          </w:p>
          <w:p w14:paraId="257B2D73" w14:textId="77777777" w:rsidR="001825E2" w:rsidRDefault="000839A5" w:rsidP="00CB00A7">
            <w:pPr>
              <w:pStyle w:val="TableParagraph"/>
              <w:spacing w:line="261" w:lineRule="exact"/>
              <w:ind w:left="25" w:right="9"/>
              <w:jc w:val="left"/>
              <w:rPr>
                <w:b/>
                <w:sz w:val="16"/>
              </w:rPr>
            </w:pPr>
            <w:r>
              <w:rPr>
                <w:b/>
                <w:sz w:val="24"/>
              </w:rPr>
              <w:t>Inadequate</w:t>
            </w:r>
            <w:r>
              <w:rPr>
                <w:b/>
                <w:spacing w:val="-9"/>
                <w:sz w:val="24"/>
              </w:rPr>
              <w:t xml:space="preserve"> </w:t>
            </w:r>
            <w:r>
              <w:rPr>
                <w:b/>
                <w:spacing w:val="-2"/>
                <w:sz w:val="24"/>
              </w:rPr>
              <w:t>Responders</w:t>
            </w:r>
            <w:r>
              <w:rPr>
                <w:b/>
                <w:spacing w:val="-2"/>
                <w:position w:val="7"/>
                <w:sz w:val="16"/>
              </w:rPr>
              <w:t>b</w:t>
            </w:r>
          </w:p>
        </w:tc>
      </w:tr>
      <w:tr w:rsidR="001825E2" w14:paraId="655C90CE" w14:textId="77777777">
        <w:trPr>
          <w:trHeight w:val="269"/>
        </w:trPr>
        <w:tc>
          <w:tcPr>
            <w:tcW w:w="1530" w:type="dxa"/>
            <w:vMerge/>
            <w:tcBorders>
              <w:top w:val="nil"/>
            </w:tcBorders>
          </w:tcPr>
          <w:p w14:paraId="58C4273F" w14:textId="77777777" w:rsidR="001825E2" w:rsidRDefault="001825E2" w:rsidP="00CB00A7">
            <w:pPr>
              <w:rPr>
                <w:sz w:val="2"/>
                <w:szCs w:val="2"/>
              </w:rPr>
            </w:pPr>
          </w:p>
        </w:tc>
        <w:tc>
          <w:tcPr>
            <w:tcW w:w="4815" w:type="dxa"/>
            <w:gridSpan w:val="3"/>
          </w:tcPr>
          <w:p w14:paraId="78228F59" w14:textId="77777777" w:rsidR="001825E2" w:rsidRDefault="000839A5" w:rsidP="00CB00A7">
            <w:pPr>
              <w:pStyle w:val="TableParagraph"/>
              <w:spacing w:line="250" w:lineRule="exact"/>
              <w:ind w:left="1432"/>
              <w:jc w:val="left"/>
              <w:rPr>
                <w:b/>
                <w:sz w:val="24"/>
              </w:rPr>
            </w:pPr>
            <w:r>
              <w:rPr>
                <w:b/>
                <w:sz w:val="24"/>
              </w:rPr>
              <w:t>OPAL</w:t>
            </w:r>
            <w:r>
              <w:rPr>
                <w:b/>
                <w:spacing w:val="-9"/>
                <w:sz w:val="24"/>
              </w:rPr>
              <w:t xml:space="preserve"> </w:t>
            </w:r>
            <w:r>
              <w:rPr>
                <w:b/>
                <w:spacing w:val="-2"/>
                <w:sz w:val="24"/>
              </w:rPr>
              <w:t>BROADEN</w:t>
            </w:r>
          </w:p>
        </w:tc>
        <w:tc>
          <w:tcPr>
            <w:tcW w:w="2940" w:type="dxa"/>
            <w:gridSpan w:val="2"/>
          </w:tcPr>
          <w:p w14:paraId="60E2517A" w14:textId="77777777" w:rsidR="001825E2" w:rsidRDefault="000839A5" w:rsidP="00CB00A7">
            <w:pPr>
              <w:pStyle w:val="TableParagraph"/>
              <w:spacing w:line="250" w:lineRule="exact"/>
              <w:ind w:left="592"/>
              <w:jc w:val="left"/>
              <w:rPr>
                <w:b/>
                <w:sz w:val="24"/>
              </w:rPr>
            </w:pPr>
            <w:r>
              <w:rPr>
                <w:b/>
                <w:sz w:val="24"/>
              </w:rPr>
              <w:t>OPAL</w:t>
            </w:r>
            <w:r>
              <w:rPr>
                <w:b/>
                <w:spacing w:val="-9"/>
                <w:sz w:val="24"/>
              </w:rPr>
              <w:t xml:space="preserve"> </w:t>
            </w:r>
            <w:r>
              <w:rPr>
                <w:b/>
                <w:spacing w:val="-2"/>
                <w:sz w:val="24"/>
              </w:rPr>
              <w:t>BEYOND</w:t>
            </w:r>
          </w:p>
        </w:tc>
      </w:tr>
      <w:tr w:rsidR="001825E2" w14:paraId="1B282297" w14:textId="77777777">
        <w:trPr>
          <w:trHeight w:val="825"/>
        </w:trPr>
        <w:tc>
          <w:tcPr>
            <w:tcW w:w="1530" w:type="dxa"/>
          </w:tcPr>
          <w:p w14:paraId="2B2C26B9" w14:textId="77777777" w:rsidR="001825E2" w:rsidRDefault="000839A5" w:rsidP="00CB00A7">
            <w:pPr>
              <w:pStyle w:val="TableParagraph"/>
              <w:spacing w:line="247" w:lineRule="auto"/>
              <w:ind w:right="308"/>
              <w:jc w:val="left"/>
              <w:rPr>
                <w:b/>
                <w:sz w:val="24"/>
              </w:rPr>
            </w:pPr>
            <w:r>
              <w:rPr>
                <w:b/>
                <w:spacing w:val="-2"/>
                <w:sz w:val="24"/>
              </w:rPr>
              <w:t>Treatment Group</w:t>
            </w:r>
          </w:p>
        </w:tc>
        <w:tc>
          <w:tcPr>
            <w:tcW w:w="1050" w:type="dxa"/>
          </w:tcPr>
          <w:p w14:paraId="57D652A9" w14:textId="77777777" w:rsidR="001825E2" w:rsidRDefault="000839A5" w:rsidP="00CB00A7">
            <w:pPr>
              <w:pStyle w:val="TableParagraph"/>
              <w:spacing w:line="262" w:lineRule="exact"/>
              <w:ind w:left="14"/>
              <w:jc w:val="left"/>
              <w:rPr>
                <w:b/>
                <w:sz w:val="24"/>
              </w:rPr>
            </w:pPr>
            <w:r>
              <w:rPr>
                <w:b/>
                <w:spacing w:val="-2"/>
                <w:sz w:val="24"/>
              </w:rPr>
              <w:t>Placebo</w:t>
            </w:r>
          </w:p>
        </w:tc>
        <w:tc>
          <w:tcPr>
            <w:tcW w:w="1830" w:type="dxa"/>
          </w:tcPr>
          <w:p w14:paraId="542DF3DC" w14:textId="77777777" w:rsidR="001825E2" w:rsidRDefault="000839A5" w:rsidP="00CB00A7">
            <w:pPr>
              <w:pStyle w:val="TableParagraph"/>
              <w:spacing w:line="262" w:lineRule="exact"/>
              <w:ind w:left="102" w:right="86"/>
              <w:jc w:val="left"/>
              <w:rPr>
                <w:b/>
                <w:sz w:val="24"/>
              </w:rPr>
            </w:pPr>
            <w:r>
              <w:rPr>
                <w:b/>
                <w:spacing w:val="-2"/>
                <w:sz w:val="24"/>
              </w:rPr>
              <w:t>XELJANZ</w:t>
            </w:r>
          </w:p>
          <w:p w14:paraId="01F1304B" w14:textId="77777777" w:rsidR="001825E2" w:rsidRDefault="000839A5" w:rsidP="00CB00A7">
            <w:pPr>
              <w:pStyle w:val="TableParagraph"/>
              <w:spacing w:before="3" w:line="270" w:lineRule="exact"/>
              <w:ind w:left="89" w:right="86"/>
              <w:jc w:val="left"/>
              <w:rPr>
                <w:b/>
                <w:sz w:val="24"/>
              </w:rPr>
            </w:pPr>
            <w:r>
              <w:rPr>
                <w:b/>
                <w:sz w:val="24"/>
              </w:rPr>
              <w:t>5</w:t>
            </w:r>
            <w:r>
              <w:rPr>
                <w:b/>
                <w:spacing w:val="-15"/>
                <w:sz w:val="24"/>
              </w:rPr>
              <w:t xml:space="preserve"> </w:t>
            </w:r>
            <w:r>
              <w:rPr>
                <w:b/>
                <w:sz w:val="24"/>
              </w:rPr>
              <w:t>mg</w:t>
            </w:r>
            <w:r>
              <w:rPr>
                <w:b/>
                <w:spacing w:val="-15"/>
                <w:sz w:val="24"/>
              </w:rPr>
              <w:t xml:space="preserve"> </w:t>
            </w:r>
            <w:r>
              <w:rPr>
                <w:b/>
                <w:sz w:val="24"/>
              </w:rPr>
              <w:t xml:space="preserve">Twice </w:t>
            </w:r>
            <w:r>
              <w:rPr>
                <w:b/>
                <w:spacing w:val="-2"/>
                <w:sz w:val="24"/>
              </w:rPr>
              <w:t>Daily</w:t>
            </w:r>
          </w:p>
        </w:tc>
        <w:tc>
          <w:tcPr>
            <w:tcW w:w="1935" w:type="dxa"/>
          </w:tcPr>
          <w:p w14:paraId="1CD659E8" w14:textId="77777777" w:rsidR="001825E2" w:rsidRDefault="000839A5" w:rsidP="00CB00A7">
            <w:pPr>
              <w:pStyle w:val="TableParagraph"/>
              <w:spacing w:line="247" w:lineRule="auto"/>
              <w:ind w:left="202" w:right="66" w:firstLine="105"/>
              <w:jc w:val="left"/>
              <w:rPr>
                <w:b/>
                <w:sz w:val="24"/>
              </w:rPr>
            </w:pPr>
            <w:r>
              <w:rPr>
                <w:b/>
                <w:spacing w:val="-2"/>
                <w:sz w:val="24"/>
              </w:rPr>
              <w:t xml:space="preserve">Adalimumab </w:t>
            </w:r>
            <w:r>
              <w:rPr>
                <w:b/>
                <w:sz w:val="24"/>
              </w:rPr>
              <w:t>40</w:t>
            </w:r>
            <w:r>
              <w:rPr>
                <w:b/>
                <w:spacing w:val="-2"/>
                <w:sz w:val="24"/>
              </w:rPr>
              <w:t xml:space="preserve"> </w:t>
            </w:r>
            <w:r>
              <w:rPr>
                <w:b/>
                <w:sz w:val="24"/>
              </w:rPr>
              <w:t>mg</w:t>
            </w:r>
            <w:r>
              <w:rPr>
                <w:b/>
                <w:spacing w:val="-1"/>
                <w:sz w:val="24"/>
              </w:rPr>
              <w:t xml:space="preserve"> </w:t>
            </w:r>
            <w:r>
              <w:rPr>
                <w:b/>
                <w:sz w:val="24"/>
              </w:rPr>
              <w:t>SC</w:t>
            </w:r>
            <w:r>
              <w:rPr>
                <w:b/>
                <w:spacing w:val="5"/>
                <w:sz w:val="24"/>
              </w:rPr>
              <w:t xml:space="preserve"> </w:t>
            </w:r>
            <w:r>
              <w:rPr>
                <w:b/>
                <w:spacing w:val="-5"/>
                <w:sz w:val="24"/>
              </w:rPr>
              <w:t>q2W</w:t>
            </w:r>
          </w:p>
        </w:tc>
        <w:tc>
          <w:tcPr>
            <w:tcW w:w="1110" w:type="dxa"/>
          </w:tcPr>
          <w:p w14:paraId="6643D6A6" w14:textId="77777777" w:rsidR="001825E2" w:rsidRDefault="000839A5" w:rsidP="00CB00A7">
            <w:pPr>
              <w:pStyle w:val="TableParagraph"/>
              <w:spacing w:line="262" w:lineRule="exact"/>
              <w:ind w:left="30" w:right="16"/>
              <w:jc w:val="left"/>
              <w:rPr>
                <w:b/>
                <w:sz w:val="24"/>
              </w:rPr>
            </w:pPr>
            <w:r>
              <w:rPr>
                <w:b/>
                <w:spacing w:val="-2"/>
                <w:sz w:val="24"/>
              </w:rPr>
              <w:t>Placebo</w:t>
            </w:r>
          </w:p>
        </w:tc>
        <w:tc>
          <w:tcPr>
            <w:tcW w:w="1830" w:type="dxa"/>
          </w:tcPr>
          <w:p w14:paraId="538E8614" w14:textId="77777777" w:rsidR="001825E2" w:rsidRDefault="000839A5" w:rsidP="00CB00A7">
            <w:pPr>
              <w:pStyle w:val="TableParagraph"/>
              <w:spacing w:line="262" w:lineRule="exact"/>
              <w:ind w:left="102" w:right="86"/>
              <w:jc w:val="left"/>
              <w:rPr>
                <w:b/>
                <w:sz w:val="24"/>
              </w:rPr>
            </w:pPr>
            <w:r>
              <w:rPr>
                <w:b/>
                <w:spacing w:val="-2"/>
                <w:sz w:val="24"/>
              </w:rPr>
              <w:t>XELJANZ</w:t>
            </w:r>
          </w:p>
          <w:p w14:paraId="1DBA9D10" w14:textId="77777777" w:rsidR="001825E2" w:rsidRDefault="000839A5" w:rsidP="00CB00A7">
            <w:pPr>
              <w:pStyle w:val="TableParagraph"/>
              <w:spacing w:before="3" w:line="270" w:lineRule="exact"/>
              <w:ind w:left="89" w:right="86"/>
              <w:jc w:val="left"/>
              <w:rPr>
                <w:b/>
                <w:sz w:val="24"/>
              </w:rPr>
            </w:pPr>
            <w:r>
              <w:rPr>
                <w:b/>
                <w:sz w:val="24"/>
              </w:rPr>
              <w:t>5</w:t>
            </w:r>
            <w:r>
              <w:rPr>
                <w:b/>
                <w:spacing w:val="-15"/>
                <w:sz w:val="24"/>
              </w:rPr>
              <w:t xml:space="preserve"> </w:t>
            </w:r>
            <w:r>
              <w:rPr>
                <w:b/>
                <w:sz w:val="24"/>
              </w:rPr>
              <w:t>mg</w:t>
            </w:r>
            <w:r>
              <w:rPr>
                <w:b/>
                <w:spacing w:val="-15"/>
                <w:sz w:val="24"/>
              </w:rPr>
              <w:t xml:space="preserve"> </w:t>
            </w:r>
            <w:r>
              <w:rPr>
                <w:b/>
                <w:sz w:val="24"/>
              </w:rPr>
              <w:t xml:space="preserve">Twice </w:t>
            </w:r>
            <w:r>
              <w:rPr>
                <w:b/>
                <w:spacing w:val="-2"/>
                <w:sz w:val="24"/>
              </w:rPr>
              <w:t>Daily</w:t>
            </w:r>
          </w:p>
        </w:tc>
      </w:tr>
      <w:tr w:rsidR="001825E2" w14:paraId="2A672AC1" w14:textId="77777777">
        <w:trPr>
          <w:trHeight w:val="269"/>
        </w:trPr>
        <w:tc>
          <w:tcPr>
            <w:tcW w:w="1530" w:type="dxa"/>
          </w:tcPr>
          <w:p w14:paraId="6DC3C209" w14:textId="77777777" w:rsidR="001825E2" w:rsidRDefault="000839A5" w:rsidP="00CB00A7">
            <w:pPr>
              <w:pStyle w:val="TableParagraph"/>
              <w:spacing w:line="250" w:lineRule="exact"/>
              <w:jc w:val="left"/>
              <w:rPr>
                <w:sz w:val="24"/>
              </w:rPr>
            </w:pPr>
            <w:r>
              <w:rPr>
                <w:spacing w:val="-10"/>
                <w:sz w:val="24"/>
              </w:rPr>
              <w:t>N</w:t>
            </w:r>
          </w:p>
        </w:tc>
        <w:tc>
          <w:tcPr>
            <w:tcW w:w="1050" w:type="dxa"/>
          </w:tcPr>
          <w:p w14:paraId="09F7C28B" w14:textId="77777777" w:rsidR="001825E2" w:rsidRDefault="000839A5" w:rsidP="00CB00A7">
            <w:pPr>
              <w:pStyle w:val="TableParagraph"/>
              <w:spacing w:line="250" w:lineRule="exact"/>
              <w:ind w:left="30"/>
              <w:jc w:val="left"/>
              <w:rPr>
                <w:sz w:val="24"/>
              </w:rPr>
            </w:pPr>
            <w:r>
              <w:rPr>
                <w:spacing w:val="-5"/>
                <w:sz w:val="24"/>
              </w:rPr>
              <w:t>104</w:t>
            </w:r>
          </w:p>
        </w:tc>
        <w:tc>
          <w:tcPr>
            <w:tcW w:w="1830" w:type="dxa"/>
          </w:tcPr>
          <w:p w14:paraId="00EEF7F0" w14:textId="77777777" w:rsidR="001825E2" w:rsidRDefault="000839A5" w:rsidP="00CB00A7">
            <w:pPr>
              <w:pStyle w:val="TableParagraph"/>
              <w:spacing w:line="250" w:lineRule="exact"/>
              <w:ind w:left="89" w:right="89"/>
              <w:jc w:val="left"/>
              <w:rPr>
                <w:sz w:val="24"/>
              </w:rPr>
            </w:pPr>
            <w:r>
              <w:rPr>
                <w:spacing w:val="-5"/>
                <w:sz w:val="24"/>
              </w:rPr>
              <w:t>107</w:t>
            </w:r>
          </w:p>
        </w:tc>
        <w:tc>
          <w:tcPr>
            <w:tcW w:w="1935" w:type="dxa"/>
          </w:tcPr>
          <w:p w14:paraId="6AAA5075" w14:textId="77777777" w:rsidR="001825E2" w:rsidRDefault="000839A5" w:rsidP="00CB00A7">
            <w:pPr>
              <w:pStyle w:val="TableParagraph"/>
              <w:spacing w:line="250" w:lineRule="exact"/>
              <w:ind w:left="30" w:right="15"/>
              <w:jc w:val="left"/>
              <w:rPr>
                <w:sz w:val="24"/>
              </w:rPr>
            </w:pPr>
            <w:r>
              <w:rPr>
                <w:spacing w:val="-5"/>
                <w:sz w:val="24"/>
              </w:rPr>
              <w:t>106</w:t>
            </w:r>
          </w:p>
        </w:tc>
        <w:tc>
          <w:tcPr>
            <w:tcW w:w="1110" w:type="dxa"/>
          </w:tcPr>
          <w:p w14:paraId="22DD8108" w14:textId="77777777" w:rsidR="001825E2" w:rsidRDefault="000839A5" w:rsidP="00CB00A7">
            <w:pPr>
              <w:pStyle w:val="TableParagraph"/>
              <w:spacing w:line="250" w:lineRule="exact"/>
              <w:ind w:left="30"/>
              <w:jc w:val="left"/>
              <w:rPr>
                <w:sz w:val="24"/>
              </w:rPr>
            </w:pPr>
            <w:r>
              <w:rPr>
                <w:spacing w:val="-5"/>
                <w:sz w:val="24"/>
              </w:rPr>
              <w:t>131</w:t>
            </w:r>
          </w:p>
        </w:tc>
        <w:tc>
          <w:tcPr>
            <w:tcW w:w="1830" w:type="dxa"/>
          </w:tcPr>
          <w:p w14:paraId="26ABDDC2" w14:textId="77777777" w:rsidR="001825E2" w:rsidRDefault="000839A5" w:rsidP="00CB00A7">
            <w:pPr>
              <w:pStyle w:val="TableParagraph"/>
              <w:spacing w:line="250" w:lineRule="exact"/>
              <w:ind w:left="89" w:right="89"/>
              <w:jc w:val="left"/>
              <w:rPr>
                <w:sz w:val="24"/>
              </w:rPr>
            </w:pPr>
            <w:r>
              <w:rPr>
                <w:spacing w:val="-5"/>
                <w:sz w:val="24"/>
              </w:rPr>
              <w:t>129</w:t>
            </w:r>
          </w:p>
        </w:tc>
      </w:tr>
      <w:tr w:rsidR="001825E2" w14:paraId="7B059E18" w14:textId="77777777">
        <w:trPr>
          <w:trHeight w:val="270"/>
        </w:trPr>
        <w:tc>
          <w:tcPr>
            <w:tcW w:w="1530" w:type="dxa"/>
          </w:tcPr>
          <w:p w14:paraId="52DFE855" w14:textId="77777777" w:rsidR="001825E2" w:rsidRDefault="000839A5" w:rsidP="00CB00A7">
            <w:pPr>
              <w:pStyle w:val="TableParagraph"/>
              <w:spacing w:line="250" w:lineRule="exact"/>
              <w:jc w:val="left"/>
              <w:rPr>
                <w:sz w:val="24"/>
              </w:rPr>
            </w:pPr>
            <w:r>
              <w:rPr>
                <w:sz w:val="24"/>
              </w:rPr>
              <w:t>Month</w:t>
            </w:r>
            <w:r>
              <w:rPr>
                <w:spacing w:val="4"/>
                <w:sz w:val="24"/>
              </w:rPr>
              <w:t xml:space="preserve"> </w:t>
            </w:r>
            <w:r>
              <w:rPr>
                <w:spacing w:val="-10"/>
                <w:sz w:val="24"/>
              </w:rPr>
              <w:t>3</w:t>
            </w:r>
          </w:p>
        </w:tc>
        <w:tc>
          <w:tcPr>
            <w:tcW w:w="1050" w:type="dxa"/>
          </w:tcPr>
          <w:p w14:paraId="72E0E3E3" w14:textId="77777777" w:rsidR="001825E2" w:rsidRDefault="000839A5" w:rsidP="00CB00A7">
            <w:pPr>
              <w:pStyle w:val="TableParagraph"/>
              <w:spacing w:line="250" w:lineRule="exact"/>
              <w:ind w:left="15"/>
              <w:jc w:val="left"/>
              <w:rPr>
                <w:sz w:val="24"/>
              </w:rPr>
            </w:pPr>
            <w:r>
              <w:rPr>
                <w:spacing w:val="-5"/>
                <w:sz w:val="24"/>
              </w:rPr>
              <w:t>-</w:t>
            </w:r>
            <w:r>
              <w:rPr>
                <w:spacing w:val="-4"/>
                <w:sz w:val="24"/>
              </w:rPr>
              <w:t>0.18</w:t>
            </w:r>
          </w:p>
        </w:tc>
        <w:tc>
          <w:tcPr>
            <w:tcW w:w="1830" w:type="dxa"/>
          </w:tcPr>
          <w:p w14:paraId="38936198" w14:textId="77777777" w:rsidR="001825E2" w:rsidRDefault="000839A5" w:rsidP="00CB00A7">
            <w:pPr>
              <w:pStyle w:val="TableParagraph"/>
              <w:spacing w:line="250" w:lineRule="exact"/>
              <w:ind w:left="93" w:right="86"/>
              <w:jc w:val="left"/>
              <w:rPr>
                <w:sz w:val="16"/>
              </w:rPr>
            </w:pPr>
            <w:r>
              <w:rPr>
                <w:spacing w:val="-5"/>
                <w:sz w:val="24"/>
              </w:rPr>
              <w:t>-</w:t>
            </w:r>
            <w:r>
              <w:rPr>
                <w:spacing w:val="-2"/>
                <w:sz w:val="24"/>
              </w:rPr>
              <w:t>0.35</w:t>
            </w:r>
            <w:proofErr w:type="gramStart"/>
            <w:r>
              <w:rPr>
                <w:spacing w:val="-2"/>
                <w:position w:val="7"/>
                <w:sz w:val="16"/>
              </w:rPr>
              <w:t>c,*</w:t>
            </w:r>
            <w:proofErr w:type="gramEnd"/>
          </w:p>
        </w:tc>
        <w:tc>
          <w:tcPr>
            <w:tcW w:w="1935" w:type="dxa"/>
          </w:tcPr>
          <w:p w14:paraId="0913CDE0" w14:textId="77777777" w:rsidR="001825E2" w:rsidRDefault="000839A5" w:rsidP="00CB00A7">
            <w:pPr>
              <w:pStyle w:val="TableParagraph"/>
              <w:spacing w:line="250" w:lineRule="exact"/>
              <w:ind w:left="30" w:right="8"/>
              <w:jc w:val="left"/>
              <w:rPr>
                <w:sz w:val="16"/>
              </w:rPr>
            </w:pPr>
            <w:r>
              <w:rPr>
                <w:spacing w:val="-5"/>
                <w:sz w:val="24"/>
              </w:rPr>
              <w:t>-</w:t>
            </w:r>
            <w:r>
              <w:rPr>
                <w:spacing w:val="-2"/>
                <w:sz w:val="24"/>
              </w:rPr>
              <w:t>0.38</w:t>
            </w:r>
            <w:r>
              <w:rPr>
                <w:spacing w:val="-2"/>
                <w:position w:val="7"/>
                <w:sz w:val="16"/>
              </w:rPr>
              <w:t>*</w:t>
            </w:r>
          </w:p>
        </w:tc>
        <w:tc>
          <w:tcPr>
            <w:tcW w:w="1110" w:type="dxa"/>
          </w:tcPr>
          <w:p w14:paraId="57CDD30E" w14:textId="77777777" w:rsidR="001825E2" w:rsidRDefault="000839A5" w:rsidP="00CB00A7">
            <w:pPr>
              <w:pStyle w:val="TableParagraph"/>
              <w:spacing w:line="250" w:lineRule="exact"/>
              <w:ind w:left="30" w:right="15"/>
              <w:jc w:val="left"/>
              <w:rPr>
                <w:sz w:val="24"/>
              </w:rPr>
            </w:pPr>
            <w:r>
              <w:rPr>
                <w:spacing w:val="-5"/>
                <w:sz w:val="24"/>
              </w:rPr>
              <w:t>-</w:t>
            </w:r>
            <w:r>
              <w:rPr>
                <w:spacing w:val="-4"/>
                <w:sz w:val="24"/>
              </w:rPr>
              <w:t>0.14</w:t>
            </w:r>
          </w:p>
        </w:tc>
        <w:tc>
          <w:tcPr>
            <w:tcW w:w="1830" w:type="dxa"/>
          </w:tcPr>
          <w:p w14:paraId="0E26A145" w14:textId="77777777" w:rsidR="001825E2" w:rsidRDefault="000839A5" w:rsidP="00CB00A7">
            <w:pPr>
              <w:pStyle w:val="TableParagraph"/>
              <w:spacing w:before="43" w:line="144" w:lineRule="auto"/>
              <w:ind w:left="100" w:right="86"/>
              <w:jc w:val="left"/>
              <w:rPr>
                <w:sz w:val="16"/>
              </w:rPr>
            </w:pPr>
            <w:r>
              <w:rPr>
                <w:spacing w:val="-5"/>
                <w:position w:val="-7"/>
                <w:sz w:val="24"/>
              </w:rPr>
              <w:t>-</w:t>
            </w:r>
            <w:r>
              <w:rPr>
                <w:spacing w:val="-2"/>
                <w:position w:val="-7"/>
                <w:sz w:val="24"/>
              </w:rPr>
              <w:t>0.39</w:t>
            </w:r>
            <w:proofErr w:type="gramStart"/>
            <w:r>
              <w:rPr>
                <w:spacing w:val="-2"/>
                <w:sz w:val="16"/>
              </w:rPr>
              <w:t>c,*</w:t>
            </w:r>
            <w:proofErr w:type="gramEnd"/>
            <w:r>
              <w:rPr>
                <w:spacing w:val="-2"/>
                <w:sz w:val="16"/>
              </w:rPr>
              <w:t>**</w:t>
            </w:r>
          </w:p>
        </w:tc>
      </w:tr>
      <w:tr w:rsidR="001825E2" w14:paraId="76FDC200" w14:textId="77777777">
        <w:trPr>
          <w:trHeight w:val="270"/>
        </w:trPr>
        <w:tc>
          <w:tcPr>
            <w:tcW w:w="1530" w:type="dxa"/>
          </w:tcPr>
          <w:p w14:paraId="218EEA3E" w14:textId="77777777" w:rsidR="001825E2" w:rsidRDefault="000839A5" w:rsidP="00CB00A7">
            <w:pPr>
              <w:pStyle w:val="TableParagraph"/>
              <w:spacing w:line="250" w:lineRule="exact"/>
              <w:jc w:val="left"/>
              <w:rPr>
                <w:sz w:val="24"/>
              </w:rPr>
            </w:pPr>
            <w:r>
              <w:rPr>
                <w:sz w:val="24"/>
              </w:rPr>
              <w:t>Month</w:t>
            </w:r>
            <w:r>
              <w:rPr>
                <w:spacing w:val="4"/>
                <w:sz w:val="24"/>
              </w:rPr>
              <w:t xml:space="preserve"> </w:t>
            </w:r>
            <w:r>
              <w:rPr>
                <w:spacing w:val="-10"/>
                <w:sz w:val="24"/>
              </w:rPr>
              <w:t>6</w:t>
            </w:r>
          </w:p>
        </w:tc>
        <w:tc>
          <w:tcPr>
            <w:tcW w:w="1050" w:type="dxa"/>
          </w:tcPr>
          <w:p w14:paraId="02BD192E" w14:textId="77777777" w:rsidR="001825E2" w:rsidRDefault="000839A5" w:rsidP="00CB00A7">
            <w:pPr>
              <w:pStyle w:val="TableParagraph"/>
              <w:spacing w:line="250" w:lineRule="exact"/>
              <w:ind w:left="30"/>
              <w:jc w:val="left"/>
              <w:rPr>
                <w:sz w:val="24"/>
              </w:rPr>
            </w:pPr>
            <w:r>
              <w:rPr>
                <w:spacing w:val="-5"/>
                <w:sz w:val="24"/>
              </w:rPr>
              <w:t>NA</w:t>
            </w:r>
          </w:p>
        </w:tc>
        <w:tc>
          <w:tcPr>
            <w:tcW w:w="1830" w:type="dxa"/>
          </w:tcPr>
          <w:p w14:paraId="2B7BA638" w14:textId="77777777" w:rsidR="001825E2" w:rsidRDefault="000839A5" w:rsidP="00CB00A7">
            <w:pPr>
              <w:pStyle w:val="TableParagraph"/>
              <w:spacing w:line="250" w:lineRule="exact"/>
              <w:ind w:left="101" w:right="86"/>
              <w:jc w:val="left"/>
              <w:rPr>
                <w:sz w:val="24"/>
              </w:rPr>
            </w:pPr>
            <w:r>
              <w:rPr>
                <w:spacing w:val="-5"/>
                <w:sz w:val="24"/>
              </w:rPr>
              <w:t>-</w:t>
            </w:r>
            <w:r>
              <w:rPr>
                <w:spacing w:val="-4"/>
                <w:sz w:val="24"/>
              </w:rPr>
              <w:t>0.45</w:t>
            </w:r>
          </w:p>
        </w:tc>
        <w:tc>
          <w:tcPr>
            <w:tcW w:w="1935" w:type="dxa"/>
          </w:tcPr>
          <w:p w14:paraId="41A48824" w14:textId="77777777" w:rsidR="001825E2" w:rsidRDefault="000839A5" w:rsidP="00CB00A7">
            <w:pPr>
              <w:pStyle w:val="TableParagraph"/>
              <w:spacing w:line="250" w:lineRule="exact"/>
              <w:ind w:left="30"/>
              <w:jc w:val="left"/>
              <w:rPr>
                <w:sz w:val="24"/>
              </w:rPr>
            </w:pPr>
            <w:r>
              <w:rPr>
                <w:spacing w:val="-5"/>
                <w:sz w:val="24"/>
              </w:rPr>
              <w:t>-</w:t>
            </w:r>
            <w:r>
              <w:rPr>
                <w:spacing w:val="-4"/>
                <w:sz w:val="24"/>
              </w:rPr>
              <w:t>0.43</w:t>
            </w:r>
          </w:p>
        </w:tc>
        <w:tc>
          <w:tcPr>
            <w:tcW w:w="1110" w:type="dxa"/>
          </w:tcPr>
          <w:p w14:paraId="600796BB" w14:textId="77777777" w:rsidR="001825E2" w:rsidRDefault="000839A5" w:rsidP="00CB00A7">
            <w:pPr>
              <w:pStyle w:val="TableParagraph"/>
              <w:spacing w:line="250" w:lineRule="exact"/>
              <w:ind w:left="30"/>
              <w:jc w:val="left"/>
              <w:rPr>
                <w:sz w:val="24"/>
              </w:rPr>
            </w:pPr>
            <w:r>
              <w:rPr>
                <w:spacing w:val="-5"/>
                <w:sz w:val="24"/>
              </w:rPr>
              <w:t>NA</w:t>
            </w:r>
          </w:p>
        </w:tc>
        <w:tc>
          <w:tcPr>
            <w:tcW w:w="1830" w:type="dxa"/>
          </w:tcPr>
          <w:p w14:paraId="1E2E72FB" w14:textId="77777777" w:rsidR="001825E2" w:rsidRDefault="000839A5" w:rsidP="00CB00A7">
            <w:pPr>
              <w:pStyle w:val="TableParagraph"/>
              <w:spacing w:line="250" w:lineRule="exact"/>
              <w:ind w:left="101" w:right="86"/>
              <w:jc w:val="left"/>
              <w:rPr>
                <w:sz w:val="24"/>
              </w:rPr>
            </w:pPr>
            <w:r>
              <w:rPr>
                <w:spacing w:val="-5"/>
                <w:sz w:val="24"/>
              </w:rPr>
              <w:t>-</w:t>
            </w:r>
            <w:r>
              <w:rPr>
                <w:spacing w:val="-4"/>
                <w:sz w:val="24"/>
              </w:rPr>
              <w:t>0.44</w:t>
            </w:r>
          </w:p>
        </w:tc>
      </w:tr>
      <w:tr w:rsidR="001825E2" w14:paraId="51624587" w14:textId="77777777">
        <w:trPr>
          <w:trHeight w:val="269"/>
        </w:trPr>
        <w:tc>
          <w:tcPr>
            <w:tcW w:w="1530" w:type="dxa"/>
          </w:tcPr>
          <w:p w14:paraId="00086A66" w14:textId="77777777" w:rsidR="001825E2" w:rsidRDefault="000839A5" w:rsidP="00CB00A7">
            <w:pPr>
              <w:pStyle w:val="TableParagraph"/>
              <w:spacing w:line="250" w:lineRule="exact"/>
              <w:jc w:val="left"/>
              <w:rPr>
                <w:sz w:val="24"/>
              </w:rPr>
            </w:pPr>
            <w:r>
              <w:rPr>
                <w:sz w:val="24"/>
              </w:rPr>
              <w:t>Month</w:t>
            </w:r>
            <w:r>
              <w:rPr>
                <w:spacing w:val="3"/>
                <w:sz w:val="24"/>
              </w:rPr>
              <w:t xml:space="preserve"> </w:t>
            </w:r>
            <w:r>
              <w:rPr>
                <w:spacing w:val="-5"/>
                <w:sz w:val="24"/>
              </w:rPr>
              <w:t>12</w:t>
            </w:r>
          </w:p>
        </w:tc>
        <w:tc>
          <w:tcPr>
            <w:tcW w:w="1050" w:type="dxa"/>
          </w:tcPr>
          <w:p w14:paraId="5DE669D9" w14:textId="77777777" w:rsidR="001825E2" w:rsidRDefault="000839A5" w:rsidP="00CB00A7">
            <w:pPr>
              <w:pStyle w:val="TableParagraph"/>
              <w:spacing w:line="250" w:lineRule="exact"/>
              <w:ind w:left="30"/>
              <w:jc w:val="left"/>
              <w:rPr>
                <w:sz w:val="24"/>
              </w:rPr>
            </w:pPr>
            <w:r>
              <w:rPr>
                <w:spacing w:val="-5"/>
                <w:sz w:val="24"/>
              </w:rPr>
              <w:t>NA</w:t>
            </w:r>
          </w:p>
        </w:tc>
        <w:tc>
          <w:tcPr>
            <w:tcW w:w="1830" w:type="dxa"/>
          </w:tcPr>
          <w:p w14:paraId="6B779CC5" w14:textId="77777777" w:rsidR="001825E2" w:rsidRDefault="000839A5" w:rsidP="00CB00A7">
            <w:pPr>
              <w:pStyle w:val="TableParagraph"/>
              <w:spacing w:line="250" w:lineRule="exact"/>
              <w:ind w:left="101" w:right="86"/>
              <w:jc w:val="left"/>
              <w:rPr>
                <w:sz w:val="24"/>
              </w:rPr>
            </w:pPr>
            <w:r>
              <w:rPr>
                <w:spacing w:val="-5"/>
                <w:sz w:val="24"/>
              </w:rPr>
              <w:t>-</w:t>
            </w:r>
            <w:r>
              <w:rPr>
                <w:spacing w:val="-4"/>
                <w:sz w:val="24"/>
              </w:rPr>
              <w:t>0.54</w:t>
            </w:r>
          </w:p>
        </w:tc>
        <w:tc>
          <w:tcPr>
            <w:tcW w:w="1935" w:type="dxa"/>
          </w:tcPr>
          <w:p w14:paraId="66C63178" w14:textId="77777777" w:rsidR="001825E2" w:rsidRDefault="000839A5" w:rsidP="00CB00A7">
            <w:pPr>
              <w:pStyle w:val="TableParagraph"/>
              <w:spacing w:line="250" w:lineRule="exact"/>
              <w:ind w:left="30"/>
              <w:jc w:val="left"/>
              <w:rPr>
                <w:sz w:val="24"/>
              </w:rPr>
            </w:pPr>
            <w:r>
              <w:rPr>
                <w:spacing w:val="-5"/>
                <w:sz w:val="24"/>
              </w:rPr>
              <w:t>-</w:t>
            </w:r>
            <w:r>
              <w:rPr>
                <w:spacing w:val="-4"/>
                <w:sz w:val="24"/>
              </w:rPr>
              <w:t>0.45</w:t>
            </w:r>
          </w:p>
        </w:tc>
        <w:tc>
          <w:tcPr>
            <w:tcW w:w="1110" w:type="dxa"/>
          </w:tcPr>
          <w:p w14:paraId="5C64A4D4" w14:textId="77777777" w:rsidR="001825E2" w:rsidRDefault="000839A5" w:rsidP="00CB00A7">
            <w:pPr>
              <w:pStyle w:val="TableParagraph"/>
              <w:spacing w:line="250" w:lineRule="exact"/>
              <w:ind w:left="30"/>
              <w:jc w:val="left"/>
              <w:rPr>
                <w:sz w:val="24"/>
              </w:rPr>
            </w:pPr>
            <w:r>
              <w:rPr>
                <w:spacing w:val="-5"/>
                <w:sz w:val="24"/>
              </w:rPr>
              <w:t>NA</w:t>
            </w:r>
          </w:p>
        </w:tc>
        <w:tc>
          <w:tcPr>
            <w:tcW w:w="1830" w:type="dxa"/>
          </w:tcPr>
          <w:p w14:paraId="1C1449DC" w14:textId="77777777" w:rsidR="001825E2" w:rsidRDefault="000839A5" w:rsidP="00CB00A7">
            <w:pPr>
              <w:pStyle w:val="TableParagraph"/>
              <w:spacing w:line="250" w:lineRule="exact"/>
              <w:ind w:left="89" w:right="89"/>
              <w:jc w:val="left"/>
              <w:rPr>
                <w:sz w:val="24"/>
              </w:rPr>
            </w:pPr>
            <w:r>
              <w:rPr>
                <w:spacing w:val="-5"/>
                <w:sz w:val="24"/>
              </w:rPr>
              <w:t>NA</w:t>
            </w:r>
          </w:p>
        </w:tc>
      </w:tr>
    </w:tbl>
    <w:p w14:paraId="42122642" w14:textId="77777777" w:rsidR="001825E2" w:rsidRDefault="000839A5" w:rsidP="00CB00A7">
      <w:pPr>
        <w:spacing w:before="2"/>
        <w:ind w:left="220"/>
        <w:rPr>
          <w:sz w:val="19"/>
        </w:rPr>
      </w:pPr>
      <w:r>
        <w:rPr>
          <w:position w:val="6"/>
          <w:sz w:val="13"/>
        </w:rPr>
        <w:t>*</w:t>
      </w:r>
      <w:r>
        <w:rPr>
          <w:spacing w:val="40"/>
          <w:position w:val="6"/>
          <w:sz w:val="13"/>
        </w:rPr>
        <w:t xml:space="preserve"> </w:t>
      </w:r>
      <w:r>
        <w:rPr>
          <w:sz w:val="19"/>
        </w:rPr>
        <w:t>Nominal</w:t>
      </w:r>
      <w:r>
        <w:rPr>
          <w:spacing w:val="22"/>
          <w:sz w:val="19"/>
        </w:rPr>
        <w:t xml:space="preserve"> </w:t>
      </w:r>
      <w:r>
        <w:rPr>
          <w:sz w:val="19"/>
        </w:rPr>
        <w:t>p≤0.05;</w:t>
      </w:r>
      <w:r>
        <w:rPr>
          <w:spacing w:val="22"/>
          <w:sz w:val="19"/>
        </w:rPr>
        <w:t xml:space="preserve"> </w:t>
      </w:r>
      <w:r>
        <w:rPr>
          <w:position w:val="6"/>
          <w:sz w:val="13"/>
        </w:rPr>
        <w:t>***</w:t>
      </w:r>
      <w:r>
        <w:rPr>
          <w:spacing w:val="38"/>
          <w:position w:val="6"/>
          <w:sz w:val="13"/>
        </w:rPr>
        <w:t xml:space="preserve"> </w:t>
      </w:r>
      <w:r>
        <w:rPr>
          <w:sz w:val="19"/>
        </w:rPr>
        <w:t>Nominal</w:t>
      </w:r>
      <w:r>
        <w:rPr>
          <w:spacing w:val="-7"/>
          <w:sz w:val="19"/>
        </w:rPr>
        <w:t xml:space="preserve"> </w:t>
      </w:r>
      <w:r>
        <w:rPr>
          <w:sz w:val="19"/>
        </w:rPr>
        <w:t>p&lt;0.0001</w:t>
      </w:r>
      <w:r>
        <w:rPr>
          <w:spacing w:val="25"/>
          <w:sz w:val="19"/>
        </w:rPr>
        <w:t xml:space="preserve"> </w:t>
      </w:r>
      <w:r>
        <w:rPr>
          <w:sz w:val="19"/>
        </w:rPr>
        <w:t>for</w:t>
      </w:r>
      <w:r>
        <w:rPr>
          <w:spacing w:val="1"/>
          <w:sz w:val="19"/>
        </w:rPr>
        <w:t xml:space="preserve"> </w:t>
      </w:r>
      <w:r>
        <w:rPr>
          <w:sz w:val="19"/>
        </w:rPr>
        <w:t>active</w:t>
      </w:r>
      <w:r>
        <w:rPr>
          <w:spacing w:val="16"/>
          <w:sz w:val="19"/>
        </w:rPr>
        <w:t xml:space="preserve"> </w:t>
      </w:r>
      <w:r>
        <w:rPr>
          <w:sz w:val="19"/>
        </w:rPr>
        <w:t>treatment</w:t>
      </w:r>
      <w:r>
        <w:rPr>
          <w:spacing w:val="21"/>
          <w:sz w:val="19"/>
        </w:rPr>
        <w:t xml:space="preserve"> </w:t>
      </w:r>
      <w:r>
        <w:rPr>
          <w:sz w:val="19"/>
        </w:rPr>
        <w:t>versus</w:t>
      </w:r>
      <w:r>
        <w:rPr>
          <w:spacing w:val="8"/>
          <w:sz w:val="19"/>
        </w:rPr>
        <w:t xml:space="preserve"> </w:t>
      </w:r>
      <w:r>
        <w:rPr>
          <w:sz w:val="19"/>
        </w:rPr>
        <w:t>placebo</w:t>
      </w:r>
      <w:r>
        <w:rPr>
          <w:spacing w:val="26"/>
          <w:sz w:val="19"/>
        </w:rPr>
        <w:t xml:space="preserve"> </w:t>
      </w:r>
      <w:r>
        <w:rPr>
          <w:sz w:val="19"/>
        </w:rPr>
        <w:t>at</w:t>
      </w:r>
      <w:r>
        <w:rPr>
          <w:spacing w:val="22"/>
          <w:sz w:val="19"/>
        </w:rPr>
        <w:t xml:space="preserve"> </w:t>
      </w:r>
      <w:r>
        <w:rPr>
          <w:sz w:val="19"/>
        </w:rPr>
        <w:t>Month</w:t>
      </w:r>
      <w:r>
        <w:rPr>
          <w:spacing w:val="25"/>
          <w:sz w:val="19"/>
        </w:rPr>
        <w:t xml:space="preserve"> </w:t>
      </w:r>
      <w:r>
        <w:rPr>
          <w:spacing w:val="-5"/>
          <w:sz w:val="19"/>
        </w:rPr>
        <w:t>3.</w:t>
      </w:r>
    </w:p>
    <w:p w14:paraId="4D528020" w14:textId="77777777" w:rsidR="001825E2" w:rsidRDefault="000839A5" w:rsidP="00CB00A7">
      <w:pPr>
        <w:spacing w:before="7" w:line="254" w:lineRule="auto"/>
        <w:ind w:left="220" w:right="686"/>
        <w:rPr>
          <w:sz w:val="19"/>
        </w:rPr>
      </w:pPr>
      <w:r>
        <w:rPr>
          <w:sz w:val="19"/>
        </w:rPr>
        <w:t>Abbreviations: DMARD=disease-modifying antirheumatic drug; HAQ-DI=Health Assessment Questionnaire Disability</w:t>
      </w:r>
      <w:r>
        <w:rPr>
          <w:spacing w:val="78"/>
          <w:sz w:val="19"/>
        </w:rPr>
        <w:t xml:space="preserve"> </w:t>
      </w:r>
      <w:r>
        <w:rPr>
          <w:sz w:val="19"/>
        </w:rPr>
        <w:t>Index;</w:t>
      </w:r>
      <w:r>
        <w:rPr>
          <w:spacing w:val="57"/>
          <w:sz w:val="19"/>
        </w:rPr>
        <w:t xml:space="preserve"> </w:t>
      </w:r>
      <w:r>
        <w:rPr>
          <w:sz w:val="19"/>
        </w:rPr>
        <w:t>N=total</w:t>
      </w:r>
      <w:r>
        <w:rPr>
          <w:spacing w:val="56"/>
          <w:sz w:val="19"/>
        </w:rPr>
        <w:t xml:space="preserve"> </w:t>
      </w:r>
      <w:r>
        <w:rPr>
          <w:sz w:val="19"/>
        </w:rPr>
        <w:t>number</w:t>
      </w:r>
      <w:r>
        <w:rPr>
          <w:spacing w:val="63"/>
          <w:sz w:val="19"/>
        </w:rPr>
        <w:t xml:space="preserve"> </w:t>
      </w:r>
      <w:r>
        <w:rPr>
          <w:sz w:val="19"/>
        </w:rPr>
        <w:t>of</w:t>
      </w:r>
      <w:r>
        <w:rPr>
          <w:spacing w:val="80"/>
          <w:sz w:val="19"/>
        </w:rPr>
        <w:t xml:space="preserve"> </w:t>
      </w:r>
      <w:r>
        <w:rPr>
          <w:sz w:val="19"/>
        </w:rPr>
        <w:t>patients</w:t>
      </w:r>
      <w:r>
        <w:rPr>
          <w:spacing w:val="66"/>
          <w:sz w:val="19"/>
        </w:rPr>
        <w:t xml:space="preserve"> </w:t>
      </w:r>
      <w:r>
        <w:rPr>
          <w:sz w:val="19"/>
        </w:rPr>
        <w:t>in</w:t>
      </w:r>
      <w:r>
        <w:rPr>
          <w:spacing w:val="78"/>
          <w:sz w:val="19"/>
        </w:rPr>
        <w:t xml:space="preserve"> </w:t>
      </w:r>
      <w:r>
        <w:rPr>
          <w:sz w:val="19"/>
        </w:rPr>
        <w:t>the</w:t>
      </w:r>
      <w:r>
        <w:rPr>
          <w:spacing w:val="73"/>
          <w:sz w:val="19"/>
        </w:rPr>
        <w:t xml:space="preserve"> </w:t>
      </w:r>
      <w:r>
        <w:rPr>
          <w:sz w:val="19"/>
        </w:rPr>
        <w:t>statistical</w:t>
      </w:r>
      <w:r>
        <w:rPr>
          <w:spacing w:val="56"/>
          <w:sz w:val="19"/>
        </w:rPr>
        <w:t xml:space="preserve"> </w:t>
      </w:r>
      <w:r>
        <w:rPr>
          <w:sz w:val="19"/>
        </w:rPr>
        <w:t>analysis;</w:t>
      </w:r>
      <w:r>
        <w:rPr>
          <w:spacing w:val="76"/>
          <w:sz w:val="19"/>
        </w:rPr>
        <w:t xml:space="preserve"> </w:t>
      </w:r>
      <w:r>
        <w:rPr>
          <w:sz w:val="19"/>
        </w:rPr>
        <w:t>SC</w:t>
      </w:r>
      <w:r>
        <w:rPr>
          <w:spacing w:val="74"/>
          <w:sz w:val="19"/>
        </w:rPr>
        <w:t xml:space="preserve"> </w:t>
      </w:r>
      <w:r>
        <w:rPr>
          <w:sz w:val="19"/>
        </w:rPr>
        <w:t>q2w=subcutaneously</w:t>
      </w:r>
      <w:r>
        <w:rPr>
          <w:spacing w:val="78"/>
          <w:sz w:val="19"/>
        </w:rPr>
        <w:t xml:space="preserve"> </w:t>
      </w:r>
      <w:r>
        <w:rPr>
          <w:sz w:val="19"/>
        </w:rPr>
        <w:t>once</w:t>
      </w:r>
      <w:r>
        <w:rPr>
          <w:spacing w:val="53"/>
          <w:sz w:val="19"/>
        </w:rPr>
        <w:t xml:space="preserve"> </w:t>
      </w:r>
      <w:r>
        <w:rPr>
          <w:sz w:val="19"/>
        </w:rPr>
        <w:t xml:space="preserve">every 2 weeks; </w:t>
      </w:r>
      <w:proofErr w:type="spellStart"/>
      <w:r>
        <w:rPr>
          <w:sz w:val="19"/>
        </w:rPr>
        <w:t>TNFi</w:t>
      </w:r>
      <w:proofErr w:type="spellEnd"/>
      <w:r>
        <w:rPr>
          <w:sz w:val="19"/>
        </w:rPr>
        <w:t>=</w:t>
      </w:r>
      <w:proofErr w:type="spellStart"/>
      <w:r>
        <w:rPr>
          <w:sz w:val="19"/>
        </w:rPr>
        <w:t>tumour</w:t>
      </w:r>
      <w:proofErr w:type="spellEnd"/>
      <w:r>
        <w:rPr>
          <w:spacing w:val="40"/>
          <w:sz w:val="19"/>
        </w:rPr>
        <w:t xml:space="preserve"> </w:t>
      </w:r>
      <w:r>
        <w:rPr>
          <w:sz w:val="19"/>
        </w:rPr>
        <w:t>necrosis</w:t>
      </w:r>
      <w:r>
        <w:rPr>
          <w:spacing w:val="40"/>
          <w:sz w:val="19"/>
        </w:rPr>
        <w:t xml:space="preserve"> </w:t>
      </w:r>
      <w:r>
        <w:rPr>
          <w:sz w:val="19"/>
        </w:rPr>
        <w:t>factor</w:t>
      </w:r>
      <w:r>
        <w:rPr>
          <w:spacing w:val="-3"/>
          <w:sz w:val="19"/>
        </w:rPr>
        <w:t xml:space="preserve"> </w:t>
      </w:r>
      <w:r>
        <w:rPr>
          <w:sz w:val="19"/>
        </w:rPr>
        <w:t>inhibitor.</w:t>
      </w:r>
    </w:p>
    <w:p w14:paraId="710A36C5" w14:textId="77777777" w:rsidR="001825E2" w:rsidRDefault="000839A5" w:rsidP="00CB00A7">
      <w:pPr>
        <w:spacing w:line="214" w:lineRule="exact"/>
        <w:ind w:left="220"/>
        <w:rPr>
          <w:sz w:val="19"/>
        </w:rPr>
      </w:pPr>
      <w:proofErr w:type="spellStart"/>
      <w:proofErr w:type="gramStart"/>
      <w:r>
        <w:rPr>
          <w:position w:val="6"/>
          <w:sz w:val="13"/>
        </w:rPr>
        <w:t>a</w:t>
      </w:r>
      <w:proofErr w:type="spellEnd"/>
      <w:r>
        <w:rPr>
          <w:spacing w:val="37"/>
          <w:position w:val="6"/>
          <w:sz w:val="13"/>
        </w:rPr>
        <w:t xml:space="preserve">  </w:t>
      </w:r>
      <w:r>
        <w:rPr>
          <w:sz w:val="19"/>
        </w:rPr>
        <w:t>Inadequate</w:t>
      </w:r>
      <w:proofErr w:type="gramEnd"/>
      <w:r>
        <w:rPr>
          <w:spacing w:val="44"/>
          <w:sz w:val="19"/>
        </w:rPr>
        <w:t xml:space="preserve"> </w:t>
      </w:r>
      <w:r>
        <w:rPr>
          <w:sz w:val="19"/>
        </w:rPr>
        <w:t>response</w:t>
      </w:r>
      <w:r>
        <w:rPr>
          <w:spacing w:val="61"/>
          <w:sz w:val="19"/>
        </w:rPr>
        <w:t xml:space="preserve"> </w:t>
      </w:r>
      <w:r>
        <w:rPr>
          <w:sz w:val="19"/>
        </w:rPr>
        <w:t>to</w:t>
      </w:r>
      <w:r>
        <w:rPr>
          <w:spacing w:val="48"/>
          <w:sz w:val="19"/>
        </w:rPr>
        <w:t xml:space="preserve"> </w:t>
      </w:r>
      <w:r>
        <w:rPr>
          <w:sz w:val="19"/>
        </w:rPr>
        <w:t>at</w:t>
      </w:r>
      <w:r>
        <w:rPr>
          <w:spacing w:val="63"/>
          <w:sz w:val="19"/>
        </w:rPr>
        <w:t xml:space="preserve"> </w:t>
      </w:r>
      <w:r>
        <w:rPr>
          <w:sz w:val="19"/>
        </w:rPr>
        <w:t>least</w:t>
      </w:r>
      <w:r>
        <w:rPr>
          <w:spacing w:val="64"/>
          <w:sz w:val="19"/>
        </w:rPr>
        <w:t xml:space="preserve"> </w:t>
      </w:r>
      <w:r>
        <w:rPr>
          <w:sz w:val="19"/>
        </w:rPr>
        <w:t>one</w:t>
      </w:r>
      <w:r>
        <w:rPr>
          <w:spacing w:val="61"/>
          <w:sz w:val="19"/>
        </w:rPr>
        <w:t xml:space="preserve"> </w:t>
      </w:r>
      <w:r>
        <w:rPr>
          <w:sz w:val="19"/>
        </w:rPr>
        <w:t>conventional</w:t>
      </w:r>
      <w:r>
        <w:rPr>
          <w:spacing w:val="46"/>
          <w:sz w:val="19"/>
        </w:rPr>
        <w:t xml:space="preserve"> </w:t>
      </w:r>
      <w:r>
        <w:rPr>
          <w:sz w:val="19"/>
        </w:rPr>
        <w:t>synthetic</w:t>
      </w:r>
      <w:r>
        <w:rPr>
          <w:spacing w:val="61"/>
          <w:sz w:val="19"/>
        </w:rPr>
        <w:t xml:space="preserve"> </w:t>
      </w:r>
      <w:r>
        <w:rPr>
          <w:sz w:val="19"/>
        </w:rPr>
        <w:t>DMARD</w:t>
      </w:r>
      <w:r>
        <w:rPr>
          <w:spacing w:val="68"/>
          <w:sz w:val="19"/>
        </w:rPr>
        <w:t xml:space="preserve"> </w:t>
      </w:r>
      <w:r>
        <w:rPr>
          <w:sz w:val="19"/>
        </w:rPr>
        <w:t>(</w:t>
      </w:r>
      <w:proofErr w:type="spellStart"/>
      <w:r>
        <w:rPr>
          <w:sz w:val="19"/>
        </w:rPr>
        <w:t>csDMARD</w:t>
      </w:r>
      <w:proofErr w:type="spellEnd"/>
      <w:r>
        <w:rPr>
          <w:sz w:val="19"/>
        </w:rPr>
        <w:t>)</w:t>
      </w:r>
      <w:r>
        <w:rPr>
          <w:spacing w:val="51"/>
          <w:sz w:val="19"/>
        </w:rPr>
        <w:t xml:space="preserve"> </w:t>
      </w:r>
      <w:r>
        <w:rPr>
          <w:sz w:val="19"/>
        </w:rPr>
        <w:t>due</w:t>
      </w:r>
      <w:r>
        <w:rPr>
          <w:spacing w:val="61"/>
          <w:sz w:val="19"/>
        </w:rPr>
        <w:t xml:space="preserve"> </w:t>
      </w:r>
      <w:r>
        <w:rPr>
          <w:sz w:val="19"/>
        </w:rPr>
        <w:t>to</w:t>
      </w:r>
      <w:r>
        <w:rPr>
          <w:spacing w:val="65"/>
          <w:sz w:val="19"/>
        </w:rPr>
        <w:t xml:space="preserve"> </w:t>
      </w:r>
      <w:r>
        <w:rPr>
          <w:sz w:val="19"/>
        </w:rPr>
        <w:t>lack</w:t>
      </w:r>
      <w:r>
        <w:rPr>
          <w:spacing w:val="66"/>
          <w:sz w:val="19"/>
        </w:rPr>
        <w:t xml:space="preserve"> </w:t>
      </w:r>
      <w:r>
        <w:rPr>
          <w:sz w:val="19"/>
        </w:rPr>
        <w:t>of</w:t>
      </w:r>
      <w:r>
        <w:rPr>
          <w:spacing w:val="69"/>
          <w:sz w:val="19"/>
        </w:rPr>
        <w:t xml:space="preserve"> </w:t>
      </w:r>
      <w:r>
        <w:rPr>
          <w:spacing w:val="-2"/>
          <w:sz w:val="19"/>
        </w:rPr>
        <w:t>efficacy</w:t>
      </w:r>
    </w:p>
    <w:p w14:paraId="2FE41A08" w14:textId="77777777" w:rsidR="001825E2" w:rsidRDefault="000839A5" w:rsidP="00CB00A7">
      <w:pPr>
        <w:spacing w:before="6"/>
        <w:ind w:left="400"/>
        <w:rPr>
          <w:sz w:val="19"/>
        </w:rPr>
      </w:pPr>
      <w:r>
        <w:rPr>
          <w:spacing w:val="6"/>
          <w:sz w:val="19"/>
        </w:rPr>
        <w:t>and/or</w:t>
      </w:r>
      <w:r>
        <w:rPr>
          <w:spacing w:val="-6"/>
          <w:sz w:val="19"/>
        </w:rPr>
        <w:t xml:space="preserve"> </w:t>
      </w:r>
      <w:r>
        <w:rPr>
          <w:spacing w:val="-2"/>
          <w:sz w:val="19"/>
        </w:rPr>
        <w:t>intolerability.</w:t>
      </w:r>
    </w:p>
    <w:p w14:paraId="5CC75F20" w14:textId="77777777" w:rsidR="001825E2" w:rsidRDefault="000839A5" w:rsidP="00CB00A7">
      <w:pPr>
        <w:spacing w:before="18"/>
        <w:ind w:left="220"/>
        <w:rPr>
          <w:sz w:val="19"/>
        </w:rPr>
      </w:pPr>
      <w:proofErr w:type="gramStart"/>
      <w:r>
        <w:rPr>
          <w:position w:val="6"/>
          <w:sz w:val="13"/>
        </w:rPr>
        <w:t>b</w:t>
      </w:r>
      <w:r>
        <w:rPr>
          <w:spacing w:val="46"/>
          <w:position w:val="6"/>
          <w:sz w:val="13"/>
        </w:rPr>
        <w:t xml:space="preserve">  </w:t>
      </w:r>
      <w:r>
        <w:rPr>
          <w:sz w:val="19"/>
        </w:rPr>
        <w:t>Inadequate</w:t>
      </w:r>
      <w:proofErr w:type="gramEnd"/>
      <w:r>
        <w:rPr>
          <w:sz w:val="19"/>
        </w:rPr>
        <w:t xml:space="preserve"> response</w:t>
      </w:r>
      <w:r>
        <w:rPr>
          <w:spacing w:val="-1"/>
          <w:sz w:val="19"/>
        </w:rPr>
        <w:t xml:space="preserve"> </w:t>
      </w:r>
      <w:r>
        <w:rPr>
          <w:sz w:val="19"/>
        </w:rPr>
        <w:t>to</w:t>
      </w:r>
      <w:r>
        <w:rPr>
          <w:spacing w:val="5"/>
          <w:sz w:val="19"/>
        </w:rPr>
        <w:t xml:space="preserve"> </w:t>
      </w:r>
      <w:r>
        <w:rPr>
          <w:sz w:val="19"/>
        </w:rPr>
        <w:t>a</w:t>
      </w:r>
      <w:r>
        <w:rPr>
          <w:spacing w:val="19"/>
          <w:sz w:val="19"/>
        </w:rPr>
        <w:t xml:space="preserve"> </w:t>
      </w:r>
      <w:r>
        <w:rPr>
          <w:sz w:val="19"/>
        </w:rPr>
        <w:t>least</w:t>
      </w:r>
      <w:r>
        <w:rPr>
          <w:spacing w:val="24"/>
          <w:sz w:val="19"/>
        </w:rPr>
        <w:t xml:space="preserve"> </w:t>
      </w:r>
      <w:r>
        <w:rPr>
          <w:sz w:val="19"/>
        </w:rPr>
        <w:t>one</w:t>
      </w:r>
      <w:r>
        <w:rPr>
          <w:spacing w:val="-2"/>
          <w:sz w:val="19"/>
        </w:rPr>
        <w:t xml:space="preserve"> </w:t>
      </w:r>
      <w:r>
        <w:rPr>
          <w:sz w:val="19"/>
        </w:rPr>
        <w:t>TNF</w:t>
      </w:r>
      <w:r>
        <w:rPr>
          <w:spacing w:val="51"/>
          <w:sz w:val="19"/>
        </w:rPr>
        <w:t xml:space="preserve"> </w:t>
      </w:r>
      <w:r>
        <w:rPr>
          <w:sz w:val="19"/>
        </w:rPr>
        <w:t>inhibitor</w:t>
      </w:r>
      <w:r>
        <w:rPr>
          <w:spacing w:val="30"/>
          <w:sz w:val="19"/>
        </w:rPr>
        <w:t xml:space="preserve"> </w:t>
      </w:r>
      <w:r>
        <w:rPr>
          <w:sz w:val="19"/>
        </w:rPr>
        <w:t>(</w:t>
      </w:r>
      <w:proofErr w:type="spellStart"/>
      <w:r>
        <w:rPr>
          <w:sz w:val="19"/>
        </w:rPr>
        <w:t>TNFi</w:t>
      </w:r>
      <w:proofErr w:type="spellEnd"/>
      <w:r>
        <w:rPr>
          <w:sz w:val="19"/>
        </w:rPr>
        <w:t>)</w:t>
      </w:r>
      <w:r>
        <w:rPr>
          <w:spacing w:val="71"/>
          <w:sz w:val="19"/>
        </w:rPr>
        <w:t xml:space="preserve"> </w:t>
      </w:r>
      <w:r>
        <w:rPr>
          <w:sz w:val="19"/>
        </w:rPr>
        <w:t>due</w:t>
      </w:r>
      <w:r>
        <w:rPr>
          <w:spacing w:val="19"/>
          <w:sz w:val="19"/>
        </w:rPr>
        <w:t xml:space="preserve"> </w:t>
      </w:r>
      <w:r>
        <w:rPr>
          <w:sz w:val="19"/>
        </w:rPr>
        <w:t>to</w:t>
      </w:r>
      <w:r>
        <w:rPr>
          <w:spacing w:val="5"/>
          <w:sz w:val="19"/>
        </w:rPr>
        <w:t xml:space="preserve"> </w:t>
      </w:r>
      <w:r>
        <w:rPr>
          <w:sz w:val="19"/>
        </w:rPr>
        <w:t>lack</w:t>
      </w:r>
      <w:r>
        <w:rPr>
          <w:spacing w:val="27"/>
          <w:sz w:val="19"/>
        </w:rPr>
        <w:t xml:space="preserve"> </w:t>
      </w:r>
      <w:r>
        <w:rPr>
          <w:sz w:val="19"/>
        </w:rPr>
        <w:t>of</w:t>
      </w:r>
      <w:r>
        <w:rPr>
          <w:spacing w:val="8"/>
          <w:sz w:val="19"/>
        </w:rPr>
        <w:t xml:space="preserve"> </w:t>
      </w:r>
      <w:r>
        <w:rPr>
          <w:sz w:val="19"/>
        </w:rPr>
        <w:t>efficacy</w:t>
      </w:r>
      <w:r>
        <w:rPr>
          <w:spacing w:val="5"/>
          <w:sz w:val="19"/>
        </w:rPr>
        <w:t xml:space="preserve"> </w:t>
      </w:r>
      <w:r>
        <w:rPr>
          <w:sz w:val="19"/>
        </w:rPr>
        <w:t>and/or</w:t>
      </w:r>
      <w:r>
        <w:rPr>
          <w:spacing w:val="-13"/>
          <w:sz w:val="19"/>
        </w:rPr>
        <w:t xml:space="preserve"> </w:t>
      </w:r>
      <w:r>
        <w:rPr>
          <w:spacing w:val="-2"/>
          <w:sz w:val="19"/>
        </w:rPr>
        <w:t>intolerability.</w:t>
      </w:r>
    </w:p>
    <w:p w14:paraId="67992DA2" w14:textId="77777777" w:rsidR="001825E2" w:rsidRDefault="000839A5" w:rsidP="00CB00A7">
      <w:pPr>
        <w:spacing w:before="2"/>
        <w:ind w:left="220"/>
        <w:rPr>
          <w:sz w:val="19"/>
        </w:rPr>
      </w:pPr>
      <w:proofErr w:type="gramStart"/>
      <w:r>
        <w:rPr>
          <w:position w:val="6"/>
          <w:sz w:val="13"/>
        </w:rPr>
        <w:t>c</w:t>
      </w:r>
      <w:r>
        <w:rPr>
          <w:spacing w:val="43"/>
          <w:position w:val="6"/>
          <w:sz w:val="13"/>
        </w:rPr>
        <w:t xml:space="preserve">  </w:t>
      </w:r>
      <w:r>
        <w:rPr>
          <w:sz w:val="19"/>
        </w:rPr>
        <w:t>Achieved</w:t>
      </w:r>
      <w:proofErr w:type="gramEnd"/>
      <w:r>
        <w:rPr>
          <w:spacing w:val="19"/>
          <w:sz w:val="19"/>
        </w:rPr>
        <w:t xml:space="preserve"> </w:t>
      </w:r>
      <w:proofErr w:type="spellStart"/>
      <w:r>
        <w:rPr>
          <w:sz w:val="19"/>
        </w:rPr>
        <w:t>statistica</w:t>
      </w:r>
      <w:proofErr w:type="spellEnd"/>
      <w:r>
        <w:rPr>
          <w:spacing w:val="-26"/>
          <w:sz w:val="19"/>
        </w:rPr>
        <w:t xml:space="preserve"> </w:t>
      </w:r>
      <w:r>
        <w:rPr>
          <w:sz w:val="19"/>
        </w:rPr>
        <w:t>l</w:t>
      </w:r>
      <w:r>
        <w:rPr>
          <w:spacing w:val="-2"/>
          <w:sz w:val="19"/>
        </w:rPr>
        <w:t xml:space="preserve"> </w:t>
      </w:r>
      <w:proofErr w:type="spellStart"/>
      <w:r>
        <w:rPr>
          <w:sz w:val="19"/>
        </w:rPr>
        <w:t>significa</w:t>
      </w:r>
      <w:proofErr w:type="spellEnd"/>
      <w:r>
        <w:rPr>
          <w:spacing w:val="-26"/>
          <w:sz w:val="19"/>
        </w:rPr>
        <w:t xml:space="preserve"> </w:t>
      </w:r>
      <w:proofErr w:type="spellStart"/>
      <w:r>
        <w:rPr>
          <w:sz w:val="19"/>
        </w:rPr>
        <w:t>nce</w:t>
      </w:r>
      <w:proofErr w:type="spellEnd"/>
      <w:r>
        <w:rPr>
          <w:spacing w:val="32"/>
          <w:sz w:val="19"/>
        </w:rPr>
        <w:t xml:space="preserve"> </w:t>
      </w:r>
      <w:proofErr w:type="spellStart"/>
      <w:r>
        <w:rPr>
          <w:sz w:val="19"/>
        </w:rPr>
        <w:t>globa</w:t>
      </w:r>
      <w:proofErr w:type="spellEnd"/>
      <w:r>
        <w:rPr>
          <w:spacing w:val="-26"/>
          <w:sz w:val="19"/>
        </w:rPr>
        <w:t xml:space="preserve"> </w:t>
      </w:r>
      <w:proofErr w:type="spellStart"/>
      <w:r>
        <w:rPr>
          <w:sz w:val="19"/>
        </w:rPr>
        <w:t>lly</w:t>
      </w:r>
      <w:proofErr w:type="spellEnd"/>
      <w:r>
        <w:rPr>
          <w:spacing w:val="37"/>
          <w:sz w:val="19"/>
        </w:rPr>
        <w:t xml:space="preserve"> </w:t>
      </w:r>
      <w:r>
        <w:rPr>
          <w:sz w:val="19"/>
        </w:rPr>
        <w:t>at</w:t>
      </w:r>
      <w:r>
        <w:rPr>
          <w:spacing w:val="-3"/>
          <w:sz w:val="19"/>
        </w:rPr>
        <w:t xml:space="preserve"> </w:t>
      </w:r>
      <w:r>
        <w:rPr>
          <w:sz w:val="19"/>
        </w:rPr>
        <w:t>p≤</w:t>
      </w:r>
      <w:r>
        <w:rPr>
          <w:spacing w:val="7"/>
          <w:sz w:val="19"/>
        </w:rPr>
        <w:t xml:space="preserve"> </w:t>
      </w:r>
      <w:r>
        <w:rPr>
          <w:sz w:val="19"/>
        </w:rPr>
        <w:t>0.05</w:t>
      </w:r>
      <w:r>
        <w:rPr>
          <w:spacing w:val="18"/>
          <w:sz w:val="19"/>
        </w:rPr>
        <w:t xml:space="preserve"> </w:t>
      </w:r>
      <w:r>
        <w:rPr>
          <w:sz w:val="19"/>
        </w:rPr>
        <w:t>per</w:t>
      </w:r>
      <w:r>
        <w:rPr>
          <w:spacing w:val="3"/>
          <w:sz w:val="19"/>
        </w:rPr>
        <w:t xml:space="preserve"> </w:t>
      </w:r>
      <w:r>
        <w:rPr>
          <w:sz w:val="19"/>
        </w:rPr>
        <w:t>the</w:t>
      </w:r>
      <w:r>
        <w:rPr>
          <w:spacing w:val="12"/>
          <w:sz w:val="19"/>
        </w:rPr>
        <w:t xml:space="preserve"> </w:t>
      </w:r>
      <w:r>
        <w:rPr>
          <w:sz w:val="19"/>
        </w:rPr>
        <w:t>pre-specified</w:t>
      </w:r>
      <w:r>
        <w:rPr>
          <w:spacing w:val="38"/>
          <w:sz w:val="19"/>
        </w:rPr>
        <w:t xml:space="preserve"> </w:t>
      </w:r>
      <w:r>
        <w:rPr>
          <w:sz w:val="19"/>
        </w:rPr>
        <w:t>step-down</w:t>
      </w:r>
      <w:r>
        <w:rPr>
          <w:spacing w:val="19"/>
          <w:sz w:val="19"/>
        </w:rPr>
        <w:t xml:space="preserve"> </w:t>
      </w:r>
      <w:r>
        <w:rPr>
          <w:sz w:val="19"/>
        </w:rPr>
        <w:t>testing</w:t>
      </w:r>
      <w:r>
        <w:rPr>
          <w:spacing w:val="19"/>
          <w:sz w:val="19"/>
        </w:rPr>
        <w:t xml:space="preserve"> </w:t>
      </w:r>
      <w:r>
        <w:rPr>
          <w:spacing w:val="-2"/>
          <w:sz w:val="19"/>
        </w:rPr>
        <w:t>procedure.</w:t>
      </w:r>
    </w:p>
    <w:p w14:paraId="7A7885FA" w14:textId="77777777" w:rsidR="001825E2" w:rsidRDefault="001825E2" w:rsidP="00CB00A7">
      <w:pPr>
        <w:pStyle w:val="BodyText"/>
        <w:spacing w:before="27"/>
        <w:jc w:val="left"/>
        <w:rPr>
          <w:sz w:val="19"/>
        </w:rPr>
      </w:pPr>
    </w:p>
    <w:p w14:paraId="7CB8B7C3" w14:textId="77777777" w:rsidR="001825E2" w:rsidRDefault="000839A5" w:rsidP="00CB00A7">
      <w:pPr>
        <w:pStyle w:val="BodyText"/>
        <w:spacing w:line="242" w:lineRule="auto"/>
        <w:ind w:left="219" w:right="735"/>
        <w:jc w:val="left"/>
      </w:pPr>
      <w:r>
        <w:t>The</w:t>
      </w:r>
      <w:r>
        <w:rPr>
          <w:spacing w:val="-2"/>
        </w:rPr>
        <w:t xml:space="preserve"> </w:t>
      </w:r>
      <w:r>
        <w:t>HAQ-DI responder</w:t>
      </w:r>
      <w:r>
        <w:rPr>
          <w:spacing w:val="-5"/>
        </w:rPr>
        <w:t xml:space="preserve"> </w:t>
      </w:r>
      <w:r>
        <w:t>rate</w:t>
      </w:r>
      <w:r>
        <w:rPr>
          <w:spacing w:val="-2"/>
        </w:rPr>
        <w:t xml:space="preserve"> </w:t>
      </w:r>
      <w:r>
        <w:t>(response</w:t>
      </w:r>
      <w:r>
        <w:rPr>
          <w:spacing w:val="-2"/>
        </w:rPr>
        <w:t xml:space="preserve"> </w:t>
      </w:r>
      <w:r>
        <w:t>defined as</w:t>
      </w:r>
      <w:r>
        <w:rPr>
          <w:spacing w:val="-4"/>
        </w:rPr>
        <w:t xml:space="preserve"> </w:t>
      </w:r>
      <w:r>
        <w:t>having decrease from</w:t>
      </w:r>
      <w:r>
        <w:rPr>
          <w:spacing w:val="-7"/>
        </w:rPr>
        <w:t xml:space="preserve"> </w:t>
      </w:r>
      <w:r>
        <w:t>baseline</w:t>
      </w:r>
      <w:r>
        <w:rPr>
          <w:spacing w:val="-2"/>
        </w:rPr>
        <w:t xml:space="preserve"> </w:t>
      </w:r>
      <w:r>
        <w:t>of ≥ 0.35) at Month</w:t>
      </w:r>
      <w:r>
        <w:rPr>
          <w:spacing w:val="-3"/>
        </w:rPr>
        <w:t xml:space="preserve"> </w:t>
      </w:r>
      <w:r>
        <w:t>3</w:t>
      </w:r>
      <w:r>
        <w:rPr>
          <w:spacing w:val="-3"/>
        </w:rPr>
        <w:t xml:space="preserve"> </w:t>
      </w:r>
      <w:r>
        <w:t>in</w:t>
      </w:r>
      <w:r>
        <w:rPr>
          <w:spacing w:val="-3"/>
        </w:rPr>
        <w:t xml:space="preserve"> </w:t>
      </w:r>
      <w:r>
        <w:t>Studies</w:t>
      </w:r>
      <w:r>
        <w:rPr>
          <w:spacing w:val="-7"/>
        </w:rPr>
        <w:t xml:space="preserve"> </w:t>
      </w:r>
      <w:r>
        <w:t>OPAL BROADEN and OPAL BEYOND</w:t>
      </w:r>
      <w:r>
        <w:rPr>
          <w:spacing w:val="-12"/>
        </w:rPr>
        <w:t xml:space="preserve"> </w:t>
      </w:r>
      <w:r>
        <w:t>was</w:t>
      </w:r>
      <w:r>
        <w:rPr>
          <w:spacing w:val="-7"/>
        </w:rPr>
        <w:t xml:space="preserve"> </w:t>
      </w:r>
      <w:r>
        <w:t>53%</w:t>
      </w:r>
      <w:r>
        <w:rPr>
          <w:spacing w:val="-8"/>
        </w:rPr>
        <w:t xml:space="preserve"> </w:t>
      </w:r>
      <w:r>
        <w:t>and 50%,</w:t>
      </w:r>
      <w:r>
        <w:rPr>
          <w:spacing w:val="-3"/>
        </w:rPr>
        <w:t xml:space="preserve"> </w:t>
      </w:r>
      <w:r>
        <w:t>respectively in patients receiving XELJANZ 5 mg twice daily, 31% and 28%, respectively in patients receiving placebo, and 53% in patients receiving adalimumab 40 mg subcutaneously once every 2 weeks (OPAL BROADEN only).</w:t>
      </w:r>
    </w:p>
    <w:p w14:paraId="556E9C10" w14:textId="77777777" w:rsidR="001825E2" w:rsidRDefault="000839A5" w:rsidP="00CB00A7">
      <w:pPr>
        <w:pStyle w:val="BodyText"/>
        <w:spacing w:before="226" w:line="242" w:lineRule="auto"/>
        <w:ind w:left="219" w:right="723"/>
        <w:jc w:val="left"/>
      </w:pPr>
      <w:r>
        <w:t>Health-related quality of life was assessed by SF-36v2. Patients receiving XELJANZ 5</w:t>
      </w:r>
      <w:r>
        <w:rPr>
          <w:spacing w:val="-5"/>
        </w:rPr>
        <w:t xml:space="preserve"> </w:t>
      </w:r>
      <w:r>
        <w:t>mg twice daily demonstrated greater improvement from baseline compared to placebo in the physical</w:t>
      </w:r>
      <w:r>
        <w:rPr>
          <w:spacing w:val="48"/>
        </w:rPr>
        <w:t xml:space="preserve"> </w:t>
      </w:r>
      <w:r>
        <w:t>functioning</w:t>
      </w:r>
      <w:r>
        <w:rPr>
          <w:spacing w:val="56"/>
        </w:rPr>
        <w:t xml:space="preserve"> </w:t>
      </w:r>
      <w:r>
        <w:t>domain</w:t>
      </w:r>
      <w:r>
        <w:rPr>
          <w:spacing w:val="55"/>
        </w:rPr>
        <w:t xml:space="preserve"> </w:t>
      </w:r>
      <w:r>
        <w:t>and</w:t>
      </w:r>
      <w:r>
        <w:rPr>
          <w:spacing w:val="56"/>
        </w:rPr>
        <w:t xml:space="preserve"> </w:t>
      </w:r>
      <w:r>
        <w:t>the</w:t>
      </w:r>
      <w:r>
        <w:rPr>
          <w:spacing w:val="54"/>
        </w:rPr>
        <w:t xml:space="preserve"> </w:t>
      </w:r>
      <w:r>
        <w:t>physical</w:t>
      </w:r>
      <w:r>
        <w:rPr>
          <w:spacing w:val="49"/>
        </w:rPr>
        <w:t xml:space="preserve"> </w:t>
      </w:r>
      <w:r>
        <w:t>component</w:t>
      </w:r>
      <w:r>
        <w:rPr>
          <w:spacing w:val="63"/>
        </w:rPr>
        <w:t xml:space="preserve"> </w:t>
      </w:r>
      <w:r>
        <w:t>summary</w:t>
      </w:r>
      <w:r>
        <w:rPr>
          <w:spacing w:val="55"/>
        </w:rPr>
        <w:t xml:space="preserve"> </w:t>
      </w:r>
      <w:r>
        <w:t>score</w:t>
      </w:r>
      <w:r>
        <w:rPr>
          <w:spacing w:val="54"/>
        </w:rPr>
        <w:t xml:space="preserve"> </w:t>
      </w:r>
      <w:r>
        <w:t>at</w:t>
      </w:r>
      <w:r>
        <w:rPr>
          <w:spacing w:val="63"/>
        </w:rPr>
        <w:t xml:space="preserve"> </w:t>
      </w:r>
      <w:r>
        <w:t>Month</w:t>
      </w:r>
      <w:r>
        <w:rPr>
          <w:spacing w:val="56"/>
        </w:rPr>
        <w:t xml:space="preserve"> </w:t>
      </w:r>
      <w:r>
        <w:t>3</w:t>
      </w:r>
      <w:r>
        <w:rPr>
          <w:spacing w:val="56"/>
        </w:rPr>
        <w:t xml:space="preserve"> </w:t>
      </w:r>
      <w:r>
        <w:rPr>
          <w:spacing w:val="-5"/>
        </w:rPr>
        <w:t>in</w:t>
      </w:r>
    </w:p>
    <w:p w14:paraId="0F660521" w14:textId="77777777" w:rsidR="001825E2" w:rsidRDefault="001825E2" w:rsidP="00CB00A7">
      <w:pPr>
        <w:spacing w:line="242" w:lineRule="auto"/>
        <w:sectPr w:rsidR="001825E2">
          <w:pgSz w:w="11910" w:h="16850"/>
          <w:pgMar w:top="1360" w:right="700" w:bottom="980" w:left="1220" w:header="0" w:footer="785" w:gutter="0"/>
          <w:cols w:space="720"/>
        </w:sectPr>
      </w:pPr>
    </w:p>
    <w:p w14:paraId="57DF8B5E" w14:textId="77777777" w:rsidR="001825E2" w:rsidRDefault="000839A5" w:rsidP="00CB00A7">
      <w:pPr>
        <w:pStyle w:val="BodyText"/>
        <w:spacing w:before="76" w:line="242" w:lineRule="auto"/>
        <w:ind w:left="219" w:right="731"/>
        <w:jc w:val="left"/>
      </w:pPr>
      <w:bookmarkStart w:id="65" w:name="Ankylosing_Spondylitis"/>
      <w:bookmarkEnd w:id="65"/>
      <w:r>
        <w:lastRenderedPageBreak/>
        <w:t>Studies</w:t>
      </w:r>
      <w:r>
        <w:rPr>
          <w:spacing w:val="-7"/>
        </w:rPr>
        <w:t xml:space="preserve"> </w:t>
      </w:r>
      <w:r>
        <w:t>OPAL BROADEN and OPAL BEYOND (nominal p≤ 0.05). Improvements from baseline in SF-36v2 were maintained or improved through Month 6 (OAL BROADEN and OPAL BEYOND) and Month 12 (OPAL BROADEN).</w:t>
      </w:r>
    </w:p>
    <w:p w14:paraId="35F280D2" w14:textId="77777777" w:rsidR="001825E2" w:rsidRDefault="000839A5" w:rsidP="00CB00A7">
      <w:pPr>
        <w:pStyle w:val="BodyText"/>
        <w:spacing w:before="229" w:line="242" w:lineRule="auto"/>
        <w:ind w:left="219" w:right="738"/>
        <w:jc w:val="left"/>
      </w:pPr>
      <w:r>
        <w:t>Improvement in fatigue was evaluated by the FACIT-F. Patients receiving XELJANZ 5 mg twice daily demonstrated greater improvements from baseline in FACIT-F scores compared</w:t>
      </w:r>
      <w:r>
        <w:rPr>
          <w:spacing w:val="40"/>
        </w:rPr>
        <w:t xml:space="preserve"> </w:t>
      </w:r>
      <w:r>
        <w:t>to</w:t>
      </w:r>
      <w:r>
        <w:rPr>
          <w:spacing w:val="72"/>
        </w:rPr>
        <w:t xml:space="preserve"> </w:t>
      </w:r>
      <w:r>
        <w:t>placebo</w:t>
      </w:r>
      <w:r>
        <w:rPr>
          <w:spacing w:val="72"/>
        </w:rPr>
        <w:t xml:space="preserve"> </w:t>
      </w:r>
      <w:r>
        <w:t>at</w:t>
      </w:r>
      <w:r>
        <w:rPr>
          <w:spacing w:val="79"/>
        </w:rPr>
        <w:t xml:space="preserve"> </w:t>
      </w:r>
      <w:r>
        <w:t>Month</w:t>
      </w:r>
      <w:r>
        <w:rPr>
          <w:spacing w:val="72"/>
        </w:rPr>
        <w:t xml:space="preserve"> </w:t>
      </w:r>
      <w:r>
        <w:t>3</w:t>
      </w:r>
      <w:r>
        <w:rPr>
          <w:spacing w:val="72"/>
        </w:rPr>
        <w:t xml:space="preserve"> </w:t>
      </w:r>
      <w:r>
        <w:t>in</w:t>
      </w:r>
      <w:r>
        <w:rPr>
          <w:spacing w:val="72"/>
        </w:rPr>
        <w:t xml:space="preserve"> </w:t>
      </w:r>
      <w:r>
        <w:t>Studies</w:t>
      </w:r>
      <w:r>
        <w:rPr>
          <w:spacing w:val="69"/>
        </w:rPr>
        <w:t xml:space="preserve"> </w:t>
      </w:r>
      <w:r>
        <w:t>OPAL</w:t>
      </w:r>
      <w:r>
        <w:rPr>
          <w:spacing w:val="40"/>
        </w:rPr>
        <w:t xml:space="preserve"> </w:t>
      </w:r>
      <w:r>
        <w:t>BROADEN</w:t>
      </w:r>
      <w:r>
        <w:rPr>
          <w:spacing w:val="77"/>
        </w:rPr>
        <w:t xml:space="preserve"> </w:t>
      </w:r>
      <w:r>
        <w:t>and</w:t>
      </w:r>
      <w:r>
        <w:rPr>
          <w:spacing w:val="80"/>
        </w:rPr>
        <w:t xml:space="preserve"> </w:t>
      </w:r>
      <w:r>
        <w:t>OPAL</w:t>
      </w:r>
      <w:r>
        <w:rPr>
          <w:spacing w:val="74"/>
        </w:rPr>
        <w:t xml:space="preserve"> </w:t>
      </w:r>
      <w:r>
        <w:t>BEYOND</w:t>
      </w:r>
      <w:r>
        <w:rPr>
          <w:spacing w:val="77"/>
        </w:rPr>
        <w:t xml:space="preserve"> </w:t>
      </w:r>
      <w:r>
        <w:t>(nominal p≤ 0.05).</w:t>
      </w:r>
      <w:r>
        <w:rPr>
          <w:spacing w:val="-3"/>
        </w:rPr>
        <w:t xml:space="preserve"> </w:t>
      </w:r>
      <w:r>
        <w:t>Improvements</w:t>
      </w:r>
      <w:r>
        <w:rPr>
          <w:spacing w:val="-7"/>
        </w:rPr>
        <w:t xml:space="preserve"> </w:t>
      </w:r>
      <w:r>
        <w:t>from</w:t>
      </w:r>
      <w:r>
        <w:rPr>
          <w:spacing w:val="-10"/>
        </w:rPr>
        <w:t xml:space="preserve"> </w:t>
      </w:r>
      <w:r>
        <w:t>baseline</w:t>
      </w:r>
      <w:r>
        <w:rPr>
          <w:spacing w:val="-5"/>
        </w:rPr>
        <w:t xml:space="preserve"> </w:t>
      </w:r>
      <w:r>
        <w:t>in</w:t>
      </w:r>
      <w:r>
        <w:rPr>
          <w:spacing w:val="-3"/>
        </w:rPr>
        <w:t xml:space="preserve"> </w:t>
      </w:r>
      <w:r>
        <w:t>FACIT-F</w:t>
      </w:r>
      <w:r>
        <w:rPr>
          <w:spacing w:val="-2"/>
        </w:rPr>
        <w:t xml:space="preserve"> </w:t>
      </w:r>
      <w:r>
        <w:t>scores</w:t>
      </w:r>
      <w:r>
        <w:rPr>
          <w:spacing w:val="-7"/>
        </w:rPr>
        <w:t xml:space="preserve"> </w:t>
      </w:r>
      <w:r>
        <w:t>were maintained or</w:t>
      </w:r>
      <w:r>
        <w:rPr>
          <w:spacing w:val="-8"/>
        </w:rPr>
        <w:t xml:space="preserve"> </w:t>
      </w:r>
      <w:r>
        <w:t>improved up</w:t>
      </w:r>
      <w:r>
        <w:rPr>
          <w:spacing w:val="-3"/>
        </w:rPr>
        <w:t xml:space="preserve"> </w:t>
      </w:r>
      <w:r>
        <w:t>to Month 6 (OPAL BROADEN and OPAL BEYOND)</w:t>
      </w:r>
      <w:r>
        <w:rPr>
          <w:spacing w:val="-2"/>
        </w:rPr>
        <w:t xml:space="preserve"> </w:t>
      </w:r>
      <w:r>
        <w:t>and Month 12 (OPAL BROADEN).</w:t>
      </w:r>
    </w:p>
    <w:p w14:paraId="3344D2CE" w14:textId="77777777" w:rsidR="001825E2" w:rsidRDefault="000839A5" w:rsidP="00CB00A7">
      <w:pPr>
        <w:pStyle w:val="BodyText"/>
        <w:spacing w:before="226" w:line="242" w:lineRule="auto"/>
        <w:ind w:left="218" w:right="724"/>
        <w:jc w:val="left"/>
      </w:pPr>
      <w:r>
        <w:t>Improvement in</w:t>
      </w:r>
      <w:r>
        <w:rPr>
          <w:spacing w:val="-2"/>
        </w:rPr>
        <w:t xml:space="preserve"> </w:t>
      </w:r>
      <w:r>
        <w:t>pain was</w:t>
      </w:r>
      <w:r>
        <w:rPr>
          <w:spacing w:val="-6"/>
        </w:rPr>
        <w:t xml:space="preserve"> </w:t>
      </w:r>
      <w:r>
        <w:t>assessed by</w:t>
      </w:r>
      <w:r>
        <w:rPr>
          <w:spacing w:val="-2"/>
        </w:rPr>
        <w:t xml:space="preserve"> </w:t>
      </w:r>
      <w:r>
        <w:t>the</w:t>
      </w:r>
      <w:r>
        <w:rPr>
          <w:spacing w:val="-4"/>
        </w:rPr>
        <w:t xml:space="preserve"> </w:t>
      </w:r>
      <w:r>
        <w:t>Patient’s</w:t>
      </w:r>
      <w:r>
        <w:rPr>
          <w:spacing w:val="-6"/>
        </w:rPr>
        <w:t xml:space="preserve"> </w:t>
      </w:r>
      <w:r>
        <w:t>Assessment of Arthritis</w:t>
      </w:r>
      <w:r>
        <w:rPr>
          <w:spacing w:val="-6"/>
        </w:rPr>
        <w:t xml:space="preserve"> </w:t>
      </w:r>
      <w:r>
        <w:t>Pain</w:t>
      </w:r>
      <w:r>
        <w:rPr>
          <w:spacing w:val="-2"/>
        </w:rPr>
        <w:t xml:space="preserve"> </w:t>
      </w:r>
      <w:r>
        <w:t>on</w:t>
      </w:r>
      <w:r>
        <w:rPr>
          <w:spacing w:val="-2"/>
        </w:rPr>
        <w:t xml:space="preserve"> </w:t>
      </w:r>
      <w:r>
        <w:t>a</w:t>
      </w:r>
      <w:r>
        <w:rPr>
          <w:spacing w:val="-4"/>
        </w:rPr>
        <w:t xml:space="preserve"> </w:t>
      </w:r>
      <w:r>
        <w:t>0</w:t>
      </w:r>
      <w:r>
        <w:rPr>
          <w:spacing w:val="-2"/>
        </w:rPr>
        <w:t xml:space="preserve"> </w:t>
      </w:r>
      <w:r>
        <w:t>to</w:t>
      </w:r>
      <w:r>
        <w:rPr>
          <w:spacing w:val="-2"/>
        </w:rPr>
        <w:t xml:space="preserve"> </w:t>
      </w:r>
      <w:r>
        <w:t>100 Visual Analogue Scale (PAAP VAS). Patients receiving XELJANZ 5</w:t>
      </w:r>
      <w:r>
        <w:rPr>
          <w:spacing w:val="-2"/>
        </w:rPr>
        <w:t xml:space="preserve"> </w:t>
      </w:r>
      <w:r>
        <w:t>mg twice daily demonstrated a greater reduction in pain from baseline in the PAAP</w:t>
      </w:r>
      <w:r>
        <w:rPr>
          <w:spacing w:val="-3"/>
        </w:rPr>
        <w:t xml:space="preserve"> </w:t>
      </w:r>
      <w:r>
        <w:t>VAS</w:t>
      </w:r>
      <w:r>
        <w:rPr>
          <w:spacing w:val="-3"/>
        </w:rPr>
        <w:t xml:space="preserve"> </w:t>
      </w:r>
      <w:r>
        <w:t>score compared to placebo at Month</w:t>
      </w:r>
      <w:r>
        <w:rPr>
          <w:spacing w:val="-2"/>
        </w:rPr>
        <w:t xml:space="preserve"> </w:t>
      </w:r>
      <w:r>
        <w:t>3; this was seen as early as Week</w:t>
      </w:r>
      <w:r>
        <w:rPr>
          <w:spacing w:val="-2"/>
        </w:rPr>
        <w:t xml:space="preserve"> </w:t>
      </w:r>
      <w:r>
        <w:t>2 in Studies OPAL BROADEN and OPAL BEYOND (nominal p≤ 0.05). Improvement from baseline in PAAP VAS scores was maintained up to Month</w:t>
      </w:r>
      <w:r>
        <w:rPr>
          <w:spacing w:val="-4"/>
        </w:rPr>
        <w:t xml:space="preserve"> </w:t>
      </w:r>
      <w:r>
        <w:t>6 (OPAL</w:t>
      </w:r>
      <w:r>
        <w:rPr>
          <w:spacing w:val="-1"/>
        </w:rPr>
        <w:t xml:space="preserve"> </w:t>
      </w:r>
      <w:r>
        <w:t>BROADEN and OPAL</w:t>
      </w:r>
      <w:r>
        <w:rPr>
          <w:spacing w:val="-1"/>
        </w:rPr>
        <w:t xml:space="preserve"> </w:t>
      </w:r>
      <w:r>
        <w:t>BEYOND) and Month</w:t>
      </w:r>
      <w:r>
        <w:rPr>
          <w:spacing w:val="-5"/>
        </w:rPr>
        <w:t xml:space="preserve"> </w:t>
      </w:r>
      <w:r>
        <w:t xml:space="preserve">12 (OPAL </w:t>
      </w:r>
      <w:r>
        <w:rPr>
          <w:spacing w:val="-2"/>
        </w:rPr>
        <w:t>BROADEN).</w:t>
      </w:r>
    </w:p>
    <w:p w14:paraId="7257EC7E" w14:textId="77777777" w:rsidR="001825E2" w:rsidRDefault="000839A5" w:rsidP="00CB00A7">
      <w:pPr>
        <w:pStyle w:val="Heading4"/>
        <w:spacing w:before="224"/>
        <w:ind w:left="218"/>
        <w:jc w:val="left"/>
      </w:pPr>
      <w:r>
        <w:t>Ankylosing</w:t>
      </w:r>
      <w:r>
        <w:rPr>
          <w:spacing w:val="1"/>
        </w:rPr>
        <w:t xml:space="preserve"> </w:t>
      </w:r>
      <w:r>
        <w:rPr>
          <w:spacing w:val="-2"/>
        </w:rPr>
        <w:t>Spondylitis</w:t>
      </w:r>
    </w:p>
    <w:p w14:paraId="32189ECD" w14:textId="77777777" w:rsidR="001825E2" w:rsidRDefault="000839A5" w:rsidP="00CB00A7">
      <w:pPr>
        <w:pStyle w:val="BodyText"/>
        <w:spacing w:before="114" w:line="242" w:lineRule="auto"/>
        <w:ind w:left="217" w:right="724"/>
        <w:jc w:val="left"/>
      </w:pPr>
      <w:r>
        <w:t>The XELJANZ clinical development program to assess the efficacy and safety included one placebo-controlled confirmatory trial (Study AS-I). Patients had active disease as defined by both Bath Ankylosing Spondylitis Disease Activity Index (BASDAI) and back pain score (BASDAI question 2) of greater or equal to 4</w:t>
      </w:r>
      <w:r>
        <w:rPr>
          <w:spacing w:val="-2"/>
        </w:rPr>
        <w:t xml:space="preserve"> </w:t>
      </w:r>
      <w:r>
        <w:t>despite non-steroidal anti-inflammatory drug (NSAID), corticosteroid</w:t>
      </w:r>
      <w:r>
        <w:rPr>
          <w:spacing w:val="40"/>
        </w:rPr>
        <w:t xml:space="preserve"> </w:t>
      </w:r>
      <w:r>
        <w:t>or DMARD therapy.</w:t>
      </w:r>
    </w:p>
    <w:p w14:paraId="7590F037" w14:textId="77777777" w:rsidR="001825E2" w:rsidRDefault="000839A5" w:rsidP="00CB00A7">
      <w:pPr>
        <w:spacing w:before="226"/>
        <w:ind w:left="217"/>
        <w:rPr>
          <w:i/>
          <w:sz w:val="24"/>
        </w:rPr>
      </w:pPr>
      <w:r>
        <w:rPr>
          <w:i/>
          <w:sz w:val="24"/>
        </w:rPr>
        <w:t>Confirmatory</w:t>
      </w:r>
      <w:r>
        <w:rPr>
          <w:i/>
          <w:spacing w:val="-2"/>
          <w:sz w:val="24"/>
        </w:rPr>
        <w:t xml:space="preserve"> </w:t>
      </w:r>
      <w:r>
        <w:rPr>
          <w:i/>
          <w:sz w:val="24"/>
        </w:rPr>
        <w:t>Trial</w:t>
      </w:r>
      <w:r>
        <w:rPr>
          <w:i/>
          <w:spacing w:val="-6"/>
          <w:sz w:val="24"/>
        </w:rPr>
        <w:t xml:space="preserve"> </w:t>
      </w:r>
      <w:r>
        <w:rPr>
          <w:i/>
          <w:sz w:val="24"/>
        </w:rPr>
        <w:t>(Study</w:t>
      </w:r>
      <w:r>
        <w:rPr>
          <w:i/>
          <w:spacing w:val="-1"/>
          <w:sz w:val="24"/>
        </w:rPr>
        <w:t xml:space="preserve"> </w:t>
      </w:r>
      <w:r>
        <w:rPr>
          <w:i/>
          <w:sz w:val="24"/>
        </w:rPr>
        <w:t>AS-</w:t>
      </w:r>
      <w:r>
        <w:rPr>
          <w:i/>
          <w:spacing w:val="-5"/>
          <w:sz w:val="24"/>
        </w:rPr>
        <w:t>I)</w:t>
      </w:r>
    </w:p>
    <w:p w14:paraId="545C74B3" w14:textId="77777777" w:rsidR="001825E2" w:rsidRDefault="000839A5" w:rsidP="00CB00A7">
      <w:pPr>
        <w:pStyle w:val="BodyText"/>
        <w:spacing w:before="129"/>
        <w:ind w:left="215" w:right="727" w:firstLine="1"/>
        <w:jc w:val="left"/>
      </w:pPr>
      <w:r>
        <w:t xml:space="preserve">Study AS-I was a </w:t>
      </w:r>
      <w:proofErr w:type="spellStart"/>
      <w:r>
        <w:t>randomised</w:t>
      </w:r>
      <w:proofErr w:type="spellEnd"/>
      <w:r>
        <w:t>, double-blind, placebo-controlled, 48-week treatment clinical trial in 269</w:t>
      </w:r>
      <w:r>
        <w:rPr>
          <w:spacing w:val="-2"/>
        </w:rPr>
        <w:t xml:space="preserve"> </w:t>
      </w:r>
      <w:r>
        <w:t>adult patients who had an inadequate response (inadequate clinical response or intolerance)</w:t>
      </w:r>
      <w:r>
        <w:rPr>
          <w:spacing w:val="36"/>
        </w:rPr>
        <w:t xml:space="preserve"> </w:t>
      </w:r>
      <w:r>
        <w:t>to</w:t>
      </w:r>
      <w:r>
        <w:rPr>
          <w:spacing w:val="40"/>
        </w:rPr>
        <w:t xml:space="preserve"> </w:t>
      </w:r>
      <w:r>
        <w:t>at</w:t>
      </w:r>
      <w:r>
        <w:rPr>
          <w:spacing w:val="40"/>
        </w:rPr>
        <w:t xml:space="preserve"> </w:t>
      </w:r>
      <w:r>
        <w:t>least</w:t>
      </w:r>
      <w:r>
        <w:rPr>
          <w:spacing w:val="40"/>
        </w:rPr>
        <w:t xml:space="preserve"> </w:t>
      </w:r>
      <w:r>
        <w:t>2</w:t>
      </w:r>
      <w:r>
        <w:rPr>
          <w:spacing w:val="40"/>
        </w:rPr>
        <w:t xml:space="preserve"> </w:t>
      </w:r>
      <w:r>
        <w:t>NSAIDs.</w:t>
      </w:r>
      <w:r>
        <w:rPr>
          <w:spacing w:val="40"/>
        </w:rPr>
        <w:t xml:space="preserve"> </w:t>
      </w:r>
      <w:r>
        <w:t>Patients</w:t>
      </w:r>
      <w:r>
        <w:rPr>
          <w:spacing w:val="37"/>
        </w:rPr>
        <w:t xml:space="preserve"> </w:t>
      </w:r>
      <w:r>
        <w:t>were</w:t>
      </w:r>
      <w:r>
        <w:rPr>
          <w:spacing w:val="39"/>
        </w:rPr>
        <w:t xml:space="preserve"> </w:t>
      </w:r>
      <w:proofErr w:type="spellStart"/>
      <w:r>
        <w:t>randomised</w:t>
      </w:r>
      <w:proofErr w:type="spellEnd"/>
      <w:r>
        <w:rPr>
          <w:spacing w:val="40"/>
        </w:rPr>
        <w:t xml:space="preserve"> </w:t>
      </w:r>
      <w:r>
        <w:t>and</w:t>
      </w:r>
      <w:r>
        <w:rPr>
          <w:spacing w:val="40"/>
        </w:rPr>
        <w:t xml:space="preserve"> </w:t>
      </w:r>
      <w:r>
        <w:t>treated</w:t>
      </w:r>
      <w:r>
        <w:rPr>
          <w:spacing w:val="40"/>
        </w:rPr>
        <w:t xml:space="preserve"> </w:t>
      </w:r>
      <w:r>
        <w:t>with</w:t>
      </w:r>
      <w:r>
        <w:rPr>
          <w:spacing w:val="26"/>
        </w:rPr>
        <w:t xml:space="preserve"> </w:t>
      </w:r>
      <w:r>
        <w:t>XELJANZ 5</w:t>
      </w:r>
      <w:r>
        <w:rPr>
          <w:spacing w:val="-4"/>
        </w:rPr>
        <w:t xml:space="preserve"> </w:t>
      </w:r>
      <w:r>
        <w:t>mg twice</w:t>
      </w:r>
      <w:r>
        <w:rPr>
          <w:spacing w:val="-6"/>
        </w:rPr>
        <w:t xml:space="preserve"> </w:t>
      </w:r>
      <w:r>
        <w:t>daily or placebo for 16</w:t>
      </w:r>
      <w:r>
        <w:rPr>
          <w:spacing w:val="-4"/>
        </w:rPr>
        <w:t xml:space="preserve"> </w:t>
      </w:r>
      <w:r>
        <w:t>weeks of blinded treatment and then</w:t>
      </w:r>
      <w:r>
        <w:rPr>
          <w:spacing w:val="-5"/>
        </w:rPr>
        <w:t xml:space="preserve"> </w:t>
      </w:r>
      <w:r>
        <w:t>all were advanced to XELJANZ 5 mg twice daily for an additional 32 weeks. The primary endpoint was to</w:t>
      </w:r>
      <w:r>
        <w:rPr>
          <w:spacing w:val="40"/>
        </w:rPr>
        <w:t xml:space="preserve"> </w:t>
      </w:r>
      <w:r>
        <w:t>evaluate the proportion of patients who</w:t>
      </w:r>
      <w:r>
        <w:rPr>
          <w:spacing w:val="-8"/>
        </w:rPr>
        <w:t xml:space="preserve"> </w:t>
      </w:r>
      <w:r>
        <w:t>achieved an ASAS20</w:t>
      </w:r>
      <w:r>
        <w:rPr>
          <w:spacing w:val="-7"/>
        </w:rPr>
        <w:t xml:space="preserve"> </w:t>
      </w:r>
      <w:r>
        <w:t>response at Week 16.</w:t>
      </w:r>
    </w:p>
    <w:p w14:paraId="79F5E7A4" w14:textId="77777777" w:rsidR="001825E2" w:rsidRDefault="000839A5" w:rsidP="00CB00A7">
      <w:pPr>
        <w:pStyle w:val="BodyText"/>
        <w:spacing w:before="234"/>
        <w:ind w:left="214" w:right="743"/>
        <w:jc w:val="left"/>
      </w:pPr>
      <w:r>
        <w:t>Approximately 7% and 21% of patients used concomitant methotrexate or sulfasalazine, respectively, from</w:t>
      </w:r>
      <w:r>
        <w:rPr>
          <w:spacing w:val="-8"/>
        </w:rPr>
        <w:t xml:space="preserve"> </w:t>
      </w:r>
      <w:r>
        <w:t>baseline</w:t>
      </w:r>
      <w:r>
        <w:rPr>
          <w:spacing w:val="-3"/>
        </w:rPr>
        <w:t xml:space="preserve"> </w:t>
      </w:r>
      <w:r>
        <w:t>to</w:t>
      </w:r>
      <w:r>
        <w:rPr>
          <w:spacing w:val="-1"/>
        </w:rPr>
        <w:t xml:space="preserve"> </w:t>
      </w:r>
      <w:r>
        <w:t>Week</w:t>
      </w:r>
      <w:r>
        <w:rPr>
          <w:spacing w:val="-1"/>
        </w:rPr>
        <w:t xml:space="preserve"> </w:t>
      </w:r>
      <w:r>
        <w:t>16. Patients</w:t>
      </w:r>
      <w:r>
        <w:rPr>
          <w:spacing w:val="-5"/>
        </w:rPr>
        <w:t xml:space="preserve"> </w:t>
      </w:r>
      <w:r>
        <w:t>were</w:t>
      </w:r>
      <w:r>
        <w:rPr>
          <w:spacing w:val="-3"/>
        </w:rPr>
        <w:t xml:space="preserve"> </w:t>
      </w:r>
      <w:r>
        <w:t>allowed to</w:t>
      </w:r>
      <w:r>
        <w:rPr>
          <w:spacing w:val="-1"/>
        </w:rPr>
        <w:t xml:space="preserve"> </w:t>
      </w:r>
      <w:r>
        <w:t>receive a</w:t>
      </w:r>
      <w:r>
        <w:rPr>
          <w:spacing w:val="-3"/>
        </w:rPr>
        <w:t xml:space="preserve"> </w:t>
      </w:r>
      <w:r>
        <w:t>stable low dose</w:t>
      </w:r>
      <w:r>
        <w:rPr>
          <w:spacing w:val="-3"/>
        </w:rPr>
        <w:t xml:space="preserve"> </w:t>
      </w:r>
      <w:r>
        <w:t>of oral</w:t>
      </w:r>
      <w:r>
        <w:rPr>
          <w:spacing w:val="40"/>
        </w:rPr>
        <w:t xml:space="preserve"> </w:t>
      </w:r>
      <w:r>
        <w:t>corticosteroids</w:t>
      </w:r>
      <w:r>
        <w:rPr>
          <w:spacing w:val="40"/>
        </w:rPr>
        <w:t xml:space="preserve"> </w:t>
      </w:r>
      <w:r>
        <w:t>(8.6%</w:t>
      </w:r>
      <w:r>
        <w:rPr>
          <w:spacing w:val="40"/>
        </w:rPr>
        <w:t xml:space="preserve"> </w:t>
      </w:r>
      <w:r>
        <w:t>received)</w:t>
      </w:r>
      <w:r>
        <w:rPr>
          <w:spacing w:val="40"/>
        </w:rPr>
        <w:t xml:space="preserve"> </w:t>
      </w:r>
      <w:r>
        <w:t>and/or</w:t>
      </w:r>
      <w:r>
        <w:rPr>
          <w:spacing w:val="40"/>
        </w:rPr>
        <w:t xml:space="preserve"> </w:t>
      </w:r>
      <w:r>
        <w:t>NSAIDs</w:t>
      </w:r>
      <w:r>
        <w:rPr>
          <w:spacing w:val="40"/>
        </w:rPr>
        <w:t xml:space="preserve"> </w:t>
      </w:r>
      <w:r>
        <w:t>(81.8%</w:t>
      </w:r>
      <w:r>
        <w:rPr>
          <w:spacing w:val="40"/>
        </w:rPr>
        <w:t xml:space="preserve"> </w:t>
      </w:r>
      <w:r>
        <w:t>received)</w:t>
      </w:r>
      <w:r>
        <w:rPr>
          <w:spacing w:val="40"/>
        </w:rPr>
        <w:t xml:space="preserve"> </w:t>
      </w:r>
      <w:r>
        <w:t>from</w:t>
      </w:r>
      <w:r>
        <w:rPr>
          <w:spacing w:val="40"/>
        </w:rPr>
        <w:t xml:space="preserve"> </w:t>
      </w:r>
      <w:r>
        <w:t>baseline</w:t>
      </w:r>
      <w:r>
        <w:rPr>
          <w:spacing w:val="40"/>
        </w:rPr>
        <w:t xml:space="preserve"> </w:t>
      </w:r>
      <w:r>
        <w:t>to Week 48. Twenty-two percent of</w:t>
      </w:r>
      <w:r>
        <w:rPr>
          <w:spacing w:val="-5"/>
        </w:rPr>
        <w:t xml:space="preserve"> </w:t>
      </w:r>
      <w:r>
        <w:t>patients</w:t>
      </w:r>
      <w:r>
        <w:rPr>
          <w:spacing w:val="-4"/>
        </w:rPr>
        <w:t xml:space="preserve"> </w:t>
      </w:r>
      <w:r>
        <w:t>had an inadequate</w:t>
      </w:r>
      <w:r>
        <w:rPr>
          <w:spacing w:val="-17"/>
        </w:rPr>
        <w:t xml:space="preserve"> </w:t>
      </w:r>
      <w:r>
        <w:t>response to 1 or</w:t>
      </w:r>
      <w:r>
        <w:rPr>
          <w:spacing w:val="-5"/>
        </w:rPr>
        <w:t xml:space="preserve"> </w:t>
      </w:r>
      <w:r>
        <w:t>2 TNF blockers.</w:t>
      </w:r>
    </w:p>
    <w:p w14:paraId="69C47F01" w14:textId="77777777" w:rsidR="001825E2" w:rsidRDefault="000839A5" w:rsidP="00CB00A7">
      <w:pPr>
        <w:spacing w:before="246"/>
        <w:ind w:left="214"/>
        <w:rPr>
          <w:i/>
          <w:sz w:val="24"/>
        </w:rPr>
      </w:pPr>
      <w:r>
        <w:rPr>
          <w:i/>
          <w:sz w:val="24"/>
        </w:rPr>
        <w:t>Clinical</w:t>
      </w:r>
      <w:r>
        <w:rPr>
          <w:i/>
          <w:spacing w:val="4"/>
          <w:sz w:val="24"/>
        </w:rPr>
        <w:t xml:space="preserve"> </w:t>
      </w:r>
      <w:r>
        <w:rPr>
          <w:i/>
          <w:spacing w:val="-2"/>
          <w:sz w:val="24"/>
        </w:rPr>
        <w:t>Response</w:t>
      </w:r>
    </w:p>
    <w:p w14:paraId="32493017" w14:textId="77777777" w:rsidR="001825E2" w:rsidRDefault="000839A5" w:rsidP="00CB00A7">
      <w:pPr>
        <w:pStyle w:val="BodyText"/>
        <w:spacing w:before="114"/>
        <w:ind w:left="213" w:right="743"/>
        <w:jc w:val="left"/>
      </w:pPr>
      <w:r>
        <w:t>Patients</w:t>
      </w:r>
      <w:r>
        <w:rPr>
          <w:spacing w:val="-5"/>
        </w:rPr>
        <w:t xml:space="preserve"> </w:t>
      </w:r>
      <w:r>
        <w:t>treated</w:t>
      </w:r>
      <w:r>
        <w:rPr>
          <w:spacing w:val="-1"/>
        </w:rPr>
        <w:t xml:space="preserve"> </w:t>
      </w:r>
      <w:r>
        <w:t>with</w:t>
      </w:r>
      <w:r>
        <w:rPr>
          <w:spacing w:val="-1"/>
        </w:rPr>
        <w:t xml:space="preserve"> </w:t>
      </w:r>
      <w:r>
        <w:t>XELJANZ 5</w:t>
      </w:r>
      <w:r>
        <w:rPr>
          <w:spacing w:val="-2"/>
        </w:rPr>
        <w:t xml:space="preserve"> </w:t>
      </w:r>
      <w:r>
        <w:t>mg</w:t>
      </w:r>
      <w:r>
        <w:rPr>
          <w:spacing w:val="-1"/>
        </w:rPr>
        <w:t xml:space="preserve"> </w:t>
      </w:r>
      <w:r>
        <w:t>twice</w:t>
      </w:r>
      <w:r>
        <w:rPr>
          <w:spacing w:val="-3"/>
        </w:rPr>
        <w:t xml:space="preserve"> </w:t>
      </w:r>
      <w:r>
        <w:t>daily</w:t>
      </w:r>
      <w:r>
        <w:rPr>
          <w:spacing w:val="-1"/>
        </w:rPr>
        <w:t xml:space="preserve"> </w:t>
      </w:r>
      <w:r>
        <w:t>achieved greater improvements in</w:t>
      </w:r>
      <w:r>
        <w:rPr>
          <w:spacing w:val="-1"/>
        </w:rPr>
        <w:t xml:space="preserve"> </w:t>
      </w:r>
      <w:r>
        <w:t>ASAS20 and ASAS40 responses compared to placebo at Week 16 (Table</w:t>
      </w:r>
      <w:r>
        <w:rPr>
          <w:spacing w:val="-6"/>
        </w:rPr>
        <w:t xml:space="preserve"> </w:t>
      </w:r>
      <w:r>
        <w:t xml:space="preserve">12). </w:t>
      </w:r>
      <w:r>
        <w:rPr>
          <w:color w:val="303030"/>
        </w:rPr>
        <w:t>The responses were maintained</w:t>
      </w:r>
      <w:r>
        <w:rPr>
          <w:color w:val="303030"/>
          <w:spacing w:val="40"/>
        </w:rPr>
        <w:t xml:space="preserve"> </w:t>
      </w:r>
      <w:r>
        <w:rPr>
          <w:color w:val="303030"/>
        </w:rPr>
        <w:t xml:space="preserve">from Week 16 through Week 48 in patients receiving XELJANZ 5 mg twice </w:t>
      </w:r>
      <w:r>
        <w:rPr>
          <w:color w:val="303030"/>
          <w:spacing w:val="-2"/>
        </w:rPr>
        <w:t>daily</w:t>
      </w:r>
      <w:r>
        <w:rPr>
          <w:spacing w:val="-2"/>
        </w:rPr>
        <w:t>.</w:t>
      </w:r>
    </w:p>
    <w:p w14:paraId="3CC6BD52" w14:textId="77777777" w:rsidR="001825E2" w:rsidRDefault="000839A5" w:rsidP="00CB00A7">
      <w:pPr>
        <w:pStyle w:val="BodyText"/>
        <w:spacing w:before="246" w:line="242" w:lineRule="auto"/>
        <w:ind w:left="213" w:right="724"/>
        <w:jc w:val="left"/>
      </w:pPr>
      <w:r>
        <w:t>Consistent results</w:t>
      </w:r>
      <w:r>
        <w:rPr>
          <w:spacing w:val="-4"/>
        </w:rPr>
        <w:t xml:space="preserve"> </w:t>
      </w:r>
      <w:r>
        <w:t>were observed in the</w:t>
      </w:r>
      <w:r>
        <w:rPr>
          <w:spacing w:val="-2"/>
        </w:rPr>
        <w:t xml:space="preserve"> </w:t>
      </w:r>
      <w:r>
        <w:t>subgroup of patients</w:t>
      </w:r>
      <w:r>
        <w:rPr>
          <w:spacing w:val="-4"/>
        </w:rPr>
        <w:t xml:space="preserve"> </w:t>
      </w:r>
      <w:r>
        <w:t>who had an inadequate</w:t>
      </w:r>
      <w:r>
        <w:rPr>
          <w:spacing w:val="-2"/>
        </w:rPr>
        <w:t xml:space="preserve"> </w:t>
      </w:r>
      <w:r>
        <w:t>response to TNF blockers</w:t>
      </w:r>
      <w:r>
        <w:rPr>
          <w:spacing w:val="-2"/>
        </w:rPr>
        <w:t xml:space="preserve"> </w:t>
      </w:r>
      <w:r>
        <w:t>for</w:t>
      </w:r>
      <w:r>
        <w:rPr>
          <w:spacing w:val="-3"/>
        </w:rPr>
        <w:t xml:space="preserve"> </w:t>
      </w:r>
      <w:r>
        <w:t>both the ASAS20 (primary endpoint)</w:t>
      </w:r>
      <w:r>
        <w:rPr>
          <w:spacing w:val="-3"/>
        </w:rPr>
        <w:t xml:space="preserve"> </w:t>
      </w:r>
      <w:r>
        <w:t>and ASAS40 (secondary endpoint) at Week 16 (Table</w:t>
      </w:r>
      <w:r>
        <w:rPr>
          <w:spacing w:val="40"/>
        </w:rPr>
        <w:t xml:space="preserve"> </w:t>
      </w:r>
      <w:r>
        <w:t>12).</w:t>
      </w:r>
    </w:p>
    <w:p w14:paraId="2F59B9E6" w14:textId="77777777" w:rsidR="001825E2" w:rsidRDefault="001825E2" w:rsidP="00CB00A7">
      <w:pPr>
        <w:spacing w:line="242" w:lineRule="auto"/>
        <w:sectPr w:rsidR="001825E2">
          <w:pgSz w:w="11910" w:h="16850"/>
          <w:pgMar w:top="1360" w:right="700" w:bottom="980" w:left="1220" w:header="0" w:footer="785" w:gutter="0"/>
          <w:cols w:space="720"/>
        </w:sectPr>
      </w:pPr>
    </w:p>
    <w:p w14:paraId="203D6E7E" w14:textId="77777777" w:rsidR="001825E2" w:rsidRDefault="000839A5" w:rsidP="00CB00A7">
      <w:pPr>
        <w:pStyle w:val="Heading3"/>
      </w:pPr>
      <w:r>
        <w:lastRenderedPageBreak/>
        <w:t>Table</w:t>
      </w:r>
      <w:r>
        <w:rPr>
          <w:spacing w:val="-1"/>
        </w:rPr>
        <w:t xml:space="preserve"> </w:t>
      </w:r>
      <w:r>
        <w:t>12:</w:t>
      </w:r>
      <w:r>
        <w:rPr>
          <w:spacing w:val="-35"/>
        </w:rPr>
        <w:t xml:space="preserve"> </w:t>
      </w:r>
      <w:r>
        <w:t>ASAS20</w:t>
      </w:r>
      <w:r>
        <w:rPr>
          <w:spacing w:val="-14"/>
        </w:rPr>
        <w:t xml:space="preserve"> </w:t>
      </w:r>
      <w:r>
        <w:t>and</w:t>
      </w:r>
      <w:r>
        <w:rPr>
          <w:spacing w:val="3"/>
        </w:rPr>
        <w:t xml:space="preserve"> </w:t>
      </w:r>
      <w:r>
        <w:t>ASAS40</w:t>
      </w:r>
      <w:r>
        <w:rPr>
          <w:spacing w:val="-14"/>
        </w:rPr>
        <w:t xml:space="preserve"> </w:t>
      </w:r>
      <w:r>
        <w:t>Responses</w:t>
      </w:r>
      <w:r>
        <w:rPr>
          <w:spacing w:val="-2"/>
        </w:rPr>
        <w:t xml:space="preserve"> </w:t>
      </w:r>
      <w:r>
        <w:t>at</w:t>
      </w:r>
      <w:r>
        <w:rPr>
          <w:spacing w:val="-3"/>
        </w:rPr>
        <w:t xml:space="preserve"> </w:t>
      </w:r>
      <w:r>
        <w:t>Week</w:t>
      </w:r>
      <w:r>
        <w:rPr>
          <w:spacing w:val="3"/>
        </w:rPr>
        <w:t xml:space="preserve"> </w:t>
      </w:r>
      <w:r>
        <w:t>16,</w:t>
      </w:r>
      <w:r>
        <w:rPr>
          <w:spacing w:val="2"/>
        </w:rPr>
        <w:t xml:space="preserve"> </w:t>
      </w:r>
      <w:r>
        <w:t>Study</w:t>
      </w:r>
      <w:r>
        <w:rPr>
          <w:spacing w:val="2"/>
        </w:rPr>
        <w:t xml:space="preserve"> </w:t>
      </w:r>
      <w:r>
        <w:t>AS-</w:t>
      </w:r>
      <w:r>
        <w:rPr>
          <w:spacing w:val="-10"/>
        </w:rPr>
        <w:t>I</w:t>
      </w:r>
    </w:p>
    <w:p w14:paraId="6FC4AB9E" w14:textId="77777777" w:rsidR="001825E2" w:rsidRDefault="001825E2" w:rsidP="00CB00A7">
      <w:pPr>
        <w:pStyle w:val="BodyText"/>
        <w:spacing w:before="9"/>
        <w:jc w:val="left"/>
        <w:rPr>
          <w:b/>
          <w:sz w:val="9"/>
        </w:rPr>
      </w:pPr>
    </w:p>
    <w:tbl>
      <w:tblPr>
        <w:tblW w:w="0" w:type="auto"/>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50"/>
        <w:gridCol w:w="1710"/>
        <w:gridCol w:w="1980"/>
        <w:gridCol w:w="2835"/>
      </w:tblGrid>
      <w:tr w:rsidR="001825E2" w14:paraId="3C3B66BE" w14:textId="77777777">
        <w:trPr>
          <w:trHeight w:val="570"/>
        </w:trPr>
        <w:tc>
          <w:tcPr>
            <w:tcW w:w="2550" w:type="dxa"/>
          </w:tcPr>
          <w:p w14:paraId="66F8B00D" w14:textId="77777777" w:rsidR="001825E2" w:rsidRDefault="001825E2" w:rsidP="00CB00A7">
            <w:pPr>
              <w:pStyle w:val="TableParagraph"/>
              <w:ind w:left="0"/>
              <w:jc w:val="left"/>
              <w:rPr>
                <w:sz w:val="20"/>
              </w:rPr>
            </w:pPr>
          </w:p>
        </w:tc>
        <w:tc>
          <w:tcPr>
            <w:tcW w:w="1710" w:type="dxa"/>
          </w:tcPr>
          <w:p w14:paraId="6D86D30A" w14:textId="77777777" w:rsidR="001825E2" w:rsidRDefault="000839A5" w:rsidP="00CB00A7">
            <w:pPr>
              <w:pStyle w:val="TableParagraph"/>
              <w:spacing w:before="34"/>
              <w:ind w:left="42" w:right="35"/>
              <w:jc w:val="left"/>
              <w:rPr>
                <w:b/>
              </w:rPr>
            </w:pPr>
            <w:r>
              <w:rPr>
                <w:b/>
                <w:spacing w:val="-2"/>
              </w:rPr>
              <w:t>Placebo</w:t>
            </w:r>
          </w:p>
        </w:tc>
        <w:tc>
          <w:tcPr>
            <w:tcW w:w="1980" w:type="dxa"/>
          </w:tcPr>
          <w:p w14:paraId="685B0B2F" w14:textId="77777777" w:rsidR="001825E2" w:rsidRDefault="000839A5" w:rsidP="00CB00A7">
            <w:pPr>
              <w:pStyle w:val="TableParagraph"/>
              <w:spacing w:before="19"/>
              <w:ind w:left="44" w:right="37"/>
              <w:jc w:val="left"/>
              <w:rPr>
                <w:b/>
              </w:rPr>
            </w:pPr>
            <w:r>
              <w:rPr>
                <w:b/>
              </w:rPr>
              <w:t>XELJANZ</w:t>
            </w:r>
            <w:r>
              <w:rPr>
                <w:b/>
                <w:spacing w:val="6"/>
              </w:rPr>
              <w:t xml:space="preserve"> </w:t>
            </w:r>
            <w:r>
              <w:rPr>
                <w:b/>
              </w:rPr>
              <w:t>5</w:t>
            </w:r>
            <w:r>
              <w:rPr>
                <w:b/>
                <w:spacing w:val="16"/>
              </w:rPr>
              <w:t xml:space="preserve"> </w:t>
            </w:r>
            <w:r>
              <w:rPr>
                <w:b/>
                <w:spacing w:val="-5"/>
              </w:rPr>
              <w:t>mg</w:t>
            </w:r>
          </w:p>
          <w:p w14:paraId="07C9014A" w14:textId="77777777" w:rsidR="001825E2" w:rsidRDefault="000839A5" w:rsidP="00CB00A7">
            <w:pPr>
              <w:pStyle w:val="TableParagraph"/>
              <w:spacing w:before="2"/>
              <w:ind w:left="44" w:right="39"/>
              <w:jc w:val="left"/>
              <w:rPr>
                <w:b/>
              </w:rPr>
            </w:pPr>
            <w:r>
              <w:rPr>
                <w:b/>
              </w:rPr>
              <w:t>Twice</w:t>
            </w:r>
            <w:r>
              <w:rPr>
                <w:b/>
                <w:spacing w:val="9"/>
              </w:rPr>
              <w:t xml:space="preserve"> </w:t>
            </w:r>
            <w:r>
              <w:rPr>
                <w:b/>
                <w:spacing w:val="-2"/>
              </w:rPr>
              <w:t>Daily</w:t>
            </w:r>
          </w:p>
        </w:tc>
        <w:tc>
          <w:tcPr>
            <w:tcW w:w="2835" w:type="dxa"/>
          </w:tcPr>
          <w:p w14:paraId="454326FC" w14:textId="77777777" w:rsidR="001825E2" w:rsidRDefault="000839A5" w:rsidP="00CB00A7">
            <w:pPr>
              <w:pStyle w:val="TableParagraph"/>
              <w:spacing w:before="10" w:line="270" w:lineRule="atLeast"/>
              <w:ind w:left="967" w:hanging="705"/>
              <w:jc w:val="left"/>
              <w:rPr>
                <w:b/>
              </w:rPr>
            </w:pPr>
            <w:r>
              <w:rPr>
                <w:b/>
              </w:rPr>
              <w:t>Difference from</w:t>
            </w:r>
            <w:r>
              <w:rPr>
                <w:b/>
                <w:spacing w:val="-4"/>
              </w:rPr>
              <w:t xml:space="preserve"> </w:t>
            </w:r>
            <w:r>
              <w:rPr>
                <w:b/>
              </w:rPr>
              <w:t>Placebo (95%</w:t>
            </w:r>
            <w:r>
              <w:rPr>
                <w:b/>
                <w:spacing w:val="-6"/>
              </w:rPr>
              <w:t xml:space="preserve"> </w:t>
            </w:r>
            <w:r>
              <w:rPr>
                <w:b/>
              </w:rPr>
              <w:t>CI)</w:t>
            </w:r>
          </w:p>
        </w:tc>
      </w:tr>
      <w:tr w:rsidR="001825E2" w14:paraId="5AC0DF75" w14:textId="77777777">
        <w:trPr>
          <w:trHeight w:val="360"/>
        </w:trPr>
        <w:tc>
          <w:tcPr>
            <w:tcW w:w="2550" w:type="dxa"/>
          </w:tcPr>
          <w:p w14:paraId="4DE14EA8" w14:textId="77777777" w:rsidR="001825E2" w:rsidRDefault="000839A5" w:rsidP="00CB00A7">
            <w:pPr>
              <w:pStyle w:val="TableParagraph"/>
              <w:spacing w:before="49"/>
              <w:jc w:val="left"/>
            </w:pPr>
            <w:r>
              <w:t>All</w:t>
            </w:r>
            <w:r>
              <w:rPr>
                <w:spacing w:val="2"/>
              </w:rPr>
              <w:t xml:space="preserve"> </w:t>
            </w:r>
            <w:r>
              <w:t>patients</w:t>
            </w:r>
            <w:r>
              <w:rPr>
                <w:spacing w:val="10"/>
              </w:rPr>
              <w:t xml:space="preserve"> </w:t>
            </w:r>
            <w:r>
              <w:rPr>
                <w:spacing w:val="-5"/>
              </w:rPr>
              <w:t>(N)</w:t>
            </w:r>
          </w:p>
        </w:tc>
        <w:tc>
          <w:tcPr>
            <w:tcW w:w="1710" w:type="dxa"/>
          </w:tcPr>
          <w:p w14:paraId="57934F62" w14:textId="77777777" w:rsidR="001825E2" w:rsidRDefault="000839A5" w:rsidP="00CB00A7">
            <w:pPr>
              <w:pStyle w:val="TableParagraph"/>
              <w:spacing w:before="49"/>
              <w:ind w:left="42" w:right="28"/>
              <w:jc w:val="left"/>
            </w:pPr>
            <w:r>
              <w:rPr>
                <w:spacing w:val="-4"/>
              </w:rPr>
              <w:t>N=136</w:t>
            </w:r>
          </w:p>
        </w:tc>
        <w:tc>
          <w:tcPr>
            <w:tcW w:w="1980" w:type="dxa"/>
          </w:tcPr>
          <w:p w14:paraId="49593FF6" w14:textId="77777777" w:rsidR="001825E2" w:rsidRDefault="000839A5" w:rsidP="00CB00A7">
            <w:pPr>
              <w:pStyle w:val="TableParagraph"/>
              <w:spacing w:before="49"/>
              <w:ind w:left="44" w:right="30"/>
              <w:jc w:val="left"/>
            </w:pPr>
            <w:r>
              <w:rPr>
                <w:spacing w:val="-4"/>
              </w:rPr>
              <w:t>N=133</w:t>
            </w:r>
          </w:p>
        </w:tc>
        <w:tc>
          <w:tcPr>
            <w:tcW w:w="2835" w:type="dxa"/>
          </w:tcPr>
          <w:p w14:paraId="7FF7A6A4" w14:textId="77777777" w:rsidR="001825E2" w:rsidRDefault="001825E2" w:rsidP="00CB00A7">
            <w:pPr>
              <w:pStyle w:val="TableParagraph"/>
              <w:ind w:left="0"/>
              <w:jc w:val="left"/>
              <w:rPr>
                <w:sz w:val="20"/>
              </w:rPr>
            </w:pPr>
          </w:p>
        </w:tc>
      </w:tr>
      <w:tr w:rsidR="001825E2" w14:paraId="014CA0F0" w14:textId="77777777">
        <w:trPr>
          <w:trHeight w:val="374"/>
        </w:trPr>
        <w:tc>
          <w:tcPr>
            <w:tcW w:w="2550" w:type="dxa"/>
          </w:tcPr>
          <w:p w14:paraId="34496B57" w14:textId="77777777" w:rsidR="001825E2" w:rsidRDefault="000839A5" w:rsidP="00CB00A7">
            <w:pPr>
              <w:pStyle w:val="TableParagraph"/>
              <w:spacing w:before="64"/>
              <w:jc w:val="left"/>
            </w:pPr>
            <w:r>
              <w:t>ASAS20</w:t>
            </w:r>
            <w:r>
              <w:rPr>
                <w:spacing w:val="24"/>
              </w:rPr>
              <w:t xml:space="preserve"> </w:t>
            </w:r>
            <w:r>
              <w:t>response*,</w:t>
            </w:r>
            <w:r>
              <w:rPr>
                <w:spacing w:val="-4"/>
              </w:rPr>
              <w:t xml:space="preserve"> </w:t>
            </w:r>
            <w:r>
              <w:rPr>
                <w:spacing w:val="-10"/>
              </w:rPr>
              <w:t>%</w:t>
            </w:r>
          </w:p>
        </w:tc>
        <w:tc>
          <w:tcPr>
            <w:tcW w:w="1710" w:type="dxa"/>
          </w:tcPr>
          <w:p w14:paraId="7FA7A84A" w14:textId="77777777" w:rsidR="001825E2" w:rsidRDefault="000839A5" w:rsidP="00CB00A7">
            <w:pPr>
              <w:pStyle w:val="TableParagraph"/>
              <w:spacing w:before="64"/>
              <w:ind w:left="42" w:right="42"/>
              <w:jc w:val="left"/>
            </w:pPr>
            <w:r>
              <w:rPr>
                <w:spacing w:val="-5"/>
              </w:rPr>
              <w:t>29</w:t>
            </w:r>
          </w:p>
        </w:tc>
        <w:tc>
          <w:tcPr>
            <w:tcW w:w="1980" w:type="dxa"/>
          </w:tcPr>
          <w:p w14:paraId="5DF02E38" w14:textId="77777777" w:rsidR="001825E2" w:rsidRDefault="000839A5" w:rsidP="00CB00A7">
            <w:pPr>
              <w:pStyle w:val="TableParagraph"/>
              <w:spacing w:before="64"/>
              <w:ind w:left="44" w:right="22"/>
              <w:jc w:val="left"/>
            </w:pPr>
            <w:r>
              <w:rPr>
                <w:spacing w:val="-5"/>
              </w:rPr>
              <w:t>56</w:t>
            </w:r>
          </w:p>
        </w:tc>
        <w:tc>
          <w:tcPr>
            <w:tcW w:w="2835" w:type="dxa"/>
          </w:tcPr>
          <w:p w14:paraId="622A069D" w14:textId="77777777" w:rsidR="001825E2" w:rsidRDefault="000839A5" w:rsidP="00CB00A7">
            <w:pPr>
              <w:pStyle w:val="TableParagraph"/>
              <w:spacing w:before="64"/>
              <w:ind w:left="15" w:right="1"/>
              <w:jc w:val="left"/>
            </w:pPr>
            <w:r>
              <w:t>27</w:t>
            </w:r>
            <w:r>
              <w:rPr>
                <w:spacing w:val="13"/>
              </w:rPr>
              <w:t xml:space="preserve"> </w:t>
            </w:r>
            <w:r>
              <w:t>(16,</w:t>
            </w:r>
            <w:r>
              <w:rPr>
                <w:spacing w:val="9"/>
              </w:rPr>
              <w:t xml:space="preserve"> </w:t>
            </w:r>
            <w:proofErr w:type="gramStart"/>
            <w:r>
              <w:rPr>
                <w:spacing w:val="-2"/>
              </w:rPr>
              <w:t>38)*</w:t>
            </w:r>
            <w:proofErr w:type="gramEnd"/>
            <w:r>
              <w:rPr>
                <w:spacing w:val="-2"/>
              </w:rPr>
              <w:t>*</w:t>
            </w:r>
          </w:p>
        </w:tc>
      </w:tr>
      <w:tr w:rsidR="001825E2" w14:paraId="450969FE" w14:textId="77777777">
        <w:trPr>
          <w:trHeight w:val="360"/>
        </w:trPr>
        <w:tc>
          <w:tcPr>
            <w:tcW w:w="2550" w:type="dxa"/>
          </w:tcPr>
          <w:p w14:paraId="73C6B9E0" w14:textId="77777777" w:rsidR="001825E2" w:rsidRDefault="000839A5" w:rsidP="00CB00A7">
            <w:pPr>
              <w:pStyle w:val="TableParagraph"/>
              <w:spacing w:before="64"/>
              <w:jc w:val="left"/>
            </w:pPr>
            <w:r>
              <w:t>ASAS40</w:t>
            </w:r>
            <w:r>
              <w:rPr>
                <w:spacing w:val="24"/>
              </w:rPr>
              <w:t xml:space="preserve"> </w:t>
            </w:r>
            <w:r>
              <w:t>response*,</w:t>
            </w:r>
            <w:r>
              <w:rPr>
                <w:spacing w:val="-4"/>
              </w:rPr>
              <w:t xml:space="preserve"> </w:t>
            </w:r>
            <w:r>
              <w:rPr>
                <w:spacing w:val="-10"/>
              </w:rPr>
              <w:t>%</w:t>
            </w:r>
          </w:p>
        </w:tc>
        <w:tc>
          <w:tcPr>
            <w:tcW w:w="1710" w:type="dxa"/>
          </w:tcPr>
          <w:p w14:paraId="29D5CA67" w14:textId="77777777" w:rsidR="001825E2" w:rsidRDefault="000839A5" w:rsidP="00CB00A7">
            <w:pPr>
              <w:pStyle w:val="TableParagraph"/>
              <w:spacing w:before="64"/>
              <w:ind w:left="42" w:right="42"/>
              <w:jc w:val="left"/>
            </w:pPr>
            <w:r>
              <w:rPr>
                <w:spacing w:val="-5"/>
              </w:rPr>
              <w:t>13</w:t>
            </w:r>
          </w:p>
        </w:tc>
        <w:tc>
          <w:tcPr>
            <w:tcW w:w="1980" w:type="dxa"/>
          </w:tcPr>
          <w:p w14:paraId="09C29262" w14:textId="77777777" w:rsidR="001825E2" w:rsidRDefault="000839A5" w:rsidP="00CB00A7">
            <w:pPr>
              <w:pStyle w:val="TableParagraph"/>
              <w:spacing w:before="64"/>
              <w:ind w:left="44" w:right="15"/>
              <w:jc w:val="left"/>
            </w:pPr>
            <w:r>
              <w:rPr>
                <w:spacing w:val="-5"/>
              </w:rPr>
              <w:t>41</w:t>
            </w:r>
          </w:p>
        </w:tc>
        <w:tc>
          <w:tcPr>
            <w:tcW w:w="2835" w:type="dxa"/>
          </w:tcPr>
          <w:p w14:paraId="08767F97" w14:textId="77777777" w:rsidR="001825E2" w:rsidRDefault="000839A5" w:rsidP="00CB00A7">
            <w:pPr>
              <w:pStyle w:val="TableParagraph"/>
              <w:spacing w:before="64"/>
              <w:ind w:left="15"/>
              <w:jc w:val="left"/>
            </w:pPr>
            <w:r>
              <w:t>28</w:t>
            </w:r>
            <w:r>
              <w:rPr>
                <w:spacing w:val="13"/>
              </w:rPr>
              <w:t xml:space="preserve"> </w:t>
            </w:r>
            <w:r>
              <w:t>(18,</w:t>
            </w:r>
            <w:r>
              <w:rPr>
                <w:spacing w:val="9"/>
              </w:rPr>
              <w:t xml:space="preserve"> </w:t>
            </w:r>
            <w:proofErr w:type="gramStart"/>
            <w:r>
              <w:rPr>
                <w:spacing w:val="-2"/>
              </w:rPr>
              <w:t>38)*</w:t>
            </w:r>
            <w:proofErr w:type="gramEnd"/>
            <w:r>
              <w:rPr>
                <w:spacing w:val="-2"/>
              </w:rPr>
              <w:t>*</w:t>
            </w:r>
          </w:p>
        </w:tc>
      </w:tr>
      <w:tr w:rsidR="001825E2" w14:paraId="146D555A" w14:textId="77777777">
        <w:trPr>
          <w:trHeight w:val="374"/>
        </w:trPr>
        <w:tc>
          <w:tcPr>
            <w:tcW w:w="2550" w:type="dxa"/>
          </w:tcPr>
          <w:p w14:paraId="15342093" w14:textId="77777777" w:rsidR="001825E2" w:rsidRDefault="000839A5" w:rsidP="00CB00A7">
            <w:pPr>
              <w:pStyle w:val="TableParagraph"/>
              <w:spacing w:before="64"/>
              <w:jc w:val="left"/>
            </w:pPr>
            <w:proofErr w:type="spellStart"/>
            <w:r>
              <w:t>TNFi</w:t>
            </w:r>
            <w:proofErr w:type="spellEnd"/>
            <w:r>
              <w:t>-IR</w:t>
            </w:r>
            <w:r>
              <w:rPr>
                <w:spacing w:val="5"/>
              </w:rPr>
              <w:t xml:space="preserve"> </w:t>
            </w:r>
            <w:r>
              <w:t>patients</w:t>
            </w:r>
            <w:r>
              <w:rPr>
                <w:spacing w:val="10"/>
              </w:rPr>
              <w:t xml:space="preserve"> </w:t>
            </w:r>
            <w:r>
              <w:rPr>
                <w:spacing w:val="-5"/>
              </w:rPr>
              <w:t>(N)</w:t>
            </w:r>
          </w:p>
        </w:tc>
        <w:tc>
          <w:tcPr>
            <w:tcW w:w="1710" w:type="dxa"/>
          </w:tcPr>
          <w:p w14:paraId="0BD25F14" w14:textId="77777777" w:rsidR="001825E2" w:rsidRDefault="000839A5" w:rsidP="00CB00A7">
            <w:pPr>
              <w:pStyle w:val="TableParagraph"/>
              <w:spacing w:before="64"/>
              <w:ind w:left="42" w:right="35"/>
              <w:jc w:val="left"/>
            </w:pPr>
            <w:r>
              <w:rPr>
                <w:spacing w:val="-4"/>
              </w:rPr>
              <w:t>N=30</w:t>
            </w:r>
          </w:p>
        </w:tc>
        <w:tc>
          <w:tcPr>
            <w:tcW w:w="1980" w:type="dxa"/>
          </w:tcPr>
          <w:p w14:paraId="2096342C" w14:textId="77777777" w:rsidR="001825E2" w:rsidRDefault="000839A5" w:rsidP="00CB00A7">
            <w:pPr>
              <w:pStyle w:val="TableParagraph"/>
              <w:spacing w:before="64"/>
              <w:ind w:left="44" w:right="29"/>
              <w:jc w:val="left"/>
            </w:pPr>
            <w:r>
              <w:rPr>
                <w:spacing w:val="-4"/>
              </w:rPr>
              <w:t>N=29</w:t>
            </w:r>
          </w:p>
        </w:tc>
        <w:tc>
          <w:tcPr>
            <w:tcW w:w="2835" w:type="dxa"/>
          </w:tcPr>
          <w:p w14:paraId="3D5C2E69" w14:textId="77777777" w:rsidR="001825E2" w:rsidRDefault="001825E2" w:rsidP="00CB00A7">
            <w:pPr>
              <w:pStyle w:val="TableParagraph"/>
              <w:ind w:left="0"/>
              <w:jc w:val="left"/>
              <w:rPr>
                <w:sz w:val="20"/>
              </w:rPr>
            </w:pPr>
          </w:p>
        </w:tc>
      </w:tr>
      <w:tr w:rsidR="001825E2" w14:paraId="058F089C" w14:textId="77777777">
        <w:trPr>
          <w:trHeight w:val="360"/>
        </w:trPr>
        <w:tc>
          <w:tcPr>
            <w:tcW w:w="2550" w:type="dxa"/>
          </w:tcPr>
          <w:p w14:paraId="4170240E" w14:textId="77777777" w:rsidR="001825E2" w:rsidRDefault="000839A5" w:rsidP="00CB00A7">
            <w:pPr>
              <w:pStyle w:val="TableParagraph"/>
              <w:spacing w:before="64"/>
              <w:jc w:val="left"/>
            </w:pPr>
            <w:r>
              <w:t>ASAS20</w:t>
            </w:r>
            <w:r>
              <w:rPr>
                <w:spacing w:val="15"/>
              </w:rPr>
              <w:t xml:space="preserve"> </w:t>
            </w:r>
            <w:r>
              <w:t>response,</w:t>
            </w:r>
            <w:r>
              <w:rPr>
                <w:spacing w:val="11"/>
              </w:rPr>
              <w:t xml:space="preserve"> </w:t>
            </w:r>
            <w:r>
              <w:rPr>
                <w:spacing w:val="-10"/>
              </w:rPr>
              <w:t>%</w:t>
            </w:r>
          </w:p>
        </w:tc>
        <w:tc>
          <w:tcPr>
            <w:tcW w:w="1710" w:type="dxa"/>
          </w:tcPr>
          <w:p w14:paraId="0623F612" w14:textId="77777777" w:rsidR="001825E2" w:rsidRDefault="000839A5" w:rsidP="00CB00A7">
            <w:pPr>
              <w:pStyle w:val="TableParagraph"/>
              <w:spacing w:before="64"/>
              <w:ind w:left="42" w:right="42"/>
              <w:jc w:val="left"/>
            </w:pPr>
            <w:r>
              <w:rPr>
                <w:spacing w:val="-5"/>
              </w:rPr>
              <w:t>17</w:t>
            </w:r>
          </w:p>
        </w:tc>
        <w:tc>
          <w:tcPr>
            <w:tcW w:w="1980" w:type="dxa"/>
          </w:tcPr>
          <w:p w14:paraId="2CA3C0DF" w14:textId="77777777" w:rsidR="001825E2" w:rsidRDefault="000839A5" w:rsidP="00CB00A7">
            <w:pPr>
              <w:pStyle w:val="TableParagraph"/>
              <w:spacing w:before="64"/>
              <w:ind w:left="44" w:right="15"/>
              <w:jc w:val="left"/>
            </w:pPr>
            <w:r>
              <w:rPr>
                <w:spacing w:val="-5"/>
              </w:rPr>
              <w:t>41</w:t>
            </w:r>
          </w:p>
        </w:tc>
        <w:tc>
          <w:tcPr>
            <w:tcW w:w="2835" w:type="dxa"/>
          </w:tcPr>
          <w:p w14:paraId="212AE48F" w14:textId="77777777" w:rsidR="001825E2" w:rsidRDefault="000839A5" w:rsidP="00CB00A7">
            <w:pPr>
              <w:pStyle w:val="TableParagraph"/>
              <w:spacing w:before="64"/>
              <w:ind w:left="15" w:right="1"/>
              <w:jc w:val="left"/>
            </w:pPr>
            <w:r>
              <w:t>25</w:t>
            </w:r>
            <w:r>
              <w:rPr>
                <w:spacing w:val="9"/>
              </w:rPr>
              <w:t xml:space="preserve"> </w:t>
            </w:r>
            <w:r>
              <w:t>(2,</w:t>
            </w:r>
            <w:r>
              <w:rPr>
                <w:spacing w:val="4"/>
              </w:rPr>
              <w:t xml:space="preserve"> </w:t>
            </w:r>
            <w:r>
              <w:rPr>
                <w:spacing w:val="-5"/>
              </w:rPr>
              <w:t>47)</w:t>
            </w:r>
          </w:p>
        </w:tc>
      </w:tr>
      <w:tr w:rsidR="001825E2" w14:paraId="624A1EF6" w14:textId="77777777">
        <w:trPr>
          <w:trHeight w:val="374"/>
        </w:trPr>
        <w:tc>
          <w:tcPr>
            <w:tcW w:w="2550" w:type="dxa"/>
          </w:tcPr>
          <w:p w14:paraId="5B4A0729" w14:textId="77777777" w:rsidR="001825E2" w:rsidRDefault="000839A5" w:rsidP="00CB00A7">
            <w:pPr>
              <w:pStyle w:val="TableParagraph"/>
              <w:spacing w:before="64"/>
              <w:jc w:val="left"/>
            </w:pPr>
            <w:r>
              <w:t>ASAS40</w:t>
            </w:r>
            <w:r>
              <w:rPr>
                <w:spacing w:val="15"/>
              </w:rPr>
              <w:t xml:space="preserve"> </w:t>
            </w:r>
            <w:r>
              <w:t>response,</w:t>
            </w:r>
            <w:r>
              <w:rPr>
                <w:spacing w:val="11"/>
              </w:rPr>
              <w:t xml:space="preserve"> </w:t>
            </w:r>
            <w:r>
              <w:rPr>
                <w:spacing w:val="-10"/>
              </w:rPr>
              <w:t>%</w:t>
            </w:r>
          </w:p>
        </w:tc>
        <w:tc>
          <w:tcPr>
            <w:tcW w:w="1710" w:type="dxa"/>
          </w:tcPr>
          <w:p w14:paraId="42019C77" w14:textId="77777777" w:rsidR="001825E2" w:rsidRDefault="000839A5" w:rsidP="00CB00A7">
            <w:pPr>
              <w:pStyle w:val="TableParagraph"/>
              <w:spacing w:before="64"/>
              <w:ind w:left="42" w:right="47"/>
              <w:jc w:val="left"/>
            </w:pPr>
            <w:r>
              <w:rPr>
                <w:spacing w:val="-10"/>
              </w:rPr>
              <w:t>7</w:t>
            </w:r>
          </w:p>
        </w:tc>
        <w:tc>
          <w:tcPr>
            <w:tcW w:w="1980" w:type="dxa"/>
          </w:tcPr>
          <w:p w14:paraId="52DC62A3" w14:textId="77777777" w:rsidR="001825E2" w:rsidRDefault="000839A5" w:rsidP="00CB00A7">
            <w:pPr>
              <w:pStyle w:val="TableParagraph"/>
              <w:spacing w:before="64"/>
              <w:ind w:left="44" w:right="15"/>
              <w:jc w:val="left"/>
            </w:pPr>
            <w:r>
              <w:rPr>
                <w:spacing w:val="-5"/>
              </w:rPr>
              <w:t>28</w:t>
            </w:r>
          </w:p>
        </w:tc>
        <w:tc>
          <w:tcPr>
            <w:tcW w:w="2835" w:type="dxa"/>
          </w:tcPr>
          <w:p w14:paraId="6BC0E626" w14:textId="77777777" w:rsidR="001825E2" w:rsidRDefault="000839A5" w:rsidP="00CB00A7">
            <w:pPr>
              <w:pStyle w:val="TableParagraph"/>
              <w:spacing w:before="64"/>
              <w:ind w:left="15" w:right="1"/>
              <w:jc w:val="left"/>
            </w:pPr>
            <w:r>
              <w:t>21</w:t>
            </w:r>
            <w:r>
              <w:rPr>
                <w:spacing w:val="9"/>
              </w:rPr>
              <w:t xml:space="preserve"> </w:t>
            </w:r>
            <w:r>
              <w:t>(2,</w:t>
            </w:r>
            <w:r>
              <w:rPr>
                <w:spacing w:val="4"/>
              </w:rPr>
              <w:t xml:space="preserve"> </w:t>
            </w:r>
            <w:r>
              <w:rPr>
                <w:spacing w:val="-5"/>
              </w:rPr>
              <w:t>39)</w:t>
            </w:r>
          </w:p>
        </w:tc>
      </w:tr>
    </w:tbl>
    <w:p w14:paraId="5092B795" w14:textId="77777777" w:rsidR="001825E2" w:rsidRDefault="000839A5" w:rsidP="00CB00A7">
      <w:pPr>
        <w:spacing w:before="5"/>
        <w:ind w:left="220"/>
        <w:rPr>
          <w:sz w:val="19"/>
        </w:rPr>
      </w:pPr>
      <w:r>
        <w:rPr>
          <w:sz w:val="19"/>
        </w:rPr>
        <w:t>*</w:t>
      </w:r>
      <w:r>
        <w:rPr>
          <w:spacing w:val="15"/>
          <w:sz w:val="19"/>
        </w:rPr>
        <w:t xml:space="preserve"> </w:t>
      </w:r>
      <w:proofErr w:type="gramStart"/>
      <w:r>
        <w:rPr>
          <w:sz w:val="19"/>
        </w:rPr>
        <w:t>type</w:t>
      </w:r>
      <w:proofErr w:type="gramEnd"/>
      <w:r>
        <w:rPr>
          <w:spacing w:val="-9"/>
          <w:sz w:val="19"/>
        </w:rPr>
        <w:t xml:space="preserve"> </w:t>
      </w:r>
      <w:r>
        <w:rPr>
          <w:sz w:val="19"/>
        </w:rPr>
        <w:t>I</w:t>
      </w:r>
      <w:r>
        <w:rPr>
          <w:spacing w:val="18"/>
          <w:sz w:val="19"/>
        </w:rPr>
        <w:t xml:space="preserve"> </w:t>
      </w:r>
      <w:r>
        <w:rPr>
          <w:sz w:val="19"/>
        </w:rPr>
        <w:t>error-</w:t>
      </w:r>
      <w:r>
        <w:rPr>
          <w:spacing w:val="-2"/>
          <w:sz w:val="19"/>
        </w:rPr>
        <w:t>controlled.</w:t>
      </w:r>
    </w:p>
    <w:p w14:paraId="27999E68" w14:textId="77777777" w:rsidR="001825E2" w:rsidRDefault="000839A5" w:rsidP="00CB00A7">
      <w:pPr>
        <w:spacing w:before="7"/>
        <w:ind w:left="220"/>
        <w:rPr>
          <w:sz w:val="19"/>
        </w:rPr>
      </w:pPr>
      <w:r>
        <w:rPr>
          <w:sz w:val="19"/>
        </w:rPr>
        <w:t>**</w:t>
      </w:r>
      <w:r>
        <w:rPr>
          <w:spacing w:val="9"/>
          <w:sz w:val="19"/>
        </w:rPr>
        <w:t xml:space="preserve"> </w:t>
      </w:r>
      <w:r>
        <w:rPr>
          <w:sz w:val="19"/>
        </w:rPr>
        <w:t>p</w:t>
      </w:r>
      <w:r>
        <w:rPr>
          <w:spacing w:val="9"/>
          <w:sz w:val="19"/>
        </w:rPr>
        <w:t xml:space="preserve"> </w:t>
      </w:r>
      <w:r>
        <w:rPr>
          <w:sz w:val="19"/>
        </w:rPr>
        <w:t>&lt;</w:t>
      </w:r>
      <w:r>
        <w:rPr>
          <w:spacing w:val="12"/>
          <w:sz w:val="19"/>
        </w:rPr>
        <w:t xml:space="preserve"> </w:t>
      </w:r>
      <w:r>
        <w:rPr>
          <w:spacing w:val="-2"/>
          <w:sz w:val="19"/>
        </w:rPr>
        <w:t>0.0001.</w:t>
      </w:r>
    </w:p>
    <w:p w14:paraId="4B5EB600" w14:textId="77777777" w:rsidR="001825E2" w:rsidRDefault="000839A5" w:rsidP="00CB00A7">
      <w:pPr>
        <w:spacing w:before="6"/>
        <w:ind w:left="219"/>
        <w:rPr>
          <w:sz w:val="19"/>
        </w:rPr>
      </w:pPr>
      <w:proofErr w:type="spellStart"/>
      <w:r>
        <w:rPr>
          <w:sz w:val="19"/>
        </w:rPr>
        <w:t>TNFi</w:t>
      </w:r>
      <w:proofErr w:type="spellEnd"/>
      <w:r>
        <w:rPr>
          <w:sz w:val="19"/>
        </w:rPr>
        <w:t>-IR</w:t>
      </w:r>
      <w:r>
        <w:rPr>
          <w:spacing w:val="79"/>
          <w:sz w:val="19"/>
        </w:rPr>
        <w:t xml:space="preserve"> </w:t>
      </w:r>
      <w:r>
        <w:rPr>
          <w:sz w:val="19"/>
        </w:rPr>
        <w:t>=</w:t>
      </w:r>
      <w:r>
        <w:rPr>
          <w:spacing w:val="42"/>
          <w:sz w:val="19"/>
        </w:rPr>
        <w:t xml:space="preserve"> </w:t>
      </w:r>
      <w:r>
        <w:rPr>
          <w:sz w:val="19"/>
        </w:rPr>
        <w:t>tumor</w:t>
      </w:r>
      <w:r>
        <w:rPr>
          <w:spacing w:val="-8"/>
          <w:sz w:val="19"/>
        </w:rPr>
        <w:t xml:space="preserve"> </w:t>
      </w:r>
      <w:r>
        <w:rPr>
          <w:sz w:val="19"/>
        </w:rPr>
        <w:t>necrosis</w:t>
      </w:r>
      <w:r>
        <w:rPr>
          <w:spacing w:val="47"/>
          <w:sz w:val="19"/>
        </w:rPr>
        <w:t xml:space="preserve"> </w:t>
      </w:r>
      <w:r>
        <w:rPr>
          <w:sz w:val="19"/>
        </w:rPr>
        <w:t>factor</w:t>
      </w:r>
      <w:r>
        <w:rPr>
          <w:spacing w:val="-7"/>
          <w:sz w:val="19"/>
        </w:rPr>
        <w:t xml:space="preserve"> </w:t>
      </w:r>
      <w:r>
        <w:rPr>
          <w:sz w:val="19"/>
        </w:rPr>
        <w:t>inhibitor</w:t>
      </w:r>
      <w:r>
        <w:rPr>
          <w:spacing w:val="41"/>
          <w:sz w:val="19"/>
        </w:rPr>
        <w:t xml:space="preserve"> </w:t>
      </w:r>
      <w:r>
        <w:rPr>
          <w:sz w:val="19"/>
        </w:rPr>
        <w:t>inadequate</w:t>
      </w:r>
      <w:r>
        <w:rPr>
          <w:spacing w:val="5"/>
          <w:sz w:val="19"/>
        </w:rPr>
        <w:t xml:space="preserve"> </w:t>
      </w:r>
      <w:r>
        <w:rPr>
          <w:spacing w:val="-2"/>
          <w:sz w:val="19"/>
        </w:rPr>
        <w:t>response</w:t>
      </w:r>
    </w:p>
    <w:p w14:paraId="0B78FD03" w14:textId="77777777" w:rsidR="001825E2" w:rsidRDefault="001825E2" w:rsidP="00CB00A7">
      <w:pPr>
        <w:pStyle w:val="BodyText"/>
        <w:spacing w:before="42"/>
        <w:jc w:val="left"/>
        <w:rPr>
          <w:sz w:val="19"/>
        </w:rPr>
      </w:pPr>
    </w:p>
    <w:p w14:paraId="3B8F1BDB" w14:textId="77777777" w:rsidR="001825E2" w:rsidRDefault="000839A5" w:rsidP="00CB00A7">
      <w:pPr>
        <w:pStyle w:val="BodyText"/>
        <w:ind w:left="219" w:right="720"/>
        <w:jc w:val="left"/>
      </w:pPr>
      <w:r>
        <w:t xml:space="preserve">The improvements in the components of the ASAS response and other measures of disease activity were higher in XELJANZ 5 mg twice daily compared to placebo at Week 16 as shown in Table 13. </w:t>
      </w:r>
      <w:r>
        <w:rPr>
          <w:color w:val="303030"/>
        </w:rPr>
        <w:t>The improvements were maintained from Week 16 through Week 48 in patients receiving XELJANZ 5 mg twice daily.</w:t>
      </w:r>
    </w:p>
    <w:p w14:paraId="7C2C6A23" w14:textId="77777777" w:rsidR="001825E2" w:rsidRDefault="000839A5" w:rsidP="00CB00A7">
      <w:pPr>
        <w:pStyle w:val="Heading3"/>
        <w:spacing w:before="231" w:line="247" w:lineRule="auto"/>
        <w:ind w:left="1209" w:right="745" w:hanging="990"/>
      </w:pPr>
      <w:r>
        <w:t>Table</w:t>
      </w:r>
      <w:r>
        <w:rPr>
          <w:spacing w:val="-6"/>
        </w:rPr>
        <w:t xml:space="preserve"> </w:t>
      </w:r>
      <w:r>
        <w:t>13:</w:t>
      </w:r>
      <w:r>
        <w:rPr>
          <w:spacing w:val="-36"/>
        </w:rPr>
        <w:t xml:space="preserve"> </w:t>
      </w:r>
      <w:r>
        <w:t>ASAS</w:t>
      </w:r>
      <w:r>
        <w:rPr>
          <w:spacing w:val="40"/>
        </w:rPr>
        <w:t xml:space="preserve"> </w:t>
      </w:r>
      <w:r>
        <w:t>Components</w:t>
      </w:r>
      <w:r>
        <w:rPr>
          <w:spacing w:val="40"/>
        </w:rPr>
        <w:t xml:space="preserve"> </w:t>
      </w:r>
      <w:r>
        <w:t>and</w:t>
      </w:r>
      <w:r>
        <w:rPr>
          <w:spacing w:val="40"/>
        </w:rPr>
        <w:t xml:space="preserve"> </w:t>
      </w:r>
      <w:r>
        <w:t>Other</w:t>
      </w:r>
      <w:r>
        <w:rPr>
          <w:spacing w:val="40"/>
        </w:rPr>
        <w:t xml:space="preserve"> </w:t>
      </w:r>
      <w:r>
        <w:t>Measures</w:t>
      </w:r>
      <w:r>
        <w:rPr>
          <w:spacing w:val="40"/>
        </w:rPr>
        <w:t xml:space="preserve"> </w:t>
      </w:r>
      <w:r>
        <w:t>of</w:t>
      </w:r>
      <w:r>
        <w:rPr>
          <w:spacing w:val="40"/>
        </w:rPr>
        <w:t xml:space="preserve"> </w:t>
      </w:r>
      <w:r>
        <w:t>Disease</w:t>
      </w:r>
      <w:r>
        <w:rPr>
          <w:spacing w:val="40"/>
        </w:rPr>
        <w:t xml:space="preserve"> </w:t>
      </w:r>
      <w:r>
        <w:t>Activity</w:t>
      </w:r>
      <w:r>
        <w:rPr>
          <w:spacing w:val="40"/>
        </w:rPr>
        <w:t xml:space="preserve"> </w:t>
      </w:r>
      <w:r>
        <w:t>at</w:t>
      </w:r>
      <w:r>
        <w:rPr>
          <w:spacing w:val="40"/>
        </w:rPr>
        <w:t xml:space="preserve"> </w:t>
      </w:r>
      <w:r>
        <w:t>Week</w:t>
      </w:r>
      <w:r>
        <w:rPr>
          <w:spacing w:val="40"/>
        </w:rPr>
        <w:t xml:space="preserve"> </w:t>
      </w:r>
      <w:r>
        <w:t>16,</w:t>
      </w:r>
      <w:r>
        <w:rPr>
          <w:spacing w:val="80"/>
        </w:rPr>
        <w:t xml:space="preserve"> </w:t>
      </w:r>
      <w:r>
        <w:t>Study AS-I</w:t>
      </w:r>
    </w:p>
    <w:p w14:paraId="4EF0A8CA" w14:textId="77777777" w:rsidR="001825E2" w:rsidRDefault="001825E2" w:rsidP="00CB00A7">
      <w:pPr>
        <w:pStyle w:val="BodyText"/>
        <w:spacing w:before="2"/>
        <w:jc w:val="left"/>
        <w:rPr>
          <w:b/>
          <w:sz w:val="9"/>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50"/>
        <w:gridCol w:w="960"/>
        <w:gridCol w:w="1470"/>
        <w:gridCol w:w="975"/>
        <w:gridCol w:w="1470"/>
        <w:gridCol w:w="1980"/>
      </w:tblGrid>
      <w:tr w:rsidR="001825E2" w14:paraId="5C8DA9A3" w14:textId="77777777">
        <w:trPr>
          <w:trHeight w:val="989"/>
        </w:trPr>
        <w:tc>
          <w:tcPr>
            <w:tcW w:w="2550" w:type="dxa"/>
          </w:tcPr>
          <w:p w14:paraId="018832C4" w14:textId="77777777" w:rsidR="001825E2" w:rsidRDefault="001825E2" w:rsidP="00CB00A7">
            <w:pPr>
              <w:pStyle w:val="TableParagraph"/>
              <w:ind w:left="0"/>
              <w:jc w:val="left"/>
              <w:rPr>
                <w:sz w:val="20"/>
              </w:rPr>
            </w:pPr>
          </w:p>
        </w:tc>
        <w:tc>
          <w:tcPr>
            <w:tcW w:w="2430" w:type="dxa"/>
            <w:gridSpan w:val="2"/>
          </w:tcPr>
          <w:p w14:paraId="61103376" w14:textId="77777777" w:rsidR="001825E2" w:rsidRDefault="000839A5" w:rsidP="00CB00A7">
            <w:pPr>
              <w:pStyle w:val="TableParagraph"/>
              <w:spacing w:before="4" w:line="355" w:lineRule="auto"/>
              <w:ind w:left="817" w:right="137" w:firstLine="15"/>
              <w:jc w:val="left"/>
              <w:rPr>
                <w:b/>
              </w:rPr>
            </w:pPr>
            <w:r>
              <w:rPr>
                <w:b/>
                <w:spacing w:val="-2"/>
              </w:rPr>
              <w:t>Placebo (N=136)</w:t>
            </w:r>
          </w:p>
        </w:tc>
        <w:tc>
          <w:tcPr>
            <w:tcW w:w="2445" w:type="dxa"/>
            <w:gridSpan w:val="2"/>
          </w:tcPr>
          <w:p w14:paraId="459320CA" w14:textId="77777777" w:rsidR="001825E2" w:rsidRDefault="000839A5" w:rsidP="00CB00A7">
            <w:pPr>
              <w:pStyle w:val="TableParagraph"/>
              <w:spacing w:before="4" w:line="242" w:lineRule="auto"/>
              <w:ind w:left="52" w:right="25"/>
              <w:jc w:val="left"/>
              <w:rPr>
                <w:b/>
              </w:rPr>
            </w:pPr>
            <w:r>
              <w:rPr>
                <w:b/>
              </w:rPr>
              <w:t>XELJANZ</w:t>
            </w:r>
            <w:r>
              <w:rPr>
                <w:b/>
                <w:spacing w:val="-4"/>
              </w:rPr>
              <w:t xml:space="preserve"> </w:t>
            </w:r>
            <w:r>
              <w:rPr>
                <w:b/>
              </w:rPr>
              <w:t xml:space="preserve">5 mg Twice </w:t>
            </w:r>
            <w:r>
              <w:rPr>
                <w:b/>
                <w:spacing w:val="-2"/>
              </w:rPr>
              <w:t>Daily</w:t>
            </w:r>
          </w:p>
          <w:p w14:paraId="385DD267" w14:textId="77777777" w:rsidR="001825E2" w:rsidRDefault="000839A5" w:rsidP="00CB00A7">
            <w:pPr>
              <w:pStyle w:val="TableParagraph"/>
              <w:spacing w:before="104"/>
              <w:ind w:left="52"/>
              <w:jc w:val="left"/>
              <w:rPr>
                <w:b/>
              </w:rPr>
            </w:pPr>
            <w:r>
              <w:rPr>
                <w:b/>
                <w:spacing w:val="-2"/>
              </w:rPr>
              <w:t>(N=133)</w:t>
            </w:r>
          </w:p>
        </w:tc>
        <w:tc>
          <w:tcPr>
            <w:tcW w:w="1980" w:type="dxa"/>
          </w:tcPr>
          <w:p w14:paraId="025D9E47" w14:textId="77777777" w:rsidR="001825E2" w:rsidRDefault="001825E2" w:rsidP="00CB00A7">
            <w:pPr>
              <w:pStyle w:val="TableParagraph"/>
              <w:ind w:left="0"/>
              <w:jc w:val="left"/>
              <w:rPr>
                <w:sz w:val="20"/>
              </w:rPr>
            </w:pPr>
          </w:p>
        </w:tc>
      </w:tr>
      <w:tr w:rsidR="001825E2" w14:paraId="5F13215C" w14:textId="77777777">
        <w:trPr>
          <w:trHeight w:val="960"/>
        </w:trPr>
        <w:tc>
          <w:tcPr>
            <w:tcW w:w="2550" w:type="dxa"/>
          </w:tcPr>
          <w:p w14:paraId="41B1B3A0" w14:textId="77777777" w:rsidR="001825E2" w:rsidRDefault="001825E2" w:rsidP="00CB00A7">
            <w:pPr>
              <w:pStyle w:val="TableParagraph"/>
              <w:ind w:left="0"/>
              <w:jc w:val="left"/>
              <w:rPr>
                <w:sz w:val="20"/>
              </w:rPr>
            </w:pPr>
          </w:p>
        </w:tc>
        <w:tc>
          <w:tcPr>
            <w:tcW w:w="960" w:type="dxa"/>
          </w:tcPr>
          <w:p w14:paraId="5944D0B3" w14:textId="77777777" w:rsidR="001825E2" w:rsidRDefault="000839A5" w:rsidP="00CB00A7">
            <w:pPr>
              <w:pStyle w:val="TableParagraph"/>
              <w:ind w:left="172" w:right="82" w:hanging="60"/>
              <w:jc w:val="left"/>
              <w:rPr>
                <w:b/>
                <w:sz w:val="21"/>
              </w:rPr>
            </w:pPr>
            <w:r>
              <w:rPr>
                <w:b/>
                <w:spacing w:val="-2"/>
                <w:sz w:val="21"/>
              </w:rPr>
              <w:t>Baseline (mean)</w:t>
            </w:r>
          </w:p>
        </w:tc>
        <w:tc>
          <w:tcPr>
            <w:tcW w:w="1470" w:type="dxa"/>
          </w:tcPr>
          <w:p w14:paraId="4007391F" w14:textId="77777777" w:rsidR="001825E2" w:rsidRDefault="000839A5" w:rsidP="00CB00A7">
            <w:pPr>
              <w:pStyle w:val="TableParagraph"/>
              <w:spacing w:line="244" w:lineRule="auto"/>
              <w:ind w:right="87" w:firstLine="6"/>
              <w:jc w:val="left"/>
              <w:rPr>
                <w:b/>
                <w:sz w:val="19"/>
              </w:rPr>
            </w:pPr>
            <w:r>
              <w:rPr>
                <w:b/>
                <w:sz w:val="21"/>
              </w:rPr>
              <w:t xml:space="preserve">Week 16 </w:t>
            </w:r>
            <w:r>
              <w:rPr>
                <w:b/>
                <w:sz w:val="19"/>
              </w:rPr>
              <w:t>(LSM change from</w:t>
            </w:r>
            <w:r>
              <w:rPr>
                <w:b/>
                <w:spacing w:val="13"/>
                <w:sz w:val="19"/>
              </w:rPr>
              <w:t xml:space="preserve"> </w:t>
            </w:r>
            <w:r>
              <w:rPr>
                <w:b/>
                <w:spacing w:val="-2"/>
                <w:sz w:val="19"/>
              </w:rPr>
              <w:t>Baseline)</w:t>
            </w:r>
          </w:p>
        </w:tc>
        <w:tc>
          <w:tcPr>
            <w:tcW w:w="975" w:type="dxa"/>
          </w:tcPr>
          <w:p w14:paraId="702728C9" w14:textId="77777777" w:rsidR="001825E2" w:rsidRDefault="000839A5" w:rsidP="00CB00A7">
            <w:pPr>
              <w:pStyle w:val="TableParagraph"/>
              <w:ind w:left="187" w:right="82" w:hanging="60"/>
              <w:jc w:val="left"/>
              <w:rPr>
                <w:b/>
                <w:sz w:val="21"/>
              </w:rPr>
            </w:pPr>
            <w:r>
              <w:rPr>
                <w:b/>
                <w:spacing w:val="-2"/>
                <w:sz w:val="21"/>
              </w:rPr>
              <w:t>Baseline (mean)</w:t>
            </w:r>
          </w:p>
        </w:tc>
        <w:tc>
          <w:tcPr>
            <w:tcW w:w="1470" w:type="dxa"/>
          </w:tcPr>
          <w:p w14:paraId="29548EA6" w14:textId="77777777" w:rsidR="001825E2" w:rsidRDefault="000839A5" w:rsidP="00CB00A7">
            <w:pPr>
              <w:pStyle w:val="TableParagraph"/>
              <w:spacing w:line="244" w:lineRule="auto"/>
              <w:ind w:right="86" w:firstLine="6"/>
              <w:jc w:val="left"/>
              <w:rPr>
                <w:b/>
                <w:sz w:val="19"/>
              </w:rPr>
            </w:pPr>
            <w:r>
              <w:rPr>
                <w:b/>
                <w:sz w:val="21"/>
              </w:rPr>
              <w:t xml:space="preserve">Week 16 </w:t>
            </w:r>
            <w:r>
              <w:rPr>
                <w:b/>
                <w:sz w:val="19"/>
              </w:rPr>
              <w:t>(LSM change from</w:t>
            </w:r>
            <w:r>
              <w:rPr>
                <w:b/>
                <w:spacing w:val="13"/>
                <w:sz w:val="19"/>
              </w:rPr>
              <w:t xml:space="preserve"> </w:t>
            </w:r>
            <w:r>
              <w:rPr>
                <w:b/>
                <w:spacing w:val="-2"/>
                <w:sz w:val="19"/>
              </w:rPr>
              <w:t>Baseline)</w:t>
            </w:r>
          </w:p>
        </w:tc>
        <w:tc>
          <w:tcPr>
            <w:tcW w:w="1980" w:type="dxa"/>
          </w:tcPr>
          <w:p w14:paraId="2BF131E0" w14:textId="77777777" w:rsidR="001825E2" w:rsidRDefault="000839A5" w:rsidP="00CB00A7">
            <w:pPr>
              <w:pStyle w:val="TableParagraph"/>
              <w:ind w:left="577" w:right="232" w:hanging="300"/>
              <w:jc w:val="left"/>
              <w:rPr>
                <w:b/>
                <w:sz w:val="21"/>
              </w:rPr>
            </w:pPr>
            <w:r>
              <w:rPr>
                <w:b/>
                <w:sz w:val="21"/>
              </w:rPr>
              <w:t>Difference</w:t>
            </w:r>
            <w:r>
              <w:rPr>
                <w:b/>
                <w:spacing w:val="-14"/>
                <w:sz w:val="21"/>
              </w:rPr>
              <w:t xml:space="preserve"> </w:t>
            </w:r>
            <w:r>
              <w:rPr>
                <w:b/>
                <w:sz w:val="21"/>
              </w:rPr>
              <w:t xml:space="preserve">from </w:t>
            </w:r>
            <w:r>
              <w:rPr>
                <w:b/>
                <w:spacing w:val="-2"/>
                <w:sz w:val="21"/>
              </w:rPr>
              <w:t xml:space="preserve">Placebo </w:t>
            </w:r>
            <w:r>
              <w:rPr>
                <w:b/>
                <w:sz w:val="21"/>
              </w:rPr>
              <w:t>(95%</w:t>
            </w:r>
            <w:r>
              <w:rPr>
                <w:b/>
                <w:spacing w:val="-4"/>
                <w:sz w:val="21"/>
              </w:rPr>
              <w:t xml:space="preserve"> </w:t>
            </w:r>
            <w:r>
              <w:rPr>
                <w:b/>
                <w:sz w:val="21"/>
              </w:rPr>
              <w:t>CI)</w:t>
            </w:r>
          </w:p>
        </w:tc>
      </w:tr>
      <w:tr w:rsidR="001825E2" w14:paraId="11AFBD60" w14:textId="77777777">
        <w:trPr>
          <w:trHeight w:val="390"/>
        </w:trPr>
        <w:tc>
          <w:tcPr>
            <w:tcW w:w="2550" w:type="dxa"/>
          </w:tcPr>
          <w:p w14:paraId="7BF3AF18" w14:textId="77777777" w:rsidR="001825E2" w:rsidRDefault="000839A5" w:rsidP="00CB00A7">
            <w:pPr>
              <w:pStyle w:val="TableParagraph"/>
              <w:spacing w:before="104"/>
              <w:jc w:val="left"/>
              <w:rPr>
                <w:sz w:val="21"/>
              </w:rPr>
            </w:pPr>
            <w:r>
              <w:rPr>
                <w:sz w:val="21"/>
              </w:rPr>
              <w:t>ASAS</w:t>
            </w:r>
            <w:r>
              <w:rPr>
                <w:spacing w:val="-6"/>
                <w:sz w:val="21"/>
              </w:rPr>
              <w:t xml:space="preserve"> </w:t>
            </w:r>
            <w:r>
              <w:rPr>
                <w:spacing w:val="-2"/>
                <w:sz w:val="21"/>
              </w:rPr>
              <w:t>Components</w:t>
            </w:r>
          </w:p>
        </w:tc>
        <w:tc>
          <w:tcPr>
            <w:tcW w:w="960" w:type="dxa"/>
          </w:tcPr>
          <w:p w14:paraId="4E912268" w14:textId="77777777" w:rsidR="001825E2" w:rsidRDefault="001825E2" w:rsidP="00CB00A7">
            <w:pPr>
              <w:pStyle w:val="TableParagraph"/>
              <w:ind w:left="0"/>
              <w:jc w:val="left"/>
              <w:rPr>
                <w:sz w:val="20"/>
              </w:rPr>
            </w:pPr>
          </w:p>
        </w:tc>
        <w:tc>
          <w:tcPr>
            <w:tcW w:w="1470" w:type="dxa"/>
          </w:tcPr>
          <w:p w14:paraId="30E1BED5" w14:textId="77777777" w:rsidR="001825E2" w:rsidRDefault="001825E2" w:rsidP="00CB00A7">
            <w:pPr>
              <w:pStyle w:val="TableParagraph"/>
              <w:ind w:left="0"/>
              <w:jc w:val="left"/>
              <w:rPr>
                <w:sz w:val="20"/>
              </w:rPr>
            </w:pPr>
          </w:p>
        </w:tc>
        <w:tc>
          <w:tcPr>
            <w:tcW w:w="975" w:type="dxa"/>
          </w:tcPr>
          <w:p w14:paraId="5F62BD0E" w14:textId="77777777" w:rsidR="001825E2" w:rsidRDefault="001825E2" w:rsidP="00CB00A7">
            <w:pPr>
              <w:pStyle w:val="TableParagraph"/>
              <w:ind w:left="0"/>
              <w:jc w:val="left"/>
              <w:rPr>
                <w:sz w:val="20"/>
              </w:rPr>
            </w:pPr>
          </w:p>
        </w:tc>
        <w:tc>
          <w:tcPr>
            <w:tcW w:w="1470" w:type="dxa"/>
          </w:tcPr>
          <w:p w14:paraId="69FBAD75" w14:textId="77777777" w:rsidR="001825E2" w:rsidRDefault="001825E2" w:rsidP="00CB00A7">
            <w:pPr>
              <w:pStyle w:val="TableParagraph"/>
              <w:ind w:left="0"/>
              <w:jc w:val="left"/>
              <w:rPr>
                <w:sz w:val="20"/>
              </w:rPr>
            </w:pPr>
          </w:p>
        </w:tc>
        <w:tc>
          <w:tcPr>
            <w:tcW w:w="1980" w:type="dxa"/>
          </w:tcPr>
          <w:p w14:paraId="773A4681" w14:textId="77777777" w:rsidR="001825E2" w:rsidRDefault="001825E2" w:rsidP="00CB00A7">
            <w:pPr>
              <w:pStyle w:val="TableParagraph"/>
              <w:ind w:left="0"/>
              <w:jc w:val="left"/>
              <w:rPr>
                <w:sz w:val="20"/>
              </w:rPr>
            </w:pPr>
          </w:p>
        </w:tc>
      </w:tr>
      <w:tr w:rsidR="001825E2" w14:paraId="597BFEE5" w14:textId="77777777">
        <w:trPr>
          <w:trHeight w:val="899"/>
        </w:trPr>
        <w:tc>
          <w:tcPr>
            <w:tcW w:w="2550" w:type="dxa"/>
          </w:tcPr>
          <w:p w14:paraId="1E00BEC1" w14:textId="77777777" w:rsidR="001825E2" w:rsidRDefault="000839A5" w:rsidP="00CB00A7">
            <w:pPr>
              <w:pStyle w:val="TableParagraph"/>
              <w:spacing w:before="74" w:line="244" w:lineRule="auto"/>
              <w:ind w:left="172" w:right="134"/>
              <w:jc w:val="left"/>
              <w:rPr>
                <w:sz w:val="21"/>
              </w:rPr>
            </w:pPr>
            <w:r>
              <w:rPr>
                <w:sz w:val="21"/>
              </w:rPr>
              <w:t xml:space="preserve">-Patient Global </w:t>
            </w:r>
            <w:r>
              <w:rPr>
                <w:spacing w:val="-2"/>
                <w:sz w:val="21"/>
              </w:rPr>
              <w:t>Assessment</w:t>
            </w:r>
            <w:r>
              <w:rPr>
                <w:spacing w:val="6"/>
                <w:sz w:val="21"/>
              </w:rPr>
              <w:t xml:space="preserve"> </w:t>
            </w:r>
            <w:r>
              <w:rPr>
                <w:spacing w:val="-2"/>
                <w:sz w:val="21"/>
              </w:rPr>
              <w:t>of</w:t>
            </w:r>
            <w:r>
              <w:rPr>
                <w:spacing w:val="-11"/>
                <w:sz w:val="21"/>
              </w:rPr>
              <w:t xml:space="preserve"> </w:t>
            </w:r>
            <w:r>
              <w:rPr>
                <w:spacing w:val="-2"/>
                <w:sz w:val="21"/>
              </w:rPr>
              <w:t xml:space="preserve">Disease </w:t>
            </w:r>
            <w:r>
              <w:rPr>
                <w:sz w:val="21"/>
              </w:rPr>
              <w:t>Activity</w:t>
            </w:r>
            <w:r>
              <w:rPr>
                <w:spacing w:val="-4"/>
                <w:sz w:val="21"/>
              </w:rPr>
              <w:t xml:space="preserve"> </w:t>
            </w:r>
            <w:r>
              <w:rPr>
                <w:sz w:val="21"/>
              </w:rPr>
              <w:t>(0-</w:t>
            </w:r>
            <w:proofErr w:type="gramStart"/>
            <w:r>
              <w:rPr>
                <w:sz w:val="21"/>
              </w:rPr>
              <w:t>10)</w:t>
            </w:r>
            <w:r>
              <w:rPr>
                <w:sz w:val="21"/>
                <w:vertAlign w:val="superscript"/>
              </w:rPr>
              <w:t>a</w:t>
            </w:r>
            <w:proofErr w:type="gramEnd"/>
            <w:r>
              <w:rPr>
                <w:sz w:val="21"/>
                <w:vertAlign w:val="superscript"/>
              </w:rPr>
              <w:t>,</w:t>
            </w:r>
            <w:r>
              <w:rPr>
                <w:sz w:val="21"/>
              </w:rPr>
              <w:t>*</w:t>
            </w:r>
          </w:p>
        </w:tc>
        <w:tc>
          <w:tcPr>
            <w:tcW w:w="960" w:type="dxa"/>
          </w:tcPr>
          <w:p w14:paraId="1DA2B267" w14:textId="77777777" w:rsidR="001825E2" w:rsidRDefault="001825E2" w:rsidP="00CB00A7">
            <w:pPr>
              <w:pStyle w:val="TableParagraph"/>
              <w:spacing w:before="87"/>
              <w:ind w:left="0"/>
              <w:jc w:val="left"/>
              <w:rPr>
                <w:b/>
                <w:sz w:val="21"/>
              </w:rPr>
            </w:pPr>
          </w:p>
          <w:p w14:paraId="05A2ED6B" w14:textId="77777777" w:rsidR="001825E2" w:rsidRDefault="000839A5" w:rsidP="00CB00A7">
            <w:pPr>
              <w:pStyle w:val="TableParagraph"/>
              <w:ind w:left="45" w:right="16"/>
              <w:jc w:val="left"/>
              <w:rPr>
                <w:sz w:val="21"/>
              </w:rPr>
            </w:pPr>
            <w:r>
              <w:rPr>
                <w:spacing w:val="-5"/>
                <w:sz w:val="21"/>
              </w:rPr>
              <w:t>7.0</w:t>
            </w:r>
          </w:p>
        </w:tc>
        <w:tc>
          <w:tcPr>
            <w:tcW w:w="1470" w:type="dxa"/>
          </w:tcPr>
          <w:p w14:paraId="567AC6BC" w14:textId="77777777" w:rsidR="001825E2" w:rsidRDefault="001825E2" w:rsidP="00CB00A7">
            <w:pPr>
              <w:pStyle w:val="TableParagraph"/>
              <w:spacing w:before="87"/>
              <w:ind w:left="0"/>
              <w:jc w:val="left"/>
              <w:rPr>
                <w:b/>
                <w:sz w:val="21"/>
              </w:rPr>
            </w:pPr>
          </w:p>
          <w:p w14:paraId="3F270239" w14:textId="77777777" w:rsidR="001825E2" w:rsidRDefault="000839A5" w:rsidP="00CB00A7">
            <w:pPr>
              <w:pStyle w:val="TableParagraph"/>
              <w:ind w:left="49" w:right="35"/>
              <w:jc w:val="left"/>
              <w:rPr>
                <w:sz w:val="21"/>
              </w:rPr>
            </w:pPr>
            <w:r>
              <w:rPr>
                <w:sz w:val="21"/>
              </w:rPr>
              <w:t>-</w:t>
            </w:r>
            <w:r>
              <w:rPr>
                <w:spacing w:val="-5"/>
                <w:sz w:val="21"/>
              </w:rPr>
              <w:t>0.9</w:t>
            </w:r>
          </w:p>
        </w:tc>
        <w:tc>
          <w:tcPr>
            <w:tcW w:w="975" w:type="dxa"/>
          </w:tcPr>
          <w:p w14:paraId="568D1C13" w14:textId="77777777" w:rsidR="001825E2" w:rsidRDefault="001825E2" w:rsidP="00CB00A7">
            <w:pPr>
              <w:pStyle w:val="TableParagraph"/>
              <w:spacing w:before="87"/>
              <w:ind w:left="0"/>
              <w:jc w:val="left"/>
              <w:rPr>
                <w:b/>
                <w:sz w:val="21"/>
              </w:rPr>
            </w:pPr>
          </w:p>
          <w:p w14:paraId="7E7AD6CC" w14:textId="77777777" w:rsidR="001825E2" w:rsidRDefault="000839A5" w:rsidP="00CB00A7">
            <w:pPr>
              <w:pStyle w:val="TableParagraph"/>
              <w:ind w:left="44"/>
              <w:jc w:val="left"/>
              <w:rPr>
                <w:sz w:val="21"/>
              </w:rPr>
            </w:pPr>
            <w:r>
              <w:rPr>
                <w:spacing w:val="-5"/>
                <w:sz w:val="21"/>
              </w:rPr>
              <w:t>6.9</w:t>
            </w:r>
          </w:p>
        </w:tc>
        <w:tc>
          <w:tcPr>
            <w:tcW w:w="1470" w:type="dxa"/>
          </w:tcPr>
          <w:p w14:paraId="498F3E67" w14:textId="77777777" w:rsidR="001825E2" w:rsidRDefault="001825E2" w:rsidP="00CB00A7">
            <w:pPr>
              <w:pStyle w:val="TableParagraph"/>
              <w:spacing w:before="87"/>
              <w:ind w:left="0"/>
              <w:jc w:val="left"/>
              <w:rPr>
                <w:b/>
                <w:sz w:val="21"/>
              </w:rPr>
            </w:pPr>
          </w:p>
          <w:p w14:paraId="1759DDA5" w14:textId="77777777" w:rsidR="001825E2" w:rsidRDefault="000839A5" w:rsidP="00CB00A7">
            <w:pPr>
              <w:pStyle w:val="TableParagraph"/>
              <w:ind w:left="49" w:right="35"/>
              <w:jc w:val="left"/>
              <w:rPr>
                <w:sz w:val="21"/>
              </w:rPr>
            </w:pPr>
            <w:r>
              <w:rPr>
                <w:sz w:val="21"/>
              </w:rPr>
              <w:t>-</w:t>
            </w:r>
            <w:r>
              <w:rPr>
                <w:spacing w:val="-5"/>
                <w:sz w:val="21"/>
              </w:rPr>
              <w:t>2.5</w:t>
            </w:r>
          </w:p>
        </w:tc>
        <w:tc>
          <w:tcPr>
            <w:tcW w:w="1980" w:type="dxa"/>
          </w:tcPr>
          <w:p w14:paraId="6D98CFD1" w14:textId="77777777" w:rsidR="001825E2" w:rsidRDefault="001825E2" w:rsidP="00CB00A7">
            <w:pPr>
              <w:pStyle w:val="TableParagraph"/>
              <w:spacing w:before="87"/>
              <w:ind w:left="0"/>
              <w:jc w:val="left"/>
              <w:rPr>
                <w:b/>
                <w:sz w:val="21"/>
              </w:rPr>
            </w:pPr>
          </w:p>
          <w:p w14:paraId="1A696CB4" w14:textId="77777777" w:rsidR="001825E2" w:rsidRDefault="000839A5" w:rsidP="00CB00A7">
            <w:pPr>
              <w:pStyle w:val="TableParagraph"/>
              <w:ind w:left="44" w:right="30"/>
              <w:jc w:val="left"/>
              <w:rPr>
                <w:sz w:val="21"/>
              </w:rPr>
            </w:pPr>
            <w:r>
              <w:rPr>
                <w:sz w:val="21"/>
              </w:rPr>
              <w:t>-1.6</w:t>
            </w:r>
            <w:r>
              <w:rPr>
                <w:spacing w:val="7"/>
                <w:sz w:val="21"/>
              </w:rPr>
              <w:t xml:space="preserve"> </w:t>
            </w:r>
            <w:r>
              <w:rPr>
                <w:sz w:val="21"/>
              </w:rPr>
              <w:t>(-2.07,</w:t>
            </w:r>
            <w:r>
              <w:rPr>
                <w:spacing w:val="18"/>
                <w:sz w:val="21"/>
              </w:rPr>
              <w:t xml:space="preserve"> </w:t>
            </w:r>
            <w:r>
              <w:rPr>
                <w:sz w:val="21"/>
              </w:rPr>
              <w:t>-</w:t>
            </w:r>
            <w:r>
              <w:rPr>
                <w:spacing w:val="-2"/>
                <w:sz w:val="21"/>
              </w:rPr>
              <w:t>1.</w:t>
            </w:r>
            <w:proofErr w:type="gramStart"/>
            <w:r>
              <w:rPr>
                <w:spacing w:val="-2"/>
                <w:sz w:val="21"/>
              </w:rPr>
              <w:t>05)*</w:t>
            </w:r>
            <w:proofErr w:type="gramEnd"/>
            <w:r>
              <w:rPr>
                <w:spacing w:val="-2"/>
                <w:sz w:val="21"/>
              </w:rPr>
              <w:t>*</w:t>
            </w:r>
          </w:p>
        </w:tc>
      </w:tr>
      <w:tr w:rsidR="001825E2" w14:paraId="1EF76CA0" w14:textId="77777777">
        <w:trPr>
          <w:trHeight w:val="435"/>
        </w:trPr>
        <w:tc>
          <w:tcPr>
            <w:tcW w:w="2550" w:type="dxa"/>
          </w:tcPr>
          <w:p w14:paraId="04EE784D" w14:textId="77777777" w:rsidR="001825E2" w:rsidRDefault="000839A5" w:rsidP="00CB00A7">
            <w:pPr>
              <w:pStyle w:val="TableParagraph"/>
              <w:spacing w:before="104"/>
              <w:ind w:left="172"/>
              <w:jc w:val="left"/>
              <w:rPr>
                <w:sz w:val="21"/>
              </w:rPr>
            </w:pPr>
            <w:r>
              <w:rPr>
                <w:sz w:val="21"/>
              </w:rPr>
              <w:t>-Total</w:t>
            </w:r>
            <w:r>
              <w:rPr>
                <w:spacing w:val="5"/>
                <w:sz w:val="21"/>
              </w:rPr>
              <w:t xml:space="preserve"> </w:t>
            </w:r>
            <w:r>
              <w:rPr>
                <w:sz w:val="21"/>
              </w:rPr>
              <w:t>spinal</w:t>
            </w:r>
            <w:r>
              <w:rPr>
                <w:spacing w:val="5"/>
                <w:sz w:val="21"/>
              </w:rPr>
              <w:t xml:space="preserve"> </w:t>
            </w:r>
            <w:r>
              <w:rPr>
                <w:sz w:val="21"/>
              </w:rPr>
              <w:t>pain</w:t>
            </w:r>
            <w:r>
              <w:rPr>
                <w:spacing w:val="-10"/>
                <w:sz w:val="21"/>
              </w:rPr>
              <w:t xml:space="preserve"> </w:t>
            </w:r>
            <w:r>
              <w:rPr>
                <w:sz w:val="21"/>
              </w:rPr>
              <w:t>(0-</w:t>
            </w:r>
            <w:proofErr w:type="gramStart"/>
            <w:r>
              <w:rPr>
                <w:spacing w:val="-2"/>
                <w:sz w:val="21"/>
              </w:rPr>
              <w:t>10)</w:t>
            </w:r>
            <w:r>
              <w:rPr>
                <w:spacing w:val="-2"/>
                <w:sz w:val="21"/>
                <w:vertAlign w:val="superscript"/>
              </w:rPr>
              <w:t>a</w:t>
            </w:r>
            <w:proofErr w:type="gramEnd"/>
            <w:r>
              <w:rPr>
                <w:spacing w:val="-2"/>
                <w:sz w:val="21"/>
                <w:vertAlign w:val="superscript"/>
              </w:rPr>
              <w:t>,</w:t>
            </w:r>
            <w:r>
              <w:rPr>
                <w:spacing w:val="-2"/>
                <w:sz w:val="21"/>
              </w:rPr>
              <w:t>*</w:t>
            </w:r>
          </w:p>
        </w:tc>
        <w:tc>
          <w:tcPr>
            <w:tcW w:w="960" w:type="dxa"/>
          </w:tcPr>
          <w:p w14:paraId="4B89E508" w14:textId="77777777" w:rsidR="001825E2" w:rsidRDefault="000839A5" w:rsidP="00CB00A7">
            <w:pPr>
              <w:pStyle w:val="TableParagraph"/>
              <w:spacing w:before="104"/>
              <w:ind w:left="45" w:right="16"/>
              <w:jc w:val="left"/>
              <w:rPr>
                <w:sz w:val="21"/>
              </w:rPr>
            </w:pPr>
            <w:r>
              <w:rPr>
                <w:spacing w:val="-5"/>
                <w:sz w:val="21"/>
              </w:rPr>
              <w:t>6.9</w:t>
            </w:r>
          </w:p>
        </w:tc>
        <w:tc>
          <w:tcPr>
            <w:tcW w:w="1470" w:type="dxa"/>
          </w:tcPr>
          <w:p w14:paraId="0424538E" w14:textId="77777777" w:rsidR="001825E2" w:rsidRDefault="000839A5" w:rsidP="00CB00A7">
            <w:pPr>
              <w:pStyle w:val="TableParagraph"/>
              <w:spacing w:before="104"/>
              <w:ind w:left="49" w:right="35"/>
              <w:jc w:val="left"/>
              <w:rPr>
                <w:sz w:val="21"/>
              </w:rPr>
            </w:pPr>
            <w:r>
              <w:rPr>
                <w:sz w:val="21"/>
              </w:rPr>
              <w:t>-</w:t>
            </w:r>
            <w:r>
              <w:rPr>
                <w:spacing w:val="-5"/>
                <w:sz w:val="21"/>
              </w:rPr>
              <w:t>1.0</w:t>
            </w:r>
          </w:p>
        </w:tc>
        <w:tc>
          <w:tcPr>
            <w:tcW w:w="975" w:type="dxa"/>
          </w:tcPr>
          <w:p w14:paraId="00A6146E" w14:textId="77777777" w:rsidR="001825E2" w:rsidRDefault="000839A5" w:rsidP="00CB00A7">
            <w:pPr>
              <w:pStyle w:val="TableParagraph"/>
              <w:spacing w:before="104"/>
              <w:ind w:left="44"/>
              <w:jc w:val="left"/>
              <w:rPr>
                <w:sz w:val="21"/>
              </w:rPr>
            </w:pPr>
            <w:r>
              <w:rPr>
                <w:spacing w:val="-5"/>
                <w:sz w:val="21"/>
              </w:rPr>
              <w:t>6.9</w:t>
            </w:r>
          </w:p>
        </w:tc>
        <w:tc>
          <w:tcPr>
            <w:tcW w:w="1470" w:type="dxa"/>
          </w:tcPr>
          <w:p w14:paraId="7E6A6905" w14:textId="77777777" w:rsidR="001825E2" w:rsidRDefault="000839A5" w:rsidP="00CB00A7">
            <w:pPr>
              <w:pStyle w:val="TableParagraph"/>
              <w:spacing w:before="104"/>
              <w:ind w:left="49" w:right="35"/>
              <w:jc w:val="left"/>
              <w:rPr>
                <w:sz w:val="21"/>
              </w:rPr>
            </w:pPr>
            <w:r>
              <w:rPr>
                <w:sz w:val="21"/>
              </w:rPr>
              <w:t>-</w:t>
            </w:r>
            <w:r>
              <w:rPr>
                <w:spacing w:val="-5"/>
                <w:sz w:val="21"/>
              </w:rPr>
              <w:t>2.6</w:t>
            </w:r>
          </w:p>
        </w:tc>
        <w:tc>
          <w:tcPr>
            <w:tcW w:w="1980" w:type="dxa"/>
          </w:tcPr>
          <w:p w14:paraId="534BD356" w14:textId="77777777" w:rsidR="001825E2" w:rsidRDefault="000839A5" w:rsidP="00CB00A7">
            <w:pPr>
              <w:pStyle w:val="TableParagraph"/>
              <w:spacing w:before="104"/>
              <w:ind w:left="44" w:right="30"/>
              <w:jc w:val="left"/>
              <w:rPr>
                <w:sz w:val="21"/>
              </w:rPr>
            </w:pPr>
            <w:r>
              <w:rPr>
                <w:sz w:val="21"/>
              </w:rPr>
              <w:t>-1.6</w:t>
            </w:r>
            <w:r>
              <w:rPr>
                <w:spacing w:val="7"/>
                <w:sz w:val="21"/>
              </w:rPr>
              <w:t xml:space="preserve"> </w:t>
            </w:r>
            <w:r>
              <w:rPr>
                <w:sz w:val="21"/>
              </w:rPr>
              <w:t>(-2.10,</w:t>
            </w:r>
            <w:r>
              <w:rPr>
                <w:spacing w:val="18"/>
                <w:sz w:val="21"/>
              </w:rPr>
              <w:t xml:space="preserve"> </w:t>
            </w:r>
            <w:r>
              <w:rPr>
                <w:sz w:val="21"/>
              </w:rPr>
              <w:t>-</w:t>
            </w:r>
            <w:r>
              <w:rPr>
                <w:spacing w:val="-2"/>
                <w:sz w:val="21"/>
              </w:rPr>
              <w:t>1.</w:t>
            </w:r>
            <w:proofErr w:type="gramStart"/>
            <w:r>
              <w:rPr>
                <w:spacing w:val="-2"/>
                <w:sz w:val="21"/>
              </w:rPr>
              <w:t>14)*</w:t>
            </w:r>
            <w:proofErr w:type="gramEnd"/>
            <w:r>
              <w:rPr>
                <w:spacing w:val="-2"/>
                <w:sz w:val="21"/>
              </w:rPr>
              <w:t>*</w:t>
            </w:r>
          </w:p>
        </w:tc>
      </w:tr>
      <w:tr w:rsidR="001825E2" w14:paraId="17317FC5" w14:textId="77777777">
        <w:trPr>
          <w:trHeight w:val="435"/>
        </w:trPr>
        <w:tc>
          <w:tcPr>
            <w:tcW w:w="2550" w:type="dxa"/>
          </w:tcPr>
          <w:p w14:paraId="150EFC8F" w14:textId="77777777" w:rsidR="001825E2" w:rsidRDefault="000839A5" w:rsidP="00CB00A7">
            <w:pPr>
              <w:pStyle w:val="TableParagraph"/>
              <w:spacing w:before="104"/>
              <w:ind w:left="172"/>
              <w:jc w:val="left"/>
              <w:rPr>
                <w:sz w:val="21"/>
              </w:rPr>
            </w:pPr>
            <w:r>
              <w:rPr>
                <w:sz w:val="21"/>
              </w:rPr>
              <w:t>-BASFI</w:t>
            </w:r>
            <w:r>
              <w:rPr>
                <w:spacing w:val="10"/>
                <w:sz w:val="21"/>
              </w:rPr>
              <w:t xml:space="preserve"> </w:t>
            </w:r>
            <w:r>
              <w:rPr>
                <w:sz w:val="21"/>
              </w:rPr>
              <w:t>(0-</w:t>
            </w:r>
            <w:proofErr w:type="gramStart"/>
            <w:r>
              <w:rPr>
                <w:spacing w:val="-2"/>
                <w:sz w:val="21"/>
              </w:rPr>
              <w:t>10)</w:t>
            </w:r>
            <w:r>
              <w:rPr>
                <w:spacing w:val="-2"/>
                <w:sz w:val="21"/>
                <w:vertAlign w:val="superscript"/>
              </w:rPr>
              <w:t>b</w:t>
            </w:r>
            <w:proofErr w:type="gramEnd"/>
            <w:r>
              <w:rPr>
                <w:spacing w:val="-2"/>
                <w:sz w:val="21"/>
                <w:vertAlign w:val="superscript"/>
              </w:rPr>
              <w:t>,</w:t>
            </w:r>
            <w:r>
              <w:rPr>
                <w:spacing w:val="-2"/>
                <w:sz w:val="21"/>
              </w:rPr>
              <w:t>*</w:t>
            </w:r>
          </w:p>
        </w:tc>
        <w:tc>
          <w:tcPr>
            <w:tcW w:w="960" w:type="dxa"/>
          </w:tcPr>
          <w:p w14:paraId="7AFBC9E5" w14:textId="77777777" w:rsidR="001825E2" w:rsidRDefault="000839A5" w:rsidP="00CB00A7">
            <w:pPr>
              <w:pStyle w:val="TableParagraph"/>
              <w:spacing w:before="104"/>
              <w:ind w:left="45" w:right="16"/>
              <w:jc w:val="left"/>
              <w:rPr>
                <w:sz w:val="21"/>
              </w:rPr>
            </w:pPr>
            <w:r>
              <w:rPr>
                <w:spacing w:val="-5"/>
                <w:sz w:val="21"/>
              </w:rPr>
              <w:t>5.9</w:t>
            </w:r>
          </w:p>
        </w:tc>
        <w:tc>
          <w:tcPr>
            <w:tcW w:w="1470" w:type="dxa"/>
          </w:tcPr>
          <w:p w14:paraId="287D4F21" w14:textId="77777777" w:rsidR="001825E2" w:rsidRDefault="000839A5" w:rsidP="00CB00A7">
            <w:pPr>
              <w:pStyle w:val="TableParagraph"/>
              <w:spacing w:before="104"/>
              <w:ind w:left="49" w:right="35"/>
              <w:jc w:val="left"/>
              <w:rPr>
                <w:sz w:val="21"/>
              </w:rPr>
            </w:pPr>
            <w:r>
              <w:rPr>
                <w:sz w:val="21"/>
              </w:rPr>
              <w:t>-</w:t>
            </w:r>
            <w:r>
              <w:rPr>
                <w:spacing w:val="-5"/>
                <w:sz w:val="21"/>
              </w:rPr>
              <w:t>0.8</w:t>
            </w:r>
          </w:p>
        </w:tc>
        <w:tc>
          <w:tcPr>
            <w:tcW w:w="975" w:type="dxa"/>
          </w:tcPr>
          <w:p w14:paraId="6A515F0E" w14:textId="77777777" w:rsidR="001825E2" w:rsidRDefault="000839A5" w:rsidP="00CB00A7">
            <w:pPr>
              <w:pStyle w:val="TableParagraph"/>
              <w:spacing w:before="104"/>
              <w:ind w:left="44"/>
              <w:jc w:val="left"/>
              <w:rPr>
                <w:sz w:val="21"/>
              </w:rPr>
            </w:pPr>
            <w:r>
              <w:rPr>
                <w:spacing w:val="-5"/>
                <w:sz w:val="21"/>
              </w:rPr>
              <w:t>5.8</w:t>
            </w:r>
          </w:p>
        </w:tc>
        <w:tc>
          <w:tcPr>
            <w:tcW w:w="1470" w:type="dxa"/>
          </w:tcPr>
          <w:p w14:paraId="4EB89385" w14:textId="77777777" w:rsidR="001825E2" w:rsidRDefault="000839A5" w:rsidP="00CB00A7">
            <w:pPr>
              <w:pStyle w:val="TableParagraph"/>
              <w:spacing w:before="104"/>
              <w:ind w:left="49" w:right="35"/>
              <w:jc w:val="left"/>
              <w:rPr>
                <w:sz w:val="21"/>
              </w:rPr>
            </w:pPr>
            <w:r>
              <w:rPr>
                <w:sz w:val="21"/>
              </w:rPr>
              <w:t>-</w:t>
            </w:r>
            <w:r>
              <w:rPr>
                <w:spacing w:val="-5"/>
                <w:sz w:val="21"/>
              </w:rPr>
              <w:t>2.0</w:t>
            </w:r>
          </w:p>
        </w:tc>
        <w:tc>
          <w:tcPr>
            <w:tcW w:w="1980" w:type="dxa"/>
          </w:tcPr>
          <w:p w14:paraId="1A0043B0" w14:textId="77777777" w:rsidR="001825E2" w:rsidRDefault="000839A5" w:rsidP="00CB00A7">
            <w:pPr>
              <w:pStyle w:val="TableParagraph"/>
              <w:spacing w:before="104"/>
              <w:ind w:left="44"/>
              <w:jc w:val="left"/>
              <w:rPr>
                <w:sz w:val="21"/>
              </w:rPr>
            </w:pPr>
            <w:r>
              <w:rPr>
                <w:sz w:val="21"/>
              </w:rPr>
              <w:t>-1.2 (</w:t>
            </w:r>
            <w:r>
              <w:rPr>
                <w:spacing w:val="7"/>
                <w:sz w:val="21"/>
              </w:rPr>
              <w:t xml:space="preserve"> </w:t>
            </w:r>
            <w:r>
              <w:rPr>
                <w:sz w:val="21"/>
              </w:rPr>
              <w:t>-1.66,</w:t>
            </w:r>
            <w:r>
              <w:rPr>
                <w:spacing w:val="11"/>
                <w:sz w:val="21"/>
              </w:rPr>
              <w:t xml:space="preserve"> </w:t>
            </w:r>
            <w:r>
              <w:rPr>
                <w:sz w:val="21"/>
              </w:rPr>
              <w:t>-</w:t>
            </w:r>
            <w:r>
              <w:rPr>
                <w:spacing w:val="-2"/>
                <w:sz w:val="21"/>
              </w:rPr>
              <w:t>0.</w:t>
            </w:r>
            <w:proofErr w:type="gramStart"/>
            <w:r>
              <w:rPr>
                <w:spacing w:val="-2"/>
                <w:sz w:val="21"/>
              </w:rPr>
              <w:t>80)*</w:t>
            </w:r>
            <w:proofErr w:type="gramEnd"/>
            <w:r>
              <w:rPr>
                <w:spacing w:val="-2"/>
                <w:sz w:val="21"/>
              </w:rPr>
              <w:t>*</w:t>
            </w:r>
          </w:p>
        </w:tc>
      </w:tr>
      <w:tr w:rsidR="001825E2" w14:paraId="40482156" w14:textId="77777777">
        <w:trPr>
          <w:trHeight w:val="495"/>
        </w:trPr>
        <w:tc>
          <w:tcPr>
            <w:tcW w:w="2550" w:type="dxa"/>
          </w:tcPr>
          <w:p w14:paraId="60FF7152" w14:textId="77777777" w:rsidR="001825E2" w:rsidRDefault="000839A5" w:rsidP="00CB00A7">
            <w:pPr>
              <w:pStyle w:val="TableParagraph"/>
              <w:spacing w:before="134"/>
              <w:ind w:left="172"/>
              <w:jc w:val="left"/>
              <w:rPr>
                <w:sz w:val="21"/>
              </w:rPr>
            </w:pPr>
            <w:r>
              <w:rPr>
                <w:sz w:val="21"/>
              </w:rPr>
              <w:t>-Inflammation</w:t>
            </w:r>
            <w:r>
              <w:rPr>
                <w:spacing w:val="13"/>
                <w:sz w:val="21"/>
              </w:rPr>
              <w:t xml:space="preserve"> </w:t>
            </w:r>
            <w:r>
              <w:rPr>
                <w:sz w:val="21"/>
              </w:rPr>
              <w:t>(0-</w:t>
            </w:r>
            <w:proofErr w:type="gramStart"/>
            <w:r>
              <w:rPr>
                <w:spacing w:val="-2"/>
                <w:sz w:val="21"/>
              </w:rPr>
              <w:t>10)</w:t>
            </w:r>
            <w:r>
              <w:rPr>
                <w:spacing w:val="-2"/>
                <w:sz w:val="21"/>
                <w:vertAlign w:val="superscript"/>
              </w:rPr>
              <w:t>c</w:t>
            </w:r>
            <w:proofErr w:type="gramEnd"/>
            <w:r>
              <w:rPr>
                <w:spacing w:val="-2"/>
                <w:sz w:val="21"/>
                <w:vertAlign w:val="superscript"/>
              </w:rPr>
              <w:t>,</w:t>
            </w:r>
            <w:r>
              <w:rPr>
                <w:spacing w:val="-2"/>
                <w:sz w:val="21"/>
              </w:rPr>
              <w:t>*</w:t>
            </w:r>
          </w:p>
        </w:tc>
        <w:tc>
          <w:tcPr>
            <w:tcW w:w="960" w:type="dxa"/>
          </w:tcPr>
          <w:p w14:paraId="42AB3EF1" w14:textId="77777777" w:rsidR="001825E2" w:rsidRDefault="000839A5" w:rsidP="00CB00A7">
            <w:pPr>
              <w:pStyle w:val="TableParagraph"/>
              <w:spacing w:before="134"/>
              <w:ind w:left="45" w:right="15"/>
              <w:jc w:val="left"/>
              <w:rPr>
                <w:sz w:val="21"/>
              </w:rPr>
            </w:pPr>
            <w:r>
              <w:rPr>
                <w:spacing w:val="-5"/>
                <w:sz w:val="21"/>
              </w:rPr>
              <w:t>6.8</w:t>
            </w:r>
          </w:p>
        </w:tc>
        <w:tc>
          <w:tcPr>
            <w:tcW w:w="1470" w:type="dxa"/>
          </w:tcPr>
          <w:p w14:paraId="3E9A6976" w14:textId="77777777" w:rsidR="001825E2" w:rsidRDefault="000839A5" w:rsidP="00CB00A7">
            <w:pPr>
              <w:pStyle w:val="TableParagraph"/>
              <w:spacing w:before="134"/>
              <w:ind w:left="49" w:right="35"/>
              <w:jc w:val="left"/>
              <w:rPr>
                <w:sz w:val="21"/>
              </w:rPr>
            </w:pPr>
            <w:r>
              <w:rPr>
                <w:sz w:val="21"/>
              </w:rPr>
              <w:t>-</w:t>
            </w:r>
            <w:r>
              <w:rPr>
                <w:spacing w:val="-5"/>
                <w:sz w:val="21"/>
              </w:rPr>
              <w:t>1.0</w:t>
            </w:r>
          </w:p>
        </w:tc>
        <w:tc>
          <w:tcPr>
            <w:tcW w:w="975" w:type="dxa"/>
          </w:tcPr>
          <w:p w14:paraId="44CC9967" w14:textId="77777777" w:rsidR="001825E2" w:rsidRDefault="000839A5" w:rsidP="00CB00A7">
            <w:pPr>
              <w:pStyle w:val="TableParagraph"/>
              <w:spacing w:before="134"/>
              <w:ind w:left="44"/>
              <w:jc w:val="left"/>
              <w:rPr>
                <w:sz w:val="21"/>
              </w:rPr>
            </w:pPr>
            <w:r>
              <w:rPr>
                <w:spacing w:val="-5"/>
                <w:sz w:val="21"/>
              </w:rPr>
              <w:t>6.6</w:t>
            </w:r>
          </w:p>
        </w:tc>
        <w:tc>
          <w:tcPr>
            <w:tcW w:w="1470" w:type="dxa"/>
          </w:tcPr>
          <w:p w14:paraId="7825CD78" w14:textId="77777777" w:rsidR="001825E2" w:rsidRDefault="000839A5" w:rsidP="00CB00A7">
            <w:pPr>
              <w:pStyle w:val="TableParagraph"/>
              <w:spacing w:before="134"/>
              <w:ind w:left="49" w:right="35"/>
              <w:jc w:val="left"/>
              <w:rPr>
                <w:sz w:val="21"/>
              </w:rPr>
            </w:pPr>
            <w:r>
              <w:rPr>
                <w:sz w:val="21"/>
              </w:rPr>
              <w:t>-</w:t>
            </w:r>
            <w:r>
              <w:rPr>
                <w:spacing w:val="-5"/>
                <w:sz w:val="21"/>
              </w:rPr>
              <w:t>2.7</w:t>
            </w:r>
          </w:p>
        </w:tc>
        <w:tc>
          <w:tcPr>
            <w:tcW w:w="1980" w:type="dxa"/>
          </w:tcPr>
          <w:p w14:paraId="5D48789E" w14:textId="77777777" w:rsidR="001825E2" w:rsidRDefault="000839A5" w:rsidP="00CB00A7">
            <w:pPr>
              <w:pStyle w:val="TableParagraph"/>
              <w:spacing w:before="134"/>
              <w:ind w:left="44"/>
              <w:jc w:val="left"/>
              <w:rPr>
                <w:sz w:val="21"/>
              </w:rPr>
            </w:pPr>
            <w:r>
              <w:rPr>
                <w:sz w:val="21"/>
              </w:rPr>
              <w:t>-1.7 (</w:t>
            </w:r>
            <w:r>
              <w:rPr>
                <w:spacing w:val="7"/>
                <w:sz w:val="21"/>
              </w:rPr>
              <w:t xml:space="preserve"> </w:t>
            </w:r>
            <w:r>
              <w:rPr>
                <w:sz w:val="21"/>
              </w:rPr>
              <w:t>-2.18,</w:t>
            </w:r>
            <w:r>
              <w:rPr>
                <w:spacing w:val="11"/>
                <w:sz w:val="21"/>
              </w:rPr>
              <w:t xml:space="preserve"> </w:t>
            </w:r>
            <w:r>
              <w:rPr>
                <w:sz w:val="21"/>
              </w:rPr>
              <w:t>-</w:t>
            </w:r>
            <w:r>
              <w:rPr>
                <w:spacing w:val="-2"/>
                <w:sz w:val="21"/>
              </w:rPr>
              <w:t>1.</w:t>
            </w:r>
            <w:proofErr w:type="gramStart"/>
            <w:r>
              <w:rPr>
                <w:spacing w:val="-2"/>
                <w:sz w:val="21"/>
              </w:rPr>
              <w:t>25)*</w:t>
            </w:r>
            <w:proofErr w:type="gramEnd"/>
            <w:r>
              <w:rPr>
                <w:spacing w:val="-2"/>
                <w:sz w:val="21"/>
              </w:rPr>
              <w:t>*</w:t>
            </w:r>
          </w:p>
        </w:tc>
      </w:tr>
      <w:tr w:rsidR="001825E2" w14:paraId="7AB57A54" w14:textId="77777777">
        <w:trPr>
          <w:trHeight w:val="435"/>
        </w:trPr>
        <w:tc>
          <w:tcPr>
            <w:tcW w:w="2550" w:type="dxa"/>
          </w:tcPr>
          <w:p w14:paraId="2A33B536" w14:textId="77777777" w:rsidR="001825E2" w:rsidRDefault="000839A5" w:rsidP="00CB00A7">
            <w:pPr>
              <w:pStyle w:val="TableParagraph"/>
              <w:spacing w:before="104"/>
              <w:jc w:val="left"/>
              <w:rPr>
                <w:sz w:val="21"/>
              </w:rPr>
            </w:pPr>
            <w:r>
              <w:rPr>
                <w:sz w:val="21"/>
              </w:rPr>
              <w:t>BASDAI</w:t>
            </w:r>
            <w:r>
              <w:rPr>
                <w:spacing w:val="3"/>
                <w:sz w:val="21"/>
              </w:rPr>
              <w:t xml:space="preserve"> </w:t>
            </w:r>
            <w:r>
              <w:rPr>
                <w:spacing w:val="-2"/>
                <w:sz w:val="21"/>
              </w:rPr>
              <w:t>Score</w:t>
            </w:r>
            <w:r>
              <w:rPr>
                <w:spacing w:val="-2"/>
                <w:sz w:val="21"/>
                <w:vertAlign w:val="superscript"/>
              </w:rPr>
              <w:t>d</w:t>
            </w:r>
          </w:p>
        </w:tc>
        <w:tc>
          <w:tcPr>
            <w:tcW w:w="960" w:type="dxa"/>
          </w:tcPr>
          <w:p w14:paraId="1CBBB1B6" w14:textId="77777777" w:rsidR="001825E2" w:rsidRDefault="000839A5" w:rsidP="00CB00A7">
            <w:pPr>
              <w:pStyle w:val="TableParagraph"/>
              <w:spacing w:before="104"/>
              <w:ind w:left="45" w:right="15"/>
              <w:jc w:val="left"/>
              <w:rPr>
                <w:sz w:val="21"/>
              </w:rPr>
            </w:pPr>
            <w:r>
              <w:rPr>
                <w:spacing w:val="-5"/>
                <w:sz w:val="21"/>
              </w:rPr>
              <w:t>6.5</w:t>
            </w:r>
          </w:p>
        </w:tc>
        <w:tc>
          <w:tcPr>
            <w:tcW w:w="1470" w:type="dxa"/>
          </w:tcPr>
          <w:p w14:paraId="679D4578" w14:textId="77777777" w:rsidR="001825E2" w:rsidRDefault="000839A5" w:rsidP="00CB00A7">
            <w:pPr>
              <w:pStyle w:val="TableParagraph"/>
              <w:spacing w:before="104"/>
              <w:ind w:left="49" w:right="34"/>
              <w:jc w:val="left"/>
              <w:rPr>
                <w:sz w:val="21"/>
              </w:rPr>
            </w:pPr>
            <w:r>
              <w:rPr>
                <w:sz w:val="21"/>
              </w:rPr>
              <w:t>-</w:t>
            </w:r>
            <w:r>
              <w:rPr>
                <w:spacing w:val="-5"/>
                <w:sz w:val="21"/>
              </w:rPr>
              <w:t>1.1</w:t>
            </w:r>
          </w:p>
        </w:tc>
        <w:tc>
          <w:tcPr>
            <w:tcW w:w="975" w:type="dxa"/>
          </w:tcPr>
          <w:p w14:paraId="177EE8D5" w14:textId="77777777" w:rsidR="001825E2" w:rsidRDefault="000839A5" w:rsidP="00CB00A7">
            <w:pPr>
              <w:pStyle w:val="TableParagraph"/>
              <w:spacing w:before="104"/>
              <w:ind w:left="45"/>
              <w:jc w:val="left"/>
              <w:rPr>
                <w:sz w:val="21"/>
              </w:rPr>
            </w:pPr>
            <w:r>
              <w:rPr>
                <w:spacing w:val="-5"/>
                <w:sz w:val="21"/>
              </w:rPr>
              <w:t>6.4</w:t>
            </w:r>
          </w:p>
        </w:tc>
        <w:tc>
          <w:tcPr>
            <w:tcW w:w="1470" w:type="dxa"/>
          </w:tcPr>
          <w:p w14:paraId="7AB6FDDB" w14:textId="77777777" w:rsidR="001825E2" w:rsidRDefault="000839A5" w:rsidP="00CB00A7">
            <w:pPr>
              <w:pStyle w:val="TableParagraph"/>
              <w:spacing w:before="104"/>
              <w:ind w:left="49" w:right="35"/>
              <w:jc w:val="left"/>
              <w:rPr>
                <w:sz w:val="21"/>
              </w:rPr>
            </w:pPr>
            <w:r>
              <w:rPr>
                <w:sz w:val="21"/>
              </w:rPr>
              <w:t>-</w:t>
            </w:r>
            <w:r>
              <w:rPr>
                <w:spacing w:val="-5"/>
                <w:sz w:val="21"/>
              </w:rPr>
              <w:t>2.6</w:t>
            </w:r>
          </w:p>
        </w:tc>
        <w:tc>
          <w:tcPr>
            <w:tcW w:w="1980" w:type="dxa"/>
          </w:tcPr>
          <w:p w14:paraId="5935A987" w14:textId="77777777" w:rsidR="001825E2" w:rsidRDefault="000839A5" w:rsidP="00CB00A7">
            <w:pPr>
              <w:pStyle w:val="TableParagraph"/>
              <w:spacing w:before="104"/>
              <w:ind w:left="44"/>
              <w:jc w:val="left"/>
              <w:rPr>
                <w:sz w:val="21"/>
              </w:rPr>
            </w:pPr>
            <w:r>
              <w:rPr>
                <w:sz w:val="21"/>
              </w:rPr>
              <w:t>-1.4 (</w:t>
            </w:r>
            <w:r>
              <w:rPr>
                <w:spacing w:val="7"/>
                <w:sz w:val="21"/>
              </w:rPr>
              <w:t xml:space="preserve"> </w:t>
            </w:r>
            <w:r>
              <w:rPr>
                <w:sz w:val="21"/>
              </w:rPr>
              <w:t>-1.88,</w:t>
            </w:r>
            <w:r>
              <w:rPr>
                <w:spacing w:val="11"/>
                <w:sz w:val="21"/>
              </w:rPr>
              <w:t xml:space="preserve"> </w:t>
            </w:r>
            <w:r>
              <w:rPr>
                <w:sz w:val="21"/>
              </w:rPr>
              <w:t>-</w:t>
            </w:r>
            <w:r>
              <w:rPr>
                <w:spacing w:val="-2"/>
                <w:sz w:val="21"/>
              </w:rPr>
              <w:t>1.</w:t>
            </w:r>
            <w:proofErr w:type="gramStart"/>
            <w:r>
              <w:rPr>
                <w:spacing w:val="-2"/>
                <w:sz w:val="21"/>
              </w:rPr>
              <w:t>00)*</w:t>
            </w:r>
            <w:proofErr w:type="gramEnd"/>
            <w:r>
              <w:rPr>
                <w:spacing w:val="-2"/>
                <w:sz w:val="21"/>
              </w:rPr>
              <w:t>*</w:t>
            </w:r>
          </w:p>
        </w:tc>
      </w:tr>
      <w:tr w:rsidR="001825E2" w14:paraId="50CDF87C" w14:textId="77777777">
        <w:trPr>
          <w:trHeight w:val="435"/>
        </w:trPr>
        <w:tc>
          <w:tcPr>
            <w:tcW w:w="2550" w:type="dxa"/>
          </w:tcPr>
          <w:p w14:paraId="1F22E400" w14:textId="77777777" w:rsidR="001825E2" w:rsidRDefault="000839A5" w:rsidP="00CB00A7">
            <w:pPr>
              <w:pStyle w:val="TableParagraph"/>
              <w:spacing w:before="104"/>
              <w:jc w:val="left"/>
              <w:rPr>
                <w:sz w:val="21"/>
              </w:rPr>
            </w:pPr>
            <w:proofErr w:type="spellStart"/>
            <w:proofErr w:type="gramStart"/>
            <w:r>
              <w:rPr>
                <w:spacing w:val="-2"/>
                <w:sz w:val="21"/>
              </w:rPr>
              <w:t>BASMI</w:t>
            </w:r>
            <w:r>
              <w:rPr>
                <w:spacing w:val="-2"/>
                <w:sz w:val="21"/>
                <w:vertAlign w:val="superscript"/>
              </w:rPr>
              <w:t>e</w:t>
            </w:r>
            <w:proofErr w:type="spellEnd"/>
            <w:r>
              <w:rPr>
                <w:spacing w:val="-2"/>
                <w:sz w:val="21"/>
                <w:vertAlign w:val="superscript"/>
              </w:rPr>
              <w:t>,</w:t>
            </w:r>
            <w:r>
              <w:rPr>
                <w:spacing w:val="-2"/>
                <w:sz w:val="21"/>
              </w:rPr>
              <w:t>*</w:t>
            </w:r>
            <w:proofErr w:type="gramEnd"/>
          </w:p>
        </w:tc>
        <w:tc>
          <w:tcPr>
            <w:tcW w:w="960" w:type="dxa"/>
          </w:tcPr>
          <w:p w14:paraId="189194AA" w14:textId="77777777" w:rsidR="001825E2" w:rsidRDefault="000839A5" w:rsidP="00CB00A7">
            <w:pPr>
              <w:pStyle w:val="TableParagraph"/>
              <w:spacing w:before="104"/>
              <w:ind w:left="45" w:right="16"/>
              <w:jc w:val="left"/>
              <w:rPr>
                <w:sz w:val="21"/>
              </w:rPr>
            </w:pPr>
            <w:r>
              <w:rPr>
                <w:spacing w:val="-5"/>
                <w:sz w:val="21"/>
              </w:rPr>
              <w:t>4.4</w:t>
            </w:r>
          </w:p>
        </w:tc>
        <w:tc>
          <w:tcPr>
            <w:tcW w:w="1470" w:type="dxa"/>
          </w:tcPr>
          <w:p w14:paraId="24010E3C" w14:textId="77777777" w:rsidR="001825E2" w:rsidRDefault="000839A5" w:rsidP="00CB00A7">
            <w:pPr>
              <w:pStyle w:val="TableParagraph"/>
              <w:spacing w:before="104"/>
              <w:ind w:left="49" w:right="27"/>
              <w:jc w:val="left"/>
              <w:rPr>
                <w:sz w:val="21"/>
              </w:rPr>
            </w:pPr>
            <w:r>
              <w:rPr>
                <w:sz w:val="21"/>
              </w:rPr>
              <w:t>-</w:t>
            </w:r>
            <w:r>
              <w:rPr>
                <w:spacing w:val="-5"/>
                <w:sz w:val="21"/>
              </w:rPr>
              <w:t>0.1</w:t>
            </w:r>
          </w:p>
        </w:tc>
        <w:tc>
          <w:tcPr>
            <w:tcW w:w="975" w:type="dxa"/>
          </w:tcPr>
          <w:p w14:paraId="578BCA6B" w14:textId="77777777" w:rsidR="001825E2" w:rsidRDefault="000839A5" w:rsidP="00CB00A7">
            <w:pPr>
              <w:pStyle w:val="TableParagraph"/>
              <w:spacing w:before="104"/>
              <w:ind w:left="44"/>
              <w:jc w:val="left"/>
              <w:rPr>
                <w:sz w:val="21"/>
              </w:rPr>
            </w:pPr>
            <w:r>
              <w:rPr>
                <w:spacing w:val="-5"/>
                <w:sz w:val="21"/>
              </w:rPr>
              <w:t>4.5</w:t>
            </w:r>
          </w:p>
        </w:tc>
        <w:tc>
          <w:tcPr>
            <w:tcW w:w="1470" w:type="dxa"/>
          </w:tcPr>
          <w:p w14:paraId="28E154AC" w14:textId="77777777" w:rsidR="001825E2" w:rsidRDefault="000839A5" w:rsidP="00CB00A7">
            <w:pPr>
              <w:pStyle w:val="TableParagraph"/>
              <w:spacing w:before="104"/>
              <w:ind w:left="49" w:right="35"/>
              <w:jc w:val="left"/>
              <w:rPr>
                <w:sz w:val="21"/>
              </w:rPr>
            </w:pPr>
            <w:r>
              <w:rPr>
                <w:sz w:val="21"/>
              </w:rPr>
              <w:t>-</w:t>
            </w:r>
            <w:r>
              <w:rPr>
                <w:spacing w:val="-5"/>
                <w:sz w:val="21"/>
              </w:rPr>
              <w:t>0.6</w:t>
            </w:r>
          </w:p>
        </w:tc>
        <w:tc>
          <w:tcPr>
            <w:tcW w:w="1980" w:type="dxa"/>
          </w:tcPr>
          <w:p w14:paraId="677A103E" w14:textId="77777777" w:rsidR="001825E2" w:rsidRDefault="000839A5" w:rsidP="00CB00A7">
            <w:pPr>
              <w:pStyle w:val="TableParagraph"/>
              <w:spacing w:before="104"/>
              <w:ind w:left="44"/>
              <w:jc w:val="left"/>
              <w:rPr>
                <w:sz w:val="21"/>
              </w:rPr>
            </w:pPr>
            <w:r>
              <w:rPr>
                <w:sz w:val="21"/>
              </w:rPr>
              <w:t>-0.5 (</w:t>
            </w:r>
            <w:r>
              <w:rPr>
                <w:spacing w:val="7"/>
                <w:sz w:val="21"/>
              </w:rPr>
              <w:t xml:space="preserve"> </w:t>
            </w:r>
            <w:r>
              <w:rPr>
                <w:sz w:val="21"/>
              </w:rPr>
              <w:t>-0.67,</w:t>
            </w:r>
            <w:r>
              <w:rPr>
                <w:spacing w:val="11"/>
                <w:sz w:val="21"/>
              </w:rPr>
              <w:t xml:space="preserve"> </w:t>
            </w:r>
            <w:r>
              <w:rPr>
                <w:sz w:val="21"/>
              </w:rPr>
              <w:t>-</w:t>
            </w:r>
            <w:r>
              <w:rPr>
                <w:spacing w:val="-2"/>
                <w:sz w:val="21"/>
              </w:rPr>
              <w:t>0.</w:t>
            </w:r>
            <w:proofErr w:type="gramStart"/>
            <w:r>
              <w:rPr>
                <w:spacing w:val="-2"/>
                <w:sz w:val="21"/>
              </w:rPr>
              <w:t>37)*</w:t>
            </w:r>
            <w:proofErr w:type="gramEnd"/>
            <w:r>
              <w:rPr>
                <w:spacing w:val="-2"/>
                <w:sz w:val="21"/>
              </w:rPr>
              <w:t>*</w:t>
            </w:r>
          </w:p>
        </w:tc>
      </w:tr>
      <w:tr w:rsidR="001825E2" w14:paraId="3D1C12CE" w14:textId="77777777">
        <w:trPr>
          <w:trHeight w:val="419"/>
        </w:trPr>
        <w:tc>
          <w:tcPr>
            <w:tcW w:w="2550" w:type="dxa"/>
          </w:tcPr>
          <w:p w14:paraId="08C27E59" w14:textId="77777777" w:rsidR="001825E2" w:rsidRDefault="000839A5" w:rsidP="00CB00A7">
            <w:pPr>
              <w:pStyle w:val="TableParagraph"/>
              <w:spacing w:before="89"/>
              <w:jc w:val="left"/>
              <w:rPr>
                <w:sz w:val="21"/>
              </w:rPr>
            </w:pPr>
            <w:proofErr w:type="spellStart"/>
            <w:proofErr w:type="gramStart"/>
            <w:r>
              <w:rPr>
                <w:sz w:val="21"/>
              </w:rPr>
              <w:t>hsCRP</w:t>
            </w:r>
            <w:r>
              <w:rPr>
                <w:sz w:val="21"/>
                <w:vertAlign w:val="superscript"/>
              </w:rPr>
              <w:t>f</w:t>
            </w:r>
            <w:proofErr w:type="spellEnd"/>
            <w:r>
              <w:rPr>
                <w:sz w:val="21"/>
                <w:vertAlign w:val="superscript"/>
              </w:rPr>
              <w:t>,</w:t>
            </w:r>
            <w:r>
              <w:rPr>
                <w:sz w:val="21"/>
              </w:rPr>
              <w:t>*</w:t>
            </w:r>
            <w:proofErr w:type="gramEnd"/>
            <w:r>
              <w:rPr>
                <w:spacing w:val="2"/>
                <w:sz w:val="21"/>
              </w:rPr>
              <w:t xml:space="preserve"> </w:t>
            </w:r>
            <w:r>
              <w:rPr>
                <w:spacing w:val="-2"/>
                <w:sz w:val="21"/>
              </w:rPr>
              <w:t>(mg/dL)</w:t>
            </w:r>
          </w:p>
        </w:tc>
        <w:tc>
          <w:tcPr>
            <w:tcW w:w="960" w:type="dxa"/>
          </w:tcPr>
          <w:p w14:paraId="2875D2E2" w14:textId="77777777" w:rsidR="001825E2" w:rsidRDefault="000839A5" w:rsidP="00CB00A7">
            <w:pPr>
              <w:pStyle w:val="TableParagraph"/>
              <w:spacing w:before="89"/>
              <w:ind w:left="45" w:right="15"/>
              <w:jc w:val="left"/>
              <w:rPr>
                <w:sz w:val="21"/>
              </w:rPr>
            </w:pPr>
            <w:r>
              <w:rPr>
                <w:spacing w:val="-5"/>
                <w:sz w:val="21"/>
              </w:rPr>
              <w:t>1.8</w:t>
            </w:r>
          </w:p>
        </w:tc>
        <w:tc>
          <w:tcPr>
            <w:tcW w:w="1470" w:type="dxa"/>
          </w:tcPr>
          <w:p w14:paraId="4B27E491" w14:textId="77777777" w:rsidR="001825E2" w:rsidRDefault="000839A5" w:rsidP="00CB00A7">
            <w:pPr>
              <w:pStyle w:val="TableParagraph"/>
              <w:spacing w:before="89"/>
              <w:ind w:left="49" w:right="34"/>
              <w:jc w:val="left"/>
              <w:rPr>
                <w:sz w:val="21"/>
              </w:rPr>
            </w:pPr>
            <w:r>
              <w:rPr>
                <w:sz w:val="21"/>
              </w:rPr>
              <w:t>-</w:t>
            </w:r>
            <w:r>
              <w:rPr>
                <w:spacing w:val="-5"/>
                <w:sz w:val="21"/>
              </w:rPr>
              <w:t>0.1</w:t>
            </w:r>
          </w:p>
        </w:tc>
        <w:tc>
          <w:tcPr>
            <w:tcW w:w="975" w:type="dxa"/>
          </w:tcPr>
          <w:p w14:paraId="54787EEB" w14:textId="77777777" w:rsidR="001825E2" w:rsidRDefault="000839A5" w:rsidP="00CB00A7">
            <w:pPr>
              <w:pStyle w:val="TableParagraph"/>
              <w:spacing w:before="89"/>
              <w:ind w:left="44"/>
              <w:jc w:val="left"/>
              <w:rPr>
                <w:sz w:val="21"/>
              </w:rPr>
            </w:pPr>
            <w:r>
              <w:rPr>
                <w:spacing w:val="-5"/>
                <w:sz w:val="21"/>
              </w:rPr>
              <w:t>1.6</w:t>
            </w:r>
          </w:p>
        </w:tc>
        <w:tc>
          <w:tcPr>
            <w:tcW w:w="1470" w:type="dxa"/>
          </w:tcPr>
          <w:p w14:paraId="2DA9DAF5" w14:textId="77777777" w:rsidR="001825E2" w:rsidRDefault="000839A5" w:rsidP="00CB00A7">
            <w:pPr>
              <w:pStyle w:val="TableParagraph"/>
              <w:spacing w:before="89"/>
              <w:ind w:left="49" w:right="27"/>
              <w:jc w:val="left"/>
              <w:rPr>
                <w:sz w:val="21"/>
              </w:rPr>
            </w:pPr>
            <w:r>
              <w:rPr>
                <w:sz w:val="21"/>
              </w:rPr>
              <w:t>-</w:t>
            </w:r>
            <w:r>
              <w:rPr>
                <w:spacing w:val="-5"/>
                <w:sz w:val="21"/>
              </w:rPr>
              <w:t>1.1</w:t>
            </w:r>
          </w:p>
        </w:tc>
        <w:tc>
          <w:tcPr>
            <w:tcW w:w="1980" w:type="dxa"/>
          </w:tcPr>
          <w:p w14:paraId="6841BDD2" w14:textId="77777777" w:rsidR="001825E2" w:rsidRDefault="000839A5" w:rsidP="00CB00A7">
            <w:pPr>
              <w:pStyle w:val="TableParagraph"/>
              <w:spacing w:before="89"/>
              <w:ind w:left="44"/>
              <w:jc w:val="left"/>
              <w:rPr>
                <w:sz w:val="21"/>
              </w:rPr>
            </w:pPr>
            <w:r>
              <w:rPr>
                <w:sz w:val="21"/>
              </w:rPr>
              <w:t>-1.0 (</w:t>
            </w:r>
            <w:r>
              <w:rPr>
                <w:spacing w:val="7"/>
                <w:sz w:val="21"/>
              </w:rPr>
              <w:t xml:space="preserve"> </w:t>
            </w:r>
            <w:r>
              <w:rPr>
                <w:sz w:val="21"/>
              </w:rPr>
              <w:t>-1.20,</w:t>
            </w:r>
            <w:r>
              <w:rPr>
                <w:spacing w:val="11"/>
                <w:sz w:val="21"/>
              </w:rPr>
              <w:t xml:space="preserve"> </w:t>
            </w:r>
            <w:r>
              <w:rPr>
                <w:sz w:val="21"/>
              </w:rPr>
              <w:t>-</w:t>
            </w:r>
            <w:r>
              <w:rPr>
                <w:spacing w:val="-2"/>
                <w:sz w:val="21"/>
              </w:rPr>
              <w:t>0.</w:t>
            </w:r>
            <w:proofErr w:type="gramStart"/>
            <w:r>
              <w:rPr>
                <w:spacing w:val="-2"/>
                <w:sz w:val="21"/>
              </w:rPr>
              <w:t>72)*</w:t>
            </w:r>
            <w:proofErr w:type="gramEnd"/>
            <w:r>
              <w:rPr>
                <w:spacing w:val="-2"/>
                <w:sz w:val="21"/>
              </w:rPr>
              <w:t>*</w:t>
            </w:r>
          </w:p>
        </w:tc>
      </w:tr>
      <w:tr w:rsidR="001825E2" w14:paraId="07354CA6" w14:textId="77777777">
        <w:trPr>
          <w:trHeight w:val="435"/>
        </w:trPr>
        <w:tc>
          <w:tcPr>
            <w:tcW w:w="2550" w:type="dxa"/>
          </w:tcPr>
          <w:p w14:paraId="790A49CA" w14:textId="77777777" w:rsidR="001825E2" w:rsidRDefault="000839A5" w:rsidP="00CB00A7">
            <w:pPr>
              <w:pStyle w:val="TableParagraph"/>
              <w:spacing w:before="104"/>
              <w:jc w:val="left"/>
              <w:rPr>
                <w:sz w:val="21"/>
              </w:rPr>
            </w:pPr>
            <w:proofErr w:type="spellStart"/>
            <w:proofErr w:type="gramStart"/>
            <w:r>
              <w:rPr>
                <w:spacing w:val="-2"/>
                <w:sz w:val="21"/>
              </w:rPr>
              <w:t>ASDAScrp</w:t>
            </w:r>
            <w:r>
              <w:rPr>
                <w:spacing w:val="-2"/>
                <w:sz w:val="21"/>
                <w:vertAlign w:val="superscript"/>
              </w:rPr>
              <w:t>g</w:t>
            </w:r>
            <w:proofErr w:type="spellEnd"/>
            <w:r>
              <w:rPr>
                <w:spacing w:val="-2"/>
                <w:sz w:val="21"/>
                <w:vertAlign w:val="superscript"/>
              </w:rPr>
              <w:t>,</w:t>
            </w:r>
            <w:r>
              <w:rPr>
                <w:spacing w:val="-2"/>
                <w:sz w:val="21"/>
              </w:rPr>
              <w:t>*</w:t>
            </w:r>
            <w:proofErr w:type="gramEnd"/>
          </w:p>
        </w:tc>
        <w:tc>
          <w:tcPr>
            <w:tcW w:w="960" w:type="dxa"/>
          </w:tcPr>
          <w:p w14:paraId="1ABDCC3C" w14:textId="77777777" w:rsidR="001825E2" w:rsidRDefault="000839A5" w:rsidP="00CB00A7">
            <w:pPr>
              <w:pStyle w:val="TableParagraph"/>
              <w:spacing w:before="104"/>
              <w:ind w:left="45" w:right="15"/>
              <w:jc w:val="left"/>
              <w:rPr>
                <w:sz w:val="21"/>
              </w:rPr>
            </w:pPr>
            <w:r>
              <w:rPr>
                <w:spacing w:val="-5"/>
                <w:sz w:val="21"/>
              </w:rPr>
              <w:t>3.9</w:t>
            </w:r>
          </w:p>
        </w:tc>
        <w:tc>
          <w:tcPr>
            <w:tcW w:w="1470" w:type="dxa"/>
          </w:tcPr>
          <w:p w14:paraId="7E50EB64" w14:textId="77777777" w:rsidR="001825E2" w:rsidRDefault="000839A5" w:rsidP="00CB00A7">
            <w:pPr>
              <w:pStyle w:val="TableParagraph"/>
              <w:spacing w:before="104"/>
              <w:ind w:left="49" w:right="35"/>
              <w:jc w:val="left"/>
              <w:rPr>
                <w:sz w:val="21"/>
              </w:rPr>
            </w:pPr>
            <w:r>
              <w:rPr>
                <w:sz w:val="21"/>
              </w:rPr>
              <w:t>-</w:t>
            </w:r>
            <w:r>
              <w:rPr>
                <w:spacing w:val="-5"/>
                <w:sz w:val="21"/>
              </w:rPr>
              <w:t>0.4</w:t>
            </w:r>
          </w:p>
        </w:tc>
        <w:tc>
          <w:tcPr>
            <w:tcW w:w="975" w:type="dxa"/>
          </w:tcPr>
          <w:p w14:paraId="0163541E" w14:textId="77777777" w:rsidR="001825E2" w:rsidRDefault="000839A5" w:rsidP="00CB00A7">
            <w:pPr>
              <w:pStyle w:val="TableParagraph"/>
              <w:spacing w:before="104"/>
              <w:ind w:left="44"/>
              <w:jc w:val="left"/>
              <w:rPr>
                <w:sz w:val="21"/>
              </w:rPr>
            </w:pPr>
            <w:r>
              <w:rPr>
                <w:spacing w:val="-5"/>
                <w:sz w:val="21"/>
              </w:rPr>
              <w:t>3.8</w:t>
            </w:r>
          </w:p>
        </w:tc>
        <w:tc>
          <w:tcPr>
            <w:tcW w:w="1470" w:type="dxa"/>
          </w:tcPr>
          <w:p w14:paraId="5A9EAEE1" w14:textId="77777777" w:rsidR="001825E2" w:rsidRDefault="000839A5" w:rsidP="00CB00A7">
            <w:pPr>
              <w:pStyle w:val="TableParagraph"/>
              <w:spacing w:before="104"/>
              <w:ind w:left="49" w:right="35"/>
              <w:jc w:val="left"/>
              <w:rPr>
                <w:sz w:val="21"/>
              </w:rPr>
            </w:pPr>
            <w:r>
              <w:rPr>
                <w:sz w:val="21"/>
              </w:rPr>
              <w:t>-</w:t>
            </w:r>
            <w:r>
              <w:rPr>
                <w:spacing w:val="-5"/>
                <w:sz w:val="21"/>
              </w:rPr>
              <w:t>1.4</w:t>
            </w:r>
          </w:p>
        </w:tc>
        <w:tc>
          <w:tcPr>
            <w:tcW w:w="1980" w:type="dxa"/>
          </w:tcPr>
          <w:p w14:paraId="14A7DF7C" w14:textId="77777777" w:rsidR="001825E2" w:rsidRDefault="000839A5" w:rsidP="00CB00A7">
            <w:pPr>
              <w:pStyle w:val="TableParagraph"/>
              <w:spacing w:before="104"/>
              <w:ind w:left="44" w:right="15"/>
              <w:jc w:val="left"/>
              <w:rPr>
                <w:sz w:val="21"/>
              </w:rPr>
            </w:pPr>
            <w:r>
              <w:rPr>
                <w:sz w:val="21"/>
              </w:rPr>
              <w:t>-1.0 (</w:t>
            </w:r>
            <w:r>
              <w:rPr>
                <w:spacing w:val="7"/>
                <w:sz w:val="21"/>
              </w:rPr>
              <w:t xml:space="preserve"> </w:t>
            </w:r>
            <w:r>
              <w:rPr>
                <w:sz w:val="21"/>
              </w:rPr>
              <w:t>-1.16,</w:t>
            </w:r>
            <w:r>
              <w:rPr>
                <w:spacing w:val="11"/>
                <w:sz w:val="21"/>
              </w:rPr>
              <w:t xml:space="preserve"> </w:t>
            </w:r>
            <w:r>
              <w:rPr>
                <w:sz w:val="21"/>
              </w:rPr>
              <w:t>-</w:t>
            </w:r>
            <w:r>
              <w:rPr>
                <w:spacing w:val="-2"/>
                <w:sz w:val="21"/>
              </w:rPr>
              <w:t>0.</w:t>
            </w:r>
            <w:proofErr w:type="gramStart"/>
            <w:r>
              <w:rPr>
                <w:spacing w:val="-2"/>
                <w:sz w:val="21"/>
              </w:rPr>
              <w:t>79)*</w:t>
            </w:r>
            <w:proofErr w:type="gramEnd"/>
            <w:r>
              <w:rPr>
                <w:spacing w:val="-2"/>
                <w:sz w:val="21"/>
              </w:rPr>
              <w:t>*</w:t>
            </w:r>
          </w:p>
        </w:tc>
      </w:tr>
    </w:tbl>
    <w:p w14:paraId="22CA436A" w14:textId="77777777" w:rsidR="001825E2" w:rsidRDefault="000839A5" w:rsidP="00CB00A7">
      <w:pPr>
        <w:ind w:left="220"/>
        <w:rPr>
          <w:sz w:val="19"/>
        </w:rPr>
      </w:pPr>
      <w:r>
        <w:rPr>
          <w:sz w:val="19"/>
        </w:rPr>
        <w:t>*</w:t>
      </w:r>
      <w:r>
        <w:rPr>
          <w:spacing w:val="15"/>
          <w:sz w:val="19"/>
        </w:rPr>
        <w:t xml:space="preserve"> </w:t>
      </w:r>
      <w:proofErr w:type="gramStart"/>
      <w:r>
        <w:rPr>
          <w:sz w:val="19"/>
        </w:rPr>
        <w:t>type</w:t>
      </w:r>
      <w:proofErr w:type="gramEnd"/>
      <w:r>
        <w:rPr>
          <w:spacing w:val="-9"/>
          <w:sz w:val="19"/>
        </w:rPr>
        <w:t xml:space="preserve"> </w:t>
      </w:r>
      <w:r>
        <w:rPr>
          <w:sz w:val="19"/>
        </w:rPr>
        <w:t>I</w:t>
      </w:r>
      <w:r>
        <w:rPr>
          <w:spacing w:val="18"/>
          <w:sz w:val="19"/>
        </w:rPr>
        <w:t xml:space="preserve"> </w:t>
      </w:r>
      <w:r>
        <w:rPr>
          <w:sz w:val="19"/>
        </w:rPr>
        <w:t>error-</w:t>
      </w:r>
      <w:r>
        <w:rPr>
          <w:spacing w:val="-2"/>
          <w:sz w:val="19"/>
        </w:rPr>
        <w:t>controlled.</w:t>
      </w:r>
    </w:p>
    <w:p w14:paraId="4488FB72" w14:textId="77777777" w:rsidR="001825E2" w:rsidRDefault="000839A5" w:rsidP="00CB00A7">
      <w:pPr>
        <w:spacing w:before="12"/>
        <w:ind w:left="220"/>
        <w:rPr>
          <w:sz w:val="19"/>
        </w:rPr>
      </w:pPr>
      <w:r>
        <w:rPr>
          <w:sz w:val="19"/>
        </w:rPr>
        <w:t>**</w:t>
      </w:r>
      <w:r>
        <w:rPr>
          <w:spacing w:val="9"/>
          <w:sz w:val="19"/>
        </w:rPr>
        <w:t xml:space="preserve"> </w:t>
      </w:r>
      <w:r>
        <w:rPr>
          <w:sz w:val="19"/>
        </w:rPr>
        <w:t>p</w:t>
      </w:r>
      <w:r>
        <w:rPr>
          <w:spacing w:val="10"/>
          <w:sz w:val="19"/>
        </w:rPr>
        <w:t xml:space="preserve"> </w:t>
      </w:r>
      <w:r>
        <w:rPr>
          <w:sz w:val="19"/>
        </w:rPr>
        <w:t>&lt;</w:t>
      </w:r>
      <w:r>
        <w:rPr>
          <w:spacing w:val="12"/>
          <w:sz w:val="19"/>
        </w:rPr>
        <w:t xml:space="preserve"> </w:t>
      </w:r>
      <w:r>
        <w:rPr>
          <w:spacing w:val="-2"/>
          <w:sz w:val="19"/>
        </w:rPr>
        <w:t>0.0001.</w:t>
      </w:r>
    </w:p>
    <w:p w14:paraId="56231842" w14:textId="77777777" w:rsidR="001825E2" w:rsidRDefault="000839A5" w:rsidP="00CB00A7">
      <w:pPr>
        <w:spacing w:before="2"/>
        <w:ind w:left="220"/>
        <w:rPr>
          <w:sz w:val="19"/>
        </w:rPr>
      </w:pPr>
      <w:r>
        <w:rPr>
          <w:position w:val="6"/>
          <w:sz w:val="13"/>
        </w:rPr>
        <w:t>a</w:t>
      </w:r>
      <w:r>
        <w:rPr>
          <w:spacing w:val="7"/>
          <w:position w:val="6"/>
          <w:sz w:val="13"/>
        </w:rPr>
        <w:t xml:space="preserve"> </w:t>
      </w:r>
      <w:r>
        <w:rPr>
          <w:sz w:val="19"/>
        </w:rPr>
        <w:t>Measured</w:t>
      </w:r>
      <w:r>
        <w:rPr>
          <w:spacing w:val="3"/>
          <w:sz w:val="19"/>
        </w:rPr>
        <w:t xml:space="preserve"> </w:t>
      </w:r>
      <w:r>
        <w:rPr>
          <w:sz w:val="19"/>
        </w:rPr>
        <w:t>on</w:t>
      </w:r>
      <w:r>
        <w:rPr>
          <w:spacing w:val="23"/>
          <w:sz w:val="19"/>
        </w:rPr>
        <w:t xml:space="preserve"> </w:t>
      </w:r>
      <w:r>
        <w:rPr>
          <w:sz w:val="19"/>
        </w:rPr>
        <w:t>a</w:t>
      </w:r>
      <w:r>
        <w:rPr>
          <w:spacing w:val="17"/>
          <w:sz w:val="19"/>
        </w:rPr>
        <w:t xml:space="preserve"> </w:t>
      </w:r>
      <w:r>
        <w:rPr>
          <w:sz w:val="19"/>
        </w:rPr>
        <w:t>numerical rating</w:t>
      </w:r>
      <w:r>
        <w:rPr>
          <w:spacing w:val="3"/>
          <w:sz w:val="19"/>
        </w:rPr>
        <w:t xml:space="preserve"> </w:t>
      </w:r>
      <w:proofErr w:type="spellStart"/>
      <w:r>
        <w:rPr>
          <w:sz w:val="19"/>
        </w:rPr>
        <w:t>sca</w:t>
      </w:r>
      <w:proofErr w:type="spellEnd"/>
      <w:r>
        <w:rPr>
          <w:spacing w:val="-23"/>
          <w:sz w:val="19"/>
        </w:rPr>
        <w:t xml:space="preserve"> </w:t>
      </w:r>
      <w:r>
        <w:rPr>
          <w:sz w:val="19"/>
        </w:rPr>
        <w:t>le</w:t>
      </w:r>
      <w:r>
        <w:rPr>
          <w:spacing w:val="17"/>
          <w:sz w:val="19"/>
        </w:rPr>
        <w:t xml:space="preserve"> </w:t>
      </w:r>
      <w:r>
        <w:rPr>
          <w:sz w:val="19"/>
        </w:rPr>
        <w:t>with</w:t>
      </w:r>
      <w:r>
        <w:rPr>
          <w:spacing w:val="43"/>
          <w:sz w:val="19"/>
        </w:rPr>
        <w:t xml:space="preserve"> </w:t>
      </w:r>
      <w:r>
        <w:rPr>
          <w:sz w:val="19"/>
        </w:rPr>
        <w:t>0</w:t>
      </w:r>
      <w:r>
        <w:rPr>
          <w:spacing w:val="22"/>
          <w:sz w:val="19"/>
        </w:rPr>
        <w:t xml:space="preserve"> </w:t>
      </w:r>
      <w:r>
        <w:rPr>
          <w:sz w:val="19"/>
        </w:rPr>
        <w:t>=</w:t>
      </w:r>
      <w:r>
        <w:rPr>
          <w:spacing w:val="26"/>
          <w:sz w:val="19"/>
        </w:rPr>
        <w:t xml:space="preserve"> </w:t>
      </w:r>
      <w:r>
        <w:rPr>
          <w:sz w:val="19"/>
        </w:rPr>
        <w:t>not active</w:t>
      </w:r>
      <w:r>
        <w:rPr>
          <w:spacing w:val="-2"/>
          <w:sz w:val="19"/>
        </w:rPr>
        <w:t xml:space="preserve"> </w:t>
      </w:r>
      <w:r>
        <w:rPr>
          <w:sz w:val="19"/>
        </w:rPr>
        <w:t>or</w:t>
      </w:r>
      <w:r>
        <w:rPr>
          <w:spacing w:val="26"/>
          <w:sz w:val="19"/>
        </w:rPr>
        <w:t xml:space="preserve"> </w:t>
      </w:r>
      <w:r>
        <w:rPr>
          <w:sz w:val="19"/>
        </w:rPr>
        <w:t>no</w:t>
      </w:r>
      <w:r>
        <w:rPr>
          <w:spacing w:val="22"/>
          <w:sz w:val="19"/>
        </w:rPr>
        <w:t xml:space="preserve"> </w:t>
      </w:r>
      <w:r>
        <w:rPr>
          <w:sz w:val="19"/>
        </w:rPr>
        <w:t>pain,</w:t>
      </w:r>
      <w:r>
        <w:rPr>
          <w:spacing w:val="-13"/>
          <w:sz w:val="19"/>
        </w:rPr>
        <w:t xml:space="preserve"> </w:t>
      </w:r>
      <w:r>
        <w:rPr>
          <w:sz w:val="19"/>
        </w:rPr>
        <w:t>10</w:t>
      </w:r>
      <w:r>
        <w:rPr>
          <w:spacing w:val="23"/>
          <w:sz w:val="19"/>
        </w:rPr>
        <w:t xml:space="preserve"> </w:t>
      </w:r>
      <w:r>
        <w:rPr>
          <w:sz w:val="19"/>
        </w:rPr>
        <w:t>=</w:t>
      </w:r>
      <w:r>
        <w:rPr>
          <w:spacing w:val="26"/>
          <w:sz w:val="19"/>
        </w:rPr>
        <w:t xml:space="preserve"> </w:t>
      </w:r>
      <w:r>
        <w:rPr>
          <w:sz w:val="19"/>
        </w:rPr>
        <w:t>very</w:t>
      </w:r>
      <w:r>
        <w:rPr>
          <w:spacing w:val="23"/>
          <w:sz w:val="19"/>
        </w:rPr>
        <w:t xml:space="preserve"> </w:t>
      </w:r>
      <w:r>
        <w:rPr>
          <w:sz w:val="19"/>
        </w:rPr>
        <w:t>active</w:t>
      </w:r>
      <w:r>
        <w:rPr>
          <w:spacing w:val="-4"/>
          <w:sz w:val="19"/>
        </w:rPr>
        <w:t xml:space="preserve"> </w:t>
      </w:r>
      <w:r>
        <w:rPr>
          <w:sz w:val="19"/>
        </w:rPr>
        <w:t>or</w:t>
      </w:r>
      <w:r>
        <w:rPr>
          <w:spacing w:val="6"/>
          <w:sz w:val="19"/>
        </w:rPr>
        <w:t xml:space="preserve"> </w:t>
      </w:r>
      <w:r>
        <w:rPr>
          <w:sz w:val="19"/>
        </w:rPr>
        <w:t>most</w:t>
      </w:r>
      <w:r>
        <w:rPr>
          <w:spacing w:val="21"/>
          <w:sz w:val="19"/>
        </w:rPr>
        <w:t xml:space="preserve"> </w:t>
      </w:r>
      <w:r>
        <w:rPr>
          <w:sz w:val="19"/>
        </w:rPr>
        <w:t>severe</w:t>
      </w:r>
      <w:r>
        <w:rPr>
          <w:spacing w:val="16"/>
          <w:sz w:val="19"/>
        </w:rPr>
        <w:t xml:space="preserve"> </w:t>
      </w:r>
      <w:proofErr w:type="spellStart"/>
      <w:r>
        <w:rPr>
          <w:sz w:val="19"/>
        </w:rPr>
        <w:t>pa</w:t>
      </w:r>
      <w:r>
        <w:rPr>
          <w:spacing w:val="-24"/>
          <w:sz w:val="19"/>
        </w:rPr>
        <w:t xml:space="preserve"> </w:t>
      </w:r>
      <w:r>
        <w:rPr>
          <w:spacing w:val="-5"/>
          <w:sz w:val="19"/>
        </w:rPr>
        <w:t>in</w:t>
      </w:r>
      <w:proofErr w:type="spellEnd"/>
      <w:r>
        <w:rPr>
          <w:spacing w:val="-5"/>
          <w:sz w:val="19"/>
        </w:rPr>
        <w:t>.</w:t>
      </w:r>
    </w:p>
    <w:p w14:paraId="1B667FA2" w14:textId="77777777" w:rsidR="001825E2" w:rsidRDefault="000839A5" w:rsidP="00CB00A7">
      <w:pPr>
        <w:spacing w:before="3" w:line="264" w:lineRule="auto"/>
        <w:ind w:left="220" w:right="745"/>
        <w:rPr>
          <w:sz w:val="19"/>
        </w:rPr>
      </w:pPr>
      <w:r>
        <w:rPr>
          <w:position w:val="6"/>
          <w:sz w:val="13"/>
        </w:rPr>
        <w:t>b</w:t>
      </w:r>
      <w:r>
        <w:rPr>
          <w:spacing w:val="26"/>
          <w:position w:val="6"/>
          <w:sz w:val="13"/>
        </w:rPr>
        <w:t xml:space="preserve"> </w:t>
      </w:r>
      <w:r>
        <w:rPr>
          <w:sz w:val="19"/>
        </w:rPr>
        <w:t>Bath Ankylosing</w:t>
      </w:r>
      <w:r>
        <w:rPr>
          <w:spacing w:val="35"/>
          <w:sz w:val="19"/>
        </w:rPr>
        <w:t xml:space="preserve"> </w:t>
      </w:r>
      <w:r>
        <w:rPr>
          <w:sz w:val="19"/>
        </w:rPr>
        <w:t>Spondylitis</w:t>
      </w:r>
      <w:r>
        <w:rPr>
          <w:spacing w:val="40"/>
          <w:sz w:val="19"/>
        </w:rPr>
        <w:t xml:space="preserve"> </w:t>
      </w:r>
      <w:r>
        <w:rPr>
          <w:sz w:val="19"/>
        </w:rPr>
        <w:t>Functional</w:t>
      </w:r>
      <w:r>
        <w:rPr>
          <w:spacing w:val="-16"/>
          <w:sz w:val="19"/>
        </w:rPr>
        <w:t xml:space="preserve"> </w:t>
      </w:r>
      <w:r>
        <w:rPr>
          <w:sz w:val="19"/>
        </w:rPr>
        <w:t>Index measured on a</w:t>
      </w:r>
      <w:r>
        <w:rPr>
          <w:spacing w:val="27"/>
          <w:sz w:val="19"/>
        </w:rPr>
        <w:t xml:space="preserve"> </w:t>
      </w:r>
      <w:r>
        <w:rPr>
          <w:sz w:val="19"/>
        </w:rPr>
        <w:t>numerical rating scale</w:t>
      </w:r>
      <w:r>
        <w:rPr>
          <w:spacing w:val="27"/>
          <w:sz w:val="19"/>
        </w:rPr>
        <w:t xml:space="preserve"> </w:t>
      </w:r>
      <w:r>
        <w:rPr>
          <w:sz w:val="19"/>
        </w:rPr>
        <w:t>with</w:t>
      </w:r>
      <w:r>
        <w:rPr>
          <w:spacing w:val="40"/>
          <w:sz w:val="19"/>
        </w:rPr>
        <w:t xml:space="preserve"> </w:t>
      </w:r>
      <w:r>
        <w:rPr>
          <w:sz w:val="19"/>
        </w:rPr>
        <w:t>0</w:t>
      </w:r>
      <w:r>
        <w:rPr>
          <w:spacing w:val="35"/>
          <w:sz w:val="19"/>
        </w:rPr>
        <w:t xml:space="preserve"> </w:t>
      </w:r>
      <w:r>
        <w:rPr>
          <w:sz w:val="19"/>
        </w:rPr>
        <w:t>=</w:t>
      </w:r>
      <w:r>
        <w:rPr>
          <w:spacing w:val="38"/>
          <w:sz w:val="19"/>
        </w:rPr>
        <w:t xml:space="preserve"> </w:t>
      </w:r>
      <w:r>
        <w:rPr>
          <w:sz w:val="19"/>
        </w:rPr>
        <w:t>easy and 10</w:t>
      </w:r>
      <w:r>
        <w:rPr>
          <w:spacing w:val="35"/>
          <w:sz w:val="19"/>
        </w:rPr>
        <w:t xml:space="preserve"> </w:t>
      </w:r>
      <w:r>
        <w:rPr>
          <w:sz w:val="19"/>
        </w:rPr>
        <w:t xml:space="preserve">= </w:t>
      </w:r>
      <w:r>
        <w:rPr>
          <w:spacing w:val="-2"/>
          <w:sz w:val="19"/>
        </w:rPr>
        <w:t>impossible.</w:t>
      </w:r>
    </w:p>
    <w:p w14:paraId="463B33A8" w14:textId="77777777" w:rsidR="001825E2" w:rsidRDefault="001825E2" w:rsidP="00CB00A7">
      <w:pPr>
        <w:spacing w:line="264" w:lineRule="auto"/>
        <w:rPr>
          <w:sz w:val="19"/>
        </w:rPr>
        <w:sectPr w:rsidR="001825E2">
          <w:pgSz w:w="11910" w:h="16850"/>
          <w:pgMar w:top="1360" w:right="700" w:bottom="980" w:left="1220" w:header="0" w:footer="785" w:gutter="0"/>
          <w:cols w:space="720"/>
        </w:sect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50"/>
        <w:gridCol w:w="960"/>
        <w:gridCol w:w="1470"/>
        <w:gridCol w:w="975"/>
        <w:gridCol w:w="1470"/>
        <w:gridCol w:w="1980"/>
      </w:tblGrid>
      <w:tr w:rsidR="001825E2" w14:paraId="05AB4BC7" w14:textId="77777777">
        <w:trPr>
          <w:trHeight w:val="990"/>
        </w:trPr>
        <w:tc>
          <w:tcPr>
            <w:tcW w:w="2550" w:type="dxa"/>
          </w:tcPr>
          <w:p w14:paraId="68398AA5" w14:textId="77777777" w:rsidR="001825E2" w:rsidRDefault="001825E2" w:rsidP="00CB00A7">
            <w:pPr>
              <w:pStyle w:val="TableParagraph"/>
              <w:ind w:left="0"/>
              <w:jc w:val="left"/>
              <w:rPr>
                <w:sz w:val="20"/>
              </w:rPr>
            </w:pPr>
          </w:p>
        </w:tc>
        <w:tc>
          <w:tcPr>
            <w:tcW w:w="2430" w:type="dxa"/>
            <w:gridSpan w:val="2"/>
          </w:tcPr>
          <w:p w14:paraId="0288DB40" w14:textId="77777777" w:rsidR="001825E2" w:rsidRDefault="000839A5" w:rsidP="00CB00A7">
            <w:pPr>
              <w:pStyle w:val="TableParagraph"/>
              <w:spacing w:before="4" w:line="355" w:lineRule="auto"/>
              <w:ind w:left="817" w:right="137" w:firstLine="15"/>
              <w:jc w:val="left"/>
              <w:rPr>
                <w:b/>
              </w:rPr>
            </w:pPr>
            <w:r>
              <w:rPr>
                <w:b/>
                <w:spacing w:val="-2"/>
              </w:rPr>
              <w:t>Placebo (N=136)</w:t>
            </w:r>
          </w:p>
        </w:tc>
        <w:tc>
          <w:tcPr>
            <w:tcW w:w="2445" w:type="dxa"/>
            <w:gridSpan w:val="2"/>
          </w:tcPr>
          <w:p w14:paraId="574FCAAA" w14:textId="77777777" w:rsidR="001825E2" w:rsidRDefault="000839A5" w:rsidP="00CB00A7">
            <w:pPr>
              <w:pStyle w:val="TableParagraph"/>
              <w:spacing w:before="4" w:line="242" w:lineRule="auto"/>
              <w:ind w:left="52" w:right="25"/>
              <w:jc w:val="left"/>
              <w:rPr>
                <w:b/>
              </w:rPr>
            </w:pPr>
            <w:r>
              <w:rPr>
                <w:b/>
              </w:rPr>
              <w:t>XELJANZ</w:t>
            </w:r>
            <w:r>
              <w:rPr>
                <w:b/>
                <w:spacing w:val="-4"/>
              </w:rPr>
              <w:t xml:space="preserve"> </w:t>
            </w:r>
            <w:r>
              <w:rPr>
                <w:b/>
              </w:rPr>
              <w:t xml:space="preserve">5 mg Twice </w:t>
            </w:r>
            <w:r>
              <w:rPr>
                <w:b/>
                <w:spacing w:val="-2"/>
              </w:rPr>
              <w:t>Daily</w:t>
            </w:r>
          </w:p>
          <w:p w14:paraId="2B1EC03E" w14:textId="77777777" w:rsidR="001825E2" w:rsidRDefault="000839A5" w:rsidP="00CB00A7">
            <w:pPr>
              <w:pStyle w:val="TableParagraph"/>
              <w:spacing w:before="104"/>
              <w:ind w:left="52"/>
              <w:jc w:val="left"/>
              <w:rPr>
                <w:b/>
              </w:rPr>
            </w:pPr>
            <w:r>
              <w:rPr>
                <w:b/>
                <w:spacing w:val="-2"/>
              </w:rPr>
              <w:t>(N=133)</w:t>
            </w:r>
          </w:p>
        </w:tc>
        <w:tc>
          <w:tcPr>
            <w:tcW w:w="1980" w:type="dxa"/>
          </w:tcPr>
          <w:p w14:paraId="55C1C4E4" w14:textId="77777777" w:rsidR="001825E2" w:rsidRDefault="001825E2" w:rsidP="00CB00A7">
            <w:pPr>
              <w:pStyle w:val="TableParagraph"/>
              <w:ind w:left="0"/>
              <w:jc w:val="left"/>
              <w:rPr>
                <w:sz w:val="20"/>
              </w:rPr>
            </w:pPr>
          </w:p>
        </w:tc>
      </w:tr>
      <w:tr w:rsidR="001825E2" w14:paraId="2495D7D4" w14:textId="77777777">
        <w:trPr>
          <w:trHeight w:val="960"/>
        </w:trPr>
        <w:tc>
          <w:tcPr>
            <w:tcW w:w="2550" w:type="dxa"/>
          </w:tcPr>
          <w:p w14:paraId="1786C8D1" w14:textId="77777777" w:rsidR="001825E2" w:rsidRDefault="001825E2" w:rsidP="00CB00A7">
            <w:pPr>
              <w:pStyle w:val="TableParagraph"/>
              <w:ind w:left="0"/>
              <w:jc w:val="left"/>
              <w:rPr>
                <w:sz w:val="20"/>
              </w:rPr>
            </w:pPr>
          </w:p>
        </w:tc>
        <w:tc>
          <w:tcPr>
            <w:tcW w:w="960" w:type="dxa"/>
          </w:tcPr>
          <w:p w14:paraId="28D2C442" w14:textId="77777777" w:rsidR="001825E2" w:rsidRDefault="000839A5" w:rsidP="00CB00A7">
            <w:pPr>
              <w:pStyle w:val="TableParagraph"/>
              <w:ind w:left="172" w:right="82" w:hanging="60"/>
              <w:jc w:val="left"/>
              <w:rPr>
                <w:b/>
                <w:sz w:val="21"/>
              </w:rPr>
            </w:pPr>
            <w:r>
              <w:rPr>
                <w:b/>
                <w:spacing w:val="-2"/>
                <w:sz w:val="21"/>
              </w:rPr>
              <w:t>Baseline (mean)</w:t>
            </w:r>
          </w:p>
        </w:tc>
        <w:tc>
          <w:tcPr>
            <w:tcW w:w="1470" w:type="dxa"/>
          </w:tcPr>
          <w:p w14:paraId="38BFD2A5" w14:textId="77777777" w:rsidR="001825E2" w:rsidRDefault="000839A5" w:rsidP="00CB00A7">
            <w:pPr>
              <w:pStyle w:val="TableParagraph"/>
              <w:spacing w:line="244" w:lineRule="auto"/>
              <w:ind w:right="87" w:firstLine="6"/>
              <w:jc w:val="left"/>
              <w:rPr>
                <w:b/>
                <w:sz w:val="19"/>
              </w:rPr>
            </w:pPr>
            <w:r>
              <w:rPr>
                <w:b/>
                <w:sz w:val="21"/>
              </w:rPr>
              <w:t xml:space="preserve">Week 16 </w:t>
            </w:r>
            <w:r>
              <w:rPr>
                <w:b/>
                <w:sz w:val="19"/>
              </w:rPr>
              <w:t>(LSM change from</w:t>
            </w:r>
            <w:r>
              <w:rPr>
                <w:b/>
                <w:spacing w:val="13"/>
                <w:sz w:val="19"/>
              </w:rPr>
              <w:t xml:space="preserve"> </w:t>
            </w:r>
            <w:r>
              <w:rPr>
                <w:b/>
                <w:spacing w:val="-2"/>
                <w:sz w:val="19"/>
              </w:rPr>
              <w:t>Baseline)</w:t>
            </w:r>
          </w:p>
        </w:tc>
        <w:tc>
          <w:tcPr>
            <w:tcW w:w="975" w:type="dxa"/>
          </w:tcPr>
          <w:p w14:paraId="3200E666" w14:textId="77777777" w:rsidR="001825E2" w:rsidRDefault="000839A5" w:rsidP="00CB00A7">
            <w:pPr>
              <w:pStyle w:val="TableParagraph"/>
              <w:ind w:left="187" w:right="82" w:hanging="60"/>
              <w:jc w:val="left"/>
              <w:rPr>
                <w:b/>
                <w:sz w:val="21"/>
              </w:rPr>
            </w:pPr>
            <w:r>
              <w:rPr>
                <w:b/>
                <w:spacing w:val="-2"/>
                <w:sz w:val="21"/>
              </w:rPr>
              <w:t>Baseline (mean)</w:t>
            </w:r>
          </w:p>
        </w:tc>
        <w:tc>
          <w:tcPr>
            <w:tcW w:w="1470" w:type="dxa"/>
          </w:tcPr>
          <w:p w14:paraId="6793A474" w14:textId="77777777" w:rsidR="001825E2" w:rsidRDefault="000839A5" w:rsidP="00CB00A7">
            <w:pPr>
              <w:pStyle w:val="TableParagraph"/>
              <w:spacing w:line="244" w:lineRule="auto"/>
              <w:ind w:right="86" w:firstLine="6"/>
              <w:jc w:val="left"/>
              <w:rPr>
                <w:b/>
                <w:sz w:val="19"/>
              </w:rPr>
            </w:pPr>
            <w:r>
              <w:rPr>
                <w:b/>
                <w:sz w:val="21"/>
              </w:rPr>
              <w:t xml:space="preserve">Week 16 </w:t>
            </w:r>
            <w:r>
              <w:rPr>
                <w:b/>
                <w:sz w:val="19"/>
              </w:rPr>
              <w:t>(LSM change from</w:t>
            </w:r>
            <w:r>
              <w:rPr>
                <w:b/>
                <w:spacing w:val="13"/>
                <w:sz w:val="19"/>
              </w:rPr>
              <w:t xml:space="preserve"> </w:t>
            </w:r>
            <w:r>
              <w:rPr>
                <w:b/>
                <w:spacing w:val="-2"/>
                <w:sz w:val="19"/>
              </w:rPr>
              <w:t>Baseline)</w:t>
            </w:r>
          </w:p>
        </w:tc>
        <w:tc>
          <w:tcPr>
            <w:tcW w:w="1980" w:type="dxa"/>
          </w:tcPr>
          <w:p w14:paraId="2618E855" w14:textId="77777777" w:rsidR="001825E2" w:rsidRDefault="000839A5" w:rsidP="00CB00A7">
            <w:pPr>
              <w:pStyle w:val="TableParagraph"/>
              <w:ind w:left="577" w:right="232" w:hanging="300"/>
              <w:jc w:val="left"/>
              <w:rPr>
                <w:b/>
                <w:sz w:val="21"/>
              </w:rPr>
            </w:pPr>
            <w:r>
              <w:rPr>
                <w:b/>
                <w:sz w:val="21"/>
              </w:rPr>
              <w:t>Difference</w:t>
            </w:r>
            <w:r>
              <w:rPr>
                <w:b/>
                <w:spacing w:val="-14"/>
                <w:sz w:val="21"/>
              </w:rPr>
              <w:t xml:space="preserve"> </w:t>
            </w:r>
            <w:r>
              <w:rPr>
                <w:b/>
                <w:sz w:val="21"/>
              </w:rPr>
              <w:t xml:space="preserve">from </w:t>
            </w:r>
            <w:r>
              <w:rPr>
                <w:b/>
                <w:spacing w:val="-2"/>
                <w:sz w:val="21"/>
              </w:rPr>
              <w:t xml:space="preserve">Placebo </w:t>
            </w:r>
            <w:r>
              <w:rPr>
                <w:b/>
                <w:sz w:val="21"/>
              </w:rPr>
              <w:t>(95%</w:t>
            </w:r>
            <w:r>
              <w:rPr>
                <w:b/>
                <w:spacing w:val="-4"/>
                <w:sz w:val="21"/>
              </w:rPr>
              <w:t xml:space="preserve"> </w:t>
            </w:r>
            <w:r>
              <w:rPr>
                <w:b/>
                <w:sz w:val="21"/>
              </w:rPr>
              <w:t>CI)</w:t>
            </w:r>
          </w:p>
        </w:tc>
      </w:tr>
    </w:tbl>
    <w:p w14:paraId="2385966A" w14:textId="77777777" w:rsidR="001825E2" w:rsidRDefault="000839A5" w:rsidP="00CB00A7">
      <w:pPr>
        <w:spacing w:before="13"/>
        <w:ind w:left="220"/>
        <w:rPr>
          <w:sz w:val="19"/>
        </w:rPr>
      </w:pPr>
      <w:r>
        <w:rPr>
          <w:position w:val="6"/>
          <w:sz w:val="13"/>
        </w:rPr>
        <w:t>c</w:t>
      </w:r>
      <w:r>
        <w:rPr>
          <w:spacing w:val="16"/>
          <w:position w:val="6"/>
          <w:sz w:val="13"/>
        </w:rPr>
        <w:t xml:space="preserve"> </w:t>
      </w:r>
      <w:r>
        <w:rPr>
          <w:sz w:val="19"/>
        </w:rPr>
        <w:t>Inflammation</w:t>
      </w:r>
      <w:r>
        <w:rPr>
          <w:spacing w:val="15"/>
          <w:sz w:val="19"/>
        </w:rPr>
        <w:t xml:space="preserve"> </w:t>
      </w:r>
      <w:r>
        <w:rPr>
          <w:sz w:val="19"/>
        </w:rPr>
        <w:t>is the</w:t>
      </w:r>
      <w:r>
        <w:rPr>
          <w:spacing w:val="32"/>
          <w:sz w:val="19"/>
        </w:rPr>
        <w:t xml:space="preserve"> </w:t>
      </w:r>
      <w:r>
        <w:rPr>
          <w:sz w:val="19"/>
        </w:rPr>
        <w:t>mean</w:t>
      </w:r>
      <w:r>
        <w:rPr>
          <w:spacing w:val="15"/>
          <w:sz w:val="19"/>
        </w:rPr>
        <w:t xml:space="preserve"> </w:t>
      </w:r>
      <w:r>
        <w:rPr>
          <w:sz w:val="19"/>
        </w:rPr>
        <w:t>of</w:t>
      </w:r>
      <w:r>
        <w:rPr>
          <w:spacing w:val="18"/>
          <w:sz w:val="19"/>
        </w:rPr>
        <w:t xml:space="preserve"> </w:t>
      </w:r>
      <w:r>
        <w:rPr>
          <w:sz w:val="19"/>
        </w:rPr>
        <w:t>two</w:t>
      </w:r>
      <w:r>
        <w:rPr>
          <w:spacing w:val="40"/>
          <w:sz w:val="19"/>
        </w:rPr>
        <w:t xml:space="preserve"> </w:t>
      </w:r>
      <w:r>
        <w:rPr>
          <w:sz w:val="19"/>
        </w:rPr>
        <w:t>patient-reported</w:t>
      </w:r>
      <w:r>
        <w:rPr>
          <w:spacing w:val="15"/>
          <w:sz w:val="19"/>
        </w:rPr>
        <w:t xml:space="preserve"> </w:t>
      </w:r>
      <w:r>
        <w:rPr>
          <w:sz w:val="19"/>
        </w:rPr>
        <w:t>stiffness self-a</w:t>
      </w:r>
      <w:r>
        <w:rPr>
          <w:spacing w:val="-18"/>
          <w:sz w:val="19"/>
        </w:rPr>
        <w:t xml:space="preserve"> </w:t>
      </w:r>
      <w:proofErr w:type="spellStart"/>
      <w:r>
        <w:rPr>
          <w:sz w:val="19"/>
        </w:rPr>
        <w:t>ssessments</w:t>
      </w:r>
      <w:proofErr w:type="spellEnd"/>
      <w:r>
        <w:rPr>
          <w:spacing w:val="25"/>
          <w:sz w:val="19"/>
        </w:rPr>
        <w:t xml:space="preserve"> </w:t>
      </w:r>
      <w:r>
        <w:rPr>
          <w:sz w:val="19"/>
        </w:rPr>
        <w:t>in</w:t>
      </w:r>
      <w:r>
        <w:rPr>
          <w:spacing w:val="40"/>
          <w:sz w:val="19"/>
        </w:rPr>
        <w:t xml:space="preserve"> </w:t>
      </w:r>
      <w:r>
        <w:rPr>
          <w:spacing w:val="-2"/>
          <w:sz w:val="19"/>
        </w:rPr>
        <w:t>BASDAI.</w:t>
      </w:r>
    </w:p>
    <w:p w14:paraId="56E83567" w14:textId="77777777" w:rsidR="001825E2" w:rsidRDefault="000839A5" w:rsidP="00CB00A7">
      <w:pPr>
        <w:spacing w:before="3"/>
        <w:ind w:left="220"/>
        <w:rPr>
          <w:sz w:val="19"/>
        </w:rPr>
      </w:pPr>
      <w:r>
        <w:rPr>
          <w:position w:val="6"/>
          <w:sz w:val="13"/>
        </w:rPr>
        <w:t>d</w:t>
      </w:r>
      <w:r>
        <w:rPr>
          <w:spacing w:val="20"/>
          <w:position w:val="6"/>
          <w:sz w:val="13"/>
        </w:rPr>
        <w:t xml:space="preserve"> </w:t>
      </w:r>
      <w:r>
        <w:rPr>
          <w:sz w:val="19"/>
        </w:rPr>
        <w:t>Bath</w:t>
      </w:r>
      <w:r>
        <w:rPr>
          <w:spacing w:val="6"/>
          <w:sz w:val="19"/>
        </w:rPr>
        <w:t xml:space="preserve"> </w:t>
      </w:r>
      <w:r>
        <w:rPr>
          <w:sz w:val="19"/>
        </w:rPr>
        <w:t>Ankylosing</w:t>
      </w:r>
      <w:r>
        <w:rPr>
          <w:spacing w:val="28"/>
          <w:sz w:val="19"/>
        </w:rPr>
        <w:t xml:space="preserve"> </w:t>
      </w:r>
      <w:r>
        <w:rPr>
          <w:sz w:val="19"/>
        </w:rPr>
        <w:t>Spondylitis</w:t>
      </w:r>
      <w:r>
        <w:rPr>
          <w:spacing w:val="36"/>
          <w:sz w:val="19"/>
        </w:rPr>
        <w:t xml:space="preserve"> </w:t>
      </w:r>
      <w:proofErr w:type="spellStart"/>
      <w:r>
        <w:rPr>
          <w:sz w:val="19"/>
        </w:rPr>
        <w:t>Disea</w:t>
      </w:r>
      <w:proofErr w:type="spellEnd"/>
      <w:r>
        <w:rPr>
          <w:spacing w:val="-23"/>
          <w:sz w:val="19"/>
        </w:rPr>
        <w:t xml:space="preserve"> </w:t>
      </w:r>
      <w:r>
        <w:rPr>
          <w:sz w:val="19"/>
        </w:rPr>
        <w:t>se</w:t>
      </w:r>
      <w:r>
        <w:rPr>
          <w:spacing w:val="41"/>
          <w:sz w:val="19"/>
        </w:rPr>
        <w:t xml:space="preserve"> </w:t>
      </w:r>
      <w:r>
        <w:rPr>
          <w:sz w:val="19"/>
        </w:rPr>
        <w:t>Activity</w:t>
      </w:r>
      <w:r>
        <w:rPr>
          <w:spacing w:val="49"/>
          <w:sz w:val="19"/>
        </w:rPr>
        <w:t xml:space="preserve"> </w:t>
      </w:r>
      <w:r>
        <w:rPr>
          <w:sz w:val="19"/>
        </w:rPr>
        <w:t>Index</w:t>
      </w:r>
      <w:r>
        <w:rPr>
          <w:spacing w:val="5"/>
          <w:sz w:val="19"/>
        </w:rPr>
        <w:t xml:space="preserve"> </w:t>
      </w:r>
      <w:r>
        <w:rPr>
          <w:sz w:val="19"/>
        </w:rPr>
        <w:t>total</w:t>
      </w:r>
      <w:r>
        <w:rPr>
          <w:spacing w:val="-19"/>
          <w:sz w:val="19"/>
        </w:rPr>
        <w:t xml:space="preserve"> </w:t>
      </w:r>
      <w:r>
        <w:rPr>
          <w:spacing w:val="-2"/>
          <w:sz w:val="19"/>
        </w:rPr>
        <w:t>score.</w:t>
      </w:r>
    </w:p>
    <w:p w14:paraId="2555828B" w14:textId="77777777" w:rsidR="001825E2" w:rsidRDefault="000839A5" w:rsidP="00CB00A7">
      <w:pPr>
        <w:spacing w:before="17"/>
        <w:ind w:left="220"/>
        <w:rPr>
          <w:sz w:val="19"/>
        </w:rPr>
      </w:pPr>
      <w:r>
        <w:rPr>
          <w:position w:val="6"/>
          <w:sz w:val="13"/>
        </w:rPr>
        <w:t>e</w:t>
      </w:r>
      <w:r>
        <w:rPr>
          <w:spacing w:val="9"/>
          <w:position w:val="6"/>
          <w:sz w:val="13"/>
        </w:rPr>
        <w:t xml:space="preserve"> </w:t>
      </w:r>
      <w:r>
        <w:rPr>
          <w:sz w:val="19"/>
        </w:rPr>
        <w:t>Bath</w:t>
      </w:r>
      <w:r>
        <w:rPr>
          <w:spacing w:val="6"/>
          <w:sz w:val="19"/>
        </w:rPr>
        <w:t xml:space="preserve"> </w:t>
      </w:r>
      <w:r>
        <w:rPr>
          <w:sz w:val="19"/>
        </w:rPr>
        <w:t>Ankylosing</w:t>
      </w:r>
      <w:r>
        <w:rPr>
          <w:spacing w:val="28"/>
          <w:sz w:val="19"/>
        </w:rPr>
        <w:t xml:space="preserve"> </w:t>
      </w:r>
      <w:r>
        <w:rPr>
          <w:sz w:val="19"/>
        </w:rPr>
        <w:t>Spondylitis</w:t>
      </w:r>
      <w:r>
        <w:rPr>
          <w:spacing w:val="36"/>
          <w:sz w:val="19"/>
        </w:rPr>
        <w:t xml:space="preserve"> </w:t>
      </w:r>
      <w:r>
        <w:rPr>
          <w:sz w:val="19"/>
        </w:rPr>
        <w:t>Metrology</w:t>
      </w:r>
      <w:r>
        <w:rPr>
          <w:spacing w:val="50"/>
          <w:sz w:val="19"/>
        </w:rPr>
        <w:t xml:space="preserve"> </w:t>
      </w:r>
      <w:r>
        <w:rPr>
          <w:spacing w:val="-2"/>
          <w:sz w:val="19"/>
        </w:rPr>
        <w:t>Index.</w:t>
      </w:r>
    </w:p>
    <w:p w14:paraId="5C7DC4F8" w14:textId="77777777" w:rsidR="001825E2" w:rsidRDefault="000839A5" w:rsidP="00CB00A7">
      <w:pPr>
        <w:spacing w:before="3"/>
        <w:ind w:left="220"/>
        <w:rPr>
          <w:sz w:val="19"/>
        </w:rPr>
      </w:pPr>
      <w:r>
        <w:rPr>
          <w:position w:val="6"/>
          <w:sz w:val="13"/>
        </w:rPr>
        <w:t>f</w:t>
      </w:r>
      <w:r>
        <w:rPr>
          <w:spacing w:val="3"/>
          <w:position w:val="6"/>
          <w:sz w:val="13"/>
        </w:rPr>
        <w:t xml:space="preserve"> </w:t>
      </w:r>
      <w:r>
        <w:rPr>
          <w:sz w:val="19"/>
        </w:rPr>
        <w:t>High</w:t>
      </w:r>
      <w:r>
        <w:rPr>
          <w:spacing w:val="35"/>
          <w:sz w:val="19"/>
        </w:rPr>
        <w:t xml:space="preserve"> </w:t>
      </w:r>
      <w:r>
        <w:rPr>
          <w:sz w:val="19"/>
        </w:rPr>
        <w:t>sensitivity</w:t>
      </w:r>
      <w:r>
        <w:rPr>
          <w:spacing w:val="34"/>
          <w:sz w:val="19"/>
        </w:rPr>
        <w:t xml:space="preserve"> </w:t>
      </w:r>
      <w:r>
        <w:rPr>
          <w:sz w:val="19"/>
        </w:rPr>
        <w:t>C-reactive</w:t>
      </w:r>
      <w:r>
        <w:rPr>
          <w:spacing w:val="12"/>
          <w:sz w:val="19"/>
        </w:rPr>
        <w:t xml:space="preserve"> </w:t>
      </w:r>
      <w:r>
        <w:rPr>
          <w:spacing w:val="-2"/>
          <w:sz w:val="19"/>
        </w:rPr>
        <w:t>protein.</w:t>
      </w:r>
    </w:p>
    <w:p w14:paraId="5FFA39F4" w14:textId="77777777" w:rsidR="001825E2" w:rsidRDefault="000839A5" w:rsidP="00CB00A7">
      <w:pPr>
        <w:spacing w:before="2" w:line="264" w:lineRule="auto"/>
        <w:ind w:left="220" w:right="4049"/>
        <w:rPr>
          <w:sz w:val="19"/>
        </w:rPr>
      </w:pPr>
      <w:r>
        <w:rPr>
          <w:position w:val="6"/>
          <w:sz w:val="13"/>
        </w:rPr>
        <w:t xml:space="preserve">g </w:t>
      </w:r>
      <w:r>
        <w:rPr>
          <w:sz w:val="19"/>
        </w:rPr>
        <w:t>Ankylosing Spondylitis Disease Activity</w:t>
      </w:r>
      <w:r>
        <w:rPr>
          <w:spacing w:val="40"/>
          <w:sz w:val="19"/>
        </w:rPr>
        <w:t xml:space="preserve"> </w:t>
      </w:r>
      <w:r>
        <w:rPr>
          <w:sz w:val="19"/>
        </w:rPr>
        <w:t>Score with</w:t>
      </w:r>
      <w:r>
        <w:rPr>
          <w:spacing w:val="40"/>
          <w:sz w:val="19"/>
        </w:rPr>
        <w:t xml:space="preserve"> </w:t>
      </w:r>
      <w:r>
        <w:rPr>
          <w:sz w:val="19"/>
        </w:rPr>
        <w:t>C-reactive protein. LSM</w:t>
      </w:r>
      <w:r>
        <w:rPr>
          <w:spacing w:val="40"/>
          <w:sz w:val="19"/>
        </w:rPr>
        <w:t xml:space="preserve"> </w:t>
      </w:r>
      <w:r>
        <w:rPr>
          <w:sz w:val="19"/>
        </w:rPr>
        <w:t>= lea</w:t>
      </w:r>
      <w:r>
        <w:rPr>
          <w:spacing w:val="-16"/>
          <w:sz w:val="19"/>
        </w:rPr>
        <w:t xml:space="preserve"> </w:t>
      </w:r>
      <w:proofErr w:type="spellStart"/>
      <w:r>
        <w:rPr>
          <w:sz w:val="19"/>
        </w:rPr>
        <w:t>st</w:t>
      </w:r>
      <w:proofErr w:type="spellEnd"/>
      <w:r>
        <w:rPr>
          <w:sz w:val="19"/>
        </w:rPr>
        <w:t xml:space="preserve"> </w:t>
      </w:r>
      <w:proofErr w:type="spellStart"/>
      <w:r>
        <w:rPr>
          <w:sz w:val="19"/>
        </w:rPr>
        <w:t>squa</w:t>
      </w:r>
      <w:proofErr w:type="spellEnd"/>
      <w:r>
        <w:rPr>
          <w:spacing w:val="-16"/>
          <w:sz w:val="19"/>
        </w:rPr>
        <w:t xml:space="preserve"> </w:t>
      </w:r>
      <w:r>
        <w:rPr>
          <w:sz w:val="19"/>
        </w:rPr>
        <w:t>res mean</w:t>
      </w:r>
    </w:p>
    <w:p w14:paraId="1D8E3A02" w14:textId="77777777" w:rsidR="001825E2" w:rsidRDefault="000839A5" w:rsidP="00CB00A7">
      <w:pPr>
        <w:pStyle w:val="BodyText"/>
        <w:spacing w:before="253" w:line="247" w:lineRule="auto"/>
        <w:ind w:left="219" w:right="745"/>
        <w:jc w:val="left"/>
      </w:pPr>
      <w:r>
        <w:t>Improvement in ASAS20 response was first observed at Week 2. The percentage of patients achieving ASAS20</w:t>
      </w:r>
      <w:r>
        <w:rPr>
          <w:spacing w:val="-8"/>
        </w:rPr>
        <w:t xml:space="preserve"> </w:t>
      </w:r>
      <w:r>
        <w:t>response by visit</w:t>
      </w:r>
      <w:r>
        <w:rPr>
          <w:spacing w:val="36"/>
        </w:rPr>
        <w:t xml:space="preserve"> </w:t>
      </w:r>
      <w:r>
        <w:t>is shown in Figure 4.</w:t>
      </w:r>
    </w:p>
    <w:p w14:paraId="74541592" w14:textId="77777777" w:rsidR="001825E2" w:rsidRDefault="000839A5" w:rsidP="00CB00A7">
      <w:pPr>
        <w:pStyle w:val="Heading3"/>
        <w:spacing w:before="227"/>
        <w:ind w:left="219"/>
      </w:pPr>
      <w:r>
        <w:t>Figure</w:t>
      </w:r>
      <w:r>
        <w:rPr>
          <w:spacing w:val="-5"/>
        </w:rPr>
        <w:t xml:space="preserve"> </w:t>
      </w:r>
      <w:r>
        <w:t>4:</w:t>
      </w:r>
      <w:r>
        <w:rPr>
          <w:spacing w:val="24"/>
        </w:rPr>
        <w:t xml:space="preserve"> </w:t>
      </w:r>
      <w:r>
        <w:t>ASAS20</w:t>
      </w:r>
      <w:r>
        <w:rPr>
          <w:spacing w:val="-16"/>
        </w:rPr>
        <w:t xml:space="preserve"> </w:t>
      </w:r>
      <w:r>
        <w:t>Response</w:t>
      </w:r>
      <w:r>
        <w:rPr>
          <w:spacing w:val="-4"/>
        </w:rPr>
        <w:t xml:space="preserve"> </w:t>
      </w:r>
      <w:r>
        <w:t>Over</w:t>
      </w:r>
      <w:r>
        <w:rPr>
          <w:spacing w:val="12"/>
        </w:rPr>
        <w:t xml:space="preserve"> </w:t>
      </w:r>
      <w:r>
        <w:t>Time</w:t>
      </w:r>
      <w:r>
        <w:rPr>
          <w:spacing w:val="-3"/>
        </w:rPr>
        <w:t xml:space="preserve"> </w:t>
      </w:r>
      <w:r>
        <w:t>Up</w:t>
      </w:r>
      <w:r>
        <w:rPr>
          <w:spacing w:val="-1"/>
        </w:rPr>
        <w:t xml:space="preserve"> </w:t>
      </w:r>
      <w:r>
        <w:t>to</w:t>
      </w:r>
      <w:r>
        <w:rPr>
          <w:spacing w:val="-1"/>
        </w:rPr>
        <w:t xml:space="preserve"> </w:t>
      </w:r>
      <w:r>
        <w:t>Week 16,</w:t>
      </w:r>
      <w:r>
        <w:rPr>
          <w:spacing w:val="-1"/>
        </w:rPr>
        <w:t xml:space="preserve"> </w:t>
      </w:r>
      <w:r>
        <w:t>Study</w:t>
      </w:r>
      <w:r>
        <w:rPr>
          <w:spacing w:val="-1"/>
        </w:rPr>
        <w:t xml:space="preserve"> </w:t>
      </w:r>
      <w:r>
        <w:t>AS-</w:t>
      </w:r>
      <w:r>
        <w:rPr>
          <w:spacing w:val="-10"/>
        </w:rPr>
        <w:t>I</w:t>
      </w:r>
    </w:p>
    <w:p w14:paraId="58CC80BE" w14:textId="77777777" w:rsidR="001825E2" w:rsidRDefault="001825E2" w:rsidP="00CB00A7">
      <w:pPr>
        <w:pStyle w:val="BodyText"/>
        <w:spacing w:before="104"/>
        <w:jc w:val="left"/>
        <w:rPr>
          <w:b/>
          <w:sz w:val="11"/>
        </w:rPr>
      </w:pPr>
    </w:p>
    <w:p w14:paraId="3873D8DC" w14:textId="77777777" w:rsidR="001825E2" w:rsidRDefault="000839A5" w:rsidP="00CB00A7">
      <w:pPr>
        <w:ind w:left="598"/>
        <w:rPr>
          <w:rFonts w:ascii="Arial"/>
          <w:sz w:val="11"/>
        </w:rPr>
      </w:pPr>
      <w:r>
        <w:rPr>
          <w:noProof/>
        </w:rPr>
        <mc:AlternateContent>
          <mc:Choice Requires="wpg">
            <w:drawing>
              <wp:anchor distT="0" distB="0" distL="0" distR="0" simplePos="0" relativeHeight="15735808" behindDoc="0" locked="0" layoutInCell="1" allowOverlap="1" wp14:anchorId="5E01F082" wp14:editId="0B748D03">
                <wp:simplePos x="0" y="0"/>
                <wp:positionH relativeFrom="page">
                  <wp:posOffset>1326257</wp:posOffset>
                </wp:positionH>
                <wp:positionV relativeFrom="paragraph">
                  <wp:posOffset>-17359</wp:posOffset>
                </wp:positionV>
                <wp:extent cx="5462270" cy="3029585"/>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2270" cy="3029585"/>
                          <a:chOff x="0" y="0"/>
                          <a:chExt cx="5462270" cy="3029585"/>
                        </a:xfrm>
                      </wpg:grpSpPr>
                      <wps:wsp>
                        <wps:cNvPr id="95" name="Graphic 95"/>
                        <wps:cNvSpPr/>
                        <wps:spPr>
                          <a:xfrm>
                            <a:off x="892943" y="2003689"/>
                            <a:ext cx="1270" cy="113664"/>
                          </a:xfrm>
                          <a:custGeom>
                            <a:avLst/>
                            <a:gdLst/>
                            <a:ahLst/>
                            <a:cxnLst/>
                            <a:rect l="l" t="t" r="r" b="b"/>
                            <a:pathLst>
                              <a:path h="113664">
                                <a:moveTo>
                                  <a:pt x="0" y="113303"/>
                                </a:moveTo>
                                <a:lnTo>
                                  <a:pt x="0" y="0"/>
                                </a:lnTo>
                              </a:path>
                            </a:pathLst>
                          </a:custGeom>
                          <a:ln w="6174">
                            <a:solidFill>
                              <a:srgbClr val="000000"/>
                            </a:solidFill>
                            <a:prstDash val="solid"/>
                          </a:ln>
                        </wps:spPr>
                        <wps:bodyPr wrap="square" lIns="0" tIns="0" rIns="0" bIns="0" rtlCol="0">
                          <a:prstTxWarp prst="textNoShape">
                            <a:avLst/>
                          </a:prstTxWarp>
                          <a:noAutofit/>
                        </wps:bodyPr>
                      </wps:wsp>
                      <wps:wsp>
                        <wps:cNvPr id="96" name="Graphic 96"/>
                        <wps:cNvSpPr/>
                        <wps:spPr>
                          <a:xfrm>
                            <a:off x="1483562" y="1339770"/>
                            <a:ext cx="1270" cy="125730"/>
                          </a:xfrm>
                          <a:custGeom>
                            <a:avLst/>
                            <a:gdLst/>
                            <a:ahLst/>
                            <a:cxnLst/>
                            <a:rect l="l" t="t" r="r" b="b"/>
                            <a:pathLst>
                              <a:path h="125730">
                                <a:moveTo>
                                  <a:pt x="0" y="125151"/>
                                </a:moveTo>
                                <a:lnTo>
                                  <a:pt x="0" y="0"/>
                                </a:lnTo>
                              </a:path>
                            </a:pathLst>
                          </a:custGeom>
                          <a:ln w="6174">
                            <a:solidFill>
                              <a:srgbClr val="000000"/>
                            </a:solidFill>
                            <a:prstDash val="solid"/>
                          </a:ln>
                        </wps:spPr>
                        <wps:bodyPr wrap="square" lIns="0" tIns="0" rIns="0" bIns="0" rtlCol="0">
                          <a:prstTxWarp prst="textNoShape">
                            <a:avLst/>
                          </a:prstTxWarp>
                          <a:noAutofit/>
                        </wps:bodyPr>
                      </wps:wsp>
                      <wps:wsp>
                        <wps:cNvPr id="97" name="Graphic 97"/>
                        <wps:cNvSpPr/>
                        <wps:spPr>
                          <a:xfrm>
                            <a:off x="2664801" y="1167212"/>
                            <a:ext cx="1270" cy="124460"/>
                          </a:xfrm>
                          <a:custGeom>
                            <a:avLst/>
                            <a:gdLst/>
                            <a:ahLst/>
                            <a:cxnLst/>
                            <a:rect l="l" t="t" r="r" b="b"/>
                            <a:pathLst>
                              <a:path h="124460">
                                <a:moveTo>
                                  <a:pt x="0" y="123996"/>
                                </a:moveTo>
                                <a:lnTo>
                                  <a:pt x="0" y="0"/>
                                </a:lnTo>
                              </a:path>
                            </a:pathLst>
                          </a:custGeom>
                          <a:ln w="6174">
                            <a:solidFill>
                              <a:srgbClr val="000000"/>
                            </a:solidFill>
                            <a:prstDash val="solid"/>
                          </a:ln>
                        </wps:spPr>
                        <wps:bodyPr wrap="square" lIns="0" tIns="0" rIns="0" bIns="0" rtlCol="0">
                          <a:prstTxWarp prst="textNoShape">
                            <a:avLst/>
                          </a:prstTxWarp>
                          <a:noAutofit/>
                        </wps:bodyPr>
                      </wps:wsp>
                      <wps:wsp>
                        <wps:cNvPr id="98" name="Graphic 98"/>
                        <wps:cNvSpPr/>
                        <wps:spPr>
                          <a:xfrm>
                            <a:off x="3846040" y="975287"/>
                            <a:ext cx="1270" cy="120650"/>
                          </a:xfrm>
                          <a:custGeom>
                            <a:avLst/>
                            <a:gdLst/>
                            <a:ahLst/>
                            <a:cxnLst/>
                            <a:rect l="l" t="t" r="r" b="b"/>
                            <a:pathLst>
                              <a:path h="120650">
                                <a:moveTo>
                                  <a:pt x="0" y="120243"/>
                                </a:moveTo>
                                <a:lnTo>
                                  <a:pt x="0" y="0"/>
                                </a:lnTo>
                              </a:path>
                            </a:pathLst>
                          </a:custGeom>
                          <a:ln w="6174">
                            <a:solidFill>
                              <a:srgbClr val="000000"/>
                            </a:solidFill>
                            <a:prstDash val="solid"/>
                          </a:ln>
                        </wps:spPr>
                        <wps:bodyPr wrap="square" lIns="0" tIns="0" rIns="0" bIns="0" rtlCol="0">
                          <a:prstTxWarp prst="textNoShape">
                            <a:avLst/>
                          </a:prstTxWarp>
                          <a:noAutofit/>
                        </wps:bodyPr>
                      </wps:wsp>
                      <wps:wsp>
                        <wps:cNvPr id="99" name="Graphic 99"/>
                        <wps:cNvSpPr/>
                        <wps:spPr>
                          <a:xfrm>
                            <a:off x="5027279" y="1188600"/>
                            <a:ext cx="1270" cy="124460"/>
                          </a:xfrm>
                          <a:custGeom>
                            <a:avLst/>
                            <a:gdLst/>
                            <a:ahLst/>
                            <a:cxnLst/>
                            <a:rect l="l" t="t" r="r" b="b"/>
                            <a:pathLst>
                              <a:path h="124460">
                                <a:moveTo>
                                  <a:pt x="0" y="124287"/>
                                </a:moveTo>
                                <a:lnTo>
                                  <a:pt x="0" y="0"/>
                                </a:lnTo>
                              </a:path>
                            </a:pathLst>
                          </a:custGeom>
                          <a:ln w="6174">
                            <a:solidFill>
                              <a:srgbClr val="000000"/>
                            </a:solidFill>
                            <a:prstDash val="solid"/>
                          </a:ln>
                        </wps:spPr>
                        <wps:bodyPr wrap="square" lIns="0" tIns="0" rIns="0" bIns="0" rtlCol="0">
                          <a:prstTxWarp prst="textNoShape">
                            <a:avLst/>
                          </a:prstTxWarp>
                          <a:noAutofit/>
                        </wps:bodyPr>
                      </wps:wsp>
                      <wps:wsp>
                        <wps:cNvPr id="100" name="Graphic 100"/>
                        <wps:cNvSpPr/>
                        <wps:spPr>
                          <a:xfrm>
                            <a:off x="892942" y="2569916"/>
                            <a:ext cx="1270" cy="75565"/>
                          </a:xfrm>
                          <a:custGeom>
                            <a:avLst/>
                            <a:gdLst/>
                            <a:ahLst/>
                            <a:cxnLst/>
                            <a:rect l="l" t="t" r="r" b="b"/>
                            <a:pathLst>
                              <a:path h="75565">
                                <a:moveTo>
                                  <a:pt x="0" y="75439"/>
                                </a:moveTo>
                                <a:lnTo>
                                  <a:pt x="0" y="0"/>
                                </a:lnTo>
                              </a:path>
                            </a:pathLst>
                          </a:custGeom>
                          <a:ln w="6174">
                            <a:solidFill>
                              <a:srgbClr val="000000"/>
                            </a:solidFill>
                            <a:prstDash val="solid"/>
                          </a:ln>
                        </wps:spPr>
                        <wps:bodyPr wrap="square" lIns="0" tIns="0" rIns="0" bIns="0" rtlCol="0">
                          <a:prstTxWarp prst="textNoShape">
                            <a:avLst/>
                          </a:prstTxWarp>
                          <a:noAutofit/>
                        </wps:bodyPr>
                      </wps:wsp>
                      <wps:wsp>
                        <wps:cNvPr id="101" name="Graphic 101"/>
                        <wps:cNvSpPr/>
                        <wps:spPr>
                          <a:xfrm>
                            <a:off x="1483562" y="2270184"/>
                            <a:ext cx="1270" cy="99060"/>
                          </a:xfrm>
                          <a:custGeom>
                            <a:avLst/>
                            <a:gdLst/>
                            <a:ahLst/>
                            <a:cxnLst/>
                            <a:rect l="l" t="t" r="r" b="b"/>
                            <a:pathLst>
                              <a:path h="99060">
                                <a:moveTo>
                                  <a:pt x="0" y="98850"/>
                                </a:moveTo>
                                <a:lnTo>
                                  <a:pt x="0" y="0"/>
                                </a:lnTo>
                              </a:path>
                            </a:pathLst>
                          </a:custGeom>
                          <a:ln w="6174">
                            <a:solidFill>
                              <a:srgbClr val="000000"/>
                            </a:solidFill>
                            <a:prstDash val="solid"/>
                          </a:ln>
                        </wps:spPr>
                        <wps:bodyPr wrap="square" lIns="0" tIns="0" rIns="0" bIns="0" rtlCol="0">
                          <a:prstTxWarp prst="textNoShape">
                            <a:avLst/>
                          </a:prstTxWarp>
                          <a:noAutofit/>
                        </wps:bodyPr>
                      </wps:wsp>
                      <wps:wsp>
                        <wps:cNvPr id="102" name="Graphic 102"/>
                        <wps:cNvSpPr/>
                        <wps:spPr>
                          <a:xfrm>
                            <a:off x="2664801" y="2112945"/>
                            <a:ext cx="1270" cy="107314"/>
                          </a:xfrm>
                          <a:custGeom>
                            <a:avLst/>
                            <a:gdLst/>
                            <a:ahLst/>
                            <a:cxnLst/>
                            <a:rect l="l" t="t" r="r" b="b"/>
                            <a:pathLst>
                              <a:path h="107314">
                                <a:moveTo>
                                  <a:pt x="0" y="107234"/>
                                </a:moveTo>
                                <a:lnTo>
                                  <a:pt x="0" y="0"/>
                                </a:lnTo>
                              </a:path>
                            </a:pathLst>
                          </a:custGeom>
                          <a:ln w="6174">
                            <a:solidFill>
                              <a:srgbClr val="000000"/>
                            </a:solidFill>
                            <a:prstDash val="solid"/>
                          </a:ln>
                        </wps:spPr>
                        <wps:bodyPr wrap="square" lIns="0" tIns="0" rIns="0" bIns="0" rtlCol="0">
                          <a:prstTxWarp prst="textNoShape">
                            <a:avLst/>
                          </a:prstTxWarp>
                          <a:noAutofit/>
                        </wps:bodyPr>
                      </wps:wsp>
                      <wps:wsp>
                        <wps:cNvPr id="103" name="Graphic 103"/>
                        <wps:cNvSpPr/>
                        <wps:spPr>
                          <a:xfrm>
                            <a:off x="3846039" y="1979701"/>
                            <a:ext cx="1270" cy="113030"/>
                          </a:xfrm>
                          <a:custGeom>
                            <a:avLst/>
                            <a:gdLst/>
                            <a:ahLst/>
                            <a:cxnLst/>
                            <a:rect l="l" t="t" r="r" b="b"/>
                            <a:pathLst>
                              <a:path h="113030">
                                <a:moveTo>
                                  <a:pt x="0" y="113013"/>
                                </a:moveTo>
                                <a:lnTo>
                                  <a:pt x="0" y="0"/>
                                </a:lnTo>
                              </a:path>
                            </a:pathLst>
                          </a:custGeom>
                          <a:ln w="6174">
                            <a:solidFill>
                              <a:srgbClr val="000000"/>
                            </a:solidFill>
                            <a:prstDash val="solid"/>
                          </a:ln>
                        </wps:spPr>
                        <wps:bodyPr wrap="square" lIns="0" tIns="0" rIns="0" bIns="0" rtlCol="0">
                          <a:prstTxWarp prst="textNoShape">
                            <a:avLst/>
                          </a:prstTxWarp>
                          <a:noAutofit/>
                        </wps:bodyPr>
                      </wps:wsp>
                      <wps:wsp>
                        <wps:cNvPr id="104" name="Graphic 104"/>
                        <wps:cNvSpPr/>
                        <wps:spPr>
                          <a:xfrm>
                            <a:off x="5027278" y="1979701"/>
                            <a:ext cx="1270" cy="113030"/>
                          </a:xfrm>
                          <a:custGeom>
                            <a:avLst/>
                            <a:gdLst/>
                            <a:ahLst/>
                            <a:cxnLst/>
                            <a:rect l="l" t="t" r="r" b="b"/>
                            <a:pathLst>
                              <a:path h="113030">
                                <a:moveTo>
                                  <a:pt x="0" y="113013"/>
                                </a:moveTo>
                                <a:lnTo>
                                  <a:pt x="0" y="0"/>
                                </a:lnTo>
                              </a:path>
                            </a:pathLst>
                          </a:custGeom>
                          <a:ln w="6174">
                            <a:solidFill>
                              <a:srgbClr val="000000"/>
                            </a:solidFill>
                            <a:prstDash val="solid"/>
                          </a:ln>
                        </wps:spPr>
                        <wps:bodyPr wrap="square" lIns="0" tIns="0" rIns="0" bIns="0" rtlCol="0">
                          <a:prstTxWarp prst="textNoShape">
                            <a:avLst/>
                          </a:prstTxWarp>
                          <a:noAutofit/>
                        </wps:bodyPr>
                      </wps:wsp>
                      <wps:wsp>
                        <wps:cNvPr id="105" name="Graphic 105"/>
                        <wps:cNvSpPr/>
                        <wps:spPr>
                          <a:xfrm>
                            <a:off x="862101" y="2003689"/>
                            <a:ext cx="62230" cy="1270"/>
                          </a:xfrm>
                          <a:custGeom>
                            <a:avLst/>
                            <a:gdLst/>
                            <a:ahLst/>
                            <a:cxnLst/>
                            <a:rect l="l" t="t" r="r" b="b"/>
                            <a:pathLst>
                              <a:path w="62230">
                                <a:moveTo>
                                  <a:pt x="0" y="0"/>
                                </a:moveTo>
                                <a:lnTo>
                                  <a:pt x="61681" y="0"/>
                                </a:lnTo>
                              </a:path>
                            </a:pathLst>
                          </a:custGeom>
                          <a:ln w="6173">
                            <a:solidFill>
                              <a:srgbClr val="000000"/>
                            </a:solidFill>
                            <a:prstDash val="solid"/>
                          </a:ln>
                        </wps:spPr>
                        <wps:bodyPr wrap="square" lIns="0" tIns="0" rIns="0" bIns="0" rtlCol="0">
                          <a:prstTxWarp prst="textNoShape">
                            <a:avLst/>
                          </a:prstTxWarp>
                          <a:noAutofit/>
                        </wps:bodyPr>
                      </wps:wsp>
                      <wps:wsp>
                        <wps:cNvPr id="106" name="Graphic 106"/>
                        <wps:cNvSpPr/>
                        <wps:spPr>
                          <a:xfrm>
                            <a:off x="1452719" y="1339768"/>
                            <a:ext cx="62230" cy="1270"/>
                          </a:xfrm>
                          <a:custGeom>
                            <a:avLst/>
                            <a:gdLst/>
                            <a:ahLst/>
                            <a:cxnLst/>
                            <a:rect l="l" t="t" r="r" b="b"/>
                            <a:pathLst>
                              <a:path w="62230">
                                <a:moveTo>
                                  <a:pt x="0" y="0"/>
                                </a:moveTo>
                                <a:lnTo>
                                  <a:pt x="61681" y="0"/>
                                </a:lnTo>
                              </a:path>
                            </a:pathLst>
                          </a:custGeom>
                          <a:ln w="6173">
                            <a:solidFill>
                              <a:srgbClr val="000000"/>
                            </a:solidFill>
                            <a:prstDash val="solid"/>
                          </a:ln>
                        </wps:spPr>
                        <wps:bodyPr wrap="square" lIns="0" tIns="0" rIns="0" bIns="0" rtlCol="0">
                          <a:prstTxWarp prst="textNoShape">
                            <a:avLst/>
                          </a:prstTxWarp>
                          <a:noAutofit/>
                        </wps:bodyPr>
                      </wps:wsp>
                      <wps:wsp>
                        <wps:cNvPr id="107" name="Graphic 107"/>
                        <wps:cNvSpPr/>
                        <wps:spPr>
                          <a:xfrm>
                            <a:off x="2633958" y="1167212"/>
                            <a:ext cx="62230" cy="1270"/>
                          </a:xfrm>
                          <a:custGeom>
                            <a:avLst/>
                            <a:gdLst/>
                            <a:ahLst/>
                            <a:cxnLst/>
                            <a:rect l="l" t="t" r="r" b="b"/>
                            <a:pathLst>
                              <a:path w="62230">
                                <a:moveTo>
                                  <a:pt x="0" y="0"/>
                                </a:moveTo>
                                <a:lnTo>
                                  <a:pt x="61681" y="0"/>
                                </a:lnTo>
                              </a:path>
                            </a:pathLst>
                          </a:custGeom>
                          <a:ln w="6173">
                            <a:solidFill>
                              <a:srgbClr val="000000"/>
                            </a:solidFill>
                            <a:prstDash val="solid"/>
                          </a:ln>
                        </wps:spPr>
                        <wps:bodyPr wrap="square" lIns="0" tIns="0" rIns="0" bIns="0" rtlCol="0">
                          <a:prstTxWarp prst="textNoShape">
                            <a:avLst/>
                          </a:prstTxWarp>
                          <a:noAutofit/>
                        </wps:bodyPr>
                      </wps:wsp>
                      <wps:wsp>
                        <wps:cNvPr id="108" name="Graphic 108"/>
                        <wps:cNvSpPr/>
                        <wps:spPr>
                          <a:xfrm>
                            <a:off x="3815197" y="975290"/>
                            <a:ext cx="62230" cy="1270"/>
                          </a:xfrm>
                          <a:custGeom>
                            <a:avLst/>
                            <a:gdLst/>
                            <a:ahLst/>
                            <a:cxnLst/>
                            <a:rect l="l" t="t" r="r" b="b"/>
                            <a:pathLst>
                              <a:path w="62230">
                                <a:moveTo>
                                  <a:pt x="0" y="0"/>
                                </a:moveTo>
                                <a:lnTo>
                                  <a:pt x="61681" y="0"/>
                                </a:lnTo>
                              </a:path>
                            </a:pathLst>
                          </a:custGeom>
                          <a:ln w="6173">
                            <a:solidFill>
                              <a:srgbClr val="000000"/>
                            </a:solidFill>
                            <a:prstDash val="solid"/>
                          </a:ln>
                        </wps:spPr>
                        <wps:bodyPr wrap="square" lIns="0" tIns="0" rIns="0" bIns="0" rtlCol="0">
                          <a:prstTxWarp prst="textNoShape">
                            <a:avLst/>
                          </a:prstTxWarp>
                          <a:noAutofit/>
                        </wps:bodyPr>
                      </wps:wsp>
                      <wps:wsp>
                        <wps:cNvPr id="109" name="Graphic 109"/>
                        <wps:cNvSpPr/>
                        <wps:spPr>
                          <a:xfrm>
                            <a:off x="4996435" y="1188601"/>
                            <a:ext cx="62230" cy="1270"/>
                          </a:xfrm>
                          <a:custGeom>
                            <a:avLst/>
                            <a:gdLst/>
                            <a:ahLst/>
                            <a:cxnLst/>
                            <a:rect l="l" t="t" r="r" b="b"/>
                            <a:pathLst>
                              <a:path w="62230">
                                <a:moveTo>
                                  <a:pt x="0" y="0"/>
                                </a:moveTo>
                                <a:lnTo>
                                  <a:pt x="61681" y="0"/>
                                </a:lnTo>
                              </a:path>
                            </a:pathLst>
                          </a:custGeom>
                          <a:ln w="6173">
                            <a:solidFill>
                              <a:srgbClr val="000000"/>
                            </a:solidFill>
                            <a:prstDash val="solid"/>
                          </a:ln>
                        </wps:spPr>
                        <wps:bodyPr wrap="square" lIns="0" tIns="0" rIns="0" bIns="0" rtlCol="0">
                          <a:prstTxWarp prst="textNoShape">
                            <a:avLst/>
                          </a:prstTxWarp>
                          <a:noAutofit/>
                        </wps:bodyPr>
                      </wps:wsp>
                      <wps:wsp>
                        <wps:cNvPr id="110" name="Graphic 110"/>
                        <wps:cNvSpPr/>
                        <wps:spPr>
                          <a:xfrm>
                            <a:off x="862100" y="2569916"/>
                            <a:ext cx="62230" cy="1270"/>
                          </a:xfrm>
                          <a:custGeom>
                            <a:avLst/>
                            <a:gdLst/>
                            <a:ahLst/>
                            <a:cxnLst/>
                            <a:rect l="l" t="t" r="r" b="b"/>
                            <a:pathLst>
                              <a:path w="62230">
                                <a:moveTo>
                                  <a:pt x="0" y="0"/>
                                </a:moveTo>
                                <a:lnTo>
                                  <a:pt x="61681" y="0"/>
                                </a:lnTo>
                              </a:path>
                            </a:pathLst>
                          </a:custGeom>
                          <a:ln w="6173">
                            <a:solidFill>
                              <a:srgbClr val="000000"/>
                            </a:solidFill>
                            <a:prstDash val="solid"/>
                          </a:ln>
                        </wps:spPr>
                        <wps:bodyPr wrap="square" lIns="0" tIns="0" rIns="0" bIns="0" rtlCol="0">
                          <a:prstTxWarp prst="textNoShape">
                            <a:avLst/>
                          </a:prstTxWarp>
                          <a:noAutofit/>
                        </wps:bodyPr>
                      </wps:wsp>
                      <wps:wsp>
                        <wps:cNvPr id="111" name="Graphic 111"/>
                        <wps:cNvSpPr/>
                        <wps:spPr>
                          <a:xfrm>
                            <a:off x="1452719" y="2270183"/>
                            <a:ext cx="62230" cy="1270"/>
                          </a:xfrm>
                          <a:custGeom>
                            <a:avLst/>
                            <a:gdLst/>
                            <a:ahLst/>
                            <a:cxnLst/>
                            <a:rect l="l" t="t" r="r" b="b"/>
                            <a:pathLst>
                              <a:path w="62230">
                                <a:moveTo>
                                  <a:pt x="0" y="0"/>
                                </a:moveTo>
                                <a:lnTo>
                                  <a:pt x="61681" y="0"/>
                                </a:lnTo>
                              </a:path>
                            </a:pathLst>
                          </a:custGeom>
                          <a:ln w="6173">
                            <a:solidFill>
                              <a:srgbClr val="000000"/>
                            </a:solidFill>
                            <a:prstDash val="solid"/>
                          </a:ln>
                        </wps:spPr>
                        <wps:bodyPr wrap="square" lIns="0" tIns="0" rIns="0" bIns="0" rtlCol="0">
                          <a:prstTxWarp prst="textNoShape">
                            <a:avLst/>
                          </a:prstTxWarp>
                          <a:noAutofit/>
                        </wps:bodyPr>
                      </wps:wsp>
                      <wps:wsp>
                        <wps:cNvPr id="112" name="Graphic 112"/>
                        <wps:cNvSpPr/>
                        <wps:spPr>
                          <a:xfrm>
                            <a:off x="2633957" y="2112947"/>
                            <a:ext cx="62230" cy="1270"/>
                          </a:xfrm>
                          <a:custGeom>
                            <a:avLst/>
                            <a:gdLst/>
                            <a:ahLst/>
                            <a:cxnLst/>
                            <a:rect l="l" t="t" r="r" b="b"/>
                            <a:pathLst>
                              <a:path w="62230">
                                <a:moveTo>
                                  <a:pt x="0" y="0"/>
                                </a:moveTo>
                                <a:lnTo>
                                  <a:pt x="61681" y="0"/>
                                </a:lnTo>
                              </a:path>
                            </a:pathLst>
                          </a:custGeom>
                          <a:ln w="6173">
                            <a:solidFill>
                              <a:srgbClr val="000000"/>
                            </a:solidFill>
                            <a:prstDash val="solid"/>
                          </a:ln>
                        </wps:spPr>
                        <wps:bodyPr wrap="square" lIns="0" tIns="0" rIns="0" bIns="0" rtlCol="0">
                          <a:prstTxWarp prst="textNoShape">
                            <a:avLst/>
                          </a:prstTxWarp>
                          <a:noAutofit/>
                        </wps:bodyPr>
                      </wps:wsp>
                      <wps:wsp>
                        <wps:cNvPr id="113" name="Graphic 113"/>
                        <wps:cNvSpPr/>
                        <wps:spPr>
                          <a:xfrm>
                            <a:off x="3815196" y="1979699"/>
                            <a:ext cx="62230" cy="1270"/>
                          </a:xfrm>
                          <a:custGeom>
                            <a:avLst/>
                            <a:gdLst/>
                            <a:ahLst/>
                            <a:cxnLst/>
                            <a:rect l="l" t="t" r="r" b="b"/>
                            <a:pathLst>
                              <a:path w="62230">
                                <a:moveTo>
                                  <a:pt x="0" y="0"/>
                                </a:moveTo>
                                <a:lnTo>
                                  <a:pt x="61681" y="0"/>
                                </a:lnTo>
                              </a:path>
                            </a:pathLst>
                          </a:custGeom>
                          <a:ln w="6173">
                            <a:solidFill>
                              <a:srgbClr val="000000"/>
                            </a:solidFill>
                            <a:prstDash val="solid"/>
                          </a:ln>
                        </wps:spPr>
                        <wps:bodyPr wrap="square" lIns="0" tIns="0" rIns="0" bIns="0" rtlCol="0">
                          <a:prstTxWarp prst="textNoShape">
                            <a:avLst/>
                          </a:prstTxWarp>
                          <a:noAutofit/>
                        </wps:bodyPr>
                      </wps:wsp>
                      <wps:wsp>
                        <wps:cNvPr id="114" name="Graphic 114"/>
                        <wps:cNvSpPr/>
                        <wps:spPr>
                          <a:xfrm>
                            <a:off x="4996435" y="1979699"/>
                            <a:ext cx="62230" cy="1270"/>
                          </a:xfrm>
                          <a:custGeom>
                            <a:avLst/>
                            <a:gdLst/>
                            <a:ahLst/>
                            <a:cxnLst/>
                            <a:rect l="l" t="t" r="r" b="b"/>
                            <a:pathLst>
                              <a:path w="62230">
                                <a:moveTo>
                                  <a:pt x="0" y="0"/>
                                </a:moveTo>
                                <a:lnTo>
                                  <a:pt x="61681" y="0"/>
                                </a:lnTo>
                              </a:path>
                            </a:pathLst>
                          </a:custGeom>
                          <a:ln w="6173">
                            <a:solidFill>
                              <a:srgbClr val="000000"/>
                            </a:solidFill>
                            <a:prstDash val="solid"/>
                          </a:ln>
                        </wps:spPr>
                        <wps:bodyPr wrap="square" lIns="0" tIns="0" rIns="0" bIns="0" rtlCol="0">
                          <a:prstTxWarp prst="textNoShape">
                            <a:avLst/>
                          </a:prstTxWarp>
                          <a:noAutofit/>
                        </wps:bodyPr>
                      </wps:wsp>
                      <wps:wsp>
                        <wps:cNvPr id="115" name="Graphic 115"/>
                        <wps:cNvSpPr/>
                        <wps:spPr>
                          <a:xfrm>
                            <a:off x="892941" y="2116993"/>
                            <a:ext cx="1270" cy="113664"/>
                          </a:xfrm>
                          <a:custGeom>
                            <a:avLst/>
                            <a:gdLst/>
                            <a:ahLst/>
                            <a:cxnLst/>
                            <a:rect l="l" t="t" r="r" b="b"/>
                            <a:pathLst>
                              <a:path h="113664">
                                <a:moveTo>
                                  <a:pt x="0" y="0"/>
                                </a:moveTo>
                                <a:lnTo>
                                  <a:pt x="0" y="113303"/>
                                </a:lnTo>
                              </a:path>
                            </a:pathLst>
                          </a:custGeom>
                          <a:ln w="6174">
                            <a:solidFill>
                              <a:srgbClr val="000000"/>
                            </a:solidFill>
                            <a:prstDash val="solid"/>
                          </a:ln>
                        </wps:spPr>
                        <wps:bodyPr wrap="square" lIns="0" tIns="0" rIns="0" bIns="0" rtlCol="0">
                          <a:prstTxWarp prst="textNoShape">
                            <a:avLst/>
                          </a:prstTxWarp>
                          <a:noAutofit/>
                        </wps:bodyPr>
                      </wps:wsp>
                      <wps:wsp>
                        <wps:cNvPr id="116" name="Graphic 116"/>
                        <wps:cNvSpPr/>
                        <wps:spPr>
                          <a:xfrm>
                            <a:off x="1483560" y="1464922"/>
                            <a:ext cx="1270" cy="125730"/>
                          </a:xfrm>
                          <a:custGeom>
                            <a:avLst/>
                            <a:gdLst/>
                            <a:ahLst/>
                            <a:cxnLst/>
                            <a:rect l="l" t="t" r="r" b="b"/>
                            <a:pathLst>
                              <a:path h="125730">
                                <a:moveTo>
                                  <a:pt x="0" y="0"/>
                                </a:moveTo>
                                <a:lnTo>
                                  <a:pt x="0" y="125151"/>
                                </a:lnTo>
                              </a:path>
                            </a:pathLst>
                          </a:custGeom>
                          <a:ln w="6174">
                            <a:solidFill>
                              <a:srgbClr val="000000"/>
                            </a:solidFill>
                            <a:prstDash val="solid"/>
                          </a:ln>
                        </wps:spPr>
                        <wps:bodyPr wrap="square" lIns="0" tIns="0" rIns="0" bIns="0" rtlCol="0">
                          <a:prstTxWarp prst="textNoShape">
                            <a:avLst/>
                          </a:prstTxWarp>
                          <a:noAutofit/>
                        </wps:bodyPr>
                      </wps:wsp>
                      <wps:wsp>
                        <wps:cNvPr id="117" name="Graphic 117"/>
                        <wps:cNvSpPr/>
                        <wps:spPr>
                          <a:xfrm>
                            <a:off x="2664799" y="1291209"/>
                            <a:ext cx="1270" cy="124460"/>
                          </a:xfrm>
                          <a:custGeom>
                            <a:avLst/>
                            <a:gdLst/>
                            <a:ahLst/>
                            <a:cxnLst/>
                            <a:rect l="l" t="t" r="r" b="b"/>
                            <a:pathLst>
                              <a:path h="124460">
                                <a:moveTo>
                                  <a:pt x="0" y="0"/>
                                </a:moveTo>
                                <a:lnTo>
                                  <a:pt x="0" y="123996"/>
                                </a:lnTo>
                              </a:path>
                            </a:pathLst>
                          </a:custGeom>
                          <a:ln w="6174">
                            <a:solidFill>
                              <a:srgbClr val="000000"/>
                            </a:solidFill>
                            <a:prstDash val="solid"/>
                          </a:ln>
                        </wps:spPr>
                        <wps:bodyPr wrap="square" lIns="0" tIns="0" rIns="0" bIns="0" rtlCol="0">
                          <a:prstTxWarp prst="textNoShape">
                            <a:avLst/>
                          </a:prstTxWarp>
                          <a:noAutofit/>
                        </wps:bodyPr>
                      </wps:wsp>
                      <wps:wsp>
                        <wps:cNvPr id="118" name="Graphic 118"/>
                        <wps:cNvSpPr/>
                        <wps:spPr>
                          <a:xfrm>
                            <a:off x="3846038" y="1095530"/>
                            <a:ext cx="1270" cy="120650"/>
                          </a:xfrm>
                          <a:custGeom>
                            <a:avLst/>
                            <a:gdLst/>
                            <a:ahLst/>
                            <a:cxnLst/>
                            <a:rect l="l" t="t" r="r" b="b"/>
                            <a:pathLst>
                              <a:path h="120650">
                                <a:moveTo>
                                  <a:pt x="0" y="0"/>
                                </a:moveTo>
                                <a:lnTo>
                                  <a:pt x="0" y="120237"/>
                                </a:lnTo>
                              </a:path>
                            </a:pathLst>
                          </a:custGeom>
                          <a:ln w="6174">
                            <a:solidFill>
                              <a:srgbClr val="000000"/>
                            </a:solidFill>
                            <a:prstDash val="solid"/>
                          </a:ln>
                        </wps:spPr>
                        <wps:bodyPr wrap="square" lIns="0" tIns="0" rIns="0" bIns="0" rtlCol="0">
                          <a:prstTxWarp prst="textNoShape">
                            <a:avLst/>
                          </a:prstTxWarp>
                          <a:noAutofit/>
                        </wps:bodyPr>
                      </wps:wsp>
                      <wps:wsp>
                        <wps:cNvPr id="119" name="Graphic 119"/>
                        <wps:cNvSpPr/>
                        <wps:spPr>
                          <a:xfrm>
                            <a:off x="5027277" y="1312887"/>
                            <a:ext cx="1270" cy="124460"/>
                          </a:xfrm>
                          <a:custGeom>
                            <a:avLst/>
                            <a:gdLst/>
                            <a:ahLst/>
                            <a:cxnLst/>
                            <a:rect l="l" t="t" r="r" b="b"/>
                            <a:pathLst>
                              <a:path h="124460">
                                <a:moveTo>
                                  <a:pt x="0" y="0"/>
                                </a:moveTo>
                                <a:lnTo>
                                  <a:pt x="0" y="124287"/>
                                </a:lnTo>
                              </a:path>
                            </a:pathLst>
                          </a:custGeom>
                          <a:ln w="6174">
                            <a:solidFill>
                              <a:srgbClr val="000000"/>
                            </a:solidFill>
                            <a:prstDash val="solid"/>
                          </a:ln>
                        </wps:spPr>
                        <wps:bodyPr wrap="square" lIns="0" tIns="0" rIns="0" bIns="0" rtlCol="0">
                          <a:prstTxWarp prst="textNoShape">
                            <a:avLst/>
                          </a:prstTxWarp>
                          <a:noAutofit/>
                        </wps:bodyPr>
                      </wps:wsp>
                      <wps:wsp>
                        <wps:cNvPr id="120" name="Graphic 120"/>
                        <wps:cNvSpPr/>
                        <wps:spPr>
                          <a:xfrm>
                            <a:off x="892940" y="2645356"/>
                            <a:ext cx="1270" cy="75565"/>
                          </a:xfrm>
                          <a:custGeom>
                            <a:avLst/>
                            <a:gdLst/>
                            <a:ahLst/>
                            <a:cxnLst/>
                            <a:rect l="l" t="t" r="r" b="b"/>
                            <a:pathLst>
                              <a:path h="75565">
                                <a:moveTo>
                                  <a:pt x="0" y="0"/>
                                </a:moveTo>
                                <a:lnTo>
                                  <a:pt x="0" y="75439"/>
                                </a:lnTo>
                              </a:path>
                            </a:pathLst>
                          </a:custGeom>
                          <a:ln w="6174">
                            <a:solidFill>
                              <a:srgbClr val="000000"/>
                            </a:solidFill>
                            <a:prstDash val="solid"/>
                          </a:ln>
                        </wps:spPr>
                        <wps:bodyPr wrap="square" lIns="0" tIns="0" rIns="0" bIns="0" rtlCol="0">
                          <a:prstTxWarp prst="textNoShape">
                            <a:avLst/>
                          </a:prstTxWarp>
                          <a:noAutofit/>
                        </wps:bodyPr>
                      </wps:wsp>
                      <wps:wsp>
                        <wps:cNvPr id="121" name="Graphic 121"/>
                        <wps:cNvSpPr/>
                        <wps:spPr>
                          <a:xfrm>
                            <a:off x="1483560" y="2369035"/>
                            <a:ext cx="1270" cy="99060"/>
                          </a:xfrm>
                          <a:custGeom>
                            <a:avLst/>
                            <a:gdLst/>
                            <a:ahLst/>
                            <a:cxnLst/>
                            <a:rect l="l" t="t" r="r" b="b"/>
                            <a:pathLst>
                              <a:path h="99060">
                                <a:moveTo>
                                  <a:pt x="0" y="0"/>
                                </a:moveTo>
                                <a:lnTo>
                                  <a:pt x="0" y="98850"/>
                                </a:lnTo>
                              </a:path>
                            </a:pathLst>
                          </a:custGeom>
                          <a:ln w="6174">
                            <a:solidFill>
                              <a:srgbClr val="000000"/>
                            </a:solidFill>
                            <a:prstDash val="solid"/>
                          </a:ln>
                        </wps:spPr>
                        <wps:bodyPr wrap="square" lIns="0" tIns="0" rIns="0" bIns="0" rtlCol="0">
                          <a:prstTxWarp prst="textNoShape">
                            <a:avLst/>
                          </a:prstTxWarp>
                          <a:noAutofit/>
                        </wps:bodyPr>
                      </wps:wsp>
                      <wps:wsp>
                        <wps:cNvPr id="122" name="Graphic 122"/>
                        <wps:cNvSpPr/>
                        <wps:spPr>
                          <a:xfrm>
                            <a:off x="2664799" y="2220179"/>
                            <a:ext cx="1270" cy="107314"/>
                          </a:xfrm>
                          <a:custGeom>
                            <a:avLst/>
                            <a:gdLst/>
                            <a:ahLst/>
                            <a:cxnLst/>
                            <a:rect l="l" t="t" r="r" b="b"/>
                            <a:pathLst>
                              <a:path h="107314">
                                <a:moveTo>
                                  <a:pt x="0" y="0"/>
                                </a:moveTo>
                                <a:lnTo>
                                  <a:pt x="0" y="107234"/>
                                </a:lnTo>
                              </a:path>
                            </a:pathLst>
                          </a:custGeom>
                          <a:ln w="6174">
                            <a:solidFill>
                              <a:srgbClr val="000000"/>
                            </a:solidFill>
                            <a:prstDash val="solid"/>
                          </a:ln>
                        </wps:spPr>
                        <wps:bodyPr wrap="square" lIns="0" tIns="0" rIns="0" bIns="0" rtlCol="0">
                          <a:prstTxWarp prst="textNoShape">
                            <a:avLst/>
                          </a:prstTxWarp>
                          <a:noAutofit/>
                        </wps:bodyPr>
                      </wps:wsp>
                      <wps:wsp>
                        <wps:cNvPr id="123" name="Graphic 123"/>
                        <wps:cNvSpPr/>
                        <wps:spPr>
                          <a:xfrm>
                            <a:off x="3846037" y="2092714"/>
                            <a:ext cx="1270" cy="113030"/>
                          </a:xfrm>
                          <a:custGeom>
                            <a:avLst/>
                            <a:gdLst/>
                            <a:ahLst/>
                            <a:cxnLst/>
                            <a:rect l="l" t="t" r="r" b="b"/>
                            <a:pathLst>
                              <a:path h="113030">
                                <a:moveTo>
                                  <a:pt x="0" y="0"/>
                                </a:moveTo>
                                <a:lnTo>
                                  <a:pt x="0" y="113013"/>
                                </a:lnTo>
                              </a:path>
                            </a:pathLst>
                          </a:custGeom>
                          <a:ln w="6174">
                            <a:solidFill>
                              <a:srgbClr val="000000"/>
                            </a:solidFill>
                            <a:prstDash val="solid"/>
                          </a:ln>
                        </wps:spPr>
                        <wps:bodyPr wrap="square" lIns="0" tIns="0" rIns="0" bIns="0" rtlCol="0">
                          <a:prstTxWarp prst="textNoShape">
                            <a:avLst/>
                          </a:prstTxWarp>
                          <a:noAutofit/>
                        </wps:bodyPr>
                      </wps:wsp>
                      <wps:wsp>
                        <wps:cNvPr id="124" name="Graphic 124"/>
                        <wps:cNvSpPr/>
                        <wps:spPr>
                          <a:xfrm>
                            <a:off x="5027276" y="2092714"/>
                            <a:ext cx="1270" cy="113030"/>
                          </a:xfrm>
                          <a:custGeom>
                            <a:avLst/>
                            <a:gdLst/>
                            <a:ahLst/>
                            <a:cxnLst/>
                            <a:rect l="l" t="t" r="r" b="b"/>
                            <a:pathLst>
                              <a:path h="113030">
                                <a:moveTo>
                                  <a:pt x="0" y="0"/>
                                </a:moveTo>
                                <a:lnTo>
                                  <a:pt x="0" y="113013"/>
                                </a:lnTo>
                              </a:path>
                            </a:pathLst>
                          </a:custGeom>
                          <a:ln w="6174">
                            <a:solidFill>
                              <a:srgbClr val="000000"/>
                            </a:solidFill>
                            <a:prstDash val="solid"/>
                          </a:ln>
                        </wps:spPr>
                        <wps:bodyPr wrap="square" lIns="0" tIns="0" rIns="0" bIns="0" rtlCol="0">
                          <a:prstTxWarp prst="textNoShape">
                            <a:avLst/>
                          </a:prstTxWarp>
                          <a:noAutofit/>
                        </wps:bodyPr>
                      </wps:wsp>
                      <wps:wsp>
                        <wps:cNvPr id="125" name="Graphic 125"/>
                        <wps:cNvSpPr/>
                        <wps:spPr>
                          <a:xfrm>
                            <a:off x="862099" y="2230296"/>
                            <a:ext cx="62230" cy="1270"/>
                          </a:xfrm>
                          <a:custGeom>
                            <a:avLst/>
                            <a:gdLst/>
                            <a:ahLst/>
                            <a:cxnLst/>
                            <a:rect l="l" t="t" r="r" b="b"/>
                            <a:pathLst>
                              <a:path w="62230">
                                <a:moveTo>
                                  <a:pt x="0" y="0"/>
                                </a:moveTo>
                                <a:lnTo>
                                  <a:pt x="61681" y="0"/>
                                </a:lnTo>
                              </a:path>
                            </a:pathLst>
                          </a:custGeom>
                          <a:ln w="6173">
                            <a:solidFill>
                              <a:srgbClr val="000000"/>
                            </a:solidFill>
                            <a:prstDash val="solid"/>
                          </a:ln>
                        </wps:spPr>
                        <wps:bodyPr wrap="square" lIns="0" tIns="0" rIns="0" bIns="0" rtlCol="0">
                          <a:prstTxWarp prst="textNoShape">
                            <a:avLst/>
                          </a:prstTxWarp>
                          <a:noAutofit/>
                        </wps:bodyPr>
                      </wps:wsp>
                      <wps:wsp>
                        <wps:cNvPr id="126" name="Graphic 126"/>
                        <wps:cNvSpPr/>
                        <wps:spPr>
                          <a:xfrm>
                            <a:off x="1452717" y="1590075"/>
                            <a:ext cx="62230" cy="1270"/>
                          </a:xfrm>
                          <a:custGeom>
                            <a:avLst/>
                            <a:gdLst/>
                            <a:ahLst/>
                            <a:cxnLst/>
                            <a:rect l="l" t="t" r="r" b="b"/>
                            <a:pathLst>
                              <a:path w="62230">
                                <a:moveTo>
                                  <a:pt x="0" y="0"/>
                                </a:moveTo>
                                <a:lnTo>
                                  <a:pt x="61681" y="0"/>
                                </a:lnTo>
                              </a:path>
                            </a:pathLst>
                          </a:custGeom>
                          <a:ln w="6173">
                            <a:solidFill>
                              <a:srgbClr val="000000"/>
                            </a:solidFill>
                            <a:prstDash val="solid"/>
                          </a:ln>
                        </wps:spPr>
                        <wps:bodyPr wrap="square" lIns="0" tIns="0" rIns="0" bIns="0" rtlCol="0">
                          <a:prstTxWarp prst="textNoShape">
                            <a:avLst/>
                          </a:prstTxWarp>
                          <a:noAutofit/>
                        </wps:bodyPr>
                      </wps:wsp>
                      <wps:wsp>
                        <wps:cNvPr id="127" name="Graphic 127"/>
                        <wps:cNvSpPr/>
                        <wps:spPr>
                          <a:xfrm>
                            <a:off x="2633956" y="1415207"/>
                            <a:ext cx="62230" cy="1270"/>
                          </a:xfrm>
                          <a:custGeom>
                            <a:avLst/>
                            <a:gdLst/>
                            <a:ahLst/>
                            <a:cxnLst/>
                            <a:rect l="l" t="t" r="r" b="b"/>
                            <a:pathLst>
                              <a:path w="62230">
                                <a:moveTo>
                                  <a:pt x="0" y="0"/>
                                </a:moveTo>
                                <a:lnTo>
                                  <a:pt x="61681" y="0"/>
                                </a:lnTo>
                              </a:path>
                            </a:pathLst>
                          </a:custGeom>
                          <a:ln w="6173">
                            <a:solidFill>
                              <a:srgbClr val="000000"/>
                            </a:solidFill>
                            <a:prstDash val="solid"/>
                          </a:ln>
                        </wps:spPr>
                        <wps:bodyPr wrap="square" lIns="0" tIns="0" rIns="0" bIns="0" rtlCol="0">
                          <a:prstTxWarp prst="textNoShape">
                            <a:avLst/>
                          </a:prstTxWarp>
                          <a:noAutofit/>
                        </wps:bodyPr>
                      </wps:wsp>
                      <wps:wsp>
                        <wps:cNvPr id="128" name="Graphic 128"/>
                        <wps:cNvSpPr/>
                        <wps:spPr>
                          <a:xfrm>
                            <a:off x="3815195" y="1215770"/>
                            <a:ext cx="62230" cy="1270"/>
                          </a:xfrm>
                          <a:custGeom>
                            <a:avLst/>
                            <a:gdLst/>
                            <a:ahLst/>
                            <a:cxnLst/>
                            <a:rect l="l" t="t" r="r" b="b"/>
                            <a:pathLst>
                              <a:path w="62230">
                                <a:moveTo>
                                  <a:pt x="0" y="0"/>
                                </a:moveTo>
                                <a:lnTo>
                                  <a:pt x="61681" y="0"/>
                                </a:lnTo>
                              </a:path>
                            </a:pathLst>
                          </a:custGeom>
                          <a:ln w="6173">
                            <a:solidFill>
                              <a:srgbClr val="000000"/>
                            </a:solidFill>
                            <a:prstDash val="solid"/>
                          </a:ln>
                        </wps:spPr>
                        <wps:bodyPr wrap="square" lIns="0" tIns="0" rIns="0" bIns="0" rtlCol="0">
                          <a:prstTxWarp prst="textNoShape">
                            <a:avLst/>
                          </a:prstTxWarp>
                          <a:noAutofit/>
                        </wps:bodyPr>
                      </wps:wsp>
                      <wps:wsp>
                        <wps:cNvPr id="129" name="Graphic 129"/>
                        <wps:cNvSpPr/>
                        <wps:spPr>
                          <a:xfrm>
                            <a:off x="4996433" y="1437174"/>
                            <a:ext cx="62230" cy="1270"/>
                          </a:xfrm>
                          <a:custGeom>
                            <a:avLst/>
                            <a:gdLst/>
                            <a:ahLst/>
                            <a:cxnLst/>
                            <a:rect l="l" t="t" r="r" b="b"/>
                            <a:pathLst>
                              <a:path w="62230">
                                <a:moveTo>
                                  <a:pt x="0" y="0"/>
                                </a:moveTo>
                                <a:lnTo>
                                  <a:pt x="61681" y="0"/>
                                </a:lnTo>
                              </a:path>
                            </a:pathLst>
                          </a:custGeom>
                          <a:ln w="6173">
                            <a:solidFill>
                              <a:srgbClr val="000000"/>
                            </a:solidFill>
                            <a:prstDash val="solid"/>
                          </a:ln>
                        </wps:spPr>
                        <wps:bodyPr wrap="square" lIns="0" tIns="0" rIns="0" bIns="0" rtlCol="0">
                          <a:prstTxWarp prst="textNoShape">
                            <a:avLst/>
                          </a:prstTxWarp>
                          <a:noAutofit/>
                        </wps:bodyPr>
                      </wps:wsp>
                      <wps:wsp>
                        <wps:cNvPr id="130" name="Graphic 130"/>
                        <wps:cNvSpPr/>
                        <wps:spPr>
                          <a:xfrm>
                            <a:off x="862098" y="2720795"/>
                            <a:ext cx="62230" cy="1270"/>
                          </a:xfrm>
                          <a:custGeom>
                            <a:avLst/>
                            <a:gdLst/>
                            <a:ahLst/>
                            <a:cxnLst/>
                            <a:rect l="l" t="t" r="r" b="b"/>
                            <a:pathLst>
                              <a:path w="62230">
                                <a:moveTo>
                                  <a:pt x="0" y="0"/>
                                </a:moveTo>
                                <a:lnTo>
                                  <a:pt x="61681" y="0"/>
                                </a:lnTo>
                              </a:path>
                            </a:pathLst>
                          </a:custGeom>
                          <a:ln w="6173">
                            <a:solidFill>
                              <a:srgbClr val="000000"/>
                            </a:solidFill>
                            <a:prstDash val="solid"/>
                          </a:ln>
                        </wps:spPr>
                        <wps:bodyPr wrap="square" lIns="0" tIns="0" rIns="0" bIns="0" rtlCol="0">
                          <a:prstTxWarp prst="textNoShape">
                            <a:avLst/>
                          </a:prstTxWarp>
                          <a:noAutofit/>
                        </wps:bodyPr>
                      </wps:wsp>
                      <wps:wsp>
                        <wps:cNvPr id="131" name="Graphic 131"/>
                        <wps:cNvSpPr/>
                        <wps:spPr>
                          <a:xfrm>
                            <a:off x="1452717" y="2467886"/>
                            <a:ext cx="62230" cy="1270"/>
                          </a:xfrm>
                          <a:custGeom>
                            <a:avLst/>
                            <a:gdLst/>
                            <a:ahLst/>
                            <a:cxnLst/>
                            <a:rect l="l" t="t" r="r" b="b"/>
                            <a:pathLst>
                              <a:path w="62230">
                                <a:moveTo>
                                  <a:pt x="0" y="0"/>
                                </a:moveTo>
                                <a:lnTo>
                                  <a:pt x="61681" y="0"/>
                                </a:lnTo>
                              </a:path>
                            </a:pathLst>
                          </a:custGeom>
                          <a:ln w="6173">
                            <a:solidFill>
                              <a:srgbClr val="000000"/>
                            </a:solidFill>
                            <a:prstDash val="solid"/>
                          </a:ln>
                        </wps:spPr>
                        <wps:bodyPr wrap="square" lIns="0" tIns="0" rIns="0" bIns="0" rtlCol="0">
                          <a:prstTxWarp prst="textNoShape">
                            <a:avLst/>
                          </a:prstTxWarp>
                          <a:noAutofit/>
                        </wps:bodyPr>
                      </wps:wsp>
                      <wps:wsp>
                        <wps:cNvPr id="132" name="Graphic 132"/>
                        <wps:cNvSpPr/>
                        <wps:spPr>
                          <a:xfrm>
                            <a:off x="2633955" y="2327413"/>
                            <a:ext cx="62230" cy="1270"/>
                          </a:xfrm>
                          <a:custGeom>
                            <a:avLst/>
                            <a:gdLst/>
                            <a:ahLst/>
                            <a:cxnLst/>
                            <a:rect l="l" t="t" r="r" b="b"/>
                            <a:pathLst>
                              <a:path w="62230">
                                <a:moveTo>
                                  <a:pt x="0" y="0"/>
                                </a:moveTo>
                                <a:lnTo>
                                  <a:pt x="61681" y="0"/>
                                </a:lnTo>
                              </a:path>
                            </a:pathLst>
                          </a:custGeom>
                          <a:ln w="6173">
                            <a:solidFill>
                              <a:srgbClr val="000000"/>
                            </a:solidFill>
                            <a:prstDash val="solid"/>
                          </a:ln>
                        </wps:spPr>
                        <wps:bodyPr wrap="square" lIns="0" tIns="0" rIns="0" bIns="0" rtlCol="0">
                          <a:prstTxWarp prst="textNoShape">
                            <a:avLst/>
                          </a:prstTxWarp>
                          <a:noAutofit/>
                        </wps:bodyPr>
                      </wps:wsp>
                      <wps:wsp>
                        <wps:cNvPr id="133" name="Graphic 133"/>
                        <wps:cNvSpPr/>
                        <wps:spPr>
                          <a:xfrm>
                            <a:off x="3815195" y="2205728"/>
                            <a:ext cx="62230" cy="1270"/>
                          </a:xfrm>
                          <a:custGeom>
                            <a:avLst/>
                            <a:gdLst/>
                            <a:ahLst/>
                            <a:cxnLst/>
                            <a:rect l="l" t="t" r="r" b="b"/>
                            <a:pathLst>
                              <a:path w="62230">
                                <a:moveTo>
                                  <a:pt x="0" y="0"/>
                                </a:moveTo>
                                <a:lnTo>
                                  <a:pt x="61681" y="0"/>
                                </a:lnTo>
                              </a:path>
                            </a:pathLst>
                          </a:custGeom>
                          <a:ln w="6173">
                            <a:solidFill>
                              <a:srgbClr val="000000"/>
                            </a:solidFill>
                            <a:prstDash val="solid"/>
                          </a:ln>
                        </wps:spPr>
                        <wps:bodyPr wrap="square" lIns="0" tIns="0" rIns="0" bIns="0" rtlCol="0">
                          <a:prstTxWarp prst="textNoShape">
                            <a:avLst/>
                          </a:prstTxWarp>
                          <a:noAutofit/>
                        </wps:bodyPr>
                      </wps:wsp>
                      <wps:wsp>
                        <wps:cNvPr id="134" name="Graphic 134"/>
                        <wps:cNvSpPr/>
                        <wps:spPr>
                          <a:xfrm>
                            <a:off x="4996433" y="2205728"/>
                            <a:ext cx="62230" cy="1270"/>
                          </a:xfrm>
                          <a:custGeom>
                            <a:avLst/>
                            <a:gdLst/>
                            <a:ahLst/>
                            <a:cxnLst/>
                            <a:rect l="l" t="t" r="r" b="b"/>
                            <a:pathLst>
                              <a:path w="62230">
                                <a:moveTo>
                                  <a:pt x="0" y="0"/>
                                </a:moveTo>
                                <a:lnTo>
                                  <a:pt x="61681" y="0"/>
                                </a:lnTo>
                              </a:path>
                            </a:pathLst>
                          </a:custGeom>
                          <a:ln w="6173">
                            <a:solidFill>
                              <a:srgbClr val="000000"/>
                            </a:solidFill>
                            <a:prstDash val="solid"/>
                          </a:ln>
                        </wps:spPr>
                        <wps:bodyPr wrap="square" lIns="0" tIns="0" rIns="0" bIns="0" rtlCol="0">
                          <a:prstTxWarp prst="textNoShape">
                            <a:avLst/>
                          </a:prstTxWarp>
                          <a:noAutofit/>
                        </wps:bodyPr>
                      </wps:wsp>
                      <wps:wsp>
                        <wps:cNvPr id="135" name="Graphic 135"/>
                        <wps:cNvSpPr/>
                        <wps:spPr>
                          <a:xfrm>
                            <a:off x="283785" y="1076193"/>
                            <a:ext cx="4762500" cy="1885950"/>
                          </a:xfrm>
                          <a:custGeom>
                            <a:avLst/>
                            <a:gdLst/>
                            <a:ahLst/>
                            <a:cxnLst/>
                            <a:rect l="l" t="t" r="r" b="b"/>
                            <a:pathLst>
                              <a:path w="4762500" h="1885950">
                                <a:moveTo>
                                  <a:pt x="37058" y="1859965"/>
                                </a:moveTo>
                                <a:lnTo>
                                  <a:pt x="33515" y="1853857"/>
                                </a:lnTo>
                                <a:lnTo>
                                  <a:pt x="22059" y="1847240"/>
                                </a:lnTo>
                                <a:lnTo>
                                  <a:pt x="14998" y="1847240"/>
                                </a:lnTo>
                                <a:lnTo>
                                  <a:pt x="3530" y="1853857"/>
                                </a:lnTo>
                                <a:lnTo>
                                  <a:pt x="0" y="1859965"/>
                                </a:lnTo>
                                <a:lnTo>
                                  <a:pt x="0" y="1873211"/>
                                </a:lnTo>
                                <a:lnTo>
                                  <a:pt x="3530" y="1879320"/>
                                </a:lnTo>
                                <a:lnTo>
                                  <a:pt x="14998" y="1885937"/>
                                </a:lnTo>
                                <a:lnTo>
                                  <a:pt x="22059" y="1885937"/>
                                </a:lnTo>
                                <a:lnTo>
                                  <a:pt x="33515" y="1879320"/>
                                </a:lnTo>
                                <a:lnTo>
                                  <a:pt x="37058" y="1873211"/>
                                </a:lnTo>
                                <a:lnTo>
                                  <a:pt x="37058" y="1866595"/>
                                </a:lnTo>
                                <a:lnTo>
                                  <a:pt x="37058" y="1859965"/>
                                </a:lnTo>
                                <a:close/>
                              </a:path>
                              <a:path w="4762500" h="1885950">
                                <a:moveTo>
                                  <a:pt x="627672" y="1034186"/>
                                </a:moveTo>
                                <a:lnTo>
                                  <a:pt x="624141" y="1028077"/>
                                </a:lnTo>
                                <a:lnTo>
                                  <a:pt x="612673" y="1021461"/>
                                </a:lnTo>
                                <a:lnTo>
                                  <a:pt x="605612" y="1021461"/>
                                </a:lnTo>
                                <a:lnTo>
                                  <a:pt x="594156" y="1028077"/>
                                </a:lnTo>
                                <a:lnTo>
                                  <a:pt x="590626" y="1034186"/>
                                </a:lnTo>
                                <a:lnTo>
                                  <a:pt x="590626" y="1047419"/>
                                </a:lnTo>
                                <a:lnTo>
                                  <a:pt x="594156" y="1053541"/>
                                </a:lnTo>
                                <a:lnTo>
                                  <a:pt x="605612" y="1060157"/>
                                </a:lnTo>
                                <a:lnTo>
                                  <a:pt x="612673" y="1060157"/>
                                </a:lnTo>
                                <a:lnTo>
                                  <a:pt x="624141" y="1053541"/>
                                </a:lnTo>
                                <a:lnTo>
                                  <a:pt x="627672" y="1047419"/>
                                </a:lnTo>
                                <a:lnTo>
                                  <a:pt x="627672" y="1040803"/>
                                </a:lnTo>
                                <a:lnTo>
                                  <a:pt x="627672" y="1034186"/>
                                </a:lnTo>
                                <a:close/>
                              </a:path>
                              <a:path w="4762500" h="1885950">
                                <a:moveTo>
                                  <a:pt x="1218285" y="382117"/>
                                </a:moveTo>
                                <a:lnTo>
                                  <a:pt x="1214755" y="376008"/>
                                </a:lnTo>
                                <a:lnTo>
                                  <a:pt x="1203299" y="369379"/>
                                </a:lnTo>
                                <a:lnTo>
                                  <a:pt x="1196238" y="369379"/>
                                </a:lnTo>
                                <a:lnTo>
                                  <a:pt x="1184770" y="376008"/>
                                </a:lnTo>
                                <a:lnTo>
                                  <a:pt x="1181239" y="382117"/>
                                </a:lnTo>
                                <a:lnTo>
                                  <a:pt x="1181239" y="395351"/>
                                </a:lnTo>
                                <a:lnTo>
                                  <a:pt x="1184770" y="401459"/>
                                </a:lnTo>
                                <a:lnTo>
                                  <a:pt x="1196238" y="408089"/>
                                </a:lnTo>
                                <a:lnTo>
                                  <a:pt x="1203299" y="408089"/>
                                </a:lnTo>
                                <a:lnTo>
                                  <a:pt x="1214755" y="401459"/>
                                </a:lnTo>
                                <a:lnTo>
                                  <a:pt x="1218285" y="395351"/>
                                </a:lnTo>
                                <a:lnTo>
                                  <a:pt x="1218285" y="388734"/>
                                </a:lnTo>
                                <a:lnTo>
                                  <a:pt x="1218285" y="382117"/>
                                </a:lnTo>
                                <a:close/>
                              </a:path>
                              <a:path w="4762500" h="1885950">
                                <a:moveTo>
                                  <a:pt x="2399525" y="208407"/>
                                </a:moveTo>
                                <a:lnTo>
                                  <a:pt x="2395994" y="202285"/>
                                </a:lnTo>
                                <a:lnTo>
                                  <a:pt x="2384539" y="195668"/>
                                </a:lnTo>
                                <a:lnTo>
                                  <a:pt x="2377478" y="195668"/>
                                </a:lnTo>
                                <a:lnTo>
                                  <a:pt x="2366010" y="202285"/>
                                </a:lnTo>
                                <a:lnTo>
                                  <a:pt x="2362479" y="208407"/>
                                </a:lnTo>
                                <a:lnTo>
                                  <a:pt x="2362479" y="221640"/>
                                </a:lnTo>
                                <a:lnTo>
                                  <a:pt x="2366010" y="227749"/>
                                </a:lnTo>
                                <a:lnTo>
                                  <a:pt x="2377478" y="234365"/>
                                </a:lnTo>
                                <a:lnTo>
                                  <a:pt x="2384539" y="234365"/>
                                </a:lnTo>
                                <a:lnTo>
                                  <a:pt x="2395994" y="227749"/>
                                </a:lnTo>
                                <a:lnTo>
                                  <a:pt x="2399525" y="221640"/>
                                </a:lnTo>
                                <a:lnTo>
                                  <a:pt x="2399525" y="215023"/>
                                </a:lnTo>
                                <a:lnTo>
                                  <a:pt x="2399525" y="208407"/>
                                </a:lnTo>
                                <a:close/>
                              </a:path>
                              <a:path w="4762500" h="1885950">
                                <a:moveTo>
                                  <a:pt x="3580765" y="12725"/>
                                </a:moveTo>
                                <a:lnTo>
                                  <a:pt x="3577234" y="6616"/>
                                </a:lnTo>
                                <a:lnTo>
                                  <a:pt x="3565779" y="0"/>
                                </a:lnTo>
                                <a:lnTo>
                                  <a:pt x="3558717" y="0"/>
                                </a:lnTo>
                                <a:lnTo>
                                  <a:pt x="3547249" y="6616"/>
                                </a:lnTo>
                                <a:lnTo>
                                  <a:pt x="3543719" y="12725"/>
                                </a:lnTo>
                                <a:lnTo>
                                  <a:pt x="3543719" y="25958"/>
                                </a:lnTo>
                                <a:lnTo>
                                  <a:pt x="3547249" y="32067"/>
                                </a:lnTo>
                                <a:lnTo>
                                  <a:pt x="3558717" y="38696"/>
                                </a:lnTo>
                                <a:lnTo>
                                  <a:pt x="3565779" y="38696"/>
                                </a:lnTo>
                                <a:lnTo>
                                  <a:pt x="3577234" y="32067"/>
                                </a:lnTo>
                                <a:lnTo>
                                  <a:pt x="3580765" y="25958"/>
                                </a:lnTo>
                                <a:lnTo>
                                  <a:pt x="3580765" y="19342"/>
                                </a:lnTo>
                                <a:lnTo>
                                  <a:pt x="3580765" y="12725"/>
                                </a:lnTo>
                                <a:close/>
                              </a:path>
                              <a:path w="4762500" h="1885950">
                                <a:moveTo>
                                  <a:pt x="4762004" y="230085"/>
                                </a:moveTo>
                                <a:lnTo>
                                  <a:pt x="4758474" y="223964"/>
                                </a:lnTo>
                                <a:lnTo>
                                  <a:pt x="4747018" y="217347"/>
                                </a:lnTo>
                                <a:lnTo>
                                  <a:pt x="4739957" y="217347"/>
                                </a:lnTo>
                                <a:lnTo>
                                  <a:pt x="4728489" y="223964"/>
                                </a:lnTo>
                                <a:lnTo>
                                  <a:pt x="4724959" y="230085"/>
                                </a:lnTo>
                                <a:lnTo>
                                  <a:pt x="4724959" y="243319"/>
                                </a:lnTo>
                                <a:lnTo>
                                  <a:pt x="4728489" y="249428"/>
                                </a:lnTo>
                                <a:lnTo>
                                  <a:pt x="4739957" y="256044"/>
                                </a:lnTo>
                                <a:lnTo>
                                  <a:pt x="4747018" y="256044"/>
                                </a:lnTo>
                                <a:lnTo>
                                  <a:pt x="4758474" y="249428"/>
                                </a:lnTo>
                                <a:lnTo>
                                  <a:pt x="4762004" y="243319"/>
                                </a:lnTo>
                                <a:lnTo>
                                  <a:pt x="4762004" y="236702"/>
                                </a:lnTo>
                                <a:lnTo>
                                  <a:pt x="4762004" y="230085"/>
                                </a:lnTo>
                                <a:close/>
                              </a:path>
                            </a:pathLst>
                          </a:custGeom>
                          <a:solidFill>
                            <a:srgbClr val="000000"/>
                          </a:solidFill>
                        </wps:spPr>
                        <wps:bodyPr wrap="square" lIns="0" tIns="0" rIns="0" bIns="0" rtlCol="0">
                          <a:prstTxWarp prst="textNoShape">
                            <a:avLst/>
                          </a:prstTxWarp>
                          <a:noAutofit/>
                        </wps:bodyPr>
                      </wps:wsp>
                      <wps:wsp>
                        <wps:cNvPr id="136" name="Graphic 136"/>
                        <wps:cNvSpPr/>
                        <wps:spPr>
                          <a:xfrm>
                            <a:off x="283795" y="2923428"/>
                            <a:ext cx="37465" cy="38735"/>
                          </a:xfrm>
                          <a:custGeom>
                            <a:avLst/>
                            <a:gdLst/>
                            <a:ahLst/>
                            <a:cxnLst/>
                            <a:rect l="l" t="t" r="r" b="b"/>
                            <a:pathLst>
                              <a:path w="37465" h="38735">
                                <a:moveTo>
                                  <a:pt x="37049" y="19349"/>
                                </a:moveTo>
                                <a:lnTo>
                                  <a:pt x="37049" y="12730"/>
                                </a:lnTo>
                                <a:lnTo>
                                  <a:pt x="33517" y="6618"/>
                                </a:lnTo>
                                <a:lnTo>
                                  <a:pt x="27787" y="3309"/>
                                </a:lnTo>
                                <a:lnTo>
                                  <a:pt x="22056" y="0"/>
                                </a:lnTo>
                                <a:lnTo>
                                  <a:pt x="14992" y="0"/>
                                </a:lnTo>
                                <a:lnTo>
                                  <a:pt x="9262" y="3309"/>
                                </a:lnTo>
                                <a:lnTo>
                                  <a:pt x="3532" y="6618"/>
                                </a:lnTo>
                                <a:lnTo>
                                  <a:pt x="0" y="12730"/>
                                </a:lnTo>
                                <a:lnTo>
                                  <a:pt x="0" y="19349"/>
                                </a:lnTo>
                                <a:lnTo>
                                  <a:pt x="0" y="25967"/>
                                </a:lnTo>
                                <a:lnTo>
                                  <a:pt x="3532" y="32079"/>
                                </a:lnTo>
                                <a:lnTo>
                                  <a:pt x="9262" y="35388"/>
                                </a:lnTo>
                                <a:lnTo>
                                  <a:pt x="14992" y="38698"/>
                                </a:lnTo>
                                <a:lnTo>
                                  <a:pt x="22056" y="38698"/>
                                </a:lnTo>
                                <a:lnTo>
                                  <a:pt x="27787" y="35388"/>
                                </a:lnTo>
                                <a:lnTo>
                                  <a:pt x="33517" y="32079"/>
                                </a:lnTo>
                                <a:lnTo>
                                  <a:pt x="37049" y="25967"/>
                                </a:lnTo>
                                <a:lnTo>
                                  <a:pt x="37049" y="19349"/>
                                </a:lnTo>
                                <a:close/>
                              </a:path>
                            </a:pathLst>
                          </a:custGeom>
                          <a:ln w="6174">
                            <a:solidFill>
                              <a:srgbClr val="000000"/>
                            </a:solidFill>
                            <a:prstDash val="solid"/>
                          </a:ln>
                        </wps:spPr>
                        <wps:bodyPr wrap="square" lIns="0" tIns="0" rIns="0" bIns="0" rtlCol="0">
                          <a:prstTxWarp prst="textNoShape">
                            <a:avLst/>
                          </a:prstTxWarp>
                          <a:noAutofit/>
                        </wps:bodyPr>
                      </wps:wsp>
                      <wps:wsp>
                        <wps:cNvPr id="137" name="Graphic 137"/>
                        <wps:cNvSpPr/>
                        <wps:spPr>
                          <a:xfrm>
                            <a:off x="874413" y="2626007"/>
                            <a:ext cx="37465" cy="38735"/>
                          </a:xfrm>
                          <a:custGeom>
                            <a:avLst/>
                            <a:gdLst/>
                            <a:ahLst/>
                            <a:cxnLst/>
                            <a:rect l="l" t="t" r="r" b="b"/>
                            <a:pathLst>
                              <a:path w="37465" h="38735">
                                <a:moveTo>
                                  <a:pt x="37049" y="19349"/>
                                </a:moveTo>
                                <a:lnTo>
                                  <a:pt x="37049" y="12730"/>
                                </a:lnTo>
                                <a:lnTo>
                                  <a:pt x="33517" y="6618"/>
                                </a:lnTo>
                                <a:lnTo>
                                  <a:pt x="27787" y="3309"/>
                                </a:lnTo>
                                <a:lnTo>
                                  <a:pt x="22056" y="0"/>
                                </a:lnTo>
                                <a:lnTo>
                                  <a:pt x="14992" y="0"/>
                                </a:lnTo>
                                <a:lnTo>
                                  <a:pt x="9262" y="3309"/>
                                </a:lnTo>
                                <a:lnTo>
                                  <a:pt x="3532" y="6618"/>
                                </a:lnTo>
                                <a:lnTo>
                                  <a:pt x="0" y="12730"/>
                                </a:lnTo>
                                <a:lnTo>
                                  <a:pt x="0" y="19349"/>
                                </a:lnTo>
                                <a:lnTo>
                                  <a:pt x="0" y="25967"/>
                                </a:lnTo>
                                <a:lnTo>
                                  <a:pt x="3532" y="32079"/>
                                </a:lnTo>
                                <a:lnTo>
                                  <a:pt x="9262" y="35388"/>
                                </a:lnTo>
                                <a:lnTo>
                                  <a:pt x="14992" y="38698"/>
                                </a:lnTo>
                                <a:lnTo>
                                  <a:pt x="22056" y="38698"/>
                                </a:lnTo>
                                <a:lnTo>
                                  <a:pt x="27787" y="35388"/>
                                </a:lnTo>
                                <a:lnTo>
                                  <a:pt x="33517" y="32079"/>
                                </a:lnTo>
                                <a:lnTo>
                                  <a:pt x="37049" y="25967"/>
                                </a:lnTo>
                                <a:lnTo>
                                  <a:pt x="37049" y="19349"/>
                                </a:lnTo>
                                <a:close/>
                              </a:path>
                            </a:pathLst>
                          </a:custGeom>
                          <a:ln w="6174">
                            <a:solidFill>
                              <a:srgbClr val="000000"/>
                            </a:solidFill>
                            <a:prstDash val="solid"/>
                          </a:ln>
                        </wps:spPr>
                        <wps:bodyPr wrap="square" lIns="0" tIns="0" rIns="0" bIns="0" rtlCol="0">
                          <a:prstTxWarp prst="textNoShape">
                            <a:avLst/>
                          </a:prstTxWarp>
                          <a:noAutofit/>
                        </wps:bodyPr>
                      </wps:wsp>
                      <wps:wsp>
                        <wps:cNvPr id="138" name="Graphic 138"/>
                        <wps:cNvSpPr/>
                        <wps:spPr>
                          <a:xfrm>
                            <a:off x="1465033" y="2349686"/>
                            <a:ext cx="37465" cy="38735"/>
                          </a:xfrm>
                          <a:custGeom>
                            <a:avLst/>
                            <a:gdLst/>
                            <a:ahLst/>
                            <a:cxnLst/>
                            <a:rect l="l" t="t" r="r" b="b"/>
                            <a:pathLst>
                              <a:path w="37465" h="38735">
                                <a:moveTo>
                                  <a:pt x="37049" y="19349"/>
                                </a:moveTo>
                                <a:lnTo>
                                  <a:pt x="37049" y="12730"/>
                                </a:lnTo>
                                <a:lnTo>
                                  <a:pt x="33517" y="6618"/>
                                </a:lnTo>
                                <a:lnTo>
                                  <a:pt x="27787" y="3309"/>
                                </a:lnTo>
                                <a:lnTo>
                                  <a:pt x="22056" y="0"/>
                                </a:lnTo>
                                <a:lnTo>
                                  <a:pt x="14992" y="0"/>
                                </a:lnTo>
                                <a:lnTo>
                                  <a:pt x="9262" y="3309"/>
                                </a:lnTo>
                                <a:lnTo>
                                  <a:pt x="3532" y="6618"/>
                                </a:lnTo>
                                <a:lnTo>
                                  <a:pt x="0" y="12730"/>
                                </a:lnTo>
                                <a:lnTo>
                                  <a:pt x="0" y="19349"/>
                                </a:lnTo>
                                <a:lnTo>
                                  <a:pt x="0" y="25967"/>
                                </a:lnTo>
                                <a:lnTo>
                                  <a:pt x="3532" y="32079"/>
                                </a:lnTo>
                                <a:lnTo>
                                  <a:pt x="9262" y="35388"/>
                                </a:lnTo>
                                <a:lnTo>
                                  <a:pt x="14992" y="38698"/>
                                </a:lnTo>
                                <a:lnTo>
                                  <a:pt x="22056" y="38698"/>
                                </a:lnTo>
                                <a:lnTo>
                                  <a:pt x="27787" y="35388"/>
                                </a:lnTo>
                                <a:lnTo>
                                  <a:pt x="33517" y="32079"/>
                                </a:lnTo>
                                <a:lnTo>
                                  <a:pt x="37049" y="25967"/>
                                </a:lnTo>
                                <a:lnTo>
                                  <a:pt x="37049" y="19349"/>
                                </a:lnTo>
                                <a:close/>
                              </a:path>
                            </a:pathLst>
                          </a:custGeom>
                          <a:ln w="6174">
                            <a:solidFill>
                              <a:srgbClr val="000000"/>
                            </a:solidFill>
                            <a:prstDash val="solid"/>
                          </a:ln>
                        </wps:spPr>
                        <wps:bodyPr wrap="square" lIns="0" tIns="0" rIns="0" bIns="0" rtlCol="0">
                          <a:prstTxWarp prst="textNoShape">
                            <a:avLst/>
                          </a:prstTxWarp>
                          <a:noAutofit/>
                        </wps:bodyPr>
                      </wps:wsp>
                      <wps:wsp>
                        <wps:cNvPr id="139" name="Graphic 139"/>
                        <wps:cNvSpPr/>
                        <wps:spPr>
                          <a:xfrm>
                            <a:off x="2646272" y="2200830"/>
                            <a:ext cx="37465" cy="38735"/>
                          </a:xfrm>
                          <a:custGeom>
                            <a:avLst/>
                            <a:gdLst/>
                            <a:ahLst/>
                            <a:cxnLst/>
                            <a:rect l="l" t="t" r="r" b="b"/>
                            <a:pathLst>
                              <a:path w="37465" h="38735">
                                <a:moveTo>
                                  <a:pt x="37049" y="19349"/>
                                </a:moveTo>
                                <a:lnTo>
                                  <a:pt x="37049" y="12730"/>
                                </a:lnTo>
                                <a:lnTo>
                                  <a:pt x="33517" y="6618"/>
                                </a:lnTo>
                                <a:lnTo>
                                  <a:pt x="27787" y="3309"/>
                                </a:lnTo>
                                <a:lnTo>
                                  <a:pt x="22056" y="0"/>
                                </a:lnTo>
                                <a:lnTo>
                                  <a:pt x="14992" y="0"/>
                                </a:lnTo>
                                <a:lnTo>
                                  <a:pt x="9262" y="3309"/>
                                </a:lnTo>
                                <a:lnTo>
                                  <a:pt x="3532" y="6618"/>
                                </a:lnTo>
                                <a:lnTo>
                                  <a:pt x="0" y="12730"/>
                                </a:lnTo>
                                <a:lnTo>
                                  <a:pt x="0" y="19349"/>
                                </a:lnTo>
                                <a:lnTo>
                                  <a:pt x="0" y="25967"/>
                                </a:lnTo>
                                <a:lnTo>
                                  <a:pt x="3532" y="32079"/>
                                </a:lnTo>
                                <a:lnTo>
                                  <a:pt x="9262" y="35388"/>
                                </a:lnTo>
                                <a:lnTo>
                                  <a:pt x="14992" y="38698"/>
                                </a:lnTo>
                                <a:lnTo>
                                  <a:pt x="22056" y="38698"/>
                                </a:lnTo>
                                <a:lnTo>
                                  <a:pt x="27787" y="35388"/>
                                </a:lnTo>
                                <a:lnTo>
                                  <a:pt x="33517" y="32079"/>
                                </a:lnTo>
                                <a:lnTo>
                                  <a:pt x="37049" y="25967"/>
                                </a:lnTo>
                                <a:lnTo>
                                  <a:pt x="37049" y="19349"/>
                                </a:lnTo>
                                <a:close/>
                              </a:path>
                            </a:pathLst>
                          </a:custGeom>
                          <a:ln w="6174">
                            <a:solidFill>
                              <a:srgbClr val="000000"/>
                            </a:solidFill>
                            <a:prstDash val="solid"/>
                          </a:ln>
                        </wps:spPr>
                        <wps:bodyPr wrap="square" lIns="0" tIns="0" rIns="0" bIns="0" rtlCol="0">
                          <a:prstTxWarp prst="textNoShape">
                            <a:avLst/>
                          </a:prstTxWarp>
                          <a:noAutofit/>
                        </wps:bodyPr>
                      </wps:wsp>
                      <wps:wsp>
                        <wps:cNvPr id="140" name="Graphic 140"/>
                        <wps:cNvSpPr/>
                        <wps:spPr>
                          <a:xfrm>
                            <a:off x="3827510" y="2073365"/>
                            <a:ext cx="37465" cy="38735"/>
                          </a:xfrm>
                          <a:custGeom>
                            <a:avLst/>
                            <a:gdLst/>
                            <a:ahLst/>
                            <a:cxnLst/>
                            <a:rect l="l" t="t" r="r" b="b"/>
                            <a:pathLst>
                              <a:path w="37465" h="38735">
                                <a:moveTo>
                                  <a:pt x="37049" y="19349"/>
                                </a:moveTo>
                                <a:lnTo>
                                  <a:pt x="37049" y="12730"/>
                                </a:lnTo>
                                <a:lnTo>
                                  <a:pt x="33517" y="6618"/>
                                </a:lnTo>
                                <a:lnTo>
                                  <a:pt x="27787" y="3309"/>
                                </a:lnTo>
                                <a:lnTo>
                                  <a:pt x="22056" y="0"/>
                                </a:lnTo>
                                <a:lnTo>
                                  <a:pt x="14992" y="0"/>
                                </a:lnTo>
                                <a:lnTo>
                                  <a:pt x="9262" y="3309"/>
                                </a:lnTo>
                                <a:lnTo>
                                  <a:pt x="3532" y="6618"/>
                                </a:lnTo>
                                <a:lnTo>
                                  <a:pt x="0" y="12730"/>
                                </a:lnTo>
                                <a:lnTo>
                                  <a:pt x="0" y="19349"/>
                                </a:lnTo>
                                <a:lnTo>
                                  <a:pt x="0" y="25967"/>
                                </a:lnTo>
                                <a:lnTo>
                                  <a:pt x="3532" y="32079"/>
                                </a:lnTo>
                                <a:lnTo>
                                  <a:pt x="9262" y="35388"/>
                                </a:lnTo>
                                <a:lnTo>
                                  <a:pt x="14992" y="38698"/>
                                </a:lnTo>
                                <a:lnTo>
                                  <a:pt x="22056" y="38698"/>
                                </a:lnTo>
                                <a:lnTo>
                                  <a:pt x="27787" y="35388"/>
                                </a:lnTo>
                                <a:lnTo>
                                  <a:pt x="33517" y="32079"/>
                                </a:lnTo>
                                <a:lnTo>
                                  <a:pt x="37049" y="25967"/>
                                </a:lnTo>
                                <a:lnTo>
                                  <a:pt x="37049" y="19349"/>
                                </a:lnTo>
                                <a:close/>
                              </a:path>
                            </a:pathLst>
                          </a:custGeom>
                          <a:ln w="6174">
                            <a:solidFill>
                              <a:srgbClr val="000000"/>
                            </a:solidFill>
                            <a:prstDash val="solid"/>
                          </a:ln>
                        </wps:spPr>
                        <wps:bodyPr wrap="square" lIns="0" tIns="0" rIns="0" bIns="0" rtlCol="0">
                          <a:prstTxWarp prst="textNoShape">
                            <a:avLst/>
                          </a:prstTxWarp>
                          <a:noAutofit/>
                        </wps:bodyPr>
                      </wps:wsp>
                      <wps:wsp>
                        <wps:cNvPr id="141" name="Graphic 141"/>
                        <wps:cNvSpPr/>
                        <wps:spPr>
                          <a:xfrm>
                            <a:off x="5008749" y="2073365"/>
                            <a:ext cx="37465" cy="38735"/>
                          </a:xfrm>
                          <a:custGeom>
                            <a:avLst/>
                            <a:gdLst/>
                            <a:ahLst/>
                            <a:cxnLst/>
                            <a:rect l="l" t="t" r="r" b="b"/>
                            <a:pathLst>
                              <a:path w="37465" h="38735">
                                <a:moveTo>
                                  <a:pt x="37049" y="19349"/>
                                </a:moveTo>
                                <a:lnTo>
                                  <a:pt x="37049" y="12730"/>
                                </a:lnTo>
                                <a:lnTo>
                                  <a:pt x="33517" y="6618"/>
                                </a:lnTo>
                                <a:lnTo>
                                  <a:pt x="27787" y="3309"/>
                                </a:lnTo>
                                <a:lnTo>
                                  <a:pt x="22056" y="0"/>
                                </a:lnTo>
                                <a:lnTo>
                                  <a:pt x="14992" y="0"/>
                                </a:lnTo>
                                <a:lnTo>
                                  <a:pt x="9262" y="3309"/>
                                </a:lnTo>
                                <a:lnTo>
                                  <a:pt x="3532" y="6618"/>
                                </a:lnTo>
                                <a:lnTo>
                                  <a:pt x="0" y="12730"/>
                                </a:lnTo>
                                <a:lnTo>
                                  <a:pt x="0" y="19349"/>
                                </a:lnTo>
                                <a:lnTo>
                                  <a:pt x="0" y="25967"/>
                                </a:lnTo>
                                <a:lnTo>
                                  <a:pt x="3532" y="32079"/>
                                </a:lnTo>
                                <a:lnTo>
                                  <a:pt x="9262" y="35388"/>
                                </a:lnTo>
                                <a:lnTo>
                                  <a:pt x="14992" y="38698"/>
                                </a:lnTo>
                                <a:lnTo>
                                  <a:pt x="22056" y="38698"/>
                                </a:lnTo>
                                <a:lnTo>
                                  <a:pt x="27787" y="35388"/>
                                </a:lnTo>
                                <a:lnTo>
                                  <a:pt x="33517" y="32079"/>
                                </a:lnTo>
                                <a:lnTo>
                                  <a:pt x="37049" y="25967"/>
                                </a:lnTo>
                                <a:lnTo>
                                  <a:pt x="37049" y="19349"/>
                                </a:lnTo>
                                <a:close/>
                              </a:path>
                            </a:pathLst>
                          </a:custGeom>
                          <a:ln w="6174">
                            <a:solidFill>
                              <a:srgbClr val="000000"/>
                            </a:solidFill>
                            <a:prstDash val="solid"/>
                          </a:ln>
                        </wps:spPr>
                        <wps:bodyPr wrap="square" lIns="0" tIns="0" rIns="0" bIns="0" rtlCol="0">
                          <a:prstTxWarp prst="textNoShape">
                            <a:avLst/>
                          </a:prstTxWarp>
                          <a:noAutofit/>
                        </wps:bodyPr>
                      </wps:wsp>
                      <wps:wsp>
                        <wps:cNvPr id="142" name="Graphic 142"/>
                        <wps:cNvSpPr/>
                        <wps:spPr>
                          <a:xfrm>
                            <a:off x="302319" y="1095528"/>
                            <a:ext cx="4725035" cy="1847850"/>
                          </a:xfrm>
                          <a:custGeom>
                            <a:avLst/>
                            <a:gdLst/>
                            <a:ahLst/>
                            <a:cxnLst/>
                            <a:rect l="l" t="t" r="r" b="b"/>
                            <a:pathLst>
                              <a:path w="4725035" h="1847850">
                                <a:moveTo>
                                  <a:pt x="0" y="1847248"/>
                                </a:moveTo>
                                <a:lnTo>
                                  <a:pt x="590616" y="1021462"/>
                                </a:lnTo>
                                <a:lnTo>
                                  <a:pt x="1181239" y="369391"/>
                                </a:lnTo>
                                <a:lnTo>
                                  <a:pt x="2362478" y="195682"/>
                                </a:lnTo>
                                <a:lnTo>
                                  <a:pt x="3543717" y="0"/>
                                </a:lnTo>
                                <a:lnTo>
                                  <a:pt x="4724956" y="217358"/>
                                </a:lnTo>
                              </a:path>
                            </a:pathLst>
                          </a:custGeom>
                          <a:ln w="6174">
                            <a:solidFill>
                              <a:srgbClr val="000000"/>
                            </a:solidFill>
                            <a:prstDash val="solid"/>
                          </a:ln>
                        </wps:spPr>
                        <wps:bodyPr wrap="square" lIns="0" tIns="0" rIns="0" bIns="0" rtlCol="0">
                          <a:prstTxWarp prst="textNoShape">
                            <a:avLst/>
                          </a:prstTxWarp>
                          <a:noAutofit/>
                        </wps:bodyPr>
                      </wps:wsp>
                      <wps:wsp>
                        <wps:cNvPr id="143" name="Graphic 143"/>
                        <wps:cNvSpPr/>
                        <wps:spPr>
                          <a:xfrm>
                            <a:off x="302319" y="2092715"/>
                            <a:ext cx="4725035" cy="850265"/>
                          </a:xfrm>
                          <a:custGeom>
                            <a:avLst/>
                            <a:gdLst/>
                            <a:ahLst/>
                            <a:cxnLst/>
                            <a:rect l="l" t="t" r="r" b="b"/>
                            <a:pathLst>
                              <a:path w="4725035" h="850265">
                                <a:moveTo>
                                  <a:pt x="0" y="850061"/>
                                </a:moveTo>
                                <a:lnTo>
                                  <a:pt x="590616" y="552639"/>
                                </a:lnTo>
                                <a:lnTo>
                                  <a:pt x="1181239" y="276319"/>
                                </a:lnTo>
                                <a:lnTo>
                                  <a:pt x="2362478" y="127466"/>
                                </a:lnTo>
                                <a:lnTo>
                                  <a:pt x="3543717" y="0"/>
                                </a:lnTo>
                                <a:lnTo>
                                  <a:pt x="4724956" y="0"/>
                                </a:lnTo>
                              </a:path>
                            </a:pathLst>
                          </a:custGeom>
                          <a:ln w="6173">
                            <a:solidFill>
                              <a:srgbClr val="000000"/>
                            </a:solidFill>
                            <a:prstDash val="lgDash"/>
                          </a:ln>
                        </wps:spPr>
                        <wps:bodyPr wrap="square" lIns="0" tIns="0" rIns="0" bIns="0" rtlCol="0">
                          <a:prstTxWarp prst="textNoShape">
                            <a:avLst/>
                          </a:prstTxWarp>
                          <a:noAutofit/>
                        </wps:bodyPr>
                      </wps:wsp>
                      <wps:wsp>
                        <wps:cNvPr id="144" name="Graphic 144"/>
                        <wps:cNvSpPr/>
                        <wps:spPr>
                          <a:xfrm>
                            <a:off x="5020633" y="2089870"/>
                            <a:ext cx="6985" cy="3175"/>
                          </a:xfrm>
                          <a:custGeom>
                            <a:avLst/>
                            <a:gdLst/>
                            <a:ahLst/>
                            <a:cxnLst/>
                            <a:rect l="l" t="t" r="r" b="b"/>
                            <a:pathLst>
                              <a:path w="6985" h="3175">
                                <a:moveTo>
                                  <a:pt x="0" y="0"/>
                                </a:moveTo>
                                <a:lnTo>
                                  <a:pt x="6638" y="2846"/>
                                </a:lnTo>
                              </a:path>
                            </a:pathLst>
                          </a:custGeom>
                          <a:ln w="6174">
                            <a:solidFill>
                              <a:srgbClr val="000000"/>
                            </a:solidFill>
                            <a:prstDash val="solid"/>
                          </a:ln>
                        </wps:spPr>
                        <wps:bodyPr wrap="square" lIns="0" tIns="0" rIns="0" bIns="0" rtlCol="0">
                          <a:prstTxWarp prst="textNoShape">
                            <a:avLst/>
                          </a:prstTxWarp>
                          <a:noAutofit/>
                        </wps:bodyPr>
                      </wps:wsp>
                      <wps:wsp>
                        <wps:cNvPr id="145" name="Graphic 145"/>
                        <wps:cNvSpPr/>
                        <wps:spPr>
                          <a:xfrm>
                            <a:off x="283785" y="1076193"/>
                            <a:ext cx="4762500" cy="1885950"/>
                          </a:xfrm>
                          <a:custGeom>
                            <a:avLst/>
                            <a:gdLst/>
                            <a:ahLst/>
                            <a:cxnLst/>
                            <a:rect l="l" t="t" r="r" b="b"/>
                            <a:pathLst>
                              <a:path w="4762500" h="1885950">
                                <a:moveTo>
                                  <a:pt x="37045" y="1859965"/>
                                </a:moveTo>
                                <a:lnTo>
                                  <a:pt x="33515" y="1853857"/>
                                </a:lnTo>
                                <a:lnTo>
                                  <a:pt x="22059" y="1847240"/>
                                </a:lnTo>
                                <a:lnTo>
                                  <a:pt x="14998" y="1847240"/>
                                </a:lnTo>
                                <a:lnTo>
                                  <a:pt x="3530" y="1853857"/>
                                </a:lnTo>
                                <a:lnTo>
                                  <a:pt x="0" y="1859965"/>
                                </a:lnTo>
                                <a:lnTo>
                                  <a:pt x="0" y="1873211"/>
                                </a:lnTo>
                                <a:lnTo>
                                  <a:pt x="3530" y="1879320"/>
                                </a:lnTo>
                                <a:lnTo>
                                  <a:pt x="14998" y="1885937"/>
                                </a:lnTo>
                                <a:lnTo>
                                  <a:pt x="22059" y="1885937"/>
                                </a:lnTo>
                                <a:lnTo>
                                  <a:pt x="33515" y="1879320"/>
                                </a:lnTo>
                                <a:lnTo>
                                  <a:pt x="37045" y="1873211"/>
                                </a:lnTo>
                                <a:lnTo>
                                  <a:pt x="37045" y="1866595"/>
                                </a:lnTo>
                                <a:lnTo>
                                  <a:pt x="37045" y="1859965"/>
                                </a:lnTo>
                                <a:close/>
                              </a:path>
                              <a:path w="4762500" h="1885950">
                                <a:moveTo>
                                  <a:pt x="627672" y="1034186"/>
                                </a:moveTo>
                                <a:lnTo>
                                  <a:pt x="624141" y="1028077"/>
                                </a:lnTo>
                                <a:lnTo>
                                  <a:pt x="612673" y="1021461"/>
                                </a:lnTo>
                                <a:lnTo>
                                  <a:pt x="605612" y="1021461"/>
                                </a:lnTo>
                                <a:lnTo>
                                  <a:pt x="594156" y="1028077"/>
                                </a:lnTo>
                                <a:lnTo>
                                  <a:pt x="590626" y="1034186"/>
                                </a:lnTo>
                                <a:lnTo>
                                  <a:pt x="590626" y="1047419"/>
                                </a:lnTo>
                                <a:lnTo>
                                  <a:pt x="594156" y="1053541"/>
                                </a:lnTo>
                                <a:lnTo>
                                  <a:pt x="605612" y="1060157"/>
                                </a:lnTo>
                                <a:lnTo>
                                  <a:pt x="612673" y="1060157"/>
                                </a:lnTo>
                                <a:lnTo>
                                  <a:pt x="624141" y="1053541"/>
                                </a:lnTo>
                                <a:lnTo>
                                  <a:pt x="627672" y="1047419"/>
                                </a:lnTo>
                                <a:lnTo>
                                  <a:pt x="627672" y="1040803"/>
                                </a:lnTo>
                                <a:lnTo>
                                  <a:pt x="627672" y="1034186"/>
                                </a:lnTo>
                                <a:close/>
                              </a:path>
                              <a:path w="4762500" h="1885950">
                                <a:moveTo>
                                  <a:pt x="1218285" y="382117"/>
                                </a:moveTo>
                                <a:lnTo>
                                  <a:pt x="1214755" y="376008"/>
                                </a:lnTo>
                                <a:lnTo>
                                  <a:pt x="1203299" y="369379"/>
                                </a:lnTo>
                                <a:lnTo>
                                  <a:pt x="1196238" y="369379"/>
                                </a:lnTo>
                                <a:lnTo>
                                  <a:pt x="1184770" y="376008"/>
                                </a:lnTo>
                                <a:lnTo>
                                  <a:pt x="1181239" y="382117"/>
                                </a:lnTo>
                                <a:lnTo>
                                  <a:pt x="1181239" y="395351"/>
                                </a:lnTo>
                                <a:lnTo>
                                  <a:pt x="1184770" y="401459"/>
                                </a:lnTo>
                                <a:lnTo>
                                  <a:pt x="1196238" y="408089"/>
                                </a:lnTo>
                                <a:lnTo>
                                  <a:pt x="1203299" y="408089"/>
                                </a:lnTo>
                                <a:lnTo>
                                  <a:pt x="1214755" y="401459"/>
                                </a:lnTo>
                                <a:lnTo>
                                  <a:pt x="1218285" y="395351"/>
                                </a:lnTo>
                                <a:lnTo>
                                  <a:pt x="1218285" y="388734"/>
                                </a:lnTo>
                                <a:lnTo>
                                  <a:pt x="1218285" y="382117"/>
                                </a:lnTo>
                                <a:close/>
                              </a:path>
                              <a:path w="4762500" h="1885950">
                                <a:moveTo>
                                  <a:pt x="2399525" y="208407"/>
                                </a:moveTo>
                                <a:lnTo>
                                  <a:pt x="2395994" y="202285"/>
                                </a:lnTo>
                                <a:lnTo>
                                  <a:pt x="2384539" y="195668"/>
                                </a:lnTo>
                                <a:lnTo>
                                  <a:pt x="2377478" y="195668"/>
                                </a:lnTo>
                                <a:lnTo>
                                  <a:pt x="2366010" y="202285"/>
                                </a:lnTo>
                                <a:lnTo>
                                  <a:pt x="2362479" y="208407"/>
                                </a:lnTo>
                                <a:lnTo>
                                  <a:pt x="2362479" y="221640"/>
                                </a:lnTo>
                                <a:lnTo>
                                  <a:pt x="2366010" y="227749"/>
                                </a:lnTo>
                                <a:lnTo>
                                  <a:pt x="2377478" y="234365"/>
                                </a:lnTo>
                                <a:lnTo>
                                  <a:pt x="2384539" y="234365"/>
                                </a:lnTo>
                                <a:lnTo>
                                  <a:pt x="2395994" y="227749"/>
                                </a:lnTo>
                                <a:lnTo>
                                  <a:pt x="2399525" y="221640"/>
                                </a:lnTo>
                                <a:lnTo>
                                  <a:pt x="2399525" y="215023"/>
                                </a:lnTo>
                                <a:lnTo>
                                  <a:pt x="2399525" y="208407"/>
                                </a:lnTo>
                                <a:close/>
                              </a:path>
                              <a:path w="4762500" h="1885950">
                                <a:moveTo>
                                  <a:pt x="3580765" y="12725"/>
                                </a:moveTo>
                                <a:lnTo>
                                  <a:pt x="3577234" y="6616"/>
                                </a:lnTo>
                                <a:lnTo>
                                  <a:pt x="3565779" y="0"/>
                                </a:lnTo>
                                <a:lnTo>
                                  <a:pt x="3558705" y="0"/>
                                </a:lnTo>
                                <a:lnTo>
                                  <a:pt x="3547249" y="6616"/>
                                </a:lnTo>
                                <a:lnTo>
                                  <a:pt x="3543719" y="12725"/>
                                </a:lnTo>
                                <a:lnTo>
                                  <a:pt x="3543719" y="25958"/>
                                </a:lnTo>
                                <a:lnTo>
                                  <a:pt x="3547249" y="32067"/>
                                </a:lnTo>
                                <a:lnTo>
                                  <a:pt x="3558705" y="38696"/>
                                </a:lnTo>
                                <a:lnTo>
                                  <a:pt x="3565779" y="38696"/>
                                </a:lnTo>
                                <a:lnTo>
                                  <a:pt x="3577234" y="32067"/>
                                </a:lnTo>
                                <a:lnTo>
                                  <a:pt x="3580765" y="25958"/>
                                </a:lnTo>
                                <a:lnTo>
                                  <a:pt x="3580765" y="19342"/>
                                </a:lnTo>
                                <a:lnTo>
                                  <a:pt x="3580765" y="12725"/>
                                </a:lnTo>
                                <a:close/>
                              </a:path>
                              <a:path w="4762500" h="1885950">
                                <a:moveTo>
                                  <a:pt x="4762004" y="230085"/>
                                </a:moveTo>
                                <a:lnTo>
                                  <a:pt x="4758474" y="223964"/>
                                </a:lnTo>
                                <a:lnTo>
                                  <a:pt x="4747018" y="217347"/>
                                </a:lnTo>
                                <a:lnTo>
                                  <a:pt x="4739945" y="217347"/>
                                </a:lnTo>
                                <a:lnTo>
                                  <a:pt x="4728489" y="223964"/>
                                </a:lnTo>
                                <a:lnTo>
                                  <a:pt x="4724959" y="230085"/>
                                </a:lnTo>
                                <a:lnTo>
                                  <a:pt x="4724959" y="243319"/>
                                </a:lnTo>
                                <a:lnTo>
                                  <a:pt x="4728489" y="249428"/>
                                </a:lnTo>
                                <a:lnTo>
                                  <a:pt x="4739945" y="256044"/>
                                </a:lnTo>
                                <a:lnTo>
                                  <a:pt x="4747018" y="256044"/>
                                </a:lnTo>
                                <a:lnTo>
                                  <a:pt x="4758474" y="249428"/>
                                </a:lnTo>
                                <a:lnTo>
                                  <a:pt x="4762004" y="243319"/>
                                </a:lnTo>
                                <a:lnTo>
                                  <a:pt x="4762004" y="236702"/>
                                </a:lnTo>
                                <a:lnTo>
                                  <a:pt x="4762004" y="230085"/>
                                </a:lnTo>
                                <a:close/>
                              </a:path>
                            </a:pathLst>
                          </a:custGeom>
                          <a:solidFill>
                            <a:srgbClr val="000000"/>
                          </a:solidFill>
                        </wps:spPr>
                        <wps:bodyPr wrap="square" lIns="0" tIns="0" rIns="0" bIns="0" rtlCol="0">
                          <a:prstTxWarp prst="textNoShape">
                            <a:avLst/>
                          </a:prstTxWarp>
                          <a:noAutofit/>
                        </wps:bodyPr>
                      </wps:wsp>
                      <wps:wsp>
                        <wps:cNvPr id="146" name="Graphic 146"/>
                        <wps:cNvSpPr/>
                        <wps:spPr>
                          <a:xfrm>
                            <a:off x="283793" y="2923428"/>
                            <a:ext cx="37465" cy="38735"/>
                          </a:xfrm>
                          <a:custGeom>
                            <a:avLst/>
                            <a:gdLst/>
                            <a:ahLst/>
                            <a:cxnLst/>
                            <a:rect l="l" t="t" r="r" b="b"/>
                            <a:pathLst>
                              <a:path w="37465" h="38735">
                                <a:moveTo>
                                  <a:pt x="37049" y="19349"/>
                                </a:moveTo>
                                <a:lnTo>
                                  <a:pt x="37049" y="12730"/>
                                </a:lnTo>
                                <a:lnTo>
                                  <a:pt x="33517" y="6618"/>
                                </a:lnTo>
                                <a:lnTo>
                                  <a:pt x="27787" y="3309"/>
                                </a:lnTo>
                                <a:lnTo>
                                  <a:pt x="22056" y="0"/>
                                </a:lnTo>
                                <a:lnTo>
                                  <a:pt x="14992" y="0"/>
                                </a:lnTo>
                                <a:lnTo>
                                  <a:pt x="9262" y="3309"/>
                                </a:lnTo>
                                <a:lnTo>
                                  <a:pt x="3532" y="6618"/>
                                </a:lnTo>
                                <a:lnTo>
                                  <a:pt x="0" y="12730"/>
                                </a:lnTo>
                                <a:lnTo>
                                  <a:pt x="0" y="19349"/>
                                </a:lnTo>
                                <a:lnTo>
                                  <a:pt x="0" y="25967"/>
                                </a:lnTo>
                                <a:lnTo>
                                  <a:pt x="3532" y="32079"/>
                                </a:lnTo>
                                <a:lnTo>
                                  <a:pt x="9262" y="35388"/>
                                </a:lnTo>
                                <a:lnTo>
                                  <a:pt x="14992" y="38698"/>
                                </a:lnTo>
                                <a:lnTo>
                                  <a:pt x="22056" y="38698"/>
                                </a:lnTo>
                                <a:lnTo>
                                  <a:pt x="27787" y="35388"/>
                                </a:lnTo>
                                <a:lnTo>
                                  <a:pt x="33517" y="32079"/>
                                </a:lnTo>
                                <a:lnTo>
                                  <a:pt x="37049" y="25967"/>
                                </a:lnTo>
                                <a:lnTo>
                                  <a:pt x="37049" y="19349"/>
                                </a:lnTo>
                                <a:close/>
                              </a:path>
                            </a:pathLst>
                          </a:custGeom>
                          <a:ln w="6174">
                            <a:solidFill>
                              <a:srgbClr val="000000"/>
                            </a:solidFill>
                            <a:prstDash val="solid"/>
                          </a:ln>
                        </wps:spPr>
                        <wps:bodyPr wrap="square" lIns="0" tIns="0" rIns="0" bIns="0" rtlCol="0">
                          <a:prstTxWarp prst="textNoShape">
                            <a:avLst/>
                          </a:prstTxWarp>
                          <a:noAutofit/>
                        </wps:bodyPr>
                      </wps:wsp>
                      <wps:wsp>
                        <wps:cNvPr id="147" name="Graphic 147"/>
                        <wps:cNvSpPr/>
                        <wps:spPr>
                          <a:xfrm>
                            <a:off x="874412" y="2626007"/>
                            <a:ext cx="37465" cy="38735"/>
                          </a:xfrm>
                          <a:custGeom>
                            <a:avLst/>
                            <a:gdLst/>
                            <a:ahLst/>
                            <a:cxnLst/>
                            <a:rect l="l" t="t" r="r" b="b"/>
                            <a:pathLst>
                              <a:path w="37465" h="38735">
                                <a:moveTo>
                                  <a:pt x="37049" y="19349"/>
                                </a:moveTo>
                                <a:lnTo>
                                  <a:pt x="37049" y="12730"/>
                                </a:lnTo>
                                <a:lnTo>
                                  <a:pt x="33517" y="6618"/>
                                </a:lnTo>
                                <a:lnTo>
                                  <a:pt x="27787" y="3309"/>
                                </a:lnTo>
                                <a:lnTo>
                                  <a:pt x="22056" y="0"/>
                                </a:lnTo>
                                <a:lnTo>
                                  <a:pt x="14992" y="0"/>
                                </a:lnTo>
                                <a:lnTo>
                                  <a:pt x="9262" y="3309"/>
                                </a:lnTo>
                                <a:lnTo>
                                  <a:pt x="3532" y="6618"/>
                                </a:lnTo>
                                <a:lnTo>
                                  <a:pt x="0" y="12730"/>
                                </a:lnTo>
                                <a:lnTo>
                                  <a:pt x="0" y="19349"/>
                                </a:lnTo>
                                <a:lnTo>
                                  <a:pt x="0" y="25967"/>
                                </a:lnTo>
                                <a:lnTo>
                                  <a:pt x="3532" y="32079"/>
                                </a:lnTo>
                                <a:lnTo>
                                  <a:pt x="9262" y="35388"/>
                                </a:lnTo>
                                <a:lnTo>
                                  <a:pt x="14992" y="38698"/>
                                </a:lnTo>
                                <a:lnTo>
                                  <a:pt x="22056" y="38698"/>
                                </a:lnTo>
                                <a:lnTo>
                                  <a:pt x="27787" y="35388"/>
                                </a:lnTo>
                                <a:lnTo>
                                  <a:pt x="33517" y="32079"/>
                                </a:lnTo>
                                <a:lnTo>
                                  <a:pt x="37049" y="25967"/>
                                </a:lnTo>
                                <a:lnTo>
                                  <a:pt x="37049" y="19349"/>
                                </a:lnTo>
                                <a:close/>
                              </a:path>
                            </a:pathLst>
                          </a:custGeom>
                          <a:ln w="6174">
                            <a:solidFill>
                              <a:srgbClr val="000000"/>
                            </a:solidFill>
                            <a:prstDash val="solid"/>
                          </a:ln>
                        </wps:spPr>
                        <wps:bodyPr wrap="square" lIns="0" tIns="0" rIns="0" bIns="0" rtlCol="0">
                          <a:prstTxWarp prst="textNoShape">
                            <a:avLst/>
                          </a:prstTxWarp>
                          <a:noAutofit/>
                        </wps:bodyPr>
                      </wps:wsp>
                      <wps:wsp>
                        <wps:cNvPr id="148" name="Graphic 148"/>
                        <wps:cNvSpPr/>
                        <wps:spPr>
                          <a:xfrm>
                            <a:off x="1465031" y="2349686"/>
                            <a:ext cx="37465" cy="38735"/>
                          </a:xfrm>
                          <a:custGeom>
                            <a:avLst/>
                            <a:gdLst/>
                            <a:ahLst/>
                            <a:cxnLst/>
                            <a:rect l="l" t="t" r="r" b="b"/>
                            <a:pathLst>
                              <a:path w="37465" h="38735">
                                <a:moveTo>
                                  <a:pt x="37049" y="19349"/>
                                </a:moveTo>
                                <a:lnTo>
                                  <a:pt x="37049" y="12730"/>
                                </a:lnTo>
                                <a:lnTo>
                                  <a:pt x="33517" y="6618"/>
                                </a:lnTo>
                                <a:lnTo>
                                  <a:pt x="27787" y="3309"/>
                                </a:lnTo>
                                <a:lnTo>
                                  <a:pt x="22056" y="0"/>
                                </a:lnTo>
                                <a:lnTo>
                                  <a:pt x="14992" y="0"/>
                                </a:lnTo>
                                <a:lnTo>
                                  <a:pt x="9262" y="3309"/>
                                </a:lnTo>
                                <a:lnTo>
                                  <a:pt x="3532" y="6618"/>
                                </a:lnTo>
                                <a:lnTo>
                                  <a:pt x="0" y="12730"/>
                                </a:lnTo>
                                <a:lnTo>
                                  <a:pt x="0" y="19349"/>
                                </a:lnTo>
                                <a:lnTo>
                                  <a:pt x="0" y="25967"/>
                                </a:lnTo>
                                <a:lnTo>
                                  <a:pt x="3532" y="32079"/>
                                </a:lnTo>
                                <a:lnTo>
                                  <a:pt x="9262" y="35388"/>
                                </a:lnTo>
                                <a:lnTo>
                                  <a:pt x="14992" y="38698"/>
                                </a:lnTo>
                                <a:lnTo>
                                  <a:pt x="22056" y="38698"/>
                                </a:lnTo>
                                <a:lnTo>
                                  <a:pt x="27787" y="35388"/>
                                </a:lnTo>
                                <a:lnTo>
                                  <a:pt x="33517" y="32079"/>
                                </a:lnTo>
                                <a:lnTo>
                                  <a:pt x="37049" y="25967"/>
                                </a:lnTo>
                                <a:lnTo>
                                  <a:pt x="37049" y="19349"/>
                                </a:lnTo>
                                <a:close/>
                              </a:path>
                            </a:pathLst>
                          </a:custGeom>
                          <a:ln w="6174">
                            <a:solidFill>
                              <a:srgbClr val="000000"/>
                            </a:solidFill>
                            <a:prstDash val="solid"/>
                          </a:ln>
                        </wps:spPr>
                        <wps:bodyPr wrap="square" lIns="0" tIns="0" rIns="0" bIns="0" rtlCol="0">
                          <a:prstTxWarp prst="textNoShape">
                            <a:avLst/>
                          </a:prstTxWarp>
                          <a:noAutofit/>
                        </wps:bodyPr>
                      </wps:wsp>
                      <wps:wsp>
                        <wps:cNvPr id="149" name="Graphic 149"/>
                        <wps:cNvSpPr/>
                        <wps:spPr>
                          <a:xfrm>
                            <a:off x="2646270" y="2200830"/>
                            <a:ext cx="37465" cy="38735"/>
                          </a:xfrm>
                          <a:custGeom>
                            <a:avLst/>
                            <a:gdLst/>
                            <a:ahLst/>
                            <a:cxnLst/>
                            <a:rect l="l" t="t" r="r" b="b"/>
                            <a:pathLst>
                              <a:path w="37465" h="38735">
                                <a:moveTo>
                                  <a:pt x="37049" y="19349"/>
                                </a:moveTo>
                                <a:lnTo>
                                  <a:pt x="37049" y="12730"/>
                                </a:lnTo>
                                <a:lnTo>
                                  <a:pt x="33517" y="6618"/>
                                </a:lnTo>
                                <a:lnTo>
                                  <a:pt x="27787" y="3309"/>
                                </a:lnTo>
                                <a:lnTo>
                                  <a:pt x="22056" y="0"/>
                                </a:lnTo>
                                <a:lnTo>
                                  <a:pt x="14992" y="0"/>
                                </a:lnTo>
                                <a:lnTo>
                                  <a:pt x="9262" y="3309"/>
                                </a:lnTo>
                                <a:lnTo>
                                  <a:pt x="3532" y="6618"/>
                                </a:lnTo>
                                <a:lnTo>
                                  <a:pt x="0" y="12730"/>
                                </a:lnTo>
                                <a:lnTo>
                                  <a:pt x="0" y="19349"/>
                                </a:lnTo>
                                <a:lnTo>
                                  <a:pt x="0" y="25967"/>
                                </a:lnTo>
                                <a:lnTo>
                                  <a:pt x="3532" y="32079"/>
                                </a:lnTo>
                                <a:lnTo>
                                  <a:pt x="9262" y="35388"/>
                                </a:lnTo>
                                <a:lnTo>
                                  <a:pt x="14992" y="38698"/>
                                </a:lnTo>
                                <a:lnTo>
                                  <a:pt x="22056" y="38698"/>
                                </a:lnTo>
                                <a:lnTo>
                                  <a:pt x="27787" y="35388"/>
                                </a:lnTo>
                                <a:lnTo>
                                  <a:pt x="33517" y="32079"/>
                                </a:lnTo>
                                <a:lnTo>
                                  <a:pt x="37049" y="25967"/>
                                </a:lnTo>
                                <a:lnTo>
                                  <a:pt x="37049" y="19349"/>
                                </a:lnTo>
                                <a:close/>
                              </a:path>
                            </a:pathLst>
                          </a:custGeom>
                          <a:ln w="6174">
                            <a:solidFill>
                              <a:srgbClr val="000000"/>
                            </a:solidFill>
                            <a:prstDash val="solid"/>
                          </a:ln>
                        </wps:spPr>
                        <wps:bodyPr wrap="square" lIns="0" tIns="0" rIns="0" bIns="0" rtlCol="0">
                          <a:prstTxWarp prst="textNoShape">
                            <a:avLst/>
                          </a:prstTxWarp>
                          <a:noAutofit/>
                        </wps:bodyPr>
                      </wps:wsp>
                      <wps:wsp>
                        <wps:cNvPr id="150" name="Graphic 150"/>
                        <wps:cNvSpPr/>
                        <wps:spPr>
                          <a:xfrm>
                            <a:off x="3827509" y="2073365"/>
                            <a:ext cx="37465" cy="38735"/>
                          </a:xfrm>
                          <a:custGeom>
                            <a:avLst/>
                            <a:gdLst/>
                            <a:ahLst/>
                            <a:cxnLst/>
                            <a:rect l="l" t="t" r="r" b="b"/>
                            <a:pathLst>
                              <a:path w="37465" h="38735">
                                <a:moveTo>
                                  <a:pt x="37049" y="19349"/>
                                </a:moveTo>
                                <a:lnTo>
                                  <a:pt x="37049" y="12730"/>
                                </a:lnTo>
                                <a:lnTo>
                                  <a:pt x="33517" y="6618"/>
                                </a:lnTo>
                                <a:lnTo>
                                  <a:pt x="27787" y="3309"/>
                                </a:lnTo>
                                <a:lnTo>
                                  <a:pt x="22056" y="0"/>
                                </a:lnTo>
                                <a:lnTo>
                                  <a:pt x="14992" y="0"/>
                                </a:lnTo>
                                <a:lnTo>
                                  <a:pt x="9262" y="3309"/>
                                </a:lnTo>
                                <a:lnTo>
                                  <a:pt x="3532" y="6618"/>
                                </a:lnTo>
                                <a:lnTo>
                                  <a:pt x="0" y="12730"/>
                                </a:lnTo>
                                <a:lnTo>
                                  <a:pt x="0" y="19349"/>
                                </a:lnTo>
                                <a:lnTo>
                                  <a:pt x="0" y="25967"/>
                                </a:lnTo>
                                <a:lnTo>
                                  <a:pt x="3532" y="32079"/>
                                </a:lnTo>
                                <a:lnTo>
                                  <a:pt x="9262" y="35388"/>
                                </a:lnTo>
                                <a:lnTo>
                                  <a:pt x="14992" y="38698"/>
                                </a:lnTo>
                                <a:lnTo>
                                  <a:pt x="22056" y="38698"/>
                                </a:lnTo>
                                <a:lnTo>
                                  <a:pt x="27787" y="35388"/>
                                </a:lnTo>
                                <a:lnTo>
                                  <a:pt x="33517" y="32079"/>
                                </a:lnTo>
                                <a:lnTo>
                                  <a:pt x="37049" y="25967"/>
                                </a:lnTo>
                                <a:lnTo>
                                  <a:pt x="37049" y="19349"/>
                                </a:lnTo>
                                <a:close/>
                              </a:path>
                            </a:pathLst>
                          </a:custGeom>
                          <a:ln w="6174">
                            <a:solidFill>
                              <a:srgbClr val="000000"/>
                            </a:solidFill>
                            <a:prstDash val="solid"/>
                          </a:ln>
                        </wps:spPr>
                        <wps:bodyPr wrap="square" lIns="0" tIns="0" rIns="0" bIns="0" rtlCol="0">
                          <a:prstTxWarp prst="textNoShape">
                            <a:avLst/>
                          </a:prstTxWarp>
                          <a:noAutofit/>
                        </wps:bodyPr>
                      </wps:wsp>
                      <wps:wsp>
                        <wps:cNvPr id="151" name="Graphic 151"/>
                        <wps:cNvSpPr/>
                        <wps:spPr>
                          <a:xfrm>
                            <a:off x="5008748" y="2073365"/>
                            <a:ext cx="37465" cy="38735"/>
                          </a:xfrm>
                          <a:custGeom>
                            <a:avLst/>
                            <a:gdLst/>
                            <a:ahLst/>
                            <a:cxnLst/>
                            <a:rect l="l" t="t" r="r" b="b"/>
                            <a:pathLst>
                              <a:path w="37465" h="38735">
                                <a:moveTo>
                                  <a:pt x="37049" y="19349"/>
                                </a:moveTo>
                                <a:lnTo>
                                  <a:pt x="37049" y="12730"/>
                                </a:lnTo>
                                <a:lnTo>
                                  <a:pt x="33517" y="6618"/>
                                </a:lnTo>
                                <a:lnTo>
                                  <a:pt x="27787" y="3309"/>
                                </a:lnTo>
                                <a:lnTo>
                                  <a:pt x="22056" y="0"/>
                                </a:lnTo>
                                <a:lnTo>
                                  <a:pt x="14992" y="0"/>
                                </a:lnTo>
                                <a:lnTo>
                                  <a:pt x="9262" y="3309"/>
                                </a:lnTo>
                                <a:lnTo>
                                  <a:pt x="3532" y="6618"/>
                                </a:lnTo>
                                <a:lnTo>
                                  <a:pt x="0" y="12730"/>
                                </a:lnTo>
                                <a:lnTo>
                                  <a:pt x="0" y="19349"/>
                                </a:lnTo>
                                <a:lnTo>
                                  <a:pt x="0" y="25967"/>
                                </a:lnTo>
                                <a:lnTo>
                                  <a:pt x="3532" y="32079"/>
                                </a:lnTo>
                                <a:lnTo>
                                  <a:pt x="9262" y="35388"/>
                                </a:lnTo>
                                <a:lnTo>
                                  <a:pt x="14992" y="38698"/>
                                </a:lnTo>
                                <a:lnTo>
                                  <a:pt x="22056" y="38698"/>
                                </a:lnTo>
                                <a:lnTo>
                                  <a:pt x="27787" y="35388"/>
                                </a:lnTo>
                                <a:lnTo>
                                  <a:pt x="33517" y="32079"/>
                                </a:lnTo>
                                <a:lnTo>
                                  <a:pt x="37049" y="25967"/>
                                </a:lnTo>
                                <a:lnTo>
                                  <a:pt x="37049" y="19349"/>
                                </a:lnTo>
                                <a:close/>
                              </a:path>
                            </a:pathLst>
                          </a:custGeom>
                          <a:ln w="6174">
                            <a:solidFill>
                              <a:srgbClr val="000000"/>
                            </a:solidFill>
                            <a:prstDash val="solid"/>
                          </a:ln>
                        </wps:spPr>
                        <wps:bodyPr wrap="square" lIns="0" tIns="0" rIns="0" bIns="0" rtlCol="0">
                          <a:prstTxWarp prst="textNoShape">
                            <a:avLst/>
                          </a:prstTxWarp>
                          <a:noAutofit/>
                        </wps:bodyPr>
                      </wps:wsp>
                      <wps:wsp>
                        <wps:cNvPr id="152" name="Graphic 152"/>
                        <wps:cNvSpPr/>
                        <wps:spPr>
                          <a:xfrm>
                            <a:off x="37078" y="2992080"/>
                            <a:ext cx="5422265" cy="1270"/>
                          </a:xfrm>
                          <a:custGeom>
                            <a:avLst/>
                            <a:gdLst/>
                            <a:ahLst/>
                            <a:cxnLst/>
                            <a:rect l="l" t="t" r="r" b="b"/>
                            <a:pathLst>
                              <a:path w="5422265">
                                <a:moveTo>
                                  <a:pt x="0" y="0"/>
                                </a:moveTo>
                                <a:lnTo>
                                  <a:pt x="5421978" y="0"/>
                                </a:lnTo>
                              </a:path>
                            </a:pathLst>
                          </a:custGeom>
                          <a:ln w="6173">
                            <a:solidFill>
                              <a:srgbClr val="000000"/>
                            </a:solidFill>
                            <a:prstDash val="solid"/>
                          </a:ln>
                        </wps:spPr>
                        <wps:bodyPr wrap="square" lIns="0" tIns="0" rIns="0" bIns="0" rtlCol="0">
                          <a:prstTxWarp prst="textNoShape">
                            <a:avLst/>
                          </a:prstTxWarp>
                          <a:noAutofit/>
                        </wps:bodyPr>
                      </wps:wsp>
                      <wps:wsp>
                        <wps:cNvPr id="153" name="Graphic 153"/>
                        <wps:cNvSpPr/>
                        <wps:spPr>
                          <a:xfrm>
                            <a:off x="5459056" y="3089"/>
                            <a:ext cx="1270" cy="2989580"/>
                          </a:xfrm>
                          <a:custGeom>
                            <a:avLst/>
                            <a:gdLst/>
                            <a:ahLst/>
                            <a:cxnLst/>
                            <a:rect l="l" t="t" r="r" b="b"/>
                            <a:pathLst>
                              <a:path h="2989580">
                                <a:moveTo>
                                  <a:pt x="0" y="2988990"/>
                                </a:moveTo>
                                <a:lnTo>
                                  <a:pt x="0" y="0"/>
                                </a:lnTo>
                              </a:path>
                            </a:pathLst>
                          </a:custGeom>
                          <a:ln w="6174">
                            <a:solidFill>
                              <a:srgbClr val="000000"/>
                            </a:solidFill>
                            <a:prstDash val="solid"/>
                          </a:ln>
                        </wps:spPr>
                        <wps:bodyPr wrap="square" lIns="0" tIns="0" rIns="0" bIns="0" rtlCol="0">
                          <a:prstTxWarp prst="textNoShape">
                            <a:avLst/>
                          </a:prstTxWarp>
                          <a:noAutofit/>
                        </wps:bodyPr>
                      </wps:wsp>
                      <wps:wsp>
                        <wps:cNvPr id="154" name="Graphic 154"/>
                        <wps:cNvSpPr/>
                        <wps:spPr>
                          <a:xfrm>
                            <a:off x="37078" y="3086"/>
                            <a:ext cx="5422265" cy="1270"/>
                          </a:xfrm>
                          <a:custGeom>
                            <a:avLst/>
                            <a:gdLst/>
                            <a:ahLst/>
                            <a:cxnLst/>
                            <a:rect l="l" t="t" r="r" b="b"/>
                            <a:pathLst>
                              <a:path w="5422265">
                                <a:moveTo>
                                  <a:pt x="0" y="0"/>
                                </a:moveTo>
                                <a:lnTo>
                                  <a:pt x="5421978" y="0"/>
                                </a:lnTo>
                              </a:path>
                            </a:pathLst>
                          </a:custGeom>
                          <a:ln w="6173">
                            <a:solidFill>
                              <a:srgbClr val="000000"/>
                            </a:solidFill>
                            <a:prstDash val="solid"/>
                          </a:ln>
                        </wps:spPr>
                        <wps:bodyPr wrap="square" lIns="0" tIns="0" rIns="0" bIns="0" rtlCol="0">
                          <a:prstTxWarp prst="textNoShape">
                            <a:avLst/>
                          </a:prstTxWarp>
                          <a:noAutofit/>
                        </wps:bodyPr>
                      </wps:wsp>
                      <wps:wsp>
                        <wps:cNvPr id="155" name="Graphic 155"/>
                        <wps:cNvSpPr/>
                        <wps:spPr>
                          <a:xfrm>
                            <a:off x="37078" y="3089"/>
                            <a:ext cx="5422265" cy="2989580"/>
                          </a:xfrm>
                          <a:custGeom>
                            <a:avLst/>
                            <a:gdLst/>
                            <a:ahLst/>
                            <a:cxnLst/>
                            <a:rect l="l" t="t" r="r" b="b"/>
                            <a:pathLst>
                              <a:path w="5422265" h="2989580">
                                <a:moveTo>
                                  <a:pt x="0" y="2988990"/>
                                </a:moveTo>
                                <a:lnTo>
                                  <a:pt x="0" y="0"/>
                                </a:lnTo>
                              </a:path>
                              <a:path w="5422265" h="2989580">
                                <a:moveTo>
                                  <a:pt x="0" y="2988990"/>
                                </a:moveTo>
                                <a:lnTo>
                                  <a:pt x="5421978" y="2988990"/>
                                </a:lnTo>
                              </a:path>
                            </a:pathLst>
                          </a:custGeom>
                          <a:ln w="6174">
                            <a:solidFill>
                              <a:srgbClr val="000000"/>
                            </a:solidFill>
                            <a:prstDash val="solid"/>
                          </a:ln>
                        </wps:spPr>
                        <wps:bodyPr wrap="square" lIns="0" tIns="0" rIns="0" bIns="0" rtlCol="0">
                          <a:prstTxWarp prst="textNoShape">
                            <a:avLst/>
                          </a:prstTxWarp>
                          <a:noAutofit/>
                        </wps:bodyPr>
                      </wps:wsp>
                      <wps:wsp>
                        <wps:cNvPr id="156" name="Graphic 156"/>
                        <wps:cNvSpPr/>
                        <wps:spPr>
                          <a:xfrm>
                            <a:off x="302317" y="2992080"/>
                            <a:ext cx="1270" cy="37465"/>
                          </a:xfrm>
                          <a:custGeom>
                            <a:avLst/>
                            <a:gdLst/>
                            <a:ahLst/>
                            <a:cxnLst/>
                            <a:rect l="l" t="t" r="r" b="b"/>
                            <a:pathLst>
                              <a:path h="37465">
                                <a:moveTo>
                                  <a:pt x="0" y="0"/>
                                </a:moveTo>
                                <a:lnTo>
                                  <a:pt x="0" y="37043"/>
                                </a:lnTo>
                              </a:path>
                            </a:pathLst>
                          </a:custGeom>
                          <a:ln w="6174">
                            <a:solidFill>
                              <a:srgbClr val="000000"/>
                            </a:solidFill>
                            <a:prstDash val="solid"/>
                          </a:ln>
                        </wps:spPr>
                        <wps:bodyPr wrap="square" lIns="0" tIns="0" rIns="0" bIns="0" rtlCol="0">
                          <a:prstTxWarp prst="textNoShape">
                            <a:avLst/>
                          </a:prstTxWarp>
                          <a:noAutofit/>
                        </wps:bodyPr>
                      </wps:wsp>
                      <wps:wsp>
                        <wps:cNvPr id="157" name="Graphic 157"/>
                        <wps:cNvSpPr/>
                        <wps:spPr>
                          <a:xfrm>
                            <a:off x="892936" y="2992080"/>
                            <a:ext cx="1270" cy="37465"/>
                          </a:xfrm>
                          <a:custGeom>
                            <a:avLst/>
                            <a:gdLst/>
                            <a:ahLst/>
                            <a:cxnLst/>
                            <a:rect l="l" t="t" r="r" b="b"/>
                            <a:pathLst>
                              <a:path h="37465">
                                <a:moveTo>
                                  <a:pt x="0" y="0"/>
                                </a:moveTo>
                                <a:lnTo>
                                  <a:pt x="0" y="37043"/>
                                </a:lnTo>
                              </a:path>
                            </a:pathLst>
                          </a:custGeom>
                          <a:ln w="6174">
                            <a:solidFill>
                              <a:srgbClr val="000000"/>
                            </a:solidFill>
                            <a:prstDash val="solid"/>
                          </a:ln>
                        </wps:spPr>
                        <wps:bodyPr wrap="square" lIns="0" tIns="0" rIns="0" bIns="0" rtlCol="0">
                          <a:prstTxWarp prst="textNoShape">
                            <a:avLst/>
                          </a:prstTxWarp>
                          <a:noAutofit/>
                        </wps:bodyPr>
                      </wps:wsp>
                      <wps:wsp>
                        <wps:cNvPr id="158" name="Graphic 158"/>
                        <wps:cNvSpPr/>
                        <wps:spPr>
                          <a:xfrm>
                            <a:off x="1483555" y="2992080"/>
                            <a:ext cx="1270" cy="37465"/>
                          </a:xfrm>
                          <a:custGeom>
                            <a:avLst/>
                            <a:gdLst/>
                            <a:ahLst/>
                            <a:cxnLst/>
                            <a:rect l="l" t="t" r="r" b="b"/>
                            <a:pathLst>
                              <a:path h="37465">
                                <a:moveTo>
                                  <a:pt x="0" y="0"/>
                                </a:moveTo>
                                <a:lnTo>
                                  <a:pt x="0" y="37043"/>
                                </a:lnTo>
                              </a:path>
                            </a:pathLst>
                          </a:custGeom>
                          <a:ln w="6174">
                            <a:solidFill>
                              <a:srgbClr val="000000"/>
                            </a:solidFill>
                            <a:prstDash val="solid"/>
                          </a:ln>
                        </wps:spPr>
                        <wps:bodyPr wrap="square" lIns="0" tIns="0" rIns="0" bIns="0" rtlCol="0">
                          <a:prstTxWarp prst="textNoShape">
                            <a:avLst/>
                          </a:prstTxWarp>
                          <a:noAutofit/>
                        </wps:bodyPr>
                      </wps:wsp>
                      <wps:wsp>
                        <wps:cNvPr id="159" name="Graphic 159"/>
                        <wps:cNvSpPr/>
                        <wps:spPr>
                          <a:xfrm>
                            <a:off x="2664794" y="2992080"/>
                            <a:ext cx="1270" cy="37465"/>
                          </a:xfrm>
                          <a:custGeom>
                            <a:avLst/>
                            <a:gdLst/>
                            <a:ahLst/>
                            <a:cxnLst/>
                            <a:rect l="l" t="t" r="r" b="b"/>
                            <a:pathLst>
                              <a:path h="37465">
                                <a:moveTo>
                                  <a:pt x="0" y="0"/>
                                </a:moveTo>
                                <a:lnTo>
                                  <a:pt x="0" y="37043"/>
                                </a:lnTo>
                              </a:path>
                            </a:pathLst>
                          </a:custGeom>
                          <a:ln w="6174">
                            <a:solidFill>
                              <a:srgbClr val="000000"/>
                            </a:solidFill>
                            <a:prstDash val="solid"/>
                          </a:ln>
                        </wps:spPr>
                        <wps:bodyPr wrap="square" lIns="0" tIns="0" rIns="0" bIns="0" rtlCol="0">
                          <a:prstTxWarp prst="textNoShape">
                            <a:avLst/>
                          </a:prstTxWarp>
                          <a:noAutofit/>
                        </wps:bodyPr>
                      </wps:wsp>
                      <wps:wsp>
                        <wps:cNvPr id="160" name="Graphic 160"/>
                        <wps:cNvSpPr/>
                        <wps:spPr>
                          <a:xfrm>
                            <a:off x="3846032" y="2992080"/>
                            <a:ext cx="1270" cy="37465"/>
                          </a:xfrm>
                          <a:custGeom>
                            <a:avLst/>
                            <a:gdLst/>
                            <a:ahLst/>
                            <a:cxnLst/>
                            <a:rect l="l" t="t" r="r" b="b"/>
                            <a:pathLst>
                              <a:path h="37465">
                                <a:moveTo>
                                  <a:pt x="0" y="0"/>
                                </a:moveTo>
                                <a:lnTo>
                                  <a:pt x="0" y="37043"/>
                                </a:lnTo>
                              </a:path>
                            </a:pathLst>
                          </a:custGeom>
                          <a:ln w="6174">
                            <a:solidFill>
                              <a:srgbClr val="000000"/>
                            </a:solidFill>
                            <a:prstDash val="solid"/>
                          </a:ln>
                        </wps:spPr>
                        <wps:bodyPr wrap="square" lIns="0" tIns="0" rIns="0" bIns="0" rtlCol="0">
                          <a:prstTxWarp prst="textNoShape">
                            <a:avLst/>
                          </a:prstTxWarp>
                          <a:noAutofit/>
                        </wps:bodyPr>
                      </wps:wsp>
                      <wps:wsp>
                        <wps:cNvPr id="161" name="Graphic 161"/>
                        <wps:cNvSpPr/>
                        <wps:spPr>
                          <a:xfrm>
                            <a:off x="5027271" y="2992080"/>
                            <a:ext cx="1270" cy="37465"/>
                          </a:xfrm>
                          <a:custGeom>
                            <a:avLst/>
                            <a:gdLst/>
                            <a:ahLst/>
                            <a:cxnLst/>
                            <a:rect l="l" t="t" r="r" b="b"/>
                            <a:pathLst>
                              <a:path h="37465">
                                <a:moveTo>
                                  <a:pt x="0" y="0"/>
                                </a:moveTo>
                                <a:lnTo>
                                  <a:pt x="0" y="37043"/>
                                </a:lnTo>
                              </a:path>
                            </a:pathLst>
                          </a:custGeom>
                          <a:ln w="6174">
                            <a:solidFill>
                              <a:srgbClr val="000000"/>
                            </a:solidFill>
                            <a:prstDash val="solid"/>
                          </a:ln>
                        </wps:spPr>
                        <wps:bodyPr wrap="square" lIns="0" tIns="0" rIns="0" bIns="0" rtlCol="0">
                          <a:prstTxWarp prst="textNoShape">
                            <a:avLst/>
                          </a:prstTxWarp>
                          <a:noAutofit/>
                        </wps:bodyPr>
                      </wps:wsp>
                      <wps:wsp>
                        <wps:cNvPr id="162" name="Graphic 162"/>
                        <wps:cNvSpPr/>
                        <wps:spPr>
                          <a:xfrm>
                            <a:off x="37076" y="3089"/>
                            <a:ext cx="1270" cy="2989580"/>
                          </a:xfrm>
                          <a:custGeom>
                            <a:avLst/>
                            <a:gdLst/>
                            <a:ahLst/>
                            <a:cxnLst/>
                            <a:rect l="l" t="t" r="r" b="b"/>
                            <a:pathLst>
                              <a:path h="2989580">
                                <a:moveTo>
                                  <a:pt x="0" y="2988990"/>
                                </a:moveTo>
                                <a:lnTo>
                                  <a:pt x="0" y="0"/>
                                </a:lnTo>
                              </a:path>
                            </a:pathLst>
                          </a:custGeom>
                          <a:ln w="6174">
                            <a:solidFill>
                              <a:srgbClr val="000000"/>
                            </a:solidFill>
                            <a:prstDash val="solid"/>
                          </a:ln>
                        </wps:spPr>
                        <wps:bodyPr wrap="square" lIns="0" tIns="0" rIns="0" bIns="0" rtlCol="0">
                          <a:prstTxWarp prst="textNoShape">
                            <a:avLst/>
                          </a:prstTxWarp>
                          <a:noAutofit/>
                        </wps:bodyPr>
                      </wps:wsp>
                      <wps:wsp>
                        <wps:cNvPr id="163" name="Graphic 163"/>
                        <wps:cNvSpPr/>
                        <wps:spPr>
                          <a:xfrm>
                            <a:off x="2" y="2942777"/>
                            <a:ext cx="37465" cy="1270"/>
                          </a:xfrm>
                          <a:custGeom>
                            <a:avLst/>
                            <a:gdLst/>
                            <a:ahLst/>
                            <a:cxnLst/>
                            <a:rect l="l" t="t" r="r" b="b"/>
                            <a:pathLst>
                              <a:path w="37465">
                                <a:moveTo>
                                  <a:pt x="37074" y="0"/>
                                </a:moveTo>
                                <a:lnTo>
                                  <a:pt x="0" y="0"/>
                                </a:lnTo>
                              </a:path>
                            </a:pathLst>
                          </a:custGeom>
                          <a:ln w="6173">
                            <a:solidFill>
                              <a:srgbClr val="000000"/>
                            </a:solidFill>
                            <a:prstDash val="solid"/>
                          </a:ln>
                        </wps:spPr>
                        <wps:bodyPr wrap="square" lIns="0" tIns="0" rIns="0" bIns="0" rtlCol="0">
                          <a:prstTxWarp prst="textNoShape">
                            <a:avLst/>
                          </a:prstTxWarp>
                          <a:noAutofit/>
                        </wps:bodyPr>
                      </wps:wsp>
                      <wps:wsp>
                        <wps:cNvPr id="164" name="Graphic 164"/>
                        <wps:cNvSpPr/>
                        <wps:spPr>
                          <a:xfrm>
                            <a:off x="2" y="2653738"/>
                            <a:ext cx="37465" cy="1270"/>
                          </a:xfrm>
                          <a:custGeom>
                            <a:avLst/>
                            <a:gdLst/>
                            <a:ahLst/>
                            <a:cxnLst/>
                            <a:rect l="l" t="t" r="r" b="b"/>
                            <a:pathLst>
                              <a:path w="37465">
                                <a:moveTo>
                                  <a:pt x="37074" y="0"/>
                                </a:moveTo>
                                <a:lnTo>
                                  <a:pt x="0" y="0"/>
                                </a:lnTo>
                              </a:path>
                            </a:pathLst>
                          </a:custGeom>
                          <a:ln w="6173">
                            <a:solidFill>
                              <a:srgbClr val="000000"/>
                            </a:solidFill>
                            <a:prstDash val="solid"/>
                          </a:ln>
                        </wps:spPr>
                        <wps:bodyPr wrap="square" lIns="0" tIns="0" rIns="0" bIns="0" rtlCol="0">
                          <a:prstTxWarp prst="textNoShape">
                            <a:avLst/>
                          </a:prstTxWarp>
                          <a:noAutofit/>
                        </wps:bodyPr>
                      </wps:wsp>
                      <wps:wsp>
                        <wps:cNvPr id="165" name="Graphic 165"/>
                        <wps:cNvSpPr/>
                        <wps:spPr>
                          <a:xfrm>
                            <a:off x="1" y="2364699"/>
                            <a:ext cx="37465" cy="1270"/>
                          </a:xfrm>
                          <a:custGeom>
                            <a:avLst/>
                            <a:gdLst/>
                            <a:ahLst/>
                            <a:cxnLst/>
                            <a:rect l="l" t="t" r="r" b="b"/>
                            <a:pathLst>
                              <a:path w="37465">
                                <a:moveTo>
                                  <a:pt x="37074" y="0"/>
                                </a:moveTo>
                                <a:lnTo>
                                  <a:pt x="0" y="0"/>
                                </a:lnTo>
                              </a:path>
                            </a:pathLst>
                          </a:custGeom>
                          <a:ln w="6173">
                            <a:solidFill>
                              <a:srgbClr val="000000"/>
                            </a:solidFill>
                            <a:prstDash val="solid"/>
                          </a:ln>
                        </wps:spPr>
                        <wps:bodyPr wrap="square" lIns="0" tIns="0" rIns="0" bIns="0" rtlCol="0">
                          <a:prstTxWarp prst="textNoShape">
                            <a:avLst/>
                          </a:prstTxWarp>
                          <a:noAutofit/>
                        </wps:bodyPr>
                      </wps:wsp>
                      <wps:wsp>
                        <wps:cNvPr id="166" name="Graphic 166"/>
                        <wps:cNvSpPr/>
                        <wps:spPr>
                          <a:xfrm>
                            <a:off x="1" y="2075660"/>
                            <a:ext cx="37465" cy="1270"/>
                          </a:xfrm>
                          <a:custGeom>
                            <a:avLst/>
                            <a:gdLst/>
                            <a:ahLst/>
                            <a:cxnLst/>
                            <a:rect l="l" t="t" r="r" b="b"/>
                            <a:pathLst>
                              <a:path w="37465">
                                <a:moveTo>
                                  <a:pt x="37074" y="0"/>
                                </a:moveTo>
                                <a:lnTo>
                                  <a:pt x="0" y="0"/>
                                </a:lnTo>
                              </a:path>
                            </a:pathLst>
                          </a:custGeom>
                          <a:ln w="6173">
                            <a:solidFill>
                              <a:srgbClr val="000000"/>
                            </a:solidFill>
                            <a:prstDash val="solid"/>
                          </a:ln>
                        </wps:spPr>
                        <wps:bodyPr wrap="square" lIns="0" tIns="0" rIns="0" bIns="0" rtlCol="0">
                          <a:prstTxWarp prst="textNoShape">
                            <a:avLst/>
                          </a:prstTxWarp>
                          <a:noAutofit/>
                        </wps:bodyPr>
                      </wps:wsp>
                      <wps:wsp>
                        <wps:cNvPr id="167" name="Graphic 167"/>
                        <wps:cNvSpPr/>
                        <wps:spPr>
                          <a:xfrm>
                            <a:off x="1" y="1786622"/>
                            <a:ext cx="37465" cy="1270"/>
                          </a:xfrm>
                          <a:custGeom>
                            <a:avLst/>
                            <a:gdLst/>
                            <a:ahLst/>
                            <a:cxnLst/>
                            <a:rect l="l" t="t" r="r" b="b"/>
                            <a:pathLst>
                              <a:path w="37465">
                                <a:moveTo>
                                  <a:pt x="37074" y="0"/>
                                </a:moveTo>
                                <a:lnTo>
                                  <a:pt x="0" y="0"/>
                                </a:lnTo>
                              </a:path>
                            </a:pathLst>
                          </a:custGeom>
                          <a:ln w="6173">
                            <a:solidFill>
                              <a:srgbClr val="000000"/>
                            </a:solidFill>
                            <a:prstDash val="solid"/>
                          </a:ln>
                        </wps:spPr>
                        <wps:bodyPr wrap="square" lIns="0" tIns="0" rIns="0" bIns="0" rtlCol="0">
                          <a:prstTxWarp prst="textNoShape">
                            <a:avLst/>
                          </a:prstTxWarp>
                          <a:noAutofit/>
                        </wps:bodyPr>
                      </wps:wsp>
                      <wps:wsp>
                        <wps:cNvPr id="168" name="Graphic 168"/>
                        <wps:cNvSpPr/>
                        <wps:spPr>
                          <a:xfrm>
                            <a:off x="1" y="1497583"/>
                            <a:ext cx="37465" cy="1270"/>
                          </a:xfrm>
                          <a:custGeom>
                            <a:avLst/>
                            <a:gdLst/>
                            <a:ahLst/>
                            <a:cxnLst/>
                            <a:rect l="l" t="t" r="r" b="b"/>
                            <a:pathLst>
                              <a:path w="37465">
                                <a:moveTo>
                                  <a:pt x="37074" y="0"/>
                                </a:moveTo>
                                <a:lnTo>
                                  <a:pt x="0" y="0"/>
                                </a:lnTo>
                              </a:path>
                            </a:pathLst>
                          </a:custGeom>
                          <a:ln w="6173">
                            <a:solidFill>
                              <a:srgbClr val="000000"/>
                            </a:solidFill>
                            <a:prstDash val="solid"/>
                          </a:ln>
                        </wps:spPr>
                        <wps:bodyPr wrap="square" lIns="0" tIns="0" rIns="0" bIns="0" rtlCol="0">
                          <a:prstTxWarp prst="textNoShape">
                            <a:avLst/>
                          </a:prstTxWarp>
                          <a:noAutofit/>
                        </wps:bodyPr>
                      </wps:wsp>
                      <wps:wsp>
                        <wps:cNvPr id="169" name="Graphic 169"/>
                        <wps:cNvSpPr/>
                        <wps:spPr>
                          <a:xfrm>
                            <a:off x="0" y="1208544"/>
                            <a:ext cx="37465" cy="1270"/>
                          </a:xfrm>
                          <a:custGeom>
                            <a:avLst/>
                            <a:gdLst/>
                            <a:ahLst/>
                            <a:cxnLst/>
                            <a:rect l="l" t="t" r="r" b="b"/>
                            <a:pathLst>
                              <a:path w="37465">
                                <a:moveTo>
                                  <a:pt x="37074" y="0"/>
                                </a:moveTo>
                                <a:lnTo>
                                  <a:pt x="0" y="0"/>
                                </a:lnTo>
                              </a:path>
                            </a:pathLst>
                          </a:custGeom>
                          <a:ln w="6173">
                            <a:solidFill>
                              <a:srgbClr val="000000"/>
                            </a:solidFill>
                            <a:prstDash val="solid"/>
                          </a:ln>
                        </wps:spPr>
                        <wps:bodyPr wrap="square" lIns="0" tIns="0" rIns="0" bIns="0" rtlCol="0">
                          <a:prstTxWarp prst="textNoShape">
                            <a:avLst/>
                          </a:prstTxWarp>
                          <a:noAutofit/>
                        </wps:bodyPr>
                      </wps:wsp>
                      <wps:wsp>
                        <wps:cNvPr id="170" name="Graphic 170"/>
                        <wps:cNvSpPr/>
                        <wps:spPr>
                          <a:xfrm>
                            <a:off x="0" y="919505"/>
                            <a:ext cx="37465" cy="1270"/>
                          </a:xfrm>
                          <a:custGeom>
                            <a:avLst/>
                            <a:gdLst/>
                            <a:ahLst/>
                            <a:cxnLst/>
                            <a:rect l="l" t="t" r="r" b="b"/>
                            <a:pathLst>
                              <a:path w="37465">
                                <a:moveTo>
                                  <a:pt x="37074" y="0"/>
                                </a:moveTo>
                                <a:lnTo>
                                  <a:pt x="0" y="0"/>
                                </a:lnTo>
                              </a:path>
                            </a:pathLst>
                          </a:custGeom>
                          <a:ln w="6173">
                            <a:solidFill>
                              <a:srgbClr val="000000"/>
                            </a:solidFill>
                            <a:prstDash val="solid"/>
                          </a:ln>
                        </wps:spPr>
                        <wps:bodyPr wrap="square" lIns="0" tIns="0" rIns="0" bIns="0" rtlCol="0">
                          <a:prstTxWarp prst="textNoShape">
                            <a:avLst/>
                          </a:prstTxWarp>
                          <a:noAutofit/>
                        </wps:bodyPr>
                      </wps:wsp>
                      <wps:wsp>
                        <wps:cNvPr id="171" name="Graphic 171"/>
                        <wps:cNvSpPr/>
                        <wps:spPr>
                          <a:xfrm>
                            <a:off x="0" y="630467"/>
                            <a:ext cx="37465" cy="1270"/>
                          </a:xfrm>
                          <a:custGeom>
                            <a:avLst/>
                            <a:gdLst/>
                            <a:ahLst/>
                            <a:cxnLst/>
                            <a:rect l="l" t="t" r="r" b="b"/>
                            <a:pathLst>
                              <a:path w="37465">
                                <a:moveTo>
                                  <a:pt x="37074" y="0"/>
                                </a:moveTo>
                                <a:lnTo>
                                  <a:pt x="0" y="0"/>
                                </a:lnTo>
                              </a:path>
                            </a:pathLst>
                          </a:custGeom>
                          <a:ln w="6173">
                            <a:solidFill>
                              <a:srgbClr val="000000"/>
                            </a:solidFill>
                            <a:prstDash val="solid"/>
                          </a:ln>
                        </wps:spPr>
                        <wps:bodyPr wrap="square" lIns="0" tIns="0" rIns="0" bIns="0" rtlCol="0">
                          <a:prstTxWarp prst="textNoShape">
                            <a:avLst/>
                          </a:prstTxWarp>
                          <a:noAutofit/>
                        </wps:bodyPr>
                      </wps:wsp>
                      <wps:wsp>
                        <wps:cNvPr id="172" name="Graphic 172"/>
                        <wps:cNvSpPr/>
                        <wps:spPr>
                          <a:xfrm>
                            <a:off x="0" y="341428"/>
                            <a:ext cx="37465" cy="1270"/>
                          </a:xfrm>
                          <a:custGeom>
                            <a:avLst/>
                            <a:gdLst/>
                            <a:ahLst/>
                            <a:cxnLst/>
                            <a:rect l="l" t="t" r="r" b="b"/>
                            <a:pathLst>
                              <a:path w="37465">
                                <a:moveTo>
                                  <a:pt x="37074" y="0"/>
                                </a:moveTo>
                                <a:lnTo>
                                  <a:pt x="0" y="0"/>
                                </a:lnTo>
                              </a:path>
                            </a:pathLst>
                          </a:custGeom>
                          <a:ln w="6173">
                            <a:solidFill>
                              <a:srgbClr val="000000"/>
                            </a:solidFill>
                            <a:prstDash val="solid"/>
                          </a:ln>
                        </wps:spPr>
                        <wps:bodyPr wrap="square" lIns="0" tIns="0" rIns="0" bIns="0" rtlCol="0">
                          <a:prstTxWarp prst="textNoShape">
                            <a:avLst/>
                          </a:prstTxWarp>
                          <a:noAutofit/>
                        </wps:bodyPr>
                      </wps:wsp>
                      <wps:wsp>
                        <wps:cNvPr id="173" name="Graphic 173"/>
                        <wps:cNvSpPr/>
                        <wps:spPr>
                          <a:xfrm>
                            <a:off x="0" y="52390"/>
                            <a:ext cx="37465" cy="1270"/>
                          </a:xfrm>
                          <a:custGeom>
                            <a:avLst/>
                            <a:gdLst/>
                            <a:ahLst/>
                            <a:cxnLst/>
                            <a:rect l="l" t="t" r="r" b="b"/>
                            <a:pathLst>
                              <a:path w="37465">
                                <a:moveTo>
                                  <a:pt x="37074" y="0"/>
                                </a:moveTo>
                                <a:lnTo>
                                  <a:pt x="0" y="0"/>
                                </a:lnTo>
                              </a:path>
                            </a:pathLst>
                          </a:custGeom>
                          <a:ln w="617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2F64BC8" id="Group 94" o:spid="_x0000_s1026" style="position:absolute;margin-left:104.45pt;margin-top:-1.35pt;width:430.1pt;height:238.55pt;z-index:15735808;mso-wrap-distance-left:0;mso-wrap-distance-right:0;mso-position-horizontal-relative:page" coordsize="54622,3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">
                <v:shape id="Graphic 95" o:spid="_x0000_s1027" style="position:absolute;left:8929;top:20036;width:13;height:1137;visibility:visible;mso-wrap-style:square;v-text-anchor:top" coordsize="1270,1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" path="m,113303l,e" filled="f" strokeweight=".1715mm">
                  <v:path arrowok="t"/>
                </v:shape>
                <v:shape id="Graphic 96" o:spid="_x0000_s1028" style="position:absolute;left:14835;top:13397;width:13;height:1258;visibility:visible;mso-wrap-style:square;v-text-anchor:top" coordsize="127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" path="m,125151l,e" filled="f" strokeweight=".1715mm">
                  <v:path arrowok="t"/>
                </v:shape>
                <v:shape id="Graphic 97" o:spid="_x0000_s1029" style="position:absolute;left:26648;top:11672;width:12;height:1244;visibility:visible;mso-wrap-style:square;v-text-anchor:top" coordsize="1270,12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" path="m,123996l,e" filled="f" strokeweight=".1715mm">
                  <v:path arrowok="t"/>
                </v:shape>
                <v:shape id="Graphic 98" o:spid="_x0000_s1030" style="position:absolute;left:38460;top:9752;width:13;height:1207;visibility:visible;mso-wrap-style:square;v-text-anchor:top" coordsize="127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" path="m,120243l,e" filled="f" strokeweight=".1715mm">
                  <v:path arrowok="t"/>
                </v:shape>
                <v:shape id="Graphic 99" o:spid="_x0000_s1031" style="position:absolute;left:50272;top:11886;width:13;height:1244;visibility:visible;mso-wrap-style:square;v-text-anchor:top" coordsize="1270,12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" path="m,124287l,e" filled="f" strokeweight=".1715mm">
                  <v:path arrowok="t"/>
                </v:shape>
                <v:shape id="Graphic 100" o:spid="_x0000_s1032" style="position:absolute;left:8929;top:25699;width:13;height:755;visibility:visible;mso-wrap-style:square;v-text-anchor:top" coordsize="1270,7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" path="m,75439l,e" filled="f" strokeweight=".1715mm">
                  <v:path arrowok="t"/>
                </v:shape>
                <v:shape id="Graphic 101" o:spid="_x0000_s1033" style="position:absolute;left:14835;top:22701;width:13;height:991;visibility:visible;mso-wrap-style:square;v-text-anchor:top" coordsize="1270,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" path="m,98850l,e" filled="f" strokeweight=".1715mm">
                  <v:path arrowok="t"/>
                </v:shape>
                <v:shape id="Graphic 102" o:spid="_x0000_s1034" style="position:absolute;left:26648;top:21129;width:12;height:1073;visibility:visible;mso-wrap-style:square;v-text-anchor:top" coordsize="1270,10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" path="m,107234l,e" filled="f" strokeweight=".1715mm">
                  <v:path arrowok="t"/>
                </v:shape>
                <v:shape id="Graphic 103" o:spid="_x0000_s1035" style="position:absolute;left:38460;top:19797;width:13;height:1130;visibility:visible;mso-wrap-style:square;v-text-anchor:top" coordsize="127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" path="m,113013l,e" filled="f" strokeweight=".1715mm">
                  <v:path arrowok="t"/>
                </v:shape>
                <v:shape id="Graphic 104" o:spid="_x0000_s1036" style="position:absolute;left:50272;top:19797;width:13;height:1130;visibility:visible;mso-wrap-style:square;v-text-anchor:top" coordsize="127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" path="m,113013l,e" filled="f" strokeweight=".1715mm">
                  <v:path arrowok="t"/>
                </v:shape>
                <v:shape id="Graphic 105" o:spid="_x0000_s1037" style="position:absolute;left:8621;top:20036;width:622;height:13;visibility:visible;mso-wrap-style:square;v-text-anchor:top" coordsize="62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" path="m,l61681,e" filled="f" strokeweight=".17147mm">
                  <v:path arrowok="t"/>
                </v:shape>
                <v:shape id="Graphic 106" o:spid="_x0000_s1038" style="position:absolute;left:14527;top:13397;width:622;height:13;visibility:visible;mso-wrap-style:square;v-text-anchor:top" coordsize="62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" path="m,l61681,e" filled="f" strokeweight=".17147mm">
                  <v:path arrowok="t"/>
                </v:shape>
                <v:shape id="Graphic 107" o:spid="_x0000_s1039" style="position:absolute;left:26339;top:11672;width:622;height:12;visibility:visible;mso-wrap-style:square;v-text-anchor:top" coordsize="62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" path="m,l61681,e" filled="f" strokeweight=".17147mm">
                  <v:path arrowok="t"/>
                </v:shape>
                <v:shape id="Graphic 108" o:spid="_x0000_s1040" style="position:absolute;left:38151;top:9752;width:623;height:13;visibility:visible;mso-wrap-style:square;v-text-anchor:top" coordsize="62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" path="m,l61681,e" filled="f" strokeweight=".17147mm">
                  <v:path arrowok="t"/>
                </v:shape>
                <v:shape id="Graphic 109" o:spid="_x0000_s1041" style="position:absolute;left:49964;top:11886;width:622;height:12;visibility:visible;mso-wrap-style:square;v-text-anchor:top" coordsize="62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" path="m,l61681,e" filled="f" strokeweight=".17147mm">
                  <v:path arrowok="t"/>
                </v:shape>
                <v:shape id="Graphic 110" o:spid="_x0000_s1042" style="position:absolute;left:8621;top:25699;width:622;height:12;visibility:visible;mso-wrap-style:square;v-text-anchor:top" coordsize="62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" path="m,l61681,e" filled="f" strokeweight=".17147mm">
                  <v:path arrowok="t"/>
                </v:shape>
                <v:shape id="Graphic 111" o:spid="_x0000_s1043" style="position:absolute;left:14527;top:22701;width:622;height:13;visibility:visible;mso-wrap-style:square;v-text-anchor:top" coordsize="62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" path="m,l61681,e" filled="f" strokeweight=".17147mm">
                  <v:path arrowok="t"/>
                </v:shape>
                <v:shape id="Graphic 112" o:spid="_x0000_s1044" style="position:absolute;left:26339;top:21129;width:622;height:13;visibility:visible;mso-wrap-style:square;v-text-anchor:top" coordsize="62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" path="m,l61681,e" filled="f" strokeweight=".17147mm">
                  <v:path arrowok="t"/>
                </v:shape>
                <v:shape id="Graphic 113" o:spid="_x0000_s1045" style="position:absolute;left:38151;top:19796;width:623;height:13;visibility:visible;mso-wrap-style:square;v-text-anchor:top" coordsize="62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" path="m,l61681,e" filled="f" strokeweight=".17147mm">
                  <v:path arrowok="t"/>
                </v:shape>
                <v:shape id="Graphic 114" o:spid="_x0000_s1046" style="position:absolute;left:49964;top:19796;width:622;height:13;visibility:visible;mso-wrap-style:square;v-text-anchor:top" coordsize="62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" path="m,l61681,e" filled="f" strokeweight=".17147mm">
                  <v:path arrowok="t"/>
                </v:shape>
                <v:shape id="Graphic 115" o:spid="_x0000_s1047" style="position:absolute;left:8929;top:21169;width:13;height:1137;visibility:visible;mso-wrap-style:square;v-text-anchor:top" coordsize="1270,1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" path="m,l,113303e" filled="f" strokeweight=".1715mm">
                  <v:path arrowok="t"/>
                </v:shape>
                <v:shape id="Graphic 116" o:spid="_x0000_s1048" style="position:absolute;left:14835;top:14649;width:13;height:1257;visibility:visible;mso-wrap-style:square;v-text-anchor:top" coordsize="127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" path="m,l,125151e" filled="f" strokeweight=".1715mm">
                  <v:path arrowok="t"/>
                </v:shape>
                <v:shape id="Graphic 117" o:spid="_x0000_s1049" style="position:absolute;left:26647;top:12912;width:13;height:1244;visibility:visible;mso-wrap-style:square;v-text-anchor:top" coordsize="1270,12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" path="m,l,123996e" filled="f" strokeweight=".1715mm">
                  <v:path arrowok="t"/>
                </v:shape>
                <v:shape id="Graphic 118" o:spid="_x0000_s1050" style="position:absolute;left:38460;top:10955;width:13;height:1206;visibility:visible;mso-wrap-style:square;v-text-anchor:top" coordsize="127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" path="m,l,120237e" filled="f" strokeweight=".1715mm">
                  <v:path arrowok="t"/>
                </v:shape>
                <v:shape id="Graphic 119" o:spid="_x0000_s1051" style="position:absolute;left:50272;top:13128;width:13;height:1245;visibility:visible;mso-wrap-style:square;v-text-anchor:top" coordsize="1270,12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" path="m,l,124287e" filled="f" strokeweight=".1715mm">
                  <v:path arrowok="t"/>
                </v:shape>
                <v:shape id="Graphic 120" o:spid="_x0000_s1052" style="position:absolute;left:8929;top:26453;width:13;height:756;visibility:visible;mso-wrap-style:square;v-text-anchor:top" coordsize="1270,7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" path="m,l,75439e" filled="f" strokeweight=".1715mm">
                  <v:path arrowok="t"/>
                </v:shape>
                <v:shape id="Graphic 121" o:spid="_x0000_s1053" style="position:absolute;left:14835;top:23690;width:13;height:990;visibility:visible;mso-wrap-style:square;v-text-anchor:top" coordsize="1270,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" path="m,l,98850e" filled="f" strokeweight=".1715mm">
                  <v:path arrowok="t"/>
                </v:shape>
                <v:shape id="Graphic 122" o:spid="_x0000_s1054" style="position:absolute;left:26647;top:22201;width:13;height:1073;visibility:visible;mso-wrap-style:square;v-text-anchor:top" coordsize="1270,10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" path="m,l,107234e" filled="f" strokeweight=".1715mm">
                  <v:path arrowok="t"/>
                </v:shape>
                <v:shape id="Graphic 123" o:spid="_x0000_s1055" style="position:absolute;left:38460;top:20927;width:13;height:1130;visibility:visible;mso-wrap-style:square;v-text-anchor:top" coordsize="127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" path="m,l,113013e" filled="f" strokeweight=".1715mm">
                  <v:path arrowok="t"/>
                </v:shape>
                <v:shape id="Graphic 124" o:spid="_x0000_s1056" style="position:absolute;left:50272;top:20927;width:13;height:1130;visibility:visible;mso-wrap-style:square;v-text-anchor:top" coordsize="127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" path="m,l,113013e" filled="f" strokeweight=".1715mm">
                  <v:path arrowok="t"/>
                </v:shape>
                <v:shape id="Graphic 125" o:spid="_x0000_s1057" style="position:absolute;left:8620;top:22302;width:623;height:13;visibility:visible;mso-wrap-style:square;v-text-anchor:top" coordsize="62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" path="m,l61681,e" filled="f" strokeweight=".17147mm">
                  <v:path arrowok="t"/>
                </v:shape>
                <v:shape id="Graphic 126" o:spid="_x0000_s1058" style="position:absolute;left:14527;top:15900;width:622;height:13;visibility:visible;mso-wrap-style:square;v-text-anchor:top" coordsize="62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" path="m,l61681,e" filled="f" strokeweight=".17147mm">
                  <v:path arrowok="t"/>
                </v:shape>
                <v:shape id="Graphic 127" o:spid="_x0000_s1059" style="position:absolute;left:26339;top:14152;width:622;height:12;visibility:visible;mso-wrap-style:square;v-text-anchor:top" coordsize="62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" path="m,l61681,e" filled="f" strokeweight=".17147mm">
                  <v:path arrowok="t"/>
                </v:shape>
                <v:shape id="Graphic 128" o:spid="_x0000_s1060" style="position:absolute;left:38151;top:12157;width:623;height:13;visibility:visible;mso-wrap-style:square;v-text-anchor:top" coordsize="62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" path="m,l61681,e" filled="f" strokeweight=".17147mm">
                  <v:path arrowok="t"/>
                </v:shape>
                <v:shape id="Graphic 129" o:spid="_x0000_s1061" style="position:absolute;left:49964;top:14371;width:622;height:13;visibility:visible;mso-wrap-style:square;v-text-anchor:top" coordsize="62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" path="m,l61681,e" filled="f" strokeweight=".17147mm">
                  <v:path arrowok="t"/>
                </v:shape>
                <v:shape id="Graphic 130" o:spid="_x0000_s1062" style="position:absolute;left:8620;top:27207;width:623;height:13;visibility:visible;mso-wrap-style:square;v-text-anchor:top" coordsize="62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" path="m,l61681,e" filled="f" strokeweight=".17147mm">
                  <v:path arrowok="t"/>
                </v:shape>
                <v:shape id="Graphic 131" o:spid="_x0000_s1063" style="position:absolute;left:14527;top:24678;width:622;height:13;visibility:visible;mso-wrap-style:square;v-text-anchor:top" coordsize="62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" path="m,l61681,e" filled="f" strokeweight=".17147mm">
                  <v:path arrowok="t"/>
                </v:shape>
                <v:shape id="Graphic 132" o:spid="_x0000_s1064" style="position:absolute;left:26339;top:23274;width:622;height:12;visibility:visible;mso-wrap-style:square;v-text-anchor:top" coordsize="62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" path="m,l61681,e" filled="f" strokeweight=".17147mm">
                  <v:path arrowok="t"/>
                </v:shape>
                <v:shape id="Graphic 133" o:spid="_x0000_s1065" style="position:absolute;left:38151;top:22057;width:623;height:12;visibility:visible;mso-wrap-style:square;v-text-anchor:top" coordsize="62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" path="m,l61681,e" filled="f" strokeweight=".17147mm">
                  <v:path arrowok="t"/>
                </v:shape>
                <v:shape id="Graphic 134" o:spid="_x0000_s1066" style="position:absolute;left:49964;top:22057;width:622;height:12;visibility:visible;mso-wrap-style:square;v-text-anchor:top" coordsize="62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" path="m,l61681,e" filled="f" strokeweight=".17147mm">
                  <v:path arrowok="t"/>
                </v:shape>
                <v:shape id="Graphic 135" o:spid="_x0000_s1067" style="position:absolute;left:2837;top:10761;width:47625;height:18860;visibility:visible;mso-wrap-style:square;v-text-anchor:top" coordsize="4762500,188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" path="m37058,1859965r-3543,-6108l22059,1847240r-7061,l3530,1853857,,1859965r,13246l3530,1879320r11468,6617l22059,1885937r11456,-6617l37058,1873211r,-6616l37058,1859965xem627672,1034186r-3531,-6109l612673,1021461r-7061,l594156,1028077r-3530,6109l590626,1047419r3530,6122l605612,1060157r7061,l624141,1053541r3531,-6122l627672,1040803r,-6617xem1218285,382117r-3530,-6109l1203299,369379r-7061,l1184770,376008r-3531,6109l1181239,395351r3531,6108l1196238,408089r7061,l1214755,401459r3530,-6108l1218285,388734r,-6617xem2399525,208407r-3531,-6122l2384539,195668r-7061,l2366010,202285r-3531,6122l2362479,221640r3531,6109l2377478,234365r7061,l2395994,227749r3531,-6109l2399525,215023r,-6616xem3580765,12725r-3531,-6109l3565779,r-7062,l3547249,6616r-3530,6109l3543719,25958r3530,6109l3558717,38696r7062,l3577234,32067r3531,-6109l3580765,19342r,-6617xem4762004,230085r-3530,-6121l4747018,217347r-7061,l4728489,223964r-3530,6121l4724959,243319r3530,6109l4739957,256044r7061,l4758474,249428r3530,-6109l4762004,236702r,-6617xe" fillcolor="black" stroked="f">
                  <v:path arrowok="t"/>
                </v:shape>
                <v:shape id="Graphic 136" o:spid="_x0000_s1068" style="position:absolute;left:2837;top:29234;width:375;height:387;visibility:visible;mso-wrap-style:square;v-text-anchor:top" coordsize="37465,38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" path="m37049,19349r,-6619l33517,6618,27787,3309,22056,,14992,,9262,3309,3532,6618,,12730r,6619l,25967r3532,6112l9262,35388r5730,3310l22056,38698r5731,-3310l33517,32079r3532,-6112l37049,19349xe" filled="f" strokeweight=".1715mm">
                  <v:path arrowok="t"/>
                </v:shape>
                <v:shape id="Graphic 137" o:spid="_x0000_s1069" style="position:absolute;left:8744;top:26260;width:374;height:387;visibility:visible;mso-wrap-style:square;v-text-anchor:top" coordsize="37465,38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" path="m37049,19349r,-6619l33517,6618,27787,3309,22056,,14992,,9262,3309,3532,6618,,12730r,6619l,25967r3532,6112l9262,35388r5730,3310l22056,38698r5731,-3310l33517,32079r3532,-6112l37049,19349xe" filled="f" strokeweight=".1715mm">
                  <v:path arrowok="t"/>
                </v:shape>
                <v:shape id="Graphic 138" o:spid="_x0000_s1070" style="position:absolute;left:14650;top:23496;width:374;height:388;visibility:visible;mso-wrap-style:square;v-text-anchor:top" coordsize="37465,38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" path="m37049,19349r,-6619l33517,6618,27787,3309,22056,,14992,,9262,3309,3532,6618,,12730r,6619l,25967r3532,6112l9262,35388r5730,3310l22056,38698r5731,-3310l33517,32079r3532,-6112l37049,19349xe" filled="f" strokeweight=".1715mm">
                  <v:path arrowok="t"/>
                </v:shape>
                <v:shape id="Graphic 139" o:spid="_x0000_s1071" style="position:absolute;left:26462;top:22008;width:375;height:387;visibility:visible;mso-wrap-style:square;v-text-anchor:top" coordsize="37465,38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" path="m37049,19349r,-6619l33517,6618,27787,3309,22056,,14992,,9262,3309,3532,6618,,12730r,6619l,25967r3532,6112l9262,35388r5730,3310l22056,38698r5731,-3310l33517,32079r3532,-6112l37049,19349xe" filled="f" strokeweight=".1715mm">
                  <v:path arrowok="t"/>
                </v:shape>
                <v:shape id="Graphic 140" o:spid="_x0000_s1072" style="position:absolute;left:38275;top:20733;width:374;height:388;visibility:visible;mso-wrap-style:square;v-text-anchor:top" coordsize="37465,38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" path="m37049,19349r,-6619l33517,6618,27787,3309,22056,,14992,,9262,3309,3532,6618,,12730r,6619l,25967r3532,6112l9262,35388r5730,3310l22056,38698r5731,-3310l33517,32079r3532,-6112l37049,19349xe" filled="f" strokeweight=".1715mm">
                  <v:path arrowok="t"/>
                </v:shape>
                <v:shape id="Graphic 141" o:spid="_x0000_s1073" style="position:absolute;left:50087;top:20733;width:375;height:388;visibility:visible;mso-wrap-style:square;v-text-anchor:top" coordsize="37465,38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" path="m37049,19349r,-6619l33517,6618,27787,3309,22056,,14992,,9262,3309,3532,6618,,12730r,6619l,25967r3532,6112l9262,35388r5730,3310l22056,38698r5731,-3310l33517,32079r3532,-6112l37049,19349xe" filled="f" strokeweight=".1715mm">
                  <v:path arrowok="t"/>
                </v:shape>
                <v:shape id="Graphic 142" o:spid="_x0000_s1074" style="position:absolute;left:3023;top:10955;width:47250;height:18478;visibility:visible;mso-wrap-style:square;v-text-anchor:top" coordsize="4725035,18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" path="m,1847248l590616,1021462,1181239,369391,2362478,195682,3543717,,4724956,217358e" filled="f" strokeweight=".1715mm">
                  <v:path arrowok="t"/>
                </v:shape>
                <v:shape id="Graphic 143" o:spid="_x0000_s1075" style="position:absolute;left:3023;top:20927;width:47250;height:8502;visibility:visible;mso-wrap-style:square;v-text-anchor:top" coordsize="4725035,850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" path="m,850061l590616,552639,1181239,276319,2362478,127466,3543717,,4724956,e" filled="f" strokeweight=".17147mm">
                  <v:stroke dashstyle="longDash"/>
                  <v:path arrowok="t"/>
                </v:shape>
                <v:shape id="Graphic 144" o:spid="_x0000_s1076" style="position:absolute;left:50206;top:20898;width:70;height:32;visibility:visible;mso-wrap-style:square;v-text-anchor:top" coordsize="698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" path="m,l6638,2846e" filled="f" strokeweight=".1715mm">
                  <v:path arrowok="t"/>
                </v:shape>
                <v:shape id="Graphic 145" o:spid="_x0000_s1077" style="position:absolute;left:2837;top:10761;width:47625;height:18860;visibility:visible;mso-wrap-style:square;v-text-anchor:top" coordsize="4762500,188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" path="m37045,1859965r-3530,-6108l22059,1847240r-7061,l3530,1853857,,1859965r,13246l3530,1879320r11468,6617l22059,1885937r11456,-6617l37045,1873211r,-6616l37045,1859965xem627672,1034186r-3531,-6109l612673,1021461r-7061,l594156,1028077r-3530,6109l590626,1047419r3530,6122l605612,1060157r7061,l624141,1053541r3531,-6122l627672,1040803r,-6617xem1218285,382117r-3530,-6109l1203299,369379r-7061,l1184770,376008r-3531,6109l1181239,395351r3531,6108l1196238,408089r7061,l1214755,401459r3530,-6108l1218285,388734r,-6617xem2399525,208407r-3531,-6122l2384539,195668r-7061,l2366010,202285r-3531,6122l2362479,221640r3531,6109l2377478,234365r7061,l2395994,227749r3531,-6109l2399525,215023r,-6616xem3580765,12725r-3531,-6109l3565779,r-7074,l3547249,6616r-3530,6109l3543719,25958r3530,6109l3558705,38696r7074,l3577234,32067r3531,-6109l3580765,19342r,-6617xem4762004,230085r-3530,-6121l4747018,217347r-7073,l4728489,223964r-3530,6121l4724959,243319r3530,6109l4739945,256044r7073,l4758474,249428r3530,-6109l4762004,236702r,-6617xe" fillcolor="black" stroked="f">
                  <v:path arrowok="t"/>
                </v:shape>
                <v:shape id="Graphic 146" o:spid="_x0000_s1078" style="position:absolute;left:2837;top:29234;width:375;height:387;visibility:visible;mso-wrap-style:square;v-text-anchor:top" coordsize="37465,38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" path="m37049,19349r,-6619l33517,6618,27787,3309,22056,,14992,,9262,3309,3532,6618,,12730r,6619l,25967r3532,6112l9262,35388r5730,3310l22056,38698r5731,-3310l33517,32079r3532,-6112l37049,19349xe" filled="f" strokeweight=".1715mm">
                  <v:path arrowok="t"/>
                </v:shape>
                <v:shape id="Graphic 147" o:spid="_x0000_s1079" style="position:absolute;left:8744;top:26260;width:374;height:387;visibility:visible;mso-wrap-style:square;v-text-anchor:top" coordsize="37465,38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" path="m37049,19349r,-6619l33517,6618,27787,3309,22056,,14992,,9262,3309,3532,6618,,12730r,6619l,25967r3532,6112l9262,35388r5730,3310l22056,38698r5731,-3310l33517,32079r3532,-6112l37049,19349xe" filled="f" strokeweight=".1715mm">
                  <v:path arrowok="t"/>
                </v:shape>
                <v:shape id="Graphic 148" o:spid="_x0000_s1080" style="position:absolute;left:14650;top:23496;width:374;height:388;visibility:visible;mso-wrap-style:square;v-text-anchor:top" coordsize="37465,38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" path="m37049,19349r,-6619l33517,6618,27787,3309,22056,,14992,,9262,3309,3532,6618,,12730r,6619l,25967r3532,6112l9262,35388r5730,3310l22056,38698r5731,-3310l33517,32079r3532,-6112l37049,19349xe" filled="f" strokeweight=".1715mm">
                  <v:path arrowok="t"/>
                </v:shape>
                <v:shape id="Graphic 149" o:spid="_x0000_s1081" style="position:absolute;left:26462;top:22008;width:375;height:387;visibility:visible;mso-wrap-style:square;v-text-anchor:top" coordsize="37465,38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" path="m37049,19349r,-6619l33517,6618,27787,3309,22056,,14992,,9262,3309,3532,6618,,12730r,6619l,25967r3532,6112l9262,35388r5730,3310l22056,38698r5731,-3310l33517,32079r3532,-6112l37049,19349xe" filled="f" strokeweight=".1715mm">
                  <v:path arrowok="t"/>
                </v:shape>
                <v:shape id="Graphic 150" o:spid="_x0000_s1082" style="position:absolute;left:38275;top:20733;width:374;height:388;visibility:visible;mso-wrap-style:square;v-text-anchor:top" coordsize="37465,38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" path="m37049,19349r,-6619l33517,6618,27787,3309,22056,,14992,,9262,3309,3532,6618,,12730r,6619l,25967r3532,6112l9262,35388r5730,3310l22056,38698r5731,-3310l33517,32079r3532,-6112l37049,19349xe" filled="f" strokeweight=".1715mm">
                  <v:path arrowok="t"/>
                </v:shape>
                <v:shape id="Graphic 151" o:spid="_x0000_s1083" style="position:absolute;left:50087;top:20733;width:375;height:388;visibility:visible;mso-wrap-style:square;v-text-anchor:top" coordsize="37465,38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" path="m37049,19349r,-6619l33517,6618,27787,3309,22056,,14992,,9262,3309,3532,6618,,12730r,6619l,25967r3532,6112l9262,35388r5730,3310l22056,38698r5731,-3310l33517,32079r3532,-6112l37049,19349xe" filled="f" strokeweight=".1715mm">
                  <v:path arrowok="t"/>
                </v:shape>
                <v:shape id="Graphic 152" o:spid="_x0000_s1084" style="position:absolute;left:370;top:29920;width:54223;height:13;visibility:visible;mso-wrap-style:square;v-text-anchor:top" coordsize="54222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" path="m,l5421978,e" filled="f" strokeweight=".17147mm">
                  <v:path arrowok="t"/>
                </v:shape>
                <v:shape id="Graphic 153" o:spid="_x0000_s1085" style="position:absolute;left:54590;top:30;width:13;height:29896;visibility:visible;mso-wrap-style:square;v-text-anchor:top" coordsize="1270,298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" path="m,2988990l,e" filled="f" strokeweight=".1715mm">
                  <v:path arrowok="t"/>
                </v:shape>
                <v:shape id="Graphic 154" o:spid="_x0000_s1086" style="position:absolute;left:370;top:30;width:54223;height:13;visibility:visible;mso-wrap-style:square;v-text-anchor:top" coordsize="54222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" path="m,l5421978,e" filled="f" strokeweight=".17147mm">
                  <v:path arrowok="t"/>
                </v:shape>
                <v:shape id="Graphic 155" o:spid="_x0000_s1087" style="position:absolute;left:370;top:30;width:54223;height:29896;visibility:visible;mso-wrap-style:square;v-text-anchor:top" coordsize="5422265,298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" path="m,2988990l,em,2988990r5421978,e" filled="f" strokeweight=".1715mm">
                  <v:path arrowok="t"/>
                </v:shape>
                <v:shape id="Graphic 156" o:spid="_x0000_s1088" style="position:absolute;left:3023;top:29920;width:12;height:375;visibility:visible;mso-wrap-style:square;v-text-anchor:top" coordsize="1270,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" path="m,l,37043e" filled="f" strokeweight=".1715mm">
                  <v:path arrowok="t"/>
                </v:shape>
                <v:shape id="Graphic 157" o:spid="_x0000_s1089" style="position:absolute;left:8929;top:29920;width:13;height:375;visibility:visible;mso-wrap-style:square;v-text-anchor:top" coordsize="1270,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" path="m,l,37043e" filled="f" strokeweight=".1715mm">
                  <v:path arrowok="t"/>
                </v:shape>
                <v:shape id="Graphic 158" o:spid="_x0000_s1090" style="position:absolute;left:14835;top:29920;width:13;height:375;visibility:visible;mso-wrap-style:square;v-text-anchor:top" coordsize="1270,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" path="m,l,37043e" filled="f" strokeweight=".1715mm">
                  <v:path arrowok="t"/>
                </v:shape>
                <v:shape id="Graphic 159" o:spid="_x0000_s1091" style="position:absolute;left:26647;top:29920;width:13;height:375;visibility:visible;mso-wrap-style:square;v-text-anchor:top" coordsize="1270,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" path="m,l,37043e" filled="f" strokeweight=".1715mm">
                  <v:path arrowok="t"/>
                </v:shape>
                <v:shape id="Graphic 160" o:spid="_x0000_s1092" style="position:absolute;left:38460;top:29920;width:13;height:375;visibility:visible;mso-wrap-style:square;v-text-anchor:top" coordsize="1270,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" path="m,l,37043e" filled="f" strokeweight=".1715mm">
                  <v:path arrowok="t"/>
                </v:shape>
                <v:shape id="Graphic 161" o:spid="_x0000_s1093" style="position:absolute;left:50272;top:29920;width:13;height:375;visibility:visible;mso-wrap-style:square;v-text-anchor:top" coordsize="1270,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" path="m,l,37043e" filled="f" strokeweight=".1715mm">
                  <v:path arrowok="t"/>
                </v:shape>
                <v:shape id="Graphic 162" o:spid="_x0000_s1094" style="position:absolute;left:370;top:30;width:13;height:29896;visibility:visible;mso-wrap-style:square;v-text-anchor:top" coordsize="1270,298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" path="m,2988990l,e" filled="f" strokeweight=".1715mm">
                  <v:path arrowok="t"/>
                </v:shape>
                <v:shape id="Graphic 163" o:spid="_x0000_s1095" style="position:absolute;top:29427;width:374;height:13;visibility:visible;mso-wrap-style:square;v-text-anchor:top" coordsize="374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" path="m37074,l,e" filled="f" strokeweight=".17147mm">
                  <v:path arrowok="t"/>
                </v:shape>
                <v:shape id="Graphic 164" o:spid="_x0000_s1096" style="position:absolute;top:26537;width:374;height:13;visibility:visible;mso-wrap-style:square;v-text-anchor:top" coordsize="374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" path="m37074,l,e" filled="f" strokeweight=".17147mm">
                  <v:path arrowok="t"/>
                </v:shape>
                <v:shape id="Graphic 165" o:spid="_x0000_s1097" style="position:absolute;top:23646;width:374;height:13;visibility:visible;mso-wrap-style:square;v-text-anchor:top" coordsize="374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" path="m37074,l,e" filled="f" strokeweight=".17147mm">
                  <v:path arrowok="t"/>
                </v:shape>
                <v:shape id="Graphic 166" o:spid="_x0000_s1098" style="position:absolute;top:20756;width:374;height:13;visibility:visible;mso-wrap-style:square;v-text-anchor:top" coordsize="374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" path="m37074,l,e" filled="f" strokeweight=".17147mm">
                  <v:path arrowok="t"/>
                </v:shape>
                <v:shape id="Graphic 167" o:spid="_x0000_s1099" style="position:absolute;top:17866;width:374;height:12;visibility:visible;mso-wrap-style:square;v-text-anchor:top" coordsize="374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" path="m37074,l,e" filled="f" strokeweight=".17147mm">
                  <v:path arrowok="t"/>
                </v:shape>
                <v:shape id="Graphic 168" o:spid="_x0000_s1100" style="position:absolute;top:14975;width:374;height:13;visibility:visible;mso-wrap-style:square;v-text-anchor:top" coordsize="374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" path="m37074,l,e" filled="f" strokeweight=".17147mm">
                  <v:path arrowok="t"/>
                </v:shape>
                <v:shape id="Graphic 169" o:spid="_x0000_s1101" style="position:absolute;top:12085;width:374;height:13;visibility:visible;mso-wrap-style:square;v-text-anchor:top" coordsize="374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" path="m37074,l,e" filled="f" strokeweight=".17147mm">
                  <v:path arrowok="t"/>
                </v:shape>
                <v:shape id="Graphic 170" o:spid="_x0000_s1102" style="position:absolute;top:9195;width:374;height:12;visibility:visible;mso-wrap-style:square;v-text-anchor:top" coordsize="374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" path="m37074,l,e" filled="f" strokeweight=".17147mm">
                  <v:path arrowok="t"/>
                </v:shape>
                <v:shape id="Graphic 171" o:spid="_x0000_s1103" style="position:absolute;top:6304;width:374;height:13;visibility:visible;mso-wrap-style:square;v-text-anchor:top" coordsize="374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" path="m37074,l,e" filled="f" strokeweight=".17147mm">
                  <v:path arrowok="t"/>
                </v:shape>
                <v:shape id="Graphic 172" o:spid="_x0000_s1104" style="position:absolute;top:3414;width:374;height:12;visibility:visible;mso-wrap-style:square;v-text-anchor:top" coordsize="374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" path="m37074,l,e" filled="f" strokeweight=".17147mm">
                  <v:path arrowok="t"/>
                </v:shape>
                <v:shape id="Graphic 173" o:spid="_x0000_s1105" style="position:absolute;top:523;width:374;height:13;visibility:visible;mso-wrap-style:square;v-text-anchor:top" coordsize="374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" path="m37074,l,e" filled="f" strokeweight=".17147mm">
                  <v:path arrowok="t"/>
                </v:shape>
                <w10:wrap anchorx="page"/>
              </v:group>
            </w:pict>
          </mc:Fallback>
        </mc:AlternateContent>
      </w:r>
      <w:r>
        <w:rPr>
          <w:rFonts w:ascii="Arial"/>
          <w:spacing w:val="-5"/>
          <w:w w:val="105"/>
          <w:sz w:val="11"/>
        </w:rPr>
        <w:t>100</w:t>
      </w:r>
    </w:p>
    <w:p w14:paraId="4F532F9C" w14:textId="77777777" w:rsidR="001825E2" w:rsidRDefault="001825E2" w:rsidP="00CB00A7">
      <w:pPr>
        <w:pStyle w:val="BodyText"/>
        <w:jc w:val="left"/>
        <w:rPr>
          <w:rFonts w:ascii="Arial"/>
          <w:sz w:val="11"/>
        </w:rPr>
      </w:pPr>
    </w:p>
    <w:p w14:paraId="45565CA5" w14:textId="77777777" w:rsidR="001825E2" w:rsidRDefault="001825E2" w:rsidP="00CB00A7">
      <w:pPr>
        <w:pStyle w:val="BodyText"/>
        <w:spacing w:before="76"/>
        <w:jc w:val="left"/>
        <w:rPr>
          <w:rFonts w:ascii="Arial"/>
          <w:sz w:val="11"/>
        </w:rPr>
      </w:pPr>
    </w:p>
    <w:p w14:paraId="1D2D1224" w14:textId="77777777" w:rsidR="001825E2" w:rsidRDefault="000839A5" w:rsidP="00CB00A7">
      <w:pPr>
        <w:ind w:left="676"/>
        <w:rPr>
          <w:rFonts w:ascii="Arial"/>
          <w:sz w:val="11"/>
        </w:rPr>
      </w:pPr>
      <w:r>
        <w:rPr>
          <w:rFonts w:ascii="Arial"/>
          <w:spacing w:val="-5"/>
          <w:w w:val="105"/>
          <w:sz w:val="11"/>
        </w:rPr>
        <w:t>90</w:t>
      </w:r>
    </w:p>
    <w:p w14:paraId="651DADA4" w14:textId="77777777" w:rsidR="001825E2" w:rsidRDefault="001825E2" w:rsidP="00CB00A7">
      <w:pPr>
        <w:pStyle w:val="BodyText"/>
        <w:jc w:val="left"/>
        <w:rPr>
          <w:rFonts w:ascii="Arial"/>
          <w:sz w:val="11"/>
        </w:rPr>
      </w:pPr>
    </w:p>
    <w:p w14:paraId="3E9B601E" w14:textId="77777777" w:rsidR="001825E2" w:rsidRDefault="001825E2" w:rsidP="00CB00A7">
      <w:pPr>
        <w:pStyle w:val="BodyText"/>
        <w:spacing w:before="76"/>
        <w:jc w:val="left"/>
        <w:rPr>
          <w:rFonts w:ascii="Arial"/>
          <w:sz w:val="11"/>
        </w:rPr>
      </w:pPr>
    </w:p>
    <w:p w14:paraId="69C33C2F" w14:textId="77777777" w:rsidR="001825E2" w:rsidRDefault="000839A5" w:rsidP="00CB00A7">
      <w:pPr>
        <w:ind w:left="676"/>
        <w:rPr>
          <w:rFonts w:ascii="Arial"/>
          <w:sz w:val="11"/>
        </w:rPr>
      </w:pPr>
      <w:r>
        <w:rPr>
          <w:rFonts w:ascii="Arial"/>
          <w:spacing w:val="-5"/>
          <w:w w:val="105"/>
          <w:sz w:val="11"/>
        </w:rPr>
        <w:t>80</w:t>
      </w:r>
    </w:p>
    <w:p w14:paraId="01E8B663" w14:textId="77777777" w:rsidR="001825E2" w:rsidRDefault="001825E2" w:rsidP="00CB00A7">
      <w:pPr>
        <w:pStyle w:val="BodyText"/>
        <w:jc w:val="left"/>
        <w:rPr>
          <w:rFonts w:ascii="Arial"/>
          <w:sz w:val="11"/>
        </w:rPr>
      </w:pPr>
    </w:p>
    <w:p w14:paraId="57A9A93D" w14:textId="77777777" w:rsidR="001825E2" w:rsidRDefault="001825E2" w:rsidP="00CB00A7">
      <w:pPr>
        <w:pStyle w:val="BodyText"/>
        <w:spacing w:before="75"/>
        <w:jc w:val="left"/>
        <w:rPr>
          <w:rFonts w:ascii="Arial"/>
          <w:sz w:val="11"/>
        </w:rPr>
      </w:pPr>
    </w:p>
    <w:p w14:paraId="22CE68A0" w14:textId="77777777" w:rsidR="001825E2" w:rsidRDefault="000839A5" w:rsidP="00CB00A7">
      <w:pPr>
        <w:ind w:left="676"/>
        <w:rPr>
          <w:rFonts w:ascii="Arial"/>
          <w:sz w:val="11"/>
        </w:rPr>
      </w:pPr>
      <w:r>
        <w:rPr>
          <w:rFonts w:ascii="Arial"/>
          <w:spacing w:val="-5"/>
          <w:w w:val="105"/>
          <w:sz w:val="11"/>
        </w:rPr>
        <w:t>70</w:t>
      </w:r>
    </w:p>
    <w:p w14:paraId="639075F9" w14:textId="77777777" w:rsidR="001825E2" w:rsidRDefault="001825E2" w:rsidP="00CB00A7">
      <w:pPr>
        <w:pStyle w:val="BodyText"/>
        <w:jc w:val="left"/>
        <w:rPr>
          <w:rFonts w:ascii="Arial"/>
          <w:sz w:val="11"/>
        </w:rPr>
      </w:pPr>
    </w:p>
    <w:p w14:paraId="380AC5F9" w14:textId="77777777" w:rsidR="001825E2" w:rsidRDefault="001825E2" w:rsidP="00CB00A7">
      <w:pPr>
        <w:pStyle w:val="BodyText"/>
        <w:spacing w:before="76"/>
        <w:jc w:val="left"/>
        <w:rPr>
          <w:rFonts w:ascii="Arial"/>
          <w:sz w:val="11"/>
        </w:rPr>
      </w:pPr>
    </w:p>
    <w:p w14:paraId="1059A63F" w14:textId="77777777" w:rsidR="001825E2" w:rsidRDefault="000839A5" w:rsidP="00CB00A7">
      <w:pPr>
        <w:ind w:left="676"/>
        <w:rPr>
          <w:rFonts w:ascii="Arial"/>
          <w:sz w:val="11"/>
        </w:rPr>
      </w:pPr>
      <w:r>
        <w:rPr>
          <w:noProof/>
        </w:rPr>
        <mc:AlternateContent>
          <mc:Choice Requires="wps">
            <w:drawing>
              <wp:anchor distT="0" distB="0" distL="0" distR="0" simplePos="0" relativeHeight="15736320" behindDoc="0" locked="0" layoutInCell="1" allowOverlap="1" wp14:anchorId="11526124" wp14:editId="20656CA2">
                <wp:simplePos x="0" y="0"/>
                <wp:positionH relativeFrom="page">
                  <wp:posOffset>974106</wp:posOffset>
                </wp:positionH>
                <wp:positionV relativeFrom="paragraph">
                  <wp:posOffset>-89917</wp:posOffset>
                </wp:positionV>
                <wp:extent cx="108585" cy="939165"/>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 cy="939165"/>
                        </a:xfrm>
                        <a:prstGeom prst="rect">
                          <a:avLst/>
                        </a:prstGeom>
                      </wps:spPr>
                      <wps:txbx>
                        <w:txbxContent>
                          <w:p w14:paraId="56D14BAD" w14:textId="77777777" w:rsidR="001825E2" w:rsidRDefault="000839A5">
                            <w:pPr>
                              <w:spacing w:before="22"/>
                              <w:ind w:left="20"/>
                              <w:rPr>
                                <w:rFonts w:ascii="Arial"/>
                                <w:sz w:val="11"/>
                              </w:rPr>
                            </w:pPr>
                            <w:r>
                              <w:rPr>
                                <w:rFonts w:ascii="Arial"/>
                                <w:w w:val="105"/>
                                <w:sz w:val="11"/>
                              </w:rPr>
                              <w:t>Response</w:t>
                            </w:r>
                            <w:r>
                              <w:rPr>
                                <w:rFonts w:ascii="Arial"/>
                                <w:spacing w:val="9"/>
                                <w:w w:val="105"/>
                                <w:sz w:val="11"/>
                              </w:rPr>
                              <w:t xml:space="preserve"> </w:t>
                            </w:r>
                            <w:r>
                              <w:rPr>
                                <w:rFonts w:ascii="Arial"/>
                                <w:w w:val="105"/>
                                <w:sz w:val="11"/>
                              </w:rPr>
                              <w:t>Rate</w:t>
                            </w:r>
                            <w:r>
                              <w:rPr>
                                <w:rFonts w:ascii="Arial"/>
                                <w:spacing w:val="10"/>
                                <w:w w:val="105"/>
                                <w:sz w:val="11"/>
                              </w:rPr>
                              <w:t xml:space="preserve"> </w:t>
                            </w:r>
                            <w:r>
                              <w:rPr>
                                <w:rFonts w:ascii="Arial"/>
                                <w:w w:val="105"/>
                                <w:sz w:val="11"/>
                              </w:rPr>
                              <w:t>(+/-</w:t>
                            </w:r>
                            <w:r>
                              <w:rPr>
                                <w:rFonts w:ascii="Arial"/>
                                <w:spacing w:val="6"/>
                                <w:w w:val="105"/>
                                <w:sz w:val="11"/>
                              </w:rPr>
                              <w:t xml:space="preserve"> </w:t>
                            </w:r>
                            <w:r>
                              <w:rPr>
                                <w:rFonts w:ascii="Arial"/>
                                <w:w w:val="105"/>
                                <w:sz w:val="11"/>
                              </w:rPr>
                              <w:t>SE,</w:t>
                            </w:r>
                            <w:r>
                              <w:rPr>
                                <w:rFonts w:ascii="Arial"/>
                                <w:spacing w:val="2"/>
                                <w:w w:val="105"/>
                                <w:sz w:val="11"/>
                              </w:rPr>
                              <w:t xml:space="preserve"> </w:t>
                            </w:r>
                            <w:r>
                              <w:rPr>
                                <w:rFonts w:ascii="Arial"/>
                                <w:spacing w:val="-7"/>
                                <w:w w:val="105"/>
                                <w:sz w:val="11"/>
                              </w:rPr>
                              <w:t>%)</w:t>
                            </w:r>
                          </w:p>
                        </w:txbxContent>
                      </wps:txbx>
                      <wps:bodyPr vert="vert270" wrap="square" lIns="0" tIns="0" rIns="0" bIns="0" rtlCol="0">
                        <a:noAutofit/>
                      </wps:bodyPr>
                    </wps:wsp>
                  </a:graphicData>
                </a:graphic>
              </wp:anchor>
            </w:drawing>
          </mc:Choice>
          <mc:Fallback>
            <w:pict>
              <v:shapetype w14:anchorId="11526124" id="_x0000_t202" coordsize="21600,21600" o:spt="202" path="m,l,21600r21600,l21600,xe">
                <v:stroke joinstyle="miter"/>
                <v:path gradientshapeok="t" o:connecttype="rect"/>
              </v:shapetype>
              <v:shape id="Textbox 174" o:spid="_x0000_s1026" type="#_x0000_t202" style="position:absolute;left:0;text-align:left;margin-left:76.7pt;margin-top:-7.1pt;width:8.55pt;height:73.95pt;z-index:15736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" filled="f" stroked="f">
                <v:textbox style="layout-flow:vertical;mso-layout-flow-alt:bottom-to-top" inset="0,0,0,0">
                  <w:txbxContent>
                    <w:p w14:paraId="56D14BAD" w14:textId="77777777" w:rsidR="001825E2" w:rsidRDefault="000839A5">
                      <w:pPr>
                        <w:spacing w:before="22"/>
                        <w:ind w:left="20"/>
                        <w:rPr>
                          <w:rFonts w:ascii="Arial"/>
                          <w:sz w:val="11"/>
                        </w:rPr>
                      </w:pPr>
                      <w:r>
                        <w:rPr>
                          <w:rFonts w:ascii="Arial"/>
                          <w:w w:val="105"/>
                          <w:sz w:val="11"/>
                        </w:rPr>
                        <w:t>Response</w:t>
                      </w:r>
                      <w:r>
                        <w:rPr>
                          <w:rFonts w:ascii="Arial"/>
                          <w:spacing w:val="9"/>
                          <w:w w:val="105"/>
                          <w:sz w:val="11"/>
                        </w:rPr>
                        <w:t xml:space="preserve"> </w:t>
                      </w:r>
                      <w:r>
                        <w:rPr>
                          <w:rFonts w:ascii="Arial"/>
                          <w:w w:val="105"/>
                          <w:sz w:val="11"/>
                        </w:rPr>
                        <w:t>Rate</w:t>
                      </w:r>
                      <w:r>
                        <w:rPr>
                          <w:rFonts w:ascii="Arial"/>
                          <w:spacing w:val="10"/>
                          <w:w w:val="105"/>
                          <w:sz w:val="11"/>
                        </w:rPr>
                        <w:t xml:space="preserve"> </w:t>
                      </w:r>
                      <w:r>
                        <w:rPr>
                          <w:rFonts w:ascii="Arial"/>
                          <w:w w:val="105"/>
                          <w:sz w:val="11"/>
                        </w:rPr>
                        <w:t>(+/-</w:t>
                      </w:r>
                      <w:r>
                        <w:rPr>
                          <w:rFonts w:ascii="Arial"/>
                          <w:spacing w:val="6"/>
                          <w:w w:val="105"/>
                          <w:sz w:val="11"/>
                        </w:rPr>
                        <w:t xml:space="preserve"> </w:t>
                      </w:r>
                      <w:r>
                        <w:rPr>
                          <w:rFonts w:ascii="Arial"/>
                          <w:w w:val="105"/>
                          <w:sz w:val="11"/>
                        </w:rPr>
                        <w:t>SE,</w:t>
                      </w:r>
                      <w:r>
                        <w:rPr>
                          <w:rFonts w:ascii="Arial"/>
                          <w:spacing w:val="2"/>
                          <w:w w:val="105"/>
                          <w:sz w:val="11"/>
                        </w:rPr>
                        <w:t xml:space="preserve"> </w:t>
                      </w:r>
                      <w:r>
                        <w:rPr>
                          <w:rFonts w:ascii="Arial"/>
                          <w:spacing w:val="-7"/>
                          <w:w w:val="105"/>
                          <w:sz w:val="11"/>
                        </w:rPr>
                        <w:t>%)</w:t>
                      </w:r>
                    </w:p>
                  </w:txbxContent>
                </v:textbox>
                <w10:wrap anchorx="page"/>
              </v:shape>
            </w:pict>
          </mc:Fallback>
        </mc:AlternateContent>
      </w:r>
      <w:r>
        <w:rPr>
          <w:rFonts w:ascii="Arial"/>
          <w:spacing w:val="-5"/>
          <w:w w:val="105"/>
          <w:sz w:val="11"/>
        </w:rPr>
        <w:t>60</w:t>
      </w:r>
    </w:p>
    <w:p w14:paraId="5A4B689F" w14:textId="77777777" w:rsidR="001825E2" w:rsidRDefault="001825E2" w:rsidP="00CB00A7">
      <w:pPr>
        <w:pStyle w:val="BodyText"/>
        <w:jc w:val="left"/>
        <w:rPr>
          <w:rFonts w:ascii="Arial"/>
          <w:sz w:val="11"/>
        </w:rPr>
      </w:pPr>
    </w:p>
    <w:p w14:paraId="19F97C46" w14:textId="77777777" w:rsidR="001825E2" w:rsidRDefault="001825E2" w:rsidP="00CB00A7">
      <w:pPr>
        <w:pStyle w:val="BodyText"/>
        <w:spacing w:before="76"/>
        <w:jc w:val="left"/>
        <w:rPr>
          <w:rFonts w:ascii="Arial"/>
          <w:sz w:val="11"/>
        </w:rPr>
      </w:pPr>
    </w:p>
    <w:p w14:paraId="13213B1C" w14:textId="77777777" w:rsidR="001825E2" w:rsidRDefault="000839A5" w:rsidP="00CB00A7">
      <w:pPr>
        <w:ind w:left="676"/>
        <w:rPr>
          <w:rFonts w:ascii="Arial"/>
          <w:sz w:val="11"/>
        </w:rPr>
      </w:pPr>
      <w:r>
        <w:rPr>
          <w:rFonts w:ascii="Arial"/>
          <w:spacing w:val="-5"/>
          <w:w w:val="105"/>
          <w:sz w:val="11"/>
        </w:rPr>
        <w:t>50</w:t>
      </w:r>
    </w:p>
    <w:p w14:paraId="7CE5650E" w14:textId="77777777" w:rsidR="001825E2" w:rsidRDefault="001825E2" w:rsidP="00CB00A7">
      <w:pPr>
        <w:pStyle w:val="BodyText"/>
        <w:jc w:val="left"/>
        <w:rPr>
          <w:rFonts w:ascii="Arial"/>
          <w:sz w:val="11"/>
        </w:rPr>
      </w:pPr>
    </w:p>
    <w:p w14:paraId="0762B9A8" w14:textId="77777777" w:rsidR="001825E2" w:rsidRDefault="001825E2" w:rsidP="00CB00A7">
      <w:pPr>
        <w:pStyle w:val="BodyText"/>
        <w:spacing w:before="75"/>
        <w:jc w:val="left"/>
        <w:rPr>
          <w:rFonts w:ascii="Arial"/>
          <w:sz w:val="11"/>
        </w:rPr>
      </w:pPr>
    </w:p>
    <w:p w14:paraId="71792756" w14:textId="77777777" w:rsidR="001825E2" w:rsidRDefault="000839A5" w:rsidP="00CB00A7">
      <w:pPr>
        <w:spacing w:before="1"/>
        <w:ind w:left="676"/>
        <w:rPr>
          <w:rFonts w:ascii="Arial"/>
          <w:sz w:val="11"/>
        </w:rPr>
      </w:pPr>
      <w:r>
        <w:rPr>
          <w:rFonts w:ascii="Arial"/>
          <w:spacing w:val="-5"/>
          <w:w w:val="105"/>
          <w:sz w:val="11"/>
        </w:rPr>
        <w:t>40</w:t>
      </w:r>
    </w:p>
    <w:p w14:paraId="4FE70F1E" w14:textId="77777777" w:rsidR="001825E2" w:rsidRDefault="001825E2" w:rsidP="00CB00A7">
      <w:pPr>
        <w:pStyle w:val="BodyText"/>
        <w:jc w:val="left"/>
        <w:rPr>
          <w:rFonts w:ascii="Arial"/>
          <w:sz w:val="11"/>
        </w:rPr>
      </w:pPr>
    </w:p>
    <w:p w14:paraId="6E3BDBEB" w14:textId="77777777" w:rsidR="001825E2" w:rsidRDefault="001825E2" w:rsidP="00CB00A7">
      <w:pPr>
        <w:pStyle w:val="BodyText"/>
        <w:spacing w:before="75"/>
        <w:jc w:val="left"/>
        <w:rPr>
          <w:rFonts w:ascii="Arial"/>
          <w:sz w:val="11"/>
        </w:rPr>
      </w:pPr>
    </w:p>
    <w:p w14:paraId="0970C767" w14:textId="77777777" w:rsidR="001825E2" w:rsidRDefault="000839A5" w:rsidP="00CB00A7">
      <w:pPr>
        <w:ind w:left="676"/>
        <w:rPr>
          <w:rFonts w:ascii="Arial"/>
          <w:sz w:val="11"/>
        </w:rPr>
      </w:pPr>
      <w:r>
        <w:rPr>
          <w:rFonts w:ascii="Arial"/>
          <w:spacing w:val="-5"/>
          <w:w w:val="105"/>
          <w:sz w:val="11"/>
        </w:rPr>
        <w:t>30</w:t>
      </w:r>
    </w:p>
    <w:p w14:paraId="469E65CD" w14:textId="77777777" w:rsidR="001825E2" w:rsidRDefault="001825E2" w:rsidP="00CB00A7">
      <w:pPr>
        <w:pStyle w:val="BodyText"/>
        <w:jc w:val="left"/>
        <w:rPr>
          <w:rFonts w:ascii="Arial"/>
          <w:sz w:val="11"/>
        </w:rPr>
      </w:pPr>
    </w:p>
    <w:p w14:paraId="45B449D5" w14:textId="77777777" w:rsidR="001825E2" w:rsidRDefault="001825E2" w:rsidP="00CB00A7">
      <w:pPr>
        <w:pStyle w:val="BodyText"/>
        <w:spacing w:before="76"/>
        <w:jc w:val="left"/>
        <w:rPr>
          <w:rFonts w:ascii="Arial"/>
          <w:sz w:val="11"/>
        </w:rPr>
      </w:pPr>
    </w:p>
    <w:p w14:paraId="30813A7C" w14:textId="77777777" w:rsidR="001825E2" w:rsidRDefault="000839A5" w:rsidP="00CB00A7">
      <w:pPr>
        <w:ind w:left="676"/>
        <w:rPr>
          <w:rFonts w:ascii="Arial"/>
          <w:sz w:val="11"/>
        </w:rPr>
      </w:pPr>
      <w:r>
        <w:rPr>
          <w:rFonts w:ascii="Arial"/>
          <w:spacing w:val="-5"/>
          <w:w w:val="105"/>
          <w:sz w:val="11"/>
        </w:rPr>
        <w:t>20</w:t>
      </w:r>
    </w:p>
    <w:p w14:paraId="68AD732C" w14:textId="77777777" w:rsidR="001825E2" w:rsidRDefault="001825E2" w:rsidP="00CB00A7">
      <w:pPr>
        <w:pStyle w:val="BodyText"/>
        <w:jc w:val="left"/>
        <w:rPr>
          <w:rFonts w:ascii="Arial"/>
          <w:sz w:val="11"/>
        </w:rPr>
      </w:pPr>
    </w:p>
    <w:p w14:paraId="61284DCD" w14:textId="77777777" w:rsidR="001825E2" w:rsidRDefault="001825E2" w:rsidP="00CB00A7">
      <w:pPr>
        <w:pStyle w:val="BodyText"/>
        <w:spacing w:before="76"/>
        <w:jc w:val="left"/>
        <w:rPr>
          <w:rFonts w:ascii="Arial"/>
          <w:sz w:val="11"/>
        </w:rPr>
      </w:pPr>
    </w:p>
    <w:p w14:paraId="623DA41C" w14:textId="77777777" w:rsidR="001825E2" w:rsidRDefault="000839A5" w:rsidP="00CB00A7">
      <w:pPr>
        <w:ind w:left="676"/>
        <w:rPr>
          <w:rFonts w:ascii="Arial"/>
          <w:sz w:val="11"/>
        </w:rPr>
      </w:pPr>
      <w:r>
        <w:rPr>
          <w:rFonts w:ascii="Arial"/>
          <w:spacing w:val="-5"/>
          <w:w w:val="105"/>
          <w:sz w:val="11"/>
        </w:rPr>
        <w:t>10</w:t>
      </w:r>
    </w:p>
    <w:p w14:paraId="71CDC2ED" w14:textId="77777777" w:rsidR="001825E2" w:rsidRDefault="001825E2" w:rsidP="00CB00A7">
      <w:pPr>
        <w:pStyle w:val="BodyText"/>
        <w:jc w:val="left"/>
        <w:rPr>
          <w:rFonts w:ascii="Arial"/>
          <w:sz w:val="11"/>
        </w:rPr>
      </w:pPr>
    </w:p>
    <w:p w14:paraId="7DBBE87E" w14:textId="77777777" w:rsidR="001825E2" w:rsidRDefault="001825E2" w:rsidP="00CB00A7">
      <w:pPr>
        <w:pStyle w:val="BodyText"/>
        <w:spacing w:before="75"/>
        <w:jc w:val="left"/>
        <w:rPr>
          <w:rFonts w:ascii="Arial"/>
          <w:sz w:val="11"/>
        </w:rPr>
      </w:pPr>
    </w:p>
    <w:p w14:paraId="2CD32748" w14:textId="77777777" w:rsidR="001825E2" w:rsidRDefault="000839A5" w:rsidP="00CB00A7">
      <w:pPr>
        <w:ind w:left="754"/>
        <w:rPr>
          <w:rFonts w:ascii="Arial"/>
          <w:sz w:val="11"/>
        </w:rPr>
      </w:pPr>
      <w:r>
        <w:rPr>
          <w:rFonts w:ascii="Arial"/>
          <w:spacing w:val="-10"/>
          <w:w w:val="105"/>
          <w:sz w:val="11"/>
        </w:rPr>
        <w:t>0</w:t>
      </w:r>
    </w:p>
    <w:p w14:paraId="3B96B239" w14:textId="77777777" w:rsidR="001825E2" w:rsidRDefault="000839A5" w:rsidP="00CB00A7">
      <w:pPr>
        <w:tabs>
          <w:tab w:val="left" w:pos="2235"/>
          <w:tab w:val="left" w:pos="3165"/>
          <w:tab w:val="left" w:pos="5026"/>
          <w:tab w:val="left" w:pos="6847"/>
          <w:tab w:val="left" w:pos="8707"/>
        </w:tabs>
        <w:spacing w:before="119"/>
        <w:ind w:left="1305"/>
        <w:rPr>
          <w:rFonts w:ascii="Arial"/>
          <w:sz w:val="11"/>
        </w:rPr>
      </w:pPr>
      <w:r>
        <w:rPr>
          <w:rFonts w:ascii="Arial"/>
          <w:spacing w:val="-10"/>
          <w:w w:val="105"/>
          <w:sz w:val="11"/>
        </w:rPr>
        <w:t>0</w:t>
      </w:r>
      <w:r>
        <w:rPr>
          <w:rFonts w:ascii="Arial"/>
          <w:sz w:val="11"/>
        </w:rPr>
        <w:tab/>
      </w:r>
      <w:r>
        <w:rPr>
          <w:rFonts w:ascii="Arial"/>
          <w:spacing w:val="-12"/>
          <w:w w:val="105"/>
          <w:sz w:val="11"/>
        </w:rPr>
        <w:t>2</w:t>
      </w:r>
      <w:r>
        <w:rPr>
          <w:rFonts w:ascii="Arial"/>
          <w:sz w:val="11"/>
        </w:rPr>
        <w:tab/>
      </w:r>
      <w:r>
        <w:rPr>
          <w:rFonts w:ascii="Arial"/>
          <w:spacing w:val="-10"/>
          <w:w w:val="105"/>
          <w:sz w:val="11"/>
        </w:rPr>
        <w:t>4</w:t>
      </w:r>
      <w:r>
        <w:rPr>
          <w:rFonts w:ascii="Arial"/>
          <w:sz w:val="11"/>
        </w:rPr>
        <w:tab/>
      </w:r>
      <w:r>
        <w:rPr>
          <w:rFonts w:ascii="Arial"/>
          <w:spacing w:val="-10"/>
          <w:w w:val="105"/>
          <w:sz w:val="11"/>
        </w:rPr>
        <w:t>8</w:t>
      </w:r>
      <w:r>
        <w:rPr>
          <w:rFonts w:ascii="Arial"/>
          <w:sz w:val="11"/>
        </w:rPr>
        <w:tab/>
      </w:r>
      <w:r>
        <w:rPr>
          <w:rFonts w:ascii="Arial"/>
          <w:spacing w:val="-5"/>
          <w:w w:val="105"/>
          <w:sz w:val="11"/>
        </w:rPr>
        <w:t>12</w:t>
      </w:r>
      <w:r>
        <w:rPr>
          <w:rFonts w:ascii="Arial"/>
          <w:sz w:val="11"/>
        </w:rPr>
        <w:tab/>
      </w:r>
      <w:r>
        <w:rPr>
          <w:rFonts w:ascii="Arial"/>
          <w:spacing w:val="-5"/>
          <w:w w:val="105"/>
          <w:sz w:val="11"/>
        </w:rPr>
        <w:t>16</w:t>
      </w:r>
    </w:p>
    <w:p w14:paraId="1F400FF9" w14:textId="77777777" w:rsidR="001825E2" w:rsidRDefault="000839A5" w:rsidP="00CB00A7">
      <w:pPr>
        <w:spacing w:before="87"/>
        <w:ind w:left="709" w:right="323"/>
        <w:rPr>
          <w:rFonts w:ascii="Arial"/>
          <w:sz w:val="11"/>
        </w:rPr>
      </w:pPr>
      <w:r>
        <w:rPr>
          <w:rFonts w:ascii="Arial"/>
          <w:spacing w:val="-4"/>
          <w:w w:val="105"/>
          <w:sz w:val="11"/>
        </w:rPr>
        <w:t>Week</w:t>
      </w:r>
    </w:p>
    <w:p w14:paraId="77B18012" w14:textId="77777777" w:rsidR="001825E2" w:rsidRDefault="000839A5" w:rsidP="00CB00A7">
      <w:pPr>
        <w:pStyle w:val="BodyText"/>
        <w:spacing w:before="2"/>
        <w:jc w:val="left"/>
        <w:rPr>
          <w:rFonts w:ascii="Arial"/>
          <w:sz w:val="6"/>
        </w:rPr>
      </w:pPr>
      <w:r>
        <w:rPr>
          <w:noProof/>
        </w:rPr>
        <mc:AlternateContent>
          <mc:Choice Requires="wpg">
            <w:drawing>
              <wp:anchor distT="0" distB="0" distL="0" distR="0" simplePos="0" relativeHeight="487594496" behindDoc="1" locked="0" layoutInCell="1" allowOverlap="1" wp14:anchorId="6E05526C" wp14:editId="5D37F5B0">
                <wp:simplePos x="0" y="0"/>
                <wp:positionH relativeFrom="page">
                  <wp:posOffset>2854983</wp:posOffset>
                </wp:positionH>
                <wp:positionV relativeFrom="paragraph">
                  <wp:posOffset>60644</wp:posOffset>
                </wp:positionV>
                <wp:extent cx="2433320" cy="105410"/>
                <wp:effectExtent l="0" t="0" r="0" b="0"/>
                <wp:wrapTopAndBottom/>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3320" cy="105410"/>
                          <a:chOff x="0" y="0"/>
                          <a:chExt cx="2433320" cy="105410"/>
                        </a:xfrm>
                      </wpg:grpSpPr>
                      <wps:wsp>
                        <wps:cNvPr id="176" name="Graphic 176"/>
                        <wps:cNvSpPr/>
                        <wps:spPr>
                          <a:xfrm>
                            <a:off x="1806153" y="52479"/>
                            <a:ext cx="278130" cy="1270"/>
                          </a:xfrm>
                          <a:custGeom>
                            <a:avLst/>
                            <a:gdLst/>
                            <a:ahLst/>
                            <a:cxnLst/>
                            <a:rect l="l" t="t" r="r" b="b"/>
                            <a:pathLst>
                              <a:path w="278130">
                                <a:moveTo>
                                  <a:pt x="0" y="0"/>
                                </a:moveTo>
                                <a:lnTo>
                                  <a:pt x="277870" y="0"/>
                                </a:lnTo>
                              </a:path>
                            </a:pathLst>
                          </a:custGeom>
                          <a:ln w="6173">
                            <a:solidFill>
                              <a:srgbClr val="000000"/>
                            </a:solidFill>
                            <a:prstDash val="lgDash"/>
                          </a:ln>
                        </wps:spPr>
                        <wps:bodyPr wrap="square" lIns="0" tIns="0" rIns="0" bIns="0" rtlCol="0">
                          <a:prstTxWarp prst="textNoShape">
                            <a:avLst/>
                          </a:prstTxWarp>
                          <a:noAutofit/>
                        </wps:bodyPr>
                      </wps:wsp>
                      <wps:wsp>
                        <wps:cNvPr id="177" name="Graphic 177"/>
                        <wps:cNvSpPr/>
                        <wps:spPr>
                          <a:xfrm>
                            <a:off x="1929651" y="33130"/>
                            <a:ext cx="37465" cy="38735"/>
                          </a:xfrm>
                          <a:custGeom>
                            <a:avLst/>
                            <a:gdLst/>
                            <a:ahLst/>
                            <a:cxnLst/>
                            <a:rect l="l" t="t" r="r" b="b"/>
                            <a:pathLst>
                              <a:path w="37465" h="38735">
                                <a:moveTo>
                                  <a:pt x="37049" y="19349"/>
                                </a:moveTo>
                                <a:lnTo>
                                  <a:pt x="37049" y="12730"/>
                                </a:lnTo>
                                <a:lnTo>
                                  <a:pt x="33517" y="6618"/>
                                </a:lnTo>
                                <a:lnTo>
                                  <a:pt x="27787" y="3309"/>
                                </a:lnTo>
                                <a:lnTo>
                                  <a:pt x="22056" y="0"/>
                                </a:lnTo>
                                <a:lnTo>
                                  <a:pt x="14992" y="0"/>
                                </a:lnTo>
                                <a:lnTo>
                                  <a:pt x="9262" y="3309"/>
                                </a:lnTo>
                                <a:lnTo>
                                  <a:pt x="3532" y="6618"/>
                                </a:lnTo>
                                <a:lnTo>
                                  <a:pt x="0" y="12730"/>
                                </a:lnTo>
                                <a:lnTo>
                                  <a:pt x="0" y="19349"/>
                                </a:lnTo>
                                <a:lnTo>
                                  <a:pt x="0" y="25967"/>
                                </a:lnTo>
                                <a:lnTo>
                                  <a:pt x="3532" y="32079"/>
                                </a:lnTo>
                                <a:lnTo>
                                  <a:pt x="9262" y="35388"/>
                                </a:lnTo>
                                <a:lnTo>
                                  <a:pt x="14992" y="38698"/>
                                </a:lnTo>
                                <a:lnTo>
                                  <a:pt x="22056" y="38698"/>
                                </a:lnTo>
                                <a:lnTo>
                                  <a:pt x="27787" y="35388"/>
                                </a:lnTo>
                                <a:lnTo>
                                  <a:pt x="33517" y="32079"/>
                                </a:lnTo>
                                <a:lnTo>
                                  <a:pt x="37049" y="25967"/>
                                </a:lnTo>
                                <a:lnTo>
                                  <a:pt x="37049" y="19349"/>
                                </a:lnTo>
                                <a:close/>
                              </a:path>
                            </a:pathLst>
                          </a:custGeom>
                          <a:ln w="6174">
                            <a:solidFill>
                              <a:srgbClr val="000000"/>
                            </a:solidFill>
                            <a:prstDash val="solid"/>
                          </a:ln>
                        </wps:spPr>
                        <wps:bodyPr wrap="square" lIns="0" tIns="0" rIns="0" bIns="0" rtlCol="0">
                          <a:prstTxWarp prst="textNoShape">
                            <a:avLst/>
                          </a:prstTxWarp>
                          <a:noAutofit/>
                        </wps:bodyPr>
                      </wps:wsp>
                      <wps:wsp>
                        <wps:cNvPr id="178" name="Graphic 178"/>
                        <wps:cNvSpPr/>
                        <wps:spPr>
                          <a:xfrm>
                            <a:off x="515599" y="52480"/>
                            <a:ext cx="278130" cy="1270"/>
                          </a:xfrm>
                          <a:custGeom>
                            <a:avLst/>
                            <a:gdLst/>
                            <a:ahLst/>
                            <a:cxnLst/>
                            <a:rect l="l" t="t" r="r" b="b"/>
                            <a:pathLst>
                              <a:path w="278130">
                                <a:moveTo>
                                  <a:pt x="0" y="0"/>
                                </a:moveTo>
                                <a:lnTo>
                                  <a:pt x="277870" y="0"/>
                                </a:lnTo>
                              </a:path>
                            </a:pathLst>
                          </a:custGeom>
                          <a:ln w="6173">
                            <a:solidFill>
                              <a:srgbClr val="000000"/>
                            </a:solidFill>
                            <a:prstDash val="solid"/>
                          </a:ln>
                        </wps:spPr>
                        <wps:bodyPr wrap="square" lIns="0" tIns="0" rIns="0" bIns="0" rtlCol="0">
                          <a:prstTxWarp prst="textNoShape">
                            <a:avLst/>
                          </a:prstTxWarp>
                          <a:noAutofit/>
                        </wps:bodyPr>
                      </wps:wsp>
                      <wps:wsp>
                        <wps:cNvPr id="179" name="Graphic 179"/>
                        <wps:cNvSpPr/>
                        <wps:spPr>
                          <a:xfrm>
                            <a:off x="639097" y="33130"/>
                            <a:ext cx="37465" cy="38735"/>
                          </a:xfrm>
                          <a:custGeom>
                            <a:avLst/>
                            <a:gdLst/>
                            <a:ahLst/>
                            <a:cxnLst/>
                            <a:rect l="l" t="t" r="r" b="b"/>
                            <a:pathLst>
                              <a:path w="37465" h="38735">
                                <a:moveTo>
                                  <a:pt x="22056" y="38698"/>
                                </a:moveTo>
                                <a:lnTo>
                                  <a:pt x="14992" y="38698"/>
                                </a:lnTo>
                                <a:lnTo>
                                  <a:pt x="3532" y="32079"/>
                                </a:lnTo>
                                <a:lnTo>
                                  <a:pt x="0" y="25967"/>
                                </a:lnTo>
                                <a:lnTo>
                                  <a:pt x="0" y="12730"/>
                                </a:lnTo>
                                <a:lnTo>
                                  <a:pt x="3532" y="6618"/>
                                </a:lnTo>
                                <a:lnTo>
                                  <a:pt x="14992" y="0"/>
                                </a:lnTo>
                                <a:lnTo>
                                  <a:pt x="22056" y="0"/>
                                </a:lnTo>
                                <a:lnTo>
                                  <a:pt x="33517" y="6618"/>
                                </a:lnTo>
                                <a:lnTo>
                                  <a:pt x="37049" y="12730"/>
                                </a:lnTo>
                                <a:lnTo>
                                  <a:pt x="37049" y="19349"/>
                                </a:lnTo>
                                <a:lnTo>
                                  <a:pt x="37049" y="25967"/>
                                </a:lnTo>
                                <a:lnTo>
                                  <a:pt x="33517" y="32079"/>
                                </a:lnTo>
                                <a:lnTo>
                                  <a:pt x="22056" y="38698"/>
                                </a:lnTo>
                                <a:close/>
                              </a:path>
                            </a:pathLst>
                          </a:custGeom>
                          <a:solidFill>
                            <a:srgbClr val="000000"/>
                          </a:solidFill>
                        </wps:spPr>
                        <wps:bodyPr wrap="square" lIns="0" tIns="0" rIns="0" bIns="0" rtlCol="0">
                          <a:prstTxWarp prst="textNoShape">
                            <a:avLst/>
                          </a:prstTxWarp>
                          <a:noAutofit/>
                        </wps:bodyPr>
                      </wps:wsp>
                      <wps:wsp>
                        <wps:cNvPr id="180" name="Textbox 180"/>
                        <wps:cNvSpPr txBox="1"/>
                        <wps:spPr>
                          <a:xfrm>
                            <a:off x="3086" y="3086"/>
                            <a:ext cx="2426970" cy="99060"/>
                          </a:xfrm>
                          <a:prstGeom prst="rect">
                            <a:avLst/>
                          </a:prstGeom>
                          <a:ln w="6173">
                            <a:solidFill>
                              <a:srgbClr val="000000"/>
                            </a:solidFill>
                            <a:prstDash val="solid"/>
                          </a:ln>
                        </wps:spPr>
                        <wps:txbx>
                          <w:txbxContent>
                            <w:p w14:paraId="5E4577BF" w14:textId="77777777" w:rsidR="001825E2" w:rsidRDefault="000839A5">
                              <w:pPr>
                                <w:tabs>
                                  <w:tab w:val="left" w:pos="1307"/>
                                  <w:tab w:val="left" w:pos="3340"/>
                                </w:tabs>
                                <w:spacing w:before="18"/>
                                <w:ind w:left="43"/>
                                <w:rPr>
                                  <w:rFonts w:ascii="Arial"/>
                                  <w:sz w:val="10"/>
                                </w:rPr>
                              </w:pPr>
                              <w:r>
                                <w:rPr>
                                  <w:rFonts w:ascii="Arial"/>
                                  <w:spacing w:val="-2"/>
                                  <w:w w:val="105"/>
                                  <w:sz w:val="10"/>
                                </w:rPr>
                                <w:t>Treatment</w:t>
                              </w:r>
                              <w:r>
                                <w:rPr>
                                  <w:rFonts w:ascii="Arial"/>
                                  <w:sz w:val="10"/>
                                </w:rPr>
                                <w:tab/>
                              </w:r>
                              <w:r>
                                <w:rPr>
                                  <w:rFonts w:ascii="Arial"/>
                                  <w:spacing w:val="-2"/>
                                  <w:w w:val="105"/>
                                  <w:sz w:val="10"/>
                                </w:rPr>
                                <w:t>XELJANZ</w:t>
                              </w:r>
                              <w:r>
                                <w:rPr>
                                  <w:rFonts w:ascii="Arial"/>
                                  <w:spacing w:val="-1"/>
                                  <w:w w:val="105"/>
                                  <w:sz w:val="10"/>
                                </w:rPr>
                                <w:t xml:space="preserve"> </w:t>
                              </w:r>
                              <w:r>
                                <w:rPr>
                                  <w:rFonts w:ascii="Arial"/>
                                  <w:spacing w:val="-2"/>
                                  <w:w w:val="105"/>
                                  <w:sz w:val="10"/>
                                </w:rPr>
                                <w:t>5</w:t>
                              </w:r>
                              <w:r>
                                <w:rPr>
                                  <w:rFonts w:ascii="Arial"/>
                                  <w:spacing w:val="-4"/>
                                  <w:w w:val="105"/>
                                  <w:sz w:val="10"/>
                                </w:rPr>
                                <w:t xml:space="preserve"> </w:t>
                              </w:r>
                              <w:r>
                                <w:rPr>
                                  <w:rFonts w:ascii="Arial"/>
                                  <w:spacing w:val="-2"/>
                                  <w:w w:val="105"/>
                                  <w:sz w:val="10"/>
                                </w:rPr>
                                <w:t>mg</w:t>
                              </w:r>
                              <w:r>
                                <w:rPr>
                                  <w:rFonts w:ascii="Arial"/>
                                  <w:spacing w:val="-3"/>
                                  <w:w w:val="105"/>
                                  <w:sz w:val="10"/>
                                </w:rPr>
                                <w:t xml:space="preserve"> </w:t>
                              </w:r>
                              <w:r>
                                <w:rPr>
                                  <w:rFonts w:ascii="Arial"/>
                                  <w:spacing w:val="-2"/>
                                  <w:w w:val="105"/>
                                  <w:sz w:val="10"/>
                                </w:rPr>
                                <w:t>Tw</w:t>
                              </w:r>
                              <w:r>
                                <w:rPr>
                                  <w:rFonts w:ascii="Arial"/>
                                  <w:spacing w:val="-9"/>
                                  <w:w w:val="105"/>
                                  <w:sz w:val="10"/>
                                </w:rPr>
                                <w:t xml:space="preserve"> </w:t>
                              </w:r>
                              <w:r>
                                <w:rPr>
                                  <w:rFonts w:ascii="Arial"/>
                                  <w:spacing w:val="-2"/>
                                  <w:w w:val="105"/>
                                  <w:sz w:val="10"/>
                                </w:rPr>
                                <w:t>ice</w:t>
                              </w:r>
                              <w:r>
                                <w:rPr>
                                  <w:rFonts w:ascii="Arial"/>
                                  <w:spacing w:val="-3"/>
                                  <w:w w:val="105"/>
                                  <w:sz w:val="10"/>
                                </w:rPr>
                                <w:t xml:space="preserve"> </w:t>
                              </w:r>
                              <w:r>
                                <w:rPr>
                                  <w:rFonts w:ascii="Arial"/>
                                  <w:spacing w:val="-2"/>
                                  <w:w w:val="105"/>
                                  <w:sz w:val="10"/>
                                </w:rPr>
                                <w:t>Daily</w:t>
                              </w:r>
                              <w:r>
                                <w:rPr>
                                  <w:rFonts w:ascii="Arial"/>
                                  <w:sz w:val="10"/>
                                </w:rPr>
                                <w:tab/>
                              </w:r>
                              <w:r>
                                <w:rPr>
                                  <w:rFonts w:ascii="Arial"/>
                                  <w:spacing w:val="-2"/>
                                  <w:w w:val="105"/>
                                  <w:sz w:val="10"/>
                                </w:rPr>
                                <w:t>Placebo</w:t>
                              </w:r>
                            </w:p>
                          </w:txbxContent>
                        </wps:txbx>
                        <wps:bodyPr wrap="square" lIns="0" tIns="0" rIns="0" bIns="0" rtlCol="0">
                          <a:noAutofit/>
                        </wps:bodyPr>
                      </wps:wsp>
                    </wpg:wgp>
                  </a:graphicData>
                </a:graphic>
              </wp:anchor>
            </w:drawing>
          </mc:Choice>
          <mc:Fallback>
            <w:pict>
              <v:group w14:anchorId="6E05526C" id="Group 175" o:spid="_x0000_s1027" style="position:absolute;margin-left:224.8pt;margin-top:4.8pt;width:191.6pt;height:8.3pt;z-index:-15721984;mso-wrap-distance-left:0;mso-wrap-distance-right:0;mso-position-horizontal-relative:page" coordsize="24333,1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">
                <v:shape id="Graphic 176" o:spid="_x0000_s1028" style="position:absolute;left:18061;top:524;width:2781;height:13;visibility:visible;mso-wrap-style:square;v-text-anchor:top" coordsize="2781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" path="m,l277870,e" filled="f" strokeweight=".17147mm">
                  <v:stroke dashstyle="longDash"/>
                  <v:path arrowok="t"/>
                </v:shape>
                <v:shape id="Graphic 177" o:spid="_x0000_s1029" style="position:absolute;left:19296;top:331;width:375;height:387;visibility:visible;mso-wrap-style:square;v-text-anchor:top" coordsize="37465,38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" path="m37049,19349r,-6619l33517,6618,27787,3309,22056,,14992,,9262,3309,3532,6618,,12730r,6619l,25967r3532,6112l9262,35388r5730,3310l22056,38698r5731,-3310l33517,32079r3532,-6112l37049,19349xe" filled="f" strokeweight=".1715mm">
                  <v:path arrowok="t"/>
                </v:shape>
                <v:shape id="Graphic 178" o:spid="_x0000_s1030" style="position:absolute;left:5155;top:524;width:2782;height:13;visibility:visible;mso-wrap-style:square;v-text-anchor:top" coordsize="2781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" path="m,l277870,e" filled="f" strokeweight=".17147mm">
                  <v:path arrowok="t"/>
                </v:shape>
                <v:shape id="Graphic 179" o:spid="_x0000_s1031" style="position:absolute;left:6390;top:331;width:375;height:387;visibility:visible;mso-wrap-style:square;v-text-anchor:top" coordsize="37465,38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" path="m22056,38698r-7064,l3532,32079,,25967,,12730,3532,6618,14992,r7064,l33517,6618r3532,6112l37049,19349r,6618l33517,32079,22056,38698xe" fillcolor="black" stroked="f">
                  <v:path arrowok="t"/>
                </v:shape>
                <v:shape id="Textbox 180" o:spid="_x0000_s1032" type="#_x0000_t202" style="position:absolute;left:30;top:30;width:24270;height: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" filled="f" strokeweight=".17147mm">
                  <v:textbox inset="0,0,0,0">
                    <w:txbxContent>
                      <w:p w14:paraId="5E4577BF" w14:textId="77777777" w:rsidR="001825E2" w:rsidRDefault="000839A5">
                        <w:pPr>
                          <w:tabs>
                            <w:tab w:val="left" w:pos="1307"/>
                            <w:tab w:val="left" w:pos="3340"/>
                          </w:tabs>
                          <w:spacing w:before="18"/>
                          <w:ind w:left="43"/>
                          <w:rPr>
                            <w:rFonts w:ascii="Arial"/>
                            <w:sz w:val="10"/>
                          </w:rPr>
                        </w:pPr>
                        <w:r>
                          <w:rPr>
                            <w:rFonts w:ascii="Arial"/>
                            <w:spacing w:val="-2"/>
                            <w:w w:val="105"/>
                            <w:sz w:val="10"/>
                          </w:rPr>
                          <w:t>Treatment</w:t>
                        </w:r>
                        <w:r>
                          <w:rPr>
                            <w:rFonts w:ascii="Arial"/>
                            <w:sz w:val="10"/>
                          </w:rPr>
                          <w:tab/>
                        </w:r>
                        <w:r>
                          <w:rPr>
                            <w:rFonts w:ascii="Arial"/>
                            <w:spacing w:val="-2"/>
                            <w:w w:val="105"/>
                            <w:sz w:val="10"/>
                          </w:rPr>
                          <w:t>XELJANZ</w:t>
                        </w:r>
                        <w:r>
                          <w:rPr>
                            <w:rFonts w:ascii="Arial"/>
                            <w:spacing w:val="-1"/>
                            <w:w w:val="105"/>
                            <w:sz w:val="10"/>
                          </w:rPr>
                          <w:t xml:space="preserve"> </w:t>
                        </w:r>
                        <w:r>
                          <w:rPr>
                            <w:rFonts w:ascii="Arial"/>
                            <w:spacing w:val="-2"/>
                            <w:w w:val="105"/>
                            <w:sz w:val="10"/>
                          </w:rPr>
                          <w:t>5</w:t>
                        </w:r>
                        <w:r>
                          <w:rPr>
                            <w:rFonts w:ascii="Arial"/>
                            <w:spacing w:val="-4"/>
                            <w:w w:val="105"/>
                            <w:sz w:val="10"/>
                          </w:rPr>
                          <w:t xml:space="preserve"> </w:t>
                        </w:r>
                        <w:r>
                          <w:rPr>
                            <w:rFonts w:ascii="Arial"/>
                            <w:spacing w:val="-2"/>
                            <w:w w:val="105"/>
                            <w:sz w:val="10"/>
                          </w:rPr>
                          <w:t>mg</w:t>
                        </w:r>
                        <w:r>
                          <w:rPr>
                            <w:rFonts w:ascii="Arial"/>
                            <w:spacing w:val="-3"/>
                            <w:w w:val="105"/>
                            <w:sz w:val="10"/>
                          </w:rPr>
                          <w:t xml:space="preserve"> </w:t>
                        </w:r>
                        <w:r>
                          <w:rPr>
                            <w:rFonts w:ascii="Arial"/>
                            <w:spacing w:val="-2"/>
                            <w:w w:val="105"/>
                            <w:sz w:val="10"/>
                          </w:rPr>
                          <w:t>Tw</w:t>
                        </w:r>
                        <w:r>
                          <w:rPr>
                            <w:rFonts w:ascii="Arial"/>
                            <w:spacing w:val="-9"/>
                            <w:w w:val="105"/>
                            <w:sz w:val="10"/>
                          </w:rPr>
                          <w:t xml:space="preserve"> </w:t>
                        </w:r>
                        <w:r>
                          <w:rPr>
                            <w:rFonts w:ascii="Arial"/>
                            <w:spacing w:val="-2"/>
                            <w:w w:val="105"/>
                            <w:sz w:val="10"/>
                          </w:rPr>
                          <w:t>ice</w:t>
                        </w:r>
                        <w:r>
                          <w:rPr>
                            <w:rFonts w:ascii="Arial"/>
                            <w:spacing w:val="-3"/>
                            <w:w w:val="105"/>
                            <w:sz w:val="10"/>
                          </w:rPr>
                          <w:t xml:space="preserve"> </w:t>
                        </w:r>
                        <w:r>
                          <w:rPr>
                            <w:rFonts w:ascii="Arial"/>
                            <w:spacing w:val="-2"/>
                            <w:w w:val="105"/>
                            <w:sz w:val="10"/>
                          </w:rPr>
                          <w:t>Daily</w:t>
                        </w:r>
                        <w:r>
                          <w:rPr>
                            <w:rFonts w:ascii="Arial"/>
                            <w:sz w:val="10"/>
                          </w:rPr>
                          <w:tab/>
                        </w:r>
                        <w:r>
                          <w:rPr>
                            <w:rFonts w:ascii="Arial"/>
                            <w:spacing w:val="-2"/>
                            <w:w w:val="105"/>
                            <w:sz w:val="10"/>
                          </w:rPr>
                          <w:t>Placebo</w:t>
                        </w:r>
                      </w:p>
                    </w:txbxContent>
                  </v:textbox>
                </v:shape>
                <w10:wrap type="topAndBottom" anchorx="page"/>
              </v:group>
            </w:pict>
          </mc:Fallback>
        </mc:AlternateContent>
      </w:r>
    </w:p>
    <w:p w14:paraId="6F8B30B7" w14:textId="77777777" w:rsidR="001825E2" w:rsidRDefault="001825E2" w:rsidP="00CB00A7">
      <w:pPr>
        <w:pStyle w:val="BodyText"/>
        <w:spacing w:before="124"/>
        <w:jc w:val="left"/>
        <w:rPr>
          <w:rFonts w:ascii="Arial"/>
          <w:sz w:val="18"/>
        </w:rPr>
      </w:pPr>
    </w:p>
    <w:p w14:paraId="49D8D830" w14:textId="77777777" w:rsidR="001825E2" w:rsidRDefault="000839A5" w:rsidP="00CB00A7">
      <w:pPr>
        <w:ind w:left="220"/>
        <w:rPr>
          <w:sz w:val="18"/>
        </w:rPr>
      </w:pPr>
      <w:r>
        <w:rPr>
          <w:sz w:val="18"/>
        </w:rPr>
        <w:t>SE=standard</w:t>
      </w:r>
      <w:r>
        <w:rPr>
          <w:spacing w:val="-10"/>
          <w:sz w:val="18"/>
        </w:rPr>
        <w:t xml:space="preserve"> </w:t>
      </w:r>
      <w:r>
        <w:rPr>
          <w:spacing w:val="-2"/>
          <w:sz w:val="18"/>
        </w:rPr>
        <w:t>error.</w:t>
      </w:r>
    </w:p>
    <w:p w14:paraId="1EEA7F15" w14:textId="77777777" w:rsidR="001825E2" w:rsidRDefault="000839A5" w:rsidP="00CB00A7">
      <w:pPr>
        <w:spacing w:before="3"/>
        <w:ind w:left="220"/>
        <w:rPr>
          <w:sz w:val="18"/>
        </w:rPr>
      </w:pPr>
      <w:r>
        <w:rPr>
          <w:sz w:val="18"/>
        </w:rPr>
        <w:t>Patients</w:t>
      </w:r>
      <w:r>
        <w:rPr>
          <w:spacing w:val="2"/>
          <w:sz w:val="18"/>
        </w:rPr>
        <w:t xml:space="preserve"> </w:t>
      </w:r>
      <w:r>
        <w:rPr>
          <w:sz w:val="18"/>
        </w:rPr>
        <w:t>with</w:t>
      </w:r>
      <w:r>
        <w:rPr>
          <w:spacing w:val="-10"/>
          <w:sz w:val="18"/>
        </w:rPr>
        <w:t xml:space="preserve"> </w:t>
      </w:r>
      <w:r>
        <w:rPr>
          <w:sz w:val="18"/>
        </w:rPr>
        <w:t>missing</w:t>
      </w:r>
      <w:r>
        <w:rPr>
          <w:spacing w:val="1"/>
          <w:sz w:val="18"/>
        </w:rPr>
        <w:t xml:space="preserve"> </w:t>
      </w:r>
      <w:r>
        <w:rPr>
          <w:sz w:val="18"/>
        </w:rPr>
        <w:t>data</w:t>
      </w:r>
      <w:r>
        <w:rPr>
          <w:spacing w:val="-2"/>
          <w:sz w:val="18"/>
        </w:rPr>
        <w:t xml:space="preserve"> </w:t>
      </w:r>
      <w:r>
        <w:rPr>
          <w:sz w:val="18"/>
        </w:rPr>
        <w:t>were</w:t>
      </w:r>
      <w:r>
        <w:rPr>
          <w:spacing w:val="-11"/>
          <w:sz w:val="18"/>
        </w:rPr>
        <w:t xml:space="preserve"> </w:t>
      </w:r>
      <w:r>
        <w:rPr>
          <w:sz w:val="18"/>
        </w:rPr>
        <w:t>treated</w:t>
      </w:r>
      <w:r>
        <w:rPr>
          <w:spacing w:val="12"/>
          <w:sz w:val="18"/>
        </w:rPr>
        <w:t xml:space="preserve"> </w:t>
      </w:r>
      <w:r>
        <w:rPr>
          <w:sz w:val="18"/>
        </w:rPr>
        <w:t>as</w:t>
      </w:r>
      <w:r>
        <w:rPr>
          <w:spacing w:val="-6"/>
          <w:sz w:val="18"/>
        </w:rPr>
        <w:t xml:space="preserve"> </w:t>
      </w:r>
      <w:r>
        <w:rPr>
          <w:sz w:val="18"/>
        </w:rPr>
        <w:t>non-</w:t>
      </w:r>
      <w:r>
        <w:rPr>
          <w:spacing w:val="-2"/>
          <w:sz w:val="18"/>
        </w:rPr>
        <w:t>responders.</w:t>
      </w:r>
    </w:p>
    <w:p w14:paraId="251A13B6" w14:textId="77777777" w:rsidR="001825E2" w:rsidRDefault="001825E2" w:rsidP="00CB00A7">
      <w:pPr>
        <w:pStyle w:val="BodyText"/>
        <w:spacing w:before="40"/>
        <w:jc w:val="left"/>
        <w:rPr>
          <w:sz w:val="18"/>
        </w:rPr>
      </w:pPr>
    </w:p>
    <w:p w14:paraId="7472E0BD" w14:textId="77777777" w:rsidR="001825E2" w:rsidRDefault="000839A5" w:rsidP="00CB00A7">
      <w:pPr>
        <w:ind w:left="220"/>
        <w:rPr>
          <w:i/>
          <w:sz w:val="24"/>
        </w:rPr>
      </w:pPr>
      <w:r>
        <w:rPr>
          <w:i/>
          <w:sz w:val="24"/>
        </w:rPr>
        <w:t>Other</w:t>
      </w:r>
      <w:r>
        <w:rPr>
          <w:i/>
          <w:spacing w:val="-15"/>
          <w:sz w:val="24"/>
        </w:rPr>
        <w:t xml:space="preserve"> </w:t>
      </w:r>
      <w:r>
        <w:rPr>
          <w:i/>
          <w:sz w:val="24"/>
        </w:rPr>
        <w:t>health-related</w:t>
      </w:r>
      <w:r>
        <w:rPr>
          <w:i/>
          <w:spacing w:val="9"/>
          <w:sz w:val="24"/>
        </w:rPr>
        <w:t xml:space="preserve"> </w:t>
      </w:r>
      <w:r>
        <w:rPr>
          <w:i/>
          <w:spacing w:val="-2"/>
          <w:sz w:val="24"/>
        </w:rPr>
        <w:t>outcomes</w:t>
      </w:r>
    </w:p>
    <w:p w14:paraId="7624B8A1" w14:textId="77777777" w:rsidR="001825E2" w:rsidRDefault="000839A5" w:rsidP="00CB00A7">
      <w:pPr>
        <w:pStyle w:val="BodyText"/>
        <w:spacing w:before="114" w:line="242" w:lineRule="auto"/>
        <w:ind w:left="217" w:right="728" w:firstLine="1"/>
        <w:jc w:val="left"/>
      </w:pPr>
      <w:r>
        <w:t>Patients treated with XELJANZ 5 mg twice daily achieved greater improvements from baseline in Ankylosing Spondylitis Quality of Life (</w:t>
      </w:r>
      <w:proofErr w:type="spellStart"/>
      <w:r>
        <w:t>ASQoL</w:t>
      </w:r>
      <w:proofErr w:type="spellEnd"/>
      <w:r>
        <w:t>) (-4.0 vs -2.0) and Functional Assessment of Chronic Illness Therapy - Fatigue (FACIT-F) Total score (6.5 vs 3.1) compared</w:t>
      </w:r>
      <w:r>
        <w:rPr>
          <w:spacing w:val="23"/>
        </w:rPr>
        <w:t xml:space="preserve"> </w:t>
      </w:r>
      <w:r>
        <w:t>to placebo-treated</w:t>
      </w:r>
      <w:r>
        <w:rPr>
          <w:spacing w:val="23"/>
        </w:rPr>
        <w:t xml:space="preserve"> </w:t>
      </w:r>
      <w:r>
        <w:t>patients at Week 16 (p&lt;0.001). Patients treated with</w:t>
      </w:r>
      <w:r>
        <w:rPr>
          <w:spacing w:val="-5"/>
        </w:rPr>
        <w:t xml:space="preserve"> </w:t>
      </w:r>
      <w:r>
        <w:t>XELJANZ 5</w:t>
      </w:r>
      <w:r>
        <w:rPr>
          <w:spacing w:val="-4"/>
        </w:rPr>
        <w:t xml:space="preserve"> </w:t>
      </w:r>
      <w:r>
        <w:t>mg</w:t>
      </w:r>
      <w:r>
        <w:rPr>
          <w:spacing w:val="-4"/>
        </w:rPr>
        <w:t xml:space="preserve"> </w:t>
      </w:r>
      <w:r>
        <w:t>twice</w:t>
      </w:r>
      <w:r>
        <w:rPr>
          <w:spacing w:val="-6"/>
        </w:rPr>
        <w:t xml:space="preserve"> </w:t>
      </w:r>
      <w:r>
        <w:t>daily</w:t>
      </w:r>
      <w:r>
        <w:rPr>
          <w:spacing w:val="-4"/>
        </w:rPr>
        <w:t xml:space="preserve"> </w:t>
      </w:r>
      <w:r>
        <w:t>achieved consistently</w:t>
      </w:r>
      <w:r>
        <w:rPr>
          <w:spacing w:val="-4"/>
        </w:rPr>
        <w:t xml:space="preserve"> </w:t>
      </w:r>
      <w:r>
        <w:t>greater improvements</w:t>
      </w:r>
      <w:r>
        <w:rPr>
          <w:spacing w:val="-8"/>
        </w:rPr>
        <w:t xml:space="preserve"> </w:t>
      </w:r>
      <w:r>
        <w:t>from</w:t>
      </w:r>
      <w:r>
        <w:rPr>
          <w:spacing w:val="-10"/>
        </w:rPr>
        <w:t xml:space="preserve"> </w:t>
      </w:r>
      <w:r>
        <w:t>baseline in</w:t>
      </w:r>
      <w:r>
        <w:rPr>
          <w:spacing w:val="-4"/>
        </w:rPr>
        <w:t xml:space="preserve"> </w:t>
      </w:r>
      <w:r>
        <w:t>the</w:t>
      </w:r>
      <w:r>
        <w:rPr>
          <w:spacing w:val="-6"/>
        </w:rPr>
        <w:t xml:space="preserve"> </w:t>
      </w:r>
      <w:r>
        <w:t>Short Form health survey version 2 (SF-36v2), Physical Component Summary (PCS) domain compared</w:t>
      </w:r>
      <w:r>
        <w:rPr>
          <w:spacing w:val="40"/>
        </w:rPr>
        <w:t xml:space="preserve"> </w:t>
      </w:r>
      <w:r>
        <w:t>to placebo-treated patients at Week 16.</w:t>
      </w:r>
    </w:p>
    <w:p w14:paraId="79CBEFFF" w14:textId="77777777" w:rsidR="001825E2" w:rsidRDefault="001825E2" w:rsidP="00CB00A7">
      <w:pPr>
        <w:spacing w:line="242" w:lineRule="auto"/>
        <w:sectPr w:rsidR="001825E2">
          <w:pgSz w:w="11910" w:h="16850"/>
          <w:pgMar w:top="1420" w:right="700" w:bottom="980" w:left="1220" w:header="0" w:footer="785" w:gutter="0"/>
          <w:cols w:space="720"/>
        </w:sectPr>
      </w:pPr>
    </w:p>
    <w:p w14:paraId="1FC2FF0D" w14:textId="77777777" w:rsidR="001825E2" w:rsidRDefault="000839A5" w:rsidP="00CB00A7">
      <w:pPr>
        <w:pStyle w:val="Heading4"/>
        <w:spacing w:before="76"/>
        <w:jc w:val="left"/>
      </w:pPr>
      <w:bookmarkStart w:id="66" w:name="Ulcerative_Colitis"/>
      <w:bookmarkEnd w:id="66"/>
      <w:r>
        <w:lastRenderedPageBreak/>
        <w:t>Ulcerative</w:t>
      </w:r>
      <w:r>
        <w:rPr>
          <w:spacing w:val="1"/>
        </w:rPr>
        <w:t xml:space="preserve"> </w:t>
      </w:r>
      <w:r>
        <w:rPr>
          <w:spacing w:val="-2"/>
        </w:rPr>
        <w:t>Colitis</w:t>
      </w:r>
    </w:p>
    <w:p w14:paraId="16BF617A" w14:textId="77777777" w:rsidR="001825E2" w:rsidRDefault="000839A5" w:rsidP="00CB00A7">
      <w:pPr>
        <w:spacing w:before="114"/>
        <w:ind w:left="220"/>
        <w:rPr>
          <w:i/>
          <w:sz w:val="24"/>
        </w:rPr>
      </w:pPr>
      <w:r>
        <w:rPr>
          <w:i/>
          <w:sz w:val="24"/>
        </w:rPr>
        <w:t>Induction</w:t>
      </w:r>
      <w:r>
        <w:rPr>
          <w:i/>
          <w:spacing w:val="3"/>
          <w:sz w:val="24"/>
        </w:rPr>
        <w:t xml:space="preserve"> </w:t>
      </w:r>
      <w:r>
        <w:rPr>
          <w:i/>
          <w:sz w:val="24"/>
        </w:rPr>
        <w:t>Studies</w:t>
      </w:r>
      <w:r>
        <w:rPr>
          <w:i/>
          <w:spacing w:val="18"/>
          <w:sz w:val="24"/>
        </w:rPr>
        <w:t xml:space="preserve"> </w:t>
      </w:r>
      <w:r>
        <w:rPr>
          <w:i/>
          <w:sz w:val="24"/>
        </w:rPr>
        <w:t>(OCTAVE</w:t>
      </w:r>
      <w:r>
        <w:rPr>
          <w:i/>
          <w:spacing w:val="-15"/>
          <w:sz w:val="24"/>
        </w:rPr>
        <w:t xml:space="preserve"> </w:t>
      </w:r>
      <w:r>
        <w:rPr>
          <w:i/>
          <w:sz w:val="24"/>
        </w:rPr>
        <w:t>Induction</w:t>
      </w:r>
      <w:r>
        <w:rPr>
          <w:i/>
          <w:spacing w:val="8"/>
          <w:sz w:val="24"/>
        </w:rPr>
        <w:t xml:space="preserve"> </w:t>
      </w:r>
      <w:r>
        <w:rPr>
          <w:i/>
          <w:sz w:val="24"/>
        </w:rPr>
        <w:t>1</w:t>
      </w:r>
      <w:r>
        <w:rPr>
          <w:i/>
          <w:spacing w:val="-6"/>
          <w:sz w:val="24"/>
        </w:rPr>
        <w:t xml:space="preserve"> </w:t>
      </w:r>
      <w:r>
        <w:rPr>
          <w:i/>
          <w:sz w:val="24"/>
        </w:rPr>
        <w:t>and</w:t>
      </w:r>
      <w:r>
        <w:rPr>
          <w:i/>
          <w:spacing w:val="-5"/>
          <w:sz w:val="24"/>
        </w:rPr>
        <w:t xml:space="preserve"> </w:t>
      </w:r>
      <w:r>
        <w:rPr>
          <w:i/>
          <w:sz w:val="24"/>
        </w:rPr>
        <w:t>OCTAVE</w:t>
      </w:r>
      <w:r>
        <w:rPr>
          <w:i/>
          <w:spacing w:val="-15"/>
          <w:sz w:val="24"/>
        </w:rPr>
        <w:t xml:space="preserve"> </w:t>
      </w:r>
      <w:r>
        <w:rPr>
          <w:i/>
          <w:sz w:val="24"/>
        </w:rPr>
        <w:t>Induction</w:t>
      </w:r>
      <w:r>
        <w:rPr>
          <w:i/>
          <w:spacing w:val="8"/>
          <w:sz w:val="24"/>
        </w:rPr>
        <w:t xml:space="preserve"> </w:t>
      </w:r>
      <w:r>
        <w:rPr>
          <w:i/>
          <w:spacing w:val="-5"/>
          <w:sz w:val="24"/>
        </w:rPr>
        <w:t>2)</w:t>
      </w:r>
    </w:p>
    <w:p w14:paraId="470B514C" w14:textId="77777777" w:rsidR="001825E2" w:rsidRDefault="000839A5" w:rsidP="00CB00A7">
      <w:pPr>
        <w:pStyle w:val="BodyText"/>
        <w:spacing w:before="129"/>
        <w:ind w:left="218" w:right="722" w:firstLine="1"/>
        <w:jc w:val="left"/>
      </w:pPr>
      <w:r>
        <w:t>In two identical</w:t>
      </w:r>
      <w:r>
        <w:rPr>
          <w:spacing w:val="-6"/>
        </w:rPr>
        <w:t xml:space="preserve"> </w:t>
      </w:r>
      <w:r>
        <w:t>induction trials</w:t>
      </w:r>
      <w:r>
        <w:rPr>
          <w:spacing w:val="-2"/>
        </w:rPr>
        <w:t xml:space="preserve"> </w:t>
      </w:r>
      <w:r>
        <w:t>(OCTAVE Induction 1 /</w:t>
      </w:r>
      <w:r>
        <w:rPr>
          <w:spacing w:val="-6"/>
        </w:rPr>
        <w:t xml:space="preserve"> </w:t>
      </w:r>
      <w:r>
        <w:t>Study UC-I and OCTAVE</w:t>
      </w:r>
      <w:r>
        <w:rPr>
          <w:spacing w:val="-11"/>
        </w:rPr>
        <w:t xml:space="preserve"> </w:t>
      </w:r>
      <w:r>
        <w:t xml:space="preserve">Induction 2 / Study UC-II), 1139 patients were </w:t>
      </w:r>
      <w:proofErr w:type="spellStart"/>
      <w:r>
        <w:t>randomised</w:t>
      </w:r>
      <w:proofErr w:type="spellEnd"/>
      <w:r>
        <w:t xml:space="preserve"> (598 and 541 patients, respectively) to XELJANZ 10</w:t>
      </w:r>
      <w:r>
        <w:rPr>
          <w:spacing w:val="-1"/>
        </w:rPr>
        <w:t xml:space="preserve"> </w:t>
      </w:r>
      <w:r>
        <w:t>mg</w:t>
      </w:r>
      <w:r>
        <w:rPr>
          <w:spacing w:val="-1"/>
        </w:rPr>
        <w:t xml:space="preserve"> </w:t>
      </w:r>
      <w:r>
        <w:t>twice</w:t>
      </w:r>
      <w:r>
        <w:rPr>
          <w:spacing w:val="-3"/>
        </w:rPr>
        <w:t xml:space="preserve"> </w:t>
      </w:r>
      <w:r>
        <w:t>daily</w:t>
      </w:r>
      <w:r>
        <w:rPr>
          <w:spacing w:val="-1"/>
        </w:rPr>
        <w:t xml:space="preserve"> </w:t>
      </w:r>
      <w:r>
        <w:t>or</w:t>
      </w:r>
      <w:r>
        <w:rPr>
          <w:spacing w:val="-6"/>
        </w:rPr>
        <w:t xml:space="preserve"> </w:t>
      </w:r>
      <w:r>
        <w:t>placebo</w:t>
      </w:r>
      <w:r>
        <w:rPr>
          <w:spacing w:val="-1"/>
        </w:rPr>
        <w:t xml:space="preserve"> </w:t>
      </w:r>
      <w:r>
        <w:t>with</w:t>
      </w:r>
      <w:r>
        <w:rPr>
          <w:spacing w:val="-1"/>
        </w:rPr>
        <w:t xml:space="preserve"> </w:t>
      </w:r>
      <w:r>
        <w:t>a</w:t>
      </w:r>
      <w:r>
        <w:rPr>
          <w:spacing w:val="-3"/>
        </w:rPr>
        <w:t xml:space="preserve"> </w:t>
      </w:r>
      <w:r>
        <w:t>4:1</w:t>
      </w:r>
      <w:r>
        <w:rPr>
          <w:spacing w:val="-1"/>
        </w:rPr>
        <w:t xml:space="preserve"> </w:t>
      </w:r>
      <w:r>
        <w:t>treatment allocation ratio.</w:t>
      </w:r>
      <w:r>
        <w:rPr>
          <w:spacing w:val="-1"/>
        </w:rPr>
        <w:t xml:space="preserve"> </w:t>
      </w:r>
      <w:r>
        <w:t>A total</w:t>
      </w:r>
      <w:r>
        <w:rPr>
          <w:spacing w:val="-8"/>
        </w:rPr>
        <w:t xml:space="preserve"> </w:t>
      </w:r>
      <w:r>
        <w:t xml:space="preserve">of 52%, 73% and 72% of patients had previously failed or were intolerant to TNF blockers, corticosteroids, and/or immunosuppressants, respectively. Oral corticosteroids were received as concomitant treatment for UC by 47% of patients and 71% were receiving concomitant </w:t>
      </w:r>
      <w:proofErr w:type="spellStart"/>
      <w:r>
        <w:t>aminosalicylates</w:t>
      </w:r>
      <w:proofErr w:type="spellEnd"/>
      <w:r>
        <w:t xml:space="preserve"> as treatment for UC. The baseline clinical characteristics were generally similar</w:t>
      </w:r>
      <w:r>
        <w:rPr>
          <w:spacing w:val="40"/>
        </w:rPr>
        <w:t xml:space="preserve"> </w:t>
      </w:r>
      <w:r>
        <w:t>between the</w:t>
      </w:r>
      <w:r>
        <w:rPr>
          <w:spacing w:val="-6"/>
        </w:rPr>
        <w:t xml:space="preserve"> </w:t>
      </w:r>
      <w:r>
        <w:t>XELJANZ treated patients</w:t>
      </w:r>
      <w:r>
        <w:rPr>
          <w:spacing w:val="-9"/>
        </w:rPr>
        <w:t xml:space="preserve"> </w:t>
      </w:r>
      <w:r>
        <w:t>and patients receiving placebo.</w:t>
      </w:r>
    </w:p>
    <w:p w14:paraId="183AB17F" w14:textId="77777777" w:rsidR="001825E2" w:rsidRDefault="000839A5" w:rsidP="00CB00A7">
      <w:pPr>
        <w:pStyle w:val="BodyText"/>
        <w:spacing w:before="237" w:line="242" w:lineRule="auto"/>
        <w:ind w:left="218" w:right="736"/>
        <w:jc w:val="left"/>
      </w:pPr>
      <w:r>
        <w:t xml:space="preserve">The disease activity was assessed by Mayo scoring index (0 to 12) which consists of four </w:t>
      </w:r>
      <w:proofErr w:type="spellStart"/>
      <w:r>
        <w:t>subscores</w:t>
      </w:r>
      <w:proofErr w:type="spellEnd"/>
      <w:r>
        <w:t xml:space="preserve"> (0</w:t>
      </w:r>
      <w:r>
        <w:rPr>
          <w:spacing w:val="-2"/>
        </w:rPr>
        <w:t xml:space="preserve"> </w:t>
      </w:r>
      <w:r>
        <w:t>to</w:t>
      </w:r>
      <w:r>
        <w:rPr>
          <w:spacing w:val="-2"/>
        </w:rPr>
        <w:t xml:space="preserve"> </w:t>
      </w:r>
      <w:r>
        <w:t>3 for</w:t>
      </w:r>
      <w:r>
        <w:rPr>
          <w:spacing w:val="-7"/>
        </w:rPr>
        <w:t xml:space="preserve"> </w:t>
      </w:r>
      <w:r>
        <w:t xml:space="preserve">each </w:t>
      </w:r>
      <w:proofErr w:type="spellStart"/>
      <w:r>
        <w:t>subscore</w:t>
      </w:r>
      <w:proofErr w:type="spellEnd"/>
      <w:r>
        <w:t>): stool</w:t>
      </w:r>
      <w:r>
        <w:rPr>
          <w:spacing w:val="-9"/>
        </w:rPr>
        <w:t xml:space="preserve"> </w:t>
      </w:r>
      <w:r>
        <w:t>frequency, rectal bleeding,</w:t>
      </w:r>
      <w:r>
        <w:rPr>
          <w:spacing w:val="-2"/>
        </w:rPr>
        <w:t xml:space="preserve"> </w:t>
      </w:r>
      <w:r>
        <w:t>findings</w:t>
      </w:r>
      <w:r>
        <w:rPr>
          <w:spacing w:val="-6"/>
        </w:rPr>
        <w:t xml:space="preserve"> </w:t>
      </w:r>
      <w:r>
        <w:t xml:space="preserve">on endoscopy, and physician global assessment. An endoscopy </w:t>
      </w:r>
      <w:proofErr w:type="spellStart"/>
      <w:r>
        <w:t>subscore</w:t>
      </w:r>
      <w:proofErr w:type="spellEnd"/>
      <w:r>
        <w:t xml:space="preserve"> of 2 was defined by marked erythema, absent vascular pattern, any friability, and erosions; an endoscopy </w:t>
      </w:r>
      <w:proofErr w:type="spellStart"/>
      <w:r>
        <w:t>subscore</w:t>
      </w:r>
      <w:proofErr w:type="spellEnd"/>
      <w:r>
        <w:t xml:space="preserve"> of 3 was defined by spontaneous bleeding and ulceration.</w:t>
      </w:r>
    </w:p>
    <w:p w14:paraId="1EB8034B" w14:textId="77777777" w:rsidR="001825E2" w:rsidRDefault="000839A5" w:rsidP="00CB00A7">
      <w:pPr>
        <w:pStyle w:val="BodyText"/>
        <w:spacing w:before="226"/>
        <w:ind w:left="217" w:right="740"/>
        <w:jc w:val="left"/>
      </w:pPr>
      <w:r>
        <w:t>The</w:t>
      </w:r>
      <w:r>
        <w:rPr>
          <w:spacing w:val="-6"/>
        </w:rPr>
        <w:t xml:space="preserve"> </w:t>
      </w:r>
      <w:r>
        <w:t>primary</w:t>
      </w:r>
      <w:r>
        <w:rPr>
          <w:spacing w:val="-4"/>
        </w:rPr>
        <w:t xml:space="preserve"> </w:t>
      </w:r>
      <w:r>
        <w:t>endpoint of OCTAVE</w:t>
      </w:r>
      <w:r>
        <w:rPr>
          <w:spacing w:val="-1"/>
        </w:rPr>
        <w:t xml:space="preserve"> </w:t>
      </w:r>
      <w:r>
        <w:t>Induction</w:t>
      </w:r>
      <w:r>
        <w:rPr>
          <w:spacing w:val="-4"/>
        </w:rPr>
        <w:t xml:space="preserve"> </w:t>
      </w:r>
      <w:r>
        <w:t>1</w:t>
      </w:r>
      <w:r>
        <w:rPr>
          <w:spacing w:val="-4"/>
        </w:rPr>
        <w:t xml:space="preserve"> </w:t>
      </w:r>
      <w:r>
        <w:t>and OCTAVE</w:t>
      </w:r>
      <w:r>
        <w:rPr>
          <w:spacing w:val="-1"/>
        </w:rPr>
        <w:t xml:space="preserve"> </w:t>
      </w:r>
      <w:r>
        <w:t>Induction</w:t>
      </w:r>
      <w:r>
        <w:rPr>
          <w:spacing w:val="-4"/>
        </w:rPr>
        <w:t xml:space="preserve"> </w:t>
      </w:r>
      <w:r>
        <w:t>2</w:t>
      </w:r>
      <w:r>
        <w:rPr>
          <w:spacing w:val="-4"/>
        </w:rPr>
        <w:t xml:space="preserve"> </w:t>
      </w:r>
      <w:r>
        <w:t>was</w:t>
      </w:r>
      <w:r>
        <w:rPr>
          <w:spacing w:val="-7"/>
        </w:rPr>
        <w:t xml:space="preserve"> </w:t>
      </w:r>
      <w:r>
        <w:t>the</w:t>
      </w:r>
      <w:r>
        <w:rPr>
          <w:spacing w:val="-6"/>
        </w:rPr>
        <w:t xml:space="preserve"> </w:t>
      </w:r>
      <w:r>
        <w:t>proportion of patients in remission at Week</w:t>
      </w:r>
      <w:r>
        <w:rPr>
          <w:spacing w:val="-1"/>
        </w:rPr>
        <w:t xml:space="preserve"> </w:t>
      </w:r>
      <w:r>
        <w:t>8, and the key secondary endpoint was the proportion of patients with improvement of endoscopic appearance of the mucosa at Week</w:t>
      </w:r>
      <w:r>
        <w:rPr>
          <w:spacing w:val="-4"/>
        </w:rPr>
        <w:t xml:space="preserve"> </w:t>
      </w:r>
      <w:r>
        <w:t>8. Remission was defined</w:t>
      </w:r>
      <w:r>
        <w:rPr>
          <w:spacing w:val="40"/>
        </w:rPr>
        <w:t xml:space="preserve"> </w:t>
      </w:r>
      <w:r>
        <w:t xml:space="preserve">as clinical remission (a total Mayo score ≤ 2 with no individual </w:t>
      </w:r>
      <w:proofErr w:type="spellStart"/>
      <w:r>
        <w:t>subscore</w:t>
      </w:r>
      <w:proofErr w:type="spellEnd"/>
      <w:r>
        <w:t xml:space="preserve"> &gt;</w:t>
      </w:r>
      <w:r>
        <w:rPr>
          <w:spacing w:val="-4"/>
        </w:rPr>
        <w:t xml:space="preserve"> </w:t>
      </w:r>
      <w:r>
        <w:t>1) and rectal</w:t>
      </w:r>
      <w:r>
        <w:rPr>
          <w:spacing w:val="-7"/>
        </w:rPr>
        <w:t xml:space="preserve"> </w:t>
      </w:r>
      <w:r>
        <w:t xml:space="preserve">bleeding </w:t>
      </w:r>
      <w:proofErr w:type="spellStart"/>
      <w:r>
        <w:t>subscore</w:t>
      </w:r>
      <w:proofErr w:type="spellEnd"/>
      <w:r>
        <w:rPr>
          <w:spacing w:val="-2"/>
        </w:rPr>
        <w:t xml:space="preserve"> </w:t>
      </w:r>
      <w:r>
        <w:t>of 0. Improvement of endoscopic</w:t>
      </w:r>
      <w:r>
        <w:rPr>
          <w:spacing w:val="-2"/>
        </w:rPr>
        <w:t xml:space="preserve"> </w:t>
      </w:r>
      <w:r>
        <w:t>appearance</w:t>
      </w:r>
      <w:r>
        <w:rPr>
          <w:spacing w:val="-2"/>
        </w:rPr>
        <w:t xml:space="preserve"> </w:t>
      </w:r>
      <w:r>
        <w:t>of the</w:t>
      </w:r>
      <w:r>
        <w:rPr>
          <w:spacing w:val="-2"/>
        </w:rPr>
        <w:t xml:space="preserve"> </w:t>
      </w:r>
      <w:r>
        <w:t>mucosa</w:t>
      </w:r>
      <w:r>
        <w:rPr>
          <w:spacing w:val="-2"/>
        </w:rPr>
        <w:t xml:space="preserve"> </w:t>
      </w:r>
      <w:r>
        <w:t>was defined as</w:t>
      </w:r>
      <w:r>
        <w:rPr>
          <w:spacing w:val="-3"/>
        </w:rPr>
        <w:t xml:space="preserve"> </w:t>
      </w:r>
      <w:r>
        <w:t xml:space="preserve">endoscopy </w:t>
      </w:r>
      <w:proofErr w:type="spellStart"/>
      <w:r>
        <w:t>subscore</w:t>
      </w:r>
      <w:proofErr w:type="spellEnd"/>
      <w:r>
        <w:t xml:space="preserve"> of 0 or 1.</w:t>
      </w:r>
    </w:p>
    <w:p w14:paraId="146329E4" w14:textId="77777777" w:rsidR="001825E2" w:rsidRDefault="000839A5" w:rsidP="00CB00A7">
      <w:pPr>
        <w:pStyle w:val="BodyText"/>
        <w:spacing w:before="234"/>
        <w:ind w:left="216" w:right="734" w:firstLine="1"/>
        <w:jc w:val="left"/>
      </w:pPr>
      <w:r>
        <w:t>The other secondary efficacy endpoints were clinical response at Week 8</w:t>
      </w:r>
      <w:r>
        <w:rPr>
          <w:spacing w:val="27"/>
        </w:rPr>
        <w:t xml:space="preserve"> </w:t>
      </w:r>
      <w:r>
        <w:t>and</w:t>
      </w:r>
      <w:r>
        <w:rPr>
          <w:spacing w:val="27"/>
        </w:rPr>
        <w:t xml:space="preserve"> </w:t>
      </w:r>
      <w:proofErr w:type="spellStart"/>
      <w:r>
        <w:t>normalisation</w:t>
      </w:r>
      <w:proofErr w:type="spellEnd"/>
      <w:r>
        <w:t xml:space="preserve"> of endoscopic appearance of the mucosa at Week 8. Clinical response was defined as a decrease from baseline in Mayo score of ≥ 3 points and ≥ 30%, with an accompanying decrease in the </w:t>
      </w:r>
      <w:proofErr w:type="spellStart"/>
      <w:r>
        <w:t>subscore</w:t>
      </w:r>
      <w:proofErr w:type="spellEnd"/>
      <w:r>
        <w:t xml:space="preserve"> for rectal bleeding of ≥ 1 point or absolute </w:t>
      </w:r>
      <w:proofErr w:type="spellStart"/>
      <w:r>
        <w:t>subscore</w:t>
      </w:r>
      <w:proofErr w:type="spellEnd"/>
      <w:r>
        <w:t xml:space="preserve"> for rectal bleeding of 0 or 1. </w:t>
      </w:r>
      <w:proofErr w:type="spellStart"/>
      <w:r>
        <w:t>Normalisation</w:t>
      </w:r>
      <w:proofErr w:type="spellEnd"/>
      <w:r>
        <w:t xml:space="preserve"> of endoscopic appearance of the mucosa was defined as a Mayo endoscopic </w:t>
      </w:r>
      <w:proofErr w:type="spellStart"/>
      <w:r>
        <w:t>subscore</w:t>
      </w:r>
      <w:proofErr w:type="spellEnd"/>
      <w:r>
        <w:t xml:space="preserve"> of 0.</w:t>
      </w:r>
    </w:p>
    <w:p w14:paraId="3B4ADAE8" w14:textId="77777777" w:rsidR="001825E2" w:rsidRDefault="000839A5" w:rsidP="00CB00A7">
      <w:pPr>
        <w:pStyle w:val="BodyText"/>
        <w:spacing w:before="249" w:line="242" w:lineRule="auto"/>
        <w:ind w:left="216" w:right="749"/>
        <w:jc w:val="left"/>
      </w:pPr>
      <w:r>
        <w:t>A significantly greater proportion of patients treated with XELJANZ 10</w:t>
      </w:r>
      <w:r>
        <w:rPr>
          <w:spacing w:val="-4"/>
        </w:rPr>
        <w:t xml:space="preserve"> </w:t>
      </w:r>
      <w:r>
        <w:t>mg twice daily achieved remission, improvement of endoscopic appearance of the mucosa, and clinical response at Week 8 compared to</w:t>
      </w:r>
      <w:r>
        <w:rPr>
          <w:spacing w:val="-11"/>
        </w:rPr>
        <w:t xml:space="preserve"> </w:t>
      </w:r>
      <w:r>
        <w:t>placebo in both</w:t>
      </w:r>
      <w:r>
        <w:rPr>
          <w:spacing w:val="-11"/>
        </w:rPr>
        <w:t xml:space="preserve"> </w:t>
      </w:r>
      <w:r>
        <w:t>studies, as shown in Table</w:t>
      </w:r>
      <w:r>
        <w:rPr>
          <w:spacing w:val="37"/>
        </w:rPr>
        <w:t xml:space="preserve"> </w:t>
      </w:r>
      <w:r>
        <w:t>14.</w:t>
      </w:r>
    </w:p>
    <w:p w14:paraId="41BCD045" w14:textId="77777777" w:rsidR="001825E2" w:rsidRDefault="000839A5" w:rsidP="00CB00A7">
      <w:pPr>
        <w:pStyle w:val="BodyText"/>
        <w:spacing w:before="233" w:line="235" w:lineRule="auto"/>
        <w:ind w:left="215" w:right="728"/>
        <w:jc w:val="left"/>
      </w:pPr>
      <w:r>
        <w:t>The efficacy results based on the endoscopic readings at the study</w:t>
      </w:r>
      <w:r>
        <w:rPr>
          <w:spacing w:val="-3"/>
        </w:rPr>
        <w:t xml:space="preserve"> </w:t>
      </w:r>
      <w:r>
        <w:t>sites were consistent with the results based on the</w:t>
      </w:r>
      <w:r>
        <w:rPr>
          <w:spacing w:val="-1"/>
        </w:rPr>
        <w:t xml:space="preserve"> </w:t>
      </w:r>
      <w:r>
        <w:t>central endoscopy readings.</w:t>
      </w:r>
    </w:p>
    <w:p w14:paraId="038EC6AE" w14:textId="77777777" w:rsidR="001825E2" w:rsidRDefault="001825E2" w:rsidP="00CB00A7">
      <w:pPr>
        <w:spacing w:line="235" w:lineRule="auto"/>
        <w:sectPr w:rsidR="001825E2">
          <w:pgSz w:w="11910" w:h="16850"/>
          <w:pgMar w:top="1360" w:right="700" w:bottom="980" w:left="1220" w:header="0" w:footer="785" w:gutter="0"/>
          <w:cols w:space="720"/>
        </w:sectPr>
      </w:pPr>
    </w:p>
    <w:p w14:paraId="1768ABFF" w14:textId="77777777" w:rsidR="001825E2" w:rsidRDefault="000839A5" w:rsidP="00CB00A7">
      <w:pPr>
        <w:pStyle w:val="Heading3"/>
        <w:spacing w:before="80" w:line="235" w:lineRule="auto"/>
        <w:ind w:left="1240" w:right="745" w:hanging="1020"/>
      </w:pPr>
      <w:r>
        <w:lastRenderedPageBreak/>
        <w:t>Table</w:t>
      </w:r>
      <w:r>
        <w:rPr>
          <w:spacing w:val="-4"/>
        </w:rPr>
        <w:t xml:space="preserve"> </w:t>
      </w:r>
      <w:r>
        <w:t>14:</w:t>
      </w:r>
      <w:r>
        <w:rPr>
          <w:spacing w:val="-7"/>
        </w:rPr>
        <w:t xml:space="preserve"> </w:t>
      </w:r>
      <w:r>
        <w:t>Proportion</w:t>
      </w:r>
      <w:r>
        <w:rPr>
          <w:spacing w:val="40"/>
        </w:rPr>
        <w:t xml:space="preserve"> </w:t>
      </w:r>
      <w:r>
        <w:t>of</w:t>
      </w:r>
      <w:r>
        <w:rPr>
          <w:spacing w:val="40"/>
        </w:rPr>
        <w:t xml:space="preserve"> </w:t>
      </w:r>
      <w:r>
        <w:t>Patients</w:t>
      </w:r>
      <w:r>
        <w:rPr>
          <w:spacing w:val="40"/>
        </w:rPr>
        <w:t xml:space="preserve"> </w:t>
      </w:r>
      <w:r>
        <w:t>Meeting</w:t>
      </w:r>
      <w:r>
        <w:rPr>
          <w:spacing w:val="40"/>
        </w:rPr>
        <w:t xml:space="preserve"> </w:t>
      </w:r>
      <w:r>
        <w:t>Efficacy</w:t>
      </w:r>
      <w:r>
        <w:rPr>
          <w:spacing w:val="40"/>
        </w:rPr>
        <w:t xml:space="preserve"> </w:t>
      </w:r>
      <w:r>
        <w:t>Endpoints</w:t>
      </w:r>
      <w:r>
        <w:rPr>
          <w:spacing w:val="40"/>
        </w:rPr>
        <w:t xml:space="preserve"> </w:t>
      </w:r>
      <w:r>
        <w:t>at</w:t>
      </w:r>
      <w:r>
        <w:rPr>
          <w:spacing w:val="40"/>
        </w:rPr>
        <w:t xml:space="preserve"> </w:t>
      </w:r>
      <w:r>
        <w:t>Week</w:t>
      </w:r>
      <w:r>
        <w:rPr>
          <w:spacing w:val="40"/>
        </w:rPr>
        <w:t xml:space="preserve"> </w:t>
      </w:r>
      <w:r>
        <w:t>8</w:t>
      </w:r>
      <w:r>
        <w:rPr>
          <w:spacing w:val="40"/>
        </w:rPr>
        <w:t xml:space="preserve"> </w:t>
      </w:r>
      <w:r>
        <w:t>(OCTAVE Induction Study 1 and OCTAVE Induction Study 2)</w:t>
      </w:r>
    </w:p>
    <w:p w14:paraId="259B249D" w14:textId="77777777" w:rsidR="001825E2" w:rsidRDefault="001825E2" w:rsidP="00CB00A7">
      <w:pPr>
        <w:pStyle w:val="BodyText"/>
        <w:spacing w:before="2"/>
        <w:jc w:val="left"/>
        <w:rPr>
          <w:b/>
          <w:sz w:val="11"/>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85"/>
        <w:gridCol w:w="1530"/>
        <w:gridCol w:w="1620"/>
        <w:gridCol w:w="1620"/>
        <w:gridCol w:w="1440"/>
      </w:tblGrid>
      <w:tr w:rsidR="001825E2" w14:paraId="4AA10B95" w14:textId="77777777">
        <w:trPr>
          <w:trHeight w:val="270"/>
        </w:trPr>
        <w:tc>
          <w:tcPr>
            <w:tcW w:w="2985" w:type="dxa"/>
            <w:vMerge w:val="restart"/>
          </w:tcPr>
          <w:p w14:paraId="4BD85FBE" w14:textId="77777777" w:rsidR="001825E2" w:rsidRDefault="001825E2" w:rsidP="00CB00A7">
            <w:pPr>
              <w:pStyle w:val="TableParagraph"/>
              <w:ind w:left="0"/>
              <w:jc w:val="left"/>
            </w:pPr>
          </w:p>
        </w:tc>
        <w:tc>
          <w:tcPr>
            <w:tcW w:w="6210" w:type="dxa"/>
            <w:gridSpan w:val="4"/>
          </w:tcPr>
          <w:p w14:paraId="46DDEB84" w14:textId="77777777" w:rsidR="001825E2" w:rsidRDefault="000839A5" w:rsidP="00CB00A7">
            <w:pPr>
              <w:pStyle w:val="TableParagraph"/>
              <w:spacing w:line="250" w:lineRule="exact"/>
              <w:ind w:left="1642"/>
              <w:jc w:val="left"/>
              <w:rPr>
                <w:b/>
                <w:sz w:val="24"/>
              </w:rPr>
            </w:pPr>
            <w:r>
              <w:rPr>
                <w:b/>
                <w:sz w:val="24"/>
              </w:rPr>
              <w:t>OCTAVE</w:t>
            </w:r>
            <w:r>
              <w:rPr>
                <w:b/>
                <w:spacing w:val="-12"/>
                <w:sz w:val="24"/>
              </w:rPr>
              <w:t xml:space="preserve"> </w:t>
            </w:r>
            <w:r>
              <w:rPr>
                <w:b/>
                <w:sz w:val="24"/>
              </w:rPr>
              <w:t xml:space="preserve">Induction Study </w:t>
            </w:r>
            <w:r>
              <w:rPr>
                <w:b/>
                <w:spacing w:val="-10"/>
                <w:sz w:val="24"/>
              </w:rPr>
              <w:t>1</w:t>
            </w:r>
          </w:p>
        </w:tc>
      </w:tr>
      <w:tr w:rsidR="001825E2" w14:paraId="1670C691" w14:textId="77777777">
        <w:trPr>
          <w:trHeight w:val="269"/>
        </w:trPr>
        <w:tc>
          <w:tcPr>
            <w:tcW w:w="2985" w:type="dxa"/>
            <w:vMerge/>
            <w:tcBorders>
              <w:top w:val="nil"/>
            </w:tcBorders>
          </w:tcPr>
          <w:p w14:paraId="1F462ACC" w14:textId="77777777" w:rsidR="001825E2" w:rsidRDefault="001825E2" w:rsidP="00CB00A7">
            <w:pPr>
              <w:rPr>
                <w:sz w:val="2"/>
                <w:szCs w:val="2"/>
              </w:rPr>
            </w:pPr>
          </w:p>
        </w:tc>
        <w:tc>
          <w:tcPr>
            <w:tcW w:w="3150" w:type="dxa"/>
            <w:gridSpan w:val="2"/>
          </w:tcPr>
          <w:p w14:paraId="61E49B84" w14:textId="77777777" w:rsidR="001825E2" w:rsidRDefault="000839A5" w:rsidP="00CB00A7">
            <w:pPr>
              <w:pStyle w:val="TableParagraph"/>
              <w:spacing w:before="1" w:line="249" w:lineRule="exact"/>
              <w:ind w:left="292"/>
              <w:jc w:val="left"/>
              <w:rPr>
                <w:b/>
                <w:sz w:val="24"/>
              </w:rPr>
            </w:pPr>
            <w:r>
              <w:rPr>
                <w:b/>
                <w:sz w:val="24"/>
              </w:rPr>
              <w:t>Central</w:t>
            </w:r>
            <w:r>
              <w:rPr>
                <w:b/>
                <w:spacing w:val="-10"/>
                <w:sz w:val="24"/>
              </w:rPr>
              <w:t xml:space="preserve"> </w:t>
            </w:r>
            <w:r>
              <w:rPr>
                <w:b/>
                <w:sz w:val="24"/>
              </w:rPr>
              <w:t xml:space="preserve">Endoscopy </w:t>
            </w:r>
            <w:r>
              <w:rPr>
                <w:b/>
                <w:spacing w:val="-4"/>
                <w:sz w:val="24"/>
              </w:rPr>
              <w:t>Read</w:t>
            </w:r>
          </w:p>
        </w:tc>
        <w:tc>
          <w:tcPr>
            <w:tcW w:w="3060" w:type="dxa"/>
            <w:gridSpan w:val="2"/>
          </w:tcPr>
          <w:p w14:paraId="1A2EF4C4" w14:textId="77777777" w:rsidR="001825E2" w:rsidRDefault="000839A5" w:rsidP="00CB00A7">
            <w:pPr>
              <w:pStyle w:val="TableParagraph"/>
              <w:spacing w:before="1" w:line="249" w:lineRule="exact"/>
              <w:ind w:left="352"/>
              <w:jc w:val="left"/>
              <w:rPr>
                <w:b/>
                <w:sz w:val="24"/>
              </w:rPr>
            </w:pPr>
            <w:r>
              <w:rPr>
                <w:b/>
                <w:sz w:val="24"/>
              </w:rPr>
              <w:t>Local</w:t>
            </w:r>
            <w:r>
              <w:rPr>
                <w:b/>
                <w:spacing w:val="-8"/>
                <w:sz w:val="24"/>
              </w:rPr>
              <w:t xml:space="preserve"> </w:t>
            </w:r>
            <w:r>
              <w:rPr>
                <w:b/>
                <w:sz w:val="24"/>
              </w:rPr>
              <w:t>Endoscopy</w:t>
            </w:r>
            <w:r>
              <w:rPr>
                <w:b/>
                <w:spacing w:val="2"/>
                <w:sz w:val="24"/>
              </w:rPr>
              <w:t xml:space="preserve"> </w:t>
            </w:r>
            <w:r>
              <w:rPr>
                <w:b/>
                <w:spacing w:val="-4"/>
                <w:sz w:val="24"/>
              </w:rPr>
              <w:t>Read</w:t>
            </w:r>
          </w:p>
        </w:tc>
      </w:tr>
      <w:tr w:rsidR="001825E2" w14:paraId="2EE307FA" w14:textId="77777777">
        <w:trPr>
          <w:trHeight w:val="825"/>
        </w:trPr>
        <w:tc>
          <w:tcPr>
            <w:tcW w:w="2985" w:type="dxa"/>
          </w:tcPr>
          <w:p w14:paraId="7F7E6776" w14:textId="77777777" w:rsidR="001825E2" w:rsidRDefault="000839A5" w:rsidP="00CB00A7">
            <w:pPr>
              <w:pStyle w:val="TableParagraph"/>
              <w:spacing w:before="271"/>
              <w:jc w:val="left"/>
              <w:rPr>
                <w:b/>
                <w:sz w:val="24"/>
              </w:rPr>
            </w:pPr>
            <w:r>
              <w:rPr>
                <w:b/>
                <w:spacing w:val="-2"/>
                <w:sz w:val="24"/>
              </w:rPr>
              <w:t>Endpoint</w:t>
            </w:r>
          </w:p>
        </w:tc>
        <w:tc>
          <w:tcPr>
            <w:tcW w:w="1530" w:type="dxa"/>
          </w:tcPr>
          <w:p w14:paraId="2F542250" w14:textId="77777777" w:rsidR="001825E2" w:rsidRDefault="000839A5" w:rsidP="00CB00A7">
            <w:pPr>
              <w:pStyle w:val="TableParagraph"/>
              <w:spacing w:before="271"/>
              <w:ind w:left="19" w:right="5"/>
              <w:jc w:val="left"/>
              <w:rPr>
                <w:b/>
                <w:sz w:val="24"/>
              </w:rPr>
            </w:pPr>
            <w:r>
              <w:rPr>
                <w:b/>
                <w:spacing w:val="-2"/>
                <w:sz w:val="24"/>
              </w:rPr>
              <w:t>Placebo</w:t>
            </w:r>
          </w:p>
        </w:tc>
        <w:tc>
          <w:tcPr>
            <w:tcW w:w="1620" w:type="dxa"/>
          </w:tcPr>
          <w:p w14:paraId="49B5280F" w14:textId="77777777" w:rsidR="001825E2" w:rsidRDefault="000839A5" w:rsidP="00CB00A7">
            <w:pPr>
              <w:pStyle w:val="TableParagraph"/>
              <w:spacing w:before="1" w:line="273" w:lineRule="exact"/>
              <w:ind w:left="156" w:right="116"/>
              <w:jc w:val="left"/>
              <w:rPr>
                <w:b/>
                <w:sz w:val="24"/>
              </w:rPr>
            </w:pPr>
            <w:r>
              <w:rPr>
                <w:b/>
                <w:spacing w:val="-2"/>
                <w:sz w:val="24"/>
              </w:rPr>
              <w:t>XELJANZ</w:t>
            </w:r>
          </w:p>
          <w:p w14:paraId="45CEAEDA" w14:textId="77777777" w:rsidR="001825E2" w:rsidRDefault="000839A5" w:rsidP="00CB00A7">
            <w:pPr>
              <w:pStyle w:val="TableParagraph"/>
              <w:spacing w:line="270" w:lineRule="exact"/>
              <w:ind w:left="232" w:right="200" w:hanging="15"/>
              <w:jc w:val="left"/>
              <w:rPr>
                <w:b/>
                <w:sz w:val="24"/>
              </w:rPr>
            </w:pPr>
            <w:r>
              <w:rPr>
                <w:b/>
                <w:sz w:val="24"/>
              </w:rPr>
              <w:t xml:space="preserve">10 mg </w:t>
            </w:r>
            <w:r>
              <w:rPr>
                <w:b/>
                <w:spacing w:val="-2"/>
                <w:sz w:val="24"/>
              </w:rPr>
              <w:t>Twice</w:t>
            </w:r>
            <w:r>
              <w:rPr>
                <w:b/>
                <w:spacing w:val="-13"/>
                <w:sz w:val="24"/>
              </w:rPr>
              <w:t xml:space="preserve"> </w:t>
            </w:r>
            <w:r>
              <w:rPr>
                <w:b/>
                <w:spacing w:val="-2"/>
                <w:sz w:val="24"/>
              </w:rPr>
              <w:t>daily</w:t>
            </w:r>
          </w:p>
        </w:tc>
        <w:tc>
          <w:tcPr>
            <w:tcW w:w="1620" w:type="dxa"/>
          </w:tcPr>
          <w:p w14:paraId="2516AE26" w14:textId="77777777" w:rsidR="001825E2" w:rsidRDefault="000839A5" w:rsidP="00CB00A7">
            <w:pPr>
              <w:pStyle w:val="TableParagraph"/>
              <w:spacing w:before="271"/>
              <w:ind w:left="14"/>
              <w:jc w:val="left"/>
              <w:rPr>
                <w:b/>
                <w:sz w:val="24"/>
              </w:rPr>
            </w:pPr>
            <w:r>
              <w:rPr>
                <w:b/>
                <w:spacing w:val="-2"/>
                <w:sz w:val="24"/>
              </w:rPr>
              <w:t>Placebo</w:t>
            </w:r>
          </w:p>
        </w:tc>
        <w:tc>
          <w:tcPr>
            <w:tcW w:w="1440" w:type="dxa"/>
          </w:tcPr>
          <w:p w14:paraId="7223B02F" w14:textId="77777777" w:rsidR="001825E2" w:rsidRDefault="000839A5" w:rsidP="00CB00A7">
            <w:pPr>
              <w:pStyle w:val="TableParagraph"/>
              <w:spacing w:before="1" w:line="273" w:lineRule="exact"/>
              <w:ind w:left="46"/>
              <w:jc w:val="left"/>
              <w:rPr>
                <w:b/>
                <w:sz w:val="24"/>
              </w:rPr>
            </w:pPr>
            <w:r>
              <w:rPr>
                <w:b/>
                <w:spacing w:val="-2"/>
                <w:sz w:val="24"/>
              </w:rPr>
              <w:t>XELJANZ</w:t>
            </w:r>
          </w:p>
          <w:p w14:paraId="5E2AE6BF" w14:textId="77777777" w:rsidR="001825E2" w:rsidRDefault="000839A5" w:rsidP="00CB00A7">
            <w:pPr>
              <w:pStyle w:val="TableParagraph"/>
              <w:spacing w:line="270" w:lineRule="exact"/>
              <w:ind w:left="142" w:right="117" w:hanging="9"/>
              <w:jc w:val="left"/>
              <w:rPr>
                <w:b/>
                <w:sz w:val="24"/>
              </w:rPr>
            </w:pPr>
            <w:r>
              <w:rPr>
                <w:b/>
                <w:sz w:val="24"/>
              </w:rPr>
              <w:t xml:space="preserve">10 mg </w:t>
            </w:r>
            <w:r>
              <w:rPr>
                <w:b/>
                <w:spacing w:val="-2"/>
                <w:sz w:val="24"/>
              </w:rPr>
              <w:t>Twice</w:t>
            </w:r>
            <w:r>
              <w:rPr>
                <w:b/>
                <w:spacing w:val="-13"/>
                <w:sz w:val="24"/>
              </w:rPr>
              <w:t xml:space="preserve"> </w:t>
            </w:r>
            <w:r>
              <w:rPr>
                <w:b/>
                <w:spacing w:val="-2"/>
                <w:sz w:val="24"/>
              </w:rPr>
              <w:t>daily</w:t>
            </w:r>
          </w:p>
        </w:tc>
      </w:tr>
      <w:tr w:rsidR="001825E2" w14:paraId="7DD23E65" w14:textId="77777777">
        <w:trPr>
          <w:trHeight w:val="269"/>
        </w:trPr>
        <w:tc>
          <w:tcPr>
            <w:tcW w:w="2985" w:type="dxa"/>
          </w:tcPr>
          <w:p w14:paraId="56B5CC73" w14:textId="77777777" w:rsidR="001825E2" w:rsidRDefault="001825E2" w:rsidP="00CB00A7">
            <w:pPr>
              <w:pStyle w:val="TableParagraph"/>
              <w:ind w:left="0"/>
              <w:jc w:val="left"/>
              <w:rPr>
                <w:sz w:val="20"/>
              </w:rPr>
            </w:pPr>
          </w:p>
        </w:tc>
        <w:tc>
          <w:tcPr>
            <w:tcW w:w="1530" w:type="dxa"/>
          </w:tcPr>
          <w:p w14:paraId="17712E53" w14:textId="77777777" w:rsidR="001825E2" w:rsidRDefault="000839A5" w:rsidP="00CB00A7">
            <w:pPr>
              <w:pStyle w:val="TableParagraph"/>
              <w:spacing w:line="250" w:lineRule="exact"/>
              <w:ind w:left="19" w:right="5"/>
              <w:jc w:val="left"/>
              <w:rPr>
                <w:b/>
                <w:sz w:val="24"/>
              </w:rPr>
            </w:pPr>
            <w:r>
              <w:rPr>
                <w:b/>
                <w:spacing w:val="-2"/>
                <w:sz w:val="24"/>
              </w:rPr>
              <w:t>N=122</w:t>
            </w:r>
          </w:p>
        </w:tc>
        <w:tc>
          <w:tcPr>
            <w:tcW w:w="1620" w:type="dxa"/>
          </w:tcPr>
          <w:p w14:paraId="6C0AD1C2" w14:textId="77777777" w:rsidR="001825E2" w:rsidRDefault="000839A5" w:rsidP="00CB00A7">
            <w:pPr>
              <w:pStyle w:val="TableParagraph"/>
              <w:spacing w:line="250" w:lineRule="exact"/>
              <w:ind w:left="14"/>
              <w:jc w:val="left"/>
              <w:rPr>
                <w:b/>
                <w:sz w:val="24"/>
              </w:rPr>
            </w:pPr>
            <w:r>
              <w:rPr>
                <w:b/>
                <w:spacing w:val="-2"/>
                <w:sz w:val="24"/>
              </w:rPr>
              <w:t>N=476</w:t>
            </w:r>
          </w:p>
        </w:tc>
        <w:tc>
          <w:tcPr>
            <w:tcW w:w="1620" w:type="dxa"/>
          </w:tcPr>
          <w:p w14:paraId="761DF4BD" w14:textId="77777777" w:rsidR="001825E2" w:rsidRDefault="000839A5" w:rsidP="00CB00A7">
            <w:pPr>
              <w:pStyle w:val="TableParagraph"/>
              <w:spacing w:line="250" w:lineRule="exact"/>
              <w:ind w:left="14"/>
              <w:jc w:val="left"/>
              <w:rPr>
                <w:b/>
                <w:sz w:val="24"/>
              </w:rPr>
            </w:pPr>
            <w:r>
              <w:rPr>
                <w:b/>
                <w:spacing w:val="-2"/>
                <w:sz w:val="24"/>
              </w:rPr>
              <w:t>N=122</w:t>
            </w:r>
          </w:p>
        </w:tc>
        <w:tc>
          <w:tcPr>
            <w:tcW w:w="1440" w:type="dxa"/>
          </w:tcPr>
          <w:p w14:paraId="7642DAD6" w14:textId="77777777" w:rsidR="001825E2" w:rsidRDefault="000839A5" w:rsidP="00CB00A7">
            <w:pPr>
              <w:pStyle w:val="TableParagraph"/>
              <w:spacing w:line="250" w:lineRule="exact"/>
              <w:ind w:left="46" w:right="32"/>
              <w:jc w:val="left"/>
              <w:rPr>
                <w:b/>
                <w:sz w:val="24"/>
              </w:rPr>
            </w:pPr>
            <w:r>
              <w:rPr>
                <w:b/>
                <w:spacing w:val="-2"/>
                <w:sz w:val="24"/>
              </w:rPr>
              <w:t>N=476</w:t>
            </w:r>
          </w:p>
        </w:tc>
      </w:tr>
      <w:tr w:rsidR="001825E2" w14:paraId="2C51D9BA" w14:textId="77777777">
        <w:trPr>
          <w:trHeight w:val="270"/>
        </w:trPr>
        <w:tc>
          <w:tcPr>
            <w:tcW w:w="2985" w:type="dxa"/>
          </w:tcPr>
          <w:p w14:paraId="05B0B63C" w14:textId="77777777" w:rsidR="001825E2" w:rsidRDefault="000839A5" w:rsidP="00CB00A7">
            <w:pPr>
              <w:pStyle w:val="TableParagraph"/>
              <w:spacing w:before="1" w:line="249" w:lineRule="exact"/>
              <w:jc w:val="left"/>
              <w:rPr>
                <w:sz w:val="16"/>
              </w:rPr>
            </w:pPr>
            <w:r>
              <w:rPr>
                <w:spacing w:val="-2"/>
                <w:sz w:val="24"/>
              </w:rPr>
              <w:t>Remission</w:t>
            </w:r>
            <w:r>
              <w:rPr>
                <w:spacing w:val="-2"/>
                <w:position w:val="7"/>
                <w:sz w:val="16"/>
              </w:rPr>
              <w:t>a</w:t>
            </w:r>
          </w:p>
        </w:tc>
        <w:tc>
          <w:tcPr>
            <w:tcW w:w="1530" w:type="dxa"/>
          </w:tcPr>
          <w:p w14:paraId="674BD3EB" w14:textId="77777777" w:rsidR="001825E2" w:rsidRDefault="000839A5" w:rsidP="00CB00A7">
            <w:pPr>
              <w:pStyle w:val="TableParagraph"/>
              <w:spacing w:before="1" w:line="249" w:lineRule="exact"/>
              <w:ind w:left="19"/>
              <w:jc w:val="left"/>
              <w:rPr>
                <w:sz w:val="24"/>
              </w:rPr>
            </w:pPr>
            <w:r>
              <w:rPr>
                <w:spacing w:val="-4"/>
                <w:sz w:val="24"/>
              </w:rPr>
              <w:t>8.2%</w:t>
            </w:r>
          </w:p>
        </w:tc>
        <w:tc>
          <w:tcPr>
            <w:tcW w:w="1620" w:type="dxa"/>
          </w:tcPr>
          <w:p w14:paraId="630DBA15" w14:textId="77777777" w:rsidR="001825E2" w:rsidRDefault="000839A5" w:rsidP="00CB00A7">
            <w:pPr>
              <w:pStyle w:val="TableParagraph"/>
              <w:spacing w:before="1" w:line="249" w:lineRule="exact"/>
              <w:ind w:left="7"/>
              <w:jc w:val="left"/>
              <w:rPr>
                <w:sz w:val="16"/>
              </w:rPr>
            </w:pPr>
            <w:r>
              <w:rPr>
                <w:spacing w:val="-2"/>
                <w:sz w:val="24"/>
              </w:rPr>
              <w:t>18.5%</w:t>
            </w:r>
            <w:r>
              <w:rPr>
                <w:spacing w:val="-2"/>
                <w:position w:val="7"/>
                <w:sz w:val="16"/>
              </w:rPr>
              <w:t>‡</w:t>
            </w:r>
          </w:p>
        </w:tc>
        <w:tc>
          <w:tcPr>
            <w:tcW w:w="1620" w:type="dxa"/>
          </w:tcPr>
          <w:p w14:paraId="20A89E0F" w14:textId="77777777" w:rsidR="001825E2" w:rsidRDefault="000839A5" w:rsidP="00CB00A7">
            <w:pPr>
              <w:pStyle w:val="TableParagraph"/>
              <w:spacing w:before="1" w:line="249" w:lineRule="exact"/>
              <w:ind w:left="19"/>
              <w:jc w:val="left"/>
              <w:rPr>
                <w:sz w:val="24"/>
              </w:rPr>
            </w:pPr>
            <w:r>
              <w:rPr>
                <w:spacing w:val="-2"/>
                <w:sz w:val="24"/>
              </w:rPr>
              <w:t>11.5%</w:t>
            </w:r>
          </w:p>
        </w:tc>
        <w:tc>
          <w:tcPr>
            <w:tcW w:w="1440" w:type="dxa"/>
          </w:tcPr>
          <w:p w14:paraId="7FC46489" w14:textId="77777777" w:rsidR="001825E2" w:rsidRDefault="000839A5" w:rsidP="00CB00A7">
            <w:pPr>
              <w:pStyle w:val="TableParagraph"/>
              <w:spacing w:before="1" w:line="249" w:lineRule="exact"/>
              <w:ind w:left="46" w:right="39"/>
              <w:jc w:val="left"/>
              <w:rPr>
                <w:sz w:val="16"/>
              </w:rPr>
            </w:pPr>
            <w:r>
              <w:rPr>
                <w:spacing w:val="-2"/>
                <w:sz w:val="24"/>
              </w:rPr>
              <w:t>24.8%</w:t>
            </w:r>
            <w:r>
              <w:rPr>
                <w:spacing w:val="-2"/>
                <w:position w:val="7"/>
                <w:sz w:val="16"/>
              </w:rPr>
              <w:t>‡</w:t>
            </w:r>
          </w:p>
        </w:tc>
      </w:tr>
      <w:tr w:rsidR="001825E2" w14:paraId="12E091D6" w14:textId="77777777">
        <w:trPr>
          <w:trHeight w:val="540"/>
        </w:trPr>
        <w:tc>
          <w:tcPr>
            <w:tcW w:w="2985" w:type="dxa"/>
          </w:tcPr>
          <w:p w14:paraId="5B1A7515" w14:textId="77777777" w:rsidR="001825E2" w:rsidRDefault="000839A5" w:rsidP="00CB00A7">
            <w:pPr>
              <w:pStyle w:val="TableParagraph"/>
              <w:spacing w:line="270" w:lineRule="exact"/>
              <w:jc w:val="left"/>
              <w:rPr>
                <w:sz w:val="16"/>
              </w:rPr>
            </w:pPr>
            <w:r>
              <w:rPr>
                <w:sz w:val="24"/>
              </w:rPr>
              <w:t>Improvement</w:t>
            </w:r>
            <w:r>
              <w:rPr>
                <w:spacing w:val="22"/>
                <w:sz w:val="24"/>
              </w:rPr>
              <w:t xml:space="preserve"> </w:t>
            </w:r>
            <w:r>
              <w:rPr>
                <w:sz w:val="24"/>
              </w:rPr>
              <w:t>of</w:t>
            </w:r>
            <w:r>
              <w:rPr>
                <w:spacing w:val="23"/>
                <w:sz w:val="24"/>
              </w:rPr>
              <w:t xml:space="preserve"> </w:t>
            </w:r>
            <w:r>
              <w:rPr>
                <w:sz w:val="24"/>
              </w:rPr>
              <w:t>endoscopic appearance of the mucosa</w:t>
            </w:r>
            <w:r>
              <w:rPr>
                <w:position w:val="7"/>
                <w:sz w:val="16"/>
              </w:rPr>
              <w:t>b</w:t>
            </w:r>
          </w:p>
        </w:tc>
        <w:tc>
          <w:tcPr>
            <w:tcW w:w="1530" w:type="dxa"/>
          </w:tcPr>
          <w:p w14:paraId="210A8F88" w14:textId="77777777" w:rsidR="001825E2" w:rsidRDefault="000839A5" w:rsidP="00CB00A7">
            <w:pPr>
              <w:pStyle w:val="TableParagraph"/>
              <w:spacing w:before="1"/>
              <w:ind w:left="19"/>
              <w:jc w:val="left"/>
              <w:rPr>
                <w:sz w:val="24"/>
              </w:rPr>
            </w:pPr>
            <w:r>
              <w:rPr>
                <w:spacing w:val="-2"/>
                <w:sz w:val="24"/>
              </w:rPr>
              <w:t>15.6%</w:t>
            </w:r>
          </w:p>
        </w:tc>
        <w:tc>
          <w:tcPr>
            <w:tcW w:w="1620" w:type="dxa"/>
          </w:tcPr>
          <w:p w14:paraId="2D311346" w14:textId="77777777" w:rsidR="001825E2" w:rsidRDefault="000839A5" w:rsidP="00CB00A7">
            <w:pPr>
              <w:pStyle w:val="TableParagraph"/>
              <w:spacing w:before="1"/>
              <w:ind w:left="7"/>
              <w:jc w:val="left"/>
              <w:rPr>
                <w:sz w:val="16"/>
              </w:rPr>
            </w:pPr>
            <w:r>
              <w:rPr>
                <w:spacing w:val="-2"/>
                <w:sz w:val="24"/>
              </w:rPr>
              <w:t>31.3%</w:t>
            </w:r>
            <w:r>
              <w:rPr>
                <w:spacing w:val="-2"/>
                <w:position w:val="7"/>
                <w:sz w:val="16"/>
              </w:rPr>
              <w:t>†</w:t>
            </w:r>
          </w:p>
        </w:tc>
        <w:tc>
          <w:tcPr>
            <w:tcW w:w="1620" w:type="dxa"/>
          </w:tcPr>
          <w:p w14:paraId="4EBD271E" w14:textId="77777777" w:rsidR="001825E2" w:rsidRDefault="000839A5" w:rsidP="00CB00A7">
            <w:pPr>
              <w:pStyle w:val="TableParagraph"/>
              <w:spacing w:before="1"/>
              <w:ind w:left="19"/>
              <w:jc w:val="left"/>
              <w:rPr>
                <w:sz w:val="24"/>
              </w:rPr>
            </w:pPr>
            <w:r>
              <w:rPr>
                <w:spacing w:val="-2"/>
                <w:sz w:val="24"/>
              </w:rPr>
              <w:t>23.0%</w:t>
            </w:r>
          </w:p>
        </w:tc>
        <w:tc>
          <w:tcPr>
            <w:tcW w:w="1440" w:type="dxa"/>
          </w:tcPr>
          <w:p w14:paraId="499276B3" w14:textId="77777777" w:rsidR="001825E2" w:rsidRDefault="000839A5" w:rsidP="00CB00A7">
            <w:pPr>
              <w:pStyle w:val="TableParagraph"/>
              <w:spacing w:before="1"/>
              <w:ind w:left="46" w:right="31"/>
              <w:jc w:val="left"/>
              <w:rPr>
                <w:sz w:val="24"/>
              </w:rPr>
            </w:pPr>
            <w:r>
              <w:rPr>
                <w:spacing w:val="-2"/>
                <w:sz w:val="24"/>
              </w:rPr>
              <w:t>42.4%*</w:t>
            </w:r>
          </w:p>
        </w:tc>
      </w:tr>
      <w:tr w:rsidR="001825E2" w14:paraId="763435AA" w14:textId="77777777">
        <w:trPr>
          <w:trHeight w:val="825"/>
        </w:trPr>
        <w:tc>
          <w:tcPr>
            <w:tcW w:w="2985" w:type="dxa"/>
          </w:tcPr>
          <w:p w14:paraId="4C478C4B" w14:textId="77777777" w:rsidR="001825E2" w:rsidRDefault="000839A5" w:rsidP="00CB00A7">
            <w:pPr>
              <w:pStyle w:val="TableParagraph"/>
              <w:spacing w:before="5" w:line="235" w:lineRule="auto"/>
              <w:ind w:right="165"/>
              <w:jc w:val="left"/>
              <w:rPr>
                <w:sz w:val="24"/>
              </w:rPr>
            </w:pPr>
            <w:proofErr w:type="spellStart"/>
            <w:r>
              <w:rPr>
                <w:sz w:val="24"/>
              </w:rPr>
              <w:t>Normalisation</w:t>
            </w:r>
            <w:proofErr w:type="spellEnd"/>
            <w:r>
              <w:rPr>
                <w:sz w:val="24"/>
              </w:rPr>
              <w:t xml:space="preserve"> of endoscopic</w:t>
            </w:r>
            <w:r>
              <w:rPr>
                <w:spacing w:val="-15"/>
                <w:sz w:val="24"/>
              </w:rPr>
              <w:t xml:space="preserve"> </w:t>
            </w:r>
            <w:r>
              <w:rPr>
                <w:sz w:val="24"/>
              </w:rPr>
              <w:t>appearance</w:t>
            </w:r>
            <w:r>
              <w:rPr>
                <w:spacing w:val="-13"/>
                <w:sz w:val="24"/>
              </w:rPr>
              <w:t xml:space="preserve"> </w:t>
            </w:r>
            <w:r>
              <w:rPr>
                <w:sz w:val="24"/>
              </w:rPr>
              <w:t>of</w:t>
            </w:r>
          </w:p>
          <w:p w14:paraId="6FDDF302" w14:textId="77777777" w:rsidR="001825E2" w:rsidRDefault="000839A5" w:rsidP="00CB00A7">
            <w:pPr>
              <w:pStyle w:val="TableParagraph"/>
              <w:spacing w:before="10" w:line="249" w:lineRule="exact"/>
              <w:jc w:val="left"/>
              <w:rPr>
                <w:sz w:val="16"/>
              </w:rPr>
            </w:pPr>
            <w:r>
              <w:rPr>
                <w:sz w:val="24"/>
              </w:rPr>
              <w:t>the</w:t>
            </w:r>
            <w:r>
              <w:rPr>
                <w:spacing w:val="6"/>
                <w:sz w:val="24"/>
              </w:rPr>
              <w:t xml:space="preserve"> </w:t>
            </w:r>
            <w:r>
              <w:rPr>
                <w:spacing w:val="-2"/>
                <w:sz w:val="24"/>
              </w:rPr>
              <w:t>mucosa</w:t>
            </w:r>
            <w:r>
              <w:rPr>
                <w:spacing w:val="-2"/>
                <w:position w:val="7"/>
                <w:sz w:val="16"/>
              </w:rPr>
              <w:t>c</w:t>
            </w:r>
          </w:p>
        </w:tc>
        <w:tc>
          <w:tcPr>
            <w:tcW w:w="1530" w:type="dxa"/>
          </w:tcPr>
          <w:p w14:paraId="30C084CB" w14:textId="77777777" w:rsidR="001825E2" w:rsidRDefault="000839A5" w:rsidP="00CB00A7">
            <w:pPr>
              <w:pStyle w:val="TableParagraph"/>
              <w:spacing w:before="1"/>
              <w:ind w:left="19"/>
              <w:jc w:val="left"/>
              <w:rPr>
                <w:sz w:val="24"/>
              </w:rPr>
            </w:pPr>
            <w:r>
              <w:rPr>
                <w:spacing w:val="-4"/>
                <w:sz w:val="24"/>
              </w:rPr>
              <w:t>1.6%</w:t>
            </w:r>
          </w:p>
        </w:tc>
        <w:tc>
          <w:tcPr>
            <w:tcW w:w="1620" w:type="dxa"/>
          </w:tcPr>
          <w:p w14:paraId="64B33D54" w14:textId="77777777" w:rsidR="001825E2" w:rsidRDefault="000839A5" w:rsidP="00CB00A7">
            <w:pPr>
              <w:pStyle w:val="TableParagraph"/>
              <w:spacing w:before="1"/>
              <w:ind w:left="7"/>
              <w:jc w:val="left"/>
              <w:rPr>
                <w:sz w:val="16"/>
              </w:rPr>
            </w:pPr>
            <w:r>
              <w:rPr>
                <w:spacing w:val="-2"/>
                <w:sz w:val="24"/>
              </w:rPr>
              <w:t>6.7%</w:t>
            </w:r>
            <w:r>
              <w:rPr>
                <w:spacing w:val="-2"/>
                <w:position w:val="7"/>
                <w:sz w:val="16"/>
              </w:rPr>
              <w:t>‡</w:t>
            </w:r>
          </w:p>
        </w:tc>
        <w:tc>
          <w:tcPr>
            <w:tcW w:w="1620" w:type="dxa"/>
          </w:tcPr>
          <w:p w14:paraId="4B44BAB3" w14:textId="77777777" w:rsidR="001825E2" w:rsidRDefault="000839A5" w:rsidP="00CB00A7">
            <w:pPr>
              <w:pStyle w:val="TableParagraph"/>
              <w:spacing w:before="1"/>
              <w:ind w:left="19"/>
              <w:jc w:val="left"/>
              <w:rPr>
                <w:sz w:val="24"/>
              </w:rPr>
            </w:pPr>
            <w:r>
              <w:rPr>
                <w:spacing w:val="-4"/>
                <w:sz w:val="24"/>
              </w:rPr>
              <w:t>2.5%</w:t>
            </w:r>
          </w:p>
        </w:tc>
        <w:tc>
          <w:tcPr>
            <w:tcW w:w="1440" w:type="dxa"/>
          </w:tcPr>
          <w:p w14:paraId="26BB302F" w14:textId="77777777" w:rsidR="001825E2" w:rsidRDefault="000839A5" w:rsidP="00CB00A7">
            <w:pPr>
              <w:pStyle w:val="TableParagraph"/>
              <w:spacing w:before="1"/>
              <w:ind w:left="46" w:right="39"/>
              <w:jc w:val="left"/>
              <w:rPr>
                <w:sz w:val="16"/>
              </w:rPr>
            </w:pPr>
            <w:r>
              <w:rPr>
                <w:spacing w:val="-2"/>
                <w:sz w:val="24"/>
              </w:rPr>
              <w:t>10.9%</w:t>
            </w:r>
            <w:r>
              <w:rPr>
                <w:spacing w:val="-2"/>
                <w:position w:val="7"/>
                <w:sz w:val="16"/>
              </w:rPr>
              <w:t>‡</w:t>
            </w:r>
          </w:p>
        </w:tc>
      </w:tr>
      <w:tr w:rsidR="001825E2" w14:paraId="5B534A0E" w14:textId="77777777">
        <w:trPr>
          <w:trHeight w:val="270"/>
        </w:trPr>
        <w:tc>
          <w:tcPr>
            <w:tcW w:w="2985" w:type="dxa"/>
          </w:tcPr>
          <w:p w14:paraId="4BFBBC9C" w14:textId="77777777" w:rsidR="001825E2" w:rsidRDefault="000839A5" w:rsidP="00CB00A7">
            <w:pPr>
              <w:pStyle w:val="TableParagraph"/>
              <w:spacing w:before="1" w:line="249" w:lineRule="exact"/>
              <w:jc w:val="left"/>
              <w:rPr>
                <w:sz w:val="16"/>
              </w:rPr>
            </w:pPr>
            <w:r>
              <w:rPr>
                <w:sz w:val="24"/>
              </w:rPr>
              <w:t>Clinical</w:t>
            </w:r>
            <w:r>
              <w:rPr>
                <w:spacing w:val="2"/>
                <w:sz w:val="24"/>
              </w:rPr>
              <w:t xml:space="preserve"> </w:t>
            </w:r>
            <w:r>
              <w:rPr>
                <w:spacing w:val="-2"/>
                <w:sz w:val="24"/>
              </w:rPr>
              <w:t>response</w:t>
            </w:r>
            <w:r>
              <w:rPr>
                <w:spacing w:val="-2"/>
                <w:position w:val="7"/>
                <w:sz w:val="16"/>
              </w:rPr>
              <w:t>d</w:t>
            </w:r>
          </w:p>
        </w:tc>
        <w:tc>
          <w:tcPr>
            <w:tcW w:w="1530" w:type="dxa"/>
          </w:tcPr>
          <w:p w14:paraId="137F7E46" w14:textId="77777777" w:rsidR="001825E2" w:rsidRDefault="000839A5" w:rsidP="00CB00A7">
            <w:pPr>
              <w:pStyle w:val="TableParagraph"/>
              <w:spacing w:before="1" w:line="249" w:lineRule="exact"/>
              <w:ind w:left="19"/>
              <w:jc w:val="left"/>
              <w:rPr>
                <w:sz w:val="24"/>
              </w:rPr>
            </w:pPr>
            <w:r>
              <w:rPr>
                <w:spacing w:val="-2"/>
                <w:sz w:val="24"/>
              </w:rPr>
              <w:t>32.8%</w:t>
            </w:r>
          </w:p>
        </w:tc>
        <w:tc>
          <w:tcPr>
            <w:tcW w:w="1620" w:type="dxa"/>
          </w:tcPr>
          <w:p w14:paraId="1D1BEF7D" w14:textId="77777777" w:rsidR="001825E2" w:rsidRDefault="000839A5" w:rsidP="00CB00A7">
            <w:pPr>
              <w:pStyle w:val="TableParagraph"/>
              <w:spacing w:before="1" w:line="249" w:lineRule="exact"/>
              <w:ind w:left="15"/>
              <w:jc w:val="left"/>
              <w:rPr>
                <w:sz w:val="24"/>
              </w:rPr>
            </w:pPr>
            <w:r>
              <w:rPr>
                <w:spacing w:val="-2"/>
                <w:sz w:val="24"/>
              </w:rPr>
              <w:t>59.9%*</w:t>
            </w:r>
          </w:p>
        </w:tc>
        <w:tc>
          <w:tcPr>
            <w:tcW w:w="1620" w:type="dxa"/>
          </w:tcPr>
          <w:p w14:paraId="53BF60C1" w14:textId="77777777" w:rsidR="001825E2" w:rsidRDefault="000839A5" w:rsidP="00CB00A7">
            <w:pPr>
              <w:pStyle w:val="TableParagraph"/>
              <w:spacing w:before="1" w:line="249" w:lineRule="exact"/>
              <w:ind w:left="19"/>
              <w:jc w:val="left"/>
              <w:rPr>
                <w:sz w:val="24"/>
              </w:rPr>
            </w:pPr>
            <w:r>
              <w:rPr>
                <w:spacing w:val="-2"/>
                <w:sz w:val="24"/>
              </w:rPr>
              <w:t>34.4%</w:t>
            </w:r>
          </w:p>
        </w:tc>
        <w:tc>
          <w:tcPr>
            <w:tcW w:w="1440" w:type="dxa"/>
          </w:tcPr>
          <w:p w14:paraId="6FEFBDDA" w14:textId="77777777" w:rsidR="001825E2" w:rsidRDefault="000839A5" w:rsidP="00CB00A7">
            <w:pPr>
              <w:pStyle w:val="TableParagraph"/>
              <w:spacing w:before="1" w:line="249" w:lineRule="exact"/>
              <w:ind w:left="46" w:right="31"/>
              <w:jc w:val="left"/>
              <w:rPr>
                <w:sz w:val="24"/>
              </w:rPr>
            </w:pPr>
            <w:r>
              <w:rPr>
                <w:spacing w:val="-2"/>
                <w:sz w:val="24"/>
              </w:rPr>
              <w:t>60.7%*</w:t>
            </w:r>
          </w:p>
        </w:tc>
      </w:tr>
      <w:tr w:rsidR="001825E2" w14:paraId="37F2BF81" w14:textId="77777777">
        <w:trPr>
          <w:trHeight w:val="269"/>
        </w:trPr>
        <w:tc>
          <w:tcPr>
            <w:tcW w:w="2985" w:type="dxa"/>
            <w:vMerge w:val="restart"/>
          </w:tcPr>
          <w:p w14:paraId="254CF0A6" w14:textId="77777777" w:rsidR="001825E2" w:rsidRDefault="001825E2" w:rsidP="00CB00A7">
            <w:pPr>
              <w:pStyle w:val="TableParagraph"/>
              <w:ind w:left="0"/>
              <w:jc w:val="left"/>
            </w:pPr>
          </w:p>
        </w:tc>
        <w:tc>
          <w:tcPr>
            <w:tcW w:w="6210" w:type="dxa"/>
            <w:gridSpan w:val="4"/>
          </w:tcPr>
          <w:p w14:paraId="13B8E9EC" w14:textId="77777777" w:rsidR="001825E2" w:rsidRDefault="000839A5" w:rsidP="00CB00A7">
            <w:pPr>
              <w:pStyle w:val="TableParagraph"/>
              <w:spacing w:before="1" w:line="249" w:lineRule="exact"/>
              <w:ind w:left="1642"/>
              <w:jc w:val="left"/>
              <w:rPr>
                <w:b/>
                <w:sz w:val="24"/>
              </w:rPr>
            </w:pPr>
            <w:r>
              <w:rPr>
                <w:b/>
                <w:sz w:val="24"/>
              </w:rPr>
              <w:t>OCTAVE</w:t>
            </w:r>
            <w:r>
              <w:rPr>
                <w:b/>
                <w:spacing w:val="-12"/>
                <w:sz w:val="24"/>
              </w:rPr>
              <w:t xml:space="preserve"> </w:t>
            </w:r>
            <w:r>
              <w:rPr>
                <w:b/>
                <w:sz w:val="24"/>
              </w:rPr>
              <w:t xml:space="preserve">Induction Study </w:t>
            </w:r>
            <w:r>
              <w:rPr>
                <w:b/>
                <w:spacing w:val="-10"/>
                <w:sz w:val="24"/>
              </w:rPr>
              <w:t>2</w:t>
            </w:r>
          </w:p>
        </w:tc>
      </w:tr>
      <w:tr w:rsidR="001825E2" w14:paraId="1C75FC6A" w14:textId="77777777">
        <w:trPr>
          <w:trHeight w:val="270"/>
        </w:trPr>
        <w:tc>
          <w:tcPr>
            <w:tcW w:w="2985" w:type="dxa"/>
            <w:vMerge/>
            <w:tcBorders>
              <w:top w:val="nil"/>
            </w:tcBorders>
          </w:tcPr>
          <w:p w14:paraId="76A97740" w14:textId="77777777" w:rsidR="001825E2" w:rsidRDefault="001825E2" w:rsidP="00CB00A7">
            <w:pPr>
              <w:rPr>
                <w:sz w:val="2"/>
                <w:szCs w:val="2"/>
              </w:rPr>
            </w:pPr>
          </w:p>
        </w:tc>
        <w:tc>
          <w:tcPr>
            <w:tcW w:w="3150" w:type="dxa"/>
            <w:gridSpan w:val="2"/>
          </w:tcPr>
          <w:p w14:paraId="5E50C5B7" w14:textId="77777777" w:rsidR="001825E2" w:rsidRDefault="000839A5" w:rsidP="00CB00A7">
            <w:pPr>
              <w:pStyle w:val="TableParagraph"/>
              <w:spacing w:before="1" w:line="249" w:lineRule="exact"/>
              <w:ind w:left="292"/>
              <w:jc w:val="left"/>
              <w:rPr>
                <w:b/>
                <w:sz w:val="24"/>
              </w:rPr>
            </w:pPr>
            <w:r>
              <w:rPr>
                <w:b/>
                <w:sz w:val="24"/>
              </w:rPr>
              <w:t>Central</w:t>
            </w:r>
            <w:r>
              <w:rPr>
                <w:b/>
                <w:spacing w:val="-10"/>
                <w:sz w:val="24"/>
              </w:rPr>
              <w:t xml:space="preserve"> </w:t>
            </w:r>
            <w:r>
              <w:rPr>
                <w:b/>
                <w:sz w:val="24"/>
              </w:rPr>
              <w:t xml:space="preserve">Endoscopy </w:t>
            </w:r>
            <w:r>
              <w:rPr>
                <w:b/>
                <w:spacing w:val="-4"/>
                <w:sz w:val="24"/>
              </w:rPr>
              <w:t>Read</w:t>
            </w:r>
          </w:p>
        </w:tc>
        <w:tc>
          <w:tcPr>
            <w:tcW w:w="3060" w:type="dxa"/>
            <w:gridSpan w:val="2"/>
          </w:tcPr>
          <w:p w14:paraId="5BBDD3DF" w14:textId="77777777" w:rsidR="001825E2" w:rsidRDefault="000839A5" w:rsidP="00CB00A7">
            <w:pPr>
              <w:pStyle w:val="TableParagraph"/>
              <w:spacing w:before="1" w:line="249" w:lineRule="exact"/>
              <w:ind w:left="352"/>
              <w:jc w:val="left"/>
              <w:rPr>
                <w:b/>
                <w:sz w:val="24"/>
              </w:rPr>
            </w:pPr>
            <w:r>
              <w:rPr>
                <w:b/>
                <w:sz w:val="24"/>
              </w:rPr>
              <w:t>Local</w:t>
            </w:r>
            <w:r>
              <w:rPr>
                <w:b/>
                <w:spacing w:val="-8"/>
                <w:sz w:val="24"/>
              </w:rPr>
              <w:t xml:space="preserve"> </w:t>
            </w:r>
            <w:r>
              <w:rPr>
                <w:b/>
                <w:sz w:val="24"/>
              </w:rPr>
              <w:t>Endoscopy</w:t>
            </w:r>
            <w:r>
              <w:rPr>
                <w:b/>
                <w:spacing w:val="2"/>
                <w:sz w:val="24"/>
              </w:rPr>
              <w:t xml:space="preserve"> </w:t>
            </w:r>
            <w:r>
              <w:rPr>
                <w:b/>
                <w:spacing w:val="-4"/>
                <w:sz w:val="24"/>
              </w:rPr>
              <w:t>Read</w:t>
            </w:r>
          </w:p>
        </w:tc>
      </w:tr>
      <w:tr w:rsidR="001825E2" w14:paraId="2A0736E2" w14:textId="77777777">
        <w:trPr>
          <w:trHeight w:val="824"/>
        </w:trPr>
        <w:tc>
          <w:tcPr>
            <w:tcW w:w="2985" w:type="dxa"/>
          </w:tcPr>
          <w:p w14:paraId="75611F48" w14:textId="77777777" w:rsidR="001825E2" w:rsidRDefault="001825E2" w:rsidP="00CB00A7">
            <w:pPr>
              <w:pStyle w:val="TableParagraph"/>
              <w:spacing w:before="9"/>
              <w:ind w:left="0"/>
              <w:jc w:val="left"/>
              <w:rPr>
                <w:b/>
                <w:sz w:val="24"/>
              </w:rPr>
            </w:pPr>
          </w:p>
          <w:p w14:paraId="29FA16E0" w14:textId="77777777" w:rsidR="001825E2" w:rsidRDefault="000839A5" w:rsidP="00CB00A7">
            <w:pPr>
              <w:pStyle w:val="TableParagraph"/>
              <w:spacing w:before="1"/>
              <w:jc w:val="left"/>
              <w:rPr>
                <w:b/>
                <w:sz w:val="24"/>
              </w:rPr>
            </w:pPr>
            <w:r>
              <w:rPr>
                <w:b/>
                <w:spacing w:val="-2"/>
                <w:sz w:val="24"/>
              </w:rPr>
              <w:t>Endpoint</w:t>
            </w:r>
          </w:p>
        </w:tc>
        <w:tc>
          <w:tcPr>
            <w:tcW w:w="1530" w:type="dxa"/>
          </w:tcPr>
          <w:p w14:paraId="7A4C63D1" w14:textId="77777777" w:rsidR="001825E2" w:rsidRDefault="001825E2" w:rsidP="00CB00A7">
            <w:pPr>
              <w:pStyle w:val="TableParagraph"/>
              <w:spacing w:before="9"/>
              <w:ind w:left="0"/>
              <w:jc w:val="left"/>
              <w:rPr>
                <w:b/>
                <w:sz w:val="24"/>
              </w:rPr>
            </w:pPr>
          </w:p>
          <w:p w14:paraId="5F9E3DF6" w14:textId="77777777" w:rsidR="001825E2" w:rsidRDefault="000839A5" w:rsidP="00CB00A7">
            <w:pPr>
              <w:pStyle w:val="TableParagraph"/>
              <w:spacing w:before="1"/>
              <w:ind w:left="19" w:right="5"/>
              <w:jc w:val="left"/>
              <w:rPr>
                <w:b/>
                <w:sz w:val="24"/>
              </w:rPr>
            </w:pPr>
            <w:r>
              <w:rPr>
                <w:b/>
                <w:spacing w:val="-2"/>
                <w:sz w:val="24"/>
              </w:rPr>
              <w:t>Placebo</w:t>
            </w:r>
          </w:p>
        </w:tc>
        <w:tc>
          <w:tcPr>
            <w:tcW w:w="1620" w:type="dxa"/>
          </w:tcPr>
          <w:p w14:paraId="54BBFC14" w14:textId="77777777" w:rsidR="001825E2" w:rsidRDefault="000839A5" w:rsidP="00CB00A7">
            <w:pPr>
              <w:pStyle w:val="TableParagraph"/>
              <w:spacing w:before="1"/>
              <w:ind w:left="162" w:right="116"/>
              <w:jc w:val="left"/>
              <w:rPr>
                <w:b/>
                <w:sz w:val="24"/>
              </w:rPr>
            </w:pPr>
            <w:r>
              <w:rPr>
                <w:b/>
                <w:spacing w:val="-2"/>
                <w:sz w:val="24"/>
              </w:rPr>
              <w:t>XELJANZ</w:t>
            </w:r>
          </w:p>
          <w:p w14:paraId="4AC272D1" w14:textId="77777777" w:rsidR="001825E2" w:rsidRDefault="000839A5" w:rsidP="00CB00A7">
            <w:pPr>
              <w:pStyle w:val="TableParagraph"/>
              <w:spacing w:line="270" w:lineRule="exact"/>
              <w:ind w:left="232" w:right="207" w:hanging="9"/>
              <w:jc w:val="left"/>
              <w:rPr>
                <w:b/>
                <w:sz w:val="24"/>
              </w:rPr>
            </w:pPr>
            <w:r>
              <w:rPr>
                <w:b/>
                <w:sz w:val="24"/>
              </w:rPr>
              <w:t xml:space="preserve">10 mg </w:t>
            </w:r>
            <w:r>
              <w:rPr>
                <w:b/>
                <w:spacing w:val="-2"/>
                <w:sz w:val="24"/>
              </w:rPr>
              <w:t>Twice</w:t>
            </w:r>
            <w:r>
              <w:rPr>
                <w:b/>
                <w:spacing w:val="-13"/>
                <w:sz w:val="24"/>
              </w:rPr>
              <w:t xml:space="preserve"> </w:t>
            </w:r>
            <w:r>
              <w:rPr>
                <w:b/>
                <w:spacing w:val="-2"/>
                <w:sz w:val="24"/>
              </w:rPr>
              <w:t>daily</w:t>
            </w:r>
          </w:p>
        </w:tc>
        <w:tc>
          <w:tcPr>
            <w:tcW w:w="1620" w:type="dxa"/>
          </w:tcPr>
          <w:p w14:paraId="20BB96D1" w14:textId="77777777" w:rsidR="001825E2" w:rsidRDefault="001825E2" w:rsidP="00CB00A7">
            <w:pPr>
              <w:pStyle w:val="TableParagraph"/>
              <w:spacing w:before="9"/>
              <w:ind w:left="0"/>
              <w:jc w:val="left"/>
              <w:rPr>
                <w:b/>
                <w:sz w:val="24"/>
              </w:rPr>
            </w:pPr>
          </w:p>
          <w:p w14:paraId="57959010" w14:textId="77777777" w:rsidR="001825E2" w:rsidRDefault="000839A5" w:rsidP="00CB00A7">
            <w:pPr>
              <w:pStyle w:val="TableParagraph"/>
              <w:spacing w:before="1"/>
              <w:ind w:left="14"/>
              <w:jc w:val="left"/>
              <w:rPr>
                <w:b/>
                <w:sz w:val="24"/>
              </w:rPr>
            </w:pPr>
            <w:r>
              <w:rPr>
                <w:b/>
                <w:spacing w:val="-2"/>
                <w:sz w:val="24"/>
              </w:rPr>
              <w:t>Placebo</w:t>
            </w:r>
          </w:p>
        </w:tc>
        <w:tc>
          <w:tcPr>
            <w:tcW w:w="1440" w:type="dxa"/>
          </w:tcPr>
          <w:p w14:paraId="1FC4A23C" w14:textId="77777777" w:rsidR="001825E2" w:rsidRDefault="000839A5" w:rsidP="00CB00A7">
            <w:pPr>
              <w:pStyle w:val="TableParagraph"/>
              <w:spacing w:before="1"/>
              <w:ind w:left="46"/>
              <w:jc w:val="left"/>
              <w:rPr>
                <w:b/>
                <w:sz w:val="24"/>
              </w:rPr>
            </w:pPr>
            <w:r>
              <w:rPr>
                <w:b/>
                <w:spacing w:val="-2"/>
                <w:sz w:val="24"/>
              </w:rPr>
              <w:t>XELJANZ</w:t>
            </w:r>
          </w:p>
          <w:p w14:paraId="5590AB44" w14:textId="77777777" w:rsidR="001825E2" w:rsidRDefault="000839A5" w:rsidP="00CB00A7">
            <w:pPr>
              <w:pStyle w:val="TableParagraph"/>
              <w:spacing w:line="270" w:lineRule="exact"/>
              <w:ind w:left="142" w:right="117" w:hanging="9"/>
              <w:jc w:val="left"/>
              <w:rPr>
                <w:b/>
                <w:sz w:val="24"/>
              </w:rPr>
            </w:pPr>
            <w:r>
              <w:rPr>
                <w:b/>
                <w:sz w:val="24"/>
              </w:rPr>
              <w:t xml:space="preserve">10 mg </w:t>
            </w:r>
            <w:r>
              <w:rPr>
                <w:b/>
                <w:spacing w:val="-2"/>
                <w:sz w:val="24"/>
              </w:rPr>
              <w:t>Twice</w:t>
            </w:r>
            <w:r>
              <w:rPr>
                <w:b/>
                <w:spacing w:val="-13"/>
                <w:sz w:val="24"/>
              </w:rPr>
              <w:t xml:space="preserve"> </w:t>
            </w:r>
            <w:r>
              <w:rPr>
                <w:b/>
                <w:spacing w:val="-2"/>
                <w:sz w:val="24"/>
              </w:rPr>
              <w:t>daily</w:t>
            </w:r>
          </w:p>
        </w:tc>
      </w:tr>
      <w:tr w:rsidR="001825E2" w14:paraId="0CAA6AD1" w14:textId="77777777">
        <w:trPr>
          <w:trHeight w:val="270"/>
        </w:trPr>
        <w:tc>
          <w:tcPr>
            <w:tcW w:w="2985" w:type="dxa"/>
          </w:tcPr>
          <w:p w14:paraId="71D13425" w14:textId="77777777" w:rsidR="001825E2" w:rsidRDefault="001825E2" w:rsidP="00CB00A7">
            <w:pPr>
              <w:pStyle w:val="TableParagraph"/>
              <w:ind w:left="0"/>
              <w:jc w:val="left"/>
              <w:rPr>
                <w:sz w:val="20"/>
              </w:rPr>
            </w:pPr>
          </w:p>
        </w:tc>
        <w:tc>
          <w:tcPr>
            <w:tcW w:w="1530" w:type="dxa"/>
          </w:tcPr>
          <w:p w14:paraId="01CA6A8D" w14:textId="77777777" w:rsidR="001825E2" w:rsidRDefault="000839A5" w:rsidP="00CB00A7">
            <w:pPr>
              <w:pStyle w:val="TableParagraph"/>
              <w:spacing w:before="1" w:line="249" w:lineRule="exact"/>
              <w:ind w:left="19" w:right="5"/>
              <w:jc w:val="left"/>
              <w:rPr>
                <w:b/>
                <w:sz w:val="24"/>
              </w:rPr>
            </w:pPr>
            <w:r>
              <w:rPr>
                <w:b/>
                <w:spacing w:val="-2"/>
                <w:sz w:val="24"/>
              </w:rPr>
              <w:t>N=112</w:t>
            </w:r>
          </w:p>
        </w:tc>
        <w:tc>
          <w:tcPr>
            <w:tcW w:w="1620" w:type="dxa"/>
          </w:tcPr>
          <w:p w14:paraId="4D66677B" w14:textId="77777777" w:rsidR="001825E2" w:rsidRDefault="000839A5" w:rsidP="00CB00A7">
            <w:pPr>
              <w:pStyle w:val="TableParagraph"/>
              <w:spacing w:before="1" w:line="249" w:lineRule="exact"/>
              <w:ind w:left="14"/>
              <w:jc w:val="left"/>
              <w:rPr>
                <w:b/>
                <w:sz w:val="24"/>
              </w:rPr>
            </w:pPr>
            <w:r>
              <w:rPr>
                <w:b/>
                <w:spacing w:val="-2"/>
                <w:sz w:val="24"/>
              </w:rPr>
              <w:t>N=429</w:t>
            </w:r>
          </w:p>
        </w:tc>
        <w:tc>
          <w:tcPr>
            <w:tcW w:w="1620" w:type="dxa"/>
          </w:tcPr>
          <w:p w14:paraId="6C9CC5BB" w14:textId="77777777" w:rsidR="001825E2" w:rsidRDefault="000839A5" w:rsidP="00CB00A7">
            <w:pPr>
              <w:pStyle w:val="TableParagraph"/>
              <w:spacing w:before="1" w:line="249" w:lineRule="exact"/>
              <w:ind w:left="14"/>
              <w:jc w:val="left"/>
              <w:rPr>
                <w:b/>
                <w:sz w:val="24"/>
              </w:rPr>
            </w:pPr>
            <w:r>
              <w:rPr>
                <w:b/>
                <w:spacing w:val="-2"/>
                <w:sz w:val="24"/>
              </w:rPr>
              <w:t>N=112</w:t>
            </w:r>
          </w:p>
        </w:tc>
        <w:tc>
          <w:tcPr>
            <w:tcW w:w="1440" w:type="dxa"/>
          </w:tcPr>
          <w:p w14:paraId="555A84ED" w14:textId="77777777" w:rsidR="001825E2" w:rsidRDefault="000839A5" w:rsidP="00CB00A7">
            <w:pPr>
              <w:pStyle w:val="TableParagraph"/>
              <w:spacing w:before="1" w:line="249" w:lineRule="exact"/>
              <w:ind w:left="46" w:right="32"/>
              <w:jc w:val="left"/>
              <w:rPr>
                <w:b/>
                <w:sz w:val="24"/>
              </w:rPr>
            </w:pPr>
            <w:r>
              <w:rPr>
                <w:b/>
                <w:spacing w:val="-2"/>
                <w:sz w:val="24"/>
              </w:rPr>
              <w:t>N=429</w:t>
            </w:r>
          </w:p>
        </w:tc>
      </w:tr>
      <w:tr w:rsidR="001825E2" w14:paraId="23B6853D" w14:textId="77777777">
        <w:trPr>
          <w:trHeight w:val="270"/>
        </w:trPr>
        <w:tc>
          <w:tcPr>
            <w:tcW w:w="2985" w:type="dxa"/>
          </w:tcPr>
          <w:p w14:paraId="00D08AED" w14:textId="77777777" w:rsidR="001825E2" w:rsidRDefault="000839A5" w:rsidP="00CB00A7">
            <w:pPr>
              <w:pStyle w:val="TableParagraph"/>
              <w:spacing w:before="1" w:line="249" w:lineRule="exact"/>
              <w:jc w:val="left"/>
              <w:rPr>
                <w:sz w:val="16"/>
              </w:rPr>
            </w:pPr>
            <w:r>
              <w:rPr>
                <w:spacing w:val="-2"/>
                <w:sz w:val="24"/>
              </w:rPr>
              <w:t>Remission</w:t>
            </w:r>
            <w:r>
              <w:rPr>
                <w:spacing w:val="-2"/>
                <w:position w:val="7"/>
                <w:sz w:val="16"/>
              </w:rPr>
              <w:t>a</w:t>
            </w:r>
          </w:p>
        </w:tc>
        <w:tc>
          <w:tcPr>
            <w:tcW w:w="1530" w:type="dxa"/>
          </w:tcPr>
          <w:p w14:paraId="5B6E6603" w14:textId="77777777" w:rsidR="001825E2" w:rsidRDefault="000839A5" w:rsidP="00CB00A7">
            <w:pPr>
              <w:pStyle w:val="TableParagraph"/>
              <w:spacing w:before="1" w:line="249" w:lineRule="exact"/>
              <w:ind w:left="19"/>
              <w:jc w:val="left"/>
              <w:rPr>
                <w:sz w:val="24"/>
              </w:rPr>
            </w:pPr>
            <w:r>
              <w:rPr>
                <w:spacing w:val="-4"/>
                <w:sz w:val="24"/>
              </w:rPr>
              <w:t>3.6%</w:t>
            </w:r>
          </w:p>
        </w:tc>
        <w:tc>
          <w:tcPr>
            <w:tcW w:w="1620" w:type="dxa"/>
          </w:tcPr>
          <w:p w14:paraId="354C589C" w14:textId="77777777" w:rsidR="001825E2" w:rsidRDefault="000839A5" w:rsidP="00CB00A7">
            <w:pPr>
              <w:pStyle w:val="TableParagraph"/>
              <w:spacing w:before="1" w:line="249" w:lineRule="exact"/>
              <w:ind w:left="7"/>
              <w:jc w:val="left"/>
              <w:rPr>
                <w:sz w:val="16"/>
              </w:rPr>
            </w:pPr>
            <w:r>
              <w:rPr>
                <w:spacing w:val="-2"/>
                <w:sz w:val="24"/>
              </w:rPr>
              <w:t>16.6%</w:t>
            </w:r>
            <w:r>
              <w:rPr>
                <w:spacing w:val="-2"/>
                <w:position w:val="7"/>
                <w:sz w:val="16"/>
              </w:rPr>
              <w:t>†</w:t>
            </w:r>
          </w:p>
        </w:tc>
        <w:tc>
          <w:tcPr>
            <w:tcW w:w="1620" w:type="dxa"/>
          </w:tcPr>
          <w:p w14:paraId="4CF01D9B" w14:textId="77777777" w:rsidR="001825E2" w:rsidRDefault="000839A5" w:rsidP="00CB00A7">
            <w:pPr>
              <w:pStyle w:val="TableParagraph"/>
              <w:spacing w:before="1" w:line="249" w:lineRule="exact"/>
              <w:ind w:left="19"/>
              <w:jc w:val="left"/>
              <w:rPr>
                <w:sz w:val="24"/>
              </w:rPr>
            </w:pPr>
            <w:r>
              <w:rPr>
                <w:spacing w:val="-4"/>
                <w:sz w:val="24"/>
              </w:rPr>
              <w:t>5.4%</w:t>
            </w:r>
          </w:p>
        </w:tc>
        <w:tc>
          <w:tcPr>
            <w:tcW w:w="1440" w:type="dxa"/>
          </w:tcPr>
          <w:p w14:paraId="32ACA158" w14:textId="77777777" w:rsidR="001825E2" w:rsidRDefault="000839A5" w:rsidP="00CB00A7">
            <w:pPr>
              <w:pStyle w:val="TableParagraph"/>
              <w:spacing w:before="1" w:line="249" w:lineRule="exact"/>
              <w:ind w:left="46" w:right="39"/>
              <w:jc w:val="left"/>
              <w:rPr>
                <w:sz w:val="16"/>
              </w:rPr>
            </w:pPr>
            <w:r>
              <w:rPr>
                <w:spacing w:val="-2"/>
                <w:sz w:val="24"/>
              </w:rPr>
              <w:t>20.7%</w:t>
            </w:r>
            <w:r>
              <w:rPr>
                <w:spacing w:val="-2"/>
                <w:position w:val="7"/>
                <w:sz w:val="16"/>
              </w:rPr>
              <w:t>†</w:t>
            </w:r>
          </w:p>
        </w:tc>
      </w:tr>
      <w:tr w:rsidR="001825E2" w14:paraId="5B059F37" w14:textId="77777777">
        <w:trPr>
          <w:trHeight w:val="555"/>
        </w:trPr>
        <w:tc>
          <w:tcPr>
            <w:tcW w:w="2985" w:type="dxa"/>
          </w:tcPr>
          <w:p w14:paraId="2C222797" w14:textId="77777777" w:rsidR="001825E2" w:rsidRDefault="000839A5" w:rsidP="00CB00A7">
            <w:pPr>
              <w:pStyle w:val="TableParagraph"/>
              <w:spacing w:line="270" w:lineRule="exact"/>
              <w:jc w:val="left"/>
              <w:rPr>
                <w:sz w:val="16"/>
              </w:rPr>
            </w:pPr>
            <w:r>
              <w:rPr>
                <w:sz w:val="24"/>
              </w:rPr>
              <w:t>Improvement</w:t>
            </w:r>
            <w:r>
              <w:rPr>
                <w:spacing w:val="22"/>
                <w:sz w:val="24"/>
              </w:rPr>
              <w:t xml:space="preserve"> </w:t>
            </w:r>
            <w:r>
              <w:rPr>
                <w:sz w:val="24"/>
              </w:rPr>
              <w:t>of</w:t>
            </w:r>
            <w:r>
              <w:rPr>
                <w:spacing w:val="23"/>
                <w:sz w:val="24"/>
              </w:rPr>
              <w:t xml:space="preserve"> </w:t>
            </w:r>
            <w:r>
              <w:rPr>
                <w:sz w:val="24"/>
              </w:rPr>
              <w:t>endoscopic appearance of the mucosa</w:t>
            </w:r>
            <w:r>
              <w:rPr>
                <w:position w:val="7"/>
                <w:sz w:val="16"/>
              </w:rPr>
              <w:t>b</w:t>
            </w:r>
          </w:p>
        </w:tc>
        <w:tc>
          <w:tcPr>
            <w:tcW w:w="1530" w:type="dxa"/>
          </w:tcPr>
          <w:p w14:paraId="355588B3" w14:textId="77777777" w:rsidR="001825E2" w:rsidRDefault="000839A5" w:rsidP="00CB00A7">
            <w:pPr>
              <w:pStyle w:val="TableParagraph"/>
              <w:spacing w:before="1"/>
              <w:ind w:left="19"/>
              <w:jc w:val="left"/>
              <w:rPr>
                <w:sz w:val="24"/>
              </w:rPr>
            </w:pPr>
            <w:r>
              <w:rPr>
                <w:spacing w:val="-2"/>
                <w:sz w:val="24"/>
              </w:rPr>
              <w:t>11.6%</w:t>
            </w:r>
          </w:p>
        </w:tc>
        <w:tc>
          <w:tcPr>
            <w:tcW w:w="1620" w:type="dxa"/>
          </w:tcPr>
          <w:p w14:paraId="2D6A0163" w14:textId="77777777" w:rsidR="001825E2" w:rsidRDefault="000839A5" w:rsidP="00CB00A7">
            <w:pPr>
              <w:pStyle w:val="TableParagraph"/>
              <w:spacing w:before="1"/>
              <w:ind w:left="7"/>
              <w:jc w:val="left"/>
              <w:rPr>
                <w:sz w:val="16"/>
              </w:rPr>
            </w:pPr>
            <w:r>
              <w:rPr>
                <w:spacing w:val="-2"/>
                <w:sz w:val="24"/>
              </w:rPr>
              <w:t>28.4%</w:t>
            </w:r>
            <w:r>
              <w:rPr>
                <w:spacing w:val="-2"/>
                <w:position w:val="7"/>
                <w:sz w:val="16"/>
              </w:rPr>
              <w:t>†</w:t>
            </w:r>
          </w:p>
        </w:tc>
        <w:tc>
          <w:tcPr>
            <w:tcW w:w="1620" w:type="dxa"/>
          </w:tcPr>
          <w:p w14:paraId="56C3FBF2" w14:textId="77777777" w:rsidR="001825E2" w:rsidRDefault="000839A5" w:rsidP="00CB00A7">
            <w:pPr>
              <w:pStyle w:val="TableParagraph"/>
              <w:spacing w:before="1"/>
              <w:ind w:left="19"/>
              <w:jc w:val="left"/>
              <w:rPr>
                <w:sz w:val="24"/>
              </w:rPr>
            </w:pPr>
            <w:r>
              <w:rPr>
                <w:spacing w:val="-2"/>
                <w:sz w:val="24"/>
              </w:rPr>
              <w:t>15.2%</w:t>
            </w:r>
          </w:p>
        </w:tc>
        <w:tc>
          <w:tcPr>
            <w:tcW w:w="1440" w:type="dxa"/>
          </w:tcPr>
          <w:p w14:paraId="37A5499B" w14:textId="77777777" w:rsidR="001825E2" w:rsidRDefault="000839A5" w:rsidP="00CB00A7">
            <w:pPr>
              <w:pStyle w:val="TableParagraph"/>
              <w:spacing w:before="1"/>
              <w:ind w:left="46" w:right="31"/>
              <w:jc w:val="left"/>
              <w:rPr>
                <w:sz w:val="24"/>
              </w:rPr>
            </w:pPr>
            <w:r>
              <w:rPr>
                <w:spacing w:val="-2"/>
                <w:sz w:val="24"/>
              </w:rPr>
              <w:t>36.4%*</w:t>
            </w:r>
          </w:p>
        </w:tc>
      </w:tr>
      <w:tr w:rsidR="001825E2" w14:paraId="248DA5E7" w14:textId="77777777">
        <w:trPr>
          <w:trHeight w:val="824"/>
        </w:trPr>
        <w:tc>
          <w:tcPr>
            <w:tcW w:w="2985" w:type="dxa"/>
          </w:tcPr>
          <w:p w14:paraId="01B9EE01" w14:textId="77777777" w:rsidR="001825E2" w:rsidRDefault="000839A5" w:rsidP="00CB00A7">
            <w:pPr>
              <w:pStyle w:val="TableParagraph"/>
              <w:spacing w:line="270" w:lineRule="exact"/>
              <w:ind w:right="165"/>
              <w:jc w:val="left"/>
              <w:rPr>
                <w:sz w:val="16"/>
              </w:rPr>
            </w:pPr>
            <w:proofErr w:type="spellStart"/>
            <w:r>
              <w:rPr>
                <w:sz w:val="24"/>
              </w:rPr>
              <w:t>Normalisation</w:t>
            </w:r>
            <w:proofErr w:type="spellEnd"/>
            <w:r>
              <w:rPr>
                <w:sz w:val="24"/>
              </w:rPr>
              <w:t xml:space="preserve"> of endoscopic</w:t>
            </w:r>
            <w:r>
              <w:rPr>
                <w:spacing w:val="-15"/>
                <w:sz w:val="24"/>
              </w:rPr>
              <w:t xml:space="preserve"> </w:t>
            </w:r>
            <w:r>
              <w:rPr>
                <w:sz w:val="24"/>
              </w:rPr>
              <w:t>appearance</w:t>
            </w:r>
            <w:r>
              <w:rPr>
                <w:spacing w:val="-13"/>
                <w:sz w:val="24"/>
              </w:rPr>
              <w:t xml:space="preserve"> </w:t>
            </w:r>
            <w:r>
              <w:rPr>
                <w:sz w:val="24"/>
              </w:rPr>
              <w:t>of the mucosa</w:t>
            </w:r>
            <w:r>
              <w:rPr>
                <w:position w:val="7"/>
                <w:sz w:val="16"/>
              </w:rPr>
              <w:t>c</w:t>
            </w:r>
          </w:p>
        </w:tc>
        <w:tc>
          <w:tcPr>
            <w:tcW w:w="1530" w:type="dxa"/>
          </w:tcPr>
          <w:p w14:paraId="54EC5ADA" w14:textId="77777777" w:rsidR="001825E2" w:rsidRDefault="000839A5" w:rsidP="00CB00A7">
            <w:pPr>
              <w:pStyle w:val="TableParagraph"/>
              <w:spacing w:before="1"/>
              <w:ind w:left="19"/>
              <w:jc w:val="left"/>
              <w:rPr>
                <w:sz w:val="24"/>
              </w:rPr>
            </w:pPr>
            <w:r>
              <w:rPr>
                <w:spacing w:val="-4"/>
                <w:sz w:val="24"/>
              </w:rPr>
              <w:t>1.8%</w:t>
            </w:r>
          </w:p>
        </w:tc>
        <w:tc>
          <w:tcPr>
            <w:tcW w:w="1620" w:type="dxa"/>
          </w:tcPr>
          <w:p w14:paraId="0A6649C6" w14:textId="77777777" w:rsidR="001825E2" w:rsidRDefault="000839A5" w:rsidP="00CB00A7">
            <w:pPr>
              <w:pStyle w:val="TableParagraph"/>
              <w:spacing w:before="1"/>
              <w:ind w:left="7"/>
              <w:jc w:val="left"/>
              <w:rPr>
                <w:sz w:val="16"/>
              </w:rPr>
            </w:pPr>
            <w:r>
              <w:rPr>
                <w:spacing w:val="-2"/>
                <w:sz w:val="24"/>
              </w:rPr>
              <w:t>7.0%</w:t>
            </w:r>
            <w:r>
              <w:rPr>
                <w:spacing w:val="-2"/>
                <w:position w:val="7"/>
                <w:sz w:val="16"/>
              </w:rPr>
              <w:t>‡</w:t>
            </w:r>
          </w:p>
        </w:tc>
        <w:tc>
          <w:tcPr>
            <w:tcW w:w="1620" w:type="dxa"/>
          </w:tcPr>
          <w:p w14:paraId="1128DC9E" w14:textId="77777777" w:rsidR="001825E2" w:rsidRDefault="000839A5" w:rsidP="00CB00A7">
            <w:pPr>
              <w:pStyle w:val="TableParagraph"/>
              <w:spacing w:before="1"/>
              <w:ind w:left="19"/>
              <w:jc w:val="left"/>
              <w:rPr>
                <w:sz w:val="24"/>
              </w:rPr>
            </w:pPr>
            <w:r>
              <w:rPr>
                <w:spacing w:val="-4"/>
                <w:sz w:val="24"/>
              </w:rPr>
              <w:t>0.0%</w:t>
            </w:r>
          </w:p>
        </w:tc>
        <w:tc>
          <w:tcPr>
            <w:tcW w:w="1440" w:type="dxa"/>
          </w:tcPr>
          <w:p w14:paraId="67A448E7" w14:textId="77777777" w:rsidR="001825E2" w:rsidRDefault="000839A5" w:rsidP="00CB00A7">
            <w:pPr>
              <w:pStyle w:val="TableParagraph"/>
              <w:spacing w:before="1"/>
              <w:ind w:left="46" w:right="39"/>
              <w:jc w:val="left"/>
              <w:rPr>
                <w:sz w:val="16"/>
              </w:rPr>
            </w:pPr>
            <w:r>
              <w:rPr>
                <w:spacing w:val="-2"/>
                <w:sz w:val="24"/>
              </w:rPr>
              <w:t>9.1%</w:t>
            </w:r>
            <w:r>
              <w:rPr>
                <w:spacing w:val="-2"/>
                <w:position w:val="7"/>
                <w:sz w:val="16"/>
              </w:rPr>
              <w:t>‡</w:t>
            </w:r>
          </w:p>
        </w:tc>
      </w:tr>
      <w:tr w:rsidR="001825E2" w14:paraId="53E4CEDB" w14:textId="77777777">
        <w:trPr>
          <w:trHeight w:val="270"/>
        </w:trPr>
        <w:tc>
          <w:tcPr>
            <w:tcW w:w="2985" w:type="dxa"/>
          </w:tcPr>
          <w:p w14:paraId="69225C8B" w14:textId="77777777" w:rsidR="001825E2" w:rsidRDefault="000839A5" w:rsidP="00CB00A7">
            <w:pPr>
              <w:pStyle w:val="TableParagraph"/>
              <w:spacing w:line="250" w:lineRule="exact"/>
              <w:jc w:val="left"/>
              <w:rPr>
                <w:sz w:val="16"/>
              </w:rPr>
            </w:pPr>
            <w:r>
              <w:rPr>
                <w:sz w:val="24"/>
              </w:rPr>
              <w:t>Clinical</w:t>
            </w:r>
            <w:r>
              <w:rPr>
                <w:spacing w:val="2"/>
                <w:sz w:val="24"/>
              </w:rPr>
              <w:t xml:space="preserve"> </w:t>
            </w:r>
            <w:r>
              <w:rPr>
                <w:spacing w:val="-2"/>
                <w:sz w:val="24"/>
              </w:rPr>
              <w:t>response</w:t>
            </w:r>
            <w:r>
              <w:rPr>
                <w:spacing w:val="-2"/>
                <w:position w:val="7"/>
                <w:sz w:val="16"/>
              </w:rPr>
              <w:t>d</w:t>
            </w:r>
          </w:p>
        </w:tc>
        <w:tc>
          <w:tcPr>
            <w:tcW w:w="1530" w:type="dxa"/>
          </w:tcPr>
          <w:p w14:paraId="6645213A" w14:textId="77777777" w:rsidR="001825E2" w:rsidRDefault="000839A5" w:rsidP="00CB00A7">
            <w:pPr>
              <w:pStyle w:val="TableParagraph"/>
              <w:spacing w:line="250" w:lineRule="exact"/>
              <w:ind w:left="19"/>
              <w:jc w:val="left"/>
              <w:rPr>
                <w:sz w:val="24"/>
              </w:rPr>
            </w:pPr>
            <w:r>
              <w:rPr>
                <w:spacing w:val="-2"/>
                <w:sz w:val="24"/>
              </w:rPr>
              <w:t>28.6%</w:t>
            </w:r>
          </w:p>
        </w:tc>
        <w:tc>
          <w:tcPr>
            <w:tcW w:w="1620" w:type="dxa"/>
          </w:tcPr>
          <w:p w14:paraId="05189B05" w14:textId="77777777" w:rsidR="001825E2" w:rsidRDefault="000839A5" w:rsidP="00CB00A7">
            <w:pPr>
              <w:pStyle w:val="TableParagraph"/>
              <w:spacing w:line="250" w:lineRule="exact"/>
              <w:ind w:left="15"/>
              <w:jc w:val="left"/>
              <w:rPr>
                <w:sz w:val="24"/>
              </w:rPr>
            </w:pPr>
            <w:r>
              <w:rPr>
                <w:spacing w:val="-2"/>
                <w:sz w:val="24"/>
              </w:rPr>
              <w:t>55.0%*</w:t>
            </w:r>
          </w:p>
        </w:tc>
        <w:tc>
          <w:tcPr>
            <w:tcW w:w="1620" w:type="dxa"/>
          </w:tcPr>
          <w:p w14:paraId="1BFFC657" w14:textId="77777777" w:rsidR="001825E2" w:rsidRDefault="000839A5" w:rsidP="00CB00A7">
            <w:pPr>
              <w:pStyle w:val="TableParagraph"/>
              <w:spacing w:line="250" w:lineRule="exact"/>
              <w:ind w:left="19"/>
              <w:jc w:val="left"/>
              <w:rPr>
                <w:sz w:val="24"/>
              </w:rPr>
            </w:pPr>
            <w:r>
              <w:rPr>
                <w:spacing w:val="-2"/>
                <w:sz w:val="24"/>
              </w:rPr>
              <w:t>29.5%</w:t>
            </w:r>
          </w:p>
        </w:tc>
        <w:tc>
          <w:tcPr>
            <w:tcW w:w="1440" w:type="dxa"/>
          </w:tcPr>
          <w:p w14:paraId="3E68C1EF" w14:textId="77777777" w:rsidR="001825E2" w:rsidRDefault="000839A5" w:rsidP="00CB00A7">
            <w:pPr>
              <w:pStyle w:val="TableParagraph"/>
              <w:spacing w:line="250" w:lineRule="exact"/>
              <w:ind w:left="46" w:right="31"/>
              <w:jc w:val="left"/>
              <w:rPr>
                <w:sz w:val="24"/>
              </w:rPr>
            </w:pPr>
            <w:r>
              <w:rPr>
                <w:spacing w:val="-2"/>
                <w:sz w:val="24"/>
              </w:rPr>
              <w:t>58.0%*</w:t>
            </w:r>
          </w:p>
        </w:tc>
      </w:tr>
    </w:tbl>
    <w:p w14:paraId="0BE08A05" w14:textId="77777777" w:rsidR="001825E2" w:rsidRDefault="000839A5" w:rsidP="00CB00A7">
      <w:pPr>
        <w:ind w:left="220"/>
        <w:rPr>
          <w:sz w:val="19"/>
        </w:rPr>
      </w:pPr>
      <w:r>
        <w:rPr>
          <w:sz w:val="19"/>
        </w:rPr>
        <w:t>*</w:t>
      </w:r>
      <w:r>
        <w:rPr>
          <w:spacing w:val="26"/>
          <w:sz w:val="19"/>
        </w:rPr>
        <w:t xml:space="preserve"> </w:t>
      </w:r>
      <w:r>
        <w:rPr>
          <w:sz w:val="19"/>
        </w:rPr>
        <w:t>p&lt;0.0001;</w:t>
      </w:r>
      <w:r>
        <w:rPr>
          <w:spacing w:val="3"/>
          <w:sz w:val="19"/>
        </w:rPr>
        <w:t xml:space="preserve"> </w:t>
      </w:r>
      <w:r>
        <w:rPr>
          <w:sz w:val="19"/>
        </w:rPr>
        <w:t>†</w:t>
      </w:r>
      <w:r>
        <w:rPr>
          <w:spacing w:val="26"/>
          <w:sz w:val="19"/>
        </w:rPr>
        <w:t xml:space="preserve"> </w:t>
      </w:r>
      <w:r>
        <w:rPr>
          <w:sz w:val="19"/>
        </w:rPr>
        <w:t>p&lt;0.001;</w:t>
      </w:r>
      <w:r>
        <w:rPr>
          <w:spacing w:val="3"/>
          <w:sz w:val="19"/>
        </w:rPr>
        <w:t xml:space="preserve"> </w:t>
      </w:r>
      <w:r>
        <w:rPr>
          <w:sz w:val="19"/>
        </w:rPr>
        <w:t>‡</w:t>
      </w:r>
      <w:r>
        <w:rPr>
          <w:spacing w:val="26"/>
          <w:sz w:val="19"/>
        </w:rPr>
        <w:t xml:space="preserve"> </w:t>
      </w:r>
      <w:r>
        <w:rPr>
          <w:spacing w:val="-2"/>
          <w:sz w:val="19"/>
        </w:rPr>
        <w:t>p&lt;0.05.</w:t>
      </w:r>
    </w:p>
    <w:p w14:paraId="401B88DB" w14:textId="77777777" w:rsidR="001825E2" w:rsidRDefault="000839A5" w:rsidP="00CB00A7">
      <w:pPr>
        <w:spacing w:before="14"/>
        <w:ind w:left="220"/>
        <w:rPr>
          <w:sz w:val="19"/>
        </w:rPr>
      </w:pPr>
      <w:r>
        <w:rPr>
          <w:sz w:val="19"/>
        </w:rPr>
        <w:t>N=number</w:t>
      </w:r>
      <w:r>
        <w:rPr>
          <w:spacing w:val="15"/>
          <w:sz w:val="19"/>
        </w:rPr>
        <w:t xml:space="preserve"> </w:t>
      </w:r>
      <w:r>
        <w:rPr>
          <w:sz w:val="19"/>
        </w:rPr>
        <w:t>of</w:t>
      </w:r>
      <w:r>
        <w:rPr>
          <w:spacing w:val="40"/>
          <w:sz w:val="19"/>
        </w:rPr>
        <w:t xml:space="preserve"> </w:t>
      </w:r>
      <w:r>
        <w:rPr>
          <w:sz w:val="19"/>
        </w:rPr>
        <w:t>patients</w:t>
      </w:r>
      <w:r>
        <w:rPr>
          <w:spacing w:val="-2"/>
          <w:sz w:val="19"/>
        </w:rPr>
        <w:t xml:space="preserve"> </w:t>
      </w:r>
      <w:r>
        <w:rPr>
          <w:sz w:val="19"/>
        </w:rPr>
        <w:t>in</w:t>
      </w:r>
      <w:r>
        <w:rPr>
          <w:spacing w:val="36"/>
          <w:sz w:val="19"/>
        </w:rPr>
        <w:t xml:space="preserve"> </w:t>
      </w:r>
      <w:r>
        <w:rPr>
          <w:sz w:val="19"/>
        </w:rPr>
        <w:t>the</w:t>
      </w:r>
      <w:r>
        <w:rPr>
          <w:spacing w:val="29"/>
          <w:sz w:val="19"/>
        </w:rPr>
        <w:t xml:space="preserve"> </w:t>
      </w:r>
      <w:r>
        <w:rPr>
          <w:sz w:val="19"/>
        </w:rPr>
        <w:t>analysis</w:t>
      </w:r>
      <w:r>
        <w:rPr>
          <w:spacing w:val="-2"/>
          <w:sz w:val="19"/>
        </w:rPr>
        <w:t xml:space="preserve"> </w:t>
      </w:r>
      <w:r>
        <w:rPr>
          <w:spacing w:val="-4"/>
          <w:sz w:val="19"/>
        </w:rPr>
        <w:t>set.</w:t>
      </w:r>
    </w:p>
    <w:p w14:paraId="7B5E0562" w14:textId="77777777" w:rsidR="001825E2" w:rsidRDefault="000839A5" w:rsidP="00CB00A7">
      <w:pPr>
        <w:spacing w:before="2"/>
        <w:ind w:left="220"/>
        <w:rPr>
          <w:sz w:val="19"/>
        </w:rPr>
      </w:pPr>
      <w:r>
        <w:rPr>
          <w:position w:val="6"/>
          <w:sz w:val="13"/>
        </w:rPr>
        <w:t>a.</w:t>
      </w:r>
      <w:r>
        <w:rPr>
          <w:spacing w:val="22"/>
          <w:position w:val="6"/>
          <w:sz w:val="13"/>
        </w:rPr>
        <w:t xml:space="preserve"> </w:t>
      </w:r>
      <w:r>
        <w:rPr>
          <w:sz w:val="19"/>
        </w:rPr>
        <w:t>Primary</w:t>
      </w:r>
      <w:r>
        <w:rPr>
          <w:spacing w:val="25"/>
          <w:sz w:val="19"/>
        </w:rPr>
        <w:t xml:space="preserve"> </w:t>
      </w:r>
      <w:r>
        <w:rPr>
          <w:sz w:val="19"/>
        </w:rPr>
        <w:t>endpoint:</w:t>
      </w:r>
      <w:r>
        <w:rPr>
          <w:spacing w:val="21"/>
          <w:sz w:val="19"/>
        </w:rPr>
        <w:t xml:space="preserve"> </w:t>
      </w:r>
      <w:r>
        <w:rPr>
          <w:sz w:val="19"/>
        </w:rPr>
        <w:t>Remission</w:t>
      </w:r>
      <w:r>
        <w:rPr>
          <w:spacing w:val="24"/>
          <w:sz w:val="19"/>
        </w:rPr>
        <w:t xml:space="preserve"> </w:t>
      </w:r>
      <w:r>
        <w:rPr>
          <w:sz w:val="19"/>
        </w:rPr>
        <w:t>was</w:t>
      </w:r>
      <w:r>
        <w:rPr>
          <w:spacing w:val="12"/>
          <w:sz w:val="19"/>
        </w:rPr>
        <w:t xml:space="preserve"> </w:t>
      </w:r>
      <w:r>
        <w:rPr>
          <w:sz w:val="19"/>
        </w:rPr>
        <w:t>defined</w:t>
      </w:r>
      <w:r>
        <w:rPr>
          <w:spacing w:val="25"/>
          <w:sz w:val="19"/>
        </w:rPr>
        <w:t xml:space="preserve"> </w:t>
      </w:r>
      <w:r>
        <w:rPr>
          <w:sz w:val="19"/>
        </w:rPr>
        <w:t>as</w:t>
      </w:r>
      <w:r>
        <w:rPr>
          <w:spacing w:val="12"/>
          <w:sz w:val="19"/>
        </w:rPr>
        <w:t xml:space="preserve"> </w:t>
      </w:r>
      <w:r>
        <w:rPr>
          <w:sz w:val="19"/>
        </w:rPr>
        <w:t>clinical</w:t>
      </w:r>
      <w:r>
        <w:rPr>
          <w:spacing w:val="21"/>
          <w:sz w:val="19"/>
        </w:rPr>
        <w:t xml:space="preserve"> </w:t>
      </w:r>
      <w:r>
        <w:rPr>
          <w:sz w:val="19"/>
        </w:rPr>
        <w:t>remission</w:t>
      </w:r>
      <w:r>
        <w:rPr>
          <w:spacing w:val="24"/>
          <w:sz w:val="19"/>
        </w:rPr>
        <w:t xml:space="preserve"> </w:t>
      </w:r>
      <w:r>
        <w:rPr>
          <w:sz w:val="19"/>
        </w:rPr>
        <w:t>(a</w:t>
      </w:r>
      <w:r>
        <w:rPr>
          <w:spacing w:val="38"/>
          <w:sz w:val="19"/>
        </w:rPr>
        <w:t xml:space="preserve"> </w:t>
      </w:r>
      <w:r>
        <w:rPr>
          <w:sz w:val="19"/>
        </w:rPr>
        <w:t>Mayo</w:t>
      </w:r>
      <w:r>
        <w:rPr>
          <w:spacing w:val="25"/>
          <w:sz w:val="19"/>
        </w:rPr>
        <w:t xml:space="preserve"> </w:t>
      </w:r>
      <w:r>
        <w:rPr>
          <w:sz w:val="19"/>
        </w:rPr>
        <w:t>score</w:t>
      </w:r>
      <w:r>
        <w:rPr>
          <w:spacing w:val="17"/>
          <w:sz w:val="19"/>
        </w:rPr>
        <w:t xml:space="preserve"> </w:t>
      </w:r>
      <w:r>
        <w:rPr>
          <w:sz w:val="19"/>
        </w:rPr>
        <w:t>≤</w:t>
      </w:r>
      <w:r>
        <w:rPr>
          <w:spacing w:val="11"/>
          <w:sz w:val="19"/>
        </w:rPr>
        <w:t xml:space="preserve"> </w:t>
      </w:r>
      <w:r>
        <w:rPr>
          <w:sz w:val="19"/>
        </w:rPr>
        <w:t>2</w:t>
      </w:r>
      <w:r>
        <w:rPr>
          <w:spacing w:val="44"/>
          <w:sz w:val="19"/>
        </w:rPr>
        <w:t xml:space="preserve"> </w:t>
      </w:r>
      <w:r>
        <w:rPr>
          <w:sz w:val="19"/>
        </w:rPr>
        <w:t>with</w:t>
      </w:r>
      <w:r>
        <w:rPr>
          <w:spacing w:val="25"/>
          <w:sz w:val="19"/>
        </w:rPr>
        <w:t xml:space="preserve"> </w:t>
      </w:r>
      <w:r>
        <w:rPr>
          <w:sz w:val="19"/>
        </w:rPr>
        <w:t>no</w:t>
      </w:r>
      <w:r>
        <w:rPr>
          <w:spacing w:val="24"/>
          <w:sz w:val="19"/>
        </w:rPr>
        <w:t xml:space="preserve"> </w:t>
      </w:r>
      <w:r>
        <w:rPr>
          <w:sz w:val="19"/>
        </w:rPr>
        <w:t>individual</w:t>
      </w:r>
      <w:r>
        <w:rPr>
          <w:spacing w:val="1"/>
          <w:sz w:val="19"/>
        </w:rPr>
        <w:t xml:space="preserve"> </w:t>
      </w:r>
      <w:proofErr w:type="spellStart"/>
      <w:r>
        <w:rPr>
          <w:spacing w:val="-2"/>
          <w:sz w:val="19"/>
        </w:rPr>
        <w:t>subscore</w:t>
      </w:r>
      <w:proofErr w:type="spellEnd"/>
    </w:p>
    <w:p w14:paraId="610179E9" w14:textId="77777777" w:rsidR="001825E2" w:rsidRDefault="000839A5" w:rsidP="00CB00A7">
      <w:pPr>
        <w:pStyle w:val="ListParagraph"/>
        <w:numPr>
          <w:ilvl w:val="0"/>
          <w:numId w:val="2"/>
        </w:numPr>
        <w:tabs>
          <w:tab w:val="left" w:pos="519"/>
        </w:tabs>
        <w:spacing w:before="7"/>
        <w:ind w:hanging="164"/>
        <w:jc w:val="left"/>
        <w:rPr>
          <w:sz w:val="19"/>
        </w:rPr>
      </w:pPr>
      <w:r>
        <w:rPr>
          <w:sz w:val="19"/>
        </w:rPr>
        <w:t>1)</w:t>
      </w:r>
      <w:r>
        <w:rPr>
          <w:spacing w:val="11"/>
          <w:sz w:val="19"/>
        </w:rPr>
        <w:t xml:space="preserve"> </w:t>
      </w:r>
      <w:r>
        <w:rPr>
          <w:sz w:val="19"/>
        </w:rPr>
        <w:t>and</w:t>
      </w:r>
      <w:r>
        <w:rPr>
          <w:spacing w:val="9"/>
          <w:sz w:val="19"/>
        </w:rPr>
        <w:t xml:space="preserve"> </w:t>
      </w:r>
      <w:r>
        <w:rPr>
          <w:sz w:val="19"/>
        </w:rPr>
        <w:t>rectal</w:t>
      </w:r>
      <w:r>
        <w:rPr>
          <w:spacing w:val="6"/>
          <w:sz w:val="19"/>
        </w:rPr>
        <w:t xml:space="preserve"> </w:t>
      </w:r>
      <w:r>
        <w:rPr>
          <w:sz w:val="19"/>
        </w:rPr>
        <w:t>bleeding</w:t>
      </w:r>
      <w:r>
        <w:rPr>
          <w:spacing w:val="31"/>
          <w:sz w:val="19"/>
        </w:rPr>
        <w:t xml:space="preserve"> </w:t>
      </w:r>
      <w:proofErr w:type="spellStart"/>
      <w:r>
        <w:rPr>
          <w:sz w:val="19"/>
        </w:rPr>
        <w:t>subscore</w:t>
      </w:r>
      <w:proofErr w:type="spellEnd"/>
      <w:r>
        <w:rPr>
          <w:spacing w:val="24"/>
          <w:sz w:val="19"/>
        </w:rPr>
        <w:t xml:space="preserve"> </w:t>
      </w:r>
      <w:r>
        <w:rPr>
          <w:sz w:val="19"/>
        </w:rPr>
        <w:t>of</w:t>
      </w:r>
      <w:r>
        <w:rPr>
          <w:spacing w:val="34"/>
          <w:sz w:val="19"/>
        </w:rPr>
        <w:t xml:space="preserve"> </w:t>
      </w:r>
      <w:r>
        <w:rPr>
          <w:spacing w:val="-5"/>
          <w:sz w:val="19"/>
        </w:rPr>
        <w:t>0.</w:t>
      </w:r>
    </w:p>
    <w:p w14:paraId="10AEBC7C" w14:textId="77777777" w:rsidR="001825E2" w:rsidRDefault="000839A5" w:rsidP="00CB00A7">
      <w:pPr>
        <w:spacing w:before="17" w:line="247" w:lineRule="auto"/>
        <w:ind w:left="355" w:right="775" w:hanging="135"/>
        <w:rPr>
          <w:sz w:val="19"/>
        </w:rPr>
      </w:pPr>
      <w:r>
        <w:rPr>
          <w:position w:val="6"/>
          <w:sz w:val="13"/>
        </w:rPr>
        <w:t>b.</w:t>
      </w:r>
      <w:r>
        <w:rPr>
          <w:spacing w:val="-9"/>
          <w:position w:val="6"/>
          <w:sz w:val="13"/>
        </w:rPr>
        <w:t xml:space="preserve"> </w:t>
      </w:r>
      <w:r>
        <w:rPr>
          <w:sz w:val="19"/>
        </w:rPr>
        <w:t>Key</w:t>
      </w:r>
      <w:r>
        <w:rPr>
          <w:spacing w:val="40"/>
          <w:sz w:val="19"/>
        </w:rPr>
        <w:t xml:space="preserve"> </w:t>
      </w:r>
      <w:r>
        <w:rPr>
          <w:sz w:val="19"/>
        </w:rPr>
        <w:t>secondary</w:t>
      </w:r>
      <w:r>
        <w:rPr>
          <w:spacing w:val="40"/>
          <w:sz w:val="19"/>
        </w:rPr>
        <w:t xml:space="preserve"> </w:t>
      </w:r>
      <w:r>
        <w:rPr>
          <w:sz w:val="19"/>
        </w:rPr>
        <w:t>endpoint:</w:t>
      </w:r>
      <w:r>
        <w:rPr>
          <w:spacing w:val="40"/>
          <w:sz w:val="19"/>
        </w:rPr>
        <w:t xml:space="preserve"> </w:t>
      </w:r>
      <w:r>
        <w:rPr>
          <w:sz w:val="19"/>
        </w:rPr>
        <w:t>Improvement</w:t>
      </w:r>
      <w:r>
        <w:rPr>
          <w:spacing w:val="40"/>
          <w:sz w:val="19"/>
        </w:rPr>
        <w:t xml:space="preserve"> </w:t>
      </w:r>
      <w:r>
        <w:rPr>
          <w:sz w:val="19"/>
        </w:rPr>
        <w:t>of</w:t>
      </w:r>
      <w:r>
        <w:rPr>
          <w:spacing w:val="40"/>
          <w:sz w:val="19"/>
        </w:rPr>
        <w:t xml:space="preserve"> </w:t>
      </w:r>
      <w:r>
        <w:rPr>
          <w:sz w:val="19"/>
        </w:rPr>
        <w:t>endoscopic</w:t>
      </w:r>
      <w:r>
        <w:rPr>
          <w:spacing w:val="40"/>
          <w:sz w:val="19"/>
        </w:rPr>
        <w:t xml:space="preserve"> </w:t>
      </w:r>
      <w:proofErr w:type="spellStart"/>
      <w:r>
        <w:rPr>
          <w:sz w:val="19"/>
        </w:rPr>
        <w:t>appea</w:t>
      </w:r>
      <w:proofErr w:type="spellEnd"/>
      <w:r>
        <w:rPr>
          <w:spacing w:val="-12"/>
          <w:sz w:val="19"/>
        </w:rPr>
        <w:t xml:space="preserve"> </w:t>
      </w:r>
      <w:proofErr w:type="spellStart"/>
      <w:r>
        <w:rPr>
          <w:sz w:val="19"/>
        </w:rPr>
        <w:t>ra</w:t>
      </w:r>
      <w:proofErr w:type="spellEnd"/>
      <w:r>
        <w:rPr>
          <w:spacing w:val="-12"/>
          <w:sz w:val="19"/>
        </w:rPr>
        <w:t xml:space="preserve"> </w:t>
      </w:r>
      <w:proofErr w:type="spellStart"/>
      <w:r>
        <w:rPr>
          <w:sz w:val="19"/>
        </w:rPr>
        <w:t>nce</w:t>
      </w:r>
      <w:proofErr w:type="spellEnd"/>
      <w:r>
        <w:rPr>
          <w:spacing w:val="40"/>
          <w:sz w:val="19"/>
        </w:rPr>
        <w:t xml:space="preserve"> </w:t>
      </w:r>
      <w:r>
        <w:rPr>
          <w:sz w:val="19"/>
        </w:rPr>
        <w:t>of</w:t>
      </w:r>
      <w:r>
        <w:rPr>
          <w:spacing w:val="40"/>
          <w:sz w:val="19"/>
        </w:rPr>
        <w:t xml:space="preserve"> </w:t>
      </w:r>
      <w:r>
        <w:rPr>
          <w:sz w:val="19"/>
        </w:rPr>
        <w:t>the</w:t>
      </w:r>
      <w:r>
        <w:rPr>
          <w:spacing w:val="40"/>
          <w:sz w:val="19"/>
        </w:rPr>
        <w:t xml:space="preserve"> </w:t>
      </w:r>
      <w:r>
        <w:rPr>
          <w:sz w:val="19"/>
        </w:rPr>
        <w:t>mucosa</w:t>
      </w:r>
      <w:r>
        <w:rPr>
          <w:spacing w:val="40"/>
          <w:sz w:val="19"/>
        </w:rPr>
        <w:t xml:space="preserve"> </w:t>
      </w:r>
      <w:r>
        <w:rPr>
          <w:sz w:val="19"/>
        </w:rPr>
        <w:t>was</w:t>
      </w:r>
      <w:r>
        <w:rPr>
          <w:spacing w:val="40"/>
          <w:sz w:val="19"/>
        </w:rPr>
        <w:t xml:space="preserve"> </w:t>
      </w:r>
      <w:r>
        <w:rPr>
          <w:sz w:val="19"/>
        </w:rPr>
        <w:t>defined</w:t>
      </w:r>
      <w:r>
        <w:rPr>
          <w:spacing w:val="40"/>
          <w:sz w:val="19"/>
        </w:rPr>
        <w:t xml:space="preserve"> </w:t>
      </w:r>
      <w:r>
        <w:rPr>
          <w:sz w:val="19"/>
        </w:rPr>
        <w:t>as</w:t>
      </w:r>
      <w:r>
        <w:rPr>
          <w:spacing w:val="40"/>
          <w:sz w:val="19"/>
        </w:rPr>
        <w:t xml:space="preserve"> </w:t>
      </w:r>
      <w:r>
        <w:rPr>
          <w:sz w:val="19"/>
        </w:rPr>
        <w:t>Mayo endoscopy</w:t>
      </w:r>
      <w:r>
        <w:rPr>
          <w:spacing w:val="22"/>
          <w:sz w:val="19"/>
        </w:rPr>
        <w:t xml:space="preserve"> </w:t>
      </w:r>
      <w:proofErr w:type="spellStart"/>
      <w:r>
        <w:rPr>
          <w:sz w:val="19"/>
        </w:rPr>
        <w:t>subscore</w:t>
      </w:r>
      <w:proofErr w:type="spellEnd"/>
      <w:r>
        <w:rPr>
          <w:spacing w:val="14"/>
          <w:sz w:val="19"/>
        </w:rPr>
        <w:t xml:space="preserve"> </w:t>
      </w:r>
      <w:r>
        <w:rPr>
          <w:sz w:val="19"/>
        </w:rPr>
        <w:t>of</w:t>
      </w:r>
      <w:r>
        <w:rPr>
          <w:spacing w:val="40"/>
          <w:sz w:val="19"/>
        </w:rPr>
        <w:t xml:space="preserve"> </w:t>
      </w:r>
      <w:r>
        <w:rPr>
          <w:sz w:val="19"/>
        </w:rPr>
        <w:t>0</w:t>
      </w:r>
      <w:r>
        <w:rPr>
          <w:spacing w:val="40"/>
          <w:sz w:val="19"/>
        </w:rPr>
        <w:t xml:space="preserve"> </w:t>
      </w:r>
      <w:r>
        <w:rPr>
          <w:sz w:val="19"/>
        </w:rPr>
        <w:t>(normal</w:t>
      </w:r>
      <w:r>
        <w:rPr>
          <w:spacing w:val="-9"/>
          <w:sz w:val="19"/>
        </w:rPr>
        <w:t xml:space="preserve"> </w:t>
      </w:r>
      <w:r>
        <w:rPr>
          <w:sz w:val="19"/>
        </w:rPr>
        <w:t>or</w:t>
      </w:r>
      <w:r>
        <w:rPr>
          <w:spacing w:val="40"/>
          <w:sz w:val="19"/>
        </w:rPr>
        <w:t xml:space="preserve"> </w:t>
      </w:r>
      <w:r>
        <w:rPr>
          <w:sz w:val="19"/>
        </w:rPr>
        <w:t>inactive</w:t>
      </w:r>
      <w:r>
        <w:rPr>
          <w:spacing w:val="14"/>
          <w:sz w:val="19"/>
        </w:rPr>
        <w:t xml:space="preserve"> </w:t>
      </w:r>
      <w:r>
        <w:rPr>
          <w:sz w:val="19"/>
        </w:rPr>
        <w:t>disease)</w:t>
      </w:r>
      <w:r>
        <w:rPr>
          <w:spacing w:val="40"/>
          <w:sz w:val="19"/>
        </w:rPr>
        <w:t xml:space="preserve"> </w:t>
      </w:r>
      <w:r>
        <w:rPr>
          <w:sz w:val="19"/>
        </w:rPr>
        <w:t>or</w:t>
      </w:r>
      <w:r>
        <w:rPr>
          <w:spacing w:val="28"/>
          <w:sz w:val="19"/>
        </w:rPr>
        <w:t xml:space="preserve"> </w:t>
      </w:r>
      <w:r>
        <w:rPr>
          <w:sz w:val="19"/>
        </w:rPr>
        <w:t>1</w:t>
      </w:r>
      <w:r>
        <w:rPr>
          <w:spacing w:val="40"/>
          <w:sz w:val="19"/>
        </w:rPr>
        <w:t xml:space="preserve"> </w:t>
      </w:r>
      <w:r>
        <w:rPr>
          <w:sz w:val="19"/>
        </w:rPr>
        <w:t>(erythema, decreased</w:t>
      </w:r>
      <w:r>
        <w:rPr>
          <w:spacing w:val="24"/>
          <w:sz w:val="19"/>
        </w:rPr>
        <w:t xml:space="preserve"> </w:t>
      </w:r>
      <w:r>
        <w:rPr>
          <w:sz w:val="19"/>
        </w:rPr>
        <w:t>vascular</w:t>
      </w:r>
      <w:r>
        <w:rPr>
          <w:spacing w:val="-1"/>
          <w:sz w:val="19"/>
        </w:rPr>
        <w:t xml:space="preserve"> </w:t>
      </w:r>
      <w:r>
        <w:rPr>
          <w:sz w:val="19"/>
        </w:rPr>
        <w:t>pattern).</w:t>
      </w:r>
    </w:p>
    <w:p w14:paraId="1A81968C" w14:textId="77777777" w:rsidR="001825E2" w:rsidRDefault="000839A5" w:rsidP="00CB00A7">
      <w:pPr>
        <w:spacing w:line="218" w:lineRule="exact"/>
        <w:ind w:left="220"/>
        <w:rPr>
          <w:sz w:val="19"/>
        </w:rPr>
      </w:pPr>
      <w:r>
        <w:rPr>
          <w:position w:val="6"/>
          <w:sz w:val="13"/>
        </w:rPr>
        <w:t>c.</w:t>
      </w:r>
      <w:r>
        <w:rPr>
          <w:spacing w:val="34"/>
          <w:position w:val="6"/>
          <w:sz w:val="13"/>
        </w:rPr>
        <w:t xml:space="preserve"> </w:t>
      </w:r>
      <w:r>
        <w:rPr>
          <w:sz w:val="19"/>
        </w:rPr>
        <w:t>Norma</w:t>
      </w:r>
      <w:r>
        <w:rPr>
          <w:spacing w:val="-18"/>
          <w:sz w:val="19"/>
        </w:rPr>
        <w:t xml:space="preserve"> </w:t>
      </w:r>
      <w:proofErr w:type="spellStart"/>
      <w:r>
        <w:rPr>
          <w:sz w:val="19"/>
        </w:rPr>
        <w:t>lisa</w:t>
      </w:r>
      <w:proofErr w:type="spellEnd"/>
      <w:r>
        <w:rPr>
          <w:spacing w:val="-18"/>
          <w:sz w:val="19"/>
        </w:rPr>
        <w:t xml:space="preserve"> </w:t>
      </w:r>
      <w:proofErr w:type="spellStart"/>
      <w:r>
        <w:rPr>
          <w:sz w:val="19"/>
        </w:rPr>
        <w:t>tion</w:t>
      </w:r>
      <w:proofErr w:type="spellEnd"/>
      <w:r>
        <w:rPr>
          <w:spacing w:val="39"/>
          <w:sz w:val="19"/>
        </w:rPr>
        <w:t xml:space="preserve"> </w:t>
      </w:r>
      <w:r>
        <w:rPr>
          <w:sz w:val="19"/>
        </w:rPr>
        <w:t>of</w:t>
      </w:r>
      <w:r>
        <w:rPr>
          <w:spacing w:val="19"/>
          <w:sz w:val="19"/>
        </w:rPr>
        <w:t xml:space="preserve"> </w:t>
      </w:r>
      <w:r>
        <w:rPr>
          <w:sz w:val="19"/>
        </w:rPr>
        <w:t>endoscopic</w:t>
      </w:r>
      <w:r>
        <w:rPr>
          <w:spacing w:val="6"/>
          <w:sz w:val="19"/>
        </w:rPr>
        <w:t xml:space="preserve"> </w:t>
      </w:r>
      <w:r>
        <w:rPr>
          <w:sz w:val="19"/>
        </w:rPr>
        <w:t>appearance</w:t>
      </w:r>
      <w:r>
        <w:rPr>
          <w:spacing w:val="7"/>
          <w:sz w:val="19"/>
        </w:rPr>
        <w:t xml:space="preserve"> </w:t>
      </w:r>
      <w:r>
        <w:rPr>
          <w:sz w:val="19"/>
        </w:rPr>
        <w:t>of</w:t>
      </w:r>
      <w:r>
        <w:rPr>
          <w:spacing w:val="18"/>
          <w:sz w:val="19"/>
        </w:rPr>
        <w:t xml:space="preserve"> </w:t>
      </w:r>
      <w:r>
        <w:rPr>
          <w:sz w:val="19"/>
        </w:rPr>
        <w:t>the</w:t>
      </w:r>
      <w:r>
        <w:rPr>
          <w:spacing w:val="6"/>
          <w:sz w:val="19"/>
        </w:rPr>
        <w:t xml:space="preserve"> </w:t>
      </w:r>
      <w:r>
        <w:rPr>
          <w:sz w:val="19"/>
        </w:rPr>
        <w:t>mucosa</w:t>
      </w:r>
      <w:r>
        <w:rPr>
          <w:spacing w:val="32"/>
          <w:sz w:val="19"/>
        </w:rPr>
        <w:t xml:space="preserve"> </w:t>
      </w:r>
      <w:r>
        <w:rPr>
          <w:sz w:val="19"/>
        </w:rPr>
        <w:t>was defined</w:t>
      </w:r>
      <w:r>
        <w:rPr>
          <w:spacing w:val="15"/>
          <w:sz w:val="19"/>
        </w:rPr>
        <w:t xml:space="preserve"> </w:t>
      </w:r>
      <w:r>
        <w:rPr>
          <w:sz w:val="19"/>
        </w:rPr>
        <w:t>as a</w:t>
      </w:r>
      <w:r>
        <w:rPr>
          <w:spacing w:val="31"/>
          <w:sz w:val="19"/>
        </w:rPr>
        <w:t xml:space="preserve"> </w:t>
      </w:r>
      <w:r>
        <w:rPr>
          <w:sz w:val="19"/>
        </w:rPr>
        <w:t>Mayo</w:t>
      </w:r>
      <w:r>
        <w:rPr>
          <w:spacing w:val="15"/>
          <w:sz w:val="19"/>
        </w:rPr>
        <w:t xml:space="preserve"> </w:t>
      </w:r>
      <w:r>
        <w:rPr>
          <w:sz w:val="19"/>
        </w:rPr>
        <w:t>endoscopic</w:t>
      </w:r>
      <w:r>
        <w:rPr>
          <w:spacing w:val="7"/>
          <w:sz w:val="19"/>
        </w:rPr>
        <w:t xml:space="preserve"> </w:t>
      </w:r>
      <w:proofErr w:type="spellStart"/>
      <w:r>
        <w:rPr>
          <w:sz w:val="19"/>
        </w:rPr>
        <w:t>subscore</w:t>
      </w:r>
      <w:proofErr w:type="spellEnd"/>
      <w:r>
        <w:rPr>
          <w:spacing w:val="31"/>
          <w:sz w:val="19"/>
        </w:rPr>
        <w:t xml:space="preserve"> </w:t>
      </w:r>
      <w:r>
        <w:rPr>
          <w:sz w:val="19"/>
        </w:rPr>
        <w:t>of</w:t>
      </w:r>
      <w:r>
        <w:rPr>
          <w:spacing w:val="18"/>
          <w:sz w:val="19"/>
        </w:rPr>
        <w:t xml:space="preserve"> </w:t>
      </w:r>
      <w:r>
        <w:rPr>
          <w:spacing w:val="-5"/>
          <w:sz w:val="19"/>
        </w:rPr>
        <w:t>0.</w:t>
      </w:r>
    </w:p>
    <w:p w14:paraId="787946DB" w14:textId="77777777" w:rsidR="001825E2" w:rsidRDefault="000839A5" w:rsidP="00CB00A7">
      <w:pPr>
        <w:spacing w:before="18" w:line="247" w:lineRule="auto"/>
        <w:ind w:left="355" w:right="773" w:hanging="135"/>
        <w:rPr>
          <w:sz w:val="19"/>
        </w:rPr>
      </w:pPr>
      <w:r>
        <w:rPr>
          <w:position w:val="6"/>
          <w:sz w:val="13"/>
        </w:rPr>
        <w:t>d.</w:t>
      </w:r>
      <w:r>
        <w:rPr>
          <w:spacing w:val="-7"/>
          <w:position w:val="6"/>
          <w:sz w:val="13"/>
        </w:rPr>
        <w:t xml:space="preserve"> </w:t>
      </w:r>
      <w:r>
        <w:rPr>
          <w:sz w:val="19"/>
        </w:rPr>
        <w:t>Clin</w:t>
      </w:r>
      <w:r>
        <w:rPr>
          <w:spacing w:val="-12"/>
          <w:sz w:val="19"/>
        </w:rPr>
        <w:t xml:space="preserve"> </w:t>
      </w:r>
      <w:proofErr w:type="spellStart"/>
      <w:r>
        <w:rPr>
          <w:sz w:val="19"/>
        </w:rPr>
        <w:t>ical</w:t>
      </w:r>
      <w:proofErr w:type="spellEnd"/>
      <w:r>
        <w:rPr>
          <w:sz w:val="19"/>
        </w:rPr>
        <w:t xml:space="preserve"> response was defined as a decrease from baseline in</w:t>
      </w:r>
      <w:r>
        <w:rPr>
          <w:spacing w:val="40"/>
          <w:sz w:val="19"/>
        </w:rPr>
        <w:t xml:space="preserve"> </w:t>
      </w:r>
      <w:r>
        <w:rPr>
          <w:sz w:val="19"/>
        </w:rPr>
        <w:t>Mayo score of ≥ 3 points and ≥ 30%, with an accompanying</w:t>
      </w:r>
      <w:r>
        <w:rPr>
          <w:spacing w:val="40"/>
          <w:sz w:val="19"/>
        </w:rPr>
        <w:t xml:space="preserve"> </w:t>
      </w:r>
      <w:r>
        <w:rPr>
          <w:sz w:val="19"/>
        </w:rPr>
        <w:t>decrease</w:t>
      </w:r>
      <w:r>
        <w:rPr>
          <w:spacing w:val="40"/>
          <w:sz w:val="19"/>
        </w:rPr>
        <w:t xml:space="preserve"> </w:t>
      </w:r>
      <w:r>
        <w:rPr>
          <w:sz w:val="19"/>
        </w:rPr>
        <w:t>in</w:t>
      </w:r>
      <w:r>
        <w:rPr>
          <w:spacing w:val="40"/>
          <w:sz w:val="19"/>
        </w:rPr>
        <w:t xml:space="preserve"> </w:t>
      </w:r>
      <w:r>
        <w:rPr>
          <w:sz w:val="19"/>
        </w:rPr>
        <w:t>the</w:t>
      </w:r>
      <w:r>
        <w:rPr>
          <w:spacing w:val="40"/>
          <w:sz w:val="19"/>
        </w:rPr>
        <w:t xml:space="preserve"> </w:t>
      </w:r>
      <w:proofErr w:type="spellStart"/>
      <w:r>
        <w:rPr>
          <w:sz w:val="19"/>
        </w:rPr>
        <w:t>subscore</w:t>
      </w:r>
      <w:proofErr w:type="spellEnd"/>
      <w:r>
        <w:rPr>
          <w:spacing w:val="40"/>
          <w:sz w:val="19"/>
        </w:rPr>
        <w:t xml:space="preserve"> </w:t>
      </w:r>
      <w:r>
        <w:rPr>
          <w:sz w:val="19"/>
        </w:rPr>
        <w:t>for</w:t>
      </w:r>
      <w:r>
        <w:rPr>
          <w:spacing w:val="40"/>
          <w:sz w:val="19"/>
        </w:rPr>
        <w:t xml:space="preserve"> </w:t>
      </w:r>
      <w:r>
        <w:rPr>
          <w:sz w:val="19"/>
        </w:rPr>
        <w:t>rectal</w:t>
      </w:r>
      <w:r>
        <w:rPr>
          <w:spacing w:val="40"/>
          <w:sz w:val="19"/>
        </w:rPr>
        <w:t xml:space="preserve"> </w:t>
      </w:r>
      <w:r>
        <w:rPr>
          <w:sz w:val="19"/>
        </w:rPr>
        <w:t>bleeding</w:t>
      </w:r>
      <w:r>
        <w:rPr>
          <w:spacing w:val="40"/>
          <w:sz w:val="19"/>
        </w:rPr>
        <w:t xml:space="preserve"> </w:t>
      </w:r>
      <w:r>
        <w:rPr>
          <w:sz w:val="19"/>
        </w:rPr>
        <w:t>of</w:t>
      </w:r>
      <w:r>
        <w:rPr>
          <w:spacing w:val="40"/>
          <w:sz w:val="19"/>
        </w:rPr>
        <w:t xml:space="preserve"> </w:t>
      </w:r>
      <w:r>
        <w:rPr>
          <w:sz w:val="19"/>
        </w:rPr>
        <w:t>≥ 1</w:t>
      </w:r>
      <w:r>
        <w:rPr>
          <w:spacing w:val="40"/>
          <w:sz w:val="19"/>
        </w:rPr>
        <w:t xml:space="preserve"> </w:t>
      </w:r>
      <w:r>
        <w:rPr>
          <w:sz w:val="19"/>
        </w:rPr>
        <w:t>point</w:t>
      </w:r>
      <w:r>
        <w:rPr>
          <w:spacing w:val="40"/>
          <w:sz w:val="19"/>
        </w:rPr>
        <w:t xml:space="preserve"> </w:t>
      </w:r>
      <w:r>
        <w:rPr>
          <w:sz w:val="19"/>
        </w:rPr>
        <w:t>or</w:t>
      </w:r>
      <w:r>
        <w:rPr>
          <w:spacing w:val="40"/>
          <w:sz w:val="19"/>
        </w:rPr>
        <w:t xml:space="preserve"> </w:t>
      </w:r>
      <w:r>
        <w:rPr>
          <w:sz w:val="19"/>
        </w:rPr>
        <w:t>absolute</w:t>
      </w:r>
      <w:r>
        <w:rPr>
          <w:spacing w:val="40"/>
          <w:sz w:val="19"/>
        </w:rPr>
        <w:t xml:space="preserve"> </w:t>
      </w:r>
      <w:proofErr w:type="spellStart"/>
      <w:r>
        <w:rPr>
          <w:sz w:val="19"/>
        </w:rPr>
        <w:t>subscore</w:t>
      </w:r>
      <w:proofErr w:type="spellEnd"/>
      <w:r>
        <w:rPr>
          <w:spacing w:val="40"/>
          <w:sz w:val="19"/>
        </w:rPr>
        <w:t xml:space="preserve"> </w:t>
      </w:r>
      <w:r>
        <w:rPr>
          <w:sz w:val="19"/>
        </w:rPr>
        <w:t>for</w:t>
      </w:r>
      <w:r>
        <w:rPr>
          <w:spacing w:val="40"/>
          <w:sz w:val="19"/>
        </w:rPr>
        <w:t xml:space="preserve"> </w:t>
      </w:r>
      <w:r>
        <w:rPr>
          <w:sz w:val="19"/>
        </w:rPr>
        <w:t>rectal bleeding of 0 or 1.</w:t>
      </w:r>
    </w:p>
    <w:p w14:paraId="5FA04322" w14:textId="77777777" w:rsidR="001825E2" w:rsidRDefault="000839A5" w:rsidP="00CB00A7">
      <w:pPr>
        <w:pStyle w:val="BodyText"/>
        <w:spacing w:before="253"/>
        <w:ind w:left="219" w:right="747"/>
        <w:jc w:val="left"/>
      </w:pPr>
      <w:r>
        <w:t>In</w:t>
      </w:r>
      <w:r>
        <w:rPr>
          <w:spacing w:val="-1"/>
        </w:rPr>
        <w:t xml:space="preserve"> </w:t>
      </w:r>
      <w:r>
        <w:t>both</w:t>
      </w:r>
      <w:r>
        <w:rPr>
          <w:spacing w:val="-1"/>
        </w:rPr>
        <w:t xml:space="preserve"> </w:t>
      </w:r>
      <w:r>
        <w:t>subgroups</w:t>
      </w:r>
      <w:r>
        <w:rPr>
          <w:spacing w:val="-5"/>
        </w:rPr>
        <w:t xml:space="preserve"> </w:t>
      </w:r>
      <w:r>
        <w:t>of patients</w:t>
      </w:r>
      <w:r>
        <w:rPr>
          <w:spacing w:val="-5"/>
        </w:rPr>
        <w:t xml:space="preserve"> </w:t>
      </w:r>
      <w:r>
        <w:t>with</w:t>
      </w:r>
      <w:r>
        <w:rPr>
          <w:spacing w:val="-1"/>
        </w:rPr>
        <w:t xml:space="preserve"> </w:t>
      </w:r>
      <w:r>
        <w:t>or</w:t>
      </w:r>
      <w:r>
        <w:rPr>
          <w:spacing w:val="-6"/>
        </w:rPr>
        <w:t xml:space="preserve"> </w:t>
      </w:r>
      <w:r>
        <w:t>without prior</w:t>
      </w:r>
      <w:r>
        <w:rPr>
          <w:spacing w:val="-6"/>
        </w:rPr>
        <w:t xml:space="preserve"> </w:t>
      </w:r>
      <w:r>
        <w:t>TNF inhibitor</w:t>
      </w:r>
      <w:r>
        <w:rPr>
          <w:spacing w:val="-6"/>
        </w:rPr>
        <w:t xml:space="preserve"> </w:t>
      </w:r>
      <w:r>
        <w:t>failure, a</w:t>
      </w:r>
      <w:r>
        <w:rPr>
          <w:spacing w:val="-3"/>
        </w:rPr>
        <w:t xml:space="preserve"> </w:t>
      </w:r>
      <w:r>
        <w:t>greater</w:t>
      </w:r>
      <w:r>
        <w:rPr>
          <w:spacing w:val="-6"/>
        </w:rPr>
        <w:t xml:space="preserve"> </w:t>
      </w:r>
      <w:r>
        <w:t>proportion of patients</w:t>
      </w:r>
      <w:r>
        <w:rPr>
          <w:spacing w:val="-10"/>
        </w:rPr>
        <w:t xml:space="preserve"> </w:t>
      </w:r>
      <w:r>
        <w:t>treated</w:t>
      </w:r>
      <w:r>
        <w:rPr>
          <w:spacing w:val="-6"/>
        </w:rPr>
        <w:t xml:space="preserve"> </w:t>
      </w:r>
      <w:r>
        <w:t>with</w:t>
      </w:r>
      <w:r>
        <w:rPr>
          <w:spacing w:val="-6"/>
        </w:rPr>
        <w:t xml:space="preserve"> </w:t>
      </w:r>
      <w:r>
        <w:t>XELJANZ</w:t>
      </w:r>
      <w:r>
        <w:rPr>
          <w:spacing w:val="-3"/>
        </w:rPr>
        <w:t xml:space="preserve"> </w:t>
      </w:r>
      <w:r>
        <w:t>10</w:t>
      </w:r>
      <w:r>
        <w:rPr>
          <w:spacing w:val="-7"/>
        </w:rPr>
        <w:t xml:space="preserve"> </w:t>
      </w:r>
      <w:r>
        <w:t>mg</w:t>
      </w:r>
      <w:r>
        <w:rPr>
          <w:spacing w:val="-6"/>
        </w:rPr>
        <w:t xml:space="preserve"> </w:t>
      </w:r>
      <w:r>
        <w:t>twice</w:t>
      </w:r>
      <w:r>
        <w:rPr>
          <w:spacing w:val="-8"/>
        </w:rPr>
        <w:t xml:space="preserve"> </w:t>
      </w:r>
      <w:r>
        <w:t>daily</w:t>
      </w:r>
      <w:r>
        <w:rPr>
          <w:spacing w:val="-6"/>
        </w:rPr>
        <w:t xml:space="preserve"> </w:t>
      </w:r>
      <w:r>
        <w:t>achieved remission</w:t>
      </w:r>
      <w:r>
        <w:rPr>
          <w:spacing w:val="-6"/>
        </w:rPr>
        <w:t xml:space="preserve"> </w:t>
      </w:r>
      <w:r>
        <w:t>and improvement of endoscopic appearance of the mucosa at Week 8</w:t>
      </w:r>
      <w:r>
        <w:rPr>
          <w:spacing w:val="-3"/>
        </w:rPr>
        <w:t xml:space="preserve"> </w:t>
      </w:r>
      <w:r>
        <w:t>as compared to placebo. This treatment difference</w:t>
      </w:r>
      <w:r>
        <w:rPr>
          <w:spacing w:val="-4"/>
        </w:rPr>
        <w:t xml:space="preserve"> </w:t>
      </w:r>
      <w:r>
        <w:t>was consistent between</w:t>
      </w:r>
      <w:r>
        <w:rPr>
          <w:spacing w:val="-2"/>
        </w:rPr>
        <w:t xml:space="preserve"> </w:t>
      </w:r>
      <w:r>
        <w:t>the 2 subgroups (Table 15).</w:t>
      </w:r>
    </w:p>
    <w:p w14:paraId="223C47B2" w14:textId="77777777" w:rsidR="001825E2" w:rsidRDefault="001825E2" w:rsidP="00CB00A7">
      <w:pPr>
        <w:sectPr w:rsidR="001825E2">
          <w:pgSz w:w="11910" w:h="16850"/>
          <w:pgMar w:top="1360" w:right="700" w:bottom="980" w:left="1220" w:header="0" w:footer="785" w:gutter="0"/>
          <w:cols w:space="720"/>
        </w:sectPr>
      </w:pPr>
    </w:p>
    <w:p w14:paraId="7D97310E" w14:textId="77777777" w:rsidR="001825E2" w:rsidRDefault="000839A5" w:rsidP="00CB00A7">
      <w:pPr>
        <w:pStyle w:val="Heading3"/>
        <w:ind w:left="1240" w:right="723" w:hanging="1020"/>
      </w:pPr>
      <w:r>
        <w:lastRenderedPageBreak/>
        <w:t>Table</w:t>
      </w:r>
      <w:r>
        <w:rPr>
          <w:spacing w:val="-4"/>
        </w:rPr>
        <w:t xml:space="preserve"> </w:t>
      </w:r>
      <w:r>
        <w:t>15. Proportion of Patients Meeting Primary and Key Secondary Efficacy Endpoints at Week 8 by TNF Inhibitor Therapy Subgroups (OCTAVE Induction Study 1 and OCTAVE Induction Study 2, Central Endoscopy</w:t>
      </w:r>
      <w:r>
        <w:rPr>
          <w:spacing w:val="80"/>
        </w:rPr>
        <w:t xml:space="preserve"> </w:t>
      </w:r>
      <w:r>
        <w:rPr>
          <w:spacing w:val="-4"/>
        </w:rPr>
        <w:t>Read)</w:t>
      </w:r>
    </w:p>
    <w:p w14:paraId="2C41EB89" w14:textId="77777777" w:rsidR="001825E2" w:rsidRDefault="001825E2" w:rsidP="00CB00A7">
      <w:pPr>
        <w:pStyle w:val="BodyText"/>
        <w:spacing w:before="10"/>
        <w:jc w:val="left"/>
        <w:rPr>
          <w:b/>
          <w:sz w:val="10"/>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0"/>
        <w:gridCol w:w="1455"/>
        <w:gridCol w:w="1440"/>
        <w:gridCol w:w="1455"/>
        <w:gridCol w:w="1440"/>
      </w:tblGrid>
      <w:tr w:rsidR="001825E2" w14:paraId="15E37345" w14:textId="77777777">
        <w:trPr>
          <w:trHeight w:val="539"/>
        </w:trPr>
        <w:tc>
          <w:tcPr>
            <w:tcW w:w="3450" w:type="dxa"/>
          </w:tcPr>
          <w:p w14:paraId="77F5AD93" w14:textId="77777777" w:rsidR="001825E2" w:rsidRDefault="001825E2" w:rsidP="00CB00A7">
            <w:pPr>
              <w:pStyle w:val="TableParagraph"/>
              <w:ind w:left="0"/>
              <w:jc w:val="left"/>
            </w:pPr>
          </w:p>
        </w:tc>
        <w:tc>
          <w:tcPr>
            <w:tcW w:w="2895" w:type="dxa"/>
            <w:gridSpan w:val="2"/>
          </w:tcPr>
          <w:p w14:paraId="2710D332" w14:textId="77777777" w:rsidR="001825E2" w:rsidRDefault="000839A5" w:rsidP="00CB00A7">
            <w:pPr>
              <w:pStyle w:val="TableParagraph"/>
              <w:spacing w:line="262" w:lineRule="exact"/>
              <w:ind w:left="44" w:right="16"/>
              <w:jc w:val="left"/>
              <w:rPr>
                <w:b/>
                <w:sz w:val="24"/>
              </w:rPr>
            </w:pPr>
            <w:r>
              <w:rPr>
                <w:b/>
                <w:sz w:val="24"/>
              </w:rPr>
              <w:t>OCTAVE</w:t>
            </w:r>
            <w:r>
              <w:rPr>
                <w:b/>
                <w:spacing w:val="4"/>
                <w:sz w:val="24"/>
              </w:rPr>
              <w:t xml:space="preserve"> </w:t>
            </w:r>
            <w:r>
              <w:rPr>
                <w:b/>
                <w:spacing w:val="-2"/>
                <w:sz w:val="24"/>
              </w:rPr>
              <w:t>Induction</w:t>
            </w:r>
          </w:p>
          <w:p w14:paraId="4B82E321" w14:textId="77777777" w:rsidR="001825E2" w:rsidRDefault="000839A5" w:rsidP="00CB00A7">
            <w:pPr>
              <w:pStyle w:val="TableParagraph"/>
              <w:spacing w:before="9" w:line="249" w:lineRule="exact"/>
              <w:ind w:left="45" w:right="1"/>
              <w:jc w:val="left"/>
              <w:rPr>
                <w:b/>
                <w:sz w:val="24"/>
              </w:rPr>
            </w:pPr>
            <w:r>
              <w:rPr>
                <w:b/>
                <w:sz w:val="24"/>
              </w:rPr>
              <w:t>Study</w:t>
            </w:r>
            <w:r>
              <w:rPr>
                <w:b/>
                <w:spacing w:val="-2"/>
                <w:sz w:val="24"/>
              </w:rPr>
              <w:t xml:space="preserve"> </w:t>
            </w:r>
            <w:r>
              <w:rPr>
                <w:b/>
                <w:spacing w:val="-10"/>
                <w:sz w:val="24"/>
              </w:rPr>
              <w:t>1</w:t>
            </w:r>
          </w:p>
        </w:tc>
        <w:tc>
          <w:tcPr>
            <w:tcW w:w="2895" w:type="dxa"/>
            <w:gridSpan w:val="2"/>
          </w:tcPr>
          <w:p w14:paraId="77504B24" w14:textId="77777777" w:rsidR="001825E2" w:rsidRDefault="000839A5" w:rsidP="00CB00A7">
            <w:pPr>
              <w:pStyle w:val="TableParagraph"/>
              <w:spacing w:line="262" w:lineRule="exact"/>
              <w:ind w:left="44" w:right="45"/>
              <w:jc w:val="left"/>
              <w:rPr>
                <w:b/>
                <w:sz w:val="24"/>
              </w:rPr>
            </w:pPr>
            <w:r>
              <w:rPr>
                <w:b/>
                <w:sz w:val="24"/>
              </w:rPr>
              <w:t>OCTAVE</w:t>
            </w:r>
            <w:r>
              <w:rPr>
                <w:b/>
                <w:spacing w:val="4"/>
                <w:sz w:val="24"/>
              </w:rPr>
              <w:t xml:space="preserve"> </w:t>
            </w:r>
            <w:r>
              <w:rPr>
                <w:b/>
                <w:spacing w:val="-2"/>
                <w:sz w:val="24"/>
              </w:rPr>
              <w:t>Induction</w:t>
            </w:r>
          </w:p>
          <w:p w14:paraId="5E5FA255" w14:textId="77777777" w:rsidR="001825E2" w:rsidRDefault="000839A5" w:rsidP="00CB00A7">
            <w:pPr>
              <w:pStyle w:val="TableParagraph"/>
              <w:spacing w:before="9" w:line="249" w:lineRule="exact"/>
              <w:ind w:left="44" w:right="30"/>
              <w:jc w:val="left"/>
              <w:rPr>
                <w:b/>
                <w:sz w:val="24"/>
              </w:rPr>
            </w:pPr>
            <w:r>
              <w:rPr>
                <w:b/>
                <w:sz w:val="24"/>
              </w:rPr>
              <w:t>Study</w:t>
            </w:r>
            <w:r>
              <w:rPr>
                <w:b/>
                <w:spacing w:val="-2"/>
                <w:sz w:val="24"/>
              </w:rPr>
              <w:t xml:space="preserve"> </w:t>
            </w:r>
            <w:r>
              <w:rPr>
                <w:b/>
                <w:spacing w:val="-10"/>
                <w:sz w:val="24"/>
              </w:rPr>
              <w:t>2</w:t>
            </w:r>
          </w:p>
        </w:tc>
      </w:tr>
      <w:tr w:rsidR="001825E2" w14:paraId="2D63436C" w14:textId="77777777">
        <w:trPr>
          <w:trHeight w:val="1095"/>
        </w:trPr>
        <w:tc>
          <w:tcPr>
            <w:tcW w:w="3450" w:type="dxa"/>
          </w:tcPr>
          <w:p w14:paraId="51C9D01E" w14:textId="77777777" w:rsidR="001825E2" w:rsidRDefault="000839A5" w:rsidP="00CB00A7">
            <w:pPr>
              <w:pStyle w:val="TableParagraph"/>
              <w:spacing w:before="1"/>
              <w:jc w:val="left"/>
              <w:rPr>
                <w:b/>
                <w:sz w:val="24"/>
              </w:rPr>
            </w:pPr>
            <w:r>
              <w:rPr>
                <w:b/>
                <w:spacing w:val="-2"/>
                <w:sz w:val="24"/>
              </w:rPr>
              <w:t>Endpoint</w:t>
            </w:r>
          </w:p>
        </w:tc>
        <w:tc>
          <w:tcPr>
            <w:tcW w:w="1455" w:type="dxa"/>
          </w:tcPr>
          <w:p w14:paraId="4641F5A0" w14:textId="77777777" w:rsidR="001825E2" w:rsidRDefault="000839A5" w:rsidP="00CB00A7">
            <w:pPr>
              <w:pStyle w:val="TableParagraph"/>
              <w:spacing w:before="271" w:line="247" w:lineRule="auto"/>
              <w:ind w:left="397" w:right="297" w:hanging="60"/>
              <w:jc w:val="left"/>
              <w:rPr>
                <w:b/>
                <w:sz w:val="24"/>
              </w:rPr>
            </w:pPr>
            <w:r>
              <w:rPr>
                <w:b/>
                <w:spacing w:val="-2"/>
                <w:sz w:val="24"/>
              </w:rPr>
              <w:t>Placebo N=122</w:t>
            </w:r>
          </w:p>
        </w:tc>
        <w:tc>
          <w:tcPr>
            <w:tcW w:w="1440" w:type="dxa"/>
          </w:tcPr>
          <w:p w14:paraId="6B78D616" w14:textId="77777777" w:rsidR="001825E2" w:rsidRDefault="000839A5" w:rsidP="00CB00A7">
            <w:pPr>
              <w:pStyle w:val="TableParagraph"/>
              <w:spacing w:before="1" w:line="273" w:lineRule="exact"/>
              <w:ind w:left="46"/>
              <w:jc w:val="left"/>
              <w:rPr>
                <w:b/>
                <w:sz w:val="24"/>
              </w:rPr>
            </w:pPr>
            <w:r>
              <w:rPr>
                <w:b/>
                <w:spacing w:val="-2"/>
                <w:sz w:val="24"/>
              </w:rPr>
              <w:t>XELJANZ</w:t>
            </w:r>
          </w:p>
          <w:p w14:paraId="15B9F777" w14:textId="77777777" w:rsidR="001825E2" w:rsidRDefault="000839A5" w:rsidP="00CB00A7">
            <w:pPr>
              <w:pStyle w:val="TableParagraph"/>
              <w:spacing w:line="273" w:lineRule="exact"/>
              <w:ind w:left="46" w:right="38"/>
              <w:jc w:val="left"/>
              <w:rPr>
                <w:b/>
                <w:sz w:val="24"/>
              </w:rPr>
            </w:pPr>
            <w:r>
              <w:rPr>
                <w:b/>
                <w:sz w:val="24"/>
              </w:rPr>
              <w:t xml:space="preserve">10 </w:t>
            </w:r>
            <w:r>
              <w:rPr>
                <w:b/>
                <w:spacing w:val="-5"/>
                <w:sz w:val="24"/>
              </w:rPr>
              <w:t>mg</w:t>
            </w:r>
          </w:p>
          <w:p w14:paraId="1A57523F" w14:textId="77777777" w:rsidR="001825E2" w:rsidRDefault="000839A5" w:rsidP="00CB00A7">
            <w:pPr>
              <w:pStyle w:val="TableParagraph"/>
              <w:spacing w:line="270" w:lineRule="exact"/>
              <w:ind w:left="46" w:right="36"/>
              <w:jc w:val="left"/>
              <w:rPr>
                <w:b/>
                <w:sz w:val="24"/>
              </w:rPr>
            </w:pPr>
            <w:r>
              <w:rPr>
                <w:b/>
                <w:spacing w:val="-2"/>
                <w:sz w:val="24"/>
              </w:rPr>
              <w:t>twice</w:t>
            </w:r>
            <w:r>
              <w:rPr>
                <w:b/>
                <w:spacing w:val="-13"/>
                <w:sz w:val="24"/>
              </w:rPr>
              <w:t xml:space="preserve"> </w:t>
            </w:r>
            <w:r>
              <w:rPr>
                <w:b/>
                <w:spacing w:val="-2"/>
                <w:sz w:val="24"/>
              </w:rPr>
              <w:t>daily N=476</w:t>
            </w:r>
          </w:p>
        </w:tc>
        <w:tc>
          <w:tcPr>
            <w:tcW w:w="1455" w:type="dxa"/>
          </w:tcPr>
          <w:p w14:paraId="22FAEF57" w14:textId="77777777" w:rsidR="001825E2" w:rsidRDefault="000839A5" w:rsidP="00CB00A7">
            <w:pPr>
              <w:pStyle w:val="TableParagraph"/>
              <w:spacing w:before="271" w:line="247" w:lineRule="auto"/>
              <w:ind w:left="382" w:right="312" w:hanging="60"/>
              <w:jc w:val="left"/>
              <w:rPr>
                <w:b/>
                <w:sz w:val="24"/>
              </w:rPr>
            </w:pPr>
            <w:r>
              <w:rPr>
                <w:b/>
                <w:spacing w:val="-2"/>
                <w:sz w:val="24"/>
              </w:rPr>
              <w:t>Placebo N=112</w:t>
            </w:r>
          </w:p>
        </w:tc>
        <w:tc>
          <w:tcPr>
            <w:tcW w:w="1440" w:type="dxa"/>
          </w:tcPr>
          <w:p w14:paraId="0FBC95C7" w14:textId="77777777" w:rsidR="001825E2" w:rsidRDefault="000839A5" w:rsidP="00CB00A7">
            <w:pPr>
              <w:pStyle w:val="TableParagraph"/>
              <w:spacing w:before="1" w:line="273" w:lineRule="exact"/>
              <w:ind w:left="46"/>
              <w:jc w:val="left"/>
              <w:rPr>
                <w:b/>
                <w:sz w:val="24"/>
              </w:rPr>
            </w:pPr>
            <w:r>
              <w:rPr>
                <w:b/>
                <w:spacing w:val="-2"/>
                <w:sz w:val="24"/>
              </w:rPr>
              <w:t>XELJANZ</w:t>
            </w:r>
          </w:p>
          <w:p w14:paraId="50CABD79" w14:textId="77777777" w:rsidR="001825E2" w:rsidRDefault="000839A5" w:rsidP="00CB00A7">
            <w:pPr>
              <w:pStyle w:val="TableParagraph"/>
              <w:spacing w:line="273" w:lineRule="exact"/>
              <w:ind w:left="46" w:right="38"/>
              <w:jc w:val="left"/>
              <w:rPr>
                <w:b/>
                <w:sz w:val="24"/>
              </w:rPr>
            </w:pPr>
            <w:r>
              <w:rPr>
                <w:b/>
                <w:sz w:val="24"/>
              </w:rPr>
              <w:t xml:space="preserve">10 </w:t>
            </w:r>
            <w:r>
              <w:rPr>
                <w:b/>
                <w:spacing w:val="-5"/>
                <w:sz w:val="24"/>
              </w:rPr>
              <w:t>mg</w:t>
            </w:r>
          </w:p>
          <w:p w14:paraId="0CD39E0E" w14:textId="77777777" w:rsidR="001825E2" w:rsidRDefault="000839A5" w:rsidP="00CB00A7">
            <w:pPr>
              <w:pStyle w:val="TableParagraph"/>
              <w:spacing w:line="270" w:lineRule="exact"/>
              <w:ind w:left="46" w:right="36"/>
              <w:jc w:val="left"/>
              <w:rPr>
                <w:b/>
                <w:sz w:val="24"/>
              </w:rPr>
            </w:pPr>
            <w:r>
              <w:rPr>
                <w:b/>
                <w:spacing w:val="-2"/>
                <w:sz w:val="24"/>
              </w:rPr>
              <w:t>twice</w:t>
            </w:r>
            <w:r>
              <w:rPr>
                <w:b/>
                <w:spacing w:val="-13"/>
                <w:sz w:val="24"/>
              </w:rPr>
              <w:t xml:space="preserve"> </w:t>
            </w:r>
            <w:r>
              <w:rPr>
                <w:b/>
                <w:spacing w:val="-2"/>
                <w:sz w:val="24"/>
              </w:rPr>
              <w:t>daily N=429</w:t>
            </w:r>
          </w:p>
        </w:tc>
      </w:tr>
      <w:tr w:rsidR="001825E2" w14:paraId="2A5EA156" w14:textId="77777777">
        <w:trPr>
          <w:trHeight w:val="269"/>
        </w:trPr>
        <w:tc>
          <w:tcPr>
            <w:tcW w:w="9240" w:type="dxa"/>
            <w:gridSpan w:val="5"/>
          </w:tcPr>
          <w:p w14:paraId="541E52E3" w14:textId="77777777" w:rsidR="001825E2" w:rsidRDefault="000839A5" w:rsidP="00CB00A7">
            <w:pPr>
              <w:pStyle w:val="TableParagraph"/>
              <w:spacing w:before="1" w:line="249" w:lineRule="exact"/>
              <w:jc w:val="left"/>
              <w:rPr>
                <w:sz w:val="16"/>
              </w:rPr>
            </w:pPr>
            <w:r>
              <w:rPr>
                <w:spacing w:val="-2"/>
                <w:sz w:val="24"/>
              </w:rPr>
              <w:t>Remission</w:t>
            </w:r>
            <w:r>
              <w:rPr>
                <w:spacing w:val="-2"/>
                <w:position w:val="7"/>
                <w:sz w:val="16"/>
              </w:rPr>
              <w:t>a</w:t>
            </w:r>
          </w:p>
        </w:tc>
      </w:tr>
      <w:tr w:rsidR="001825E2" w14:paraId="19CD0980" w14:textId="77777777">
        <w:trPr>
          <w:trHeight w:val="279"/>
        </w:trPr>
        <w:tc>
          <w:tcPr>
            <w:tcW w:w="3450" w:type="dxa"/>
            <w:tcBorders>
              <w:bottom w:val="nil"/>
            </w:tcBorders>
          </w:tcPr>
          <w:p w14:paraId="0B60360A" w14:textId="77777777" w:rsidR="001825E2" w:rsidRDefault="000839A5" w:rsidP="00CB00A7">
            <w:pPr>
              <w:pStyle w:val="TableParagraph"/>
              <w:spacing w:before="1" w:line="258" w:lineRule="exact"/>
              <w:jc w:val="left"/>
              <w:rPr>
                <w:sz w:val="24"/>
              </w:rPr>
            </w:pPr>
            <w:r>
              <w:rPr>
                <w:sz w:val="24"/>
              </w:rPr>
              <w:t>With</w:t>
            </w:r>
            <w:r>
              <w:rPr>
                <w:spacing w:val="-7"/>
                <w:sz w:val="24"/>
              </w:rPr>
              <w:t xml:space="preserve"> </w:t>
            </w:r>
            <w:r>
              <w:rPr>
                <w:sz w:val="24"/>
              </w:rPr>
              <w:t>prior</w:t>
            </w:r>
            <w:r>
              <w:rPr>
                <w:spacing w:val="1"/>
                <w:sz w:val="24"/>
              </w:rPr>
              <w:t xml:space="preserve"> </w:t>
            </w:r>
            <w:r>
              <w:rPr>
                <w:sz w:val="24"/>
              </w:rPr>
              <w:t>TNF</w:t>
            </w:r>
            <w:r>
              <w:rPr>
                <w:spacing w:val="-6"/>
                <w:sz w:val="24"/>
              </w:rPr>
              <w:t xml:space="preserve"> </w:t>
            </w:r>
            <w:r>
              <w:rPr>
                <w:sz w:val="24"/>
              </w:rPr>
              <w:t>inhibitor</w:t>
            </w:r>
            <w:r>
              <w:rPr>
                <w:spacing w:val="16"/>
                <w:sz w:val="24"/>
              </w:rPr>
              <w:t xml:space="preserve"> </w:t>
            </w:r>
            <w:r>
              <w:rPr>
                <w:spacing w:val="-2"/>
                <w:sz w:val="24"/>
              </w:rPr>
              <w:t>failure</w:t>
            </w:r>
          </w:p>
        </w:tc>
        <w:tc>
          <w:tcPr>
            <w:tcW w:w="1455" w:type="dxa"/>
            <w:tcBorders>
              <w:bottom w:val="nil"/>
            </w:tcBorders>
          </w:tcPr>
          <w:p w14:paraId="0505D04A" w14:textId="77777777" w:rsidR="001825E2" w:rsidRDefault="000839A5" w:rsidP="00CB00A7">
            <w:pPr>
              <w:pStyle w:val="TableParagraph"/>
              <w:spacing w:before="1" w:line="258" w:lineRule="exact"/>
              <w:ind w:left="49" w:right="15"/>
              <w:jc w:val="left"/>
              <w:rPr>
                <w:sz w:val="24"/>
              </w:rPr>
            </w:pPr>
            <w:r>
              <w:rPr>
                <w:spacing w:val="-4"/>
                <w:sz w:val="24"/>
              </w:rPr>
              <w:t>1.6%</w:t>
            </w:r>
          </w:p>
        </w:tc>
        <w:tc>
          <w:tcPr>
            <w:tcW w:w="1440" w:type="dxa"/>
            <w:tcBorders>
              <w:bottom w:val="nil"/>
            </w:tcBorders>
          </w:tcPr>
          <w:p w14:paraId="4B145244" w14:textId="77777777" w:rsidR="001825E2" w:rsidRDefault="000839A5" w:rsidP="00CB00A7">
            <w:pPr>
              <w:pStyle w:val="TableParagraph"/>
              <w:spacing w:before="1" w:line="258" w:lineRule="exact"/>
              <w:ind w:left="46" w:right="27"/>
              <w:jc w:val="left"/>
              <w:rPr>
                <w:sz w:val="24"/>
              </w:rPr>
            </w:pPr>
            <w:r>
              <w:rPr>
                <w:spacing w:val="-2"/>
                <w:sz w:val="24"/>
              </w:rPr>
              <w:t>11.1%</w:t>
            </w:r>
          </w:p>
        </w:tc>
        <w:tc>
          <w:tcPr>
            <w:tcW w:w="1455" w:type="dxa"/>
            <w:tcBorders>
              <w:bottom w:val="nil"/>
            </w:tcBorders>
          </w:tcPr>
          <w:p w14:paraId="65A4DB0F" w14:textId="77777777" w:rsidR="001825E2" w:rsidRDefault="000839A5" w:rsidP="00CB00A7">
            <w:pPr>
              <w:pStyle w:val="TableParagraph"/>
              <w:spacing w:before="1" w:line="258" w:lineRule="exact"/>
              <w:ind w:left="49" w:right="45"/>
              <w:jc w:val="left"/>
              <w:rPr>
                <w:sz w:val="24"/>
              </w:rPr>
            </w:pPr>
            <w:r>
              <w:rPr>
                <w:spacing w:val="-4"/>
                <w:sz w:val="24"/>
              </w:rPr>
              <w:t>0.0%</w:t>
            </w:r>
          </w:p>
        </w:tc>
        <w:tc>
          <w:tcPr>
            <w:tcW w:w="1440" w:type="dxa"/>
            <w:tcBorders>
              <w:bottom w:val="nil"/>
            </w:tcBorders>
          </w:tcPr>
          <w:p w14:paraId="0074BEEC" w14:textId="77777777" w:rsidR="001825E2" w:rsidRDefault="000839A5" w:rsidP="00CB00A7">
            <w:pPr>
              <w:pStyle w:val="TableParagraph"/>
              <w:spacing w:before="1" w:line="258" w:lineRule="exact"/>
              <w:ind w:left="46" w:right="27"/>
              <w:jc w:val="left"/>
              <w:rPr>
                <w:sz w:val="24"/>
              </w:rPr>
            </w:pPr>
            <w:r>
              <w:rPr>
                <w:spacing w:val="-2"/>
                <w:sz w:val="24"/>
              </w:rPr>
              <w:t>11.7%</w:t>
            </w:r>
          </w:p>
        </w:tc>
      </w:tr>
      <w:tr w:rsidR="001825E2" w14:paraId="26B9CB4B" w14:textId="77777777">
        <w:trPr>
          <w:trHeight w:val="275"/>
        </w:trPr>
        <w:tc>
          <w:tcPr>
            <w:tcW w:w="3450" w:type="dxa"/>
            <w:tcBorders>
              <w:top w:val="nil"/>
            </w:tcBorders>
          </w:tcPr>
          <w:p w14:paraId="69F23BF4" w14:textId="77777777" w:rsidR="001825E2" w:rsidRDefault="001825E2" w:rsidP="00CB00A7">
            <w:pPr>
              <w:pStyle w:val="TableParagraph"/>
              <w:ind w:left="0"/>
              <w:jc w:val="left"/>
              <w:rPr>
                <w:sz w:val="20"/>
              </w:rPr>
            </w:pPr>
          </w:p>
        </w:tc>
        <w:tc>
          <w:tcPr>
            <w:tcW w:w="1455" w:type="dxa"/>
            <w:tcBorders>
              <w:top w:val="nil"/>
            </w:tcBorders>
          </w:tcPr>
          <w:p w14:paraId="0CF2FDC9" w14:textId="77777777" w:rsidR="001825E2" w:rsidRDefault="000839A5" w:rsidP="00CB00A7">
            <w:pPr>
              <w:pStyle w:val="TableParagraph"/>
              <w:spacing w:line="256" w:lineRule="exact"/>
              <w:ind w:left="49"/>
              <w:jc w:val="left"/>
              <w:rPr>
                <w:sz w:val="24"/>
              </w:rPr>
            </w:pPr>
            <w:r>
              <w:rPr>
                <w:spacing w:val="-2"/>
                <w:sz w:val="24"/>
              </w:rPr>
              <w:t>(1/64)</w:t>
            </w:r>
          </w:p>
        </w:tc>
        <w:tc>
          <w:tcPr>
            <w:tcW w:w="1440" w:type="dxa"/>
            <w:tcBorders>
              <w:top w:val="nil"/>
            </w:tcBorders>
          </w:tcPr>
          <w:p w14:paraId="60FEC6A8" w14:textId="77777777" w:rsidR="001825E2" w:rsidRDefault="000839A5" w:rsidP="00CB00A7">
            <w:pPr>
              <w:pStyle w:val="TableParagraph"/>
              <w:spacing w:line="256" w:lineRule="exact"/>
              <w:ind w:left="46" w:right="12"/>
              <w:jc w:val="left"/>
              <w:rPr>
                <w:sz w:val="24"/>
              </w:rPr>
            </w:pPr>
            <w:r>
              <w:rPr>
                <w:spacing w:val="-2"/>
                <w:sz w:val="24"/>
              </w:rPr>
              <w:t>(27/243)</w:t>
            </w:r>
          </w:p>
        </w:tc>
        <w:tc>
          <w:tcPr>
            <w:tcW w:w="1455" w:type="dxa"/>
            <w:tcBorders>
              <w:top w:val="nil"/>
            </w:tcBorders>
          </w:tcPr>
          <w:p w14:paraId="2918158A" w14:textId="77777777" w:rsidR="001825E2" w:rsidRDefault="000839A5" w:rsidP="00CB00A7">
            <w:pPr>
              <w:pStyle w:val="TableParagraph"/>
              <w:spacing w:line="256" w:lineRule="exact"/>
              <w:ind w:left="49" w:right="30"/>
              <w:jc w:val="left"/>
              <w:rPr>
                <w:sz w:val="24"/>
              </w:rPr>
            </w:pPr>
            <w:r>
              <w:rPr>
                <w:spacing w:val="-2"/>
                <w:sz w:val="24"/>
              </w:rPr>
              <w:t>(0/60)</w:t>
            </w:r>
          </w:p>
        </w:tc>
        <w:tc>
          <w:tcPr>
            <w:tcW w:w="1440" w:type="dxa"/>
            <w:tcBorders>
              <w:top w:val="nil"/>
            </w:tcBorders>
          </w:tcPr>
          <w:p w14:paraId="1BFF284D" w14:textId="77777777" w:rsidR="001825E2" w:rsidRDefault="000839A5" w:rsidP="00CB00A7">
            <w:pPr>
              <w:pStyle w:val="TableParagraph"/>
              <w:spacing w:line="256" w:lineRule="exact"/>
              <w:ind w:left="46" w:right="12"/>
              <w:jc w:val="left"/>
              <w:rPr>
                <w:sz w:val="24"/>
              </w:rPr>
            </w:pPr>
            <w:r>
              <w:rPr>
                <w:spacing w:val="-2"/>
                <w:sz w:val="24"/>
              </w:rPr>
              <w:t>(26/222)</w:t>
            </w:r>
          </w:p>
        </w:tc>
      </w:tr>
      <w:tr w:rsidR="001825E2" w14:paraId="1D764C87" w14:textId="77777777">
        <w:trPr>
          <w:trHeight w:val="274"/>
        </w:trPr>
        <w:tc>
          <w:tcPr>
            <w:tcW w:w="3450" w:type="dxa"/>
            <w:tcBorders>
              <w:bottom w:val="nil"/>
            </w:tcBorders>
          </w:tcPr>
          <w:p w14:paraId="40B8D45D" w14:textId="77777777" w:rsidR="001825E2" w:rsidRDefault="000839A5" w:rsidP="00CB00A7">
            <w:pPr>
              <w:pStyle w:val="TableParagraph"/>
              <w:spacing w:before="1" w:line="254" w:lineRule="exact"/>
              <w:jc w:val="left"/>
              <w:rPr>
                <w:sz w:val="24"/>
              </w:rPr>
            </w:pPr>
            <w:r>
              <w:rPr>
                <w:sz w:val="24"/>
              </w:rPr>
              <w:t>Without</w:t>
            </w:r>
            <w:r>
              <w:rPr>
                <w:spacing w:val="-13"/>
                <w:sz w:val="24"/>
              </w:rPr>
              <w:t xml:space="preserve"> </w:t>
            </w:r>
            <w:r>
              <w:rPr>
                <w:sz w:val="24"/>
              </w:rPr>
              <w:t>prior</w:t>
            </w:r>
            <w:r>
              <w:rPr>
                <w:spacing w:val="17"/>
                <w:sz w:val="24"/>
              </w:rPr>
              <w:t xml:space="preserve"> </w:t>
            </w:r>
            <w:r>
              <w:rPr>
                <w:sz w:val="24"/>
              </w:rPr>
              <w:t>TNF</w:t>
            </w:r>
            <w:r>
              <w:rPr>
                <w:spacing w:val="-4"/>
                <w:sz w:val="24"/>
              </w:rPr>
              <w:t xml:space="preserve"> </w:t>
            </w:r>
            <w:r>
              <w:rPr>
                <w:spacing w:val="-2"/>
                <w:sz w:val="24"/>
              </w:rPr>
              <w:t>inhibitor</w:t>
            </w:r>
          </w:p>
        </w:tc>
        <w:tc>
          <w:tcPr>
            <w:tcW w:w="1455" w:type="dxa"/>
            <w:tcBorders>
              <w:bottom w:val="nil"/>
            </w:tcBorders>
          </w:tcPr>
          <w:p w14:paraId="0DB7BEA4" w14:textId="77777777" w:rsidR="001825E2" w:rsidRDefault="000839A5" w:rsidP="00CB00A7">
            <w:pPr>
              <w:pStyle w:val="TableParagraph"/>
              <w:spacing w:before="1" w:line="254" w:lineRule="exact"/>
              <w:ind w:left="49" w:right="15"/>
              <w:jc w:val="left"/>
              <w:rPr>
                <w:sz w:val="24"/>
              </w:rPr>
            </w:pPr>
            <w:r>
              <w:rPr>
                <w:spacing w:val="-2"/>
                <w:sz w:val="24"/>
              </w:rPr>
              <w:t>15.5%</w:t>
            </w:r>
          </w:p>
        </w:tc>
        <w:tc>
          <w:tcPr>
            <w:tcW w:w="1440" w:type="dxa"/>
            <w:tcBorders>
              <w:bottom w:val="nil"/>
            </w:tcBorders>
          </w:tcPr>
          <w:p w14:paraId="5D195EA9" w14:textId="77777777" w:rsidR="001825E2" w:rsidRDefault="000839A5" w:rsidP="00CB00A7">
            <w:pPr>
              <w:pStyle w:val="TableParagraph"/>
              <w:spacing w:before="1" w:line="254" w:lineRule="exact"/>
              <w:ind w:left="46" w:right="27"/>
              <w:jc w:val="left"/>
              <w:rPr>
                <w:sz w:val="24"/>
              </w:rPr>
            </w:pPr>
            <w:r>
              <w:rPr>
                <w:spacing w:val="-2"/>
                <w:sz w:val="24"/>
              </w:rPr>
              <w:t>26.2%</w:t>
            </w:r>
          </w:p>
        </w:tc>
        <w:tc>
          <w:tcPr>
            <w:tcW w:w="1455" w:type="dxa"/>
            <w:tcBorders>
              <w:bottom w:val="nil"/>
            </w:tcBorders>
          </w:tcPr>
          <w:p w14:paraId="3151655E" w14:textId="77777777" w:rsidR="001825E2" w:rsidRDefault="000839A5" w:rsidP="00CB00A7">
            <w:pPr>
              <w:pStyle w:val="TableParagraph"/>
              <w:spacing w:before="1" w:line="254" w:lineRule="exact"/>
              <w:ind w:left="49" w:right="45"/>
              <w:jc w:val="left"/>
              <w:rPr>
                <w:sz w:val="24"/>
              </w:rPr>
            </w:pPr>
            <w:r>
              <w:rPr>
                <w:spacing w:val="-4"/>
                <w:sz w:val="24"/>
              </w:rPr>
              <w:t>7.7%</w:t>
            </w:r>
          </w:p>
        </w:tc>
        <w:tc>
          <w:tcPr>
            <w:tcW w:w="1440" w:type="dxa"/>
            <w:tcBorders>
              <w:bottom w:val="nil"/>
            </w:tcBorders>
          </w:tcPr>
          <w:p w14:paraId="1AAA972D" w14:textId="77777777" w:rsidR="001825E2" w:rsidRDefault="000839A5" w:rsidP="00CB00A7">
            <w:pPr>
              <w:pStyle w:val="TableParagraph"/>
              <w:spacing w:before="1" w:line="254" w:lineRule="exact"/>
              <w:ind w:left="46" w:right="27"/>
              <w:jc w:val="left"/>
              <w:rPr>
                <w:sz w:val="24"/>
              </w:rPr>
            </w:pPr>
            <w:r>
              <w:rPr>
                <w:spacing w:val="-2"/>
                <w:sz w:val="24"/>
              </w:rPr>
              <w:t>21.7%</w:t>
            </w:r>
          </w:p>
        </w:tc>
      </w:tr>
      <w:tr w:rsidR="001825E2" w14:paraId="4C1AD82E" w14:textId="77777777">
        <w:trPr>
          <w:trHeight w:val="265"/>
        </w:trPr>
        <w:tc>
          <w:tcPr>
            <w:tcW w:w="3450" w:type="dxa"/>
            <w:tcBorders>
              <w:top w:val="nil"/>
            </w:tcBorders>
          </w:tcPr>
          <w:p w14:paraId="5E628CD7" w14:textId="77777777" w:rsidR="001825E2" w:rsidRDefault="000839A5" w:rsidP="00CB00A7">
            <w:pPr>
              <w:pStyle w:val="TableParagraph"/>
              <w:spacing w:line="245" w:lineRule="exact"/>
              <w:jc w:val="left"/>
              <w:rPr>
                <w:sz w:val="16"/>
              </w:rPr>
            </w:pPr>
            <w:r>
              <w:rPr>
                <w:spacing w:val="-2"/>
                <w:sz w:val="24"/>
              </w:rPr>
              <w:t>failure</w:t>
            </w:r>
            <w:r>
              <w:rPr>
                <w:spacing w:val="-2"/>
                <w:position w:val="7"/>
                <w:sz w:val="16"/>
              </w:rPr>
              <w:t>b</w:t>
            </w:r>
          </w:p>
        </w:tc>
        <w:tc>
          <w:tcPr>
            <w:tcW w:w="1455" w:type="dxa"/>
            <w:tcBorders>
              <w:top w:val="nil"/>
            </w:tcBorders>
          </w:tcPr>
          <w:p w14:paraId="05C1FDFC" w14:textId="77777777" w:rsidR="001825E2" w:rsidRDefault="000839A5" w:rsidP="00CB00A7">
            <w:pPr>
              <w:pStyle w:val="TableParagraph"/>
              <w:spacing w:line="245" w:lineRule="exact"/>
              <w:ind w:left="49"/>
              <w:jc w:val="left"/>
              <w:rPr>
                <w:sz w:val="24"/>
              </w:rPr>
            </w:pPr>
            <w:r>
              <w:rPr>
                <w:spacing w:val="-2"/>
                <w:sz w:val="24"/>
              </w:rPr>
              <w:t>(9/58)</w:t>
            </w:r>
          </w:p>
        </w:tc>
        <w:tc>
          <w:tcPr>
            <w:tcW w:w="1440" w:type="dxa"/>
            <w:tcBorders>
              <w:top w:val="nil"/>
            </w:tcBorders>
          </w:tcPr>
          <w:p w14:paraId="7E3952E8" w14:textId="77777777" w:rsidR="001825E2" w:rsidRDefault="000839A5" w:rsidP="00CB00A7">
            <w:pPr>
              <w:pStyle w:val="TableParagraph"/>
              <w:spacing w:line="245" w:lineRule="exact"/>
              <w:ind w:left="46" w:right="12"/>
              <w:jc w:val="left"/>
              <w:rPr>
                <w:sz w:val="24"/>
              </w:rPr>
            </w:pPr>
            <w:r>
              <w:rPr>
                <w:spacing w:val="-2"/>
                <w:sz w:val="24"/>
              </w:rPr>
              <w:t>(61/233)</w:t>
            </w:r>
          </w:p>
        </w:tc>
        <w:tc>
          <w:tcPr>
            <w:tcW w:w="1455" w:type="dxa"/>
            <w:tcBorders>
              <w:top w:val="nil"/>
            </w:tcBorders>
          </w:tcPr>
          <w:p w14:paraId="782E8E7B" w14:textId="77777777" w:rsidR="001825E2" w:rsidRDefault="000839A5" w:rsidP="00CB00A7">
            <w:pPr>
              <w:pStyle w:val="TableParagraph"/>
              <w:spacing w:line="245" w:lineRule="exact"/>
              <w:ind w:left="49" w:right="30"/>
              <w:jc w:val="left"/>
              <w:rPr>
                <w:sz w:val="24"/>
              </w:rPr>
            </w:pPr>
            <w:r>
              <w:rPr>
                <w:spacing w:val="-2"/>
                <w:sz w:val="24"/>
              </w:rPr>
              <w:t>(4/52)</w:t>
            </w:r>
          </w:p>
        </w:tc>
        <w:tc>
          <w:tcPr>
            <w:tcW w:w="1440" w:type="dxa"/>
            <w:tcBorders>
              <w:top w:val="nil"/>
            </w:tcBorders>
          </w:tcPr>
          <w:p w14:paraId="2D1CFCCC" w14:textId="77777777" w:rsidR="001825E2" w:rsidRDefault="000839A5" w:rsidP="00CB00A7">
            <w:pPr>
              <w:pStyle w:val="TableParagraph"/>
              <w:spacing w:line="245" w:lineRule="exact"/>
              <w:ind w:left="46" w:right="12"/>
              <w:jc w:val="left"/>
              <w:rPr>
                <w:sz w:val="24"/>
              </w:rPr>
            </w:pPr>
            <w:r>
              <w:rPr>
                <w:spacing w:val="-2"/>
                <w:sz w:val="24"/>
              </w:rPr>
              <w:t>(45/207)</w:t>
            </w:r>
          </w:p>
        </w:tc>
      </w:tr>
      <w:tr w:rsidR="001825E2" w14:paraId="18BD4007" w14:textId="77777777">
        <w:trPr>
          <w:trHeight w:val="270"/>
        </w:trPr>
        <w:tc>
          <w:tcPr>
            <w:tcW w:w="9240" w:type="dxa"/>
            <w:gridSpan w:val="5"/>
          </w:tcPr>
          <w:p w14:paraId="3CE42DC9" w14:textId="77777777" w:rsidR="001825E2" w:rsidRDefault="000839A5" w:rsidP="00CB00A7">
            <w:pPr>
              <w:pStyle w:val="TableParagraph"/>
              <w:spacing w:before="1" w:line="249" w:lineRule="exact"/>
              <w:jc w:val="left"/>
              <w:rPr>
                <w:sz w:val="16"/>
              </w:rPr>
            </w:pPr>
            <w:r>
              <w:rPr>
                <w:sz w:val="24"/>
              </w:rPr>
              <w:t>Improvement</w:t>
            </w:r>
            <w:r>
              <w:rPr>
                <w:spacing w:val="1"/>
                <w:sz w:val="24"/>
              </w:rPr>
              <w:t xml:space="preserve"> </w:t>
            </w:r>
            <w:r>
              <w:rPr>
                <w:sz w:val="24"/>
              </w:rPr>
              <w:t>of</w:t>
            </w:r>
            <w:r>
              <w:rPr>
                <w:spacing w:val="7"/>
                <w:sz w:val="24"/>
              </w:rPr>
              <w:t xml:space="preserve"> </w:t>
            </w:r>
            <w:r>
              <w:rPr>
                <w:sz w:val="24"/>
              </w:rPr>
              <w:t>endoscopic</w:t>
            </w:r>
            <w:r>
              <w:rPr>
                <w:spacing w:val="-6"/>
                <w:sz w:val="24"/>
              </w:rPr>
              <w:t xml:space="preserve"> </w:t>
            </w:r>
            <w:r>
              <w:rPr>
                <w:sz w:val="24"/>
              </w:rPr>
              <w:t>appearance</w:t>
            </w:r>
            <w:r>
              <w:rPr>
                <w:spacing w:val="10"/>
                <w:sz w:val="24"/>
              </w:rPr>
              <w:t xml:space="preserve"> </w:t>
            </w:r>
            <w:r>
              <w:rPr>
                <w:sz w:val="24"/>
              </w:rPr>
              <w:t>of</w:t>
            </w:r>
            <w:r>
              <w:rPr>
                <w:spacing w:val="-8"/>
                <w:sz w:val="24"/>
              </w:rPr>
              <w:t xml:space="preserve"> </w:t>
            </w:r>
            <w:r>
              <w:rPr>
                <w:sz w:val="24"/>
              </w:rPr>
              <w:t>the</w:t>
            </w:r>
            <w:r>
              <w:rPr>
                <w:spacing w:val="-17"/>
                <w:sz w:val="24"/>
              </w:rPr>
              <w:t xml:space="preserve"> </w:t>
            </w:r>
            <w:r>
              <w:rPr>
                <w:spacing w:val="-2"/>
                <w:sz w:val="24"/>
              </w:rPr>
              <w:t>mucosa</w:t>
            </w:r>
            <w:r>
              <w:rPr>
                <w:spacing w:val="-2"/>
                <w:position w:val="7"/>
                <w:sz w:val="16"/>
              </w:rPr>
              <w:t>c</w:t>
            </w:r>
          </w:p>
        </w:tc>
      </w:tr>
      <w:tr w:rsidR="001825E2" w14:paraId="52D701D7" w14:textId="77777777">
        <w:trPr>
          <w:trHeight w:val="279"/>
        </w:trPr>
        <w:tc>
          <w:tcPr>
            <w:tcW w:w="3450" w:type="dxa"/>
            <w:tcBorders>
              <w:bottom w:val="nil"/>
            </w:tcBorders>
          </w:tcPr>
          <w:p w14:paraId="2F4E1560" w14:textId="77777777" w:rsidR="001825E2" w:rsidRDefault="000839A5" w:rsidP="00CB00A7">
            <w:pPr>
              <w:pStyle w:val="TableParagraph"/>
              <w:spacing w:before="1" w:line="258" w:lineRule="exact"/>
              <w:jc w:val="left"/>
              <w:rPr>
                <w:sz w:val="24"/>
              </w:rPr>
            </w:pPr>
            <w:r>
              <w:rPr>
                <w:sz w:val="24"/>
              </w:rPr>
              <w:t>With</w:t>
            </w:r>
            <w:r>
              <w:rPr>
                <w:spacing w:val="-7"/>
                <w:sz w:val="24"/>
              </w:rPr>
              <w:t xml:space="preserve"> </w:t>
            </w:r>
            <w:r>
              <w:rPr>
                <w:sz w:val="24"/>
              </w:rPr>
              <w:t>prior</w:t>
            </w:r>
            <w:r>
              <w:rPr>
                <w:spacing w:val="1"/>
                <w:sz w:val="24"/>
              </w:rPr>
              <w:t xml:space="preserve"> </w:t>
            </w:r>
            <w:r>
              <w:rPr>
                <w:sz w:val="24"/>
              </w:rPr>
              <w:t>TNF</w:t>
            </w:r>
            <w:r>
              <w:rPr>
                <w:spacing w:val="-6"/>
                <w:sz w:val="24"/>
              </w:rPr>
              <w:t xml:space="preserve"> </w:t>
            </w:r>
            <w:r>
              <w:rPr>
                <w:sz w:val="24"/>
              </w:rPr>
              <w:t>inhibitor</w:t>
            </w:r>
            <w:r>
              <w:rPr>
                <w:spacing w:val="16"/>
                <w:sz w:val="24"/>
              </w:rPr>
              <w:t xml:space="preserve"> </w:t>
            </w:r>
            <w:r>
              <w:rPr>
                <w:spacing w:val="-2"/>
                <w:sz w:val="24"/>
              </w:rPr>
              <w:t>failure</w:t>
            </w:r>
          </w:p>
        </w:tc>
        <w:tc>
          <w:tcPr>
            <w:tcW w:w="1455" w:type="dxa"/>
            <w:tcBorders>
              <w:bottom w:val="nil"/>
            </w:tcBorders>
          </w:tcPr>
          <w:p w14:paraId="6196CCA1" w14:textId="77777777" w:rsidR="001825E2" w:rsidRDefault="000839A5" w:rsidP="00CB00A7">
            <w:pPr>
              <w:pStyle w:val="TableParagraph"/>
              <w:spacing w:before="1" w:line="258" w:lineRule="exact"/>
              <w:ind w:left="49" w:right="15"/>
              <w:jc w:val="left"/>
              <w:rPr>
                <w:sz w:val="24"/>
              </w:rPr>
            </w:pPr>
            <w:r>
              <w:rPr>
                <w:spacing w:val="-4"/>
                <w:sz w:val="24"/>
              </w:rPr>
              <w:t>6.3%</w:t>
            </w:r>
          </w:p>
        </w:tc>
        <w:tc>
          <w:tcPr>
            <w:tcW w:w="1440" w:type="dxa"/>
            <w:tcBorders>
              <w:bottom w:val="nil"/>
            </w:tcBorders>
          </w:tcPr>
          <w:p w14:paraId="713524A3" w14:textId="77777777" w:rsidR="001825E2" w:rsidRDefault="000839A5" w:rsidP="00CB00A7">
            <w:pPr>
              <w:pStyle w:val="TableParagraph"/>
              <w:spacing w:before="1" w:line="258" w:lineRule="exact"/>
              <w:ind w:left="46" w:right="27"/>
              <w:jc w:val="left"/>
              <w:rPr>
                <w:sz w:val="24"/>
              </w:rPr>
            </w:pPr>
            <w:r>
              <w:rPr>
                <w:spacing w:val="-2"/>
                <w:sz w:val="24"/>
              </w:rPr>
              <w:t>22.6%</w:t>
            </w:r>
          </w:p>
        </w:tc>
        <w:tc>
          <w:tcPr>
            <w:tcW w:w="1455" w:type="dxa"/>
            <w:tcBorders>
              <w:bottom w:val="nil"/>
            </w:tcBorders>
          </w:tcPr>
          <w:p w14:paraId="1ECB6D7D" w14:textId="77777777" w:rsidR="001825E2" w:rsidRDefault="000839A5" w:rsidP="00CB00A7">
            <w:pPr>
              <w:pStyle w:val="TableParagraph"/>
              <w:spacing w:before="1" w:line="258" w:lineRule="exact"/>
              <w:ind w:left="49" w:right="45"/>
              <w:jc w:val="left"/>
              <w:rPr>
                <w:sz w:val="24"/>
              </w:rPr>
            </w:pPr>
            <w:r>
              <w:rPr>
                <w:spacing w:val="-4"/>
                <w:sz w:val="24"/>
              </w:rPr>
              <w:t>6.7%</w:t>
            </w:r>
          </w:p>
        </w:tc>
        <w:tc>
          <w:tcPr>
            <w:tcW w:w="1440" w:type="dxa"/>
            <w:tcBorders>
              <w:bottom w:val="nil"/>
            </w:tcBorders>
          </w:tcPr>
          <w:p w14:paraId="7D341A04" w14:textId="77777777" w:rsidR="001825E2" w:rsidRDefault="000839A5" w:rsidP="00CB00A7">
            <w:pPr>
              <w:pStyle w:val="TableParagraph"/>
              <w:spacing w:before="1" w:line="258" w:lineRule="exact"/>
              <w:ind w:left="46" w:right="27"/>
              <w:jc w:val="left"/>
              <w:rPr>
                <w:sz w:val="24"/>
              </w:rPr>
            </w:pPr>
            <w:r>
              <w:rPr>
                <w:spacing w:val="-2"/>
                <w:sz w:val="24"/>
              </w:rPr>
              <w:t>21.6%</w:t>
            </w:r>
          </w:p>
        </w:tc>
      </w:tr>
      <w:tr w:rsidR="001825E2" w14:paraId="6EF5577E" w14:textId="77777777">
        <w:trPr>
          <w:trHeight w:val="275"/>
        </w:trPr>
        <w:tc>
          <w:tcPr>
            <w:tcW w:w="3450" w:type="dxa"/>
            <w:tcBorders>
              <w:top w:val="nil"/>
            </w:tcBorders>
          </w:tcPr>
          <w:p w14:paraId="1D6E6EA6" w14:textId="77777777" w:rsidR="001825E2" w:rsidRDefault="001825E2" w:rsidP="00CB00A7">
            <w:pPr>
              <w:pStyle w:val="TableParagraph"/>
              <w:ind w:left="0"/>
              <w:jc w:val="left"/>
              <w:rPr>
                <w:sz w:val="20"/>
              </w:rPr>
            </w:pPr>
          </w:p>
        </w:tc>
        <w:tc>
          <w:tcPr>
            <w:tcW w:w="1455" w:type="dxa"/>
            <w:tcBorders>
              <w:top w:val="nil"/>
            </w:tcBorders>
          </w:tcPr>
          <w:p w14:paraId="30978C1B" w14:textId="77777777" w:rsidR="001825E2" w:rsidRDefault="000839A5" w:rsidP="00CB00A7">
            <w:pPr>
              <w:pStyle w:val="TableParagraph"/>
              <w:spacing w:line="256" w:lineRule="exact"/>
              <w:ind w:left="49"/>
              <w:jc w:val="left"/>
              <w:rPr>
                <w:sz w:val="24"/>
              </w:rPr>
            </w:pPr>
            <w:r>
              <w:rPr>
                <w:spacing w:val="-2"/>
                <w:sz w:val="24"/>
              </w:rPr>
              <w:t>(4/64)</w:t>
            </w:r>
          </w:p>
        </w:tc>
        <w:tc>
          <w:tcPr>
            <w:tcW w:w="1440" w:type="dxa"/>
            <w:tcBorders>
              <w:top w:val="nil"/>
            </w:tcBorders>
          </w:tcPr>
          <w:p w14:paraId="40E6AB52" w14:textId="77777777" w:rsidR="001825E2" w:rsidRDefault="000839A5" w:rsidP="00CB00A7">
            <w:pPr>
              <w:pStyle w:val="TableParagraph"/>
              <w:spacing w:line="256" w:lineRule="exact"/>
              <w:ind w:left="46" w:right="12"/>
              <w:jc w:val="left"/>
              <w:rPr>
                <w:sz w:val="24"/>
              </w:rPr>
            </w:pPr>
            <w:r>
              <w:rPr>
                <w:spacing w:val="-2"/>
                <w:sz w:val="24"/>
              </w:rPr>
              <w:t>(55/243)</w:t>
            </w:r>
          </w:p>
        </w:tc>
        <w:tc>
          <w:tcPr>
            <w:tcW w:w="1455" w:type="dxa"/>
            <w:tcBorders>
              <w:top w:val="nil"/>
            </w:tcBorders>
          </w:tcPr>
          <w:p w14:paraId="6C473583" w14:textId="77777777" w:rsidR="001825E2" w:rsidRDefault="000839A5" w:rsidP="00CB00A7">
            <w:pPr>
              <w:pStyle w:val="TableParagraph"/>
              <w:spacing w:line="256" w:lineRule="exact"/>
              <w:ind w:left="49" w:right="30"/>
              <w:jc w:val="left"/>
              <w:rPr>
                <w:sz w:val="24"/>
              </w:rPr>
            </w:pPr>
            <w:r>
              <w:rPr>
                <w:spacing w:val="-2"/>
                <w:sz w:val="24"/>
              </w:rPr>
              <w:t>(4/60)</w:t>
            </w:r>
          </w:p>
        </w:tc>
        <w:tc>
          <w:tcPr>
            <w:tcW w:w="1440" w:type="dxa"/>
            <w:tcBorders>
              <w:top w:val="nil"/>
            </w:tcBorders>
          </w:tcPr>
          <w:p w14:paraId="02DCE2CC" w14:textId="77777777" w:rsidR="001825E2" w:rsidRDefault="000839A5" w:rsidP="00CB00A7">
            <w:pPr>
              <w:pStyle w:val="TableParagraph"/>
              <w:spacing w:line="256" w:lineRule="exact"/>
              <w:ind w:left="46" w:right="12"/>
              <w:jc w:val="left"/>
              <w:rPr>
                <w:sz w:val="24"/>
              </w:rPr>
            </w:pPr>
            <w:r>
              <w:rPr>
                <w:spacing w:val="-2"/>
                <w:sz w:val="24"/>
              </w:rPr>
              <w:t>(48/222)</w:t>
            </w:r>
          </w:p>
        </w:tc>
      </w:tr>
      <w:tr w:rsidR="001825E2" w14:paraId="1D234ADE" w14:textId="77777777">
        <w:trPr>
          <w:trHeight w:val="274"/>
        </w:trPr>
        <w:tc>
          <w:tcPr>
            <w:tcW w:w="3450" w:type="dxa"/>
            <w:tcBorders>
              <w:bottom w:val="nil"/>
            </w:tcBorders>
          </w:tcPr>
          <w:p w14:paraId="552A5D22" w14:textId="77777777" w:rsidR="001825E2" w:rsidRDefault="000839A5" w:rsidP="00CB00A7">
            <w:pPr>
              <w:pStyle w:val="TableParagraph"/>
              <w:spacing w:before="1" w:line="254" w:lineRule="exact"/>
              <w:jc w:val="left"/>
              <w:rPr>
                <w:sz w:val="24"/>
              </w:rPr>
            </w:pPr>
            <w:r>
              <w:rPr>
                <w:sz w:val="24"/>
              </w:rPr>
              <w:t>Without</w:t>
            </w:r>
            <w:r>
              <w:rPr>
                <w:spacing w:val="-13"/>
                <w:sz w:val="24"/>
              </w:rPr>
              <w:t xml:space="preserve"> </w:t>
            </w:r>
            <w:r>
              <w:rPr>
                <w:sz w:val="24"/>
              </w:rPr>
              <w:t>prior</w:t>
            </w:r>
            <w:r>
              <w:rPr>
                <w:spacing w:val="17"/>
                <w:sz w:val="24"/>
              </w:rPr>
              <w:t xml:space="preserve"> </w:t>
            </w:r>
            <w:r>
              <w:rPr>
                <w:sz w:val="24"/>
              </w:rPr>
              <w:t>TNF</w:t>
            </w:r>
            <w:r>
              <w:rPr>
                <w:spacing w:val="-4"/>
                <w:sz w:val="24"/>
              </w:rPr>
              <w:t xml:space="preserve"> </w:t>
            </w:r>
            <w:r>
              <w:rPr>
                <w:spacing w:val="-2"/>
                <w:sz w:val="24"/>
              </w:rPr>
              <w:t>inhibitor</w:t>
            </w:r>
          </w:p>
        </w:tc>
        <w:tc>
          <w:tcPr>
            <w:tcW w:w="1455" w:type="dxa"/>
            <w:tcBorders>
              <w:bottom w:val="nil"/>
            </w:tcBorders>
          </w:tcPr>
          <w:p w14:paraId="5543C288" w14:textId="77777777" w:rsidR="001825E2" w:rsidRDefault="000839A5" w:rsidP="00CB00A7">
            <w:pPr>
              <w:pStyle w:val="TableParagraph"/>
              <w:spacing w:before="1" w:line="254" w:lineRule="exact"/>
              <w:ind w:left="49" w:right="15"/>
              <w:jc w:val="left"/>
              <w:rPr>
                <w:sz w:val="24"/>
              </w:rPr>
            </w:pPr>
            <w:r>
              <w:rPr>
                <w:spacing w:val="-2"/>
                <w:sz w:val="24"/>
              </w:rPr>
              <w:t>25.9%</w:t>
            </w:r>
          </w:p>
        </w:tc>
        <w:tc>
          <w:tcPr>
            <w:tcW w:w="1440" w:type="dxa"/>
            <w:tcBorders>
              <w:bottom w:val="nil"/>
            </w:tcBorders>
          </w:tcPr>
          <w:p w14:paraId="238ACBCD" w14:textId="77777777" w:rsidR="001825E2" w:rsidRDefault="000839A5" w:rsidP="00CB00A7">
            <w:pPr>
              <w:pStyle w:val="TableParagraph"/>
              <w:spacing w:before="1" w:line="254" w:lineRule="exact"/>
              <w:ind w:left="46" w:right="27"/>
              <w:jc w:val="left"/>
              <w:rPr>
                <w:sz w:val="24"/>
              </w:rPr>
            </w:pPr>
            <w:r>
              <w:rPr>
                <w:spacing w:val="-2"/>
                <w:sz w:val="24"/>
              </w:rPr>
              <w:t>40.3%</w:t>
            </w:r>
          </w:p>
        </w:tc>
        <w:tc>
          <w:tcPr>
            <w:tcW w:w="1455" w:type="dxa"/>
            <w:tcBorders>
              <w:bottom w:val="nil"/>
            </w:tcBorders>
          </w:tcPr>
          <w:p w14:paraId="1EB93CA2" w14:textId="77777777" w:rsidR="001825E2" w:rsidRDefault="000839A5" w:rsidP="00CB00A7">
            <w:pPr>
              <w:pStyle w:val="TableParagraph"/>
              <w:spacing w:before="1" w:line="254" w:lineRule="exact"/>
              <w:ind w:left="49" w:right="45"/>
              <w:jc w:val="left"/>
              <w:rPr>
                <w:sz w:val="24"/>
              </w:rPr>
            </w:pPr>
            <w:r>
              <w:rPr>
                <w:spacing w:val="-2"/>
                <w:sz w:val="24"/>
              </w:rPr>
              <w:t>17.3%</w:t>
            </w:r>
          </w:p>
        </w:tc>
        <w:tc>
          <w:tcPr>
            <w:tcW w:w="1440" w:type="dxa"/>
            <w:tcBorders>
              <w:bottom w:val="nil"/>
            </w:tcBorders>
          </w:tcPr>
          <w:p w14:paraId="4357DF6E" w14:textId="77777777" w:rsidR="001825E2" w:rsidRDefault="000839A5" w:rsidP="00CB00A7">
            <w:pPr>
              <w:pStyle w:val="TableParagraph"/>
              <w:spacing w:before="1" w:line="254" w:lineRule="exact"/>
              <w:ind w:left="46" w:right="27"/>
              <w:jc w:val="left"/>
              <w:rPr>
                <w:sz w:val="24"/>
              </w:rPr>
            </w:pPr>
            <w:r>
              <w:rPr>
                <w:spacing w:val="-2"/>
                <w:sz w:val="24"/>
              </w:rPr>
              <w:t>35.7%</w:t>
            </w:r>
          </w:p>
        </w:tc>
      </w:tr>
      <w:tr w:rsidR="001825E2" w14:paraId="3F704180" w14:textId="77777777">
        <w:trPr>
          <w:trHeight w:val="265"/>
        </w:trPr>
        <w:tc>
          <w:tcPr>
            <w:tcW w:w="3450" w:type="dxa"/>
            <w:tcBorders>
              <w:top w:val="nil"/>
            </w:tcBorders>
          </w:tcPr>
          <w:p w14:paraId="6DFBDA32" w14:textId="77777777" w:rsidR="001825E2" w:rsidRDefault="000839A5" w:rsidP="00CB00A7">
            <w:pPr>
              <w:pStyle w:val="TableParagraph"/>
              <w:spacing w:line="245" w:lineRule="exact"/>
              <w:jc w:val="left"/>
              <w:rPr>
                <w:sz w:val="16"/>
              </w:rPr>
            </w:pPr>
            <w:r>
              <w:rPr>
                <w:spacing w:val="-2"/>
                <w:sz w:val="24"/>
              </w:rPr>
              <w:t>failure</w:t>
            </w:r>
            <w:r>
              <w:rPr>
                <w:spacing w:val="-2"/>
                <w:position w:val="7"/>
                <w:sz w:val="16"/>
              </w:rPr>
              <w:t>b</w:t>
            </w:r>
          </w:p>
        </w:tc>
        <w:tc>
          <w:tcPr>
            <w:tcW w:w="1455" w:type="dxa"/>
            <w:tcBorders>
              <w:top w:val="nil"/>
            </w:tcBorders>
          </w:tcPr>
          <w:p w14:paraId="71EEAF2A" w14:textId="77777777" w:rsidR="001825E2" w:rsidRDefault="000839A5" w:rsidP="00CB00A7">
            <w:pPr>
              <w:pStyle w:val="TableParagraph"/>
              <w:spacing w:line="245" w:lineRule="exact"/>
              <w:ind w:left="49"/>
              <w:jc w:val="left"/>
              <w:rPr>
                <w:sz w:val="24"/>
              </w:rPr>
            </w:pPr>
            <w:r>
              <w:rPr>
                <w:spacing w:val="-2"/>
                <w:sz w:val="24"/>
              </w:rPr>
              <w:t>(15/58)</w:t>
            </w:r>
          </w:p>
        </w:tc>
        <w:tc>
          <w:tcPr>
            <w:tcW w:w="1440" w:type="dxa"/>
            <w:tcBorders>
              <w:top w:val="nil"/>
            </w:tcBorders>
          </w:tcPr>
          <w:p w14:paraId="6CC2D9F6" w14:textId="77777777" w:rsidR="001825E2" w:rsidRDefault="000839A5" w:rsidP="00CB00A7">
            <w:pPr>
              <w:pStyle w:val="TableParagraph"/>
              <w:spacing w:line="245" w:lineRule="exact"/>
              <w:ind w:left="46" w:right="12"/>
              <w:jc w:val="left"/>
              <w:rPr>
                <w:sz w:val="24"/>
              </w:rPr>
            </w:pPr>
            <w:r>
              <w:rPr>
                <w:spacing w:val="-2"/>
                <w:sz w:val="24"/>
              </w:rPr>
              <w:t>(94/233)</w:t>
            </w:r>
          </w:p>
        </w:tc>
        <w:tc>
          <w:tcPr>
            <w:tcW w:w="1455" w:type="dxa"/>
            <w:tcBorders>
              <w:top w:val="nil"/>
            </w:tcBorders>
          </w:tcPr>
          <w:p w14:paraId="0A30AE61" w14:textId="77777777" w:rsidR="001825E2" w:rsidRDefault="000839A5" w:rsidP="00CB00A7">
            <w:pPr>
              <w:pStyle w:val="TableParagraph"/>
              <w:spacing w:line="245" w:lineRule="exact"/>
              <w:ind w:left="49" w:right="30"/>
              <w:jc w:val="left"/>
              <w:rPr>
                <w:sz w:val="24"/>
              </w:rPr>
            </w:pPr>
            <w:r>
              <w:rPr>
                <w:spacing w:val="-2"/>
                <w:sz w:val="24"/>
              </w:rPr>
              <w:t>(9/52)</w:t>
            </w:r>
          </w:p>
        </w:tc>
        <w:tc>
          <w:tcPr>
            <w:tcW w:w="1440" w:type="dxa"/>
            <w:tcBorders>
              <w:top w:val="nil"/>
            </w:tcBorders>
          </w:tcPr>
          <w:p w14:paraId="089E6408" w14:textId="77777777" w:rsidR="001825E2" w:rsidRDefault="000839A5" w:rsidP="00CB00A7">
            <w:pPr>
              <w:pStyle w:val="TableParagraph"/>
              <w:spacing w:line="245" w:lineRule="exact"/>
              <w:ind w:left="46" w:right="12"/>
              <w:jc w:val="left"/>
              <w:rPr>
                <w:sz w:val="24"/>
              </w:rPr>
            </w:pPr>
            <w:r>
              <w:rPr>
                <w:spacing w:val="-2"/>
                <w:sz w:val="24"/>
              </w:rPr>
              <w:t>(74/207)</w:t>
            </w:r>
          </w:p>
        </w:tc>
      </w:tr>
    </w:tbl>
    <w:p w14:paraId="508DA6FD" w14:textId="77777777" w:rsidR="001825E2" w:rsidRDefault="000839A5" w:rsidP="00CB00A7">
      <w:pPr>
        <w:spacing w:before="3"/>
        <w:ind w:left="220"/>
        <w:rPr>
          <w:sz w:val="18"/>
        </w:rPr>
      </w:pPr>
      <w:r>
        <w:rPr>
          <w:sz w:val="18"/>
        </w:rPr>
        <w:t>TNF=</w:t>
      </w:r>
      <w:proofErr w:type="spellStart"/>
      <w:r>
        <w:rPr>
          <w:sz w:val="18"/>
        </w:rPr>
        <w:t>tumour</w:t>
      </w:r>
      <w:proofErr w:type="spellEnd"/>
      <w:r>
        <w:rPr>
          <w:spacing w:val="-11"/>
          <w:sz w:val="18"/>
        </w:rPr>
        <w:t xml:space="preserve"> </w:t>
      </w:r>
      <w:r>
        <w:rPr>
          <w:sz w:val="18"/>
        </w:rPr>
        <w:t>necrosis</w:t>
      </w:r>
      <w:r>
        <w:rPr>
          <w:spacing w:val="-5"/>
          <w:sz w:val="18"/>
        </w:rPr>
        <w:t xml:space="preserve"> </w:t>
      </w:r>
      <w:r>
        <w:rPr>
          <w:sz w:val="18"/>
        </w:rPr>
        <w:t>factor;</w:t>
      </w:r>
      <w:r>
        <w:rPr>
          <w:spacing w:val="10"/>
          <w:sz w:val="18"/>
        </w:rPr>
        <w:t xml:space="preserve"> </w:t>
      </w:r>
      <w:r>
        <w:rPr>
          <w:sz w:val="18"/>
        </w:rPr>
        <w:t>N=number</w:t>
      </w:r>
      <w:r>
        <w:rPr>
          <w:spacing w:val="-9"/>
          <w:sz w:val="18"/>
        </w:rPr>
        <w:t xml:space="preserve"> </w:t>
      </w:r>
      <w:r>
        <w:rPr>
          <w:sz w:val="18"/>
        </w:rPr>
        <w:t>of</w:t>
      </w:r>
      <w:r>
        <w:rPr>
          <w:spacing w:val="-8"/>
          <w:sz w:val="18"/>
        </w:rPr>
        <w:t xml:space="preserve"> </w:t>
      </w:r>
      <w:r>
        <w:rPr>
          <w:sz w:val="18"/>
        </w:rPr>
        <w:t>patients</w:t>
      </w:r>
      <w:r>
        <w:rPr>
          <w:spacing w:val="6"/>
          <w:sz w:val="18"/>
        </w:rPr>
        <w:t xml:space="preserve"> </w:t>
      </w:r>
      <w:r>
        <w:rPr>
          <w:sz w:val="18"/>
        </w:rPr>
        <w:t>in</w:t>
      </w:r>
      <w:r>
        <w:rPr>
          <w:spacing w:val="3"/>
          <w:sz w:val="18"/>
        </w:rPr>
        <w:t xml:space="preserve"> </w:t>
      </w:r>
      <w:r>
        <w:rPr>
          <w:sz w:val="18"/>
        </w:rPr>
        <w:t>the</w:t>
      </w:r>
      <w:r>
        <w:rPr>
          <w:spacing w:val="-11"/>
          <w:sz w:val="18"/>
        </w:rPr>
        <w:t xml:space="preserve"> </w:t>
      </w:r>
      <w:r>
        <w:rPr>
          <w:sz w:val="18"/>
        </w:rPr>
        <w:t>analysis</w:t>
      </w:r>
      <w:r>
        <w:rPr>
          <w:spacing w:val="7"/>
          <w:sz w:val="18"/>
        </w:rPr>
        <w:t xml:space="preserve"> </w:t>
      </w:r>
      <w:r>
        <w:rPr>
          <w:spacing w:val="-4"/>
          <w:sz w:val="18"/>
        </w:rPr>
        <w:t>set.</w:t>
      </w:r>
    </w:p>
    <w:p w14:paraId="654C096E" w14:textId="77777777" w:rsidR="001825E2" w:rsidRDefault="000839A5" w:rsidP="00CB00A7">
      <w:pPr>
        <w:spacing w:before="13" w:line="225" w:lineRule="auto"/>
        <w:ind w:left="355" w:right="745" w:hanging="135"/>
        <w:rPr>
          <w:sz w:val="18"/>
        </w:rPr>
      </w:pPr>
      <w:r>
        <w:rPr>
          <w:sz w:val="18"/>
          <w:vertAlign w:val="superscript"/>
        </w:rPr>
        <w:t>a.</w:t>
      </w:r>
      <w:r>
        <w:rPr>
          <w:spacing w:val="-1"/>
          <w:sz w:val="18"/>
        </w:rPr>
        <w:t xml:space="preserve"> </w:t>
      </w:r>
      <w:r>
        <w:rPr>
          <w:sz w:val="18"/>
        </w:rPr>
        <w:t>Remission</w:t>
      </w:r>
      <w:r>
        <w:rPr>
          <w:spacing w:val="28"/>
          <w:sz w:val="18"/>
        </w:rPr>
        <w:t xml:space="preserve"> </w:t>
      </w:r>
      <w:r>
        <w:rPr>
          <w:sz w:val="18"/>
        </w:rPr>
        <w:t>was</w:t>
      </w:r>
      <w:r>
        <w:rPr>
          <w:spacing w:val="33"/>
          <w:sz w:val="18"/>
        </w:rPr>
        <w:t xml:space="preserve"> </w:t>
      </w:r>
      <w:r>
        <w:rPr>
          <w:sz w:val="18"/>
        </w:rPr>
        <w:t>defined</w:t>
      </w:r>
      <w:r>
        <w:rPr>
          <w:spacing w:val="29"/>
          <w:sz w:val="18"/>
        </w:rPr>
        <w:t xml:space="preserve"> </w:t>
      </w:r>
      <w:r>
        <w:rPr>
          <w:sz w:val="18"/>
        </w:rPr>
        <w:t>as</w:t>
      </w:r>
      <w:r>
        <w:rPr>
          <w:spacing w:val="33"/>
          <w:sz w:val="18"/>
        </w:rPr>
        <w:t xml:space="preserve"> </w:t>
      </w:r>
      <w:r>
        <w:rPr>
          <w:sz w:val="18"/>
        </w:rPr>
        <w:t>clinical</w:t>
      </w:r>
      <w:r>
        <w:rPr>
          <w:spacing w:val="39"/>
          <w:sz w:val="18"/>
        </w:rPr>
        <w:t xml:space="preserve"> </w:t>
      </w:r>
      <w:r>
        <w:rPr>
          <w:sz w:val="18"/>
        </w:rPr>
        <w:t>remission</w:t>
      </w:r>
      <w:r>
        <w:rPr>
          <w:spacing w:val="29"/>
          <w:sz w:val="18"/>
        </w:rPr>
        <w:t xml:space="preserve"> </w:t>
      </w:r>
      <w:r>
        <w:rPr>
          <w:sz w:val="18"/>
        </w:rPr>
        <w:t>(a</w:t>
      </w:r>
      <w:r>
        <w:rPr>
          <w:spacing w:val="24"/>
          <w:sz w:val="18"/>
        </w:rPr>
        <w:t xml:space="preserve"> </w:t>
      </w:r>
      <w:r>
        <w:rPr>
          <w:sz w:val="18"/>
        </w:rPr>
        <w:t>Mayo</w:t>
      </w:r>
      <w:r>
        <w:rPr>
          <w:spacing w:val="29"/>
          <w:sz w:val="18"/>
        </w:rPr>
        <w:t xml:space="preserve"> </w:t>
      </w:r>
      <w:r>
        <w:rPr>
          <w:sz w:val="18"/>
        </w:rPr>
        <w:t>score</w:t>
      </w:r>
      <w:r>
        <w:rPr>
          <w:spacing w:val="39"/>
          <w:sz w:val="18"/>
        </w:rPr>
        <w:t xml:space="preserve"> </w:t>
      </w:r>
      <w:r>
        <w:rPr>
          <w:sz w:val="18"/>
        </w:rPr>
        <w:t>≤ 2</w:t>
      </w:r>
      <w:r>
        <w:rPr>
          <w:spacing w:val="29"/>
          <w:sz w:val="18"/>
        </w:rPr>
        <w:t xml:space="preserve"> </w:t>
      </w:r>
      <w:r>
        <w:rPr>
          <w:sz w:val="18"/>
        </w:rPr>
        <w:t>with</w:t>
      </w:r>
      <w:r>
        <w:rPr>
          <w:spacing w:val="29"/>
          <w:sz w:val="18"/>
        </w:rPr>
        <w:t xml:space="preserve"> </w:t>
      </w:r>
      <w:r>
        <w:rPr>
          <w:sz w:val="18"/>
        </w:rPr>
        <w:t>no</w:t>
      </w:r>
      <w:r>
        <w:rPr>
          <w:spacing w:val="29"/>
          <w:sz w:val="18"/>
        </w:rPr>
        <w:t xml:space="preserve"> </w:t>
      </w:r>
      <w:r>
        <w:rPr>
          <w:sz w:val="18"/>
        </w:rPr>
        <w:t>individual</w:t>
      </w:r>
      <w:r>
        <w:rPr>
          <w:spacing w:val="24"/>
          <w:sz w:val="18"/>
        </w:rPr>
        <w:t xml:space="preserve"> </w:t>
      </w:r>
      <w:proofErr w:type="spellStart"/>
      <w:r>
        <w:rPr>
          <w:sz w:val="18"/>
        </w:rPr>
        <w:t>subscore</w:t>
      </w:r>
      <w:proofErr w:type="spellEnd"/>
      <w:r>
        <w:rPr>
          <w:spacing w:val="24"/>
          <w:sz w:val="18"/>
        </w:rPr>
        <w:t xml:space="preserve"> </w:t>
      </w:r>
      <w:r>
        <w:rPr>
          <w:sz w:val="18"/>
        </w:rPr>
        <w:t>&gt; 1)</w:t>
      </w:r>
      <w:r>
        <w:rPr>
          <w:spacing w:val="29"/>
          <w:sz w:val="18"/>
        </w:rPr>
        <w:t xml:space="preserve"> </w:t>
      </w:r>
      <w:r>
        <w:rPr>
          <w:sz w:val="18"/>
        </w:rPr>
        <w:t>and</w:t>
      </w:r>
      <w:r>
        <w:rPr>
          <w:spacing w:val="29"/>
          <w:sz w:val="18"/>
        </w:rPr>
        <w:t xml:space="preserve"> </w:t>
      </w:r>
      <w:r>
        <w:rPr>
          <w:sz w:val="18"/>
        </w:rPr>
        <w:t>rectal</w:t>
      </w:r>
      <w:r>
        <w:rPr>
          <w:spacing w:val="24"/>
          <w:sz w:val="18"/>
        </w:rPr>
        <w:t xml:space="preserve"> </w:t>
      </w:r>
      <w:r>
        <w:rPr>
          <w:sz w:val="18"/>
        </w:rPr>
        <w:t xml:space="preserve">bleeding </w:t>
      </w:r>
      <w:proofErr w:type="spellStart"/>
      <w:r>
        <w:rPr>
          <w:sz w:val="18"/>
        </w:rPr>
        <w:t>subscore</w:t>
      </w:r>
      <w:proofErr w:type="spellEnd"/>
      <w:r>
        <w:rPr>
          <w:sz w:val="18"/>
        </w:rPr>
        <w:t xml:space="preserve"> of 0.</w:t>
      </w:r>
    </w:p>
    <w:p w14:paraId="3112B2C7" w14:textId="77777777" w:rsidR="001825E2" w:rsidRDefault="000839A5" w:rsidP="00CB00A7">
      <w:pPr>
        <w:spacing w:before="6"/>
        <w:ind w:left="220"/>
        <w:rPr>
          <w:sz w:val="18"/>
        </w:rPr>
      </w:pPr>
      <w:r>
        <w:rPr>
          <w:sz w:val="18"/>
          <w:vertAlign w:val="superscript"/>
        </w:rPr>
        <w:t>b.</w:t>
      </w:r>
      <w:r>
        <w:rPr>
          <w:spacing w:val="-8"/>
          <w:sz w:val="18"/>
        </w:rPr>
        <w:t xml:space="preserve"> </w:t>
      </w:r>
      <w:r>
        <w:rPr>
          <w:sz w:val="18"/>
        </w:rPr>
        <w:t>Included</w:t>
      </w:r>
      <w:r>
        <w:rPr>
          <w:spacing w:val="4"/>
          <w:sz w:val="18"/>
        </w:rPr>
        <w:t xml:space="preserve"> </w:t>
      </w:r>
      <w:r>
        <w:rPr>
          <w:sz w:val="18"/>
        </w:rPr>
        <w:t>TNF</w:t>
      </w:r>
      <w:r>
        <w:rPr>
          <w:spacing w:val="-4"/>
          <w:sz w:val="18"/>
        </w:rPr>
        <w:t xml:space="preserve"> </w:t>
      </w:r>
      <w:r>
        <w:rPr>
          <w:sz w:val="18"/>
        </w:rPr>
        <w:t>Inhibitor</w:t>
      </w:r>
      <w:r>
        <w:rPr>
          <w:spacing w:val="4"/>
          <w:sz w:val="18"/>
        </w:rPr>
        <w:t xml:space="preserve"> </w:t>
      </w:r>
      <w:r>
        <w:rPr>
          <w:sz w:val="18"/>
        </w:rPr>
        <w:t>naïve</w:t>
      </w:r>
      <w:r>
        <w:rPr>
          <w:spacing w:val="1"/>
          <w:sz w:val="18"/>
        </w:rPr>
        <w:t xml:space="preserve"> </w:t>
      </w:r>
      <w:proofErr w:type="gramStart"/>
      <w:r>
        <w:rPr>
          <w:spacing w:val="-2"/>
          <w:sz w:val="18"/>
        </w:rPr>
        <w:t>patients</w:t>
      </w:r>
      <w:proofErr w:type="gramEnd"/>
    </w:p>
    <w:p w14:paraId="356152C3" w14:textId="77777777" w:rsidR="001825E2" w:rsidRDefault="000839A5" w:rsidP="00CB00A7">
      <w:pPr>
        <w:spacing w:before="3" w:line="242" w:lineRule="auto"/>
        <w:ind w:left="355" w:right="745" w:hanging="135"/>
        <w:rPr>
          <w:sz w:val="18"/>
        </w:rPr>
      </w:pPr>
      <w:r>
        <w:rPr>
          <w:sz w:val="18"/>
          <w:vertAlign w:val="superscript"/>
        </w:rPr>
        <w:t>c.</w:t>
      </w:r>
      <w:r>
        <w:rPr>
          <w:spacing w:val="-5"/>
          <w:sz w:val="18"/>
        </w:rPr>
        <w:t xml:space="preserve"> </w:t>
      </w:r>
      <w:r>
        <w:rPr>
          <w:sz w:val="18"/>
        </w:rPr>
        <w:t xml:space="preserve">Improvement of endoscopic appearance of the mucosa was defined as Mayo endoscopy </w:t>
      </w:r>
      <w:proofErr w:type="spellStart"/>
      <w:r>
        <w:rPr>
          <w:sz w:val="18"/>
        </w:rPr>
        <w:t>subscore</w:t>
      </w:r>
      <w:proofErr w:type="spellEnd"/>
      <w:r>
        <w:rPr>
          <w:sz w:val="18"/>
        </w:rPr>
        <w:t xml:space="preserve"> of 0</w:t>
      </w:r>
      <w:r>
        <w:rPr>
          <w:spacing w:val="-6"/>
          <w:sz w:val="18"/>
        </w:rPr>
        <w:t xml:space="preserve"> </w:t>
      </w:r>
      <w:r>
        <w:rPr>
          <w:sz w:val="18"/>
        </w:rPr>
        <w:t>(normal or inactive disease) or 1 (erythema, decreased</w:t>
      </w:r>
      <w:r>
        <w:rPr>
          <w:spacing w:val="40"/>
          <w:sz w:val="18"/>
        </w:rPr>
        <w:t xml:space="preserve"> </w:t>
      </w:r>
      <w:r>
        <w:rPr>
          <w:sz w:val="18"/>
        </w:rPr>
        <w:t>vascular pattern).</w:t>
      </w:r>
    </w:p>
    <w:p w14:paraId="71B0CDD7" w14:textId="77777777" w:rsidR="001825E2" w:rsidRDefault="001825E2" w:rsidP="00CB00A7">
      <w:pPr>
        <w:pStyle w:val="BodyText"/>
        <w:spacing w:before="43"/>
        <w:jc w:val="left"/>
        <w:rPr>
          <w:sz w:val="18"/>
        </w:rPr>
      </w:pPr>
    </w:p>
    <w:p w14:paraId="26D5AA7E" w14:textId="77777777" w:rsidR="001825E2" w:rsidRDefault="000839A5" w:rsidP="00CB00A7">
      <w:pPr>
        <w:pStyle w:val="BodyText"/>
        <w:spacing w:line="235" w:lineRule="auto"/>
        <w:ind w:left="219" w:right="760"/>
        <w:jc w:val="left"/>
      </w:pPr>
      <w:r>
        <w:t xml:space="preserve">Decreases in rectal bleeding and stool frequency </w:t>
      </w:r>
      <w:proofErr w:type="spellStart"/>
      <w:r>
        <w:t>subscores</w:t>
      </w:r>
      <w:proofErr w:type="spellEnd"/>
      <w:r>
        <w:t xml:space="preserve"> were observed by Week 2 in patients treated with XELJANZ.</w:t>
      </w:r>
    </w:p>
    <w:p w14:paraId="6DFA6123" w14:textId="77777777" w:rsidR="001825E2" w:rsidRDefault="000839A5" w:rsidP="00CB00A7">
      <w:pPr>
        <w:spacing w:before="250"/>
        <w:ind w:left="219"/>
        <w:rPr>
          <w:i/>
          <w:sz w:val="24"/>
        </w:rPr>
      </w:pPr>
      <w:r>
        <w:rPr>
          <w:i/>
          <w:sz w:val="24"/>
        </w:rPr>
        <w:t>Maintenance</w:t>
      </w:r>
      <w:r>
        <w:rPr>
          <w:i/>
          <w:spacing w:val="20"/>
          <w:sz w:val="24"/>
        </w:rPr>
        <w:t xml:space="preserve"> </w:t>
      </w:r>
      <w:r>
        <w:rPr>
          <w:i/>
          <w:sz w:val="24"/>
        </w:rPr>
        <w:t>(OCTAVE</w:t>
      </w:r>
      <w:r>
        <w:rPr>
          <w:i/>
          <w:spacing w:val="-15"/>
          <w:sz w:val="24"/>
        </w:rPr>
        <w:t xml:space="preserve"> </w:t>
      </w:r>
      <w:r>
        <w:rPr>
          <w:i/>
          <w:spacing w:val="-2"/>
          <w:sz w:val="24"/>
        </w:rPr>
        <w:t>Sustain)</w:t>
      </w:r>
    </w:p>
    <w:p w14:paraId="396D72DA" w14:textId="77777777" w:rsidR="001825E2" w:rsidRDefault="000839A5" w:rsidP="00CB00A7">
      <w:pPr>
        <w:pStyle w:val="BodyText"/>
        <w:spacing w:before="114" w:line="242" w:lineRule="auto"/>
        <w:ind w:left="218" w:right="736"/>
        <w:jc w:val="left"/>
      </w:pPr>
      <w:r>
        <w:t>Patients who completed 8 weeks in 1 of the induction studies and achieved clinical response were re-</w:t>
      </w:r>
      <w:proofErr w:type="spellStart"/>
      <w:r>
        <w:t>randomised</w:t>
      </w:r>
      <w:proofErr w:type="spellEnd"/>
      <w:r>
        <w:t xml:space="preserve"> into OCTAVE Sustain (Study UC-III); 179 out of 593 (30.2%) patients were in remission</w:t>
      </w:r>
      <w:r>
        <w:rPr>
          <w:spacing w:val="40"/>
        </w:rPr>
        <w:t xml:space="preserve"> </w:t>
      </w:r>
      <w:r>
        <w:t>at baseline</w:t>
      </w:r>
      <w:r>
        <w:rPr>
          <w:spacing w:val="40"/>
        </w:rPr>
        <w:t xml:space="preserve"> </w:t>
      </w:r>
      <w:r>
        <w:t>of OCTAVE</w:t>
      </w:r>
      <w:r>
        <w:rPr>
          <w:spacing w:val="-2"/>
        </w:rPr>
        <w:t xml:space="preserve"> </w:t>
      </w:r>
      <w:r>
        <w:t>Sustain.</w:t>
      </w:r>
    </w:p>
    <w:p w14:paraId="36DBE7D8" w14:textId="77777777" w:rsidR="001825E2" w:rsidRDefault="000839A5" w:rsidP="00CB00A7">
      <w:pPr>
        <w:pStyle w:val="BodyText"/>
        <w:spacing w:before="228" w:line="242" w:lineRule="auto"/>
        <w:ind w:left="218" w:right="740"/>
        <w:jc w:val="left"/>
      </w:pPr>
      <w:r>
        <w:t>The primary endpoint in OCTAVE Sustain was the proportion of patients in remission at Week</w:t>
      </w:r>
      <w:r>
        <w:rPr>
          <w:spacing w:val="-1"/>
        </w:rPr>
        <w:t xml:space="preserve"> </w:t>
      </w:r>
      <w:r>
        <w:t>52. The</w:t>
      </w:r>
      <w:r>
        <w:rPr>
          <w:spacing w:val="27"/>
        </w:rPr>
        <w:t xml:space="preserve"> </w:t>
      </w:r>
      <w:r>
        <w:t>2 key secondary endpoints were the proportion of patients with improvement of endoscopic appearance at Week 52, and the proportion of patients with sustained corticosteroid-free remission at both Week 24 and Week 52 among patients in remission at baseline of OCTAVE Sustain.</w:t>
      </w:r>
    </w:p>
    <w:p w14:paraId="2D5A0A5C" w14:textId="77777777" w:rsidR="001825E2" w:rsidRDefault="000839A5" w:rsidP="00CB00A7">
      <w:pPr>
        <w:pStyle w:val="BodyText"/>
        <w:spacing w:before="226"/>
        <w:ind w:left="217" w:right="725"/>
        <w:jc w:val="left"/>
      </w:pPr>
      <w:r>
        <w:t>A significantly greater proportion of patients in both the XELJANZ 5 mg twice daily and XELJANZ 10</w:t>
      </w:r>
      <w:r>
        <w:rPr>
          <w:spacing w:val="-3"/>
        </w:rPr>
        <w:t xml:space="preserve"> </w:t>
      </w:r>
      <w:r>
        <w:t>mg</w:t>
      </w:r>
      <w:r>
        <w:rPr>
          <w:spacing w:val="-3"/>
        </w:rPr>
        <w:t xml:space="preserve"> </w:t>
      </w:r>
      <w:r>
        <w:t>twice</w:t>
      </w:r>
      <w:r>
        <w:rPr>
          <w:spacing w:val="-5"/>
        </w:rPr>
        <w:t xml:space="preserve"> </w:t>
      </w:r>
      <w:r>
        <w:t>daily treatment groups achieved the</w:t>
      </w:r>
      <w:r>
        <w:rPr>
          <w:spacing w:val="-5"/>
        </w:rPr>
        <w:t xml:space="preserve"> </w:t>
      </w:r>
      <w:r>
        <w:t>following endpoints at Week</w:t>
      </w:r>
      <w:r>
        <w:rPr>
          <w:spacing w:val="-3"/>
        </w:rPr>
        <w:t xml:space="preserve"> </w:t>
      </w:r>
      <w:r>
        <w:t xml:space="preserve">52 as compared to placebo: remission, improvement of endoscopic appearance of the mucosa, </w:t>
      </w:r>
      <w:proofErr w:type="spellStart"/>
      <w:r>
        <w:t>normalisation</w:t>
      </w:r>
      <w:proofErr w:type="spellEnd"/>
      <w:r>
        <w:t xml:space="preserve"> of endoscopic appearance of the mucosa, maintenance of clinical response, remission</w:t>
      </w:r>
      <w:r>
        <w:rPr>
          <w:spacing w:val="-6"/>
        </w:rPr>
        <w:t xml:space="preserve"> </w:t>
      </w:r>
      <w:r>
        <w:t>among</w:t>
      </w:r>
      <w:r>
        <w:rPr>
          <w:spacing w:val="-6"/>
        </w:rPr>
        <w:t xml:space="preserve"> </w:t>
      </w:r>
      <w:r>
        <w:t>patients</w:t>
      </w:r>
      <w:r>
        <w:rPr>
          <w:spacing w:val="-9"/>
        </w:rPr>
        <w:t xml:space="preserve"> </w:t>
      </w:r>
      <w:r>
        <w:t>in remission</w:t>
      </w:r>
      <w:r>
        <w:rPr>
          <w:spacing w:val="-6"/>
        </w:rPr>
        <w:t xml:space="preserve"> </w:t>
      </w:r>
      <w:r>
        <w:t>at baseline,</w:t>
      </w:r>
      <w:r>
        <w:rPr>
          <w:spacing w:val="-6"/>
        </w:rPr>
        <w:t xml:space="preserve"> </w:t>
      </w:r>
      <w:r>
        <w:t>and sustained corticosteroid-free</w:t>
      </w:r>
      <w:r>
        <w:rPr>
          <w:spacing w:val="-8"/>
        </w:rPr>
        <w:t xml:space="preserve"> </w:t>
      </w:r>
      <w:r>
        <w:t>remission at both</w:t>
      </w:r>
      <w:r>
        <w:rPr>
          <w:spacing w:val="-11"/>
        </w:rPr>
        <w:t xml:space="preserve"> </w:t>
      </w:r>
      <w:r>
        <w:t>Week 24 and Week 52 among patients in remission</w:t>
      </w:r>
      <w:r>
        <w:rPr>
          <w:spacing w:val="39"/>
        </w:rPr>
        <w:t xml:space="preserve"> </w:t>
      </w:r>
      <w:r>
        <w:t>at</w:t>
      </w:r>
      <w:r>
        <w:rPr>
          <w:spacing w:val="-2"/>
        </w:rPr>
        <w:t xml:space="preserve"> </w:t>
      </w:r>
      <w:r>
        <w:t>baseline.</w:t>
      </w:r>
    </w:p>
    <w:p w14:paraId="724C2A6F" w14:textId="77777777" w:rsidR="001825E2" w:rsidRDefault="000839A5" w:rsidP="00CB00A7">
      <w:pPr>
        <w:pStyle w:val="BodyText"/>
        <w:spacing w:before="254" w:line="235" w:lineRule="auto"/>
        <w:ind w:left="216" w:right="748"/>
        <w:jc w:val="left"/>
      </w:pPr>
      <w:r>
        <w:t>In</w:t>
      </w:r>
      <w:r>
        <w:rPr>
          <w:spacing w:val="-1"/>
        </w:rPr>
        <w:t xml:space="preserve"> </w:t>
      </w:r>
      <w:r>
        <w:t>both</w:t>
      </w:r>
      <w:r>
        <w:rPr>
          <w:spacing w:val="-1"/>
        </w:rPr>
        <w:t xml:space="preserve"> </w:t>
      </w:r>
      <w:r>
        <w:t>subgroups</w:t>
      </w:r>
      <w:r>
        <w:rPr>
          <w:spacing w:val="-5"/>
        </w:rPr>
        <w:t xml:space="preserve"> </w:t>
      </w:r>
      <w:r>
        <w:t>of patients</w:t>
      </w:r>
      <w:r>
        <w:rPr>
          <w:spacing w:val="-5"/>
        </w:rPr>
        <w:t xml:space="preserve"> </w:t>
      </w:r>
      <w:r>
        <w:t>with</w:t>
      </w:r>
      <w:r>
        <w:rPr>
          <w:spacing w:val="-1"/>
        </w:rPr>
        <w:t xml:space="preserve"> </w:t>
      </w:r>
      <w:r>
        <w:t>or</w:t>
      </w:r>
      <w:r>
        <w:rPr>
          <w:spacing w:val="-6"/>
        </w:rPr>
        <w:t xml:space="preserve"> </w:t>
      </w:r>
      <w:r>
        <w:t>without prior</w:t>
      </w:r>
      <w:r>
        <w:rPr>
          <w:spacing w:val="-6"/>
        </w:rPr>
        <w:t xml:space="preserve"> </w:t>
      </w:r>
      <w:r>
        <w:t>TNF inhibitor</w:t>
      </w:r>
      <w:r>
        <w:rPr>
          <w:spacing w:val="-6"/>
        </w:rPr>
        <w:t xml:space="preserve"> </w:t>
      </w:r>
      <w:r>
        <w:t>failure, a</w:t>
      </w:r>
      <w:r>
        <w:rPr>
          <w:spacing w:val="-3"/>
        </w:rPr>
        <w:t xml:space="preserve"> </w:t>
      </w:r>
      <w:r>
        <w:t>greater</w:t>
      </w:r>
      <w:r>
        <w:rPr>
          <w:spacing w:val="-6"/>
        </w:rPr>
        <w:t xml:space="preserve"> </w:t>
      </w:r>
      <w:r>
        <w:t>proportion of patients treated with either XELJANZ 5 mg twice daily or XELJANZ 10</w:t>
      </w:r>
      <w:r>
        <w:rPr>
          <w:spacing w:val="-1"/>
        </w:rPr>
        <w:t xml:space="preserve"> </w:t>
      </w:r>
      <w:r>
        <w:t>mg twice daily achieved</w:t>
      </w:r>
      <w:r>
        <w:rPr>
          <w:spacing w:val="28"/>
        </w:rPr>
        <w:t xml:space="preserve"> </w:t>
      </w:r>
      <w:r>
        <w:t>the</w:t>
      </w:r>
      <w:r>
        <w:rPr>
          <w:spacing w:val="13"/>
        </w:rPr>
        <w:t xml:space="preserve"> </w:t>
      </w:r>
      <w:r>
        <w:t>following</w:t>
      </w:r>
      <w:r>
        <w:rPr>
          <w:spacing w:val="15"/>
        </w:rPr>
        <w:t xml:space="preserve"> </w:t>
      </w:r>
      <w:r>
        <w:t>endpoints</w:t>
      </w:r>
      <w:r>
        <w:rPr>
          <w:spacing w:val="11"/>
        </w:rPr>
        <w:t xml:space="preserve"> </w:t>
      </w:r>
      <w:r>
        <w:t>at</w:t>
      </w:r>
      <w:r>
        <w:rPr>
          <w:spacing w:val="24"/>
        </w:rPr>
        <w:t xml:space="preserve"> </w:t>
      </w:r>
      <w:r>
        <w:t>Week 52</w:t>
      </w:r>
      <w:r>
        <w:rPr>
          <w:spacing w:val="15"/>
        </w:rPr>
        <w:t xml:space="preserve"> </w:t>
      </w:r>
      <w:r>
        <w:t>of</w:t>
      </w:r>
      <w:r>
        <w:rPr>
          <w:spacing w:val="25"/>
        </w:rPr>
        <w:t xml:space="preserve"> </w:t>
      </w:r>
      <w:r>
        <w:t>OCTAVE</w:t>
      </w:r>
      <w:r>
        <w:rPr>
          <w:spacing w:val="19"/>
        </w:rPr>
        <w:t xml:space="preserve"> </w:t>
      </w:r>
      <w:r>
        <w:t>Sustain</w:t>
      </w:r>
      <w:r>
        <w:rPr>
          <w:spacing w:val="14"/>
        </w:rPr>
        <w:t xml:space="preserve"> </w:t>
      </w:r>
      <w:r>
        <w:t>as</w:t>
      </w:r>
      <w:r>
        <w:rPr>
          <w:spacing w:val="11"/>
        </w:rPr>
        <w:t xml:space="preserve"> </w:t>
      </w:r>
      <w:r>
        <w:t>compared</w:t>
      </w:r>
      <w:r>
        <w:rPr>
          <w:spacing w:val="30"/>
        </w:rPr>
        <w:t xml:space="preserve"> </w:t>
      </w:r>
      <w:r>
        <w:t>to</w:t>
      </w:r>
      <w:r>
        <w:rPr>
          <w:spacing w:val="16"/>
        </w:rPr>
        <w:t xml:space="preserve"> </w:t>
      </w:r>
      <w:r>
        <w:rPr>
          <w:spacing w:val="-2"/>
        </w:rPr>
        <w:t>placebo:</w:t>
      </w:r>
    </w:p>
    <w:p w14:paraId="6F04DB4F" w14:textId="77777777" w:rsidR="001825E2" w:rsidRDefault="001825E2" w:rsidP="00CB00A7">
      <w:pPr>
        <w:spacing w:line="235" w:lineRule="auto"/>
        <w:sectPr w:rsidR="001825E2">
          <w:pgSz w:w="11910" w:h="16850"/>
          <w:pgMar w:top="1360" w:right="700" w:bottom="980" w:left="1220" w:header="0" w:footer="785" w:gutter="0"/>
          <w:cols w:space="720"/>
        </w:sectPr>
      </w:pPr>
    </w:p>
    <w:p w14:paraId="285E50A0" w14:textId="77777777" w:rsidR="001825E2" w:rsidRDefault="000839A5" w:rsidP="00CB00A7">
      <w:pPr>
        <w:pStyle w:val="BodyText"/>
        <w:spacing w:before="76"/>
        <w:ind w:left="218" w:right="733" w:firstLine="1"/>
        <w:jc w:val="left"/>
      </w:pPr>
      <w:r>
        <w:lastRenderedPageBreak/>
        <w:t>remission, improvement of endoscopic</w:t>
      </w:r>
      <w:r>
        <w:rPr>
          <w:spacing w:val="-9"/>
        </w:rPr>
        <w:t xml:space="preserve"> </w:t>
      </w:r>
      <w:r>
        <w:t>appearance</w:t>
      </w:r>
      <w:r>
        <w:rPr>
          <w:spacing w:val="-9"/>
        </w:rPr>
        <w:t xml:space="preserve"> </w:t>
      </w:r>
      <w:r>
        <w:t>of the</w:t>
      </w:r>
      <w:r>
        <w:rPr>
          <w:spacing w:val="-9"/>
        </w:rPr>
        <w:t xml:space="preserve"> </w:t>
      </w:r>
      <w:r>
        <w:t>mucosa, or</w:t>
      </w:r>
      <w:r>
        <w:rPr>
          <w:spacing w:val="-12"/>
        </w:rPr>
        <w:t xml:space="preserve"> </w:t>
      </w:r>
      <w:r>
        <w:t>sustained corticosteroid- free</w:t>
      </w:r>
      <w:r>
        <w:rPr>
          <w:spacing w:val="40"/>
        </w:rPr>
        <w:t xml:space="preserve"> </w:t>
      </w:r>
      <w:r>
        <w:t>remission</w:t>
      </w:r>
      <w:r>
        <w:rPr>
          <w:spacing w:val="40"/>
        </w:rPr>
        <w:t xml:space="preserve"> </w:t>
      </w:r>
      <w:r>
        <w:t>at</w:t>
      </w:r>
      <w:r>
        <w:rPr>
          <w:spacing w:val="40"/>
        </w:rPr>
        <w:t xml:space="preserve"> </w:t>
      </w:r>
      <w:r>
        <w:t>both</w:t>
      </w:r>
      <w:r>
        <w:rPr>
          <w:spacing w:val="40"/>
        </w:rPr>
        <w:t xml:space="preserve"> </w:t>
      </w:r>
      <w:r>
        <w:t>Week</w:t>
      </w:r>
      <w:r>
        <w:rPr>
          <w:spacing w:val="40"/>
        </w:rPr>
        <w:t xml:space="preserve"> </w:t>
      </w:r>
      <w:r>
        <w:t>24</w:t>
      </w:r>
      <w:r>
        <w:rPr>
          <w:spacing w:val="40"/>
        </w:rPr>
        <w:t xml:space="preserve"> </w:t>
      </w:r>
      <w:r>
        <w:t>and</w:t>
      </w:r>
      <w:r>
        <w:rPr>
          <w:spacing w:val="40"/>
        </w:rPr>
        <w:t xml:space="preserve"> </w:t>
      </w:r>
      <w:r>
        <w:t>Week</w:t>
      </w:r>
      <w:r>
        <w:rPr>
          <w:spacing w:val="-1"/>
        </w:rPr>
        <w:t xml:space="preserve"> </w:t>
      </w:r>
      <w:r>
        <w:t>52</w:t>
      </w:r>
      <w:r>
        <w:rPr>
          <w:spacing w:val="40"/>
        </w:rPr>
        <w:t xml:space="preserve"> </w:t>
      </w:r>
      <w:r>
        <w:t>among</w:t>
      </w:r>
      <w:r>
        <w:rPr>
          <w:spacing w:val="40"/>
        </w:rPr>
        <w:t xml:space="preserve"> </w:t>
      </w:r>
      <w:r>
        <w:t>patients</w:t>
      </w:r>
      <w:r>
        <w:rPr>
          <w:spacing w:val="40"/>
        </w:rPr>
        <w:t xml:space="preserve"> </w:t>
      </w:r>
      <w:r>
        <w:t>in</w:t>
      </w:r>
      <w:r>
        <w:rPr>
          <w:spacing w:val="40"/>
        </w:rPr>
        <w:t xml:space="preserve"> </w:t>
      </w:r>
      <w:r>
        <w:t>remission</w:t>
      </w:r>
      <w:r>
        <w:rPr>
          <w:spacing w:val="40"/>
        </w:rPr>
        <w:t xml:space="preserve"> </w:t>
      </w:r>
      <w:r>
        <w:t>at</w:t>
      </w:r>
      <w:r>
        <w:rPr>
          <w:spacing w:val="40"/>
        </w:rPr>
        <w:t xml:space="preserve"> </w:t>
      </w:r>
      <w:r>
        <w:t>baseline (Table</w:t>
      </w:r>
      <w:r>
        <w:rPr>
          <w:spacing w:val="-4"/>
        </w:rPr>
        <w:t xml:space="preserve"> </w:t>
      </w:r>
      <w:r>
        <w:t>16). This treatment difference from placebo was similar between XELJANZ 5</w:t>
      </w:r>
      <w:r>
        <w:rPr>
          <w:spacing w:val="-2"/>
        </w:rPr>
        <w:t xml:space="preserve"> </w:t>
      </w:r>
      <w:r>
        <w:t>mg twice daily and XELJANZ 10</w:t>
      </w:r>
      <w:r>
        <w:rPr>
          <w:spacing w:val="-2"/>
        </w:rPr>
        <w:t xml:space="preserve"> </w:t>
      </w:r>
      <w:r>
        <w:t>mg twice daily in the subgroup of patients without prior TNF inhibitor failure. In the subgroup of patients with prior TNF inhibitor failure, the observed treatment difference from placebo was numerically greater for XELJANZ 10</w:t>
      </w:r>
      <w:r>
        <w:rPr>
          <w:spacing w:val="-1"/>
        </w:rPr>
        <w:t xml:space="preserve"> </w:t>
      </w:r>
      <w:r>
        <w:t>mg twice daily than XELJANZ 5</w:t>
      </w:r>
      <w:r>
        <w:rPr>
          <w:spacing w:val="-1"/>
        </w:rPr>
        <w:t xml:space="preserve"> </w:t>
      </w:r>
      <w:r>
        <w:t>mg twice</w:t>
      </w:r>
      <w:r>
        <w:rPr>
          <w:spacing w:val="-2"/>
        </w:rPr>
        <w:t xml:space="preserve"> </w:t>
      </w:r>
      <w:r>
        <w:t>daily by 9.7 to 16.7 percentage</w:t>
      </w:r>
      <w:r>
        <w:rPr>
          <w:spacing w:val="-2"/>
        </w:rPr>
        <w:t xml:space="preserve"> </w:t>
      </w:r>
      <w:r>
        <w:t>points</w:t>
      </w:r>
      <w:r>
        <w:rPr>
          <w:spacing w:val="-4"/>
        </w:rPr>
        <w:t xml:space="preserve"> </w:t>
      </w:r>
      <w:r>
        <w:t>across</w:t>
      </w:r>
      <w:r>
        <w:rPr>
          <w:spacing w:val="-4"/>
        </w:rPr>
        <w:t xml:space="preserve"> </w:t>
      </w:r>
      <w:r>
        <w:t>the</w:t>
      </w:r>
      <w:r>
        <w:rPr>
          <w:spacing w:val="-2"/>
        </w:rPr>
        <w:t xml:space="preserve"> </w:t>
      </w:r>
      <w:r>
        <w:t>primary and key secondary endpoints.</w:t>
      </w:r>
    </w:p>
    <w:p w14:paraId="4547C565" w14:textId="77777777" w:rsidR="001825E2" w:rsidRDefault="000839A5" w:rsidP="00CB00A7">
      <w:pPr>
        <w:pStyle w:val="Heading3"/>
        <w:spacing w:before="237" w:line="247" w:lineRule="auto"/>
        <w:ind w:left="1240" w:right="745" w:hanging="1020"/>
      </w:pPr>
      <w:r>
        <w:t>Table 16. Proportion of Patients Meeting Primary and Key</w:t>
      </w:r>
      <w:r>
        <w:rPr>
          <w:spacing w:val="-7"/>
        </w:rPr>
        <w:t xml:space="preserve"> </w:t>
      </w:r>
      <w:r>
        <w:t>Secondary Efficacy Endpoints</w:t>
      </w:r>
      <w:r>
        <w:rPr>
          <w:spacing w:val="-14"/>
        </w:rPr>
        <w:t xml:space="preserve"> </w:t>
      </w:r>
      <w:r>
        <w:t>in Maintenance OCTAVE</w:t>
      </w:r>
      <w:r>
        <w:rPr>
          <w:spacing w:val="-15"/>
        </w:rPr>
        <w:t xml:space="preserve"> </w:t>
      </w:r>
      <w:r>
        <w:t>Sustain</w:t>
      </w:r>
      <w:r>
        <w:rPr>
          <w:spacing w:val="-5"/>
        </w:rPr>
        <w:t xml:space="preserve"> </w:t>
      </w:r>
      <w:r>
        <w:t>(Central Endoscopy</w:t>
      </w:r>
      <w:r>
        <w:rPr>
          <w:spacing w:val="-16"/>
        </w:rPr>
        <w:t xml:space="preserve"> </w:t>
      </w:r>
      <w:r>
        <w:t>Read)</w:t>
      </w:r>
    </w:p>
    <w:p w14:paraId="6D6C812A" w14:textId="77777777" w:rsidR="001825E2" w:rsidRDefault="001825E2" w:rsidP="00CB00A7">
      <w:pPr>
        <w:pStyle w:val="BodyText"/>
        <w:spacing w:before="2"/>
        <w:jc w:val="left"/>
        <w:rPr>
          <w:b/>
          <w:sz w:val="9"/>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15"/>
        <w:gridCol w:w="1095"/>
        <w:gridCol w:w="1470"/>
        <w:gridCol w:w="1470"/>
        <w:gridCol w:w="1545"/>
        <w:gridCol w:w="1545"/>
      </w:tblGrid>
      <w:tr w:rsidR="001825E2" w14:paraId="2EC96DBF" w14:textId="77777777">
        <w:trPr>
          <w:trHeight w:val="539"/>
        </w:trPr>
        <w:tc>
          <w:tcPr>
            <w:tcW w:w="6150" w:type="dxa"/>
            <w:gridSpan w:val="4"/>
          </w:tcPr>
          <w:p w14:paraId="76A4216A" w14:textId="77777777" w:rsidR="001825E2" w:rsidRDefault="001825E2" w:rsidP="00CB00A7">
            <w:pPr>
              <w:pStyle w:val="TableParagraph"/>
              <w:ind w:left="0"/>
              <w:jc w:val="left"/>
            </w:pPr>
          </w:p>
        </w:tc>
        <w:tc>
          <w:tcPr>
            <w:tcW w:w="3090" w:type="dxa"/>
            <w:gridSpan w:val="2"/>
          </w:tcPr>
          <w:p w14:paraId="11A2D4C6" w14:textId="77777777" w:rsidR="001825E2" w:rsidRDefault="000839A5" w:rsidP="00CB00A7">
            <w:pPr>
              <w:pStyle w:val="TableParagraph"/>
              <w:spacing w:line="270" w:lineRule="exact"/>
              <w:ind w:left="277" w:right="255" w:firstLine="150"/>
              <w:jc w:val="left"/>
              <w:rPr>
                <w:b/>
                <w:sz w:val="24"/>
              </w:rPr>
            </w:pPr>
            <w:r>
              <w:rPr>
                <w:b/>
                <w:sz w:val="24"/>
              </w:rPr>
              <w:t>Treatment Difference versus</w:t>
            </w:r>
            <w:r>
              <w:rPr>
                <w:b/>
                <w:spacing w:val="-7"/>
                <w:sz w:val="24"/>
              </w:rPr>
              <w:t xml:space="preserve"> </w:t>
            </w:r>
            <w:r>
              <w:rPr>
                <w:b/>
                <w:sz w:val="24"/>
              </w:rPr>
              <w:t>Placebo</w:t>
            </w:r>
            <w:r>
              <w:rPr>
                <w:b/>
                <w:spacing w:val="-15"/>
                <w:sz w:val="24"/>
              </w:rPr>
              <w:t xml:space="preserve"> </w:t>
            </w:r>
            <w:r>
              <w:rPr>
                <w:b/>
                <w:sz w:val="24"/>
              </w:rPr>
              <w:t>(95%</w:t>
            </w:r>
            <w:r>
              <w:rPr>
                <w:b/>
                <w:spacing w:val="-15"/>
                <w:sz w:val="24"/>
              </w:rPr>
              <w:t xml:space="preserve"> </w:t>
            </w:r>
            <w:r>
              <w:rPr>
                <w:b/>
                <w:sz w:val="24"/>
              </w:rPr>
              <w:t>CI)</w:t>
            </w:r>
          </w:p>
        </w:tc>
      </w:tr>
      <w:tr w:rsidR="001825E2" w14:paraId="474C5E3B" w14:textId="77777777">
        <w:trPr>
          <w:trHeight w:val="825"/>
        </w:trPr>
        <w:tc>
          <w:tcPr>
            <w:tcW w:w="2115" w:type="dxa"/>
          </w:tcPr>
          <w:p w14:paraId="00840C9C" w14:textId="77777777" w:rsidR="001825E2" w:rsidRDefault="001825E2" w:rsidP="00CB00A7">
            <w:pPr>
              <w:pStyle w:val="TableParagraph"/>
              <w:spacing w:before="9"/>
              <w:ind w:left="0"/>
              <w:jc w:val="left"/>
              <w:rPr>
                <w:b/>
                <w:sz w:val="24"/>
              </w:rPr>
            </w:pPr>
          </w:p>
          <w:p w14:paraId="64E47671" w14:textId="77777777" w:rsidR="001825E2" w:rsidRDefault="000839A5" w:rsidP="00CB00A7">
            <w:pPr>
              <w:pStyle w:val="TableParagraph"/>
              <w:spacing w:before="1"/>
              <w:jc w:val="left"/>
              <w:rPr>
                <w:b/>
                <w:sz w:val="24"/>
              </w:rPr>
            </w:pPr>
            <w:r>
              <w:rPr>
                <w:b/>
                <w:spacing w:val="-2"/>
                <w:sz w:val="24"/>
              </w:rPr>
              <w:t>Endpoint</w:t>
            </w:r>
          </w:p>
        </w:tc>
        <w:tc>
          <w:tcPr>
            <w:tcW w:w="1095" w:type="dxa"/>
          </w:tcPr>
          <w:p w14:paraId="2BA0A89E" w14:textId="77777777" w:rsidR="001825E2" w:rsidRDefault="001825E2" w:rsidP="00CB00A7">
            <w:pPr>
              <w:pStyle w:val="TableParagraph"/>
              <w:spacing w:before="9"/>
              <w:ind w:left="0"/>
              <w:jc w:val="left"/>
              <w:rPr>
                <w:b/>
                <w:sz w:val="24"/>
              </w:rPr>
            </w:pPr>
          </w:p>
          <w:p w14:paraId="4D7172FD" w14:textId="77777777" w:rsidR="001825E2" w:rsidRDefault="000839A5" w:rsidP="00CB00A7">
            <w:pPr>
              <w:pStyle w:val="TableParagraph"/>
              <w:spacing w:before="1"/>
              <w:ind w:left="34" w:right="5"/>
              <w:jc w:val="left"/>
              <w:rPr>
                <w:b/>
                <w:sz w:val="24"/>
              </w:rPr>
            </w:pPr>
            <w:r>
              <w:rPr>
                <w:b/>
                <w:spacing w:val="-2"/>
                <w:sz w:val="24"/>
              </w:rPr>
              <w:t>Placebo</w:t>
            </w:r>
          </w:p>
        </w:tc>
        <w:tc>
          <w:tcPr>
            <w:tcW w:w="1470" w:type="dxa"/>
          </w:tcPr>
          <w:p w14:paraId="14553997" w14:textId="77777777" w:rsidR="001825E2" w:rsidRDefault="000839A5" w:rsidP="00CB00A7">
            <w:pPr>
              <w:pStyle w:val="TableParagraph"/>
              <w:spacing w:before="1"/>
              <w:ind w:left="187"/>
              <w:jc w:val="left"/>
              <w:rPr>
                <w:b/>
                <w:sz w:val="24"/>
              </w:rPr>
            </w:pPr>
            <w:r>
              <w:rPr>
                <w:b/>
                <w:spacing w:val="-2"/>
                <w:sz w:val="24"/>
              </w:rPr>
              <w:t>XELJANZ</w:t>
            </w:r>
          </w:p>
          <w:p w14:paraId="248F1BFE" w14:textId="77777777" w:rsidR="001825E2" w:rsidRDefault="000839A5" w:rsidP="00CB00A7">
            <w:pPr>
              <w:pStyle w:val="TableParagraph"/>
              <w:spacing w:line="270" w:lineRule="exact"/>
              <w:ind w:left="142" w:firstLine="360"/>
              <w:jc w:val="left"/>
              <w:rPr>
                <w:b/>
                <w:sz w:val="24"/>
              </w:rPr>
            </w:pPr>
            <w:r>
              <w:rPr>
                <w:b/>
                <w:sz w:val="24"/>
              </w:rPr>
              <w:t xml:space="preserve">5 mg </w:t>
            </w:r>
            <w:r>
              <w:rPr>
                <w:b/>
                <w:spacing w:val="-2"/>
                <w:sz w:val="24"/>
              </w:rPr>
              <w:t>Twice</w:t>
            </w:r>
            <w:r>
              <w:rPr>
                <w:b/>
                <w:spacing w:val="-13"/>
                <w:sz w:val="24"/>
              </w:rPr>
              <w:t xml:space="preserve"> </w:t>
            </w:r>
            <w:r>
              <w:rPr>
                <w:b/>
                <w:spacing w:val="-2"/>
                <w:sz w:val="24"/>
              </w:rPr>
              <w:t>Daily</w:t>
            </w:r>
          </w:p>
        </w:tc>
        <w:tc>
          <w:tcPr>
            <w:tcW w:w="1470" w:type="dxa"/>
          </w:tcPr>
          <w:p w14:paraId="2131935A" w14:textId="77777777" w:rsidR="001825E2" w:rsidRDefault="000839A5" w:rsidP="00CB00A7">
            <w:pPr>
              <w:pStyle w:val="TableParagraph"/>
              <w:spacing w:before="1"/>
              <w:ind w:left="49" w:right="3"/>
              <w:jc w:val="left"/>
              <w:rPr>
                <w:b/>
                <w:sz w:val="24"/>
              </w:rPr>
            </w:pPr>
            <w:r>
              <w:rPr>
                <w:b/>
                <w:spacing w:val="-2"/>
                <w:sz w:val="24"/>
              </w:rPr>
              <w:t>XELJANZ</w:t>
            </w:r>
          </w:p>
          <w:p w14:paraId="05EEA064" w14:textId="77777777" w:rsidR="001825E2" w:rsidRDefault="000839A5" w:rsidP="00CB00A7">
            <w:pPr>
              <w:pStyle w:val="TableParagraph"/>
              <w:spacing w:line="270" w:lineRule="exact"/>
              <w:ind w:left="127" w:right="117" w:firstLine="6"/>
              <w:jc w:val="left"/>
              <w:rPr>
                <w:b/>
                <w:sz w:val="24"/>
              </w:rPr>
            </w:pPr>
            <w:r>
              <w:rPr>
                <w:b/>
                <w:sz w:val="24"/>
              </w:rPr>
              <w:t xml:space="preserve">10 mg </w:t>
            </w:r>
            <w:r>
              <w:rPr>
                <w:b/>
                <w:spacing w:val="-2"/>
                <w:sz w:val="24"/>
              </w:rPr>
              <w:t>Twice</w:t>
            </w:r>
            <w:r>
              <w:rPr>
                <w:b/>
                <w:spacing w:val="-13"/>
                <w:sz w:val="24"/>
              </w:rPr>
              <w:t xml:space="preserve"> </w:t>
            </w:r>
            <w:r>
              <w:rPr>
                <w:b/>
                <w:spacing w:val="-2"/>
                <w:sz w:val="24"/>
              </w:rPr>
              <w:t>Daily</w:t>
            </w:r>
          </w:p>
        </w:tc>
        <w:tc>
          <w:tcPr>
            <w:tcW w:w="1545" w:type="dxa"/>
          </w:tcPr>
          <w:p w14:paraId="2E8BD4C0" w14:textId="77777777" w:rsidR="001825E2" w:rsidRDefault="000839A5" w:rsidP="00CB00A7">
            <w:pPr>
              <w:pStyle w:val="TableParagraph"/>
              <w:spacing w:before="1"/>
              <w:ind w:left="202"/>
              <w:jc w:val="left"/>
              <w:rPr>
                <w:b/>
                <w:sz w:val="24"/>
              </w:rPr>
            </w:pPr>
            <w:r>
              <w:rPr>
                <w:b/>
                <w:spacing w:val="-2"/>
                <w:sz w:val="24"/>
              </w:rPr>
              <w:t>XELJANZ</w:t>
            </w:r>
          </w:p>
          <w:p w14:paraId="456D9AF9" w14:textId="77777777" w:rsidR="001825E2" w:rsidRDefault="000839A5" w:rsidP="00CB00A7">
            <w:pPr>
              <w:pStyle w:val="TableParagraph"/>
              <w:spacing w:line="270" w:lineRule="exact"/>
              <w:ind w:left="157" w:firstLine="360"/>
              <w:jc w:val="left"/>
              <w:rPr>
                <w:b/>
                <w:sz w:val="24"/>
              </w:rPr>
            </w:pPr>
            <w:r>
              <w:rPr>
                <w:b/>
                <w:sz w:val="24"/>
              </w:rPr>
              <w:t xml:space="preserve">5 mg </w:t>
            </w:r>
            <w:r>
              <w:rPr>
                <w:b/>
                <w:spacing w:val="-2"/>
                <w:sz w:val="24"/>
              </w:rPr>
              <w:t>Twice</w:t>
            </w:r>
            <w:r>
              <w:rPr>
                <w:b/>
                <w:spacing w:val="-13"/>
                <w:sz w:val="24"/>
              </w:rPr>
              <w:t xml:space="preserve"> </w:t>
            </w:r>
            <w:r>
              <w:rPr>
                <w:b/>
                <w:spacing w:val="-2"/>
                <w:sz w:val="24"/>
              </w:rPr>
              <w:t>Daily</w:t>
            </w:r>
          </w:p>
        </w:tc>
        <w:tc>
          <w:tcPr>
            <w:tcW w:w="1545" w:type="dxa"/>
          </w:tcPr>
          <w:p w14:paraId="18DF1867" w14:textId="77777777" w:rsidR="001825E2" w:rsidRDefault="000839A5" w:rsidP="00CB00A7">
            <w:pPr>
              <w:pStyle w:val="TableParagraph"/>
              <w:spacing w:before="1"/>
              <w:ind w:left="50" w:right="19"/>
              <w:jc w:val="left"/>
              <w:rPr>
                <w:b/>
                <w:sz w:val="24"/>
              </w:rPr>
            </w:pPr>
            <w:r>
              <w:rPr>
                <w:b/>
                <w:spacing w:val="-2"/>
                <w:sz w:val="24"/>
              </w:rPr>
              <w:t>XELJANZ</w:t>
            </w:r>
          </w:p>
          <w:p w14:paraId="41B7E802" w14:textId="77777777" w:rsidR="001825E2" w:rsidRDefault="000839A5" w:rsidP="00CB00A7">
            <w:pPr>
              <w:pStyle w:val="TableParagraph"/>
              <w:spacing w:line="270" w:lineRule="exact"/>
              <w:ind w:left="157" w:right="162" w:firstLine="6"/>
              <w:jc w:val="left"/>
              <w:rPr>
                <w:b/>
                <w:sz w:val="24"/>
              </w:rPr>
            </w:pPr>
            <w:r>
              <w:rPr>
                <w:b/>
                <w:sz w:val="24"/>
              </w:rPr>
              <w:t xml:space="preserve">10 mg </w:t>
            </w:r>
            <w:r>
              <w:rPr>
                <w:b/>
                <w:spacing w:val="-2"/>
                <w:sz w:val="24"/>
              </w:rPr>
              <w:t>Twice</w:t>
            </w:r>
            <w:r>
              <w:rPr>
                <w:b/>
                <w:spacing w:val="-13"/>
                <w:sz w:val="24"/>
              </w:rPr>
              <w:t xml:space="preserve"> </w:t>
            </w:r>
            <w:r>
              <w:rPr>
                <w:b/>
                <w:spacing w:val="-2"/>
                <w:sz w:val="24"/>
              </w:rPr>
              <w:t>Daily</w:t>
            </w:r>
          </w:p>
        </w:tc>
      </w:tr>
      <w:tr w:rsidR="001825E2" w14:paraId="29B13D8F" w14:textId="77777777">
        <w:trPr>
          <w:trHeight w:val="269"/>
        </w:trPr>
        <w:tc>
          <w:tcPr>
            <w:tcW w:w="9240" w:type="dxa"/>
            <w:gridSpan w:val="6"/>
          </w:tcPr>
          <w:p w14:paraId="57C7DE8A" w14:textId="77777777" w:rsidR="001825E2" w:rsidRDefault="000839A5" w:rsidP="00CB00A7">
            <w:pPr>
              <w:pStyle w:val="TableParagraph"/>
              <w:spacing w:before="1" w:line="249" w:lineRule="exact"/>
              <w:jc w:val="left"/>
              <w:rPr>
                <w:b/>
                <w:sz w:val="16"/>
              </w:rPr>
            </w:pPr>
            <w:r>
              <w:rPr>
                <w:b/>
                <w:sz w:val="24"/>
              </w:rPr>
              <w:t>Remission</w:t>
            </w:r>
            <w:r>
              <w:rPr>
                <w:b/>
                <w:spacing w:val="6"/>
                <w:sz w:val="24"/>
              </w:rPr>
              <w:t xml:space="preserve"> </w:t>
            </w:r>
            <w:r>
              <w:rPr>
                <w:b/>
                <w:sz w:val="24"/>
              </w:rPr>
              <w:t>at Week</w:t>
            </w:r>
            <w:r>
              <w:rPr>
                <w:b/>
                <w:spacing w:val="-6"/>
                <w:sz w:val="24"/>
              </w:rPr>
              <w:t xml:space="preserve"> </w:t>
            </w:r>
            <w:r>
              <w:rPr>
                <w:b/>
                <w:spacing w:val="-5"/>
                <w:sz w:val="24"/>
              </w:rPr>
              <w:t>52</w:t>
            </w:r>
            <w:r>
              <w:rPr>
                <w:b/>
                <w:spacing w:val="-5"/>
                <w:position w:val="7"/>
                <w:sz w:val="16"/>
              </w:rPr>
              <w:t>a</w:t>
            </w:r>
          </w:p>
        </w:tc>
      </w:tr>
      <w:tr w:rsidR="001825E2" w14:paraId="4CE549D6" w14:textId="77777777">
        <w:trPr>
          <w:trHeight w:val="556"/>
        </w:trPr>
        <w:tc>
          <w:tcPr>
            <w:tcW w:w="2115" w:type="dxa"/>
            <w:tcBorders>
              <w:bottom w:val="nil"/>
            </w:tcBorders>
          </w:tcPr>
          <w:p w14:paraId="0F93603B" w14:textId="77777777" w:rsidR="001825E2" w:rsidRDefault="000839A5" w:rsidP="00CB00A7">
            <w:pPr>
              <w:pStyle w:val="TableParagraph"/>
              <w:spacing w:before="1"/>
              <w:jc w:val="left"/>
              <w:rPr>
                <w:sz w:val="24"/>
              </w:rPr>
            </w:pPr>
            <w:r>
              <w:rPr>
                <w:sz w:val="24"/>
              </w:rPr>
              <w:t>Total</w:t>
            </w:r>
            <w:r>
              <w:rPr>
                <w:spacing w:val="2"/>
                <w:sz w:val="24"/>
              </w:rPr>
              <w:t xml:space="preserve"> </w:t>
            </w:r>
            <w:r>
              <w:rPr>
                <w:spacing w:val="-2"/>
                <w:sz w:val="24"/>
              </w:rPr>
              <w:t>Population</w:t>
            </w:r>
          </w:p>
        </w:tc>
        <w:tc>
          <w:tcPr>
            <w:tcW w:w="1095" w:type="dxa"/>
            <w:tcBorders>
              <w:bottom w:val="nil"/>
            </w:tcBorders>
          </w:tcPr>
          <w:p w14:paraId="23DF83A3" w14:textId="77777777" w:rsidR="001825E2" w:rsidRDefault="000839A5" w:rsidP="00CB00A7">
            <w:pPr>
              <w:pStyle w:val="TableParagraph"/>
              <w:spacing w:before="1"/>
              <w:ind w:left="34" w:right="4"/>
              <w:jc w:val="left"/>
              <w:rPr>
                <w:sz w:val="24"/>
              </w:rPr>
            </w:pPr>
            <w:r>
              <w:rPr>
                <w:spacing w:val="-2"/>
                <w:sz w:val="24"/>
              </w:rPr>
              <w:t>N=198</w:t>
            </w:r>
          </w:p>
        </w:tc>
        <w:tc>
          <w:tcPr>
            <w:tcW w:w="1470" w:type="dxa"/>
            <w:tcBorders>
              <w:bottom w:val="nil"/>
            </w:tcBorders>
          </w:tcPr>
          <w:p w14:paraId="50C9D3A3" w14:textId="77777777" w:rsidR="001825E2" w:rsidRDefault="000839A5" w:rsidP="00CB00A7">
            <w:pPr>
              <w:pStyle w:val="TableParagraph"/>
              <w:spacing w:before="1"/>
              <w:ind w:left="49" w:right="4"/>
              <w:jc w:val="left"/>
              <w:rPr>
                <w:sz w:val="24"/>
              </w:rPr>
            </w:pPr>
            <w:r>
              <w:rPr>
                <w:spacing w:val="-2"/>
                <w:sz w:val="24"/>
              </w:rPr>
              <w:t>N=198</w:t>
            </w:r>
          </w:p>
        </w:tc>
        <w:tc>
          <w:tcPr>
            <w:tcW w:w="1470" w:type="dxa"/>
            <w:tcBorders>
              <w:bottom w:val="nil"/>
            </w:tcBorders>
          </w:tcPr>
          <w:p w14:paraId="69C902BB" w14:textId="77777777" w:rsidR="001825E2" w:rsidRDefault="000839A5" w:rsidP="00CB00A7">
            <w:pPr>
              <w:pStyle w:val="TableParagraph"/>
              <w:spacing w:before="1"/>
              <w:ind w:left="49" w:right="34"/>
              <w:jc w:val="left"/>
              <w:rPr>
                <w:sz w:val="24"/>
              </w:rPr>
            </w:pPr>
            <w:r>
              <w:rPr>
                <w:spacing w:val="-2"/>
                <w:sz w:val="24"/>
              </w:rPr>
              <w:t>N=197</w:t>
            </w:r>
          </w:p>
        </w:tc>
        <w:tc>
          <w:tcPr>
            <w:tcW w:w="1545" w:type="dxa"/>
            <w:tcBorders>
              <w:bottom w:val="nil"/>
            </w:tcBorders>
          </w:tcPr>
          <w:p w14:paraId="5F7ABD10" w14:textId="77777777" w:rsidR="001825E2" w:rsidRDefault="000839A5" w:rsidP="00CB00A7">
            <w:pPr>
              <w:pStyle w:val="TableParagraph"/>
              <w:spacing w:line="270" w:lineRule="exact"/>
              <w:ind w:left="217" w:right="188" w:firstLine="270"/>
              <w:jc w:val="left"/>
              <w:rPr>
                <w:sz w:val="24"/>
              </w:rPr>
            </w:pPr>
            <w:r>
              <w:rPr>
                <w:spacing w:val="-4"/>
                <w:sz w:val="24"/>
              </w:rPr>
              <w:t xml:space="preserve">23%* </w:t>
            </w:r>
            <w:r>
              <w:rPr>
                <w:sz w:val="24"/>
              </w:rPr>
              <w:t>(15.3,</w:t>
            </w:r>
            <w:r>
              <w:rPr>
                <w:spacing w:val="-15"/>
                <w:sz w:val="24"/>
              </w:rPr>
              <w:t xml:space="preserve"> </w:t>
            </w:r>
            <w:r>
              <w:rPr>
                <w:sz w:val="24"/>
              </w:rPr>
              <w:t>31.2)</w:t>
            </w:r>
          </w:p>
        </w:tc>
        <w:tc>
          <w:tcPr>
            <w:tcW w:w="1545" w:type="dxa"/>
            <w:tcBorders>
              <w:bottom w:val="nil"/>
            </w:tcBorders>
          </w:tcPr>
          <w:p w14:paraId="02B3F5B1" w14:textId="77777777" w:rsidR="001825E2" w:rsidRDefault="000839A5" w:rsidP="00CB00A7">
            <w:pPr>
              <w:pStyle w:val="TableParagraph"/>
              <w:spacing w:line="270" w:lineRule="exact"/>
              <w:ind w:left="217" w:right="188" w:firstLine="270"/>
              <w:jc w:val="left"/>
              <w:rPr>
                <w:sz w:val="24"/>
              </w:rPr>
            </w:pPr>
            <w:r>
              <w:rPr>
                <w:spacing w:val="-4"/>
                <w:sz w:val="24"/>
              </w:rPr>
              <w:t xml:space="preserve">30%* </w:t>
            </w:r>
            <w:r>
              <w:rPr>
                <w:sz w:val="24"/>
              </w:rPr>
              <w:t>(21.4,</w:t>
            </w:r>
            <w:r>
              <w:rPr>
                <w:spacing w:val="-15"/>
                <w:sz w:val="24"/>
              </w:rPr>
              <w:t xml:space="preserve"> </w:t>
            </w:r>
            <w:r>
              <w:rPr>
                <w:sz w:val="24"/>
              </w:rPr>
              <w:t>37.6)</w:t>
            </w:r>
          </w:p>
        </w:tc>
      </w:tr>
      <w:tr w:rsidR="001825E2" w14:paraId="6A582A4A" w14:textId="77777777">
        <w:trPr>
          <w:trHeight w:val="268"/>
        </w:trPr>
        <w:tc>
          <w:tcPr>
            <w:tcW w:w="2115" w:type="dxa"/>
            <w:tcBorders>
              <w:top w:val="nil"/>
            </w:tcBorders>
          </w:tcPr>
          <w:p w14:paraId="134E7BFA" w14:textId="77777777" w:rsidR="001825E2" w:rsidRDefault="001825E2" w:rsidP="00CB00A7">
            <w:pPr>
              <w:pStyle w:val="TableParagraph"/>
              <w:ind w:left="0"/>
              <w:jc w:val="left"/>
              <w:rPr>
                <w:sz w:val="18"/>
              </w:rPr>
            </w:pPr>
          </w:p>
        </w:tc>
        <w:tc>
          <w:tcPr>
            <w:tcW w:w="1095" w:type="dxa"/>
            <w:tcBorders>
              <w:top w:val="nil"/>
            </w:tcBorders>
          </w:tcPr>
          <w:p w14:paraId="44F6D925" w14:textId="77777777" w:rsidR="001825E2" w:rsidRDefault="000839A5" w:rsidP="00CB00A7">
            <w:pPr>
              <w:pStyle w:val="TableParagraph"/>
              <w:spacing w:line="248" w:lineRule="exact"/>
              <w:ind w:left="34"/>
              <w:jc w:val="left"/>
              <w:rPr>
                <w:sz w:val="24"/>
              </w:rPr>
            </w:pPr>
            <w:r>
              <w:rPr>
                <w:spacing w:val="-5"/>
                <w:sz w:val="24"/>
              </w:rPr>
              <w:t>11%</w:t>
            </w:r>
          </w:p>
        </w:tc>
        <w:tc>
          <w:tcPr>
            <w:tcW w:w="1470" w:type="dxa"/>
            <w:tcBorders>
              <w:top w:val="nil"/>
            </w:tcBorders>
          </w:tcPr>
          <w:p w14:paraId="4CF54A8A" w14:textId="77777777" w:rsidR="001825E2" w:rsidRDefault="000839A5" w:rsidP="00CB00A7">
            <w:pPr>
              <w:pStyle w:val="TableParagraph"/>
              <w:spacing w:line="248" w:lineRule="exact"/>
              <w:ind w:left="49"/>
              <w:jc w:val="left"/>
              <w:rPr>
                <w:sz w:val="24"/>
              </w:rPr>
            </w:pPr>
            <w:r>
              <w:rPr>
                <w:spacing w:val="-5"/>
                <w:sz w:val="24"/>
              </w:rPr>
              <w:t>34%</w:t>
            </w:r>
          </w:p>
        </w:tc>
        <w:tc>
          <w:tcPr>
            <w:tcW w:w="1470" w:type="dxa"/>
            <w:tcBorders>
              <w:top w:val="nil"/>
            </w:tcBorders>
          </w:tcPr>
          <w:p w14:paraId="793971C3" w14:textId="77777777" w:rsidR="001825E2" w:rsidRDefault="000839A5" w:rsidP="00CB00A7">
            <w:pPr>
              <w:pStyle w:val="TableParagraph"/>
              <w:spacing w:line="248" w:lineRule="exact"/>
              <w:ind w:left="49" w:right="30"/>
              <w:jc w:val="left"/>
              <w:rPr>
                <w:sz w:val="24"/>
              </w:rPr>
            </w:pPr>
            <w:r>
              <w:rPr>
                <w:spacing w:val="-5"/>
                <w:sz w:val="24"/>
              </w:rPr>
              <w:t>41%</w:t>
            </w:r>
          </w:p>
        </w:tc>
        <w:tc>
          <w:tcPr>
            <w:tcW w:w="1545" w:type="dxa"/>
            <w:tcBorders>
              <w:top w:val="nil"/>
            </w:tcBorders>
          </w:tcPr>
          <w:p w14:paraId="2BCE39AE" w14:textId="77777777" w:rsidR="001825E2" w:rsidRDefault="001825E2" w:rsidP="00CB00A7">
            <w:pPr>
              <w:pStyle w:val="TableParagraph"/>
              <w:ind w:left="0"/>
              <w:jc w:val="left"/>
              <w:rPr>
                <w:sz w:val="18"/>
              </w:rPr>
            </w:pPr>
          </w:p>
        </w:tc>
        <w:tc>
          <w:tcPr>
            <w:tcW w:w="1545" w:type="dxa"/>
            <w:tcBorders>
              <w:top w:val="nil"/>
            </w:tcBorders>
          </w:tcPr>
          <w:p w14:paraId="21879B29" w14:textId="77777777" w:rsidR="001825E2" w:rsidRDefault="001825E2" w:rsidP="00CB00A7">
            <w:pPr>
              <w:pStyle w:val="TableParagraph"/>
              <w:ind w:left="0"/>
              <w:jc w:val="left"/>
              <w:rPr>
                <w:sz w:val="18"/>
              </w:rPr>
            </w:pPr>
          </w:p>
        </w:tc>
      </w:tr>
      <w:tr w:rsidR="001825E2" w14:paraId="70F41985" w14:textId="77777777">
        <w:trPr>
          <w:trHeight w:val="825"/>
        </w:trPr>
        <w:tc>
          <w:tcPr>
            <w:tcW w:w="2115" w:type="dxa"/>
          </w:tcPr>
          <w:p w14:paraId="535B5424" w14:textId="77777777" w:rsidR="001825E2" w:rsidRDefault="000839A5" w:rsidP="00CB00A7">
            <w:pPr>
              <w:pStyle w:val="TableParagraph"/>
              <w:spacing w:before="5" w:line="235" w:lineRule="auto"/>
              <w:ind w:left="382"/>
              <w:jc w:val="left"/>
              <w:rPr>
                <w:sz w:val="24"/>
              </w:rPr>
            </w:pPr>
            <w:r>
              <w:rPr>
                <w:sz w:val="24"/>
              </w:rPr>
              <w:t>With</w:t>
            </w:r>
            <w:r>
              <w:rPr>
                <w:spacing w:val="-15"/>
                <w:sz w:val="24"/>
              </w:rPr>
              <w:t xml:space="preserve"> </w:t>
            </w:r>
            <w:r>
              <w:rPr>
                <w:sz w:val="24"/>
              </w:rPr>
              <w:t>Prior</w:t>
            </w:r>
            <w:r>
              <w:rPr>
                <w:spacing w:val="-15"/>
                <w:sz w:val="24"/>
              </w:rPr>
              <w:t xml:space="preserve"> </w:t>
            </w:r>
            <w:r>
              <w:rPr>
                <w:sz w:val="24"/>
              </w:rPr>
              <w:t xml:space="preserve">TNF </w:t>
            </w:r>
            <w:r>
              <w:rPr>
                <w:spacing w:val="-2"/>
                <w:sz w:val="24"/>
              </w:rPr>
              <w:t>Inhibitor</w:t>
            </w:r>
          </w:p>
          <w:p w14:paraId="71B7BB32" w14:textId="77777777" w:rsidR="001825E2" w:rsidRDefault="000839A5" w:rsidP="00CB00A7">
            <w:pPr>
              <w:pStyle w:val="TableParagraph"/>
              <w:spacing w:before="10" w:line="249" w:lineRule="exact"/>
              <w:ind w:left="382"/>
              <w:jc w:val="left"/>
              <w:rPr>
                <w:sz w:val="16"/>
              </w:rPr>
            </w:pPr>
            <w:r>
              <w:rPr>
                <w:spacing w:val="-2"/>
                <w:sz w:val="24"/>
              </w:rPr>
              <w:t>Failure</w:t>
            </w:r>
            <w:r>
              <w:rPr>
                <w:spacing w:val="-2"/>
                <w:position w:val="7"/>
                <w:sz w:val="16"/>
              </w:rPr>
              <w:t>b</w:t>
            </w:r>
          </w:p>
        </w:tc>
        <w:tc>
          <w:tcPr>
            <w:tcW w:w="1095" w:type="dxa"/>
          </w:tcPr>
          <w:p w14:paraId="3095705D" w14:textId="77777777" w:rsidR="001825E2" w:rsidRDefault="000839A5" w:rsidP="00CB00A7">
            <w:pPr>
              <w:pStyle w:val="TableParagraph"/>
              <w:spacing w:before="1"/>
              <w:ind w:left="277"/>
              <w:jc w:val="left"/>
              <w:rPr>
                <w:sz w:val="24"/>
              </w:rPr>
            </w:pPr>
            <w:r>
              <w:rPr>
                <w:spacing w:val="-4"/>
                <w:sz w:val="24"/>
              </w:rPr>
              <w:t>N=89</w:t>
            </w:r>
          </w:p>
          <w:p w14:paraId="70047BB8" w14:textId="77777777" w:rsidR="001825E2" w:rsidRDefault="001825E2" w:rsidP="00CB00A7">
            <w:pPr>
              <w:pStyle w:val="TableParagraph"/>
              <w:spacing w:before="2"/>
              <w:ind w:left="0"/>
              <w:jc w:val="left"/>
              <w:rPr>
                <w:b/>
                <w:sz w:val="24"/>
              </w:rPr>
            </w:pPr>
          </w:p>
          <w:p w14:paraId="770B3D2C" w14:textId="77777777" w:rsidR="001825E2" w:rsidRDefault="000839A5" w:rsidP="00CB00A7">
            <w:pPr>
              <w:pStyle w:val="TableParagraph"/>
              <w:spacing w:before="1" w:line="249" w:lineRule="exact"/>
              <w:ind w:left="337"/>
              <w:jc w:val="left"/>
              <w:rPr>
                <w:sz w:val="24"/>
              </w:rPr>
            </w:pPr>
            <w:r>
              <w:rPr>
                <w:spacing w:val="-5"/>
                <w:sz w:val="24"/>
              </w:rPr>
              <w:t>11%</w:t>
            </w:r>
          </w:p>
        </w:tc>
        <w:tc>
          <w:tcPr>
            <w:tcW w:w="1470" w:type="dxa"/>
          </w:tcPr>
          <w:p w14:paraId="0536C097" w14:textId="77777777" w:rsidR="001825E2" w:rsidRDefault="000839A5" w:rsidP="00CB00A7">
            <w:pPr>
              <w:pStyle w:val="TableParagraph"/>
              <w:spacing w:before="1"/>
              <w:ind w:left="472"/>
              <w:jc w:val="left"/>
              <w:rPr>
                <w:sz w:val="24"/>
              </w:rPr>
            </w:pPr>
            <w:r>
              <w:rPr>
                <w:spacing w:val="-4"/>
                <w:sz w:val="24"/>
              </w:rPr>
              <w:t>N=83</w:t>
            </w:r>
          </w:p>
          <w:p w14:paraId="20872139" w14:textId="77777777" w:rsidR="001825E2" w:rsidRDefault="001825E2" w:rsidP="00CB00A7">
            <w:pPr>
              <w:pStyle w:val="TableParagraph"/>
              <w:spacing w:before="2"/>
              <w:ind w:left="0"/>
              <w:jc w:val="left"/>
              <w:rPr>
                <w:b/>
                <w:sz w:val="24"/>
              </w:rPr>
            </w:pPr>
          </w:p>
          <w:p w14:paraId="7B123C4E" w14:textId="77777777" w:rsidR="001825E2" w:rsidRDefault="000839A5" w:rsidP="00CB00A7">
            <w:pPr>
              <w:pStyle w:val="TableParagraph"/>
              <w:spacing w:before="1" w:line="249" w:lineRule="exact"/>
              <w:ind w:left="532"/>
              <w:jc w:val="left"/>
              <w:rPr>
                <w:sz w:val="24"/>
              </w:rPr>
            </w:pPr>
            <w:r>
              <w:rPr>
                <w:spacing w:val="-5"/>
                <w:sz w:val="24"/>
              </w:rPr>
              <w:t>24%</w:t>
            </w:r>
          </w:p>
        </w:tc>
        <w:tc>
          <w:tcPr>
            <w:tcW w:w="1470" w:type="dxa"/>
          </w:tcPr>
          <w:p w14:paraId="05A069CF" w14:textId="77777777" w:rsidR="001825E2" w:rsidRDefault="000839A5" w:rsidP="00CB00A7">
            <w:pPr>
              <w:pStyle w:val="TableParagraph"/>
              <w:spacing w:before="1"/>
              <w:ind w:left="49" w:right="34"/>
              <w:jc w:val="left"/>
              <w:rPr>
                <w:sz w:val="24"/>
              </w:rPr>
            </w:pPr>
            <w:r>
              <w:rPr>
                <w:spacing w:val="-4"/>
                <w:sz w:val="24"/>
              </w:rPr>
              <w:t>N=93</w:t>
            </w:r>
          </w:p>
          <w:p w14:paraId="7607EC35" w14:textId="77777777" w:rsidR="001825E2" w:rsidRDefault="001825E2" w:rsidP="00CB00A7">
            <w:pPr>
              <w:pStyle w:val="TableParagraph"/>
              <w:spacing w:before="2"/>
              <w:ind w:left="0"/>
              <w:jc w:val="left"/>
              <w:rPr>
                <w:b/>
                <w:sz w:val="24"/>
              </w:rPr>
            </w:pPr>
          </w:p>
          <w:p w14:paraId="28FDAE6F" w14:textId="77777777" w:rsidR="001825E2" w:rsidRDefault="000839A5" w:rsidP="00CB00A7">
            <w:pPr>
              <w:pStyle w:val="TableParagraph"/>
              <w:spacing w:before="1" w:line="249" w:lineRule="exact"/>
              <w:ind w:left="49" w:right="30"/>
              <w:jc w:val="left"/>
              <w:rPr>
                <w:sz w:val="24"/>
              </w:rPr>
            </w:pPr>
            <w:r>
              <w:rPr>
                <w:spacing w:val="-5"/>
                <w:sz w:val="24"/>
              </w:rPr>
              <w:t>37%</w:t>
            </w:r>
          </w:p>
        </w:tc>
        <w:tc>
          <w:tcPr>
            <w:tcW w:w="1545" w:type="dxa"/>
          </w:tcPr>
          <w:p w14:paraId="2719917F" w14:textId="77777777" w:rsidR="001825E2" w:rsidRDefault="001825E2" w:rsidP="00CB00A7">
            <w:pPr>
              <w:pStyle w:val="TableParagraph"/>
              <w:ind w:left="0"/>
              <w:jc w:val="left"/>
            </w:pPr>
          </w:p>
        </w:tc>
        <w:tc>
          <w:tcPr>
            <w:tcW w:w="1545" w:type="dxa"/>
          </w:tcPr>
          <w:p w14:paraId="1AEF7F51" w14:textId="77777777" w:rsidR="001825E2" w:rsidRDefault="001825E2" w:rsidP="00CB00A7">
            <w:pPr>
              <w:pStyle w:val="TableParagraph"/>
              <w:ind w:left="0"/>
              <w:jc w:val="left"/>
            </w:pPr>
          </w:p>
        </w:tc>
      </w:tr>
      <w:tr w:rsidR="001825E2" w14:paraId="5EE85ECD" w14:textId="77777777">
        <w:trPr>
          <w:trHeight w:val="824"/>
        </w:trPr>
        <w:tc>
          <w:tcPr>
            <w:tcW w:w="2115" w:type="dxa"/>
          </w:tcPr>
          <w:p w14:paraId="5F83EE03" w14:textId="77777777" w:rsidR="001825E2" w:rsidRDefault="000839A5" w:rsidP="00CB00A7">
            <w:pPr>
              <w:pStyle w:val="TableParagraph"/>
              <w:spacing w:before="5" w:line="235" w:lineRule="auto"/>
              <w:ind w:left="382"/>
              <w:jc w:val="left"/>
              <w:rPr>
                <w:sz w:val="24"/>
              </w:rPr>
            </w:pPr>
            <w:r>
              <w:rPr>
                <w:sz w:val="24"/>
              </w:rPr>
              <w:t>Without</w:t>
            </w:r>
            <w:r>
              <w:rPr>
                <w:spacing w:val="-9"/>
                <w:sz w:val="24"/>
              </w:rPr>
              <w:t xml:space="preserve"> </w:t>
            </w:r>
            <w:r>
              <w:rPr>
                <w:sz w:val="24"/>
              </w:rPr>
              <w:t>Prior TNF</w:t>
            </w:r>
            <w:r>
              <w:rPr>
                <w:spacing w:val="-5"/>
                <w:sz w:val="24"/>
              </w:rPr>
              <w:t xml:space="preserve"> </w:t>
            </w:r>
            <w:r>
              <w:rPr>
                <w:spacing w:val="-2"/>
                <w:sz w:val="24"/>
              </w:rPr>
              <w:t>Inhibitor</w:t>
            </w:r>
          </w:p>
          <w:p w14:paraId="634EDC1A" w14:textId="77777777" w:rsidR="001825E2" w:rsidRDefault="000839A5" w:rsidP="00CB00A7">
            <w:pPr>
              <w:pStyle w:val="TableParagraph"/>
              <w:spacing w:before="10" w:line="249" w:lineRule="exact"/>
              <w:ind w:left="382"/>
              <w:jc w:val="left"/>
              <w:rPr>
                <w:sz w:val="16"/>
              </w:rPr>
            </w:pPr>
            <w:r>
              <w:rPr>
                <w:spacing w:val="-2"/>
                <w:sz w:val="24"/>
              </w:rPr>
              <w:t>Failure</w:t>
            </w:r>
            <w:r>
              <w:rPr>
                <w:spacing w:val="-2"/>
                <w:position w:val="7"/>
                <w:sz w:val="16"/>
              </w:rPr>
              <w:t>c</w:t>
            </w:r>
          </w:p>
        </w:tc>
        <w:tc>
          <w:tcPr>
            <w:tcW w:w="1095" w:type="dxa"/>
          </w:tcPr>
          <w:p w14:paraId="635ECAAD" w14:textId="77777777" w:rsidR="001825E2" w:rsidRDefault="000839A5" w:rsidP="00CB00A7">
            <w:pPr>
              <w:pStyle w:val="TableParagraph"/>
              <w:spacing w:before="1"/>
              <w:ind w:left="217"/>
              <w:jc w:val="left"/>
              <w:rPr>
                <w:sz w:val="24"/>
              </w:rPr>
            </w:pPr>
            <w:r>
              <w:rPr>
                <w:spacing w:val="-2"/>
                <w:sz w:val="24"/>
              </w:rPr>
              <w:t>N=109</w:t>
            </w:r>
          </w:p>
          <w:p w14:paraId="46924B01" w14:textId="77777777" w:rsidR="001825E2" w:rsidRDefault="001825E2" w:rsidP="00CB00A7">
            <w:pPr>
              <w:pStyle w:val="TableParagraph"/>
              <w:spacing w:before="2"/>
              <w:ind w:left="0"/>
              <w:jc w:val="left"/>
              <w:rPr>
                <w:b/>
                <w:sz w:val="24"/>
              </w:rPr>
            </w:pPr>
          </w:p>
          <w:p w14:paraId="75543E60" w14:textId="77777777" w:rsidR="001825E2" w:rsidRDefault="000839A5" w:rsidP="00CB00A7">
            <w:pPr>
              <w:pStyle w:val="TableParagraph"/>
              <w:spacing w:before="1" w:line="249" w:lineRule="exact"/>
              <w:ind w:left="337"/>
              <w:jc w:val="left"/>
              <w:rPr>
                <w:sz w:val="24"/>
              </w:rPr>
            </w:pPr>
            <w:r>
              <w:rPr>
                <w:spacing w:val="-5"/>
                <w:sz w:val="24"/>
              </w:rPr>
              <w:t>11%</w:t>
            </w:r>
          </w:p>
        </w:tc>
        <w:tc>
          <w:tcPr>
            <w:tcW w:w="1470" w:type="dxa"/>
          </w:tcPr>
          <w:p w14:paraId="3BE9E0FC" w14:textId="77777777" w:rsidR="001825E2" w:rsidRDefault="000839A5" w:rsidP="00CB00A7">
            <w:pPr>
              <w:pStyle w:val="TableParagraph"/>
              <w:spacing w:before="1"/>
              <w:ind w:left="412"/>
              <w:jc w:val="left"/>
              <w:rPr>
                <w:sz w:val="24"/>
              </w:rPr>
            </w:pPr>
            <w:r>
              <w:rPr>
                <w:spacing w:val="-2"/>
                <w:sz w:val="24"/>
              </w:rPr>
              <w:t>N=115</w:t>
            </w:r>
          </w:p>
          <w:p w14:paraId="166903FC" w14:textId="77777777" w:rsidR="001825E2" w:rsidRDefault="001825E2" w:rsidP="00CB00A7">
            <w:pPr>
              <w:pStyle w:val="TableParagraph"/>
              <w:spacing w:before="2"/>
              <w:ind w:left="0"/>
              <w:jc w:val="left"/>
              <w:rPr>
                <w:b/>
                <w:sz w:val="24"/>
              </w:rPr>
            </w:pPr>
          </w:p>
          <w:p w14:paraId="55CA8541" w14:textId="77777777" w:rsidR="001825E2" w:rsidRDefault="000839A5" w:rsidP="00CB00A7">
            <w:pPr>
              <w:pStyle w:val="TableParagraph"/>
              <w:spacing w:before="1" w:line="249" w:lineRule="exact"/>
              <w:ind w:left="532"/>
              <w:jc w:val="left"/>
              <w:rPr>
                <w:sz w:val="24"/>
              </w:rPr>
            </w:pPr>
            <w:r>
              <w:rPr>
                <w:spacing w:val="-5"/>
                <w:sz w:val="24"/>
              </w:rPr>
              <w:t>42%</w:t>
            </w:r>
          </w:p>
        </w:tc>
        <w:tc>
          <w:tcPr>
            <w:tcW w:w="1470" w:type="dxa"/>
          </w:tcPr>
          <w:p w14:paraId="5566FCFB" w14:textId="77777777" w:rsidR="001825E2" w:rsidRDefault="000839A5" w:rsidP="00CB00A7">
            <w:pPr>
              <w:pStyle w:val="TableParagraph"/>
              <w:spacing w:before="1"/>
              <w:ind w:left="49" w:right="34"/>
              <w:jc w:val="left"/>
              <w:rPr>
                <w:sz w:val="24"/>
              </w:rPr>
            </w:pPr>
            <w:r>
              <w:rPr>
                <w:spacing w:val="-2"/>
                <w:sz w:val="24"/>
              </w:rPr>
              <w:t>N=104</w:t>
            </w:r>
          </w:p>
          <w:p w14:paraId="6B041860" w14:textId="77777777" w:rsidR="001825E2" w:rsidRDefault="001825E2" w:rsidP="00CB00A7">
            <w:pPr>
              <w:pStyle w:val="TableParagraph"/>
              <w:spacing w:before="2"/>
              <w:ind w:left="0"/>
              <w:jc w:val="left"/>
              <w:rPr>
                <w:b/>
                <w:sz w:val="24"/>
              </w:rPr>
            </w:pPr>
          </w:p>
          <w:p w14:paraId="172809FF" w14:textId="77777777" w:rsidR="001825E2" w:rsidRDefault="000839A5" w:rsidP="00CB00A7">
            <w:pPr>
              <w:pStyle w:val="TableParagraph"/>
              <w:spacing w:before="1" w:line="249" w:lineRule="exact"/>
              <w:ind w:left="49" w:right="30"/>
              <w:jc w:val="left"/>
              <w:rPr>
                <w:sz w:val="24"/>
              </w:rPr>
            </w:pPr>
            <w:r>
              <w:rPr>
                <w:spacing w:val="-5"/>
                <w:sz w:val="24"/>
              </w:rPr>
              <w:t>44%</w:t>
            </w:r>
          </w:p>
        </w:tc>
        <w:tc>
          <w:tcPr>
            <w:tcW w:w="1545" w:type="dxa"/>
          </w:tcPr>
          <w:p w14:paraId="76143D7F" w14:textId="77777777" w:rsidR="001825E2" w:rsidRDefault="001825E2" w:rsidP="00CB00A7">
            <w:pPr>
              <w:pStyle w:val="TableParagraph"/>
              <w:ind w:left="0"/>
              <w:jc w:val="left"/>
            </w:pPr>
          </w:p>
        </w:tc>
        <w:tc>
          <w:tcPr>
            <w:tcW w:w="1545" w:type="dxa"/>
          </w:tcPr>
          <w:p w14:paraId="01882461" w14:textId="77777777" w:rsidR="001825E2" w:rsidRDefault="001825E2" w:rsidP="00CB00A7">
            <w:pPr>
              <w:pStyle w:val="TableParagraph"/>
              <w:ind w:left="0"/>
              <w:jc w:val="left"/>
            </w:pPr>
          </w:p>
        </w:tc>
      </w:tr>
      <w:tr w:rsidR="001825E2" w14:paraId="2511D678" w14:textId="77777777">
        <w:trPr>
          <w:trHeight w:val="270"/>
        </w:trPr>
        <w:tc>
          <w:tcPr>
            <w:tcW w:w="9240" w:type="dxa"/>
            <w:gridSpan w:val="6"/>
          </w:tcPr>
          <w:p w14:paraId="1389B5D8" w14:textId="77777777" w:rsidR="001825E2" w:rsidRDefault="000839A5" w:rsidP="00CB00A7">
            <w:pPr>
              <w:pStyle w:val="TableParagraph"/>
              <w:spacing w:before="1" w:line="249" w:lineRule="exact"/>
              <w:jc w:val="left"/>
              <w:rPr>
                <w:b/>
                <w:sz w:val="16"/>
              </w:rPr>
            </w:pPr>
            <w:r>
              <w:rPr>
                <w:b/>
                <w:sz w:val="24"/>
              </w:rPr>
              <w:t>Improvement</w:t>
            </w:r>
            <w:r>
              <w:rPr>
                <w:b/>
                <w:spacing w:val="3"/>
                <w:sz w:val="24"/>
              </w:rPr>
              <w:t xml:space="preserve"> </w:t>
            </w:r>
            <w:r>
              <w:rPr>
                <w:b/>
                <w:sz w:val="24"/>
              </w:rPr>
              <w:t>of</w:t>
            </w:r>
            <w:r>
              <w:rPr>
                <w:b/>
                <w:spacing w:val="4"/>
                <w:sz w:val="24"/>
              </w:rPr>
              <w:t xml:space="preserve"> </w:t>
            </w:r>
            <w:r>
              <w:rPr>
                <w:b/>
                <w:sz w:val="24"/>
              </w:rPr>
              <w:t>endoscopic</w:t>
            </w:r>
            <w:r>
              <w:rPr>
                <w:b/>
                <w:spacing w:val="-8"/>
                <w:sz w:val="24"/>
              </w:rPr>
              <w:t xml:space="preserve"> </w:t>
            </w:r>
            <w:r>
              <w:rPr>
                <w:b/>
                <w:sz w:val="24"/>
              </w:rPr>
              <w:t>appearance</w:t>
            </w:r>
            <w:r>
              <w:rPr>
                <w:b/>
                <w:spacing w:val="7"/>
                <w:sz w:val="24"/>
              </w:rPr>
              <w:t xml:space="preserve"> </w:t>
            </w:r>
            <w:r>
              <w:rPr>
                <w:b/>
                <w:sz w:val="24"/>
              </w:rPr>
              <w:t>of</w:t>
            </w:r>
            <w:r>
              <w:rPr>
                <w:b/>
                <w:spacing w:val="-11"/>
                <w:sz w:val="24"/>
              </w:rPr>
              <w:t xml:space="preserve"> </w:t>
            </w:r>
            <w:r>
              <w:rPr>
                <w:b/>
                <w:sz w:val="24"/>
              </w:rPr>
              <w:t>the</w:t>
            </w:r>
            <w:r>
              <w:rPr>
                <w:b/>
                <w:spacing w:val="-7"/>
                <w:sz w:val="24"/>
              </w:rPr>
              <w:t xml:space="preserve"> </w:t>
            </w:r>
            <w:r>
              <w:rPr>
                <w:b/>
                <w:sz w:val="24"/>
              </w:rPr>
              <w:t>mucosa</w:t>
            </w:r>
            <w:r>
              <w:rPr>
                <w:b/>
                <w:spacing w:val="8"/>
                <w:sz w:val="24"/>
              </w:rPr>
              <w:t xml:space="preserve"> </w:t>
            </w:r>
            <w:r>
              <w:rPr>
                <w:b/>
                <w:sz w:val="24"/>
              </w:rPr>
              <w:t>at</w:t>
            </w:r>
            <w:r>
              <w:rPr>
                <w:b/>
                <w:spacing w:val="-10"/>
                <w:sz w:val="24"/>
              </w:rPr>
              <w:t xml:space="preserve"> </w:t>
            </w:r>
            <w:r>
              <w:rPr>
                <w:b/>
                <w:sz w:val="24"/>
              </w:rPr>
              <w:t>Week</w:t>
            </w:r>
            <w:r>
              <w:rPr>
                <w:b/>
                <w:spacing w:val="-4"/>
                <w:sz w:val="24"/>
              </w:rPr>
              <w:t xml:space="preserve"> </w:t>
            </w:r>
            <w:r>
              <w:rPr>
                <w:b/>
                <w:spacing w:val="-5"/>
                <w:sz w:val="24"/>
              </w:rPr>
              <w:t>52</w:t>
            </w:r>
            <w:r>
              <w:rPr>
                <w:b/>
                <w:spacing w:val="-5"/>
                <w:position w:val="7"/>
                <w:sz w:val="16"/>
              </w:rPr>
              <w:t>d</w:t>
            </w:r>
          </w:p>
        </w:tc>
      </w:tr>
      <w:tr w:rsidR="001825E2" w14:paraId="6AAC38D8" w14:textId="77777777">
        <w:trPr>
          <w:trHeight w:val="549"/>
        </w:trPr>
        <w:tc>
          <w:tcPr>
            <w:tcW w:w="2115" w:type="dxa"/>
            <w:tcBorders>
              <w:bottom w:val="nil"/>
            </w:tcBorders>
          </w:tcPr>
          <w:p w14:paraId="385D7982" w14:textId="77777777" w:rsidR="001825E2" w:rsidRDefault="000839A5" w:rsidP="00CB00A7">
            <w:pPr>
              <w:pStyle w:val="TableParagraph"/>
              <w:spacing w:before="1"/>
              <w:jc w:val="left"/>
              <w:rPr>
                <w:sz w:val="24"/>
              </w:rPr>
            </w:pPr>
            <w:r>
              <w:rPr>
                <w:sz w:val="24"/>
              </w:rPr>
              <w:t>Total</w:t>
            </w:r>
            <w:r>
              <w:rPr>
                <w:spacing w:val="2"/>
                <w:sz w:val="24"/>
              </w:rPr>
              <w:t xml:space="preserve"> </w:t>
            </w:r>
            <w:r>
              <w:rPr>
                <w:spacing w:val="-2"/>
                <w:sz w:val="24"/>
              </w:rPr>
              <w:t>Population</w:t>
            </w:r>
          </w:p>
        </w:tc>
        <w:tc>
          <w:tcPr>
            <w:tcW w:w="1095" w:type="dxa"/>
            <w:tcBorders>
              <w:bottom w:val="nil"/>
            </w:tcBorders>
          </w:tcPr>
          <w:p w14:paraId="750B47BD" w14:textId="77777777" w:rsidR="001825E2" w:rsidRDefault="000839A5" w:rsidP="00CB00A7">
            <w:pPr>
              <w:pStyle w:val="TableParagraph"/>
              <w:spacing w:before="1"/>
              <w:ind w:left="34" w:right="4"/>
              <w:jc w:val="left"/>
              <w:rPr>
                <w:sz w:val="24"/>
              </w:rPr>
            </w:pPr>
            <w:r>
              <w:rPr>
                <w:spacing w:val="-2"/>
                <w:sz w:val="24"/>
              </w:rPr>
              <w:t>N=198</w:t>
            </w:r>
          </w:p>
        </w:tc>
        <w:tc>
          <w:tcPr>
            <w:tcW w:w="1470" w:type="dxa"/>
            <w:tcBorders>
              <w:bottom w:val="nil"/>
            </w:tcBorders>
          </w:tcPr>
          <w:p w14:paraId="4CCC23DB" w14:textId="77777777" w:rsidR="001825E2" w:rsidRDefault="000839A5" w:rsidP="00CB00A7">
            <w:pPr>
              <w:pStyle w:val="TableParagraph"/>
              <w:spacing w:before="1"/>
              <w:ind w:left="49" w:right="4"/>
              <w:jc w:val="left"/>
              <w:rPr>
                <w:sz w:val="24"/>
              </w:rPr>
            </w:pPr>
            <w:r>
              <w:rPr>
                <w:spacing w:val="-2"/>
                <w:sz w:val="24"/>
              </w:rPr>
              <w:t>N=198</w:t>
            </w:r>
          </w:p>
        </w:tc>
        <w:tc>
          <w:tcPr>
            <w:tcW w:w="1470" w:type="dxa"/>
            <w:tcBorders>
              <w:bottom w:val="nil"/>
            </w:tcBorders>
          </w:tcPr>
          <w:p w14:paraId="4E886EAF" w14:textId="77777777" w:rsidR="001825E2" w:rsidRDefault="000839A5" w:rsidP="00CB00A7">
            <w:pPr>
              <w:pStyle w:val="TableParagraph"/>
              <w:spacing w:before="1"/>
              <w:ind w:left="49" w:right="34"/>
              <w:jc w:val="left"/>
              <w:rPr>
                <w:sz w:val="24"/>
              </w:rPr>
            </w:pPr>
            <w:r>
              <w:rPr>
                <w:spacing w:val="-2"/>
                <w:sz w:val="24"/>
              </w:rPr>
              <w:t>N=197</w:t>
            </w:r>
          </w:p>
        </w:tc>
        <w:tc>
          <w:tcPr>
            <w:tcW w:w="1545" w:type="dxa"/>
            <w:tcBorders>
              <w:bottom w:val="nil"/>
            </w:tcBorders>
          </w:tcPr>
          <w:p w14:paraId="630B1F84" w14:textId="77777777" w:rsidR="001825E2" w:rsidRDefault="000839A5" w:rsidP="00CB00A7">
            <w:pPr>
              <w:pStyle w:val="TableParagraph"/>
              <w:spacing w:line="270" w:lineRule="exact"/>
              <w:ind w:left="217" w:right="188" w:firstLine="270"/>
              <w:jc w:val="left"/>
              <w:rPr>
                <w:sz w:val="24"/>
              </w:rPr>
            </w:pPr>
            <w:r>
              <w:rPr>
                <w:spacing w:val="-4"/>
                <w:sz w:val="24"/>
              </w:rPr>
              <w:t xml:space="preserve">24%* </w:t>
            </w:r>
            <w:r>
              <w:rPr>
                <w:sz w:val="24"/>
              </w:rPr>
              <w:t>(16.0,</w:t>
            </w:r>
            <w:r>
              <w:rPr>
                <w:spacing w:val="-15"/>
                <w:sz w:val="24"/>
              </w:rPr>
              <w:t xml:space="preserve"> </w:t>
            </w:r>
            <w:r>
              <w:rPr>
                <w:sz w:val="24"/>
              </w:rPr>
              <w:t>32.5)</w:t>
            </w:r>
          </w:p>
        </w:tc>
        <w:tc>
          <w:tcPr>
            <w:tcW w:w="1545" w:type="dxa"/>
            <w:tcBorders>
              <w:bottom w:val="nil"/>
            </w:tcBorders>
          </w:tcPr>
          <w:p w14:paraId="3CC4F307" w14:textId="77777777" w:rsidR="001825E2" w:rsidRDefault="000839A5" w:rsidP="00CB00A7">
            <w:pPr>
              <w:pStyle w:val="TableParagraph"/>
              <w:spacing w:line="270" w:lineRule="exact"/>
              <w:ind w:left="217" w:right="188" w:firstLine="270"/>
              <w:jc w:val="left"/>
              <w:rPr>
                <w:sz w:val="24"/>
              </w:rPr>
            </w:pPr>
            <w:r>
              <w:rPr>
                <w:spacing w:val="-4"/>
                <w:sz w:val="24"/>
              </w:rPr>
              <w:t xml:space="preserve">33%* </w:t>
            </w:r>
            <w:r>
              <w:rPr>
                <w:sz w:val="24"/>
              </w:rPr>
              <w:t>(24.2,</w:t>
            </w:r>
            <w:r>
              <w:rPr>
                <w:spacing w:val="-15"/>
                <w:sz w:val="24"/>
              </w:rPr>
              <w:t xml:space="preserve"> </w:t>
            </w:r>
            <w:r>
              <w:rPr>
                <w:sz w:val="24"/>
              </w:rPr>
              <w:t>41.0)</w:t>
            </w:r>
          </w:p>
        </w:tc>
      </w:tr>
      <w:tr w:rsidR="001825E2" w14:paraId="08B137F6" w14:textId="77777777">
        <w:trPr>
          <w:trHeight w:val="275"/>
        </w:trPr>
        <w:tc>
          <w:tcPr>
            <w:tcW w:w="2115" w:type="dxa"/>
            <w:tcBorders>
              <w:top w:val="nil"/>
            </w:tcBorders>
          </w:tcPr>
          <w:p w14:paraId="6C0DA67C" w14:textId="77777777" w:rsidR="001825E2" w:rsidRDefault="001825E2" w:rsidP="00CB00A7">
            <w:pPr>
              <w:pStyle w:val="TableParagraph"/>
              <w:ind w:left="0"/>
              <w:jc w:val="left"/>
              <w:rPr>
                <w:sz w:val="20"/>
              </w:rPr>
            </w:pPr>
          </w:p>
        </w:tc>
        <w:tc>
          <w:tcPr>
            <w:tcW w:w="1095" w:type="dxa"/>
            <w:tcBorders>
              <w:top w:val="nil"/>
            </w:tcBorders>
          </w:tcPr>
          <w:p w14:paraId="62B8D217" w14:textId="77777777" w:rsidR="001825E2" w:rsidRDefault="000839A5" w:rsidP="00CB00A7">
            <w:pPr>
              <w:pStyle w:val="TableParagraph"/>
              <w:spacing w:line="256" w:lineRule="exact"/>
              <w:ind w:left="34"/>
              <w:jc w:val="left"/>
              <w:rPr>
                <w:sz w:val="24"/>
              </w:rPr>
            </w:pPr>
            <w:r>
              <w:rPr>
                <w:spacing w:val="-5"/>
                <w:sz w:val="24"/>
              </w:rPr>
              <w:t>13%</w:t>
            </w:r>
          </w:p>
        </w:tc>
        <w:tc>
          <w:tcPr>
            <w:tcW w:w="1470" w:type="dxa"/>
            <w:tcBorders>
              <w:top w:val="nil"/>
            </w:tcBorders>
          </w:tcPr>
          <w:p w14:paraId="67609DAF" w14:textId="77777777" w:rsidR="001825E2" w:rsidRDefault="000839A5" w:rsidP="00CB00A7">
            <w:pPr>
              <w:pStyle w:val="TableParagraph"/>
              <w:spacing w:line="256" w:lineRule="exact"/>
              <w:ind w:left="49"/>
              <w:jc w:val="left"/>
              <w:rPr>
                <w:sz w:val="24"/>
              </w:rPr>
            </w:pPr>
            <w:r>
              <w:rPr>
                <w:spacing w:val="-5"/>
                <w:sz w:val="24"/>
              </w:rPr>
              <w:t>37%</w:t>
            </w:r>
          </w:p>
        </w:tc>
        <w:tc>
          <w:tcPr>
            <w:tcW w:w="1470" w:type="dxa"/>
            <w:tcBorders>
              <w:top w:val="nil"/>
            </w:tcBorders>
          </w:tcPr>
          <w:p w14:paraId="008E40E8" w14:textId="77777777" w:rsidR="001825E2" w:rsidRDefault="000839A5" w:rsidP="00CB00A7">
            <w:pPr>
              <w:pStyle w:val="TableParagraph"/>
              <w:spacing w:line="256" w:lineRule="exact"/>
              <w:ind w:left="49" w:right="30"/>
              <w:jc w:val="left"/>
              <w:rPr>
                <w:sz w:val="24"/>
              </w:rPr>
            </w:pPr>
            <w:r>
              <w:rPr>
                <w:spacing w:val="-5"/>
                <w:sz w:val="24"/>
              </w:rPr>
              <w:t>46%</w:t>
            </w:r>
          </w:p>
        </w:tc>
        <w:tc>
          <w:tcPr>
            <w:tcW w:w="1545" w:type="dxa"/>
            <w:tcBorders>
              <w:top w:val="nil"/>
            </w:tcBorders>
          </w:tcPr>
          <w:p w14:paraId="6C5CC132" w14:textId="77777777" w:rsidR="001825E2" w:rsidRDefault="001825E2" w:rsidP="00CB00A7">
            <w:pPr>
              <w:pStyle w:val="TableParagraph"/>
              <w:ind w:left="0"/>
              <w:jc w:val="left"/>
              <w:rPr>
                <w:sz w:val="20"/>
              </w:rPr>
            </w:pPr>
          </w:p>
        </w:tc>
        <w:tc>
          <w:tcPr>
            <w:tcW w:w="1545" w:type="dxa"/>
            <w:tcBorders>
              <w:top w:val="nil"/>
            </w:tcBorders>
          </w:tcPr>
          <w:p w14:paraId="3D6C8EDB" w14:textId="77777777" w:rsidR="001825E2" w:rsidRDefault="001825E2" w:rsidP="00CB00A7">
            <w:pPr>
              <w:pStyle w:val="TableParagraph"/>
              <w:ind w:left="0"/>
              <w:jc w:val="left"/>
              <w:rPr>
                <w:sz w:val="20"/>
              </w:rPr>
            </w:pPr>
          </w:p>
        </w:tc>
      </w:tr>
      <w:tr w:rsidR="001825E2" w14:paraId="21B520E7" w14:textId="77777777">
        <w:trPr>
          <w:trHeight w:val="825"/>
        </w:trPr>
        <w:tc>
          <w:tcPr>
            <w:tcW w:w="2115" w:type="dxa"/>
          </w:tcPr>
          <w:p w14:paraId="11BC8806" w14:textId="77777777" w:rsidR="001825E2" w:rsidRDefault="000839A5" w:rsidP="00CB00A7">
            <w:pPr>
              <w:pStyle w:val="TableParagraph"/>
              <w:spacing w:line="270" w:lineRule="exact"/>
              <w:ind w:left="382" w:right="186"/>
              <w:jc w:val="left"/>
              <w:rPr>
                <w:sz w:val="16"/>
              </w:rPr>
            </w:pPr>
            <w:r>
              <w:rPr>
                <w:sz w:val="24"/>
              </w:rPr>
              <w:t>With</w:t>
            </w:r>
            <w:r>
              <w:rPr>
                <w:spacing w:val="-15"/>
                <w:sz w:val="24"/>
              </w:rPr>
              <w:t xml:space="preserve"> </w:t>
            </w:r>
            <w:r>
              <w:rPr>
                <w:sz w:val="24"/>
              </w:rPr>
              <w:t>Prior</w:t>
            </w:r>
            <w:r>
              <w:rPr>
                <w:spacing w:val="-15"/>
                <w:sz w:val="24"/>
              </w:rPr>
              <w:t xml:space="preserve"> </w:t>
            </w:r>
            <w:r>
              <w:rPr>
                <w:sz w:val="24"/>
              </w:rPr>
              <w:t xml:space="preserve">TNF </w:t>
            </w:r>
            <w:r>
              <w:rPr>
                <w:spacing w:val="-2"/>
                <w:sz w:val="24"/>
              </w:rPr>
              <w:t>Inhibitor Failure</w:t>
            </w:r>
            <w:r>
              <w:rPr>
                <w:spacing w:val="-2"/>
                <w:position w:val="7"/>
                <w:sz w:val="16"/>
              </w:rPr>
              <w:t>b</w:t>
            </w:r>
          </w:p>
        </w:tc>
        <w:tc>
          <w:tcPr>
            <w:tcW w:w="1095" w:type="dxa"/>
          </w:tcPr>
          <w:p w14:paraId="08BB15BD" w14:textId="77777777" w:rsidR="001825E2" w:rsidRDefault="000839A5" w:rsidP="00CB00A7">
            <w:pPr>
              <w:pStyle w:val="TableParagraph"/>
              <w:spacing w:before="1"/>
              <w:ind w:left="277"/>
              <w:jc w:val="left"/>
              <w:rPr>
                <w:sz w:val="24"/>
              </w:rPr>
            </w:pPr>
            <w:r>
              <w:rPr>
                <w:spacing w:val="-4"/>
                <w:sz w:val="24"/>
              </w:rPr>
              <w:t>N=89</w:t>
            </w:r>
          </w:p>
          <w:p w14:paraId="0C3DB90C" w14:textId="77777777" w:rsidR="001825E2" w:rsidRDefault="000839A5" w:rsidP="00CB00A7">
            <w:pPr>
              <w:pStyle w:val="TableParagraph"/>
              <w:spacing w:before="264" w:line="264" w:lineRule="exact"/>
              <w:ind w:left="337"/>
              <w:jc w:val="left"/>
              <w:rPr>
                <w:sz w:val="24"/>
              </w:rPr>
            </w:pPr>
            <w:r>
              <w:rPr>
                <w:spacing w:val="-5"/>
                <w:sz w:val="24"/>
              </w:rPr>
              <w:t>12%</w:t>
            </w:r>
          </w:p>
        </w:tc>
        <w:tc>
          <w:tcPr>
            <w:tcW w:w="1470" w:type="dxa"/>
          </w:tcPr>
          <w:p w14:paraId="36F0BC7B" w14:textId="77777777" w:rsidR="001825E2" w:rsidRDefault="000839A5" w:rsidP="00CB00A7">
            <w:pPr>
              <w:pStyle w:val="TableParagraph"/>
              <w:spacing w:before="1"/>
              <w:ind w:left="472"/>
              <w:jc w:val="left"/>
              <w:rPr>
                <w:sz w:val="24"/>
              </w:rPr>
            </w:pPr>
            <w:r>
              <w:rPr>
                <w:spacing w:val="-4"/>
                <w:sz w:val="24"/>
              </w:rPr>
              <w:t>N=83</w:t>
            </w:r>
          </w:p>
          <w:p w14:paraId="4C7B7A39" w14:textId="77777777" w:rsidR="001825E2" w:rsidRDefault="000839A5" w:rsidP="00CB00A7">
            <w:pPr>
              <w:pStyle w:val="TableParagraph"/>
              <w:spacing w:before="264" w:line="264" w:lineRule="exact"/>
              <w:ind w:left="532"/>
              <w:jc w:val="left"/>
              <w:rPr>
                <w:sz w:val="24"/>
              </w:rPr>
            </w:pPr>
            <w:r>
              <w:rPr>
                <w:spacing w:val="-5"/>
                <w:sz w:val="24"/>
              </w:rPr>
              <w:t>30%</w:t>
            </w:r>
          </w:p>
        </w:tc>
        <w:tc>
          <w:tcPr>
            <w:tcW w:w="1470" w:type="dxa"/>
          </w:tcPr>
          <w:p w14:paraId="380CB7BF" w14:textId="77777777" w:rsidR="001825E2" w:rsidRDefault="000839A5" w:rsidP="00CB00A7">
            <w:pPr>
              <w:pStyle w:val="TableParagraph"/>
              <w:spacing w:before="1"/>
              <w:ind w:left="49" w:right="34"/>
              <w:jc w:val="left"/>
              <w:rPr>
                <w:sz w:val="24"/>
              </w:rPr>
            </w:pPr>
            <w:r>
              <w:rPr>
                <w:spacing w:val="-4"/>
                <w:sz w:val="24"/>
              </w:rPr>
              <w:t>N=93</w:t>
            </w:r>
          </w:p>
          <w:p w14:paraId="5AF1E876" w14:textId="77777777" w:rsidR="001825E2" w:rsidRDefault="000839A5" w:rsidP="00CB00A7">
            <w:pPr>
              <w:pStyle w:val="TableParagraph"/>
              <w:spacing w:before="264" w:line="264" w:lineRule="exact"/>
              <w:ind w:left="49" w:right="30"/>
              <w:jc w:val="left"/>
              <w:rPr>
                <w:sz w:val="24"/>
              </w:rPr>
            </w:pPr>
            <w:r>
              <w:rPr>
                <w:spacing w:val="-5"/>
                <w:sz w:val="24"/>
              </w:rPr>
              <w:t>40%</w:t>
            </w:r>
          </w:p>
        </w:tc>
        <w:tc>
          <w:tcPr>
            <w:tcW w:w="1545" w:type="dxa"/>
          </w:tcPr>
          <w:p w14:paraId="0D6FDB0D" w14:textId="77777777" w:rsidR="001825E2" w:rsidRDefault="001825E2" w:rsidP="00CB00A7">
            <w:pPr>
              <w:pStyle w:val="TableParagraph"/>
              <w:ind w:left="0"/>
              <w:jc w:val="left"/>
            </w:pPr>
          </w:p>
        </w:tc>
        <w:tc>
          <w:tcPr>
            <w:tcW w:w="1545" w:type="dxa"/>
          </w:tcPr>
          <w:p w14:paraId="17332F95" w14:textId="77777777" w:rsidR="001825E2" w:rsidRDefault="001825E2" w:rsidP="00CB00A7">
            <w:pPr>
              <w:pStyle w:val="TableParagraph"/>
              <w:ind w:left="0"/>
              <w:jc w:val="left"/>
            </w:pPr>
          </w:p>
        </w:tc>
      </w:tr>
      <w:tr w:rsidR="001825E2" w14:paraId="42A5EEA9" w14:textId="77777777">
        <w:trPr>
          <w:trHeight w:val="264"/>
        </w:trPr>
        <w:tc>
          <w:tcPr>
            <w:tcW w:w="2115" w:type="dxa"/>
            <w:tcBorders>
              <w:bottom w:val="nil"/>
            </w:tcBorders>
          </w:tcPr>
          <w:p w14:paraId="3CBBF31E" w14:textId="77777777" w:rsidR="001825E2" w:rsidRDefault="000839A5" w:rsidP="00CB00A7">
            <w:pPr>
              <w:pStyle w:val="TableParagraph"/>
              <w:spacing w:line="244" w:lineRule="exact"/>
              <w:ind w:left="0" w:right="405"/>
              <w:jc w:val="left"/>
              <w:rPr>
                <w:sz w:val="24"/>
              </w:rPr>
            </w:pPr>
            <w:r>
              <w:rPr>
                <w:sz w:val="24"/>
              </w:rPr>
              <w:t>Without</w:t>
            </w:r>
            <w:r>
              <w:rPr>
                <w:spacing w:val="-8"/>
                <w:sz w:val="24"/>
              </w:rPr>
              <w:t xml:space="preserve"> </w:t>
            </w:r>
            <w:r>
              <w:rPr>
                <w:spacing w:val="-2"/>
                <w:sz w:val="24"/>
              </w:rPr>
              <w:t>Prior</w:t>
            </w:r>
          </w:p>
        </w:tc>
        <w:tc>
          <w:tcPr>
            <w:tcW w:w="1095" w:type="dxa"/>
            <w:tcBorders>
              <w:bottom w:val="nil"/>
            </w:tcBorders>
          </w:tcPr>
          <w:p w14:paraId="116A9E64" w14:textId="77777777" w:rsidR="001825E2" w:rsidRDefault="000839A5" w:rsidP="00CB00A7">
            <w:pPr>
              <w:pStyle w:val="TableParagraph"/>
              <w:spacing w:line="244" w:lineRule="exact"/>
              <w:ind w:left="34" w:right="4"/>
              <w:jc w:val="left"/>
              <w:rPr>
                <w:sz w:val="24"/>
              </w:rPr>
            </w:pPr>
            <w:r>
              <w:rPr>
                <w:spacing w:val="-2"/>
                <w:sz w:val="24"/>
              </w:rPr>
              <w:t>N=109</w:t>
            </w:r>
          </w:p>
        </w:tc>
        <w:tc>
          <w:tcPr>
            <w:tcW w:w="1470" w:type="dxa"/>
            <w:tcBorders>
              <w:bottom w:val="nil"/>
            </w:tcBorders>
          </w:tcPr>
          <w:p w14:paraId="424B29A9" w14:textId="77777777" w:rsidR="001825E2" w:rsidRDefault="000839A5" w:rsidP="00CB00A7">
            <w:pPr>
              <w:pStyle w:val="TableParagraph"/>
              <w:spacing w:line="244" w:lineRule="exact"/>
              <w:ind w:left="49" w:right="4"/>
              <w:jc w:val="left"/>
              <w:rPr>
                <w:sz w:val="24"/>
              </w:rPr>
            </w:pPr>
            <w:r>
              <w:rPr>
                <w:spacing w:val="-2"/>
                <w:sz w:val="24"/>
              </w:rPr>
              <w:t>N=115</w:t>
            </w:r>
          </w:p>
        </w:tc>
        <w:tc>
          <w:tcPr>
            <w:tcW w:w="1470" w:type="dxa"/>
            <w:tcBorders>
              <w:bottom w:val="nil"/>
            </w:tcBorders>
          </w:tcPr>
          <w:p w14:paraId="588A0F3C" w14:textId="77777777" w:rsidR="001825E2" w:rsidRDefault="000839A5" w:rsidP="00CB00A7">
            <w:pPr>
              <w:pStyle w:val="TableParagraph"/>
              <w:spacing w:line="244" w:lineRule="exact"/>
              <w:ind w:left="49" w:right="34"/>
              <w:jc w:val="left"/>
              <w:rPr>
                <w:sz w:val="24"/>
              </w:rPr>
            </w:pPr>
            <w:r>
              <w:rPr>
                <w:spacing w:val="-2"/>
                <w:sz w:val="24"/>
              </w:rPr>
              <w:t>N=104</w:t>
            </w:r>
          </w:p>
        </w:tc>
        <w:tc>
          <w:tcPr>
            <w:tcW w:w="1545" w:type="dxa"/>
            <w:vMerge w:val="restart"/>
          </w:tcPr>
          <w:p w14:paraId="43775EA4" w14:textId="77777777" w:rsidR="001825E2" w:rsidRDefault="001825E2" w:rsidP="00CB00A7">
            <w:pPr>
              <w:pStyle w:val="TableParagraph"/>
              <w:ind w:left="0"/>
              <w:jc w:val="left"/>
            </w:pPr>
          </w:p>
        </w:tc>
        <w:tc>
          <w:tcPr>
            <w:tcW w:w="1545" w:type="dxa"/>
            <w:vMerge w:val="restart"/>
          </w:tcPr>
          <w:p w14:paraId="55769E5B" w14:textId="77777777" w:rsidR="001825E2" w:rsidRDefault="001825E2" w:rsidP="00CB00A7">
            <w:pPr>
              <w:pStyle w:val="TableParagraph"/>
              <w:ind w:left="0"/>
              <w:jc w:val="left"/>
            </w:pPr>
          </w:p>
        </w:tc>
      </w:tr>
      <w:tr w:rsidR="001825E2" w14:paraId="616F7FF0" w14:textId="77777777">
        <w:trPr>
          <w:trHeight w:val="258"/>
        </w:trPr>
        <w:tc>
          <w:tcPr>
            <w:tcW w:w="2115" w:type="dxa"/>
            <w:tcBorders>
              <w:top w:val="nil"/>
              <w:bottom w:val="nil"/>
            </w:tcBorders>
          </w:tcPr>
          <w:p w14:paraId="72C1AEEB" w14:textId="77777777" w:rsidR="001825E2" w:rsidRDefault="000839A5" w:rsidP="00CB00A7">
            <w:pPr>
              <w:pStyle w:val="TableParagraph"/>
              <w:spacing w:line="238" w:lineRule="exact"/>
              <w:ind w:left="0" w:right="360"/>
              <w:jc w:val="left"/>
              <w:rPr>
                <w:sz w:val="24"/>
              </w:rPr>
            </w:pPr>
            <w:r>
              <w:rPr>
                <w:sz w:val="24"/>
              </w:rPr>
              <w:t>TNF</w:t>
            </w:r>
            <w:r>
              <w:rPr>
                <w:spacing w:val="-5"/>
                <w:sz w:val="24"/>
              </w:rPr>
              <w:t xml:space="preserve"> </w:t>
            </w:r>
            <w:r>
              <w:rPr>
                <w:spacing w:val="-2"/>
                <w:sz w:val="24"/>
              </w:rPr>
              <w:t>Inhibitor</w:t>
            </w:r>
          </w:p>
        </w:tc>
        <w:tc>
          <w:tcPr>
            <w:tcW w:w="1095" w:type="dxa"/>
            <w:tcBorders>
              <w:top w:val="nil"/>
              <w:bottom w:val="nil"/>
            </w:tcBorders>
          </w:tcPr>
          <w:p w14:paraId="0B60724C" w14:textId="77777777" w:rsidR="001825E2" w:rsidRDefault="001825E2" w:rsidP="00CB00A7">
            <w:pPr>
              <w:pStyle w:val="TableParagraph"/>
              <w:ind w:left="0"/>
              <w:jc w:val="left"/>
              <w:rPr>
                <w:sz w:val="18"/>
              </w:rPr>
            </w:pPr>
          </w:p>
        </w:tc>
        <w:tc>
          <w:tcPr>
            <w:tcW w:w="1470" w:type="dxa"/>
            <w:tcBorders>
              <w:top w:val="nil"/>
              <w:bottom w:val="nil"/>
            </w:tcBorders>
          </w:tcPr>
          <w:p w14:paraId="0E0D8A14" w14:textId="77777777" w:rsidR="001825E2" w:rsidRDefault="001825E2" w:rsidP="00CB00A7">
            <w:pPr>
              <w:pStyle w:val="TableParagraph"/>
              <w:ind w:left="0"/>
              <w:jc w:val="left"/>
              <w:rPr>
                <w:sz w:val="18"/>
              </w:rPr>
            </w:pPr>
          </w:p>
        </w:tc>
        <w:tc>
          <w:tcPr>
            <w:tcW w:w="1470" w:type="dxa"/>
            <w:tcBorders>
              <w:top w:val="nil"/>
              <w:bottom w:val="nil"/>
            </w:tcBorders>
          </w:tcPr>
          <w:p w14:paraId="3876EB25" w14:textId="77777777" w:rsidR="001825E2" w:rsidRDefault="001825E2" w:rsidP="00CB00A7">
            <w:pPr>
              <w:pStyle w:val="TableParagraph"/>
              <w:ind w:left="0"/>
              <w:jc w:val="left"/>
              <w:rPr>
                <w:sz w:val="18"/>
              </w:rPr>
            </w:pPr>
          </w:p>
        </w:tc>
        <w:tc>
          <w:tcPr>
            <w:tcW w:w="1545" w:type="dxa"/>
            <w:vMerge/>
            <w:tcBorders>
              <w:top w:val="nil"/>
            </w:tcBorders>
          </w:tcPr>
          <w:p w14:paraId="4527C807" w14:textId="77777777" w:rsidR="001825E2" w:rsidRDefault="001825E2" w:rsidP="00CB00A7">
            <w:pPr>
              <w:rPr>
                <w:sz w:val="2"/>
                <w:szCs w:val="2"/>
              </w:rPr>
            </w:pPr>
          </w:p>
        </w:tc>
        <w:tc>
          <w:tcPr>
            <w:tcW w:w="1545" w:type="dxa"/>
            <w:vMerge/>
            <w:tcBorders>
              <w:top w:val="nil"/>
            </w:tcBorders>
          </w:tcPr>
          <w:p w14:paraId="2231895D" w14:textId="77777777" w:rsidR="001825E2" w:rsidRDefault="001825E2" w:rsidP="00CB00A7">
            <w:pPr>
              <w:rPr>
                <w:sz w:val="2"/>
                <w:szCs w:val="2"/>
              </w:rPr>
            </w:pPr>
          </w:p>
        </w:tc>
      </w:tr>
      <w:tr w:rsidR="001825E2" w14:paraId="2B60457F" w14:textId="77777777">
        <w:trPr>
          <w:trHeight w:val="272"/>
        </w:trPr>
        <w:tc>
          <w:tcPr>
            <w:tcW w:w="2115" w:type="dxa"/>
            <w:tcBorders>
              <w:top w:val="nil"/>
            </w:tcBorders>
          </w:tcPr>
          <w:p w14:paraId="0D8BFB26" w14:textId="77777777" w:rsidR="001825E2" w:rsidRDefault="000839A5" w:rsidP="00CB00A7">
            <w:pPr>
              <w:pStyle w:val="TableParagraph"/>
              <w:spacing w:line="253" w:lineRule="exact"/>
              <w:ind w:left="382"/>
              <w:jc w:val="left"/>
              <w:rPr>
                <w:sz w:val="16"/>
              </w:rPr>
            </w:pPr>
            <w:r>
              <w:rPr>
                <w:spacing w:val="-2"/>
                <w:sz w:val="24"/>
              </w:rPr>
              <w:t>Failure</w:t>
            </w:r>
            <w:r>
              <w:rPr>
                <w:spacing w:val="-2"/>
                <w:position w:val="7"/>
                <w:sz w:val="16"/>
              </w:rPr>
              <w:t>c</w:t>
            </w:r>
          </w:p>
        </w:tc>
        <w:tc>
          <w:tcPr>
            <w:tcW w:w="1095" w:type="dxa"/>
            <w:tcBorders>
              <w:top w:val="nil"/>
            </w:tcBorders>
          </w:tcPr>
          <w:p w14:paraId="4E2E95EE" w14:textId="77777777" w:rsidR="001825E2" w:rsidRDefault="000839A5" w:rsidP="00CB00A7">
            <w:pPr>
              <w:pStyle w:val="TableParagraph"/>
              <w:spacing w:line="253" w:lineRule="exact"/>
              <w:ind w:left="34"/>
              <w:jc w:val="left"/>
              <w:rPr>
                <w:sz w:val="24"/>
              </w:rPr>
            </w:pPr>
            <w:r>
              <w:rPr>
                <w:spacing w:val="-5"/>
                <w:sz w:val="24"/>
              </w:rPr>
              <w:t>14%</w:t>
            </w:r>
          </w:p>
        </w:tc>
        <w:tc>
          <w:tcPr>
            <w:tcW w:w="1470" w:type="dxa"/>
            <w:tcBorders>
              <w:top w:val="nil"/>
            </w:tcBorders>
          </w:tcPr>
          <w:p w14:paraId="6C3A9CFB" w14:textId="77777777" w:rsidR="001825E2" w:rsidRDefault="000839A5" w:rsidP="00CB00A7">
            <w:pPr>
              <w:pStyle w:val="TableParagraph"/>
              <w:spacing w:line="253" w:lineRule="exact"/>
              <w:ind w:left="49"/>
              <w:jc w:val="left"/>
              <w:rPr>
                <w:sz w:val="24"/>
              </w:rPr>
            </w:pPr>
            <w:r>
              <w:rPr>
                <w:spacing w:val="-5"/>
                <w:sz w:val="24"/>
              </w:rPr>
              <w:t>43%</w:t>
            </w:r>
          </w:p>
        </w:tc>
        <w:tc>
          <w:tcPr>
            <w:tcW w:w="1470" w:type="dxa"/>
            <w:tcBorders>
              <w:top w:val="nil"/>
            </w:tcBorders>
          </w:tcPr>
          <w:p w14:paraId="1FA53B01" w14:textId="77777777" w:rsidR="001825E2" w:rsidRDefault="000839A5" w:rsidP="00CB00A7">
            <w:pPr>
              <w:pStyle w:val="TableParagraph"/>
              <w:spacing w:line="253" w:lineRule="exact"/>
              <w:ind w:left="49" w:right="30"/>
              <w:jc w:val="left"/>
              <w:rPr>
                <w:sz w:val="24"/>
              </w:rPr>
            </w:pPr>
            <w:r>
              <w:rPr>
                <w:spacing w:val="-5"/>
                <w:sz w:val="24"/>
              </w:rPr>
              <w:t>51%</w:t>
            </w:r>
          </w:p>
        </w:tc>
        <w:tc>
          <w:tcPr>
            <w:tcW w:w="1545" w:type="dxa"/>
            <w:vMerge/>
            <w:tcBorders>
              <w:top w:val="nil"/>
            </w:tcBorders>
          </w:tcPr>
          <w:p w14:paraId="20D5458B" w14:textId="77777777" w:rsidR="001825E2" w:rsidRDefault="001825E2" w:rsidP="00CB00A7">
            <w:pPr>
              <w:rPr>
                <w:sz w:val="2"/>
                <w:szCs w:val="2"/>
              </w:rPr>
            </w:pPr>
          </w:p>
        </w:tc>
        <w:tc>
          <w:tcPr>
            <w:tcW w:w="1545" w:type="dxa"/>
            <w:vMerge/>
            <w:tcBorders>
              <w:top w:val="nil"/>
            </w:tcBorders>
          </w:tcPr>
          <w:p w14:paraId="30D9B778" w14:textId="77777777" w:rsidR="001825E2" w:rsidRDefault="001825E2" w:rsidP="00CB00A7">
            <w:pPr>
              <w:rPr>
                <w:sz w:val="2"/>
                <w:szCs w:val="2"/>
              </w:rPr>
            </w:pPr>
          </w:p>
        </w:tc>
      </w:tr>
      <w:tr w:rsidR="001825E2" w14:paraId="0BDCC82B" w14:textId="77777777">
        <w:trPr>
          <w:trHeight w:val="540"/>
        </w:trPr>
        <w:tc>
          <w:tcPr>
            <w:tcW w:w="9240" w:type="dxa"/>
            <w:gridSpan w:val="6"/>
          </w:tcPr>
          <w:p w14:paraId="2756D6E1" w14:textId="77777777" w:rsidR="001825E2" w:rsidRDefault="000839A5" w:rsidP="00CB00A7">
            <w:pPr>
              <w:pStyle w:val="TableParagraph"/>
              <w:spacing w:line="262" w:lineRule="exact"/>
              <w:jc w:val="left"/>
              <w:rPr>
                <w:b/>
                <w:sz w:val="24"/>
              </w:rPr>
            </w:pPr>
            <w:r>
              <w:rPr>
                <w:b/>
                <w:sz w:val="24"/>
              </w:rPr>
              <w:t>Sustained</w:t>
            </w:r>
            <w:r>
              <w:rPr>
                <w:b/>
                <w:spacing w:val="5"/>
                <w:sz w:val="24"/>
              </w:rPr>
              <w:t xml:space="preserve"> </w:t>
            </w:r>
            <w:r>
              <w:rPr>
                <w:b/>
                <w:sz w:val="24"/>
              </w:rPr>
              <w:t>corticosteroid-free</w:t>
            </w:r>
            <w:r>
              <w:rPr>
                <w:b/>
                <w:spacing w:val="16"/>
                <w:sz w:val="24"/>
              </w:rPr>
              <w:t xml:space="preserve"> </w:t>
            </w:r>
            <w:r>
              <w:rPr>
                <w:b/>
                <w:sz w:val="24"/>
              </w:rPr>
              <w:t>remission</w:t>
            </w:r>
            <w:r>
              <w:rPr>
                <w:b/>
                <w:spacing w:val="18"/>
                <w:sz w:val="24"/>
              </w:rPr>
              <w:t xml:space="preserve"> </w:t>
            </w:r>
            <w:r>
              <w:rPr>
                <w:b/>
                <w:sz w:val="24"/>
              </w:rPr>
              <w:t>at</w:t>
            </w:r>
            <w:r>
              <w:rPr>
                <w:b/>
                <w:spacing w:val="-13"/>
                <w:sz w:val="24"/>
              </w:rPr>
              <w:t xml:space="preserve"> </w:t>
            </w:r>
            <w:r>
              <w:rPr>
                <w:b/>
                <w:sz w:val="24"/>
              </w:rPr>
              <w:t>both</w:t>
            </w:r>
            <w:r>
              <w:rPr>
                <w:b/>
                <w:spacing w:val="-8"/>
                <w:sz w:val="24"/>
              </w:rPr>
              <w:t xml:space="preserve"> </w:t>
            </w:r>
            <w:r>
              <w:rPr>
                <w:b/>
                <w:sz w:val="24"/>
              </w:rPr>
              <w:t>Week</w:t>
            </w:r>
            <w:r>
              <w:rPr>
                <w:b/>
                <w:spacing w:val="-7"/>
                <w:sz w:val="24"/>
              </w:rPr>
              <w:t xml:space="preserve"> </w:t>
            </w:r>
            <w:r>
              <w:rPr>
                <w:b/>
                <w:sz w:val="24"/>
              </w:rPr>
              <w:t>24</w:t>
            </w:r>
            <w:r>
              <w:rPr>
                <w:b/>
                <w:spacing w:val="-8"/>
                <w:sz w:val="24"/>
              </w:rPr>
              <w:t xml:space="preserve"> </w:t>
            </w:r>
            <w:r>
              <w:rPr>
                <w:b/>
                <w:sz w:val="24"/>
              </w:rPr>
              <w:t>and</w:t>
            </w:r>
            <w:r>
              <w:rPr>
                <w:b/>
                <w:spacing w:val="-8"/>
                <w:sz w:val="24"/>
              </w:rPr>
              <w:t xml:space="preserve"> </w:t>
            </w:r>
            <w:r>
              <w:rPr>
                <w:b/>
                <w:sz w:val="24"/>
              </w:rPr>
              <w:t>Week</w:t>
            </w:r>
            <w:r>
              <w:rPr>
                <w:b/>
                <w:spacing w:val="-8"/>
                <w:sz w:val="24"/>
              </w:rPr>
              <w:t xml:space="preserve"> </w:t>
            </w:r>
            <w:r>
              <w:rPr>
                <w:b/>
                <w:sz w:val="24"/>
              </w:rPr>
              <w:t>52</w:t>
            </w:r>
            <w:r>
              <w:rPr>
                <w:b/>
                <w:spacing w:val="-8"/>
                <w:sz w:val="24"/>
              </w:rPr>
              <w:t xml:space="preserve"> </w:t>
            </w:r>
            <w:r>
              <w:rPr>
                <w:b/>
                <w:sz w:val="24"/>
              </w:rPr>
              <w:t>among</w:t>
            </w:r>
            <w:r>
              <w:rPr>
                <w:b/>
                <w:spacing w:val="4"/>
                <w:sz w:val="24"/>
              </w:rPr>
              <w:t xml:space="preserve"> </w:t>
            </w:r>
            <w:r>
              <w:rPr>
                <w:b/>
                <w:sz w:val="24"/>
              </w:rPr>
              <w:t>patients</w:t>
            </w:r>
            <w:r>
              <w:rPr>
                <w:b/>
                <w:spacing w:val="2"/>
                <w:sz w:val="24"/>
              </w:rPr>
              <w:t xml:space="preserve"> </w:t>
            </w:r>
            <w:r>
              <w:rPr>
                <w:b/>
                <w:spacing w:val="-5"/>
                <w:sz w:val="24"/>
              </w:rPr>
              <w:t>in</w:t>
            </w:r>
          </w:p>
          <w:p w14:paraId="497E42FD" w14:textId="77777777" w:rsidR="001825E2" w:rsidRDefault="000839A5" w:rsidP="00CB00A7">
            <w:pPr>
              <w:pStyle w:val="TableParagraph"/>
              <w:spacing w:before="9" w:line="249" w:lineRule="exact"/>
              <w:jc w:val="left"/>
              <w:rPr>
                <w:b/>
                <w:sz w:val="16"/>
              </w:rPr>
            </w:pPr>
            <w:r>
              <w:rPr>
                <w:b/>
                <w:sz w:val="24"/>
              </w:rPr>
              <w:t>remission</w:t>
            </w:r>
            <w:r>
              <w:rPr>
                <w:b/>
                <w:spacing w:val="10"/>
                <w:sz w:val="24"/>
              </w:rPr>
              <w:t xml:space="preserve"> </w:t>
            </w:r>
            <w:r>
              <w:rPr>
                <w:b/>
                <w:sz w:val="24"/>
              </w:rPr>
              <w:t>at</w:t>
            </w:r>
            <w:r>
              <w:rPr>
                <w:b/>
                <w:spacing w:val="-15"/>
                <w:sz w:val="24"/>
              </w:rPr>
              <w:t xml:space="preserve"> </w:t>
            </w:r>
            <w:r>
              <w:rPr>
                <w:b/>
                <w:spacing w:val="-2"/>
                <w:sz w:val="24"/>
              </w:rPr>
              <w:t>baseline</w:t>
            </w:r>
            <w:r>
              <w:rPr>
                <w:b/>
                <w:spacing w:val="-2"/>
                <w:position w:val="7"/>
                <w:sz w:val="16"/>
              </w:rPr>
              <w:t>e</w:t>
            </w:r>
          </w:p>
        </w:tc>
      </w:tr>
      <w:tr w:rsidR="001825E2" w14:paraId="531CE277" w14:textId="77777777">
        <w:trPr>
          <w:trHeight w:val="556"/>
        </w:trPr>
        <w:tc>
          <w:tcPr>
            <w:tcW w:w="2115" w:type="dxa"/>
            <w:tcBorders>
              <w:bottom w:val="nil"/>
            </w:tcBorders>
          </w:tcPr>
          <w:p w14:paraId="2FF7CE72" w14:textId="77777777" w:rsidR="001825E2" w:rsidRDefault="000839A5" w:rsidP="00CB00A7">
            <w:pPr>
              <w:pStyle w:val="TableParagraph"/>
              <w:spacing w:before="1"/>
              <w:jc w:val="left"/>
              <w:rPr>
                <w:sz w:val="24"/>
              </w:rPr>
            </w:pPr>
            <w:r>
              <w:rPr>
                <w:sz w:val="24"/>
              </w:rPr>
              <w:t>Total</w:t>
            </w:r>
            <w:r>
              <w:rPr>
                <w:spacing w:val="2"/>
                <w:sz w:val="24"/>
              </w:rPr>
              <w:t xml:space="preserve"> </w:t>
            </w:r>
            <w:r>
              <w:rPr>
                <w:spacing w:val="-2"/>
                <w:sz w:val="24"/>
              </w:rPr>
              <w:t>Population</w:t>
            </w:r>
          </w:p>
        </w:tc>
        <w:tc>
          <w:tcPr>
            <w:tcW w:w="1095" w:type="dxa"/>
            <w:tcBorders>
              <w:bottom w:val="nil"/>
            </w:tcBorders>
          </w:tcPr>
          <w:p w14:paraId="50B7C76D" w14:textId="77777777" w:rsidR="001825E2" w:rsidRDefault="000839A5" w:rsidP="00CB00A7">
            <w:pPr>
              <w:pStyle w:val="TableParagraph"/>
              <w:spacing w:before="1"/>
              <w:ind w:left="34" w:right="5"/>
              <w:jc w:val="left"/>
              <w:rPr>
                <w:sz w:val="24"/>
              </w:rPr>
            </w:pPr>
            <w:r>
              <w:rPr>
                <w:spacing w:val="-4"/>
                <w:sz w:val="24"/>
              </w:rPr>
              <w:t>N=59</w:t>
            </w:r>
          </w:p>
        </w:tc>
        <w:tc>
          <w:tcPr>
            <w:tcW w:w="1470" w:type="dxa"/>
            <w:tcBorders>
              <w:bottom w:val="nil"/>
            </w:tcBorders>
          </w:tcPr>
          <w:p w14:paraId="356A7C89" w14:textId="77777777" w:rsidR="001825E2" w:rsidRDefault="000839A5" w:rsidP="00CB00A7">
            <w:pPr>
              <w:pStyle w:val="TableParagraph"/>
              <w:spacing w:before="1"/>
              <w:ind w:left="49" w:right="4"/>
              <w:jc w:val="left"/>
              <w:rPr>
                <w:sz w:val="24"/>
              </w:rPr>
            </w:pPr>
            <w:r>
              <w:rPr>
                <w:spacing w:val="-4"/>
                <w:sz w:val="24"/>
              </w:rPr>
              <w:t>N=65</w:t>
            </w:r>
          </w:p>
        </w:tc>
        <w:tc>
          <w:tcPr>
            <w:tcW w:w="1470" w:type="dxa"/>
            <w:tcBorders>
              <w:bottom w:val="nil"/>
            </w:tcBorders>
          </w:tcPr>
          <w:p w14:paraId="513868BD" w14:textId="77777777" w:rsidR="001825E2" w:rsidRDefault="000839A5" w:rsidP="00CB00A7">
            <w:pPr>
              <w:pStyle w:val="TableParagraph"/>
              <w:spacing w:before="1"/>
              <w:ind w:left="49" w:right="34"/>
              <w:jc w:val="left"/>
              <w:rPr>
                <w:sz w:val="24"/>
              </w:rPr>
            </w:pPr>
            <w:r>
              <w:rPr>
                <w:spacing w:val="-4"/>
                <w:sz w:val="24"/>
              </w:rPr>
              <w:t>N=55</w:t>
            </w:r>
          </w:p>
        </w:tc>
        <w:tc>
          <w:tcPr>
            <w:tcW w:w="1545" w:type="dxa"/>
            <w:tcBorders>
              <w:bottom w:val="nil"/>
            </w:tcBorders>
          </w:tcPr>
          <w:p w14:paraId="7C16F3BF" w14:textId="77777777" w:rsidR="001825E2" w:rsidRDefault="000839A5" w:rsidP="00CB00A7">
            <w:pPr>
              <w:pStyle w:val="TableParagraph"/>
              <w:spacing w:line="270" w:lineRule="exact"/>
              <w:ind w:left="217" w:right="188" w:firstLine="270"/>
              <w:jc w:val="left"/>
              <w:rPr>
                <w:sz w:val="24"/>
              </w:rPr>
            </w:pPr>
            <w:r>
              <w:rPr>
                <w:spacing w:val="-4"/>
                <w:sz w:val="24"/>
              </w:rPr>
              <w:t xml:space="preserve">30%* </w:t>
            </w:r>
            <w:r>
              <w:rPr>
                <w:sz w:val="24"/>
              </w:rPr>
              <w:t>(17.4,</w:t>
            </w:r>
            <w:r>
              <w:rPr>
                <w:spacing w:val="-15"/>
                <w:sz w:val="24"/>
              </w:rPr>
              <w:t xml:space="preserve"> </w:t>
            </w:r>
            <w:r>
              <w:rPr>
                <w:sz w:val="24"/>
              </w:rPr>
              <w:t>43.2)</w:t>
            </w:r>
          </w:p>
        </w:tc>
        <w:tc>
          <w:tcPr>
            <w:tcW w:w="1545" w:type="dxa"/>
            <w:tcBorders>
              <w:bottom w:val="nil"/>
            </w:tcBorders>
          </w:tcPr>
          <w:p w14:paraId="1791E578" w14:textId="77777777" w:rsidR="001825E2" w:rsidRDefault="000839A5" w:rsidP="00CB00A7">
            <w:pPr>
              <w:pStyle w:val="TableParagraph"/>
              <w:spacing w:line="270" w:lineRule="exact"/>
              <w:ind w:left="217" w:right="188" w:firstLine="270"/>
              <w:jc w:val="left"/>
              <w:rPr>
                <w:sz w:val="24"/>
              </w:rPr>
            </w:pPr>
            <w:r>
              <w:rPr>
                <w:spacing w:val="-4"/>
                <w:sz w:val="24"/>
              </w:rPr>
              <w:t xml:space="preserve">42%* </w:t>
            </w:r>
            <w:r>
              <w:rPr>
                <w:sz w:val="24"/>
              </w:rPr>
              <w:t>(27.9,</w:t>
            </w:r>
            <w:r>
              <w:rPr>
                <w:spacing w:val="-15"/>
                <w:sz w:val="24"/>
              </w:rPr>
              <w:t xml:space="preserve"> </w:t>
            </w:r>
            <w:r>
              <w:rPr>
                <w:sz w:val="24"/>
              </w:rPr>
              <w:t>56.5)</w:t>
            </w:r>
          </w:p>
        </w:tc>
      </w:tr>
      <w:tr w:rsidR="001825E2" w14:paraId="4FB02476" w14:textId="77777777">
        <w:trPr>
          <w:trHeight w:val="268"/>
        </w:trPr>
        <w:tc>
          <w:tcPr>
            <w:tcW w:w="2115" w:type="dxa"/>
            <w:tcBorders>
              <w:top w:val="nil"/>
            </w:tcBorders>
          </w:tcPr>
          <w:p w14:paraId="1628E013" w14:textId="77777777" w:rsidR="001825E2" w:rsidRDefault="001825E2" w:rsidP="00CB00A7">
            <w:pPr>
              <w:pStyle w:val="TableParagraph"/>
              <w:ind w:left="0"/>
              <w:jc w:val="left"/>
              <w:rPr>
                <w:sz w:val="18"/>
              </w:rPr>
            </w:pPr>
          </w:p>
        </w:tc>
        <w:tc>
          <w:tcPr>
            <w:tcW w:w="1095" w:type="dxa"/>
            <w:tcBorders>
              <w:top w:val="nil"/>
            </w:tcBorders>
          </w:tcPr>
          <w:p w14:paraId="39290182" w14:textId="77777777" w:rsidR="001825E2" w:rsidRDefault="000839A5" w:rsidP="00CB00A7">
            <w:pPr>
              <w:pStyle w:val="TableParagraph"/>
              <w:spacing w:line="248" w:lineRule="exact"/>
              <w:ind w:left="34"/>
              <w:jc w:val="left"/>
              <w:rPr>
                <w:sz w:val="24"/>
              </w:rPr>
            </w:pPr>
            <w:r>
              <w:rPr>
                <w:spacing w:val="-5"/>
                <w:sz w:val="24"/>
              </w:rPr>
              <w:t>5%</w:t>
            </w:r>
          </w:p>
        </w:tc>
        <w:tc>
          <w:tcPr>
            <w:tcW w:w="1470" w:type="dxa"/>
            <w:tcBorders>
              <w:top w:val="nil"/>
            </w:tcBorders>
          </w:tcPr>
          <w:p w14:paraId="752BB270" w14:textId="77777777" w:rsidR="001825E2" w:rsidRDefault="000839A5" w:rsidP="00CB00A7">
            <w:pPr>
              <w:pStyle w:val="TableParagraph"/>
              <w:spacing w:line="248" w:lineRule="exact"/>
              <w:ind w:left="49"/>
              <w:jc w:val="left"/>
              <w:rPr>
                <w:sz w:val="24"/>
              </w:rPr>
            </w:pPr>
            <w:r>
              <w:rPr>
                <w:spacing w:val="-5"/>
                <w:sz w:val="24"/>
              </w:rPr>
              <w:t>35%</w:t>
            </w:r>
          </w:p>
        </w:tc>
        <w:tc>
          <w:tcPr>
            <w:tcW w:w="1470" w:type="dxa"/>
            <w:tcBorders>
              <w:top w:val="nil"/>
            </w:tcBorders>
          </w:tcPr>
          <w:p w14:paraId="28696734" w14:textId="77777777" w:rsidR="001825E2" w:rsidRDefault="000839A5" w:rsidP="00CB00A7">
            <w:pPr>
              <w:pStyle w:val="TableParagraph"/>
              <w:spacing w:line="248" w:lineRule="exact"/>
              <w:ind w:left="49" w:right="30"/>
              <w:jc w:val="left"/>
              <w:rPr>
                <w:sz w:val="24"/>
              </w:rPr>
            </w:pPr>
            <w:r>
              <w:rPr>
                <w:spacing w:val="-5"/>
                <w:sz w:val="24"/>
              </w:rPr>
              <w:t>47%</w:t>
            </w:r>
          </w:p>
        </w:tc>
        <w:tc>
          <w:tcPr>
            <w:tcW w:w="1545" w:type="dxa"/>
            <w:tcBorders>
              <w:top w:val="nil"/>
            </w:tcBorders>
          </w:tcPr>
          <w:p w14:paraId="6EA8FABF" w14:textId="77777777" w:rsidR="001825E2" w:rsidRDefault="001825E2" w:rsidP="00CB00A7">
            <w:pPr>
              <w:pStyle w:val="TableParagraph"/>
              <w:ind w:left="0"/>
              <w:jc w:val="left"/>
              <w:rPr>
                <w:sz w:val="18"/>
              </w:rPr>
            </w:pPr>
          </w:p>
        </w:tc>
        <w:tc>
          <w:tcPr>
            <w:tcW w:w="1545" w:type="dxa"/>
            <w:tcBorders>
              <w:top w:val="nil"/>
            </w:tcBorders>
          </w:tcPr>
          <w:p w14:paraId="63A86ED1" w14:textId="77777777" w:rsidR="001825E2" w:rsidRDefault="001825E2" w:rsidP="00CB00A7">
            <w:pPr>
              <w:pStyle w:val="TableParagraph"/>
              <w:ind w:left="0"/>
              <w:jc w:val="left"/>
              <w:rPr>
                <w:sz w:val="18"/>
              </w:rPr>
            </w:pPr>
          </w:p>
        </w:tc>
      </w:tr>
      <w:tr w:rsidR="001825E2" w14:paraId="368DDD19" w14:textId="77777777">
        <w:trPr>
          <w:trHeight w:val="824"/>
        </w:trPr>
        <w:tc>
          <w:tcPr>
            <w:tcW w:w="2115" w:type="dxa"/>
          </w:tcPr>
          <w:p w14:paraId="3373A938" w14:textId="77777777" w:rsidR="001825E2" w:rsidRDefault="000839A5" w:rsidP="00CB00A7">
            <w:pPr>
              <w:pStyle w:val="TableParagraph"/>
              <w:spacing w:line="270" w:lineRule="exact"/>
              <w:ind w:left="382" w:right="172"/>
              <w:jc w:val="left"/>
              <w:rPr>
                <w:sz w:val="16"/>
              </w:rPr>
            </w:pPr>
            <w:r>
              <w:rPr>
                <w:sz w:val="24"/>
              </w:rPr>
              <w:t>With</w:t>
            </w:r>
            <w:r>
              <w:rPr>
                <w:spacing w:val="-15"/>
                <w:sz w:val="24"/>
              </w:rPr>
              <w:t xml:space="preserve"> </w:t>
            </w:r>
            <w:r>
              <w:rPr>
                <w:sz w:val="24"/>
              </w:rPr>
              <w:t>Prior</w:t>
            </w:r>
            <w:r>
              <w:rPr>
                <w:spacing w:val="-15"/>
                <w:sz w:val="24"/>
              </w:rPr>
              <w:t xml:space="preserve"> </w:t>
            </w:r>
            <w:r>
              <w:rPr>
                <w:sz w:val="24"/>
              </w:rPr>
              <w:t xml:space="preserve">TNF </w:t>
            </w:r>
            <w:r>
              <w:rPr>
                <w:spacing w:val="-2"/>
                <w:sz w:val="24"/>
              </w:rPr>
              <w:t>Inhibitor Failure</w:t>
            </w:r>
            <w:r>
              <w:rPr>
                <w:spacing w:val="-2"/>
                <w:position w:val="7"/>
                <w:sz w:val="16"/>
              </w:rPr>
              <w:t>b</w:t>
            </w:r>
          </w:p>
        </w:tc>
        <w:tc>
          <w:tcPr>
            <w:tcW w:w="1095" w:type="dxa"/>
          </w:tcPr>
          <w:p w14:paraId="772FA7D3" w14:textId="77777777" w:rsidR="001825E2" w:rsidRDefault="000839A5" w:rsidP="00CB00A7">
            <w:pPr>
              <w:pStyle w:val="TableParagraph"/>
              <w:spacing w:before="1"/>
              <w:ind w:left="34" w:right="4"/>
              <w:jc w:val="left"/>
              <w:rPr>
                <w:sz w:val="24"/>
              </w:rPr>
            </w:pPr>
            <w:r>
              <w:rPr>
                <w:spacing w:val="-4"/>
                <w:sz w:val="24"/>
              </w:rPr>
              <w:t>N=21</w:t>
            </w:r>
          </w:p>
          <w:p w14:paraId="7A464BBA" w14:textId="77777777" w:rsidR="001825E2" w:rsidRDefault="000839A5" w:rsidP="00CB00A7">
            <w:pPr>
              <w:pStyle w:val="TableParagraph"/>
              <w:spacing w:before="264" w:line="264" w:lineRule="exact"/>
              <w:ind w:left="34"/>
              <w:jc w:val="left"/>
              <w:rPr>
                <w:sz w:val="24"/>
              </w:rPr>
            </w:pPr>
            <w:r>
              <w:rPr>
                <w:spacing w:val="-5"/>
                <w:sz w:val="24"/>
              </w:rPr>
              <w:t>5%</w:t>
            </w:r>
          </w:p>
        </w:tc>
        <w:tc>
          <w:tcPr>
            <w:tcW w:w="1470" w:type="dxa"/>
          </w:tcPr>
          <w:p w14:paraId="75D404FF" w14:textId="77777777" w:rsidR="001825E2" w:rsidRDefault="000839A5" w:rsidP="00CB00A7">
            <w:pPr>
              <w:pStyle w:val="TableParagraph"/>
              <w:spacing w:before="1"/>
              <w:ind w:left="472"/>
              <w:jc w:val="left"/>
              <w:rPr>
                <w:sz w:val="24"/>
              </w:rPr>
            </w:pPr>
            <w:r>
              <w:rPr>
                <w:spacing w:val="-4"/>
                <w:sz w:val="24"/>
              </w:rPr>
              <w:t>N=18</w:t>
            </w:r>
          </w:p>
          <w:p w14:paraId="61D0902A" w14:textId="77777777" w:rsidR="001825E2" w:rsidRDefault="000839A5" w:rsidP="00CB00A7">
            <w:pPr>
              <w:pStyle w:val="TableParagraph"/>
              <w:spacing w:before="264" w:line="264" w:lineRule="exact"/>
              <w:ind w:left="532"/>
              <w:jc w:val="left"/>
              <w:rPr>
                <w:sz w:val="24"/>
              </w:rPr>
            </w:pPr>
            <w:r>
              <w:rPr>
                <w:spacing w:val="-5"/>
                <w:sz w:val="24"/>
              </w:rPr>
              <w:t>22%</w:t>
            </w:r>
          </w:p>
        </w:tc>
        <w:tc>
          <w:tcPr>
            <w:tcW w:w="1470" w:type="dxa"/>
          </w:tcPr>
          <w:p w14:paraId="193779E5" w14:textId="77777777" w:rsidR="001825E2" w:rsidRDefault="000839A5" w:rsidP="00CB00A7">
            <w:pPr>
              <w:pStyle w:val="TableParagraph"/>
              <w:spacing w:before="1"/>
              <w:ind w:left="49" w:right="34"/>
              <w:jc w:val="left"/>
              <w:rPr>
                <w:sz w:val="24"/>
              </w:rPr>
            </w:pPr>
            <w:r>
              <w:rPr>
                <w:spacing w:val="-4"/>
                <w:sz w:val="24"/>
              </w:rPr>
              <w:t>N=18</w:t>
            </w:r>
          </w:p>
          <w:p w14:paraId="004C097B" w14:textId="77777777" w:rsidR="001825E2" w:rsidRDefault="000839A5" w:rsidP="00CB00A7">
            <w:pPr>
              <w:pStyle w:val="TableParagraph"/>
              <w:spacing w:before="264" w:line="264" w:lineRule="exact"/>
              <w:ind w:left="49" w:right="30"/>
              <w:jc w:val="left"/>
              <w:rPr>
                <w:sz w:val="24"/>
              </w:rPr>
            </w:pPr>
            <w:r>
              <w:rPr>
                <w:spacing w:val="-5"/>
                <w:sz w:val="24"/>
              </w:rPr>
              <w:t>39%</w:t>
            </w:r>
          </w:p>
        </w:tc>
        <w:tc>
          <w:tcPr>
            <w:tcW w:w="1545" w:type="dxa"/>
          </w:tcPr>
          <w:p w14:paraId="00146B82" w14:textId="77777777" w:rsidR="001825E2" w:rsidRDefault="001825E2" w:rsidP="00CB00A7">
            <w:pPr>
              <w:pStyle w:val="TableParagraph"/>
              <w:ind w:left="0"/>
              <w:jc w:val="left"/>
            </w:pPr>
          </w:p>
        </w:tc>
        <w:tc>
          <w:tcPr>
            <w:tcW w:w="1545" w:type="dxa"/>
          </w:tcPr>
          <w:p w14:paraId="2A6D1A12" w14:textId="77777777" w:rsidR="001825E2" w:rsidRDefault="001825E2" w:rsidP="00CB00A7">
            <w:pPr>
              <w:pStyle w:val="TableParagraph"/>
              <w:ind w:left="0"/>
              <w:jc w:val="left"/>
            </w:pPr>
          </w:p>
        </w:tc>
      </w:tr>
      <w:tr w:rsidR="001825E2" w14:paraId="55043600" w14:textId="77777777">
        <w:trPr>
          <w:trHeight w:val="264"/>
        </w:trPr>
        <w:tc>
          <w:tcPr>
            <w:tcW w:w="2115" w:type="dxa"/>
            <w:tcBorders>
              <w:bottom w:val="nil"/>
            </w:tcBorders>
          </w:tcPr>
          <w:p w14:paraId="7B67E0DE" w14:textId="77777777" w:rsidR="001825E2" w:rsidRDefault="000839A5" w:rsidP="00CB00A7">
            <w:pPr>
              <w:pStyle w:val="TableParagraph"/>
              <w:spacing w:line="244" w:lineRule="exact"/>
              <w:ind w:left="0" w:right="405"/>
              <w:jc w:val="left"/>
              <w:rPr>
                <w:sz w:val="24"/>
              </w:rPr>
            </w:pPr>
            <w:r>
              <w:rPr>
                <w:sz w:val="24"/>
              </w:rPr>
              <w:t>Without</w:t>
            </w:r>
            <w:r>
              <w:rPr>
                <w:spacing w:val="-8"/>
                <w:sz w:val="24"/>
              </w:rPr>
              <w:t xml:space="preserve"> </w:t>
            </w:r>
            <w:r>
              <w:rPr>
                <w:spacing w:val="-2"/>
                <w:sz w:val="24"/>
              </w:rPr>
              <w:t>Prior</w:t>
            </w:r>
          </w:p>
        </w:tc>
        <w:tc>
          <w:tcPr>
            <w:tcW w:w="1095" w:type="dxa"/>
            <w:tcBorders>
              <w:bottom w:val="nil"/>
            </w:tcBorders>
          </w:tcPr>
          <w:p w14:paraId="5B2AAE37" w14:textId="77777777" w:rsidR="001825E2" w:rsidRDefault="000839A5" w:rsidP="00CB00A7">
            <w:pPr>
              <w:pStyle w:val="TableParagraph"/>
              <w:spacing w:line="244" w:lineRule="exact"/>
              <w:ind w:left="34" w:right="4"/>
              <w:jc w:val="left"/>
              <w:rPr>
                <w:sz w:val="24"/>
              </w:rPr>
            </w:pPr>
            <w:r>
              <w:rPr>
                <w:spacing w:val="-4"/>
                <w:sz w:val="24"/>
              </w:rPr>
              <w:t>N=38</w:t>
            </w:r>
          </w:p>
        </w:tc>
        <w:tc>
          <w:tcPr>
            <w:tcW w:w="1470" w:type="dxa"/>
            <w:tcBorders>
              <w:bottom w:val="nil"/>
            </w:tcBorders>
          </w:tcPr>
          <w:p w14:paraId="0F6A60B4" w14:textId="77777777" w:rsidR="001825E2" w:rsidRDefault="000839A5" w:rsidP="00CB00A7">
            <w:pPr>
              <w:pStyle w:val="TableParagraph"/>
              <w:spacing w:line="244" w:lineRule="exact"/>
              <w:ind w:left="49" w:right="4"/>
              <w:jc w:val="left"/>
              <w:rPr>
                <w:sz w:val="24"/>
              </w:rPr>
            </w:pPr>
            <w:r>
              <w:rPr>
                <w:spacing w:val="-4"/>
                <w:sz w:val="24"/>
              </w:rPr>
              <w:t>N=47</w:t>
            </w:r>
          </w:p>
        </w:tc>
        <w:tc>
          <w:tcPr>
            <w:tcW w:w="1470" w:type="dxa"/>
            <w:tcBorders>
              <w:bottom w:val="nil"/>
            </w:tcBorders>
          </w:tcPr>
          <w:p w14:paraId="7F0CA25E" w14:textId="77777777" w:rsidR="001825E2" w:rsidRDefault="000839A5" w:rsidP="00CB00A7">
            <w:pPr>
              <w:pStyle w:val="TableParagraph"/>
              <w:spacing w:line="244" w:lineRule="exact"/>
              <w:ind w:left="49" w:right="34"/>
              <w:jc w:val="left"/>
              <w:rPr>
                <w:sz w:val="24"/>
              </w:rPr>
            </w:pPr>
            <w:r>
              <w:rPr>
                <w:spacing w:val="-4"/>
                <w:sz w:val="24"/>
              </w:rPr>
              <w:t>N=37</w:t>
            </w:r>
          </w:p>
        </w:tc>
        <w:tc>
          <w:tcPr>
            <w:tcW w:w="1545" w:type="dxa"/>
            <w:vMerge w:val="restart"/>
          </w:tcPr>
          <w:p w14:paraId="22BDED35" w14:textId="77777777" w:rsidR="001825E2" w:rsidRDefault="001825E2" w:rsidP="00CB00A7">
            <w:pPr>
              <w:pStyle w:val="TableParagraph"/>
              <w:ind w:left="0"/>
              <w:jc w:val="left"/>
            </w:pPr>
          </w:p>
        </w:tc>
        <w:tc>
          <w:tcPr>
            <w:tcW w:w="1545" w:type="dxa"/>
            <w:vMerge w:val="restart"/>
          </w:tcPr>
          <w:p w14:paraId="6B41C3DF" w14:textId="77777777" w:rsidR="001825E2" w:rsidRDefault="001825E2" w:rsidP="00CB00A7">
            <w:pPr>
              <w:pStyle w:val="TableParagraph"/>
              <w:ind w:left="0"/>
              <w:jc w:val="left"/>
            </w:pPr>
          </w:p>
        </w:tc>
      </w:tr>
      <w:tr w:rsidR="001825E2" w14:paraId="4689CAA8" w14:textId="77777777">
        <w:trPr>
          <w:trHeight w:val="258"/>
        </w:trPr>
        <w:tc>
          <w:tcPr>
            <w:tcW w:w="2115" w:type="dxa"/>
            <w:tcBorders>
              <w:top w:val="nil"/>
              <w:bottom w:val="nil"/>
            </w:tcBorders>
          </w:tcPr>
          <w:p w14:paraId="1D987EBC" w14:textId="77777777" w:rsidR="001825E2" w:rsidRDefault="000839A5" w:rsidP="00CB00A7">
            <w:pPr>
              <w:pStyle w:val="TableParagraph"/>
              <w:spacing w:line="238" w:lineRule="exact"/>
              <w:ind w:left="0" w:right="360"/>
              <w:jc w:val="left"/>
              <w:rPr>
                <w:sz w:val="24"/>
              </w:rPr>
            </w:pPr>
            <w:r>
              <w:rPr>
                <w:sz w:val="24"/>
              </w:rPr>
              <w:t>TNF</w:t>
            </w:r>
            <w:r>
              <w:rPr>
                <w:spacing w:val="-5"/>
                <w:sz w:val="24"/>
              </w:rPr>
              <w:t xml:space="preserve"> </w:t>
            </w:r>
            <w:r>
              <w:rPr>
                <w:spacing w:val="-2"/>
                <w:sz w:val="24"/>
              </w:rPr>
              <w:t>Inhibitor</w:t>
            </w:r>
          </w:p>
        </w:tc>
        <w:tc>
          <w:tcPr>
            <w:tcW w:w="1095" w:type="dxa"/>
            <w:tcBorders>
              <w:top w:val="nil"/>
              <w:bottom w:val="nil"/>
            </w:tcBorders>
          </w:tcPr>
          <w:p w14:paraId="7E42B8E0" w14:textId="77777777" w:rsidR="001825E2" w:rsidRDefault="001825E2" w:rsidP="00CB00A7">
            <w:pPr>
              <w:pStyle w:val="TableParagraph"/>
              <w:ind w:left="0"/>
              <w:jc w:val="left"/>
              <w:rPr>
                <w:sz w:val="18"/>
              </w:rPr>
            </w:pPr>
          </w:p>
        </w:tc>
        <w:tc>
          <w:tcPr>
            <w:tcW w:w="1470" w:type="dxa"/>
            <w:tcBorders>
              <w:top w:val="nil"/>
              <w:bottom w:val="nil"/>
            </w:tcBorders>
          </w:tcPr>
          <w:p w14:paraId="60BB6D9F" w14:textId="77777777" w:rsidR="001825E2" w:rsidRDefault="001825E2" w:rsidP="00CB00A7">
            <w:pPr>
              <w:pStyle w:val="TableParagraph"/>
              <w:ind w:left="0"/>
              <w:jc w:val="left"/>
              <w:rPr>
                <w:sz w:val="18"/>
              </w:rPr>
            </w:pPr>
          </w:p>
        </w:tc>
        <w:tc>
          <w:tcPr>
            <w:tcW w:w="1470" w:type="dxa"/>
            <w:tcBorders>
              <w:top w:val="nil"/>
              <w:bottom w:val="nil"/>
            </w:tcBorders>
          </w:tcPr>
          <w:p w14:paraId="11695D88" w14:textId="77777777" w:rsidR="001825E2" w:rsidRDefault="001825E2" w:rsidP="00CB00A7">
            <w:pPr>
              <w:pStyle w:val="TableParagraph"/>
              <w:ind w:left="0"/>
              <w:jc w:val="left"/>
              <w:rPr>
                <w:sz w:val="18"/>
              </w:rPr>
            </w:pPr>
          </w:p>
        </w:tc>
        <w:tc>
          <w:tcPr>
            <w:tcW w:w="1545" w:type="dxa"/>
            <w:vMerge/>
            <w:tcBorders>
              <w:top w:val="nil"/>
            </w:tcBorders>
          </w:tcPr>
          <w:p w14:paraId="1235EC0C" w14:textId="77777777" w:rsidR="001825E2" w:rsidRDefault="001825E2" w:rsidP="00CB00A7">
            <w:pPr>
              <w:rPr>
                <w:sz w:val="2"/>
                <w:szCs w:val="2"/>
              </w:rPr>
            </w:pPr>
          </w:p>
        </w:tc>
        <w:tc>
          <w:tcPr>
            <w:tcW w:w="1545" w:type="dxa"/>
            <w:vMerge/>
            <w:tcBorders>
              <w:top w:val="nil"/>
            </w:tcBorders>
          </w:tcPr>
          <w:p w14:paraId="39AD4055" w14:textId="77777777" w:rsidR="001825E2" w:rsidRDefault="001825E2" w:rsidP="00CB00A7">
            <w:pPr>
              <w:rPr>
                <w:sz w:val="2"/>
                <w:szCs w:val="2"/>
              </w:rPr>
            </w:pPr>
          </w:p>
        </w:tc>
      </w:tr>
      <w:tr w:rsidR="001825E2" w14:paraId="3D3B6BD8" w14:textId="77777777">
        <w:trPr>
          <w:trHeight w:val="272"/>
        </w:trPr>
        <w:tc>
          <w:tcPr>
            <w:tcW w:w="2115" w:type="dxa"/>
            <w:tcBorders>
              <w:top w:val="nil"/>
            </w:tcBorders>
          </w:tcPr>
          <w:p w14:paraId="2F305757" w14:textId="77777777" w:rsidR="001825E2" w:rsidRDefault="000839A5" w:rsidP="00CB00A7">
            <w:pPr>
              <w:pStyle w:val="TableParagraph"/>
              <w:spacing w:line="253" w:lineRule="exact"/>
              <w:ind w:left="382"/>
              <w:jc w:val="left"/>
              <w:rPr>
                <w:sz w:val="16"/>
              </w:rPr>
            </w:pPr>
            <w:r>
              <w:rPr>
                <w:spacing w:val="-2"/>
                <w:sz w:val="24"/>
              </w:rPr>
              <w:t>Failure</w:t>
            </w:r>
            <w:r>
              <w:rPr>
                <w:spacing w:val="-2"/>
                <w:position w:val="7"/>
                <w:sz w:val="16"/>
              </w:rPr>
              <w:t>c</w:t>
            </w:r>
          </w:p>
        </w:tc>
        <w:tc>
          <w:tcPr>
            <w:tcW w:w="1095" w:type="dxa"/>
            <w:tcBorders>
              <w:top w:val="nil"/>
            </w:tcBorders>
          </w:tcPr>
          <w:p w14:paraId="6C9362F2" w14:textId="77777777" w:rsidR="001825E2" w:rsidRDefault="000839A5" w:rsidP="00CB00A7">
            <w:pPr>
              <w:pStyle w:val="TableParagraph"/>
              <w:spacing w:line="253" w:lineRule="exact"/>
              <w:ind w:left="34"/>
              <w:jc w:val="left"/>
              <w:rPr>
                <w:sz w:val="24"/>
              </w:rPr>
            </w:pPr>
            <w:r>
              <w:rPr>
                <w:spacing w:val="-5"/>
                <w:sz w:val="24"/>
              </w:rPr>
              <w:t>5%</w:t>
            </w:r>
          </w:p>
        </w:tc>
        <w:tc>
          <w:tcPr>
            <w:tcW w:w="1470" w:type="dxa"/>
            <w:tcBorders>
              <w:top w:val="nil"/>
            </w:tcBorders>
          </w:tcPr>
          <w:p w14:paraId="6D47BC8C" w14:textId="77777777" w:rsidR="001825E2" w:rsidRDefault="000839A5" w:rsidP="00CB00A7">
            <w:pPr>
              <w:pStyle w:val="TableParagraph"/>
              <w:spacing w:line="253" w:lineRule="exact"/>
              <w:ind w:left="49"/>
              <w:jc w:val="left"/>
              <w:rPr>
                <w:sz w:val="24"/>
              </w:rPr>
            </w:pPr>
            <w:r>
              <w:rPr>
                <w:spacing w:val="-5"/>
                <w:sz w:val="24"/>
              </w:rPr>
              <w:t>40%</w:t>
            </w:r>
          </w:p>
        </w:tc>
        <w:tc>
          <w:tcPr>
            <w:tcW w:w="1470" w:type="dxa"/>
            <w:tcBorders>
              <w:top w:val="nil"/>
            </w:tcBorders>
          </w:tcPr>
          <w:p w14:paraId="74193095" w14:textId="77777777" w:rsidR="001825E2" w:rsidRDefault="000839A5" w:rsidP="00CB00A7">
            <w:pPr>
              <w:pStyle w:val="TableParagraph"/>
              <w:spacing w:line="253" w:lineRule="exact"/>
              <w:ind w:left="49" w:right="30"/>
              <w:jc w:val="left"/>
              <w:rPr>
                <w:sz w:val="24"/>
              </w:rPr>
            </w:pPr>
            <w:r>
              <w:rPr>
                <w:spacing w:val="-5"/>
                <w:sz w:val="24"/>
              </w:rPr>
              <w:t>51%</w:t>
            </w:r>
          </w:p>
        </w:tc>
        <w:tc>
          <w:tcPr>
            <w:tcW w:w="1545" w:type="dxa"/>
            <w:vMerge/>
            <w:tcBorders>
              <w:top w:val="nil"/>
            </w:tcBorders>
          </w:tcPr>
          <w:p w14:paraId="0569A95C" w14:textId="77777777" w:rsidR="001825E2" w:rsidRDefault="001825E2" w:rsidP="00CB00A7">
            <w:pPr>
              <w:rPr>
                <w:sz w:val="2"/>
                <w:szCs w:val="2"/>
              </w:rPr>
            </w:pPr>
          </w:p>
        </w:tc>
        <w:tc>
          <w:tcPr>
            <w:tcW w:w="1545" w:type="dxa"/>
            <w:vMerge/>
            <w:tcBorders>
              <w:top w:val="nil"/>
            </w:tcBorders>
          </w:tcPr>
          <w:p w14:paraId="4192F12F" w14:textId="77777777" w:rsidR="001825E2" w:rsidRDefault="001825E2" w:rsidP="00CB00A7">
            <w:pPr>
              <w:rPr>
                <w:sz w:val="2"/>
                <w:szCs w:val="2"/>
              </w:rPr>
            </w:pPr>
          </w:p>
        </w:tc>
      </w:tr>
    </w:tbl>
    <w:p w14:paraId="2BA51A28" w14:textId="77777777" w:rsidR="001825E2" w:rsidRDefault="000839A5" w:rsidP="00CB00A7">
      <w:pPr>
        <w:ind w:left="220"/>
        <w:rPr>
          <w:sz w:val="19"/>
        </w:rPr>
      </w:pPr>
      <w:r>
        <w:rPr>
          <w:sz w:val="19"/>
        </w:rPr>
        <w:t>*</w:t>
      </w:r>
      <w:r>
        <w:rPr>
          <w:spacing w:val="28"/>
          <w:sz w:val="19"/>
        </w:rPr>
        <w:t xml:space="preserve"> </w:t>
      </w:r>
      <w:r>
        <w:rPr>
          <w:sz w:val="19"/>
        </w:rPr>
        <w:t>p-value</w:t>
      </w:r>
      <w:r>
        <w:rPr>
          <w:spacing w:val="-1"/>
          <w:sz w:val="19"/>
        </w:rPr>
        <w:t xml:space="preserve"> </w:t>
      </w:r>
      <w:r>
        <w:rPr>
          <w:spacing w:val="-2"/>
          <w:sz w:val="19"/>
        </w:rPr>
        <w:t>&lt;0.0001.</w:t>
      </w:r>
    </w:p>
    <w:p w14:paraId="77E93E74" w14:textId="77777777" w:rsidR="001825E2" w:rsidRDefault="000839A5" w:rsidP="00CB00A7">
      <w:pPr>
        <w:spacing w:before="18"/>
        <w:ind w:left="220"/>
        <w:rPr>
          <w:sz w:val="19"/>
        </w:rPr>
      </w:pPr>
      <w:r>
        <w:rPr>
          <w:sz w:val="19"/>
        </w:rPr>
        <w:t>CI</w:t>
      </w:r>
      <w:r>
        <w:rPr>
          <w:spacing w:val="30"/>
          <w:sz w:val="19"/>
        </w:rPr>
        <w:t xml:space="preserve"> </w:t>
      </w:r>
      <w:r>
        <w:rPr>
          <w:sz w:val="19"/>
        </w:rPr>
        <w:t>=</w:t>
      </w:r>
      <w:r>
        <w:rPr>
          <w:spacing w:val="31"/>
          <w:sz w:val="19"/>
        </w:rPr>
        <w:t xml:space="preserve"> </w:t>
      </w:r>
      <w:r>
        <w:rPr>
          <w:sz w:val="19"/>
        </w:rPr>
        <w:t>Confidence interval;</w:t>
      </w:r>
      <w:r>
        <w:rPr>
          <w:spacing w:val="3"/>
          <w:sz w:val="19"/>
        </w:rPr>
        <w:t xml:space="preserve"> </w:t>
      </w:r>
      <w:r>
        <w:rPr>
          <w:sz w:val="19"/>
        </w:rPr>
        <w:t>N</w:t>
      </w:r>
      <w:r>
        <w:rPr>
          <w:spacing w:val="30"/>
          <w:sz w:val="19"/>
        </w:rPr>
        <w:t xml:space="preserve"> </w:t>
      </w:r>
      <w:r>
        <w:rPr>
          <w:sz w:val="19"/>
        </w:rPr>
        <w:t>=</w:t>
      </w:r>
      <w:r>
        <w:rPr>
          <w:spacing w:val="31"/>
          <w:sz w:val="19"/>
        </w:rPr>
        <w:t xml:space="preserve"> </w:t>
      </w:r>
      <w:r>
        <w:rPr>
          <w:sz w:val="19"/>
        </w:rPr>
        <w:t>number</w:t>
      </w:r>
      <w:r>
        <w:rPr>
          <w:spacing w:val="-12"/>
          <w:sz w:val="19"/>
        </w:rPr>
        <w:t xml:space="preserve"> </w:t>
      </w:r>
      <w:r>
        <w:rPr>
          <w:sz w:val="19"/>
        </w:rPr>
        <w:t>of</w:t>
      </w:r>
      <w:r>
        <w:rPr>
          <w:spacing w:val="9"/>
          <w:sz w:val="19"/>
        </w:rPr>
        <w:t xml:space="preserve"> </w:t>
      </w:r>
      <w:r>
        <w:rPr>
          <w:sz w:val="19"/>
        </w:rPr>
        <w:t>patients</w:t>
      </w:r>
      <w:r>
        <w:rPr>
          <w:spacing w:val="-7"/>
          <w:sz w:val="19"/>
        </w:rPr>
        <w:t xml:space="preserve"> </w:t>
      </w:r>
      <w:r>
        <w:rPr>
          <w:sz w:val="19"/>
        </w:rPr>
        <w:t>in</w:t>
      </w:r>
      <w:r>
        <w:rPr>
          <w:spacing w:val="50"/>
          <w:sz w:val="19"/>
        </w:rPr>
        <w:t xml:space="preserve"> </w:t>
      </w:r>
      <w:r>
        <w:rPr>
          <w:sz w:val="19"/>
        </w:rPr>
        <w:t>the</w:t>
      </w:r>
      <w:r>
        <w:rPr>
          <w:spacing w:val="21"/>
          <w:sz w:val="19"/>
        </w:rPr>
        <w:t xml:space="preserve"> </w:t>
      </w:r>
      <w:r>
        <w:rPr>
          <w:sz w:val="19"/>
        </w:rPr>
        <w:t>analysis</w:t>
      </w:r>
      <w:r>
        <w:rPr>
          <w:spacing w:val="-6"/>
          <w:sz w:val="19"/>
        </w:rPr>
        <w:t xml:space="preserve"> </w:t>
      </w:r>
      <w:r>
        <w:rPr>
          <w:sz w:val="19"/>
        </w:rPr>
        <w:t>set;</w:t>
      </w:r>
      <w:r>
        <w:rPr>
          <w:spacing w:val="25"/>
          <w:sz w:val="19"/>
        </w:rPr>
        <w:t xml:space="preserve"> </w:t>
      </w:r>
      <w:r>
        <w:rPr>
          <w:sz w:val="19"/>
        </w:rPr>
        <w:t>TNF</w:t>
      </w:r>
      <w:r>
        <w:rPr>
          <w:spacing w:val="34"/>
          <w:sz w:val="19"/>
        </w:rPr>
        <w:t xml:space="preserve"> </w:t>
      </w:r>
      <w:r>
        <w:rPr>
          <w:sz w:val="19"/>
        </w:rPr>
        <w:t>=</w:t>
      </w:r>
      <w:r>
        <w:rPr>
          <w:spacing w:val="30"/>
          <w:sz w:val="19"/>
        </w:rPr>
        <w:t xml:space="preserve"> </w:t>
      </w:r>
      <w:proofErr w:type="spellStart"/>
      <w:r>
        <w:rPr>
          <w:sz w:val="19"/>
        </w:rPr>
        <w:t>tumour</w:t>
      </w:r>
      <w:proofErr w:type="spellEnd"/>
      <w:r>
        <w:rPr>
          <w:spacing w:val="-12"/>
          <w:sz w:val="19"/>
        </w:rPr>
        <w:t xml:space="preserve"> </w:t>
      </w:r>
      <w:r>
        <w:rPr>
          <w:sz w:val="19"/>
        </w:rPr>
        <w:t>necrosis</w:t>
      </w:r>
      <w:r>
        <w:rPr>
          <w:spacing w:val="37"/>
          <w:sz w:val="19"/>
        </w:rPr>
        <w:t xml:space="preserve"> </w:t>
      </w:r>
      <w:r>
        <w:rPr>
          <w:spacing w:val="-2"/>
          <w:sz w:val="19"/>
        </w:rPr>
        <w:t>factor.</w:t>
      </w:r>
    </w:p>
    <w:p w14:paraId="4A0DE4BF" w14:textId="77777777" w:rsidR="001825E2" w:rsidRDefault="000839A5" w:rsidP="00CB00A7">
      <w:pPr>
        <w:spacing w:before="2"/>
        <w:ind w:left="220"/>
        <w:rPr>
          <w:sz w:val="19"/>
        </w:rPr>
      </w:pPr>
      <w:r>
        <w:rPr>
          <w:position w:val="6"/>
          <w:sz w:val="13"/>
        </w:rPr>
        <w:t>a</w:t>
      </w:r>
      <w:r>
        <w:rPr>
          <w:spacing w:val="21"/>
          <w:position w:val="6"/>
          <w:sz w:val="13"/>
        </w:rPr>
        <w:t xml:space="preserve"> </w:t>
      </w:r>
      <w:r>
        <w:rPr>
          <w:sz w:val="19"/>
        </w:rPr>
        <w:t>Remission</w:t>
      </w:r>
      <w:r>
        <w:rPr>
          <w:spacing w:val="71"/>
          <w:sz w:val="19"/>
        </w:rPr>
        <w:t xml:space="preserve"> </w:t>
      </w:r>
      <w:r>
        <w:rPr>
          <w:sz w:val="19"/>
        </w:rPr>
        <w:t>was</w:t>
      </w:r>
      <w:r>
        <w:rPr>
          <w:spacing w:val="42"/>
          <w:sz w:val="19"/>
        </w:rPr>
        <w:t xml:space="preserve"> </w:t>
      </w:r>
      <w:r>
        <w:rPr>
          <w:sz w:val="19"/>
        </w:rPr>
        <w:t>defined</w:t>
      </w:r>
      <w:r>
        <w:rPr>
          <w:spacing w:val="52"/>
          <w:sz w:val="19"/>
        </w:rPr>
        <w:t xml:space="preserve"> </w:t>
      </w:r>
      <w:r>
        <w:rPr>
          <w:sz w:val="19"/>
        </w:rPr>
        <w:t>as</w:t>
      </w:r>
      <w:r>
        <w:rPr>
          <w:spacing w:val="42"/>
          <w:sz w:val="19"/>
        </w:rPr>
        <w:t xml:space="preserve"> </w:t>
      </w:r>
      <w:r>
        <w:rPr>
          <w:sz w:val="19"/>
        </w:rPr>
        <w:t>clinical</w:t>
      </w:r>
      <w:r>
        <w:rPr>
          <w:spacing w:val="33"/>
          <w:sz w:val="19"/>
        </w:rPr>
        <w:t xml:space="preserve"> </w:t>
      </w:r>
      <w:r>
        <w:rPr>
          <w:sz w:val="19"/>
        </w:rPr>
        <w:t>remission</w:t>
      </w:r>
      <w:r>
        <w:rPr>
          <w:spacing w:val="70"/>
          <w:sz w:val="19"/>
        </w:rPr>
        <w:t xml:space="preserve"> </w:t>
      </w:r>
      <w:r>
        <w:rPr>
          <w:sz w:val="19"/>
        </w:rPr>
        <w:t>(a</w:t>
      </w:r>
      <w:r>
        <w:rPr>
          <w:spacing w:val="65"/>
          <w:sz w:val="19"/>
        </w:rPr>
        <w:t xml:space="preserve"> </w:t>
      </w:r>
      <w:r>
        <w:rPr>
          <w:sz w:val="19"/>
        </w:rPr>
        <w:t>Mayo</w:t>
      </w:r>
      <w:r>
        <w:rPr>
          <w:spacing w:val="52"/>
          <w:sz w:val="19"/>
        </w:rPr>
        <w:t xml:space="preserve"> </w:t>
      </w:r>
      <w:r>
        <w:rPr>
          <w:sz w:val="19"/>
        </w:rPr>
        <w:t>score</w:t>
      </w:r>
      <w:r>
        <w:rPr>
          <w:spacing w:val="47"/>
          <w:sz w:val="19"/>
        </w:rPr>
        <w:t xml:space="preserve"> </w:t>
      </w:r>
      <w:r>
        <w:rPr>
          <w:sz w:val="19"/>
        </w:rPr>
        <w:t>≤2</w:t>
      </w:r>
      <w:r>
        <w:rPr>
          <w:spacing w:val="52"/>
          <w:sz w:val="19"/>
        </w:rPr>
        <w:t xml:space="preserve"> </w:t>
      </w:r>
      <w:r>
        <w:rPr>
          <w:sz w:val="19"/>
        </w:rPr>
        <w:t>with</w:t>
      </w:r>
      <w:r>
        <w:rPr>
          <w:spacing w:val="52"/>
          <w:sz w:val="19"/>
        </w:rPr>
        <w:t xml:space="preserve"> </w:t>
      </w:r>
      <w:r>
        <w:rPr>
          <w:sz w:val="19"/>
        </w:rPr>
        <w:t>no</w:t>
      </w:r>
      <w:r>
        <w:rPr>
          <w:spacing w:val="52"/>
          <w:sz w:val="19"/>
        </w:rPr>
        <w:t xml:space="preserve"> </w:t>
      </w:r>
      <w:r>
        <w:rPr>
          <w:sz w:val="19"/>
        </w:rPr>
        <w:t>individual</w:t>
      </w:r>
      <w:r>
        <w:rPr>
          <w:spacing w:val="33"/>
          <w:sz w:val="19"/>
        </w:rPr>
        <w:t xml:space="preserve"> </w:t>
      </w:r>
      <w:proofErr w:type="spellStart"/>
      <w:r>
        <w:rPr>
          <w:sz w:val="19"/>
        </w:rPr>
        <w:t>subscore</w:t>
      </w:r>
      <w:proofErr w:type="spellEnd"/>
      <w:r>
        <w:rPr>
          <w:spacing w:val="47"/>
          <w:sz w:val="19"/>
        </w:rPr>
        <w:t xml:space="preserve"> </w:t>
      </w:r>
      <w:r>
        <w:rPr>
          <w:sz w:val="19"/>
        </w:rPr>
        <w:t>&gt;1)</w:t>
      </w:r>
      <w:r>
        <w:rPr>
          <w:spacing w:val="56"/>
          <w:sz w:val="19"/>
        </w:rPr>
        <w:t xml:space="preserve"> </w:t>
      </w:r>
      <w:r>
        <w:rPr>
          <w:sz w:val="19"/>
          <w:u w:val="single"/>
        </w:rPr>
        <w:t>and</w:t>
      </w:r>
      <w:r>
        <w:rPr>
          <w:spacing w:val="52"/>
          <w:sz w:val="19"/>
        </w:rPr>
        <w:t xml:space="preserve"> </w:t>
      </w:r>
      <w:proofErr w:type="gramStart"/>
      <w:r>
        <w:rPr>
          <w:spacing w:val="-2"/>
          <w:sz w:val="19"/>
        </w:rPr>
        <w:t>rectal</w:t>
      </w:r>
      <w:proofErr w:type="gramEnd"/>
    </w:p>
    <w:p w14:paraId="120D4FED" w14:textId="77777777" w:rsidR="001825E2" w:rsidRDefault="001825E2" w:rsidP="00CB00A7">
      <w:pPr>
        <w:rPr>
          <w:sz w:val="19"/>
        </w:rPr>
        <w:sectPr w:rsidR="001825E2">
          <w:pgSz w:w="11910" w:h="16850"/>
          <w:pgMar w:top="1360" w:right="700" w:bottom="980" w:left="1220" w:header="0" w:footer="785" w:gutter="0"/>
          <w:cols w:space="720"/>
        </w:sectPr>
      </w:pPr>
    </w:p>
    <w:p w14:paraId="23BFF717" w14:textId="77777777" w:rsidR="001825E2" w:rsidRDefault="001825E2" w:rsidP="00CB00A7">
      <w:pPr>
        <w:pStyle w:val="BodyText"/>
        <w:spacing w:before="9"/>
        <w:jc w:val="left"/>
        <w:rPr>
          <w:sz w:val="4"/>
        </w:rPr>
      </w:pPr>
    </w:p>
    <w:p w14:paraId="1676E57B" w14:textId="77777777" w:rsidR="001825E2" w:rsidRDefault="000839A5" w:rsidP="00CB00A7">
      <w:pPr>
        <w:pStyle w:val="BodyText"/>
        <w:spacing w:line="20" w:lineRule="exact"/>
        <w:ind w:left="115"/>
        <w:jc w:val="left"/>
        <w:rPr>
          <w:sz w:val="2"/>
        </w:rPr>
      </w:pPr>
      <w:r>
        <w:rPr>
          <w:noProof/>
          <w:sz w:val="2"/>
        </w:rPr>
        <mc:AlternateContent>
          <mc:Choice Requires="wpg">
            <w:drawing>
              <wp:inline distT="0" distB="0" distL="0" distR="0" wp14:anchorId="46D955E7" wp14:editId="1AC14727">
                <wp:extent cx="5867400" cy="9525"/>
                <wp:effectExtent l="0" t="0" r="0" b="0"/>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9525"/>
                          <a:chOff x="0" y="0"/>
                          <a:chExt cx="5867400" cy="9525"/>
                        </a:xfrm>
                      </wpg:grpSpPr>
                      <wps:wsp>
                        <wps:cNvPr id="182" name="Graphic 182"/>
                        <wps:cNvSpPr/>
                        <wps:spPr>
                          <a:xfrm>
                            <a:off x="0" y="0"/>
                            <a:ext cx="5867400" cy="9525"/>
                          </a:xfrm>
                          <a:custGeom>
                            <a:avLst/>
                            <a:gdLst/>
                            <a:ahLst/>
                            <a:cxnLst/>
                            <a:rect l="l" t="t" r="r" b="b"/>
                            <a:pathLst>
                              <a:path w="5867400" h="9525">
                                <a:moveTo>
                                  <a:pt x="5867400" y="0"/>
                                </a:moveTo>
                                <a:lnTo>
                                  <a:pt x="0" y="0"/>
                                </a:lnTo>
                                <a:lnTo>
                                  <a:pt x="0" y="9525"/>
                                </a:lnTo>
                                <a:lnTo>
                                  <a:pt x="5867400" y="9525"/>
                                </a:lnTo>
                                <a:lnTo>
                                  <a:pt x="58674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A743A92" id="Group 181" o:spid="_x0000_s1026" style="width:462pt;height:.75pt;mso-position-horizontal-relative:char;mso-position-vertical-relative:line" coordsize="5867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">
                <v:shape id="Graphic 182" o:spid="_x0000_s1027" style="position:absolute;width:58674;height:95;visibility:visible;mso-wrap-style:square;v-text-anchor:top" coordsize="58674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" path="m5867400,l,,,9525r5867400,l5867400,xe" fillcolor="black" stroked="f">
                  <v:path arrowok="t"/>
                </v:shape>
                <w10:anchorlock/>
              </v:group>
            </w:pict>
          </mc:Fallback>
        </mc:AlternateContent>
      </w:r>
    </w:p>
    <w:p w14:paraId="6A4E5508" w14:textId="77777777" w:rsidR="001825E2" w:rsidRDefault="000839A5" w:rsidP="00CB00A7">
      <w:pPr>
        <w:ind w:left="220"/>
        <w:rPr>
          <w:sz w:val="19"/>
        </w:rPr>
      </w:pPr>
      <w:r>
        <w:rPr>
          <w:sz w:val="19"/>
        </w:rPr>
        <w:t>bleeding</w:t>
      </w:r>
      <w:r>
        <w:rPr>
          <w:spacing w:val="25"/>
          <w:sz w:val="19"/>
        </w:rPr>
        <w:t xml:space="preserve"> </w:t>
      </w:r>
      <w:proofErr w:type="spellStart"/>
      <w:r>
        <w:rPr>
          <w:sz w:val="19"/>
        </w:rPr>
        <w:t>subscore</w:t>
      </w:r>
      <w:proofErr w:type="spellEnd"/>
      <w:r>
        <w:rPr>
          <w:spacing w:val="19"/>
          <w:sz w:val="19"/>
        </w:rPr>
        <w:t xml:space="preserve"> </w:t>
      </w:r>
      <w:r>
        <w:rPr>
          <w:sz w:val="19"/>
        </w:rPr>
        <w:t>of</w:t>
      </w:r>
      <w:r>
        <w:rPr>
          <w:spacing w:val="28"/>
          <w:sz w:val="19"/>
        </w:rPr>
        <w:t xml:space="preserve"> </w:t>
      </w:r>
      <w:r>
        <w:rPr>
          <w:spacing w:val="-5"/>
          <w:sz w:val="19"/>
        </w:rPr>
        <w:t>0.</w:t>
      </w:r>
    </w:p>
    <w:p w14:paraId="5A20FA55" w14:textId="77777777" w:rsidR="001825E2" w:rsidRDefault="000839A5" w:rsidP="00CB00A7">
      <w:pPr>
        <w:spacing w:line="247" w:lineRule="auto"/>
        <w:ind w:left="220" w:right="745"/>
        <w:rPr>
          <w:sz w:val="19"/>
        </w:rPr>
      </w:pPr>
      <w:r>
        <w:rPr>
          <w:position w:val="6"/>
          <w:sz w:val="13"/>
        </w:rPr>
        <w:t>b</w:t>
      </w:r>
      <w:r>
        <w:rPr>
          <w:spacing w:val="20"/>
          <w:position w:val="6"/>
          <w:sz w:val="13"/>
        </w:rPr>
        <w:t xml:space="preserve"> </w:t>
      </w:r>
      <w:r>
        <w:rPr>
          <w:sz w:val="19"/>
        </w:rPr>
        <w:t>Prior</w:t>
      </w:r>
      <w:r>
        <w:rPr>
          <w:spacing w:val="29"/>
          <w:sz w:val="19"/>
        </w:rPr>
        <w:t xml:space="preserve"> </w:t>
      </w:r>
      <w:r>
        <w:rPr>
          <w:sz w:val="19"/>
        </w:rPr>
        <w:t>TNF</w:t>
      </w:r>
      <w:r>
        <w:rPr>
          <w:spacing w:val="31"/>
          <w:sz w:val="19"/>
        </w:rPr>
        <w:t xml:space="preserve"> </w:t>
      </w:r>
      <w:proofErr w:type="spellStart"/>
      <w:r>
        <w:rPr>
          <w:sz w:val="19"/>
        </w:rPr>
        <w:t>inhib</w:t>
      </w:r>
      <w:proofErr w:type="spellEnd"/>
      <w:r>
        <w:rPr>
          <w:spacing w:val="-16"/>
          <w:sz w:val="19"/>
        </w:rPr>
        <w:t xml:space="preserve"> </w:t>
      </w:r>
      <w:proofErr w:type="spellStart"/>
      <w:r>
        <w:rPr>
          <w:sz w:val="19"/>
        </w:rPr>
        <w:t>itor</w:t>
      </w:r>
      <w:proofErr w:type="spellEnd"/>
      <w:r>
        <w:rPr>
          <w:sz w:val="19"/>
        </w:rPr>
        <w:t xml:space="preserve"> failure</w:t>
      </w:r>
      <w:r>
        <w:rPr>
          <w:spacing w:val="40"/>
          <w:sz w:val="19"/>
        </w:rPr>
        <w:t xml:space="preserve"> </w:t>
      </w:r>
      <w:r>
        <w:rPr>
          <w:sz w:val="19"/>
        </w:rPr>
        <w:t>was</w:t>
      </w:r>
      <w:r>
        <w:rPr>
          <w:spacing w:val="13"/>
          <w:sz w:val="19"/>
        </w:rPr>
        <w:t xml:space="preserve"> </w:t>
      </w:r>
      <w:r>
        <w:rPr>
          <w:sz w:val="19"/>
        </w:rPr>
        <w:t>defined</w:t>
      </w:r>
      <w:r>
        <w:rPr>
          <w:spacing w:val="26"/>
          <w:sz w:val="19"/>
        </w:rPr>
        <w:t xml:space="preserve"> </w:t>
      </w:r>
      <w:r>
        <w:rPr>
          <w:sz w:val="19"/>
        </w:rPr>
        <w:t>in</w:t>
      </w:r>
      <w:r>
        <w:rPr>
          <w:spacing w:val="26"/>
          <w:sz w:val="19"/>
        </w:rPr>
        <w:t xml:space="preserve"> </w:t>
      </w:r>
      <w:r>
        <w:rPr>
          <w:sz w:val="19"/>
        </w:rPr>
        <w:t>this</w:t>
      </w:r>
      <w:r>
        <w:rPr>
          <w:spacing w:val="34"/>
          <w:sz w:val="19"/>
        </w:rPr>
        <w:t xml:space="preserve"> </w:t>
      </w:r>
      <w:r>
        <w:rPr>
          <w:sz w:val="19"/>
        </w:rPr>
        <w:t>program</w:t>
      </w:r>
      <w:r>
        <w:rPr>
          <w:spacing w:val="33"/>
          <w:sz w:val="19"/>
        </w:rPr>
        <w:t xml:space="preserve"> </w:t>
      </w:r>
      <w:r>
        <w:rPr>
          <w:sz w:val="19"/>
        </w:rPr>
        <w:t>as</w:t>
      </w:r>
      <w:r>
        <w:rPr>
          <w:spacing w:val="13"/>
          <w:sz w:val="19"/>
        </w:rPr>
        <w:t xml:space="preserve"> </w:t>
      </w:r>
      <w:proofErr w:type="spellStart"/>
      <w:r>
        <w:rPr>
          <w:sz w:val="19"/>
        </w:rPr>
        <w:t>inadequa</w:t>
      </w:r>
      <w:proofErr w:type="spellEnd"/>
      <w:r>
        <w:rPr>
          <w:spacing w:val="-23"/>
          <w:sz w:val="19"/>
        </w:rPr>
        <w:t xml:space="preserve"> </w:t>
      </w:r>
      <w:proofErr w:type="spellStart"/>
      <w:r>
        <w:rPr>
          <w:sz w:val="19"/>
        </w:rPr>
        <w:t>te</w:t>
      </w:r>
      <w:proofErr w:type="spellEnd"/>
      <w:r>
        <w:rPr>
          <w:spacing w:val="19"/>
          <w:sz w:val="19"/>
        </w:rPr>
        <w:t xml:space="preserve"> </w:t>
      </w:r>
      <w:r>
        <w:rPr>
          <w:sz w:val="19"/>
        </w:rPr>
        <w:t>response,</w:t>
      </w:r>
      <w:r>
        <w:rPr>
          <w:spacing w:val="9"/>
          <w:sz w:val="19"/>
        </w:rPr>
        <w:t xml:space="preserve"> </w:t>
      </w:r>
      <w:r>
        <w:rPr>
          <w:sz w:val="19"/>
        </w:rPr>
        <w:t>loss</w:t>
      </w:r>
      <w:r>
        <w:rPr>
          <w:spacing w:val="13"/>
          <w:sz w:val="19"/>
        </w:rPr>
        <w:t xml:space="preserve"> </w:t>
      </w:r>
      <w:r>
        <w:rPr>
          <w:sz w:val="19"/>
        </w:rPr>
        <w:t>of</w:t>
      </w:r>
      <w:r>
        <w:rPr>
          <w:spacing w:val="40"/>
          <w:sz w:val="19"/>
        </w:rPr>
        <w:t xml:space="preserve"> </w:t>
      </w:r>
      <w:r>
        <w:rPr>
          <w:sz w:val="19"/>
        </w:rPr>
        <w:t>response,</w:t>
      </w:r>
      <w:r>
        <w:rPr>
          <w:spacing w:val="9"/>
          <w:sz w:val="19"/>
        </w:rPr>
        <w:t xml:space="preserve"> </w:t>
      </w:r>
      <w:r>
        <w:rPr>
          <w:sz w:val="19"/>
        </w:rPr>
        <w:t>or</w:t>
      </w:r>
      <w:r>
        <w:rPr>
          <w:spacing w:val="29"/>
          <w:sz w:val="19"/>
        </w:rPr>
        <w:t xml:space="preserve"> </w:t>
      </w:r>
      <w:r>
        <w:rPr>
          <w:sz w:val="19"/>
        </w:rPr>
        <w:t>intolerance to TNF inhibitor therapy.</w:t>
      </w:r>
    </w:p>
    <w:p w14:paraId="3E307455" w14:textId="77777777" w:rsidR="001825E2" w:rsidRDefault="000839A5" w:rsidP="00CB00A7">
      <w:pPr>
        <w:spacing w:before="11" w:line="247" w:lineRule="auto"/>
        <w:ind w:left="219" w:right="1875"/>
        <w:rPr>
          <w:sz w:val="19"/>
        </w:rPr>
      </w:pPr>
      <w:r>
        <w:rPr>
          <w:position w:val="6"/>
          <w:sz w:val="13"/>
        </w:rPr>
        <w:t>c</w:t>
      </w:r>
      <w:r>
        <w:rPr>
          <w:spacing w:val="19"/>
          <w:position w:val="6"/>
          <w:sz w:val="13"/>
        </w:rPr>
        <w:t xml:space="preserve"> </w:t>
      </w:r>
      <w:r>
        <w:rPr>
          <w:sz w:val="19"/>
        </w:rPr>
        <w:t>Patients</w:t>
      </w:r>
      <w:r>
        <w:rPr>
          <w:spacing w:val="28"/>
          <w:sz w:val="19"/>
        </w:rPr>
        <w:t xml:space="preserve"> </w:t>
      </w:r>
      <w:r>
        <w:rPr>
          <w:sz w:val="19"/>
        </w:rPr>
        <w:t>in</w:t>
      </w:r>
      <w:r>
        <w:rPr>
          <w:spacing w:val="40"/>
          <w:sz w:val="19"/>
        </w:rPr>
        <w:t xml:space="preserve"> </w:t>
      </w:r>
      <w:r>
        <w:rPr>
          <w:sz w:val="19"/>
        </w:rPr>
        <w:t>this</w:t>
      </w:r>
      <w:r>
        <w:rPr>
          <w:spacing w:val="40"/>
          <w:sz w:val="19"/>
        </w:rPr>
        <w:t xml:space="preserve"> </w:t>
      </w:r>
      <w:r>
        <w:rPr>
          <w:sz w:val="19"/>
        </w:rPr>
        <w:t>group</w:t>
      </w:r>
      <w:r>
        <w:rPr>
          <w:spacing w:val="40"/>
          <w:sz w:val="19"/>
        </w:rPr>
        <w:t xml:space="preserve"> </w:t>
      </w:r>
      <w:r>
        <w:rPr>
          <w:sz w:val="19"/>
        </w:rPr>
        <w:t>had</w:t>
      </w:r>
      <w:r>
        <w:rPr>
          <w:spacing w:val="18"/>
          <w:sz w:val="19"/>
        </w:rPr>
        <w:t xml:space="preserve"> </w:t>
      </w:r>
      <w:r>
        <w:rPr>
          <w:sz w:val="19"/>
        </w:rPr>
        <w:t>failed</w:t>
      </w:r>
      <w:r>
        <w:rPr>
          <w:spacing w:val="40"/>
          <w:sz w:val="19"/>
        </w:rPr>
        <w:t xml:space="preserve"> </w:t>
      </w:r>
      <w:r>
        <w:rPr>
          <w:sz w:val="19"/>
        </w:rPr>
        <w:t>one or</w:t>
      </w:r>
      <w:r>
        <w:rPr>
          <w:spacing w:val="40"/>
          <w:sz w:val="19"/>
        </w:rPr>
        <w:t xml:space="preserve"> </w:t>
      </w:r>
      <w:r>
        <w:rPr>
          <w:sz w:val="19"/>
        </w:rPr>
        <w:t>more conventional</w:t>
      </w:r>
      <w:r>
        <w:rPr>
          <w:spacing w:val="-12"/>
          <w:sz w:val="19"/>
        </w:rPr>
        <w:t xml:space="preserve"> </w:t>
      </w:r>
      <w:r>
        <w:rPr>
          <w:sz w:val="19"/>
        </w:rPr>
        <w:t>therapies (corticosteroid,</w:t>
      </w:r>
      <w:r>
        <w:rPr>
          <w:spacing w:val="76"/>
          <w:sz w:val="19"/>
        </w:rPr>
        <w:t xml:space="preserve"> </w:t>
      </w:r>
      <w:r>
        <w:rPr>
          <w:sz w:val="19"/>
        </w:rPr>
        <w:t>azathioprine, 6-mercaptopurine)</w:t>
      </w:r>
      <w:r>
        <w:rPr>
          <w:spacing w:val="-2"/>
          <w:sz w:val="19"/>
        </w:rPr>
        <w:t xml:space="preserve"> </w:t>
      </w:r>
      <w:r>
        <w:rPr>
          <w:sz w:val="19"/>
        </w:rPr>
        <w:t>but did</w:t>
      </w:r>
      <w:r>
        <w:rPr>
          <w:spacing w:val="40"/>
          <w:sz w:val="19"/>
        </w:rPr>
        <w:t xml:space="preserve"> </w:t>
      </w:r>
      <w:r>
        <w:rPr>
          <w:sz w:val="19"/>
        </w:rPr>
        <w:t>not</w:t>
      </w:r>
      <w:r>
        <w:rPr>
          <w:spacing w:val="40"/>
          <w:sz w:val="19"/>
        </w:rPr>
        <w:t xml:space="preserve"> </w:t>
      </w:r>
      <w:r>
        <w:rPr>
          <w:sz w:val="19"/>
        </w:rPr>
        <w:t>have history</w:t>
      </w:r>
      <w:r>
        <w:rPr>
          <w:spacing w:val="40"/>
          <w:sz w:val="19"/>
        </w:rPr>
        <w:t xml:space="preserve"> </w:t>
      </w:r>
      <w:r>
        <w:rPr>
          <w:sz w:val="19"/>
        </w:rPr>
        <w:t>of</w:t>
      </w:r>
      <w:r>
        <w:rPr>
          <w:spacing w:val="26"/>
          <w:sz w:val="19"/>
        </w:rPr>
        <w:t xml:space="preserve"> </w:t>
      </w:r>
      <w:r>
        <w:rPr>
          <w:sz w:val="19"/>
        </w:rPr>
        <w:t>prior</w:t>
      </w:r>
      <w:r>
        <w:rPr>
          <w:spacing w:val="40"/>
          <w:sz w:val="19"/>
        </w:rPr>
        <w:t xml:space="preserve"> </w:t>
      </w:r>
      <w:r>
        <w:rPr>
          <w:sz w:val="19"/>
        </w:rPr>
        <w:t>failure</w:t>
      </w:r>
      <w:r>
        <w:rPr>
          <w:spacing w:val="40"/>
          <w:sz w:val="19"/>
        </w:rPr>
        <w:t xml:space="preserve"> </w:t>
      </w:r>
      <w:r>
        <w:rPr>
          <w:sz w:val="19"/>
        </w:rPr>
        <w:t>of</w:t>
      </w:r>
      <w:r>
        <w:rPr>
          <w:spacing w:val="26"/>
          <w:sz w:val="19"/>
        </w:rPr>
        <w:t xml:space="preserve"> </w:t>
      </w:r>
      <w:r>
        <w:rPr>
          <w:sz w:val="19"/>
        </w:rPr>
        <w:t>TNF</w:t>
      </w:r>
      <w:r>
        <w:rPr>
          <w:spacing w:val="40"/>
          <w:sz w:val="19"/>
        </w:rPr>
        <w:t xml:space="preserve"> </w:t>
      </w:r>
      <w:r>
        <w:rPr>
          <w:sz w:val="19"/>
        </w:rPr>
        <w:t>inhibitor</w:t>
      </w:r>
      <w:r>
        <w:rPr>
          <w:spacing w:val="40"/>
          <w:sz w:val="19"/>
        </w:rPr>
        <w:t xml:space="preserve"> </w:t>
      </w:r>
      <w:r>
        <w:rPr>
          <w:sz w:val="19"/>
        </w:rPr>
        <w:t>therapy.</w:t>
      </w:r>
    </w:p>
    <w:p w14:paraId="63EBB878" w14:textId="77777777" w:rsidR="001825E2" w:rsidRDefault="000839A5" w:rsidP="00CB00A7">
      <w:pPr>
        <w:spacing w:line="264" w:lineRule="auto"/>
        <w:ind w:left="219" w:right="736"/>
        <w:rPr>
          <w:sz w:val="19"/>
        </w:rPr>
      </w:pPr>
      <w:r>
        <w:rPr>
          <w:position w:val="6"/>
          <w:sz w:val="13"/>
        </w:rPr>
        <w:t>d</w:t>
      </w:r>
      <w:r>
        <w:rPr>
          <w:spacing w:val="16"/>
          <w:position w:val="6"/>
          <w:sz w:val="13"/>
        </w:rPr>
        <w:t xml:space="preserve"> </w:t>
      </w:r>
      <w:r>
        <w:rPr>
          <w:sz w:val="19"/>
        </w:rPr>
        <w:t>Improvement</w:t>
      </w:r>
      <w:r>
        <w:rPr>
          <w:spacing w:val="38"/>
          <w:sz w:val="19"/>
        </w:rPr>
        <w:t xml:space="preserve"> </w:t>
      </w:r>
      <w:r>
        <w:rPr>
          <w:sz w:val="19"/>
        </w:rPr>
        <w:t>of</w:t>
      </w:r>
      <w:r>
        <w:rPr>
          <w:spacing w:val="40"/>
          <w:sz w:val="19"/>
        </w:rPr>
        <w:t xml:space="preserve"> </w:t>
      </w:r>
      <w:r>
        <w:rPr>
          <w:sz w:val="19"/>
        </w:rPr>
        <w:t>endoscopic</w:t>
      </w:r>
      <w:r>
        <w:rPr>
          <w:spacing w:val="14"/>
          <w:sz w:val="19"/>
        </w:rPr>
        <w:t xml:space="preserve"> </w:t>
      </w:r>
      <w:r>
        <w:rPr>
          <w:sz w:val="19"/>
        </w:rPr>
        <w:t>appearance</w:t>
      </w:r>
      <w:r>
        <w:rPr>
          <w:spacing w:val="34"/>
          <w:sz w:val="19"/>
        </w:rPr>
        <w:t xml:space="preserve"> </w:t>
      </w:r>
      <w:r>
        <w:rPr>
          <w:sz w:val="19"/>
        </w:rPr>
        <w:t>of</w:t>
      </w:r>
      <w:r>
        <w:rPr>
          <w:spacing w:val="40"/>
          <w:sz w:val="19"/>
        </w:rPr>
        <w:t xml:space="preserve"> </w:t>
      </w:r>
      <w:r>
        <w:rPr>
          <w:sz w:val="19"/>
        </w:rPr>
        <w:t>the</w:t>
      </w:r>
      <w:r>
        <w:rPr>
          <w:spacing w:val="14"/>
          <w:sz w:val="19"/>
        </w:rPr>
        <w:t xml:space="preserve"> </w:t>
      </w:r>
      <w:r>
        <w:rPr>
          <w:sz w:val="19"/>
        </w:rPr>
        <w:t>mucosa</w:t>
      </w:r>
      <w:r>
        <w:rPr>
          <w:spacing w:val="40"/>
          <w:sz w:val="19"/>
        </w:rPr>
        <w:t xml:space="preserve"> </w:t>
      </w:r>
      <w:proofErr w:type="spellStart"/>
      <w:r>
        <w:rPr>
          <w:sz w:val="19"/>
        </w:rPr>
        <w:t>wa</w:t>
      </w:r>
      <w:proofErr w:type="spellEnd"/>
      <w:r>
        <w:rPr>
          <w:spacing w:val="-25"/>
          <w:sz w:val="19"/>
        </w:rPr>
        <w:t xml:space="preserve"> </w:t>
      </w:r>
      <w:r>
        <w:rPr>
          <w:sz w:val="19"/>
        </w:rPr>
        <w:t>s</w:t>
      </w:r>
      <w:r>
        <w:rPr>
          <w:spacing w:val="29"/>
          <w:sz w:val="19"/>
        </w:rPr>
        <w:t xml:space="preserve"> </w:t>
      </w:r>
      <w:r>
        <w:rPr>
          <w:sz w:val="19"/>
        </w:rPr>
        <w:t>defined</w:t>
      </w:r>
      <w:r>
        <w:rPr>
          <w:spacing w:val="21"/>
          <w:sz w:val="19"/>
        </w:rPr>
        <w:t xml:space="preserve"> </w:t>
      </w:r>
      <w:r>
        <w:rPr>
          <w:sz w:val="19"/>
        </w:rPr>
        <w:t>as</w:t>
      </w:r>
      <w:r>
        <w:rPr>
          <w:spacing w:val="29"/>
          <w:sz w:val="19"/>
        </w:rPr>
        <w:t xml:space="preserve"> </w:t>
      </w:r>
      <w:r>
        <w:rPr>
          <w:sz w:val="19"/>
        </w:rPr>
        <w:t>Mayo</w:t>
      </w:r>
      <w:r>
        <w:rPr>
          <w:spacing w:val="40"/>
          <w:sz w:val="19"/>
        </w:rPr>
        <w:t xml:space="preserve"> </w:t>
      </w:r>
      <w:r>
        <w:rPr>
          <w:sz w:val="19"/>
        </w:rPr>
        <w:t>endoscopy</w:t>
      </w:r>
      <w:r>
        <w:rPr>
          <w:spacing w:val="40"/>
          <w:sz w:val="19"/>
        </w:rPr>
        <w:t xml:space="preserve"> </w:t>
      </w:r>
      <w:proofErr w:type="spellStart"/>
      <w:r>
        <w:rPr>
          <w:sz w:val="19"/>
        </w:rPr>
        <w:t>subscore</w:t>
      </w:r>
      <w:proofErr w:type="spellEnd"/>
      <w:r>
        <w:rPr>
          <w:spacing w:val="35"/>
          <w:sz w:val="19"/>
        </w:rPr>
        <w:t xml:space="preserve"> </w:t>
      </w:r>
      <w:r>
        <w:rPr>
          <w:sz w:val="19"/>
        </w:rPr>
        <w:t>of</w:t>
      </w:r>
      <w:r>
        <w:rPr>
          <w:spacing w:val="24"/>
          <w:sz w:val="19"/>
        </w:rPr>
        <w:t xml:space="preserve"> </w:t>
      </w:r>
      <w:r>
        <w:rPr>
          <w:sz w:val="19"/>
        </w:rPr>
        <w:t>0</w:t>
      </w:r>
      <w:r>
        <w:rPr>
          <w:spacing w:val="40"/>
          <w:sz w:val="19"/>
        </w:rPr>
        <w:t xml:space="preserve"> </w:t>
      </w:r>
      <w:r>
        <w:rPr>
          <w:sz w:val="19"/>
        </w:rPr>
        <w:t>(normal or</w:t>
      </w:r>
      <w:r>
        <w:rPr>
          <w:spacing w:val="26"/>
          <w:sz w:val="19"/>
        </w:rPr>
        <w:t xml:space="preserve"> </w:t>
      </w:r>
      <w:r>
        <w:rPr>
          <w:sz w:val="19"/>
        </w:rPr>
        <w:t>inactive</w:t>
      </w:r>
      <w:r>
        <w:rPr>
          <w:spacing w:val="40"/>
          <w:sz w:val="19"/>
        </w:rPr>
        <w:t xml:space="preserve"> </w:t>
      </w:r>
      <w:r>
        <w:rPr>
          <w:sz w:val="19"/>
        </w:rPr>
        <w:t>disease)</w:t>
      </w:r>
      <w:r>
        <w:rPr>
          <w:spacing w:val="26"/>
          <w:sz w:val="19"/>
        </w:rPr>
        <w:t xml:space="preserve"> </w:t>
      </w:r>
      <w:r>
        <w:rPr>
          <w:sz w:val="19"/>
        </w:rPr>
        <w:t>or</w:t>
      </w:r>
      <w:r>
        <w:rPr>
          <w:spacing w:val="40"/>
          <w:sz w:val="19"/>
        </w:rPr>
        <w:t xml:space="preserve"> </w:t>
      </w:r>
      <w:r>
        <w:rPr>
          <w:sz w:val="19"/>
        </w:rPr>
        <w:t>1</w:t>
      </w:r>
      <w:r>
        <w:rPr>
          <w:spacing w:val="40"/>
          <w:sz w:val="19"/>
        </w:rPr>
        <w:t xml:space="preserve"> </w:t>
      </w:r>
      <w:r>
        <w:rPr>
          <w:sz w:val="19"/>
        </w:rPr>
        <w:t>(erythema, decreased</w:t>
      </w:r>
      <w:r>
        <w:rPr>
          <w:spacing w:val="22"/>
          <w:sz w:val="19"/>
        </w:rPr>
        <w:t xml:space="preserve"> </w:t>
      </w:r>
      <w:r>
        <w:rPr>
          <w:sz w:val="19"/>
        </w:rPr>
        <w:t>vascular</w:t>
      </w:r>
      <w:r>
        <w:rPr>
          <w:spacing w:val="-2"/>
          <w:sz w:val="19"/>
        </w:rPr>
        <w:t xml:space="preserve"> </w:t>
      </w:r>
      <w:r>
        <w:rPr>
          <w:sz w:val="19"/>
        </w:rPr>
        <w:t>pattern).</w:t>
      </w:r>
    </w:p>
    <w:p w14:paraId="6510BA65" w14:textId="77777777" w:rsidR="001825E2" w:rsidRDefault="000839A5" w:rsidP="00CB00A7">
      <w:pPr>
        <w:spacing w:line="203" w:lineRule="exact"/>
        <w:ind w:left="220"/>
        <w:rPr>
          <w:sz w:val="19"/>
        </w:rPr>
      </w:pPr>
      <w:proofErr w:type="spellStart"/>
      <w:r>
        <w:rPr>
          <w:position w:val="6"/>
          <w:sz w:val="13"/>
        </w:rPr>
        <w:t>e</w:t>
      </w:r>
      <w:proofErr w:type="spellEnd"/>
      <w:r>
        <w:rPr>
          <w:spacing w:val="11"/>
          <w:position w:val="6"/>
          <w:sz w:val="13"/>
        </w:rPr>
        <w:t xml:space="preserve"> </w:t>
      </w:r>
      <w:r>
        <w:rPr>
          <w:sz w:val="19"/>
        </w:rPr>
        <w:t>Sustained</w:t>
      </w:r>
      <w:r>
        <w:rPr>
          <w:spacing w:val="8"/>
          <w:sz w:val="19"/>
        </w:rPr>
        <w:t xml:space="preserve"> </w:t>
      </w:r>
      <w:r>
        <w:rPr>
          <w:sz w:val="19"/>
        </w:rPr>
        <w:t>corticosteroid-free</w:t>
      </w:r>
      <w:r>
        <w:rPr>
          <w:spacing w:val="44"/>
          <w:sz w:val="19"/>
        </w:rPr>
        <w:t xml:space="preserve"> </w:t>
      </w:r>
      <w:r>
        <w:rPr>
          <w:sz w:val="19"/>
        </w:rPr>
        <w:t>remission</w:t>
      </w:r>
      <w:r>
        <w:rPr>
          <w:spacing w:val="51"/>
          <w:sz w:val="19"/>
        </w:rPr>
        <w:t xml:space="preserve"> </w:t>
      </w:r>
      <w:r>
        <w:rPr>
          <w:sz w:val="19"/>
        </w:rPr>
        <w:t>was</w:t>
      </w:r>
      <w:r>
        <w:rPr>
          <w:spacing w:val="17"/>
          <w:sz w:val="19"/>
        </w:rPr>
        <w:t xml:space="preserve"> </w:t>
      </w:r>
      <w:r>
        <w:rPr>
          <w:sz w:val="19"/>
        </w:rPr>
        <w:t>defined</w:t>
      </w:r>
      <w:r>
        <w:rPr>
          <w:spacing w:val="30"/>
          <w:sz w:val="19"/>
        </w:rPr>
        <w:t xml:space="preserve"> </w:t>
      </w:r>
      <w:r>
        <w:rPr>
          <w:sz w:val="19"/>
        </w:rPr>
        <w:t>as</w:t>
      </w:r>
      <w:r>
        <w:rPr>
          <w:spacing w:val="-5"/>
          <w:sz w:val="19"/>
        </w:rPr>
        <w:t xml:space="preserve"> </w:t>
      </w:r>
      <w:r>
        <w:rPr>
          <w:sz w:val="19"/>
        </w:rPr>
        <w:t>being</w:t>
      </w:r>
      <w:r>
        <w:rPr>
          <w:spacing w:val="30"/>
          <w:sz w:val="19"/>
        </w:rPr>
        <w:t xml:space="preserve"> </w:t>
      </w:r>
      <w:r>
        <w:rPr>
          <w:sz w:val="19"/>
        </w:rPr>
        <w:t>in</w:t>
      </w:r>
      <w:r>
        <w:rPr>
          <w:spacing w:val="51"/>
          <w:sz w:val="19"/>
        </w:rPr>
        <w:t xml:space="preserve"> </w:t>
      </w:r>
      <w:r>
        <w:rPr>
          <w:sz w:val="19"/>
        </w:rPr>
        <w:t>remission</w:t>
      </w:r>
      <w:r>
        <w:rPr>
          <w:spacing w:val="52"/>
          <w:sz w:val="19"/>
        </w:rPr>
        <w:t xml:space="preserve"> </w:t>
      </w:r>
      <w:r>
        <w:rPr>
          <w:sz w:val="19"/>
        </w:rPr>
        <w:t>and</w:t>
      </w:r>
      <w:r>
        <w:rPr>
          <w:spacing w:val="7"/>
          <w:sz w:val="19"/>
        </w:rPr>
        <w:t xml:space="preserve"> </w:t>
      </w:r>
      <w:r>
        <w:rPr>
          <w:sz w:val="19"/>
        </w:rPr>
        <w:t>not</w:t>
      </w:r>
      <w:r>
        <w:rPr>
          <w:spacing w:val="4"/>
          <w:sz w:val="19"/>
        </w:rPr>
        <w:t xml:space="preserve"> </w:t>
      </w:r>
      <w:r>
        <w:rPr>
          <w:sz w:val="19"/>
        </w:rPr>
        <w:t>taking</w:t>
      </w:r>
      <w:r>
        <w:rPr>
          <w:spacing w:val="8"/>
          <w:sz w:val="19"/>
        </w:rPr>
        <w:t xml:space="preserve"> </w:t>
      </w:r>
      <w:r>
        <w:rPr>
          <w:sz w:val="19"/>
        </w:rPr>
        <w:t>corticosteroids</w:t>
      </w:r>
      <w:r>
        <w:rPr>
          <w:spacing w:val="39"/>
          <w:sz w:val="19"/>
        </w:rPr>
        <w:t xml:space="preserve"> </w:t>
      </w:r>
      <w:r>
        <w:rPr>
          <w:sz w:val="19"/>
        </w:rPr>
        <w:t>for</w:t>
      </w:r>
      <w:r>
        <w:rPr>
          <w:spacing w:val="-11"/>
          <w:sz w:val="19"/>
        </w:rPr>
        <w:t xml:space="preserve"> </w:t>
      </w:r>
      <w:r>
        <w:rPr>
          <w:spacing w:val="-5"/>
          <w:sz w:val="19"/>
        </w:rPr>
        <w:t>at</w:t>
      </w:r>
    </w:p>
    <w:p w14:paraId="4DCB969F" w14:textId="77777777" w:rsidR="001825E2" w:rsidRDefault="000839A5" w:rsidP="00CB00A7">
      <w:pPr>
        <w:spacing w:before="2"/>
        <w:ind w:left="220"/>
        <w:rPr>
          <w:sz w:val="19"/>
        </w:rPr>
      </w:pPr>
      <w:r>
        <w:rPr>
          <w:sz w:val="19"/>
        </w:rPr>
        <w:t>lea</w:t>
      </w:r>
      <w:r>
        <w:rPr>
          <w:spacing w:val="-27"/>
          <w:sz w:val="19"/>
        </w:rPr>
        <w:t xml:space="preserve"> </w:t>
      </w:r>
      <w:proofErr w:type="spellStart"/>
      <w:r>
        <w:rPr>
          <w:sz w:val="19"/>
        </w:rPr>
        <w:t>st</w:t>
      </w:r>
      <w:proofErr w:type="spellEnd"/>
      <w:r>
        <w:rPr>
          <w:spacing w:val="15"/>
          <w:sz w:val="19"/>
        </w:rPr>
        <w:t xml:space="preserve"> </w:t>
      </w:r>
      <w:r>
        <w:rPr>
          <w:sz w:val="19"/>
        </w:rPr>
        <w:t>4</w:t>
      </w:r>
      <w:r>
        <w:rPr>
          <w:spacing w:val="16"/>
          <w:sz w:val="19"/>
        </w:rPr>
        <w:t xml:space="preserve"> </w:t>
      </w:r>
      <w:r>
        <w:rPr>
          <w:sz w:val="19"/>
        </w:rPr>
        <w:t>weeks</w:t>
      </w:r>
      <w:r>
        <w:rPr>
          <w:spacing w:val="6"/>
          <w:sz w:val="19"/>
        </w:rPr>
        <w:t xml:space="preserve"> </w:t>
      </w:r>
      <w:r>
        <w:rPr>
          <w:sz w:val="19"/>
        </w:rPr>
        <w:t>prior</w:t>
      </w:r>
      <w:r>
        <w:rPr>
          <w:spacing w:val="37"/>
          <w:sz w:val="19"/>
        </w:rPr>
        <w:t xml:space="preserve"> </w:t>
      </w:r>
      <w:r>
        <w:rPr>
          <w:sz w:val="19"/>
        </w:rPr>
        <w:t>to</w:t>
      </w:r>
      <w:r>
        <w:rPr>
          <w:spacing w:val="-1"/>
          <w:sz w:val="19"/>
        </w:rPr>
        <w:t xml:space="preserve"> </w:t>
      </w:r>
      <w:r>
        <w:rPr>
          <w:sz w:val="19"/>
        </w:rPr>
        <w:t>the</w:t>
      </w:r>
      <w:r>
        <w:rPr>
          <w:spacing w:val="10"/>
          <w:sz w:val="19"/>
        </w:rPr>
        <w:t xml:space="preserve"> </w:t>
      </w:r>
      <w:r>
        <w:rPr>
          <w:sz w:val="19"/>
        </w:rPr>
        <w:t>visit</w:t>
      </w:r>
      <w:r>
        <w:rPr>
          <w:spacing w:val="33"/>
          <w:sz w:val="19"/>
        </w:rPr>
        <w:t xml:space="preserve"> </w:t>
      </w:r>
      <w:r>
        <w:rPr>
          <w:sz w:val="19"/>
        </w:rPr>
        <w:t>at</w:t>
      </w:r>
      <w:r>
        <w:rPr>
          <w:spacing w:val="-4"/>
          <w:sz w:val="19"/>
        </w:rPr>
        <w:t xml:space="preserve"> </w:t>
      </w:r>
      <w:r>
        <w:rPr>
          <w:sz w:val="19"/>
        </w:rPr>
        <w:t>both</w:t>
      </w:r>
      <w:r>
        <w:rPr>
          <w:spacing w:val="-2"/>
          <w:sz w:val="19"/>
        </w:rPr>
        <w:t xml:space="preserve"> </w:t>
      </w:r>
      <w:r>
        <w:rPr>
          <w:sz w:val="19"/>
        </w:rPr>
        <w:t>Week</w:t>
      </w:r>
      <w:r>
        <w:rPr>
          <w:spacing w:val="35"/>
          <w:sz w:val="19"/>
        </w:rPr>
        <w:t xml:space="preserve"> </w:t>
      </w:r>
      <w:r>
        <w:rPr>
          <w:sz w:val="19"/>
        </w:rPr>
        <w:t>24</w:t>
      </w:r>
      <w:r>
        <w:rPr>
          <w:spacing w:val="17"/>
          <w:sz w:val="19"/>
        </w:rPr>
        <w:t xml:space="preserve"> </w:t>
      </w:r>
      <w:r>
        <w:rPr>
          <w:sz w:val="19"/>
        </w:rPr>
        <w:t>and</w:t>
      </w:r>
      <w:r>
        <w:rPr>
          <w:spacing w:val="-2"/>
          <w:sz w:val="19"/>
        </w:rPr>
        <w:t xml:space="preserve"> </w:t>
      </w:r>
      <w:r>
        <w:rPr>
          <w:sz w:val="19"/>
        </w:rPr>
        <w:t>Week</w:t>
      </w:r>
      <w:r>
        <w:rPr>
          <w:spacing w:val="17"/>
          <w:sz w:val="19"/>
        </w:rPr>
        <w:t xml:space="preserve"> </w:t>
      </w:r>
      <w:r>
        <w:rPr>
          <w:spacing w:val="-5"/>
          <w:sz w:val="19"/>
        </w:rPr>
        <w:t>52.</w:t>
      </w:r>
    </w:p>
    <w:p w14:paraId="165E3B1D" w14:textId="77777777" w:rsidR="001825E2" w:rsidRDefault="000839A5" w:rsidP="00CB00A7">
      <w:pPr>
        <w:pStyle w:val="BodyText"/>
        <w:spacing w:before="265" w:line="235" w:lineRule="auto"/>
        <w:ind w:left="219" w:right="736"/>
        <w:jc w:val="left"/>
      </w:pPr>
      <w:r>
        <w:t>The proportion of patients in both XELJANZ groups who had treatment failure was lower compared to placebo at each time point as early as Week</w:t>
      </w:r>
      <w:r>
        <w:rPr>
          <w:spacing w:val="-5"/>
        </w:rPr>
        <w:t xml:space="preserve"> </w:t>
      </w:r>
      <w:r>
        <w:t>8, the first time point where treatment failure was assessed.</w:t>
      </w:r>
    </w:p>
    <w:p w14:paraId="380E89D9" w14:textId="77777777" w:rsidR="001825E2" w:rsidRDefault="000839A5" w:rsidP="00CB00A7">
      <w:pPr>
        <w:spacing w:before="249"/>
        <w:ind w:left="219"/>
        <w:rPr>
          <w:i/>
          <w:sz w:val="24"/>
        </w:rPr>
      </w:pPr>
      <w:r>
        <w:rPr>
          <w:i/>
          <w:sz w:val="24"/>
        </w:rPr>
        <w:t>Other</w:t>
      </w:r>
      <w:r>
        <w:rPr>
          <w:i/>
          <w:spacing w:val="-15"/>
          <w:sz w:val="24"/>
        </w:rPr>
        <w:t xml:space="preserve"> </w:t>
      </w:r>
      <w:r>
        <w:rPr>
          <w:i/>
          <w:sz w:val="24"/>
        </w:rPr>
        <w:t>health-related</w:t>
      </w:r>
      <w:r>
        <w:rPr>
          <w:i/>
          <w:spacing w:val="9"/>
          <w:sz w:val="24"/>
        </w:rPr>
        <w:t xml:space="preserve"> </w:t>
      </w:r>
      <w:r>
        <w:rPr>
          <w:i/>
          <w:spacing w:val="-2"/>
          <w:sz w:val="24"/>
        </w:rPr>
        <w:t>outcomes</w:t>
      </w:r>
    </w:p>
    <w:p w14:paraId="20CB1A28" w14:textId="77777777" w:rsidR="001825E2" w:rsidRDefault="000839A5" w:rsidP="00CB00A7">
      <w:pPr>
        <w:pStyle w:val="BodyText"/>
        <w:spacing w:before="114"/>
        <w:ind w:left="219" w:right="724"/>
        <w:jc w:val="left"/>
      </w:pPr>
      <w:r>
        <w:t>XELJANZ 10</w:t>
      </w:r>
      <w:r>
        <w:rPr>
          <w:spacing w:val="-4"/>
        </w:rPr>
        <w:t xml:space="preserve"> </w:t>
      </w:r>
      <w:r>
        <w:t>mg twice</w:t>
      </w:r>
      <w:r>
        <w:rPr>
          <w:spacing w:val="-5"/>
        </w:rPr>
        <w:t xml:space="preserve"> </w:t>
      </w:r>
      <w:r>
        <w:t>daily demonstrated greater improvement from baseline compared to placebo in physical component summary (PCS) and mental component summary (MCS) scores, and in all 8</w:t>
      </w:r>
      <w:r>
        <w:rPr>
          <w:spacing w:val="-1"/>
        </w:rPr>
        <w:t xml:space="preserve"> </w:t>
      </w:r>
      <w:r>
        <w:t>domains of the SF-36 in the induction studies (OCTAVE Induction 1, OCTAVE Induction 2).</w:t>
      </w:r>
    </w:p>
    <w:p w14:paraId="2AB73F95" w14:textId="77777777" w:rsidR="001825E2" w:rsidRDefault="000839A5" w:rsidP="00CB00A7">
      <w:pPr>
        <w:pStyle w:val="BodyText"/>
        <w:spacing w:before="246"/>
        <w:ind w:left="218" w:right="722"/>
        <w:jc w:val="left"/>
      </w:pPr>
      <w:r>
        <w:t>XELJANZ 10</w:t>
      </w:r>
      <w:r>
        <w:rPr>
          <w:spacing w:val="-4"/>
        </w:rPr>
        <w:t xml:space="preserve"> </w:t>
      </w:r>
      <w:r>
        <w:t>mg twice</w:t>
      </w:r>
      <w:r>
        <w:rPr>
          <w:spacing w:val="-5"/>
        </w:rPr>
        <w:t xml:space="preserve"> </w:t>
      </w:r>
      <w:r>
        <w:t>daily demonstrated greater improvement from baseline compared to placebo in the total and</w:t>
      </w:r>
      <w:r>
        <w:rPr>
          <w:spacing w:val="40"/>
        </w:rPr>
        <w:t xml:space="preserve"> </w:t>
      </w:r>
      <w:r>
        <w:t>all 4</w:t>
      </w:r>
      <w:r>
        <w:rPr>
          <w:spacing w:val="-15"/>
        </w:rPr>
        <w:t xml:space="preserve"> </w:t>
      </w:r>
      <w:r>
        <w:t>domain scores of</w:t>
      </w:r>
      <w:r>
        <w:rPr>
          <w:spacing w:val="40"/>
        </w:rPr>
        <w:t xml:space="preserve"> </w:t>
      </w:r>
      <w:r>
        <w:t>the Inflammatory Bowel Disease Questionnaire (IBDQ) at Week 8 in the induction studies (OCTAVE Induction 1, OCTAVE Induction</w:t>
      </w:r>
      <w:r>
        <w:rPr>
          <w:spacing w:val="-11"/>
        </w:rPr>
        <w:t xml:space="preserve"> </w:t>
      </w:r>
      <w:r>
        <w:t>2).</w:t>
      </w:r>
    </w:p>
    <w:p w14:paraId="530F02CE" w14:textId="77777777" w:rsidR="001825E2" w:rsidRDefault="000839A5" w:rsidP="00CB00A7">
      <w:pPr>
        <w:pStyle w:val="BodyText"/>
        <w:spacing w:before="231" w:line="242" w:lineRule="auto"/>
        <w:ind w:left="217" w:right="739" w:firstLine="1"/>
        <w:jc w:val="left"/>
      </w:pPr>
      <w:r>
        <w:t xml:space="preserve">Improvements were also observed in the </w:t>
      </w:r>
      <w:proofErr w:type="spellStart"/>
      <w:r>
        <w:t>EuroQoL</w:t>
      </w:r>
      <w:proofErr w:type="spellEnd"/>
      <w:r>
        <w:t xml:space="preserve"> 5-Dimension (EQ-5D) and various domains of the Work Productivity and Activity Impairment (WPAI-UC) questionnaire in the induction studies compared to placebo.</w:t>
      </w:r>
    </w:p>
    <w:p w14:paraId="01EB8436" w14:textId="77777777" w:rsidR="001825E2" w:rsidRDefault="000839A5" w:rsidP="00CB00A7">
      <w:pPr>
        <w:pStyle w:val="BodyText"/>
        <w:spacing w:before="249" w:line="235" w:lineRule="auto"/>
        <w:ind w:left="217" w:right="730"/>
        <w:jc w:val="left"/>
      </w:pPr>
      <w:r>
        <w:t>In</w:t>
      </w:r>
      <w:r>
        <w:rPr>
          <w:spacing w:val="-1"/>
        </w:rPr>
        <w:t xml:space="preserve"> </w:t>
      </w:r>
      <w:r>
        <w:t>general, improvements in</w:t>
      </w:r>
      <w:r>
        <w:rPr>
          <w:spacing w:val="-1"/>
        </w:rPr>
        <w:t xml:space="preserve"> </w:t>
      </w:r>
      <w:proofErr w:type="gramStart"/>
      <w:r>
        <w:t>quality</w:t>
      </w:r>
      <w:r>
        <w:rPr>
          <w:spacing w:val="-1"/>
        </w:rPr>
        <w:t xml:space="preserve"> </w:t>
      </w:r>
      <w:r>
        <w:t>of life</w:t>
      </w:r>
      <w:proofErr w:type="gramEnd"/>
      <w:r>
        <w:rPr>
          <w:spacing w:val="-3"/>
        </w:rPr>
        <w:t xml:space="preserve"> </w:t>
      </w:r>
      <w:r>
        <w:t>measures</w:t>
      </w:r>
      <w:r>
        <w:rPr>
          <w:spacing w:val="-5"/>
        </w:rPr>
        <w:t xml:space="preserve"> </w:t>
      </w:r>
      <w:r>
        <w:t>were larger in</w:t>
      </w:r>
      <w:r>
        <w:rPr>
          <w:spacing w:val="-1"/>
        </w:rPr>
        <w:t xml:space="preserve"> </w:t>
      </w:r>
      <w:r>
        <w:t>patients</w:t>
      </w:r>
      <w:r>
        <w:rPr>
          <w:spacing w:val="-5"/>
        </w:rPr>
        <w:t xml:space="preserve"> </w:t>
      </w:r>
      <w:r>
        <w:t>given XELJANZ than in those given placebo in the</w:t>
      </w:r>
      <w:r>
        <w:rPr>
          <w:spacing w:val="-7"/>
        </w:rPr>
        <w:t xml:space="preserve"> </w:t>
      </w:r>
      <w:r>
        <w:t>maintenance study</w:t>
      </w:r>
      <w:r>
        <w:rPr>
          <w:spacing w:val="-5"/>
        </w:rPr>
        <w:t xml:space="preserve"> </w:t>
      </w:r>
      <w:r>
        <w:t>(OCTAVE</w:t>
      </w:r>
      <w:r>
        <w:rPr>
          <w:spacing w:val="-1"/>
        </w:rPr>
        <w:t xml:space="preserve"> </w:t>
      </w:r>
      <w:r>
        <w:t>Sustain).</w:t>
      </w:r>
    </w:p>
    <w:p w14:paraId="433BCA42" w14:textId="77777777" w:rsidR="001825E2" w:rsidRDefault="000839A5" w:rsidP="00CB00A7">
      <w:pPr>
        <w:spacing w:before="234"/>
        <w:ind w:left="217"/>
        <w:rPr>
          <w:i/>
          <w:sz w:val="24"/>
        </w:rPr>
      </w:pPr>
      <w:r>
        <w:rPr>
          <w:i/>
          <w:sz w:val="24"/>
        </w:rPr>
        <w:t>Open-label</w:t>
      </w:r>
      <w:r>
        <w:rPr>
          <w:i/>
          <w:spacing w:val="-4"/>
          <w:sz w:val="24"/>
        </w:rPr>
        <w:t xml:space="preserve"> </w:t>
      </w:r>
      <w:r>
        <w:rPr>
          <w:i/>
          <w:sz w:val="24"/>
        </w:rPr>
        <w:t>extension</w:t>
      </w:r>
      <w:r>
        <w:rPr>
          <w:i/>
          <w:spacing w:val="5"/>
          <w:sz w:val="24"/>
        </w:rPr>
        <w:t xml:space="preserve"> </w:t>
      </w:r>
      <w:r>
        <w:rPr>
          <w:i/>
          <w:sz w:val="24"/>
        </w:rPr>
        <w:t>study</w:t>
      </w:r>
      <w:r>
        <w:rPr>
          <w:i/>
          <w:spacing w:val="4"/>
          <w:sz w:val="24"/>
        </w:rPr>
        <w:t xml:space="preserve"> </w:t>
      </w:r>
      <w:r>
        <w:rPr>
          <w:i/>
          <w:sz w:val="24"/>
        </w:rPr>
        <w:t>(OCTAVE</w:t>
      </w:r>
      <w:r>
        <w:rPr>
          <w:i/>
          <w:spacing w:val="-15"/>
          <w:sz w:val="24"/>
        </w:rPr>
        <w:t xml:space="preserve"> </w:t>
      </w:r>
      <w:r>
        <w:rPr>
          <w:i/>
          <w:spacing w:val="-4"/>
          <w:sz w:val="24"/>
        </w:rPr>
        <w:t>Open)</w:t>
      </w:r>
    </w:p>
    <w:p w14:paraId="67CB1A1F" w14:textId="77777777" w:rsidR="001825E2" w:rsidRDefault="000839A5" w:rsidP="00CB00A7">
      <w:pPr>
        <w:pStyle w:val="BodyText"/>
        <w:spacing w:before="131" w:line="237" w:lineRule="auto"/>
        <w:ind w:left="215" w:right="730"/>
        <w:jc w:val="left"/>
      </w:pPr>
      <w:r>
        <w:t>Patients who did not achieve clinical response in 1 of the induction studies (OCTAVE Induction 1 or OCTAVE Induction 2) after 8</w:t>
      </w:r>
      <w:r>
        <w:rPr>
          <w:spacing w:val="-15"/>
        </w:rPr>
        <w:t xml:space="preserve"> </w:t>
      </w:r>
      <w:r>
        <w:t>weeks of XELJANZ 10</w:t>
      </w:r>
      <w:r>
        <w:rPr>
          <w:spacing w:val="-2"/>
        </w:rPr>
        <w:t xml:space="preserve"> </w:t>
      </w:r>
      <w:r>
        <w:t>mg twice daily were allowed to enter</w:t>
      </w:r>
      <w:r>
        <w:rPr>
          <w:spacing w:val="-4"/>
        </w:rPr>
        <w:t xml:space="preserve"> </w:t>
      </w:r>
      <w:r>
        <w:t>an open-label</w:t>
      </w:r>
      <w:r>
        <w:rPr>
          <w:spacing w:val="-6"/>
        </w:rPr>
        <w:t xml:space="preserve"> </w:t>
      </w:r>
      <w:r>
        <w:t>extension study (OCTAVE</w:t>
      </w:r>
      <w:r>
        <w:rPr>
          <w:spacing w:val="-12"/>
        </w:rPr>
        <w:t xml:space="preserve"> </w:t>
      </w:r>
      <w:r>
        <w:t>Open). After</w:t>
      </w:r>
      <w:r>
        <w:rPr>
          <w:spacing w:val="-4"/>
        </w:rPr>
        <w:t xml:space="preserve"> </w:t>
      </w:r>
      <w:r>
        <w:t>an additional</w:t>
      </w:r>
      <w:r>
        <w:rPr>
          <w:spacing w:val="-6"/>
        </w:rPr>
        <w:t xml:space="preserve"> </w:t>
      </w:r>
      <w:r>
        <w:t>8 weeks of XELJANZ 10</w:t>
      </w:r>
      <w:r>
        <w:rPr>
          <w:spacing w:val="-2"/>
        </w:rPr>
        <w:t xml:space="preserve"> </w:t>
      </w:r>
      <w:r>
        <w:t>mg</w:t>
      </w:r>
      <w:r>
        <w:rPr>
          <w:spacing w:val="-2"/>
        </w:rPr>
        <w:t xml:space="preserve"> </w:t>
      </w:r>
      <w:r>
        <w:t>twice</w:t>
      </w:r>
      <w:r>
        <w:rPr>
          <w:spacing w:val="-4"/>
        </w:rPr>
        <w:t xml:space="preserve"> </w:t>
      </w:r>
      <w:r>
        <w:t>daily</w:t>
      </w:r>
      <w:r>
        <w:rPr>
          <w:spacing w:val="-2"/>
        </w:rPr>
        <w:t xml:space="preserve"> </w:t>
      </w:r>
      <w:r>
        <w:t>in</w:t>
      </w:r>
      <w:r>
        <w:rPr>
          <w:spacing w:val="-2"/>
        </w:rPr>
        <w:t xml:space="preserve"> </w:t>
      </w:r>
      <w:r>
        <w:t>OCTAVE Open,</w:t>
      </w:r>
      <w:r>
        <w:rPr>
          <w:spacing w:val="-2"/>
        </w:rPr>
        <w:t xml:space="preserve"> </w:t>
      </w:r>
      <w:r>
        <w:t>53%</w:t>
      </w:r>
      <w:r>
        <w:rPr>
          <w:spacing w:val="-7"/>
        </w:rPr>
        <w:t xml:space="preserve"> </w:t>
      </w:r>
      <w:r>
        <w:t>(154/293)</w:t>
      </w:r>
      <w:r>
        <w:rPr>
          <w:spacing w:val="-7"/>
        </w:rPr>
        <w:t xml:space="preserve"> </w:t>
      </w:r>
      <w:r>
        <w:t>patients</w:t>
      </w:r>
      <w:r>
        <w:rPr>
          <w:spacing w:val="-6"/>
        </w:rPr>
        <w:t xml:space="preserve"> </w:t>
      </w:r>
      <w:r>
        <w:t>achieved clinical response and 14% (42/293)</w:t>
      </w:r>
      <w:r>
        <w:rPr>
          <w:spacing w:val="40"/>
        </w:rPr>
        <w:t xml:space="preserve"> </w:t>
      </w:r>
      <w:r>
        <w:t>patients</w:t>
      </w:r>
      <w:r>
        <w:rPr>
          <w:spacing w:val="-11"/>
        </w:rPr>
        <w:t xml:space="preserve"> </w:t>
      </w:r>
      <w:r>
        <w:t>achieved remission.</w:t>
      </w:r>
    </w:p>
    <w:p w14:paraId="75B6076D" w14:textId="77777777" w:rsidR="001825E2" w:rsidRDefault="000839A5" w:rsidP="00CB00A7">
      <w:pPr>
        <w:pStyle w:val="BodyText"/>
        <w:spacing w:before="252"/>
        <w:ind w:left="213" w:right="728" w:firstLine="2"/>
        <w:jc w:val="left"/>
      </w:pPr>
      <w:r>
        <w:t>Patients who achieved clinical response in either of the induction studies (OCTAVE</w:t>
      </w:r>
      <w:r>
        <w:rPr>
          <w:spacing w:val="40"/>
        </w:rPr>
        <w:t xml:space="preserve"> </w:t>
      </w:r>
      <w:r>
        <w:t>Induction 1 or OCTAVE Induction 2) with XELJANZ 10</w:t>
      </w:r>
      <w:r>
        <w:rPr>
          <w:spacing w:val="-1"/>
        </w:rPr>
        <w:t xml:space="preserve"> </w:t>
      </w:r>
      <w:r>
        <w:t>mg twice daily but subsequently experienced treatment failure after either their dose was reduced to XELJANZ 5</w:t>
      </w:r>
      <w:r>
        <w:rPr>
          <w:spacing w:val="-1"/>
        </w:rPr>
        <w:t xml:space="preserve"> </w:t>
      </w:r>
      <w:r>
        <w:t xml:space="preserve">mg twice daily or following treatment interruption in OCTAVE Sustain (i.e., were </w:t>
      </w:r>
      <w:proofErr w:type="spellStart"/>
      <w:r>
        <w:t>randomised</w:t>
      </w:r>
      <w:proofErr w:type="spellEnd"/>
      <w:r>
        <w:t xml:space="preserve"> to placebo), had their dose increased back to XELJANZ 10</w:t>
      </w:r>
      <w:r>
        <w:rPr>
          <w:spacing w:val="-3"/>
        </w:rPr>
        <w:t xml:space="preserve"> </w:t>
      </w:r>
      <w:r>
        <w:t>mg twice daily in OCTAVE Open. After 8 weeks on XELJANZ 10 mg twice daily in OCTAVE Open, 38% of</w:t>
      </w:r>
      <w:r>
        <w:rPr>
          <w:spacing w:val="40"/>
        </w:rPr>
        <w:t xml:space="preserve"> </w:t>
      </w:r>
      <w:r>
        <w:t>those patients who</w:t>
      </w:r>
      <w:r>
        <w:rPr>
          <w:spacing w:val="-1"/>
        </w:rPr>
        <w:t xml:space="preserve"> </w:t>
      </w:r>
      <w:r>
        <w:t>had experienced treatment failure</w:t>
      </w:r>
      <w:r>
        <w:rPr>
          <w:spacing w:val="-3"/>
        </w:rPr>
        <w:t xml:space="preserve"> </w:t>
      </w:r>
      <w:r>
        <w:t>in</w:t>
      </w:r>
      <w:r>
        <w:rPr>
          <w:spacing w:val="-1"/>
        </w:rPr>
        <w:t xml:space="preserve"> </w:t>
      </w:r>
      <w:r>
        <w:t>OCTAVE Sustain</w:t>
      </w:r>
      <w:r>
        <w:rPr>
          <w:spacing w:val="-1"/>
        </w:rPr>
        <w:t xml:space="preserve"> </w:t>
      </w:r>
      <w:r>
        <w:t xml:space="preserve">achieved </w:t>
      </w:r>
      <w:proofErr w:type="gramStart"/>
      <w:r>
        <w:t>remission;</w:t>
      </w:r>
      <w:proofErr w:type="gramEnd"/>
      <w:r>
        <w:rPr>
          <w:spacing w:val="-8"/>
        </w:rPr>
        <w:t xml:space="preserve"> </w:t>
      </w:r>
      <w:r>
        <w:t>35%</w:t>
      </w:r>
      <w:r>
        <w:rPr>
          <w:spacing w:val="-6"/>
        </w:rPr>
        <w:t xml:space="preserve"> </w:t>
      </w:r>
      <w:r>
        <w:t>(20/58) previously on XELJANZ 5</w:t>
      </w:r>
      <w:r>
        <w:rPr>
          <w:spacing w:val="-1"/>
        </w:rPr>
        <w:t xml:space="preserve"> </w:t>
      </w:r>
      <w:r>
        <w:t>mg twice daily, and 40% (40/</w:t>
      </w:r>
      <w:r>
        <w:t>99) patients with previous dose interruption. At Month 12 in OCTAVE Open, 52%</w:t>
      </w:r>
      <w:r>
        <w:rPr>
          <w:spacing w:val="-4"/>
        </w:rPr>
        <w:t xml:space="preserve"> </w:t>
      </w:r>
      <w:r>
        <w:t>(25/48)</w:t>
      </w:r>
      <w:r>
        <w:rPr>
          <w:spacing w:val="-4"/>
        </w:rPr>
        <w:t xml:space="preserve"> </w:t>
      </w:r>
      <w:r>
        <w:t>and 45%</w:t>
      </w:r>
      <w:r>
        <w:rPr>
          <w:spacing w:val="-4"/>
        </w:rPr>
        <w:t xml:space="preserve"> </w:t>
      </w:r>
      <w:r>
        <w:t>(37/83)</w:t>
      </w:r>
      <w:r>
        <w:rPr>
          <w:spacing w:val="-4"/>
        </w:rPr>
        <w:t xml:space="preserve"> </w:t>
      </w:r>
      <w:r>
        <w:t>of these</w:t>
      </w:r>
      <w:r>
        <w:rPr>
          <w:spacing w:val="-1"/>
        </w:rPr>
        <w:t xml:space="preserve"> </w:t>
      </w:r>
      <w:r>
        <w:t>patients achieved remission, respectively.</w:t>
      </w:r>
    </w:p>
    <w:p w14:paraId="6347DD94" w14:textId="77777777" w:rsidR="001825E2" w:rsidRDefault="000839A5" w:rsidP="00CB00A7">
      <w:pPr>
        <w:pStyle w:val="BodyText"/>
        <w:spacing w:before="245" w:line="235" w:lineRule="auto"/>
        <w:ind w:left="212" w:right="756"/>
        <w:jc w:val="left"/>
      </w:pPr>
      <w:r>
        <w:t>Furthermore, at Month 12 of Study OCTAVE Open, 74% (48/65) of patients who achieved remission</w:t>
      </w:r>
      <w:r>
        <w:rPr>
          <w:spacing w:val="41"/>
        </w:rPr>
        <w:t xml:space="preserve"> </w:t>
      </w:r>
      <w:r>
        <w:t>at</w:t>
      </w:r>
      <w:r>
        <w:rPr>
          <w:spacing w:val="37"/>
        </w:rPr>
        <w:t xml:space="preserve"> </w:t>
      </w:r>
      <w:r>
        <w:t>the</w:t>
      </w:r>
      <w:r>
        <w:rPr>
          <w:spacing w:val="26"/>
        </w:rPr>
        <w:t xml:space="preserve"> </w:t>
      </w:r>
      <w:r>
        <w:t>end</w:t>
      </w:r>
      <w:r>
        <w:rPr>
          <w:spacing w:val="44"/>
        </w:rPr>
        <w:t xml:space="preserve"> </w:t>
      </w:r>
      <w:r>
        <w:t>of</w:t>
      </w:r>
      <w:r>
        <w:rPr>
          <w:spacing w:val="39"/>
        </w:rPr>
        <w:t xml:space="preserve"> </w:t>
      </w:r>
      <w:r>
        <w:t>Study</w:t>
      </w:r>
      <w:r>
        <w:rPr>
          <w:spacing w:val="28"/>
        </w:rPr>
        <w:t xml:space="preserve"> </w:t>
      </w:r>
      <w:r>
        <w:t>OCTAVE</w:t>
      </w:r>
      <w:r>
        <w:rPr>
          <w:spacing w:val="32"/>
        </w:rPr>
        <w:t xml:space="preserve"> </w:t>
      </w:r>
      <w:r>
        <w:t>Sustain</w:t>
      </w:r>
      <w:r>
        <w:rPr>
          <w:spacing w:val="29"/>
        </w:rPr>
        <w:t xml:space="preserve"> </w:t>
      </w:r>
      <w:r>
        <w:t>on</w:t>
      </w:r>
      <w:r>
        <w:rPr>
          <w:spacing w:val="29"/>
        </w:rPr>
        <w:t xml:space="preserve"> </w:t>
      </w:r>
      <w:r>
        <w:t>either</w:t>
      </w:r>
      <w:r>
        <w:rPr>
          <w:spacing w:val="23"/>
        </w:rPr>
        <w:t xml:space="preserve"> </w:t>
      </w:r>
      <w:r>
        <w:t>XELJANZ</w:t>
      </w:r>
      <w:r>
        <w:rPr>
          <w:spacing w:val="32"/>
        </w:rPr>
        <w:t xml:space="preserve"> </w:t>
      </w:r>
      <w:r>
        <w:t>5</w:t>
      </w:r>
      <w:r>
        <w:rPr>
          <w:spacing w:val="-1"/>
        </w:rPr>
        <w:t xml:space="preserve"> </w:t>
      </w:r>
      <w:r>
        <w:t>mg</w:t>
      </w:r>
      <w:r>
        <w:rPr>
          <w:spacing w:val="29"/>
        </w:rPr>
        <w:t xml:space="preserve"> </w:t>
      </w:r>
      <w:r>
        <w:t>twice</w:t>
      </w:r>
      <w:r>
        <w:rPr>
          <w:spacing w:val="27"/>
        </w:rPr>
        <w:t xml:space="preserve"> </w:t>
      </w:r>
      <w:r>
        <w:t>daily</w:t>
      </w:r>
      <w:r>
        <w:rPr>
          <w:spacing w:val="29"/>
        </w:rPr>
        <w:t xml:space="preserve"> </w:t>
      </w:r>
      <w:r>
        <w:rPr>
          <w:spacing w:val="-5"/>
        </w:rPr>
        <w:t>or</w:t>
      </w:r>
    </w:p>
    <w:p w14:paraId="570C4FB4" w14:textId="77777777" w:rsidR="001825E2" w:rsidRDefault="001825E2" w:rsidP="00CB00A7">
      <w:pPr>
        <w:spacing w:line="235" w:lineRule="auto"/>
        <w:sectPr w:rsidR="001825E2">
          <w:pgSz w:w="11910" w:h="16850"/>
          <w:pgMar w:top="1380" w:right="700" w:bottom="980" w:left="1220" w:header="0" w:footer="785" w:gutter="0"/>
          <w:cols w:space="720"/>
        </w:sectPr>
      </w:pPr>
    </w:p>
    <w:p w14:paraId="0E5A9D89" w14:textId="77777777" w:rsidR="001825E2" w:rsidRDefault="000839A5" w:rsidP="00CB00A7">
      <w:pPr>
        <w:pStyle w:val="BodyText"/>
        <w:spacing w:before="80" w:line="235" w:lineRule="auto"/>
        <w:ind w:left="220" w:right="736"/>
        <w:jc w:val="left"/>
      </w:pPr>
      <w:bookmarkStart w:id="67" w:name="Juvenile_Idiopathic_Arthritis"/>
      <w:bookmarkEnd w:id="67"/>
      <w:r>
        <w:lastRenderedPageBreak/>
        <w:t>XELJANZ 10</w:t>
      </w:r>
      <w:r>
        <w:rPr>
          <w:spacing w:val="-3"/>
        </w:rPr>
        <w:t xml:space="preserve"> </w:t>
      </w:r>
      <w:r>
        <w:t>mg twice daily remained in remission while receiving XELJANZ 5</w:t>
      </w:r>
      <w:r>
        <w:rPr>
          <w:spacing w:val="-2"/>
        </w:rPr>
        <w:t xml:space="preserve"> </w:t>
      </w:r>
      <w:r>
        <w:t xml:space="preserve">mg twice </w:t>
      </w:r>
      <w:r>
        <w:rPr>
          <w:spacing w:val="-2"/>
        </w:rPr>
        <w:t>daily.</w:t>
      </w:r>
    </w:p>
    <w:p w14:paraId="455A4EE3" w14:textId="77777777" w:rsidR="001825E2" w:rsidRDefault="000839A5" w:rsidP="00CB00A7">
      <w:pPr>
        <w:pStyle w:val="Heading4"/>
        <w:spacing w:before="250"/>
        <w:jc w:val="left"/>
      </w:pPr>
      <w:r>
        <w:t>Juvenile</w:t>
      </w:r>
      <w:r>
        <w:rPr>
          <w:spacing w:val="-6"/>
        </w:rPr>
        <w:t xml:space="preserve"> </w:t>
      </w:r>
      <w:r>
        <w:t>Idiopathic</w:t>
      </w:r>
      <w:r>
        <w:rPr>
          <w:spacing w:val="7"/>
        </w:rPr>
        <w:t xml:space="preserve"> </w:t>
      </w:r>
      <w:r>
        <w:rPr>
          <w:spacing w:val="-2"/>
        </w:rPr>
        <w:t>Arthritis</w:t>
      </w:r>
    </w:p>
    <w:p w14:paraId="34912432" w14:textId="77777777" w:rsidR="001825E2" w:rsidRDefault="000839A5" w:rsidP="00CB00A7">
      <w:pPr>
        <w:pStyle w:val="BodyText"/>
        <w:spacing w:before="114"/>
        <w:ind w:left="217" w:right="725" w:firstLine="2"/>
        <w:jc w:val="left"/>
      </w:pPr>
      <w:r>
        <w:rPr>
          <w:color w:val="050505"/>
        </w:rPr>
        <w:t xml:space="preserve">The efficacy of tofacitinib for </w:t>
      </w:r>
      <w:proofErr w:type="spellStart"/>
      <w:r>
        <w:rPr>
          <w:color w:val="050505"/>
        </w:rPr>
        <w:t>pcJIA</w:t>
      </w:r>
      <w:proofErr w:type="spellEnd"/>
      <w:r>
        <w:rPr>
          <w:color w:val="050505"/>
        </w:rPr>
        <w:t xml:space="preserve"> was assessed</w:t>
      </w:r>
      <w:r>
        <w:rPr>
          <w:color w:val="050505"/>
          <w:spacing w:val="40"/>
        </w:rPr>
        <w:t xml:space="preserve"> </w:t>
      </w:r>
      <w:r>
        <w:rPr>
          <w:color w:val="050505"/>
        </w:rPr>
        <w:t xml:space="preserve">in Study </w:t>
      </w:r>
      <w:proofErr w:type="spellStart"/>
      <w:r>
        <w:rPr>
          <w:color w:val="050505"/>
        </w:rPr>
        <w:t>pcJIA</w:t>
      </w:r>
      <w:proofErr w:type="spellEnd"/>
      <w:r>
        <w:rPr>
          <w:color w:val="050505"/>
        </w:rPr>
        <w:t>-I, a 44-week, two-part study (consisting of an 18-week, open-label, run-in phase, followed by a 26-week double- blind,</w:t>
      </w:r>
      <w:r>
        <w:rPr>
          <w:color w:val="050505"/>
          <w:spacing w:val="38"/>
        </w:rPr>
        <w:t xml:space="preserve"> </w:t>
      </w:r>
      <w:r>
        <w:rPr>
          <w:color w:val="050505"/>
        </w:rPr>
        <w:t>placebo-controlled,</w:t>
      </w:r>
      <w:r>
        <w:rPr>
          <w:color w:val="050505"/>
          <w:spacing w:val="38"/>
        </w:rPr>
        <w:t xml:space="preserve"> </w:t>
      </w:r>
      <w:proofErr w:type="spellStart"/>
      <w:r>
        <w:rPr>
          <w:color w:val="050505"/>
        </w:rPr>
        <w:t>randomised</w:t>
      </w:r>
      <w:proofErr w:type="spellEnd"/>
      <w:r>
        <w:rPr>
          <w:color w:val="050505"/>
          <w:spacing w:val="40"/>
        </w:rPr>
        <w:t xml:space="preserve"> </w:t>
      </w:r>
      <w:r>
        <w:rPr>
          <w:color w:val="050505"/>
        </w:rPr>
        <w:t>withdrawal phase) in</w:t>
      </w:r>
      <w:r>
        <w:rPr>
          <w:color w:val="050505"/>
          <w:spacing w:val="38"/>
        </w:rPr>
        <w:t xml:space="preserve"> </w:t>
      </w:r>
      <w:r>
        <w:rPr>
          <w:color w:val="050505"/>
        </w:rPr>
        <w:t>patients 2</w:t>
      </w:r>
      <w:r>
        <w:rPr>
          <w:color w:val="050505"/>
          <w:spacing w:val="-4"/>
        </w:rPr>
        <w:t xml:space="preserve"> </w:t>
      </w:r>
      <w:r>
        <w:rPr>
          <w:color w:val="050505"/>
        </w:rPr>
        <w:t>years to 17</w:t>
      </w:r>
      <w:r>
        <w:rPr>
          <w:color w:val="050505"/>
          <w:spacing w:val="-4"/>
        </w:rPr>
        <w:t xml:space="preserve"> </w:t>
      </w:r>
      <w:r>
        <w:rPr>
          <w:color w:val="050505"/>
        </w:rPr>
        <w:t xml:space="preserve">years of age with active rheumatoid factor negative (RF-) polyarthritis, rheumatoid factor positive (RF+) polyarthritis, extended </w:t>
      </w:r>
      <w:proofErr w:type="spellStart"/>
      <w:r>
        <w:rPr>
          <w:color w:val="050505"/>
        </w:rPr>
        <w:t>oligoarthritis</w:t>
      </w:r>
      <w:proofErr w:type="spellEnd"/>
      <w:r>
        <w:rPr>
          <w:color w:val="050505"/>
        </w:rPr>
        <w:t>, and systemic JIA without systemic</w:t>
      </w:r>
      <w:r>
        <w:rPr>
          <w:color w:val="050505"/>
          <w:spacing w:val="80"/>
        </w:rPr>
        <w:t xml:space="preserve"> </w:t>
      </w:r>
      <w:r>
        <w:rPr>
          <w:color w:val="050505"/>
        </w:rPr>
        <w:t>manifestations</w:t>
      </w:r>
      <w:r>
        <w:rPr>
          <w:color w:val="050505"/>
          <w:spacing w:val="-3"/>
        </w:rPr>
        <w:t xml:space="preserve"> </w:t>
      </w:r>
      <w:r>
        <w:rPr>
          <w:color w:val="050505"/>
        </w:rPr>
        <w:t>who had an inadequate</w:t>
      </w:r>
      <w:r>
        <w:rPr>
          <w:color w:val="050505"/>
          <w:spacing w:val="-1"/>
        </w:rPr>
        <w:t xml:space="preserve"> </w:t>
      </w:r>
      <w:r>
        <w:rPr>
          <w:color w:val="050505"/>
        </w:rPr>
        <w:t>response</w:t>
      </w:r>
      <w:r>
        <w:rPr>
          <w:color w:val="050505"/>
          <w:spacing w:val="-1"/>
        </w:rPr>
        <w:t xml:space="preserve"> </w:t>
      </w:r>
      <w:r>
        <w:rPr>
          <w:color w:val="050505"/>
        </w:rPr>
        <w:t>or</w:t>
      </w:r>
      <w:r>
        <w:rPr>
          <w:color w:val="050505"/>
          <w:spacing w:val="-4"/>
        </w:rPr>
        <w:t xml:space="preserve"> </w:t>
      </w:r>
      <w:r>
        <w:rPr>
          <w:color w:val="050505"/>
        </w:rPr>
        <w:t>intolerance to at least one DMARD which could have incl</w:t>
      </w:r>
      <w:r>
        <w:rPr>
          <w:color w:val="050505"/>
        </w:rPr>
        <w:t>uded MTX or biological medicines; the study also included patients aged 2 years to 17 years of age with active juvenile psoriatic arthritis (</w:t>
      </w:r>
      <w:proofErr w:type="spellStart"/>
      <w:r>
        <w:rPr>
          <w:color w:val="050505"/>
        </w:rPr>
        <w:t>jPsA</w:t>
      </w:r>
      <w:proofErr w:type="spellEnd"/>
      <w:r>
        <w:rPr>
          <w:color w:val="050505"/>
        </w:rPr>
        <w:t>) and enthesitis-related arthritis (ERA)</w:t>
      </w:r>
      <w:r>
        <w:rPr>
          <w:color w:val="050505"/>
          <w:spacing w:val="-4"/>
        </w:rPr>
        <w:t xml:space="preserve"> </w:t>
      </w:r>
      <w:r>
        <w:rPr>
          <w:color w:val="050505"/>
        </w:rPr>
        <w:t>who had an inadequate response to NSAIDs.</w:t>
      </w:r>
    </w:p>
    <w:p w14:paraId="3F2661D0" w14:textId="77777777" w:rsidR="001825E2" w:rsidRDefault="000839A5" w:rsidP="00CB00A7">
      <w:pPr>
        <w:pStyle w:val="BodyText"/>
        <w:spacing w:before="246"/>
        <w:ind w:left="217" w:right="726"/>
        <w:jc w:val="left"/>
      </w:pPr>
      <w:r>
        <w:rPr>
          <w:color w:val="050505"/>
        </w:rPr>
        <w:t>Patients received</w:t>
      </w:r>
      <w:r>
        <w:rPr>
          <w:color w:val="050505"/>
          <w:spacing w:val="40"/>
        </w:rPr>
        <w:t xml:space="preserve"> </w:t>
      </w:r>
      <w:r>
        <w:rPr>
          <w:color w:val="050505"/>
        </w:rPr>
        <w:t>tofacitinib (dosed</w:t>
      </w:r>
      <w:r>
        <w:rPr>
          <w:color w:val="050505"/>
          <w:spacing w:val="40"/>
        </w:rPr>
        <w:t xml:space="preserve"> </w:t>
      </w:r>
      <w:r>
        <w:rPr>
          <w:color w:val="050505"/>
        </w:rPr>
        <w:t>at 5</w:t>
      </w:r>
      <w:r>
        <w:rPr>
          <w:color w:val="050505"/>
          <w:spacing w:val="-1"/>
        </w:rPr>
        <w:t xml:space="preserve"> </w:t>
      </w:r>
      <w:r>
        <w:rPr>
          <w:color w:val="050505"/>
        </w:rPr>
        <w:t>mg twice daily or body weight-based</w:t>
      </w:r>
      <w:r>
        <w:rPr>
          <w:color w:val="050505"/>
          <w:spacing w:val="40"/>
        </w:rPr>
        <w:t xml:space="preserve"> </w:t>
      </w:r>
      <w:r>
        <w:rPr>
          <w:color w:val="050505"/>
        </w:rPr>
        <w:t>equivalent twice daily) for 18</w:t>
      </w:r>
      <w:r>
        <w:rPr>
          <w:color w:val="050505"/>
          <w:spacing w:val="-2"/>
        </w:rPr>
        <w:t xml:space="preserve"> </w:t>
      </w:r>
      <w:r>
        <w:rPr>
          <w:color w:val="050505"/>
        </w:rPr>
        <w:t>weeks (run-in phase) followed</w:t>
      </w:r>
      <w:r>
        <w:rPr>
          <w:color w:val="050505"/>
          <w:spacing w:val="40"/>
        </w:rPr>
        <w:t xml:space="preserve"> </w:t>
      </w:r>
      <w:r>
        <w:rPr>
          <w:color w:val="050505"/>
        </w:rPr>
        <w:t xml:space="preserve">by </w:t>
      </w:r>
      <w:proofErr w:type="spellStart"/>
      <w:r>
        <w:rPr>
          <w:color w:val="050505"/>
        </w:rPr>
        <w:t>randomisation</w:t>
      </w:r>
      <w:proofErr w:type="spellEnd"/>
      <w:r>
        <w:rPr>
          <w:color w:val="050505"/>
        </w:rPr>
        <w:t xml:space="preserve"> to either tofacitinib (dosed</w:t>
      </w:r>
      <w:r>
        <w:rPr>
          <w:color w:val="050505"/>
          <w:spacing w:val="40"/>
        </w:rPr>
        <w:t xml:space="preserve"> </w:t>
      </w:r>
      <w:r>
        <w:rPr>
          <w:color w:val="050505"/>
        </w:rPr>
        <w:t>at</w:t>
      </w:r>
      <w:r>
        <w:rPr>
          <w:color w:val="050505"/>
          <w:spacing w:val="40"/>
        </w:rPr>
        <w:t xml:space="preserve"> </w:t>
      </w:r>
      <w:r>
        <w:rPr>
          <w:color w:val="050505"/>
        </w:rPr>
        <w:t>5 mg</w:t>
      </w:r>
      <w:r>
        <w:rPr>
          <w:color w:val="050505"/>
          <w:spacing w:val="40"/>
        </w:rPr>
        <w:t xml:space="preserve"> </w:t>
      </w:r>
      <w:r>
        <w:rPr>
          <w:color w:val="050505"/>
        </w:rPr>
        <w:t>twice</w:t>
      </w:r>
      <w:r>
        <w:rPr>
          <w:color w:val="050505"/>
          <w:spacing w:val="40"/>
        </w:rPr>
        <w:t xml:space="preserve"> </w:t>
      </w:r>
      <w:r>
        <w:rPr>
          <w:color w:val="050505"/>
        </w:rPr>
        <w:t>daily</w:t>
      </w:r>
      <w:r>
        <w:rPr>
          <w:color w:val="050505"/>
          <w:spacing w:val="40"/>
        </w:rPr>
        <w:t xml:space="preserve"> </w:t>
      </w:r>
      <w:r>
        <w:rPr>
          <w:color w:val="050505"/>
        </w:rPr>
        <w:t>or</w:t>
      </w:r>
      <w:r>
        <w:rPr>
          <w:color w:val="050505"/>
          <w:spacing w:val="40"/>
        </w:rPr>
        <w:t xml:space="preserve"> </w:t>
      </w:r>
      <w:r>
        <w:rPr>
          <w:color w:val="050505"/>
        </w:rPr>
        <w:t>body</w:t>
      </w:r>
      <w:r>
        <w:rPr>
          <w:color w:val="050505"/>
          <w:spacing w:val="40"/>
        </w:rPr>
        <w:t xml:space="preserve"> </w:t>
      </w:r>
      <w:r>
        <w:rPr>
          <w:color w:val="050505"/>
        </w:rPr>
        <w:t>weight-based</w:t>
      </w:r>
      <w:r>
        <w:rPr>
          <w:color w:val="050505"/>
          <w:spacing w:val="40"/>
        </w:rPr>
        <w:t xml:space="preserve"> </w:t>
      </w:r>
      <w:r>
        <w:rPr>
          <w:color w:val="050505"/>
        </w:rPr>
        <w:t>equivalent</w:t>
      </w:r>
      <w:r>
        <w:rPr>
          <w:color w:val="050505"/>
          <w:spacing w:val="40"/>
        </w:rPr>
        <w:t xml:space="preserve"> </w:t>
      </w:r>
      <w:r>
        <w:rPr>
          <w:color w:val="050505"/>
        </w:rPr>
        <w:t>twice</w:t>
      </w:r>
      <w:r>
        <w:rPr>
          <w:color w:val="050505"/>
          <w:spacing w:val="40"/>
        </w:rPr>
        <w:t xml:space="preserve"> </w:t>
      </w:r>
      <w:r>
        <w:rPr>
          <w:color w:val="050505"/>
        </w:rPr>
        <w:t>daily)</w:t>
      </w:r>
      <w:r>
        <w:rPr>
          <w:color w:val="050505"/>
          <w:spacing w:val="40"/>
        </w:rPr>
        <w:t xml:space="preserve"> </w:t>
      </w:r>
      <w:r>
        <w:rPr>
          <w:color w:val="050505"/>
        </w:rPr>
        <w:t>or</w:t>
      </w:r>
      <w:r>
        <w:rPr>
          <w:color w:val="050505"/>
          <w:spacing w:val="40"/>
        </w:rPr>
        <w:t xml:space="preserve"> </w:t>
      </w:r>
      <w:r>
        <w:rPr>
          <w:color w:val="050505"/>
        </w:rPr>
        <w:t>placebo</w:t>
      </w:r>
      <w:r>
        <w:rPr>
          <w:color w:val="050505"/>
          <w:spacing w:val="40"/>
        </w:rPr>
        <w:t xml:space="preserve"> </w:t>
      </w:r>
      <w:r>
        <w:rPr>
          <w:color w:val="050505"/>
        </w:rPr>
        <w:t>for 26</w:t>
      </w:r>
      <w:r>
        <w:rPr>
          <w:color w:val="050505"/>
          <w:spacing w:val="-2"/>
        </w:rPr>
        <w:t xml:space="preserve"> </w:t>
      </w:r>
      <w:r>
        <w:rPr>
          <w:color w:val="050505"/>
        </w:rPr>
        <w:t>weeks</w:t>
      </w:r>
      <w:r>
        <w:rPr>
          <w:color w:val="050505"/>
          <w:spacing w:val="-6"/>
        </w:rPr>
        <w:t xml:space="preserve"> </w:t>
      </w:r>
      <w:r>
        <w:rPr>
          <w:color w:val="050505"/>
        </w:rPr>
        <w:t>(double-blind phase). Only</w:t>
      </w:r>
      <w:r>
        <w:rPr>
          <w:color w:val="050505"/>
          <w:spacing w:val="-2"/>
        </w:rPr>
        <w:t xml:space="preserve"> </w:t>
      </w:r>
      <w:r>
        <w:rPr>
          <w:color w:val="050505"/>
        </w:rPr>
        <w:t>patients</w:t>
      </w:r>
      <w:r>
        <w:rPr>
          <w:color w:val="050505"/>
          <w:spacing w:val="-6"/>
        </w:rPr>
        <w:t xml:space="preserve"> </w:t>
      </w:r>
      <w:r>
        <w:rPr>
          <w:color w:val="050505"/>
        </w:rPr>
        <w:t>who</w:t>
      </w:r>
      <w:r>
        <w:rPr>
          <w:color w:val="050505"/>
          <w:spacing w:val="-2"/>
        </w:rPr>
        <w:t xml:space="preserve"> </w:t>
      </w:r>
      <w:r>
        <w:rPr>
          <w:color w:val="050505"/>
        </w:rPr>
        <w:t>achieved at least a</w:t>
      </w:r>
      <w:r>
        <w:rPr>
          <w:color w:val="050505"/>
          <w:spacing w:val="-4"/>
        </w:rPr>
        <w:t xml:space="preserve"> </w:t>
      </w:r>
      <w:r>
        <w:rPr>
          <w:color w:val="050505"/>
        </w:rPr>
        <w:t>JIA ACR30</w:t>
      </w:r>
      <w:r>
        <w:rPr>
          <w:color w:val="050505"/>
          <w:spacing w:val="-2"/>
        </w:rPr>
        <w:t xml:space="preserve"> </w:t>
      </w:r>
      <w:r>
        <w:rPr>
          <w:color w:val="050505"/>
        </w:rPr>
        <w:t>response</w:t>
      </w:r>
      <w:r>
        <w:rPr>
          <w:color w:val="050505"/>
          <w:spacing w:val="-4"/>
        </w:rPr>
        <w:t xml:space="preserve"> </w:t>
      </w:r>
      <w:r>
        <w:rPr>
          <w:color w:val="050505"/>
        </w:rPr>
        <w:t>at the end</w:t>
      </w:r>
      <w:r>
        <w:rPr>
          <w:color w:val="050505"/>
          <w:spacing w:val="21"/>
        </w:rPr>
        <w:t xml:space="preserve"> </w:t>
      </w:r>
      <w:r>
        <w:rPr>
          <w:color w:val="050505"/>
        </w:rPr>
        <w:t xml:space="preserve">of the run-in phase were </w:t>
      </w:r>
      <w:proofErr w:type="spellStart"/>
      <w:r>
        <w:rPr>
          <w:color w:val="050505"/>
        </w:rPr>
        <w:t>randomised</w:t>
      </w:r>
      <w:proofErr w:type="spellEnd"/>
      <w:r>
        <w:rPr>
          <w:color w:val="050505"/>
          <w:spacing w:val="21"/>
        </w:rPr>
        <w:t xml:space="preserve"> </w:t>
      </w:r>
      <w:r>
        <w:rPr>
          <w:color w:val="050505"/>
        </w:rPr>
        <w:t>(1:1) to the</w:t>
      </w:r>
      <w:r>
        <w:rPr>
          <w:color w:val="050505"/>
          <w:spacing w:val="-8"/>
        </w:rPr>
        <w:t xml:space="preserve"> </w:t>
      </w:r>
      <w:r>
        <w:rPr>
          <w:color w:val="050505"/>
        </w:rPr>
        <w:t>double-blind</w:t>
      </w:r>
      <w:r>
        <w:rPr>
          <w:color w:val="050505"/>
          <w:spacing w:val="21"/>
        </w:rPr>
        <w:t xml:space="preserve"> </w:t>
      </w:r>
      <w:r>
        <w:rPr>
          <w:color w:val="050505"/>
        </w:rPr>
        <w:t>phase. Treatment</w:t>
      </w:r>
      <w:r>
        <w:rPr>
          <w:color w:val="050505"/>
          <w:spacing w:val="14"/>
        </w:rPr>
        <w:t xml:space="preserve"> </w:t>
      </w:r>
      <w:r>
        <w:rPr>
          <w:color w:val="050505"/>
        </w:rPr>
        <w:t>with a</w:t>
      </w:r>
      <w:r>
        <w:rPr>
          <w:color w:val="050505"/>
          <w:spacing w:val="-3"/>
        </w:rPr>
        <w:t xml:space="preserve"> </w:t>
      </w:r>
      <w:r>
        <w:rPr>
          <w:color w:val="050505"/>
        </w:rPr>
        <w:t>stable</w:t>
      </w:r>
      <w:r>
        <w:rPr>
          <w:color w:val="050505"/>
          <w:spacing w:val="-3"/>
        </w:rPr>
        <w:t xml:space="preserve"> </w:t>
      </w:r>
      <w:r>
        <w:rPr>
          <w:color w:val="050505"/>
        </w:rPr>
        <w:t>dose</w:t>
      </w:r>
      <w:r>
        <w:rPr>
          <w:color w:val="050505"/>
          <w:spacing w:val="-3"/>
        </w:rPr>
        <w:t xml:space="preserve"> </w:t>
      </w:r>
      <w:r>
        <w:rPr>
          <w:color w:val="050505"/>
        </w:rPr>
        <w:t>of MTX was</w:t>
      </w:r>
      <w:r>
        <w:rPr>
          <w:color w:val="050505"/>
          <w:spacing w:val="-5"/>
        </w:rPr>
        <w:t xml:space="preserve"> </w:t>
      </w:r>
      <w:r>
        <w:rPr>
          <w:color w:val="050505"/>
        </w:rPr>
        <w:t>permitted but was</w:t>
      </w:r>
      <w:r>
        <w:rPr>
          <w:color w:val="050505"/>
          <w:spacing w:val="-5"/>
        </w:rPr>
        <w:t xml:space="preserve"> </w:t>
      </w:r>
      <w:r>
        <w:rPr>
          <w:color w:val="050505"/>
        </w:rPr>
        <w:t>not required</w:t>
      </w:r>
      <w:r>
        <w:rPr>
          <w:color w:val="050505"/>
          <w:spacing w:val="-1"/>
        </w:rPr>
        <w:t xml:space="preserve"> </w:t>
      </w:r>
      <w:r>
        <w:rPr>
          <w:color w:val="050505"/>
        </w:rPr>
        <w:t>during</w:t>
      </w:r>
      <w:r>
        <w:rPr>
          <w:color w:val="050505"/>
          <w:spacing w:val="-1"/>
        </w:rPr>
        <w:t xml:space="preserve"> </w:t>
      </w:r>
      <w:r>
        <w:rPr>
          <w:color w:val="050505"/>
        </w:rPr>
        <w:t>the</w:t>
      </w:r>
      <w:r>
        <w:rPr>
          <w:color w:val="050505"/>
          <w:spacing w:val="-3"/>
        </w:rPr>
        <w:t xml:space="preserve"> </w:t>
      </w:r>
      <w:r>
        <w:rPr>
          <w:color w:val="050505"/>
        </w:rPr>
        <w:t>study.</w:t>
      </w:r>
      <w:r>
        <w:rPr>
          <w:color w:val="050505"/>
          <w:spacing w:val="-1"/>
        </w:rPr>
        <w:t xml:space="preserve"> </w:t>
      </w:r>
      <w:r>
        <w:rPr>
          <w:color w:val="050505"/>
        </w:rPr>
        <w:t>Concurrent use</w:t>
      </w:r>
      <w:r>
        <w:rPr>
          <w:color w:val="050505"/>
          <w:spacing w:val="-3"/>
        </w:rPr>
        <w:t xml:space="preserve"> </w:t>
      </w:r>
      <w:r>
        <w:rPr>
          <w:color w:val="050505"/>
        </w:rPr>
        <w:t>of biological</w:t>
      </w:r>
      <w:r>
        <w:rPr>
          <w:color w:val="050505"/>
          <w:spacing w:val="40"/>
        </w:rPr>
        <w:t xml:space="preserve"> </w:t>
      </w:r>
      <w:r>
        <w:rPr>
          <w:color w:val="050505"/>
        </w:rPr>
        <w:t>medicines or DMARDs</w:t>
      </w:r>
      <w:r>
        <w:rPr>
          <w:color w:val="050505"/>
          <w:spacing w:val="-11"/>
        </w:rPr>
        <w:t xml:space="preserve"> </w:t>
      </w:r>
      <w:r>
        <w:rPr>
          <w:color w:val="050505"/>
        </w:rPr>
        <w:t>other than MTX was not permitted in the study.</w:t>
      </w:r>
    </w:p>
    <w:p w14:paraId="3E8345A0" w14:textId="77777777" w:rsidR="001825E2" w:rsidRDefault="000839A5" w:rsidP="00CB00A7">
      <w:pPr>
        <w:pStyle w:val="BodyText"/>
        <w:spacing w:before="246" w:line="237" w:lineRule="auto"/>
        <w:ind w:left="215" w:right="724" w:firstLine="1"/>
        <w:jc w:val="left"/>
      </w:pPr>
      <w:r>
        <w:rPr>
          <w:color w:val="050505"/>
        </w:rPr>
        <w:t>A total</w:t>
      </w:r>
      <w:r>
        <w:rPr>
          <w:color w:val="050505"/>
          <w:spacing w:val="-7"/>
        </w:rPr>
        <w:t xml:space="preserve"> </w:t>
      </w:r>
      <w:r>
        <w:rPr>
          <w:color w:val="050505"/>
        </w:rPr>
        <w:t>of 225 JIA patients</w:t>
      </w:r>
      <w:r>
        <w:rPr>
          <w:color w:val="050505"/>
          <w:spacing w:val="-4"/>
        </w:rPr>
        <w:t xml:space="preserve"> </w:t>
      </w:r>
      <w:r>
        <w:rPr>
          <w:color w:val="050505"/>
        </w:rPr>
        <w:t>(56 male and 169 female) with active</w:t>
      </w:r>
      <w:r>
        <w:rPr>
          <w:color w:val="050505"/>
          <w:spacing w:val="-2"/>
        </w:rPr>
        <w:t xml:space="preserve"> </w:t>
      </w:r>
      <w:r>
        <w:rPr>
          <w:color w:val="050505"/>
        </w:rPr>
        <w:t>disease</w:t>
      </w:r>
      <w:r>
        <w:rPr>
          <w:color w:val="050505"/>
          <w:spacing w:val="-1"/>
        </w:rPr>
        <w:t xml:space="preserve"> </w:t>
      </w:r>
      <w:r>
        <w:rPr>
          <w:color w:val="050505"/>
        </w:rPr>
        <w:t xml:space="preserve">were enrolled in the run-in phase including RF- </w:t>
      </w:r>
      <w:r>
        <w:t xml:space="preserve">polyarthritis </w:t>
      </w:r>
      <w:r>
        <w:rPr>
          <w:color w:val="050505"/>
        </w:rPr>
        <w:t xml:space="preserve">(104), RF+ </w:t>
      </w:r>
      <w:r>
        <w:t xml:space="preserve">polyarthritis </w:t>
      </w:r>
      <w:r>
        <w:rPr>
          <w:color w:val="050505"/>
        </w:rPr>
        <w:t xml:space="preserve">(39), extended </w:t>
      </w:r>
      <w:proofErr w:type="spellStart"/>
      <w:r>
        <w:rPr>
          <w:color w:val="050505"/>
        </w:rPr>
        <w:t>oligoarthritis</w:t>
      </w:r>
      <w:proofErr w:type="spellEnd"/>
      <w:r>
        <w:rPr>
          <w:color w:val="050505"/>
        </w:rPr>
        <w:t xml:space="preserve"> (28), systemic JIA without systemic manifestations (13), </w:t>
      </w:r>
      <w:proofErr w:type="spellStart"/>
      <w:r>
        <w:rPr>
          <w:color w:val="050505"/>
        </w:rPr>
        <w:t>jPsA</w:t>
      </w:r>
      <w:proofErr w:type="spellEnd"/>
      <w:r>
        <w:rPr>
          <w:color w:val="050505"/>
        </w:rPr>
        <w:t xml:space="preserve"> (20) and ERA (21). Patients had a</w:t>
      </w:r>
      <w:r>
        <w:rPr>
          <w:color w:val="050505"/>
          <w:spacing w:val="-2"/>
        </w:rPr>
        <w:t xml:space="preserve"> </w:t>
      </w:r>
      <w:r>
        <w:rPr>
          <w:color w:val="050505"/>
        </w:rPr>
        <w:t>mean (SD)</w:t>
      </w:r>
      <w:r>
        <w:rPr>
          <w:color w:val="050505"/>
          <w:spacing w:val="-5"/>
        </w:rPr>
        <w:t xml:space="preserve"> </w:t>
      </w:r>
      <w:r>
        <w:rPr>
          <w:color w:val="050505"/>
        </w:rPr>
        <w:t>disease</w:t>
      </w:r>
      <w:r>
        <w:rPr>
          <w:color w:val="050505"/>
          <w:spacing w:val="-2"/>
        </w:rPr>
        <w:t xml:space="preserve"> </w:t>
      </w:r>
      <w:r>
        <w:rPr>
          <w:color w:val="050505"/>
        </w:rPr>
        <w:t>duration of 3.8 ± 3.5 years and a</w:t>
      </w:r>
      <w:r>
        <w:rPr>
          <w:color w:val="050505"/>
          <w:spacing w:val="-2"/>
        </w:rPr>
        <w:t xml:space="preserve"> </w:t>
      </w:r>
      <w:r>
        <w:rPr>
          <w:color w:val="050505"/>
        </w:rPr>
        <w:t>mean (SD)</w:t>
      </w:r>
      <w:r>
        <w:rPr>
          <w:color w:val="050505"/>
          <w:spacing w:val="-5"/>
        </w:rPr>
        <w:t xml:space="preserve"> </w:t>
      </w:r>
      <w:r>
        <w:rPr>
          <w:color w:val="050505"/>
        </w:rPr>
        <w:t>number</w:t>
      </w:r>
      <w:r>
        <w:rPr>
          <w:color w:val="050505"/>
          <w:spacing w:val="-5"/>
        </w:rPr>
        <w:t xml:space="preserve"> </w:t>
      </w:r>
      <w:r>
        <w:rPr>
          <w:color w:val="050505"/>
        </w:rPr>
        <w:t>of active joints of 12.2 ± 8.1.</w:t>
      </w:r>
    </w:p>
    <w:p w14:paraId="4D12D587" w14:textId="77777777" w:rsidR="001825E2" w:rsidRDefault="000839A5" w:rsidP="00CB00A7">
      <w:pPr>
        <w:pStyle w:val="BodyText"/>
        <w:spacing w:before="254" w:line="237" w:lineRule="auto"/>
        <w:ind w:left="214" w:right="742"/>
        <w:jc w:val="left"/>
      </w:pPr>
      <w:r>
        <w:rPr>
          <w:color w:val="050505"/>
        </w:rPr>
        <w:t>Of the 225</w:t>
      </w:r>
      <w:r>
        <w:rPr>
          <w:color w:val="050505"/>
          <w:spacing w:val="-2"/>
        </w:rPr>
        <w:t xml:space="preserve"> </w:t>
      </w:r>
      <w:r>
        <w:rPr>
          <w:color w:val="050505"/>
        </w:rPr>
        <w:t>patients, 173</w:t>
      </w:r>
      <w:r>
        <w:rPr>
          <w:color w:val="050505"/>
          <w:spacing w:val="-2"/>
        </w:rPr>
        <w:t xml:space="preserve"> </w:t>
      </w:r>
      <w:r>
        <w:rPr>
          <w:color w:val="050505"/>
        </w:rPr>
        <w:t>(76.9%) patients achieved</w:t>
      </w:r>
      <w:r>
        <w:rPr>
          <w:color w:val="050505"/>
          <w:spacing w:val="40"/>
        </w:rPr>
        <w:t xml:space="preserve"> </w:t>
      </w:r>
      <w:r>
        <w:rPr>
          <w:color w:val="050505"/>
        </w:rPr>
        <w:t>JIA</w:t>
      </w:r>
      <w:r>
        <w:rPr>
          <w:color w:val="050505"/>
          <w:spacing w:val="40"/>
        </w:rPr>
        <w:t xml:space="preserve"> </w:t>
      </w:r>
      <w:r>
        <w:rPr>
          <w:color w:val="050505"/>
        </w:rPr>
        <w:t>ACR30 response at</w:t>
      </w:r>
      <w:r>
        <w:rPr>
          <w:color w:val="050505"/>
          <w:spacing w:val="40"/>
        </w:rPr>
        <w:t xml:space="preserve"> </w:t>
      </w:r>
      <w:r>
        <w:rPr>
          <w:color w:val="050505"/>
        </w:rPr>
        <w:t>Week</w:t>
      </w:r>
      <w:r>
        <w:rPr>
          <w:color w:val="050505"/>
          <w:spacing w:val="-2"/>
        </w:rPr>
        <w:t xml:space="preserve"> </w:t>
      </w:r>
      <w:r>
        <w:rPr>
          <w:color w:val="050505"/>
        </w:rPr>
        <w:t xml:space="preserve">18 and were </w:t>
      </w:r>
      <w:proofErr w:type="spellStart"/>
      <w:r>
        <w:rPr>
          <w:color w:val="050505"/>
        </w:rPr>
        <w:t>randomised</w:t>
      </w:r>
      <w:proofErr w:type="spellEnd"/>
      <w:r>
        <w:rPr>
          <w:color w:val="050505"/>
        </w:rPr>
        <w:t xml:space="preserve"> into the double-blind phase to either tofacitinib (n=88) or placebo (n=85). </w:t>
      </w:r>
      <w:r>
        <w:t>This included 87 patients with RF- polyarthritis, 28 patients with RF+ polyarthritis, 18 patients with</w:t>
      </w:r>
      <w:r>
        <w:rPr>
          <w:spacing w:val="-5"/>
        </w:rPr>
        <w:t xml:space="preserve"> </w:t>
      </w:r>
      <w:r>
        <w:t xml:space="preserve">extended </w:t>
      </w:r>
      <w:proofErr w:type="spellStart"/>
      <w:r>
        <w:t>oligoarthritis</w:t>
      </w:r>
      <w:proofErr w:type="spellEnd"/>
      <w:r>
        <w:t>, 9 patients with</w:t>
      </w:r>
      <w:r>
        <w:rPr>
          <w:spacing w:val="-5"/>
        </w:rPr>
        <w:t xml:space="preserve"> </w:t>
      </w:r>
      <w:proofErr w:type="spellStart"/>
      <w:r>
        <w:t>sJIA</w:t>
      </w:r>
      <w:proofErr w:type="spellEnd"/>
      <w:r>
        <w:t xml:space="preserve"> and no</w:t>
      </w:r>
      <w:r>
        <w:rPr>
          <w:spacing w:val="-5"/>
        </w:rPr>
        <w:t xml:space="preserve"> </w:t>
      </w:r>
      <w:r>
        <w:t xml:space="preserve">systemic manifestations, 15 patients with </w:t>
      </w:r>
      <w:proofErr w:type="spellStart"/>
      <w:r>
        <w:t>jPsA</w:t>
      </w:r>
      <w:proofErr w:type="spellEnd"/>
      <w:r>
        <w:t xml:space="preserve"> and 16 patients</w:t>
      </w:r>
      <w:r>
        <w:rPr>
          <w:spacing w:val="-1"/>
        </w:rPr>
        <w:t xml:space="preserve"> </w:t>
      </w:r>
      <w:r>
        <w:t>with ERA.</w:t>
      </w:r>
    </w:p>
    <w:p w14:paraId="6696840B" w14:textId="77777777" w:rsidR="001825E2" w:rsidRDefault="000839A5" w:rsidP="00CB00A7">
      <w:pPr>
        <w:pStyle w:val="BodyText"/>
        <w:spacing w:before="256" w:line="235" w:lineRule="auto"/>
        <w:ind w:left="214" w:right="742"/>
        <w:jc w:val="left"/>
      </w:pPr>
      <w:r>
        <w:rPr>
          <w:color w:val="050505"/>
        </w:rPr>
        <w:t>In both the run-in and double-blind phases, approximately one-third of the patients were taking concomitant oral corticosteroids and approximately two-thirds were taking concomitant MTX.</w:t>
      </w:r>
    </w:p>
    <w:p w14:paraId="37547855" w14:textId="77777777" w:rsidR="001825E2" w:rsidRDefault="000839A5" w:rsidP="00CB00A7">
      <w:pPr>
        <w:pStyle w:val="BodyText"/>
        <w:spacing w:before="250"/>
        <w:ind w:left="213" w:right="738"/>
        <w:jc w:val="left"/>
      </w:pPr>
      <w:r>
        <w:rPr>
          <w:color w:val="050505"/>
        </w:rPr>
        <w:t xml:space="preserve">The primary outcome population included children with the </w:t>
      </w:r>
      <w:proofErr w:type="spellStart"/>
      <w:r>
        <w:rPr>
          <w:color w:val="050505"/>
        </w:rPr>
        <w:t>pcJIA</w:t>
      </w:r>
      <w:proofErr w:type="spellEnd"/>
      <w:r>
        <w:rPr>
          <w:color w:val="050505"/>
        </w:rPr>
        <w:t xml:space="preserve"> subtypes RF+</w:t>
      </w:r>
      <w:r>
        <w:rPr>
          <w:color w:val="050505"/>
          <w:spacing w:val="40"/>
        </w:rPr>
        <w:t xml:space="preserve"> </w:t>
      </w:r>
      <w:r>
        <w:rPr>
          <w:color w:val="050505"/>
        </w:rPr>
        <w:t xml:space="preserve">polyarthritis, RF- polyarthritis, </w:t>
      </w:r>
      <w:r>
        <w:t xml:space="preserve">extended </w:t>
      </w:r>
      <w:proofErr w:type="spellStart"/>
      <w:r>
        <w:t>oligoarthritis</w:t>
      </w:r>
      <w:proofErr w:type="spellEnd"/>
      <w:r>
        <w:rPr>
          <w:color w:val="050505"/>
        </w:rPr>
        <w:t xml:space="preserve">, and </w:t>
      </w:r>
      <w:proofErr w:type="spellStart"/>
      <w:r>
        <w:rPr>
          <w:color w:val="050505"/>
        </w:rPr>
        <w:t>sJIA</w:t>
      </w:r>
      <w:proofErr w:type="spellEnd"/>
      <w:r>
        <w:rPr>
          <w:color w:val="050505"/>
        </w:rPr>
        <w:t xml:space="preserve"> without active systemic features.</w:t>
      </w:r>
      <w:r>
        <w:rPr>
          <w:color w:val="050505"/>
          <w:spacing w:val="-2"/>
        </w:rPr>
        <w:t xml:space="preserve"> </w:t>
      </w:r>
      <w:r>
        <w:rPr>
          <w:color w:val="050505"/>
        </w:rPr>
        <w:t>The primary endpoint was</w:t>
      </w:r>
      <w:r>
        <w:rPr>
          <w:color w:val="050505"/>
          <w:spacing w:val="-5"/>
        </w:rPr>
        <w:t xml:space="preserve"> </w:t>
      </w:r>
      <w:r>
        <w:rPr>
          <w:color w:val="050505"/>
        </w:rPr>
        <w:t>the</w:t>
      </w:r>
      <w:r>
        <w:rPr>
          <w:color w:val="050505"/>
          <w:spacing w:val="-3"/>
        </w:rPr>
        <w:t xml:space="preserve"> </w:t>
      </w:r>
      <w:r>
        <w:rPr>
          <w:color w:val="050505"/>
        </w:rPr>
        <w:t>occurrence</w:t>
      </w:r>
      <w:r>
        <w:rPr>
          <w:color w:val="050505"/>
          <w:spacing w:val="-3"/>
        </w:rPr>
        <w:t xml:space="preserve"> </w:t>
      </w:r>
      <w:r>
        <w:rPr>
          <w:color w:val="050505"/>
        </w:rPr>
        <w:t>of disease flare at Week 44</w:t>
      </w:r>
      <w:r>
        <w:rPr>
          <w:color w:val="050505"/>
          <w:spacing w:val="-2"/>
        </w:rPr>
        <w:t xml:space="preserve"> </w:t>
      </w:r>
      <w:r>
        <w:rPr>
          <w:color w:val="050505"/>
        </w:rPr>
        <w:t>relative to</w:t>
      </w:r>
      <w:r>
        <w:rPr>
          <w:color w:val="050505"/>
          <w:spacing w:val="-2"/>
        </w:rPr>
        <w:t xml:space="preserve"> </w:t>
      </w:r>
      <w:r>
        <w:rPr>
          <w:color w:val="050505"/>
        </w:rPr>
        <w:t>the double-blind phase baseline at Week</w:t>
      </w:r>
      <w:r>
        <w:rPr>
          <w:color w:val="050505"/>
          <w:spacing w:val="-3"/>
        </w:rPr>
        <w:t xml:space="preserve"> </w:t>
      </w:r>
      <w:r>
        <w:rPr>
          <w:color w:val="050505"/>
        </w:rPr>
        <w:t xml:space="preserve">18. Disease flare was defined (according to Pediatric Rheumatology Collaborative Study Group (PRCSG)/Pediatric Rheumatology International Trials Organization (PRINTO) Disease Flare criteria) as worsening of ≥30% in 3 or more of the 6 JIA core response variables with no more than 1 of the remaining JIA core response variables improving by ≥30%. The results for subjects with ERA and PsA were </w:t>
      </w:r>
      <w:proofErr w:type="spellStart"/>
      <w:r>
        <w:rPr>
          <w:color w:val="050505"/>
        </w:rPr>
        <w:t>analysed</w:t>
      </w:r>
      <w:proofErr w:type="spellEnd"/>
      <w:r>
        <w:rPr>
          <w:color w:val="050505"/>
        </w:rPr>
        <w:t xml:space="preserve"> </w:t>
      </w:r>
      <w:r>
        <w:rPr>
          <w:color w:val="050505"/>
          <w:spacing w:val="-2"/>
        </w:rPr>
        <w:t>separately.</w:t>
      </w:r>
    </w:p>
    <w:p w14:paraId="3E9922A8" w14:textId="77777777" w:rsidR="001825E2" w:rsidRDefault="000839A5" w:rsidP="00CB00A7">
      <w:pPr>
        <w:pStyle w:val="BodyText"/>
        <w:spacing w:before="231" w:line="242" w:lineRule="auto"/>
        <w:ind w:left="212" w:right="730" w:firstLine="1"/>
        <w:jc w:val="left"/>
      </w:pPr>
      <w:r>
        <w:t xml:space="preserve">A significantly smaller proportion of patients with </w:t>
      </w:r>
      <w:proofErr w:type="spellStart"/>
      <w:r>
        <w:t>pcJIA</w:t>
      </w:r>
      <w:proofErr w:type="spellEnd"/>
      <w:r>
        <w:t xml:space="preserve"> in Study </w:t>
      </w:r>
      <w:proofErr w:type="spellStart"/>
      <w:r>
        <w:t>pcJIA</w:t>
      </w:r>
      <w:proofErr w:type="spellEnd"/>
      <w:r>
        <w:t>-I treated with tofacitinib 5 mg film-coated tablets twice daily or tofacitinib oral solution weight-based equivalent</w:t>
      </w:r>
      <w:r>
        <w:rPr>
          <w:spacing w:val="44"/>
        </w:rPr>
        <w:t xml:space="preserve"> </w:t>
      </w:r>
      <w:r>
        <w:t>twice</w:t>
      </w:r>
      <w:r>
        <w:rPr>
          <w:spacing w:val="36"/>
        </w:rPr>
        <w:t xml:space="preserve"> </w:t>
      </w:r>
      <w:r>
        <w:t>daily</w:t>
      </w:r>
      <w:r>
        <w:rPr>
          <w:spacing w:val="39"/>
        </w:rPr>
        <w:t xml:space="preserve"> </w:t>
      </w:r>
      <w:r>
        <w:t>flared</w:t>
      </w:r>
      <w:r>
        <w:rPr>
          <w:spacing w:val="53"/>
        </w:rPr>
        <w:t xml:space="preserve"> </w:t>
      </w:r>
      <w:r>
        <w:t>by</w:t>
      </w:r>
      <w:r>
        <w:rPr>
          <w:spacing w:val="37"/>
        </w:rPr>
        <w:t xml:space="preserve"> </w:t>
      </w:r>
      <w:r>
        <w:t>Week</w:t>
      </w:r>
      <w:r>
        <w:rPr>
          <w:spacing w:val="-3"/>
        </w:rPr>
        <w:t xml:space="preserve"> </w:t>
      </w:r>
      <w:r>
        <w:t>44</w:t>
      </w:r>
      <w:r>
        <w:rPr>
          <w:spacing w:val="37"/>
        </w:rPr>
        <w:t xml:space="preserve"> </w:t>
      </w:r>
      <w:r>
        <w:t>compared</w:t>
      </w:r>
      <w:r>
        <w:rPr>
          <w:spacing w:val="39"/>
        </w:rPr>
        <w:t xml:space="preserve"> </w:t>
      </w:r>
      <w:r>
        <w:t>with</w:t>
      </w:r>
      <w:r>
        <w:rPr>
          <w:spacing w:val="24"/>
        </w:rPr>
        <w:t xml:space="preserve"> </w:t>
      </w:r>
      <w:r>
        <w:t>patients</w:t>
      </w:r>
      <w:r>
        <w:rPr>
          <w:spacing w:val="20"/>
        </w:rPr>
        <w:t xml:space="preserve"> </w:t>
      </w:r>
      <w:r>
        <w:t>treated</w:t>
      </w:r>
      <w:r>
        <w:rPr>
          <w:spacing w:val="53"/>
        </w:rPr>
        <w:t xml:space="preserve"> </w:t>
      </w:r>
      <w:r>
        <w:t>with</w:t>
      </w:r>
      <w:r>
        <w:rPr>
          <w:spacing w:val="39"/>
        </w:rPr>
        <w:t xml:space="preserve"> </w:t>
      </w:r>
      <w:r>
        <w:t>placebo.</w:t>
      </w:r>
      <w:r>
        <w:rPr>
          <w:spacing w:val="38"/>
        </w:rPr>
        <w:t xml:space="preserve"> </w:t>
      </w:r>
      <w:r>
        <w:rPr>
          <w:spacing w:val="-10"/>
        </w:rPr>
        <w:t>A</w:t>
      </w:r>
    </w:p>
    <w:p w14:paraId="13D34F57" w14:textId="77777777" w:rsidR="001825E2" w:rsidRDefault="001825E2" w:rsidP="00CB00A7">
      <w:pPr>
        <w:spacing w:line="242" w:lineRule="auto"/>
        <w:sectPr w:rsidR="001825E2">
          <w:pgSz w:w="11910" w:h="16850"/>
          <w:pgMar w:top="1360" w:right="700" w:bottom="980" w:left="1220" w:header="0" w:footer="785" w:gutter="0"/>
          <w:cols w:space="720"/>
        </w:sectPr>
      </w:pPr>
    </w:p>
    <w:p w14:paraId="2C977AF3" w14:textId="77777777" w:rsidR="001825E2" w:rsidRDefault="000839A5" w:rsidP="00CB00A7">
      <w:pPr>
        <w:pStyle w:val="BodyText"/>
        <w:spacing w:before="76" w:line="242" w:lineRule="auto"/>
        <w:ind w:left="218" w:right="724" w:firstLine="1"/>
        <w:jc w:val="left"/>
      </w:pPr>
      <w:r>
        <w:lastRenderedPageBreak/>
        <w:t>significantly</w:t>
      </w:r>
      <w:r>
        <w:rPr>
          <w:spacing w:val="-1"/>
        </w:rPr>
        <w:t xml:space="preserve"> </w:t>
      </w:r>
      <w:r>
        <w:t>greater</w:t>
      </w:r>
      <w:r>
        <w:rPr>
          <w:spacing w:val="-6"/>
        </w:rPr>
        <w:t xml:space="preserve"> </w:t>
      </w:r>
      <w:r>
        <w:t>proportion</w:t>
      </w:r>
      <w:r>
        <w:rPr>
          <w:spacing w:val="-1"/>
        </w:rPr>
        <w:t xml:space="preserve"> </w:t>
      </w:r>
      <w:r>
        <w:t>of patients</w:t>
      </w:r>
      <w:r>
        <w:rPr>
          <w:spacing w:val="-5"/>
        </w:rPr>
        <w:t xml:space="preserve"> </w:t>
      </w:r>
      <w:r>
        <w:t>treated with</w:t>
      </w:r>
      <w:r>
        <w:rPr>
          <w:spacing w:val="-1"/>
        </w:rPr>
        <w:t xml:space="preserve"> </w:t>
      </w:r>
      <w:r>
        <w:t>tofacitinib</w:t>
      </w:r>
      <w:r>
        <w:rPr>
          <w:spacing w:val="-1"/>
        </w:rPr>
        <w:t xml:space="preserve"> </w:t>
      </w:r>
      <w:r>
        <w:t>5</w:t>
      </w:r>
      <w:r>
        <w:rPr>
          <w:spacing w:val="-1"/>
        </w:rPr>
        <w:t xml:space="preserve"> </w:t>
      </w:r>
      <w:r>
        <w:t>mg film-coated tablets</w:t>
      </w:r>
      <w:r>
        <w:rPr>
          <w:spacing w:val="-5"/>
        </w:rPr>
        <w:t xml:space="preserve"> </w:t>
      </w:r>
      <w:r>
        <w:t>or tofacitinib oral solution achieved JIA ACR30, 50 and 70 responses at Week</w:t>
      </w:r>
      <w:r>
        <w:rPr>
          <w:spacing w:val="-4"/>
        </w:rPr>
        <w:t xml:space="preserve"> </w:t>
      </w:r>
      <w:r>
        <w:t>44 compared to patients treated with placebo (Table 17).</w:t>
      </w:r>
    </w:p>
    <w:p w14:paraId="4A54748C" w14:textId="77777777" w:rsidR="001825E2" w:rsidRDefault="000839A5" w:rsidP="00CB00A7">
      <w:pPr>
        <w:pStyle w:val="Heading3"/>
        <w:spacing w:before="229" w:line="247" w:lineRule="auto"/>
        <w:ind w:left="1238" w:right="745" w:hanging="1020"/>
      </w:pPr>
      <w:r>
        <w:t>Table</w:t>
      </w:r>
      <w:r>
        <w:rPr>
          <w:spacing w:val="-5"/>
        </w:rPr>
        <w:t xml:space="preserve"> </w:t>
      </w:r>
      <w:r>
        <w:t>17:</w:t>
      </w:r>
      <w:r>
        <w:rPr>
          <w:spacing w:val="-8"/>
        </w:rPr>
        <w:t xml:space="preserve"> </w:t>
      </w:r>
      <w:r>
        <w:t>Primary</w:t>
      </w:r>
      <w:r>
        <w:rPr>
          <w:spacing w:val="-3"/>
        </w:rPr>
        <w:t xml:space="preserve"> </w:t>
      </w:r>
      <w:r>
        <w:t>and</w:t>
      </w:r>
      <w:r>
        <w:rPr>
          <w:spacing w:val="-3"/>
        </w:rPr>
        <w:t xml:space="preserve"> </w:t>
      </w:r>
      <w:r>
        <w:t>secondary efficacy</w:t>
      </w:r>
      <w:r>
        <w:rPr>
          <w:spacing w:val="-3"/>
        </w:rPr>
        <w:t xml:space="preserve"> </w:t>
      </w:r>
      <w:r>
        <w:t>endpoints</w:t>
      </w:r>
      <w:r>
        <w:rPr>
          <w:spacing w:val="-7"/>
        </w:rPr>
        <w:t xml:space="preserve"> </w:t>
      </w:r>
      <w:r>
        <w:t>at</w:t>
      </w:r>
      <w:r>
        <w:rPr>
          <w:spacing w:val="-8"/>
        </w:rPr>
        <w:t xml:space="preserve"> </w:t>
      </w:r>
      <w:r>
        <w:t>Week</w:t>
      </w:r>
      <w:r>
        <w:rPr>
          <w:spacing w:val="-3"/>
        </w:rPr>
        <w:t xml:space="preserve"> </w:t>
      </w:r>
      <w:r>
        <w:t>44*</w:t>
      </w:r>
      <w:r>
        <w:rPr>
          <w:spacing w:val="-3"/>
        </w:rPr>
        <w:t xml:space="preserve"> </w:t>
      </w:r>
      <w:r>
        <w:t>in</w:t>
      </w:r>
      <w:r>
        <w:rPr>
          <w:spacing w:val="-3"/>
        </w:rPr>
        <w:t xml:space="preserve"> </w:t>
      </w:r>
      <w:r>
        <w:t>patients</w:t>
      </w:r>
      <w:r>
        <w:rPr>
          <w:spacing w:val="-7"/>
        </w:rPr>
        <w:t xml:space="preserve"> </w:t>
      </w:r>
      <w:r>
        <w:t>with</w:t>
      </w:r>
      <w:r>
        <w:rPr>
          <w:spacing w:val="-3"/>
        </w:rPr>
        <w:t xml:space="preserve"> </w:t>
      </w:r>
      <w:proofErr w:type="spellStart"/>
      <w:r>
        <w:t>pcJIA</w:t>
      </w:r>
      <w:proofErr w:type="spellEnd"/>
      <w:r>
        <w:t xml:space="preserve"> in Study </w:t>
      </w:r>
      <w:proofErr w:type="spellStart"/>
      <w:r>
        <w:t>pcJIA</w:t>
      </w:r>
      <w:proofErr w:type="spellEnd"/>
      <w:r>
        <w:t>-I (Type I error-controlled)</w:t>
      </w:r>
    </w:p>
    <w:p w14:paraId="25080883" w14:textId="77777777" w:rsidR="001825E2" w:rsidRDefault="001825E2" w:rsidP="00CB00A7">
      <w:pPr>
        <w:pStyle w:val="BodyText"/>
        <w:spacing w:before="1"/>
        <w:jc w:val="left"/>
        <w:rPr>
          <w:b/>
          <w:sz w:val="9"/>
        </w:rPr>
      </w:pPr>
    </w:p>
    <w:tbl>
      <w:tblPr>
        <w:tblW w:w="0" w:type="auto"/>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60"/>
        <w:gridCol w:w="1905"/>
        <w:gridCol w:w="675"/>
        <w:gridCol w:w="1620"/>
        <w:gridCol w:w="1980"/>
        <w:gridCol w:w="855"/>
      </w:tblGrid>
      <w:tr w:rsidR="001825E2" w14:paraId="3BC257DD" w14:textId="77777777">
        <w:trPr>
          <w:trHeight w:val="495"/>
        </w:trPr>
        <w:tc>
          <w:tcPr>
            <w:tcW w:w="2160" w:type="dxa"/>
          </w:tcPr>
          <w:p w14:paraId="403B4169" w14:textId="77777777" w:rsidR="001825E2" w:rsidRDefault="000839A5" w:rsidP="00CB00A7">
            <w:pPr>
              <w:pStyle w:val="TableParagraph"/>
              <w:spacing w:before="137"/>
              <w:ind w:left="337"/>
              <w:jc w:val="left"/>
              <w:rPr>
                <w:b/>
                <w:sz w:val="19"/>
              </w:rPr>
            </w:pPr>
            <w:r>
              <w:rPr>
                <w:b/>
                <w:sz w:val="19"/>
              </w:rPr>
              <w:t>Primary</w:t>
            </w:r>
            <w:r>
              <w:rPr>
                <w:b/>
                <w:spacing w:val="22"/>
                <w:sz w:val="19"/>
              </w:rPr>
              <w:t xml:space="preserve"> </w:t>
            </w:r>
            <w:r>
              <w:rPr>
                <w:b/>
                <w:spacing w:val="-2"/>
                <w:sz w:val="19"/>
              </w:rPr>
              <w:t>endpoint</w:t>
            </w:r>
          </w:p>
        </w:tc>
        <w:tc>
          <w:tcPr>
            <w:tcW w:w="1905" w:type="dxa"/>
          </w:tcPr>
          <w:p w14:paraId="3C493F59" w14:textId="77777777" w:rsidR="001825E2" w:rsidRDefault="000839A5" w:rsidP="00CB00A7">
            <w:pPr>
              <w:pStyle w:val="TableParagraph"/>
              <w:spacing w:before="137"/>
              <w:ind w:left="217"/>
              <w:jc w:val="left"/>
              <w:rPr>
                <w:b/>
                <w:sz w:val="19"/>
              </w:rPr>
            </w:pPr>
            <w:r>
              <w:rPr>
                <w:b/>
                <w:sz w:val="19"/>
              </w:rPr>
              <w:t>Treatment</w:t>
            </w:r>
            <w:r>
              <w:rPr>
                <w:b/>
                <w:spacing w:val="37"/>
                <w:sz w:val="19"/>
              </w:rPr>
              <w:t xml:space="preserve"> </w:t>
            </w:r>
            <w:r>
              <w:rPr>
                <w:b/>
                <w:spacing w:val="-2"/>
                <w:sz w:val="19"/>
              </w:rPr>
              <w:t>group</w:t>
            </w:r>
          </w:p>
        </w:tc>
        <w:tc>
          <w:tcPr>
            <w:tcW w:w="675" w:type="dxa"/>
          </w:tcPr>
          <w:p w14:paraId="611009E1" w14:textId="77777777" w:rsidR="001825E2" w:rsidRDefault="000839A5" w:rsidP="00CB00A7">
            <w:pPr>
              <w:pStyle w:val="TableParagraph"/>
              <w:spacing w:before="137"/>
              <w:ind w:left="35"/>
              <w:jc w:val="left"/>
              <w:rPr>
                <w:b/>
                <w:sz w:val="19"/>
              </w:rPr>
            </w:pPr>
            <w:r>
              <w:rPr>
                <w:b/>
                <w:spacing w:val="-10"/>
                <w:sz w:val="19"/>
              </w:rPr>
              <w:t>N</w:t>
            </w:r>
          </w:p>
        </w:tc>
        <w:tc>
          <w:tcPr>
            <w:tcW w:w="1620" w:type="dxa"/>
          </w:tcPr>
          <w:p w14:paraId="3F57E0B1" w14:textId="77777777" w:rsidR="001825E2" w:rsidRDefault="000839A5" w:rsidP="00CB00A7">
            <w:pPr>
              <w:pStyle w:val="TableParagraph"/>
              <w:spacing w:before="137"/>
              <w:ind w:left="6"/>
              <w:jc w:val="left"/>
              <w:rPr>
                <w:b/>
                <w:sz w:val="19"/>
              </w:rPr>
            </w:pPr>
            <w:r>
              <w:rPr>
                <w:b/>
                <w:sz w:val="19"/>
              </w:rPr>
              <w:t>Occurrence</w:t>
            </w:r>
            <w:r>
              <w:rPr>
                <w:b/>
                <w:spacing w:val="41"/>
                <w:sz w:val="19"/>
              </w:rPr>
              <w:t xml:space="preserve"> </w:t>
            </w:r>
            <w:r>
              <w:rPr>
                <w:b/>
                <w:spacing w:val="-4"/>
                <w:sz w:val="19"/>
              </w:rPr>
              <w:t>rate</w:t>
            </w:r>
          </w:p>
        </w:tc>
        <w:tc>
          <w:tcPr>
            <w:tcW w:w="1980" w:type="dxa"/>
          </w:tcPr>
          <w:p w14:paraId="2953CBFB" w14:textId="77777777" w:rsidR="001825E2" w:rsidRDefault="000839A5" w:rsidP="00CB00A7">
            <w:pPr>
              <w:pStyle w:val="TableParagraph"/>
              <w:spacing w:line="240" w:lineRule="exact"/>
              <w:ind w:left="247" w:hanging="135"/>
              <w:jc w:val="left"/>
              <w:rPr>
                <w:b/>
                <w:sz w:val="19"/>
              </w:rPr>
            </w:pPr>
            <w:r>
              <w:rPr>
                <w:b/>
                <w:sz w:val="19"/>
              </w:rPr>
              <w:t>Difference (%) from placebo (95% CI)</w:t>
            </w:r>
          </w:p>
        </w:tc>
        <w:tc>
          <w:tcPr>
            <w:tcW w:w="855" w:type="dxa"/>
          </w:tcPr>
          <w:p w14:paraId="0EC52252" w14:textId="77777777" w:rsidR="001825E2" w:rsidRDefault="000839A5" w:rsidP="00CB00A7">
            <w:pPr>
              <w:pStyle w:val="TableParagraph"/>
              <w:spacing w:before="137"/>
              <w:ind w:left="11"/>
              <w:jc w:val="left"/>
              <w:rPr>
                <w:b/>
                <w:sz w:val="19"/>
              </w:rPr>
            </w:pPr>
            <w:r>
              <w:rPr>
                <w:b/>
                <w:spacing w:val="-4"/>
                <w:sz w:val="19"/>
              </w:rPr>
              <w:t>p-</w:t>
            </w:r>
            <w:r>
              <w:rPr>
                <w:b/>
                <w:spacing w:val="-2"/>
                <w:sz w:val="19"/>
              </w:rPr>
              <w:t>value</w:t>
            </w:r>
          </w:p>
        </w:tc>
      </w:tr>
      <w:tr w:rsidR="001825E2" w14:paraId="184CB95F" w14:textId="77777777">
        <w:trPr>
          <w:trHeight w:val="256"/>
        </w:trPr>
        <w:tc>
          <w:tcPr>
            <w:tcW w:w="2160" w:type="dxa"/>
            <w:tcBorders>
              <w:bottom w:val="nil"/>
            </w:tcBorders>
          </w:tcPr>
          <w:p w14:paraId="29B19C58" w14:textId="77777777" w:rsidR="001825E2" w:rsidRDefault="000839A5" w:rsidP="00CB00A7">
            <w:pPr>
              <w:pStyle w:val="TableParagraph"/>
              <w:spacing w:before="17"/>
              <w:ind w:left="127"/>
              <w:jc w:val="left"/>
              <w:rPr>
                <w:sz w:val="19"/>
              </w:rPr>
            </w:pPr>
            <w:r>
              <w:rPr>
                <w:sz w:val="19"/>
              </w:rPr>
              <w:t>Occurrence</w:t>
            </w:r>
            <w:r>
              <w:rPr>
                <w:spacing w:val="38"/>
                <w:sz w:val="19"/>
              </w:rPr>
              <w:t xml:space="preserve"> </w:t>
            </w:r>
            <w:r>
              <w:rPr>
                <w:sz w:val="19"/>
              </w:rPr>
              <w:t>of</w:t>
            </w:r>
            <w:r>
              <w:rPr>
                <w:spacing w:val="6"/>
                <w:sz w:val="19"/>
              </w:rPr>
              <w:t xml:space="preserve"> </w:t>
            </w:r>
            <w:r>
              <w:rPr>
                <w:spacing w:val="-2"/>
                <w:sz w:val="19"/>
              </w:rPr>
              <w:t>disease</w:t>
            </w:r>
          </w:p>
        </w:tc>
        <w:tc>
          <w:tcPr>
            <w:tcW w:w="1905" w:type="dxa"/>
            <w:tcBorders>
              <w:bottom w:val="nil"/>
            </w:tcBorders>
          </w:tcPr>
          <w:p w14:paraId="1DC79464" w14:textId="77777777" w:rsidR="001825E2" w:rsidRDefault="000839A5" w:rsidP="00CB00A7">
            <w:pPr>
              <w:pStyle w:val="TableParagraph"/>
              <w:spacing w:before="32" w:line="204" w:lineRule="exact"/>
              <w:jc w:val="left"/>
              <w:rPr>
                <w:sz w:val="19"/>
              </w:rPr>
            </w:pPr>
            <w:r>
              <w:rPr>
                <w:sz w:val="19"/>
              </w:rPr>
              <w:t>Tofacitinib</w:t>
            </w:r>
            <w:r>
              <w:rPr>
                <w:spacing w:val="25"/>
                <w:sz w:val="19"/>
              </w:rPr>
              <w:t xml:space="preserve"> </w:t>
            </w:r>
            <w:r>
              <w:rPr>
                <w:sz w:val="19"/>
              </w:rPr>
              <w:t>5</w:t>
            </w:r>
            <w:r>
              <w:rPr>
                <w:spacing w:val="26"/>
                <w:sz w:val="19"/>
              </w:rPr>
              <w:t xml:space="preserve"> </w:t>
            </w:r>
            <w:r>
              <w:rPr>
                <w:sz w:val="19"/>
              </w:rPr>
              <w:t>mg</w:t>
            </w:r>
            <w:r>
              <w:rPr>
                <w:spacing w:val="5"/>
                <w:sz w:val="19"/>
              </w:rPr>
              <w:t xml:space="preserve"> </w:t>
            </w:r>
            <w:r>
              <w:rPr>
                <w:spacing w:val="-5"/>
                <w:sz w:val="19"/>
              </w:rPr>
              <w:t>BD</w:t>
            </w:r>
          </w:p>
        </w:tc>
        <w:tc>
          <w:tcPr>
            <w:tcW w:w="675" w:type="dxa"/>
            <w:tcBorders>
              <w:bottom w:val="nil"/>
            </w:tcBorders>
          </w:tcPr>
          <w:p w14:paraId="0C94918E" w14:textId="77777777" w:rsidR="001825E2" w:rsidRDefault="000839A5" w:rsidP="00CB00A7">
            <w:pPr>
              <w:pStyle w:val="TableParagraph"/>
              <w:spacing w:before="32" w:line="204" w:lineRule="exact"/>
              <w:ind w:left="35" w:right="28"/>
              <w:jc w:val="left"/>
              <w:rPr>
                <w:sz w:val="19"/>
              </w:rPr>
            </w:pPr>
            <w:r>
              <w:rPr>
                <w:spacing w:val="-5"/>
                <w:sz w:val="19"/>
              </w:rPr>
              <w:t>72</w:t>
            </w:r>
          </w:p>
        </w:tc>
        <w:tc>
          <w:tcPr>
            <w:tcW w:w="1620" w:type="dxa"/>
            <w:tcBorders>
              <w:bottom w:val="nil"/>
            </w:tcBorders>
          </w:tcPr>
          <w:p w14:paraId="3AA0A42B" w14:textId="77777777" w:rsidR="001825E2" w:rsidRDefault="000839A5" w:rsidP="00CB00A7">
            <w:pPr>
              <w:pStyle w:val="TableParagraph"/>
              <w:spacing w:before="32" w:line="204" w:lineRule="exact"/>
              <w:ind w:left="12"/>
              <w:jc w:val="left"/>
              <w:rPr>
                <w:sz w:val="19"/>
              </w:rPr>
            </w:pPr>
            <w:r>
              <w:rPr>
                <w:spacing w:val="-5"/>
                <w:sz w:val="19"/>
              </w:rPr>
              <w:t>29%</w:t>
            </w:r>
          </w:p>
        </w:tc>
        <w:tc>
          <w:tcPr>
            <w:tcW w:w="1980" w:type="dxa"/>
            <w:tcBorders>
              <w:bottom w:val="nil"/>
            </w:tcBorders>
          </w:tcPr>
          <w:p w14:paraId="3FC6C636" w14:textId="77777777" w:rsidR="001825E2" w:rsidRDefault="000839A5" w:rsidP="00CB00A7">
            <w:pPr>
              <w:pStyle w:val="TableParagraph"/>
              <w:spacing w:before="32" w:line="204" w:lineRule="exact"/>
              <w:ind w:left="44" w:right="25"/>
              <w:jc w:val="left"/>
              <w:rPr>
                <w:sz w:val="19"/>
              </w:rPr>
            </w:pPr>
            <w:r>
              <w:rPr>
                <w:sz w:val="19"/>
              </w:rPr>
              <w:t>-23.7</w:t>
            </w:r>
            <w:r>
              <w:rPr>
                <w:spacing w:val="17"/>
                <w:sz w:val="19"/>
              </w:rPr>
              <w:t xml:space="preserve"> </w:t>
            </w:r>
            <w:r>
              <w:rPr>
                <w:sz w:val="19"/>
              </w:rPr>
              <w:t>(-39.4,</w:t>
            </w:r>
            <w:r>
              <w:rPr>
                <w:spacing w:val="22"/>
                <w:sz w:val="19"/>
              </w:rPr>
              <w:t xml:space="preserve"> </w:t>
            </w:r>
            <w:r>
              <w:rPr>
                <w:sz w:val="19"/>
              </w:rPr>
              <w:t>-</w:t>
            </w:r>
            <w:r>
              <w:rPr>
                <w:spacing w:val="-4"/>
                <w:sz w:val="19"/>
              </w:rPr>
              <w:t>8.0)</w:t>
            </w:r>
          </w:p>
        </w:tc>
        <w:tc>
          <w:tcPr>
            <w:tcW w:w="855" w:type="dxa"/>
            <w:tcBorders>
              <w:bottom w:val="nil"/>
            </w:tcBorders>
          </w:tcPr>
          <w:p w14:paraId="47AECF1F" w14:textId="77777777" w:rsidR="001825E2" w:rsidRDefault="000839A5" w:rsidP="00CB00A7">
            <w:pPr>
              <w:pStyle w:val="TableParagraph"/>
              <w:spacing w:before="32" w:line="204" w:lineRule="exact"/>
              <w:ind w:left="11" w:right="4"/>
              <w:jc w:val="left"/>
              <w:rPr>
                <w:sz w:val="19"/>
              </w:rPr>
            </w:pPr>
            <w:r>
              <w:rPr>
                <w:spacing w:val="-2"/>
                <w:sz w:val="19"/>
              </w:rPr>
              <w:t>0.0031</w:t>
            </w:r>
          </w:p>
        </w:tc>
      </w:tr>
      <w:tr w:rsidR="001825E2" w14:paraId="2B215515" w14:textId="77777777">
        <w:trPr>
          <w:trHeight w:val="283"/>
        </w:trPr>
        <w:tc>
          <w:tcPr>
            <w:tcW w:w="2160" w:type="dxa"/>
            <w:tcBorders>
              <w:top w:val="nil"/>
            </w:tcBorders>
          </w:tcPr>
          <w:p w14:paraId="52703492" w14:textId="77777777" w:rsidR="001825E2" w:rsidRDefault="000839A5" w:rsidP="00CB00A7">
            <w:pPr>
              <w:pStyle w:val="TableParagraph"/>
              <w:spacing w:before="1"/>
              <w:ind w:left="127"/>
              <w:jc w:val="left"/>
              <w:rPr>
                <w:sz w:val="19"/>
              </w:rPr>
            </w:pPr>
            <w:proofErr w:type="spellStart"/>
            <w:r>
              <w:rPr>
                <w:sz w:val="19"/>
              </w:rPr>
              <w:t>fla</w:t>
            </w:r>
            <w:proofErr w:type="spellEnd"/>
            <w:r>
              <w:rPr>
                <w:spacing w:val="-26"/>
                <w:sz w:val="19"/>
              </w:rPr>
              <w:t xml:space="preserve"> </w:t>
            </w:r>
            <w:r>
              <w:rPr>
                <w:spacing w:val="-5"/>
                <w:sz w:val="19"/>
              </w:rPr>
              <w:t>re</w:t>
            </w:r>
          </w:p>
        </w:tc>
        <w:tc>
          <w:tcPr>
            <w:tcW w:w="1905" w:type="dxa"/>
            <w:tcBorders>
              <w:top w:val="nil"/>
            </w:tcBorders>
          </w:tcPr>
          <w:p w14:paraId="359DB4AF" w14:textId="77777777" w:rsidR="001825E2" w:rsidRDefault="000839A5" w:rsidP="00CB00A7">
            <w:pPr>
              <w:pStyle w:val="TableParagraph"/>
              <w:spacing w:before="46" w:line="217" w:lineRule="exact"/>
              <w:jc w:val="left"/>
              <w:rPr>
                <w:sz w:val="19"/>
              </w:rPr>
            </w:pPr>
            <w:r>
              <w:rPr>
                <w:spacing w:val="-5"/>
                <w:sz w:val="19"/>
              </w:rPr>
              <w:t>Pla</w:t>
            </w:r>
            <w:r>
              <w:rPr>
                <w:spacing w:val="-25"/>
                <w:sz w:val="19"/>
              </w:rPr>
              <w:t xml:space="preserve"> </w:t>
            </w:r>
            <w:proofErr w:type="spellStart"/>
            <w:r>
              <w:rPr>
                <w:spacing w:val="-4"/>
                <w:sz w:val="19"/>
              </w:rPr>
              <w:t>cebo</w:t>
            </w:r>
            <w:proofErr w:type="spellEnd"/>
          </w:p>
        </w:tc>
        <w:tc>
          <w:tcPr>
            <w:tcW w:w="675" w:type="dxa"/>
            <w:tcBorders>
              <w:top w:val="nil"/>
            </w:tcBorders>
          </w:tcPr>
          <w:p w14:paraId="7E2969C6" w14:textId="77777777" w:rsidR="001825E2" w:rsidRDefault="000839A5" w:rsidP="00CB00A7">
            <w:pPr>
              <w:pStyle w:val="TableParagraph"/>
              <w:spacing w:before="46" w:line="217" w:lineRule="exact"/>
              <w:ind w:left="35" w:right="28"/>
              <w:jc w:val="left"/>
              <w:rPr>
                <w:sz w:val="19"/>
              </w:rPr>
            </w:pPr>
            <w:r>
              <w:rPr>
                <w:spacing w:val="-5"/>
                <w:sz w:val="19"/>
              </w:rPr>
              <w:t>70</w:t>
            </w:r>
          </w:p>
        </w:tc>
        <w:tc>
          <w:tcPr>
            <w:tcW w:w="1620" w:type="dxa"/>
            <w:tcBorders>
              <w:top w:val="nil"/>
            </w:tcBorders>
          </w:tcPr>
          <w:p w14:paraId="15CBC6B8" w14:textId="77777777" w:rsidR="001825E2" w:rsidRDefault="000839A5" w:rsidP="00CB00A7">
            <w:pPr>
              <w:pStyle w:val="TableParagraph"/>
              <w:spacing w:before="31"/>
              <w:ind w:left="12"/>
              <w:jc w:val="left"/>
              <w:rPr>
                <w:sz w:val="19"/>
              </w:rPr>
            </w:pPr>
            <w:r>
              <w:rPr>
                <w:spacing w:val="-5"/>
                <w:sz w:val="19"/>
              </w:rPr>
              <w:t>53%</w:t>
            </w:r>
          </w:p>
        </w:tc>
        <w:tc>
          <w:tcPr>
            <w:tcW w:w="1980" w:type="dxa"/>
            <w:tcBorders>
              <w:top w:val="nil"/>
            </w:tcBorders>
          </w:tcPr>
          <w:p w14:paraId="45934900" w14:textId="77777777" w:rsidR="001825E2" w:rsidRDefault="001825E2" w:rsidP="00CB00A7">
            <w:pPr>
              <w:pStyle w:val="TableParagraph"/>
              <w:ind w:left="0"/>
              <w:jc w:val="left"/>
              <w:rPr>
                <w:sz w:val="20"/>
              </w:rPr>
            </w:pPr>
          </w:p>
        </w:tc>
        <w:tc>
          <w:tcPr>
            <w:tcW w:w="855" w:type="dxa"/>
            <w:tcBorders>
              <w:top w:val="nil"/>
            </w:tcBorders>
          </w:tcPr>
          <w:p w14:paraId="3E645BC4" w14:textId="77777777" w:rsidR="001825E2" w:rsidRDefault="001825E2" w:rsidP="00CB00A7">
            <w:pPr>
              <w:pStyle w:val="TableParagraph"/>
              <w:ind w:left="0"/>
              <w:jc w:val="left"/>
              <w:rPr>
                <w:sz w:val="20"/>
              </w:rPr>
            </w:pPr>
          </w:p>
        </w:tc>
      </w:tr>
      <w:tr w:rsidR="001825E2" w14:paraId="760E03ED" w14:textId="77777777">
        <w:trPr>
          <w:trHeight w:val="494"/>
        </w:trPr>
        <w:tc>
          <w:tcPr>
            <w:tcW w:w="2160" w:type="dxa"/>
          </w:tcPr>
          <w:p w14:paraId="38C9C92A" w14:textId="77777777" w:rsidR="001825E2" w:rsidRDefault="000839A5" w:rsidP="00CB00A7">
            <w:pPr>
              <w:pStyle w:val="TableParagraph"/>
              <w:spacing w:before="152"/>
              <w:ind w:left="0" w:right="169"/>
              <w:jc w:val="left"/>
              <w:rPr>
                <w:b/>
                <w:sz w:val="19"/>
              </w:rPr>
            </w:pPr>
            <w:r>
              <w:rPr>
                <w:b/>
                <w:sz w:val="19"/>
              </w:rPr>
              <w:t>Secondary</w:t>
            </w:r>
            <w:r>
              <w:rPr>
                <w:b/>
                <w:spacing w:val="32"/>
                <w:sz w:val="19"/>
              </w:rPr>
              <w:t xml:space="preserve"> </w:t>
            </w:r>
            <w:r>
              <w:rPr>
                <w:b/>
                <w:spacing w:val="-2"/>
                <w:sz w:val="19"/>
              </w:rPr>
              <w:t>endpoints</w:t>
            </w:r>
          </w:p>
        </w:tc>
        <w:tc>
          <w:tcPr>
            <w:tcW w:w="1905" w:type="dxa"/>
          </w:tcPr>
          <w:p w14:paraId="3037357D" w14:textId="77777777" w:rsidR="001825E2" w:rsidRDefault="000839A5" w:rsidP="00CB00A7">
            <w:pPr>
              <w:pStyle w:val="TableParagraph"/>
              <w:spacing w:before="152"/>
              <w:ind w:left="217"/>
              <w:jc w:val="left"/>
              <w:rPr>
                <w:b/>
                <w:sz w:val="19"/>
              </w:rPr>
            </w:pPr>
            <w:r>
              <w:rPr>
                <w:b/>
                <w:sz w:val="19"/>
              </w:rPr>
              <w:t>Treatment</w:t>
            </w:r>
            <w:r>
              <w:rPr>
                <w:b/>
                <w:spacing w:val="37"/>
                <w:sz w:val="19"/>
              </w:rPr>
              <w:t xml:space="preserve"> </w:t>
            </w:r>
            <w:r>
              <w:rPr>
                <w:b/>
                <w:spacing w:val="-2"/>
                <w:sz w:val="19"/>
              </w:rPr>
              <w:t>group</w:t>
            </w:r>
          </w:p>
        </w:tc>
        <w:tc>
          <w:tcPr>
            <w:tcW w:w="675" w:type="dxa"/>
          </w:tcPr>
          <w:p w14:paraId="510BBF18" w14:textId="77777777" w:rsidR="001825E2" w:rsidRDefault="001825E2" w:rsidP="00CB00A7">
            <w:pPr>
              <w:pStyle w:val="TableParagraph"/>
              <w:ind w:left="0"/>
              <w:jc w:val="left"/>
              <w:rPr>
                <w:sz w:val="20"/>
              </w:rPr>
            </w:pPr>
          </w:p>
        </w:tc>
        <w:tc>
          <w:tcPr>
            <w:tcW w:w="1620" w:type="dxa"/>
          </w:tcPr>
          <w:p w14:paraId="4AAEEEE2" w14:textId="77777777" w:rsidR="001825E2" w:rsidRDefault="000839A5" w:rsidP="00CB00A7">
            <w:pPr>
              <w:pStyle w:val="TableParagraph"/>
              <w:spacing w:before="152"/>
              <w:ind w:left="0" w:right="6"/>
              <w:jc w:val="left"/>
              <w:rPr>
                <w:b/>
                <w:sz w:val="19"/>
              </w:rPr>
            </w:pPr>
            <w:r>
              <w:rPr>
                <w:b/>
                <w:sz w:val="19"/>
              </w:rPr>
              <w:t>Response</w:t>
            </w:r>
            <w:r>
              <w:rPr>
                <w:b/>
                <w:spacing w:val="39"/>
                <w:sz w:val="19"/>
              </w:rPr>
              <w:t xml:space="preserve"> </w:t>
            </w:r>
            <w:r>
              <w:rPr>
                <w:b/>
                <w:spacing w:val="-4"/>
                <w:sz w:val="19"/>
              </w:rPr>
              <w:t>rate</w:t>
            </w:r>
          </w:p>
        </w:tc>
        <w:tc>
          <w:tcPr>
            <w:tcW w:w="1980" w:type="dxa"/>
          </w:tcPr>
          <w:p w14:paraId="340F34E9" w14:textId="77777777" w:rsidR="001825E2" w:rsidRDefault="000839A5" w:rsidP="00CB00A7">
            <w:pPr>
              <w:pStyle w:val="TableParagraph"/>
              <w:spacing w:line="240" w:lineRule="atLeast"/>
              <w:ind w:left="247" w:hanging="135"/>
              <w:jc w:val="left"/>
              <w:rPr>
                <w:b/>
                <w:sz w:val="19"/>
              </w:rPr>
            </w:pPr>
            <w:r>
              <w:rPr>
                <w:b/>
                <w:sz w:val="19"/>
              </w:rPr>
              <w:t>Difference (%) from placebo (95% CI)</w:t>
            </w:r>
          </w:p>
        </w:tc>
        <w:tc>
          <w:tcPr>
            <w:tcW w:w="855" w:type="dxa"/>
          </w:tcPr>
          <w:p w14:paraId="466D9C32" w14:textId="77777777" w:rsidR="001825E2" w:rsidRDefault="000839A5" w:rsidP="00CB00A7">
            <w:pPr>
              <w:pStyle w:val="TableParagraph"/>
              <w:spacing w:before="152"/>
              <w:ind w:left="11" w:right="3"/>
              <w:jc w:val="left"/>
              <w:rPr>
                <w:b/>
                <w:sz w:val="19"/>
              </w:rPr>
            </w:pPr>
            <w:r>
              <w:rPr>
                <w:b/>
                <w:spacing w:val="-4"/>
                <w:sz w:val="19"/>
              </w:rPr>
              <w:t>p-</w:t>
            </w:r>
            <w:r>
              <w:rPr>
                <w:b/>
                <w:spacing w:val="-2"/>
                <w:sz w:val="19"/>
              </w:rPr>
              <w:t>value</w:t>
            </w:r>
          </w:p>
        </w:tc>
      </w:tr>
      <w:tr w:rsidR="001825E2" w14:paraId="716FD05C" w14:textId="77777777">
        <w:trPr>
          <w:trHeight w:val="279"/>
        </w:trPr>
        <w:tc>
          <w:tcPr>
            <w:tcW w:w="2160" w:type="dxa"/>
            <w:tcBorders>
              <w:bottom w:val="nil"/>
            </w:tcBorders>
          </w:tcPr>
          <w:p w14:paraId="12B98C2B" w14:textId="77777777" w:rsidR="001825E2" w:rsidRDefault="000839A5" w:rsidP="00CB00A7">
            <w:pPr>
              <w:pStyle w:val="TableParagraph"/>
              <w:spacing w:before="32"/>
              <w:ind w:left="127"/>
              <w:jc w:val="left"/>
              <w:rPr>
                <w:sz w:val="19"/>
              </w:rPr>
            </w:pPr>
            <w:r>
              <w:rPr>
                <w:sz w:val="19"/>
              </w:rPr>
              <w:t>JIA</w:t>
            </w:r>
            <w:r>
              <w:rPr>
                <w:spacing w:val="20"/>
                <w:sz w:val="19"/>
              </w:rPr>
              <w:t xml:space="preserve"> </w:t>
            </w:r>
            <w:r>
              <w:rPr>
                <w:spacing w:val="-2"/>
                <w:sz w:val="19"/>
              </w:rPr>
              <w:t>ACR30</w:t>
            </w:r>
          </w:p>
        </w:tc>
        <w:tc>
          <w:tcPr>
            <w:tcW w:w="1905" w:type="dxa"/>
            <w:tcBorders>
              <w:bottom w:val="nil"/>
            </w:tcBorders>
          </w:tcPr>
          <w:p w14:paraId="734304D7" w14:textId="77777777" w:rsidR="001825E2" w:rsidRDefault="000839A5" w:rsidP="00CB00A7">
            <w:pPr>
              <w:pStyle w:val="TableParagraph"/>
              <w:spacing w:before="32"/>
              <w:jc w:val="left"/>
              <w:rPr>
                <w:sz w:val="19"/>
              </w:rPr>
            </w:pPr>
            <w:r>
              <w:rPr>
                <w:sz w:val="19"/>
              </w:rPr>
              <w:t>Tofacitinib</w:t>
            </w:r>
            <w:r>
              <w:rPr>
                <w:spacing w:val="40"/>
                <w:sz w:val="19"/>
              </w:rPr>
              <w:t xml:space="preserve"> </w:t>
            </w:r>
            <w:r>
              <w:rPr>
                <w:sz w:val="19"/>
              </w:rPr>
              <w:t>5mg</w:t>
            </w:r>
            <w:r>
              <w:rPr>
                <w:spacing w:val="17"/>
                <w:sz w:val="19"/>
              </w:rPr>
              <w:t xml:space="preserve"> </w:t>
            </w:r>
            <w:r>
              <w:rPr>
                <w:spacing w:val="-5"/>
                <w:sz w:val="19"/>
              </w:rPr>
              <w:t>BD</w:t>
            </w:r>
          </w:p>
        </w:tc>
        <w:tc>
          <w:tcPr>
            <w:tcW w:w="675" w:type="dxa"/>
            <w:tcBorders>
              <w:bottom w:val="nil"/>
            </w:tcBorders>
          </w:tcPr>
          <w:p w14:paraId="6D1DA749" w14:textId="77777777" w:rsidR="001825E2" w:rsidRDefault="000839A5" w:rsidP="00CB00A7">
            <w:pPr>
              <w:pStyle w:val="TableParagraph"/>
              <w:spacing w:before="32"/>
              <w:ind w:left="35" w:right="28"/>
              <w:jc w:val="left"/>
              <w:rPr>
                <w:sz w:val="19"/>
              </w:rPr>
            </w:pPr>
            <w:r>
              <w:rPr>
                <w:spacing w:val="-5"/>
                <w:sz w:val="19"/>
              </w:rPr>
              <w:t>72</w:t>
            </w:r>
          </w:p>
        </w:tc>
        <w:tc>
          <w:tcPr>
            <w:tcW w:w="1620" w:type="dxa"/>
            <w:tcBorders>
              <w:bottom w:val="nil"/>
            </w:tcBorders>
          </w:tcPr>
          <w:p w14:paraId="25A78D0A" w14:textId="77777777" w:rsidR="001825E2" w:rsidRDefault="000839A5" w:rsidP="00CB00A7">
            <w:pPr>
              <w:pStyle w:val="TableParagraph"/>
              <w:spacing w:before="32"/>
              <w:ind w:left="12"/>
              <w:jc w:val="left"/>
              <w:rPr>
                <w:sz w:val="19"/>
              </w:rPr>
            </w:pPr>
            <w:r>
              <w:rPr>
                <w:spacing w:val="-5"/>
                <w:sz w:val="19"/>
              </w:rPr>
              <w:t>71%</w:t>
            </w:r>
          </w:p>
        </w:tc>
        <w:tc>
          <w:tcPr>
            <w:tcW w:w="1980" w:type="dxa"/>
            <w:tcBorders>
              <w:bottom w:val="nil"/>
            </w:tcBorders>
          </w:tcPr>
          <w:p w14:paraId="27DA734E" w14:textId="77777777" w:rsidR="001825E2" w:rsidRDefault="000839A5" w:rsidP="00CB00A7">
            <w:pPr>
              <w:pStyle w:val="TableParagraph"/>
              <w:spacing w:before="32"/>
              <w:ind w:left="382"/>
              <w:jc w:val="left"/>
              <w:rPr>
                <w:sz w:val="19"/>
              </w:rPr>
            </w:pPr>
            <w:r>
              <w:rPr>
                <w:sz w:val="19"/>
              </w:rPr>
              <w:t>23.7</w:t>
            </w:r>
            <w:r>
              <w:rPr>
                <w:spacing w:val="21"/>
                <w:sz w:val="19"/>
              </w:rPr>
              <w:t xml:space="preserve"> </w:t>
            </w:r>
            <w:r>
              <w:rPr>
                <w:sz w:val="19"/>
              </w:rPr>
              <w:t>(8.0,</w:t>
            </w:r>
            <w:r>
              <w:rPr>
                <w:spacing w:val="5"/>
                <w:sz w:val="19"/>
              </w:rPr>
              <w:t xml:space="preserve"> </w:t>
            </w:r>
            <w:r>
              <w:rPr>
                <w:spacing w:val="-2"/>
                <w:sz w:val="19"/>
              </w:rPr>
              <w:t>39.4)</w:t>
            </w:r>
          </w:p>
        </w:tc>
        <w:tc>
          <w:tcPr>
            <w:tcW w:w="855" w:type="dxa"/>
            <w:tcBorders>
              <w:bottom w:val="nil"/>
            </w:tcBorders>
          </w:tcPr>
          <w:p w14:paraId="0286336F" w14:textId="77777777" w:rsidR="001825E2" w:rsidRDefault="000839A5" w:rsidP="00CB00A7">
            <w:pPr>
              <w:pStyle w:val="TableParagraph"/>
              <w:spacing w:before="32"/>
              <w:ind w:left="11" w:right="4"/>
              <w:jc w:val="left"/>
              <w:rPr>
                <w:sz w:val="19"/>
              </w:rPr>
            </w:pPr>
            <w:r>
              <w:rPr>
                <w:spacing w:val="-2"/>
                <w:sz w:val="19"/>
              </w:rPr>
              <w:t>0.0031</w:t>
            </w:r>
          </w:p>
        </w:tc>
      </w:tr>
      <w:tr w:rsidR="001825E2" w14:paraId="45E55510" w14:textId="77777777">
        <w:trPr>
          <w:trHeight w:val="275"/>
        </w:trPr>
        <w:tc>
          <w:tcPr>
            <w:tcW w:w="2160" w:type="dxa"/>
            <w:tcBorders>
              <w:top w:val="nil"/>
            </w:tcBorders>
          </w:tcPr>
          <w:p w14:paraId="69994B9D" w14:textId="77777777" w:rsidR="001825E2" w:rsidRDefault="001825E2" w:rsidP="00CB00A7">
            <w:pPr>
              <w:pStyle w:val="TableParagraph"/>
              <w:ind w:left="0"/>
              <w:jc w:val="left"/>
              <w:rPr>
                <w:sz w:val="20"/>
              </w:rPr>
            </w:pPr>
          </w:p>
        </w:tc>
        <w:tc>
          <w:tcPr>
            <w:tcW w:w="1905" w:type="dxa"/>
            <w:tcBorders>
              <w:top w:val="nil"/>
            </w:tcBorders>
          </w:tcPr>
          <w:p w14:paraId="38F6B00F" w14:textId="77777777" w:rsidR="001825E2" w:rsidRDefault="000839A5" w:rsidP="00CB00A7">
            <w:pPr>
              <w:pStyle w:val="TableParagraph"/>
              <w:spacing w:before="23"/>
              <w:jc w:val="left"/>
              <w:rPr>
                <w:sz w:val="19"/>
              </w:rPr>
            </w:pPr>
            <w:r>
              <w:rPr>
                <w:spacing w:val="-2"/>
                <w:sz w:val="19"/>
              </w:rPr>
              <w:t>Placebo</w:t>
            </w:r>
          </w:p>
        </w:tc>
        <w:tc>
          <w:tcPr>
            <w:tcW w:w="675" w:type="dxa"/>
            <w:tcBorders>
              <w:top w:val="nil"/>
            </w:tcBorders>
          </w:tcPr>
          <w:p w14:paraId="6ACD0A1C" w14:textId="77777777" w:rsidR="001825E2" w:rsidRDefault="000839A5" w:rsidP="00CB00A7">
            <w:pPr>
              <w:pStyle w:val="TableParagraph"/>
              <w:spacing w:before="23"/>
              <w:ind w:left="35" w:right="28"/>
              <w:jc w:val="left"/>
              <w:rPr>
                <w:sz w:val="19"/>
              </w:rPr>
            </w:pPr>
            <w:r>
              <w:rPr>
                <w:spacing w:val="-5"/>
                <w:sz w:val="19"/>
              </w:rPr>
              <w:t>70</w:t>
            </w:r>
          </w:p>
        </w:tc>
        <w:tc>
          <w:tcPr>
            <w:tcW w:w="1620" w:type="dxa"/>
            <w:tcBorders>
              <w:top w:val="nil"/>
            </w:tcBorders>
          </w:tcPr>
          <w:p w14:paraId="5709CC22" w14:textId="77777777" w:rsidR="001825E2" w:rsidRDefault="000839A5" w:rsidP="00CB00A7">
            <w:pPr>
              <w:pStyle w:val="TableParagraph"/>
              <w:spacing w:before="23"/>
              <w:ind w:left="12"/>
              <w:jc w:val="left"/>
              <w:rPr>
                <w:sz w:val="19"/>
              </w:rPr>
            </w:pPr>
            <w:r>
              <w:rPr>
                <w:spacing w:val="-5"/>
                <w:sz w:val="19"/>
              </w:rPr>
              <w:t>47%</w:t>
            </w:r>
          </w:p>
        </w:tc>
        <w:tc>
          <w:tcPr>
            <w:tcW w:w="1980" w:type="dxa"/>
            <w:tcBorders>
              <w:top w:val="nil"/>
            </w:tcBorders>
          </w:tcPr>
          <w:p w14:paraId="2DE906D9" w14:textId="77777777" w:rsidR="001825E2" w:rsidRDefault="001825E2" w:rsidP="00CB00A7">
            <w:pPr>
              <w:pStyle w:val="TableParagraph"/>
              <w:ind w:left="0"/>
              <w:jc w:val="left"/>
              <w:rPr>
                <w:sz w:val="20"/>
              </w:rPr>
            </w:pPr>
          </w:p>
        </w:tc>
        <w:tc>
          <w:tcPr>
            <w:tcW w:w="855" w:type="dxa"/>
            <w:tcBorders>
              <w:top w:val="nil"/>
            </w:tcBorders>
          </w:tcPr>
          <w:p w14:paraId="5FB88C25" w14:textId="77777777" w:rsidR="001825E2" w:rsidRDefault="001825E2" w:rsidP="00CB00A7">
            <w:pPr>
              <w:pStyle w:val="TableParagraph"/>
              <w:ind w:left="0"/>
              <w:jc w:val="left"/>
              <w:rPr>
                <w:sz w:val="20"/>
              </w:rPr>
            </w:pPr>
          </w:p>
        </w:tc>
      </w:tr>
      <w:tr w:rsidR="001825E2" w14:paraId="690E1402" w14:textId="77777777">
        <w:trPr>
          <w:trHeight w:val="279"/>
        </w:trPr>
        <w:tc>
          <w:tcPr>
            <w:tcW w:w="2160" w:type="dxa"/>
            <w:tcBorders>
              <w:bottom w:val="nil"/>
            </w:tcBorders>
          </w:tcPr>
          <w:p w14:paraId="09FD16B1" w14:textId="77777777" w:rsidR="001825E2" w:rsidRDefault="000839A5" w:rsidP="00CB00A7">
            <w:pPr>
              <w:pStyle w:val="TableParagraph"/>
              <w:spacing w:before="32"/>
              <w:ind w:left="127"/>
              <w:jc w:val="left"/>
              <w:rPr>
                <w:sz w:val="19"/>
              </w:rPr>
            </w:pPr>
            <w:r>
              <w:rPr>
                <w:sz w:val="19"/>
              </w:rPr>
              <w:t>JIA</w:t>
            </w:r>
            <w:r>
              <w:rPr>
                <w:spacing w:val="20"/>
                <w:sz w:val="19"/>
              </w:rPr>
              <w:t xml:space="preserve"> </w:t>
            </w:r>
            <w:r>
              <w:rPr>
                <w:spacing w:val="-2"/>
                <w:sz w:val="19"/>
              </w:rPr>
              <w:t>ACR50</w:t>
            </w:r>
          </w:p>
        </w:tc>
        <w:tc>
          <w:tcPr>
            <w:tcW w:w="1905" w:type="dxa"/>
            <w:tcBorders>
              <w:bottom w:val="nil"/>
            </w:tcBorders>
          </w:tcPr>
          <w:p w14:paraId="4D5C298A" w14:textId="77777777" w:rsidR="001825E2" w:rsidRDefault="000839A5" w:rsidP="00CB00A7">
            <w:pPr>
              <w:pStyle w:val="TableParagraph"/>
              <w:spacing w:before="32"/>
              <w:jc w:val="left"/>
              <w:rPr>
                <w:sz w:val="19"/>
              </w:rPr>
            </w:pPr>
            <w:r>
              <w:rPr>
                <w:sz w:val="19"/>
              </w:rPr>
              <w:t>Tofacitinib</w:t>
            </w:r>
            <w:r>
              <w:rPr>
                <w:spacing w:val="40"/>
                <w:sz w:val="19"/>
              </w:rPr>
              <w:t xml:space="preserve"> </w:t>
            </w:r>
            <w:r>
              <w:rPr>
                <w:sz w:val="19"/>
              </w:rPr>
              <w:t>5mg</w:t>
            </w:r>
            <w:r>
              <w:rPr>
                <w:spacing w:val="17"/>
                <w:sz w:val="19"/>
              </w:rPr>
              <w:t xml:space="preserve"> </w:t>
            </w:r>
            <w:r>
              <w:rPr>
                <w:spacing w:val="-5"/>
                <w:sz w:val="19"/>
              </w:rPr>
              <w:t>BD</w:t>
            </w:r>
          </w:p>
        </w:tc>
        <w:tc>
          <w:tcPr>
            <w:tcW w:w="675" w:type="dxa"/>
            <w:tcBorders>
              <w:bottom w:val="nil"/>
            </w:tcBorders>
          </w:tcPr>
          <w:p w14:paraId="63B27789" w14:textId="77777777" w:rsidR="001825E2" w:rsidRDefault="000839A5" w:rsidP="00CB00A7">
            <w:pPr>
              <w:pStyle w:val="TableParagraph"/>
              <w:spacing w:before="32"/>
              <w:ind w:left="35" w:right="28"/>
              <w:jc w:val="left"/>
              <w:rPr>
                <w:sz w:val="19"/>
              </w:rPr>
            </w:pPr>
            <w:r>
              <w:rPr>
                <w:spacing w:val="-5"/>
                <w:sz w:val="19"/>
              </w:rPr>
              <w:t>72</w:t>
            </w:r>
          </w:p>
        </w:tc>
        <w:tc>
          <w:tcPr>
            <w:tcW w:w="1620" w:type="dxa"/>
            <w:tcBorders>
              <w:bottom w:val="nil"/>
            </w:tcBorders>
          </w:tcPr>
          <w:p w14:paraId="50A0ABE5" w14:textId="77777777" w:rsidR="001825E2" w:rsidRDefault="000839A5" w:rsidP="00CB00A7">
            <w:pPr>
              <w:pStyle w:val="TableParagraph"/>
              <w:spacing w:before="32"/>
              <w:ind w:left="12"/>
              <w:jc w:val="left"/>
              <w:rPr>
                <w:sz w:val="19"/>
              </w:rPr>
            </w:pPr>
            <w:r>
              <w:rPr>
                <w:spacing w:val="-5"/>
                <w:sz w:val="19"/>
              </w:rPr>
              <w:t>67%</w:t>
            </w:r>
          </w:p>
        </w:tc>
        <w:tc>
          <w:tcPr>
            <w:tcW w:w="1980" w:type="dxa"/>
            <w:tcBorders>
              <w:bottom w:val="nil"/>
            </w:tcBorders>
          </w:tcPr>
          <w:p w14:paraId="3EEF43F6" w14:textId="77777777" w:rsidR="001825E2" w:rsidRDefault="000839A5" w:rsidP="00CB00A7">
            <w:pPr>
              <w:pStyle w:val="TableParagraph"/>
              <w:spacing w:before="32"/>
              <w:ind w:left="382"/>
              <w:jc w:val="left"/>
              <w:rPr>
                <w:sz w:val="19"/>
              </w:rPr>
            </w:pPr>
            <w:r>
              <w:rPr>
                <w:sz w:val="19"/>
              </w:rPr>
              <w:t>19.5</w:t>
            </w:r>
            <w:r>
              <w:rPr>
                <w:spacing w:val="21"/>
                <w:sz w:val="19"/>
              </w:rPr>
              <w:t xml:space="preserve"> </w:t>
            </w:r>
            <w:r>
              <w:rPr>
                <w:sz w:val="19"/>
              </w:rPr>
              <w:t>(3.6,</w:t>
            </w:r>
            <w:r>
              <w:rPr>
                <w:spacing w:val="5"/>
                <w:sz w:val="19"/>
              </w:rPr>
              <w:t xml:space="preserve"> </w:t>
            </w:r>
            <w:r>
              <w:rPr>
                <w:spacing w:val="-2"/>
                <w:sz w:val="19"/>
              </w:rPr>
              <w:t>35.5)</w:t>
            </w:r>
          </w:p>
        </w:tc>
        <w:tc>
          <w:tcPr>
            <w:tcW w:w="855" w:type="dxa"/>
            <w:tcBorders>
              <w:bottom w:val="nil"/>
            </w:tcBorders>
          </w:tcPr>
          <w:p w14:paraId="7C0F110D" w14:textId="77777777" w:rsidR="001825E2" w:rsidRDefault="000839A5" w:rsidP="00CB00A7">
            <w:pPr>
              <w:pStyle w:val="TableParagraph"/>
              <w:spacing w:before="32"/>
              <w:ind w:left="11" w:right="4"/>
              <w:jc w:val="left"/>
              <w:rPr>
                <w:sz w:val="19"/>
              </w:rPr>
            </w:pPr>
            <w:r>
              <w:rPr>
                <w:spacing w:val="-2"/>
                <w:sz w:val="19"/>
              </w:rPr>
              <w:t>0.0166</w:t>
            </w:r>
          </w:p>
        </w:tc>
      </w:tr>
      <w:tr w:rsidR="001825E2" w14:paraId="20B68813" w14:textId="77777777">
        <w:trPr>
          <w:trHeight w:val="260"/>
        </w:trPr>
        <w:tc>
          <w:tcPr>
            <w:tcW w:w="2160" w:type="dxa"/>
            <w:tcBorders>
              <w:top w:val="nil"/>
            </w:tcBorders>
          </w:tcPr>
          <w:p w14:paraId="5C228D55" w14:textId="77777777" w:rsidR="001825E2" w:rsidRDefault="001825E2" w:rsidP="00CB00A7">
            <w:pPr>
              <w:pStyle w:val="TableParagraph"/>
              <w:ind w:left="0"/>
              <w:jc w:val="left"/>
              <w:rPr>
                <w:sz w:val="18"/>
              </w:rPr>
            </w:pPr>
          </w:p>
        </w:tc>
        <w:tc>
          <w:tcPr>
            <w:tcW w:w="1905" w:type="dxa"/>
            <w:tcBorders>
              <w:top w:val="nil"/>
            </w:tcBorders>
          </w:tcPr>
          <w:p w14:paraId="3494D257" w14:textId="77777777" w:rsidR="001825E2" w:rsidRDefault="000839A5" w:rsidP="00CB00A7">
            <w:pPr>
              <w:pStyle w:val="TableParagraph"/>
              <w:spacing w:before="23" w:line="217" w:lineRule="exact"/>
              <w:jc w:val="left"/>
              <w:rPr>
                <w:sz w:val="19"/>
              </w:rPr>
            </w:pPr>
            <w:r>
              <w:rPr>
                <w:spacing w:val="-2"/>
                <w:sz w:val="19"/>
              </w:rPr>
              <w:t>Placebo</w:t>
            </w:r>
          </w:p>
        </w:tc>
        <w:tc>
          <w:tcPr>
            <w:tcW w:w="675" w:type="dxa"/>
            <w:tcBorders>
              <w:top w:val="nil"/>
            </w:tcBorders>
          </w:tcPr>
          <w:p w14:paraId="4C5632FD" w14:textId="77777777" w:rsidR="001825E2" w:rsidRDefault="000839A5" w:rsidP="00CB00A7">
            <w:pPr>
              <w:pStyle w:val="TableParagraph"/>
              <w:spacing w:before="23" w:line="217" w:lineRule="exact"/>
              <w:ind w:left="35" w:right="28"/>
              <w:jc w:val="left"/>
              <w:rPr>
                <w:sz w:val="19"/>
              </w:rPr>
            </w:pPr>
            <w:r>
              <w:rPr>
                <w:spacing w:val="-5"/>
                <w:sz w:val="19"/>
              </w:rPr>
              <w:t>70</w:t>
            </w:r>
          </w:p>
        </w:tc>
        <w:tc>
          <w:tcPr>
            <w:tcW w:w="1620" w:type="dxa"/>
            <w:tcBorders>
              <w:top w:val="nil"/>
            </w:tcBorders>
          </w:tcPr>
          <w:p w14:paraId="21EEF685" w14:textId="77777777" w:rsidR="001825E2" w:rsidRDefault="000839A5" w:rsidP="00CB00A7">
            <w:pPr>
              <w:pStyle w:val="TableParagraph"/>
              <w:spacing w:before="23" w:line="217" w:lineRule="exact"/>
              <w:ind w:left="12"/>
              <w:jc w:val="left"/>
              <w:rPr>
                <w:sz w:val="19"/>
              </w:rPr>
            </w:pPr>
            <w:r>
              <w:rPr>
                <w:spacing w:val="-5"/>
                <w:sz w:val="19"/>
              </w:rPr>
              <w:t>47%</w:t>
            </w:r>
          </w:p>
        </w:tc>
        <w:tc>
          <w:tcPr>
            <w:tcW w:w="1980" w:type="dxa"/>
            <w:tcBorders>
              <w:top w:val="nil"/>
            </w:tcBorders>
          </w:tcPr>
          <w:p w14:paraId="6774014A" w14:textId="77777777" w:rsidR="001825E2" w:rsidRDefault="001825E2" w:rsidP="00CB00A7">
            <w:pPr>
              <w:pStyle w:val="TableParagraph"/>
              <w:ind w:left="0"/>
              <w:jc w:val="left"/>
              <w:rPr>
                <w:sz w:val="18"/>
              </w:rPr>
            </w:pPr>
          </w:p>
        </w:tc>
        <w:tc>
          <w:tcPr>
            <w:tcW w:w="855" w:type="dxa"/>
            <w:tcBorders>
              <w:top w:val="nil"/>
            </w:tcBorders>
          </w:tcPr>
          <w:p w14:paraId="68625DD4" w14:textId="77777777" w:rsidR="001825E2" w:rsidRDefault="001825E2" w:rsidP="00CB00A7">
            <w:pPr>
              <w:pStyle w:val="TableParagraph"/>
              <w:ind w:left="0"/>
              <w:jc w:val="left"/>
              <w:rPr>
                <w:sz w:val="18"/>
              </w:rPr>
            </w:pPr>
          </w:p>
        </w:tc>
      </w:tr>
      <w:tr w:rsidR="001825E2" w14:paraId="67C7BC4E" w14:textId="77777777">
        <w:trPr>
          <w:trHeight w:val="279"/>
        </w:trPr>
        <w:tc>
          <w:tcPr>
            <w:tcW w:w="2160" w:type="dxa"/>
            <w:tcBorders>
              <w:bottom w:val="nil"/>
            </w:tcBorders>
          </w:tcPr>
          <w:p w14:paraId="158F16A0" w14:textId="77777777" w:rsidR="001825E2" w:rsidRDefault="000839A5" w:rsidP="00CB00A7">
            <w:pPr>
              <w:pStyle w:val="TableParagraph"/>
              <w:spacing w:before="32"/>
              <w:ind w:left="127"/>
              <w:jc w:val="left"/>
              <w:rPr>
                <w:sz w:val="19"/>
              </w:rPr>
            </w:pPr>
            <w:r>
              <w:rPr>
                <w:sz w:val="19"/>
              </w:rPr>
              <w:t>JIA</w:t>
            </w:r>
            <w:r>
              <w:rPr>
                <w:spacing w:val="20"/>
                <w:sz w:val="19"/>
              </w:rPr>
              <w:t xml:space="preserve"> </w:t>
            </w:r>
            <w:r>
              <w:rPr>
                <w:spacing w:val="-2"/>
                <w:sz w:val="19"/>
              </w:rPr>
              <w:t>ACR70</w:t>
            </w:r>
          </w:p>
        </w:tc>
        <w:tc>
          <w:tcPr>
            <w:tcW w:w="1905" w:type="dxa"/>
            <w:tcBorders>
              <w:bottom w:val="nil"/>
            </w:tcBorders>
          </w:tcPr>
          <w:p w14:paraId="2D63A3CF" w14:textId="77777777" w:rsidR="001825E2" w:rsidRDefault="000839A5" w:rsidP="00CB00A7">
            <w:pPr>
              <w:pStyle w:val="TableParagraph"/>
              <w:spacing w:before="32"/>
              <w:jc w:val="left"/>
              <w:rPr>
                <w:sz w:val="19"/>
              </w:rPr>
            </w:pPr>
            <w:r>
              <w:rPr>
                <w:sz w:val="19"/>
              </w:rPr>
              <w:t>Tofacitinib</w:t>
            </w:r>
            <w:r>
              <w:rPr>
                <w:spacing w:val="42"/>
                <w:sz w:val="19"/>
              </w:rPr>
              <w:t xml:space="preserve"> </w:t>
            </w:r>
            <w:r>
              <w:rPr>
                <w:sz w:val="19"/>
              </w:rPr>
              <w:t>5mg</w:t>
            </w:r>
            <w:r>
              <w:rPr>
                <w:spacing w:val="16"/>
                <w:sz w:val="19"/>
              </w:rPr>
              <w:t xml:space="preserve"> </w:t>
            </w:r>
            <w:r>
              <w:rPr>
                <w:spacing w:val="-5"/>
                <w:sz w:val="19"/>
              </w:rPr>
              <w:t>BD</w:t>
            </w:r>
          </w:p>
        </w:tc>
        <w:tc>
          <w:tcPr>
            <w:tcW w:w="675" w:type="dxa"/>
            <w:tcBorders>
              <w:bottom w:val="nil"/>
            </w:tcBorders>
          </w:tcPr>
          <w:p w14:paraId="62901211" w14:textId="77777777" w:rsidR="001825E2" w:rsidRDefault="000839A5" w:rsidP="00CB00A7">
            <w:pPr>
              <w:pStyle w:val="TableParagraph"/>
              <w:spacing w:before="32"/>
              <w:ind w:left="35" w:right="28"/>
              <w:jc w:val="left"/>
              <w:rPr>
                <w:sz w:val="19"/>
              </w:rPr>
            </w:pPr>
            <w:r>
              <w:rPr>
                <w:spacing w:val="-5"/>
                <w:sz w:val="19"/>
              </w:rPr>
              <w:t>72</w:t>
            </w:r>
          </w:p>
        </w:tc>
        <w:tc>
          <w:tcPr>
            <w:tcW w:w="1620" w:type="dxa"/>
            <w:tcBorders>
              <w:bottom w:val="nil"/>
            </w:tcBorders>
          </w:tcPr>
          <w:p w14:paraId="4C11F629" w14:textId="77777777" w:rsidR="001825E2" w:rsidRDefault="000839A5" w:rsidP="00CB00A7">
            <w:pPr>
              <w:pStyle w:val="TableParagraph"/>
              <w:spacing w:before="32"/>
              <w:ind w:left="12"/>
              <w:jc w:val="left"/>
              <w:rPr>
                <w:sz w:val="19"/>
              </w:rPr>
            </w:pPr>
            <w:r>
              <w:rPr>
                <w:spacing w:val="-5"/>
                <w:sz w:val="19"/>
              </w:rPr>
              <w:t>54%</w:t>
            </w:r>
          </w:p>
        </w:tc>
        <w:tc>
          <w:tcPr>
            <w:tcW w:w="1980" w:type="dxa"/>
            <w:tcBorders>
              <w:bottom w:val="nil"/>
            </w:tcBorders>
          </w:tcPr>
          <w:p w14:paraId="681D5085" w14:textId="77777777" w:rsidR="001825E2" w:rsidRDefault="000839A5" w:rsidP="00CB00A7">
            <w:pPr>
              <w:pStyle w:val="TableParagraph"/>
              <w:spacing w:before="32"/>
              <w:ind w:left="382"/>
              <w:jc w:val="left"/>
              <w:rPr>
                <w:sz w:val="19"/>
              </w:rPr>
            </w:pPr>
            <w:r>
              <w:rPr>
                <w:sz w:val="19"/>
              </w:rPr>
              <w:t>17.0</w:t>
            </w:r>
            <w:r>
              <w:rPr>
                <w:spacing w:val="21"/>
                <w:sz w:val="19"/>
              </w:rPr>
              <w:t xml:space="preserve"> </w:t>
            </w:r>
            <w:r>
              <w:rPr>
                <w:sz w:val="19"/>
              </w:rPr>
              <w:t>(0.9,</w:t>
            </w:r>
            <w:r>
              <w:rPr>
                <w:spacing w:val="5"/>
                <w:sz w:val="19"/>
              </w:rPr>
              <w:t xml:space="preserve"> </w:t>
            </w:r>
            <w:r>
              <w:rPr>
                <w:spacing w:val="-2"/>
                <w:sz w:val="19"/>
              </w:rPr>
              <w:t>33.2)</w:t>
            </w:r>
          </w:p>
        </w:tc>
        <w:tc>
          <w:tcPr>
            <w:tcW w:w="855" w:type="dxa"/>
            <w:tcBorders>
              <w:bottom w:val="nil"/>
            </w:tcBorders>
          </w:tcPr>
          <w:p w14:paraId="47A6DF0C" w14:textId="77777777" w:rsidR="001825E2" w:rsidRDefault="000839A5" w:rsidP="00CB00A7">
            <w:pPr>
              <w:pStyle w:val="TableParagraph"/>
              <w:spacing w:before="32"/>
              <w:ind w:left="11" w:right="4"/>
              <w:jc w:val="left"/>
              <w:rPr>
                <w:sz w:val="19"/>
              </w:rPr>
            </w:pPr>
            <w:r>
              <w:rPr>
                <w:spacing w:val="-2"/>
                <w:sz w:val="19"/>
              </w:rPr>
              <w:t>0.0387</w:t>
            </w:r>
          </w:p>
        </w:tc>
      </w:tr>
      <w:tr w:rsidR="001825E2" w14:paraId="6031DEC3" w14:textId="77777777">
        <w:trPr>
          <w:trHeight w:val="275"/>
        </w:trPr>
        <w:tc>
          <w:tcPr>
            <w:tcW w:w="2160" w:type="dxa"/>
            <w:tcBorders>
              <w:top w:val="nil"/>
            </w:tcBorders>
          </w:tcPr>
          <w:p w14:paraId="748FDA38" w14:textId="77777777" w:rsidR="001825E2" w:rsidRDefault="001825E2" w:rsidP="00CB00A7">
            <w:pPr>
              <w:pStyle w:val="TableParagraph"/>
              <w:ind w:left="0"/>
              <w:jc w:val="left"/>
              <w:rPr>
                <w:sz w:val="20"/>
              </w:rPr>
            </w:pPr>
          </w:p>
        </w:tc>
        <w:tc>
          <w:tcPr>
            <w:tcW w:w="1905" w:type="dxa"/>
            <w:tcBorders>
              <w:top w:val="nil"/>
            </w:tcBorders>
          </w:tcPr>
          <w:p w14:paraId="4DB38709" w14:textId="77777777" w:rsidR="001825E2" w:rsidRDefault="000839A5" w:rsidP="00CB00A7">
            <w:pPr>
              <w:pStyle w:val="TableParagraph"/>
              <w:spacing w:before="23"/>
              <w:jc w:val="left"/>
              <w:rPr>
                <w:sz w:val="19"/>
              </w:rPr>
            </w:pPr>
            <w:r>
              <w:rPr>
                <w:spacing w:val="-2"/>
                <w:sz w:val="19"/>
              </w:rPr>
              <w:t>Placebo</w:t>
            </w:r>
          </w:p>
        </w:tc>
        <w:tc>
          <w:tcPr>
            <w:tcW w:w="675" w:type="dxa"/>
            <w:tcBorders>
              <w:top w:val="nil"/>
            </w:tcBorders>
          </w:tcPr>
          <w:p w14:paraId="7B50454C" w14:textId="77777777" w:rsidR="001825E2" w:rsidRDefault="000839A5" w:rsidP="00CB00A7">
            <w:pPr>
              <w:pStyle w:val="TableParagraph"/>
              <w:spacing w:before="23"/>
              <w:ind w:left="35" w:right="28"/>
              <w:jc w:val="left"/>
              <w:rPr>
                <w:sz w:val="19"/>
              </w:rPr>
            </w:pPr>
            <w:r>
              <w:rPr>
                <w:spacing w:val="-5"/>
                <w:sz w:val="19"/>
              </w:rPr>
              <w:t>70</w:t>
            </w:r>
          </w:p>
        </w:tc>
        <w:tc>
          <w:tcPr>
            <w:tcW w:w="1620" w:type="dxa"/>
            <w:tcBorders>
              <w:top w:val="nil"/>
            </w:tcBorders>
          </w:tcPr>
          <w:p w14:paraId="517F7D6D" w14:textId="77777777" w:rsidR="001825E2" w:rsidRDefault="000839A5" w:rsidP="00CB00A7">
            <w:pPr>
              <w:pStyle w:val="TableParagraph"/>
              <w:spacing w:before="23"/>
              <w:ind w:left="12"/>
              <w:jc w:val="left"/>
              <w:rPr>
                <w:sz w:val="19"/>
              </w:rPr>
            </w:pPr>
            <w:r>
              <w:rPr>
                <w:spacing w:val="-5"/>
                <w:sz w:val="19"/>
              </w:rPr>
              <w:t>37%</w:t>
            </w:r>
          </w:p>
        </w:tc>
        <w:tc>
          <w:tcPr>
            <w:tcW w:w="1980" w:type="dxa"/>
            <w:tcBorders>
              <w:top w:val="nil"/>
            </w:tcBorders>
          </w:tcPr>
          <w:p w14:paraId="22FBB284" w14:textId="77777777" w:rsidR="001825E2" w:rsidRDefault="001825E2" w:rsidP="00CB00A7">
            <w:pPr>
              <w:pStyle w:val="TableParagraph"/>
              <w:ind w:left="0"/>
              <w:jc w:val="left"/>
              <w:rPr>
                <w:sz w:val="20"/>
              </w:rPr>
            </w:pPr>
          </w:p>
        </w:tc>
        <w:tc>
          <w:tcPr>
            <w:tcW w:w="855" w:type="dxa"/>
            <w:tcBorders>
              <w:top w:val="nil"/>
            </w:tcBorders>
          </w:tcPr>
          <w:p w14:paraId="2CFC255B" w14:textId="77777777" w:rsidR="001825E2" w:rsidRDefault="001825E2" w:rsidP="00CB00A7">
            <w:pPr>
              <w:pStyle w:val="TableParagraph"/>
              <w:ind w:left="0"/>
              <w:jc w:val="left"/>
              <w:rPr>
                <w:sz w:val="20"/>
              </w:rPr>
            </w:pPr>
          </w:p>
        </w:tc>
      </w:tr>
      <w:tr w:rsidR="001825E2" w14:paraId="1841E41C" w14:textId="77777777">
        <w:trPr>
          <w:trHeight w:val="494"/>
        </w:trPr>
        <w:tc>
          <w:tcPr>
            <w:tcW w:w="2160" w:type="dxa"/>
          </w:tcPr>
          <w:p w14:paraId="743BBC59" w14:textId="77777777" w:rsidR="001825E2" w:rsidRDefault="000839A5" w:rsidP="00CB00A7">
            <w:pPr>
              <w:pStyle w:val="TableParagraph"/>
              <w:spacing w:before="137"/>
              <w:ind w:left="0" w:right="214"/>
              <w:jc w:val="left"/>
              <w:rPr>
                <w:b/>
                <w:sz w:val="19"/>
              </w:rPr>
            </w:pPr>
            <w:r>
              <w:rPr>
                <w:b/>
                <w:sz w:val="19"/>
              </w:rPr>
              <w:t>Secondary</w:t>
            </w:r>
            <w:r>
              <w:rPr>
                <w:b/>
                <w:spacing w:val="33"/>
                <w:sz w:val="19"/>
              </w:rPr>
              <w:t xml:space="preserve"> </w:t>
            </w:r>
            <w:r>
              <w:rPr>
                <w:b/>
                <w:spacing w:val="-2"/>
                <w:sz w:val="19"/>
              </w:rPr>
              <w:t>endpoint</w:t>
            </w:r>
          </w:p>
        </w:tc>
        <w:tc>
          <w:tcPr>
            <w:tcW w:w="1905" w:type="dxa"/>
          </w:tcPr>
          <w:p w14:paraId="32B5968C" w14:textId="77777777" w:rsidR="001825E2" w:rsidRDefault="000839A5" w:rsidP="00CB00A7">
            <w:pPr>
              <w:pStyle w:val="TableParagraph"/>
              <w:spacing w:before="137"/>
              <w:ind w:left="217"/>
              <w:jc w:val="left"/>
              <w:rPr>
                <w:b/>
                <w:sz w:val="19"/>
              </w:rPr>
            </w:pPr>
            <w:r>
              <w:rPr>
                <w:b/>
                <w:sz w:val="19"/>
              </w:rPr>
              <w:t>Treatment</w:t>
            </w:r>
            <w:r>
              <w:rPr>
                <w:b/>
                <w:spacing w:val="37"/>
                <w:sz w:val="19"/>
              </w:rPr>
              <w:t xml:space="preserve"> </w:t>
            </w:r>
            <w:r>
              <w:rPr>
                <w:b/>
                <w:spacing w:val="-2"/>
                <w:sz w:val="19"/>
              </w:rPr>
              <w:t>group</w:t>
            </w:r>
          </w:p>
        </w:tc>
        <w:tc>
          <w:tcPr>
            <w:tcW w:w="675" w:type="dxa"/>
          </w:tcPr>
          <w:p w14:paraId="7B5D4835" w14:textId="77777777" w:rsidR="001825E2" w:rsidRDefault="000839A5" w:rsidP="00CB00A7">
            <w:pPr>
              <w:pStyle w:val="TableParagraph"/>
              <w:spacing w:before="137"/>
              <w:ind w:left="35" w:right="17"/>
              <w:jc w:val="left"/>
              <w:rPr>
                <w:b/>
                <w:sz w:val="19"/>
              </w:rPr>
            </w:pPr>
            <w:r>
              <w:rPr>
                <w:b/>
                <w:spacing w:val="-5"/>
                <w:sz w:val="19"/>
              </w:rPr>
              <w:t>N/n</w:t>
            </w:r>
          </w:p>
        </w:tc>
        <w:tc>
          <w:tcPr>
            <w:tcW w:w="1620" w:type="dxa"/>
          </w:tcPr>
          <w:p w14:paraId="44A800CE" w14:textId="77777777" w:rsidR="001825E2" w:rsidRDefault="000839A5" w:rsidP="00CB00A7">
            <w:pPr>
              <w:pStyle w:val="TableParagraph"/>
              <w:spacing w:before="137"/>
              <w:ind w:left="0"/>
              <w:jc w:val="left"/>
              <w:rPr>
                <w:b/>
                <w:sz w:val="19"/>
              </w:rPr>
            </w:pPr>
            <w:r>
              <w:rPr>
                <w:b/>
                <w:sz w:val="19"/>
              </w:rPr>
              <w:t>LS</w:t>
            </w:r>
            <w:r>
              <w:rPr>
                <w:b/>
                <w:spacing w:val="26"/>
                <w:sz w:val="19"/>
              </w:rPr>
              <w:t xml:space="preserve"> </w:t>
            </w:r>
            <w:r>
              <w:rPr>
                <w:b/>
                <w:sz w:val="19"/>
              </w:rPr>
              <w:t>mean</w:t>
            </w:r>
            <w:r>
              <w:rPr>
                <w:b/>
                <w:spacing w:val="6"/>
                <w:sz w:val="19"/>
              </w:rPr>
              <w:t xml:space="preserve"> </w:t>
            </w:r>
            <w:r>
              <w:rPr>
                <w:b/>
                <w:spacing w:val="-2"/>
                <w:sz w:val="19"/>
              </w:rPr>
              <w:t>(SEM)</w:t>
            </w:r>
          </w:p>
        </w:tc>
        <w:tc>
          <w:tcPr>
            <w:tcW w:w="1980" w:type="dxa"/>
          </w:tcPr>
          <w:p w14:paraId="7C33B9DF" w14:textId="77777777" w:rsidR="001825E2" w:rsidRDefault="000839A5" w:rsidP="00CB00A7">
            <w:pPr>
              <w:pStyle w:val="TableParagraph"/>
              <w:spacing w:line="240" w:lineRule="exact"/>
              <w:ind w:left="247" w:hanging="135"/>
              <w:jc w:val="left"/>
              <w:rPr>
                <w:b/>
                <w:sz w:val="19"/>
              </w:rPr>
            </w:pPr>
            <w:r>
              <w:rPr>
                <w:b/>
                <w:sz w:val="19"/>
              </w:rPr>
              <w:t>Difference (%) from placebo (95% CI)</w:t>
            </w:r>
          </w:p>
        </w:tc>
        <w:tc>
          <w:tcPr>
            <w:tcW w:w="855" w:type="dxa"/>
          </w:tcPr>
          <w:p w14:paraId="676E9473" w14:textId="77777777" w:rsidR="001825E2" w:rsidRDefault="000839A5" w:rsidP="00CB00A7">
            <w:pPr>
              <w:pStyle w:val="TableParagraph"/>
              <w:spacing w:before="137"/>
              <w:ind w:left="11"/>
              <w:jc w:val="left"/>
              <w:rPr>
                <w:b/>
                <w:sz w:val="19"/>
              </w:rPr>
            </w:pPr>
            <w:r>
              <w:rPr>
                <w:b/>
                <w:spacing w:val="-4"/>
                <w:sz w:val="19"/>
              </w:rPr>
              <w:t>p-</w:t>
            </w:r>
            <w:r>
              <w:rPr>
                <w:b/>
                <w:spacing w:val="-2"/>
                <w:sz w:val="19"/>
              </w:rPr>
              <w:t>value</w:t>
            </w:r>
          </w:p>
        </w:tc>
      </w:tr>
      <w:tr w:rsidR="001825E2" w14:paraId="539399AE" w14:textId="77777777">
        <w:trPr>
          <w:trHeight w:val="720"/>
        </w:trPr>
        <w:tc>
          <w:tcPr>
            <w:tcW w:w="2160" w:type="dxa"/>
          </w:tcPr>
          <w:p w14:paraId="32D8C1F7" w14:textId="77777777" w:rsidR="001825E2" w:rsidRDefault="000839A5" w:rsidP="00CB00A7">
            <w:pPr>
              <w:pStyle w:val="TableParagraph"/>
              <w:spacing w:before="17" w:line="247" w:lineRule="auto"/>
              <w:ind w:left="127"/>
              <w:jc w:val="left"/>
              <w:rPr>
                <w:sz w:val="19"/>
              </w:rPr>
            </w:pPr>
            <w:r>
              <w:rPr>
                <w:sz w:val="19"/>
              </w:rPr>
              <w:t>Change from Double- Blind Baseline in</w:t>
            </w:r>
          </w:p>
          <w:p w14:paraId="4095F89F" w14:textId="77777777" w:rsidR="001825E2" w:rsidRDefault="000839A5" w:rsidP="00CB00A7">
            <w:pPr>
              <w:pStyle w:val="TableParagraph"/>
              <w:spacing w:before="15" w:line="217" w:lineRule="exact"/>
              <w:ind w:left="127"/>
              <w:jc w:val="left"/>
              <w:rPr>
                <w:sz w:val="19"/>
              </w:rPr>
            </w:pPr>
            <w:r>
              <w:rPr>
                <w:sz w:val="19"/>
              </w:rPr>
              <w:t>CHAQ</w:t>
            </w:r>
            <w:r>
              <w:rPr>
                <w:spacing w:val="4"/>
                <w:sz w:val="19"/>
              </w:rPr>
              <w:t xml:space="preserve"> </w:t>
            </w:r>
            <w:proofErr w:type="spellStart"/>
            <w:r>
              <w:rPr>
                <w:sz w:val="19"/>
              </w:rPr>
              <w:t>Disa</w:t>
            </w:r>
            <w:proofErr w:type="spellEnd"/>
            <w:r>
              <w:rPr>
                <w:spacing w:val="-30"/>
                <w:sz w:val="19"/>
              </w:rPr>
              <w:t xml:space="preserve"> </w:t>
            </w:r>
            <w:proofErr w:type="spellStart"/>
            <w:r>
              <w:rPr>
                <w:sz w:val="19"/>
              </w:rPr>
              <w:t>bility</w:t>
            </w:r>
            <w:proofErr w:type="spellEnd"/>
            <w:r>
              <w:rPr>
                <w:spacing w:val="33"/>
                <w:sz w:val="19"/>
              </w:rPr>
              <w:t xml:space="preserve"> </w:t>
            </w:r>
            <w:r>
              <w:rPr>
                <w:spacing w:val="-4"/>
                <w:sz w:val="19"/>
              </w:rPr>
              <w:t>Index</w:t>
            </w:r>
          </w:p>
        </w:tc>
        <w:tc>
          <w:tcPr>
            <w:tcW w:w="1905" w:type="dxa"/>
          </w:tcPr>
          <w:p w14:paraId="546FC813" w14:textId="77777777" w:rsidR="001825E2" w:rsidRDefault="000839A5" w:rsidP="00CB00A7">
            <w:pPr>
              <w:pStyle w:val="TableParagraph"/>
              <w:spacing w:before="17"/>
              <w:jc w:val="left"/>
              <w:rPr>
                <w:sz w:val="19"/>
              </w:rPr>
            </w:pPr>
            <w:r>
              <w:rPr>
                <w:sz w:val="19"/>
              </w:rPr>
              <w:t>Tofacitinib</w:t>
            </w:r>
            <w:r>
              <w:rPr>
                <w:spacing w:val="42"/>
                <w:sz w:val="19"/>
              </w:rPr>
              <w:t xml:space="preserve"> </w:t>
            </w:r>
            <w:r>
              <w:rPr>
                <w:sz w:val="19"/>
              </w:rPr>
              <w:t>5mg</w:t>
            </w:r>
            <w:r>
              <w:rPr>
                <w:spacing w:val="16"/>
                <w:sz w:val="19"/>
              </w:rPr>
              <w:t xml:space="preserve"> </w:t>
            </w:r>
            <w:r>
              <w:rPr>
                <w:spacing w:val="-5"/>
                <w:sz w:val="19"/>
              </w:rPr>
              <w:t>BD</w:t>
            </w:r>
          </w:p>
          <w:p w14:paraId="5F5B5259" w14:textId="77777777" w:rsidR="001825E2" w:rsidRDefault="000839A5" w:rsidP="00CB00A7">
            <w:pPr>
              <w:pStyle w:val="TableParagraph"/>
              <w:spacing w:before="157"/>
              <w:jc w:val="left"/>
              <w:rPr>
                <w:sz w:val="19"/>
              </w:rPr>
            </w:pPr>
            <w:r>
              <w:rPr>
                <w:spacing w:val="-2"/>
                <w:sz w:val="19"/>
              </w:rPr>
              <w:t>Placebo</w:t>
            </w:r>
          </w:p>
        </w:tc>
        <w:tc>
          <w:tcPr>
            <w:tcW w:w="675" w:type="dxa"/>
          </w:tcPr>
          <w:p w14:paraId="4D730B2E" w14:textId="77777777" w:rsidR="001825E2" w:rsidRDefault="000839A5" w:rsidP="00CB00A7">
            <w:pPr>
              <w:pStyle w:val="TableParagraph"/>
              <w:spacing w:before="17"/>
              <w:jc w:val="left"/>
              <w:rPr>
                <w:sz w:val="19"/>
              </w:rPr>
            </w:pPr>
            <w:r>
              <w:rPr>
                <w:spacing w:val="-2"/>
                <w:sz w:val="19"/>
              </w:rPr>
              <w:t>72/49</w:t>
            </w:r>
          </w:p>
          <w:p w14:paraId="5180BE4C" w14:textId="77777777" w:rsidR="001825E2" w:rsidRDefault="000839A5" w:rsidP="00CB00A7">
            <w:pPr>
              <w:pStyle w:val="TableParagraph"/>
              <w:spacing w:before="157"/>
              <w:jc w:val="left"/>
              <w:rPr>
                <w:sz w:val="19"/>
              </w:rPr>
            </w:pPr>
            <w:r>
              <w:rPr>
                <w:spacing w:val="-2"/>
                <w:sz w:val="19"/>
              </w:rPr>
              <w:t>70/33</w:t>
            </w:r>
          </w:p>
        </w:tc>
        <w:tc>
          <w:tcPr>
            <w:tcW w:w="1620" w:type="dxa"/>
          </w:tcPr>
          <w:p w14:paraId="53115A9A" w14:textId="77777777" w:rsidR="001825E2" w:rsidRDefault="000839A5" w:rsidP="00CB00A7">
            <w:pPr>
              <w:pStyle w:val="TableParagraph"/>
              <w:spacing w:before="17"/>
              <w:ind w:left="337"/>
              <w:jc w:val="left"/>
              <w:rPr>
                <w:sz w:val="19"/>
              </w:rPr>
            </w:pPr>
            <w:r>
              <w:rPr>
                <w:sz w:val="19"/>
              </w:rPr>
              <w:t>-0.09</w:t>
            </w:r>
            <w:r>
              <w:rPr>
                <w:spacing w:val="17"/>
                <w:sz w:val="19"/>
              </w:rPr>
              <w:t xml:space="preserve"> </w:t>
            </w:r>
            <w:r>
              <w:rPr>
                <w:spacing w:val="-2"/>
                <w:sz w:val="19"/>
              </w:rPr>
              <w:t>(0.04)</w:t>
            </w:r>
          </w:p>
          <w:p w14:paraId="5BCD9C7C" w14:textId="77777777" w:rsidR="001825E2" w:rsidRDefault="000839A5" w:rsidP="00CB00A7">
            <w:pPr>
              <w:pStyle w:val="TableParagraph"/>
              <w:spacing w:before="157"/>
              <w:ind w:left="367"/>
              <w:jc w:val="left"/>
              <w:rPr>
                <w:sz w:val="19"/>
              </w:rPr>
            </w:pPr>
            <w:r>
              <w:rPr>
                <w:sz w:val="19"/>
              </w:rPr>
              <w:t>0.03</w:t>
            </w:r>
            <w:r>
              <w:rPr>
                <w:spacing w:val="21"/>
                <w:sz w:val="19"/>
              </w:rPr>
              <w:t xml:space="preserve"> </w:t>
            </w:r>
            <w:r>
              <w:rPr>
                <w:spacing w:val="-2"/>
                <w:sz w:val="19"/>
              </w:rPr>
              <w:t>(0.04)</w:t>
            </w:r>
          </w:p>
        </w:tc>
        <w:tc>
          <w:tcPr>
            <w:tcW w:w="1980" w:type="dxa"/>
          </w:tcPr>
          <w:p w14:paraId="79F93961" w14:textId="77777777" w:rsidR="001825E2" w:rsidRDefault="000839A5" w:rsidP="00CB00A7">
            <w:pPr>
              <w:pStyle w:val="TableParagraph"/>
              <w:spacing w:before="17"/>
              <w:ind w:left="44" w:right="9"/>
              <w:jc w:val="left"/>
              <w:rPr>
                <w:sz w:val="19"/>
              </w:rPr>
            </w:pPr>
            <w:r>
              <w:rPr>
                <w:sz w:val="19"/>
              </w:rPr>
              <w:t>-0.12</w:t>
            </w:r>
            <w:r>
              <w:rPr>
                <w:spacing w:val="17"/>
                <w:sz w:val="19"/>
              </w:rPr>
              <w:t xml:space="preserve"> </w:t>
            </w:r>
            <w:r>
              <w:rPr>
                <w:sz w:val="19"/>
              </w:rPr>
              <w:t>(-0.22,</w:t>
            </w:r>
            <w:r>
              <w:rPr>
                <w:spacing w:val="22"/>
                <w:sz w:val="19"/>
              </w:rPr>
              <w:t xml:space="preserve"> </w:t>
            </w:r>
            <w:r>
              <w:rPr>
                <w:sz w:val="19"/>
              </w:rPr>
              <w:t>-</w:t>
            </w:r>
            <w:r>
              <w:rPr>
                <w:spacing w:val="-4"/>
                <w:sz w:val="19"/>
              </w:rPr>
              <w:t>0.01)</w:t>
            </w:r>
          </w:p>
        </w:tc>
        <w:tc>
          <w:tcPr>
            <w:tcW w:w="855" w:type="dxa"/>
          </w:tcPr>
          <w:p w14:paraId="691B3380" w14:textId="77777777" w:rsidR="001825E2" w:rsidRDefault="000839A5" w:rsidP="00CB00A7">
            <w:pPr>
              <w:pStyle w:val="TableParagraph"/>
              <w:spacing w:before="17"/>
              <w:ind w:left="11" w:right="3"/>
              <w:jc w:val="left"/>
              <w:rPr>
                <w:sz w:val="19"/>
              </w:rPr>
            </w:pPr>
            <w:r>
              <w:rPr>
                <w:spacing w:val="-2"/>
                <w:sz w:val="19"/>
              </w:rPr>
              <w:t>0.0292</w:t>
            </w:r>
          </w:p>
        </w:tc>
      </w:tr>
    </w:tbl>
    <w:p w14:paraId="607B7C6E" w14:textId="77777777" w:rsidR="001825E2" w:rsidRDefault="000839A5" w:rsidP="00CB00A7">
      <w:pPr>
        <w:spacing w:before="8" w:line="254" w:lineRule="auto"/>
        <w:ind w:left="370" w:right="636"/>
        <w:rPr>
          <w:sz w:val="19"/>
        </w:rPr>
      </w:pPr>
      <w:r>
        <w:rPr>
          <w:sz w:val="19"/>
        </w:rPr>
        <w:t>ACR</w:t>
      </w:r>
      <w:r>
        <w:rPr>
          <w:spacing w:val="19"/>
          <w:sz w:val="19"/>
        </w:rPr>
        <w:t xml:space="preserve"> </w:t>
      </w:r>
      <w:r>
        <w:rPr>
          <w:sz w:val="19"/>
        </w:rPr>
        <w:t>=</w:t>
      </w:r>
      <w:r>
        <w:rPr>
          <w:spacing w:val="40"/>
          <w:sz w:val="19"/>
        </w:rPr>
        <w:t xml:space="preserve"> </w:t>
      </w:r>
      <w:r>
        <w:rPr>
          <w:sz w:val="19"/>
        </w:rPr>
        <w:t>America</w:t>
      </w:r>
      <w:r>
        <w:rPr>
          <w:spacing w:val="-12"/>
          <w:sz w:val="19"/>
        </w:rPr>
        <w:t xml:space="preserve"> </w:t>
      </w:r>
      <w:r>
        <w:rPr>
          <w:sz w:val="19"/>
        </w:rPr>
        <w:t>n</w:t>
      </w:r>
      <w:r>
        <w:rPr>
          <w:spacing w:val="40"/>
          <w:sz w:val="19"/>
        </w:rPr>
        <w:t xml:space="preserve"> </w:t>
      </w:r>
      <w:r>
        <w:rPr>
          <w:sz w:val="19"/>
        </w:rPr>
        <w:t>Colle</w:t>
      </w:r>
      <w:r>
        <w:rPr>
          <w:spacing w:val="-12"/>
          <w:sz w:val="19"/>
        </w:rPr>
        <w:t xml:space="preserve"> </w:t>
      </w:r>
      <w:proofErr w:type="spellStart"/>
      <w:r>
        <w:rPr>
          <w:sz w:val="19"/>
        </w:rPr>
        <w:t>ge</w:t>
      </w:r>
      <w:proofErr w:type="spellEnd"/>
      <w:r>
        <w:rPr>
          <w:spacing w:val="40"/>
          <w:sz w:val="19"/>
        </w:rPr>
        <w:t xml:space="preserve"> </w:t>
      </w:r>
      <w:r>
        <w:rPr>
          <w:sz w:val="19"/>
        </w:rPr>
        <w:t>of</w:t>
      </w:r>
      <w:r>
        <w:rPr>
          <w:spacing w:val="40"/>
          <w:sz w:val="19"/>
        </w:rPr>
        <w:t xml:space="preserve"> </w:t>
      </w:r>
      <w:r>
        <w:rPr>
          <w:sz w:val="19"/>
        </w:rPr>
        <w:t>Rheumatology;</w:t>
      </w:r>
      <w:r>
        <w:rPr>
          <w:spacing w:val="40"/>
          <w:sz w:val="19"/>
        </w:rPr>
        <w:t xml:space="preserve"> </w:t>
      </w:r>
      <w:r>
        <w:rPr>
          <w:sz w:val="19"/>
        </w:rPr>
        <w:t>BD = twice</w:t>
      </w:r>
      <w:r>
        <w:rPr>
          <w:spacing w:val="40"/>
          <w:sz w:val="19"/>
        </w:rPr>
        <w:t xml:space="preserve"> </w:t>
      </w:r>
      <w:r>
        <w:rPr>
          <w:sz w:val="19"/>
        </w:rPr>
        <w:t>da</w:t>
      </w:r>
      <w:r>
        <w:rPr>
          <w:spacing w:val="-12"/>
          <w:sz w:val="19"/>
        </w:rPr>
        <w:t xml:space="preserve"> </w:t>
      </w:r>
      <w:proofErr w:type="spellStart"/>
      <w:r>
        <w:rPr>
          <w:sz w:val="19"/>
        </w:rPr>
        <w:t>ily</w:t>
      </w:r>
      <w:proofErr w:type="spellEnd"/>
      <w:r>
        <w:rPr>
          <w:sz w:val="19"/>
        </w:rPr>
        <w:t>;</w:t>
      </w:r>
      <w:r>
        <w:rPr>
          <w:spacing w:val="40"/>
          <w:sz w:val="19"/>
        </w:rPr>
        <w:t xml:space="preserve"> </w:t>
      </w:r>
      <w:r>
        <w:rPr>
          <w:sz w:val="19"/>
        </w:rPr>
        <w:t>CHAQ</w:t>
      </w:r>
      <w:r>
        <w:rPr>
          <w:spacing w:val="40"/>
          <w:sz w:val="19"/>
        </w:rPr>
        <w:t xml:space="preserve"> </w:t>
      </w:r>
      <w:r>
        <w:rPr>
          <w:sz w:val="19"/>
        </w:rPr>
        <w:t>= childhood</w:t>
      </w:r>
      <w:r>
        <w:rPr>
          <w:spacing w:val="40"/>
          <w:sz w:val="19"/>
        </w:rPr>
        <w:t xml:space="preserve"> </w:t>
      </w:r>
      <w:r>
        <w:rPr>
          <w:sz w:val="19"/>
        </w:rPr>
        <w:t>health a</w:t>
      </w:r>
      <w:r>
        <w:rPr>
          <w:spacing w:val="-12"/>
          <w:sz w:val="19"/>
        </w:rPr>
        <w:t xml:space="preserve"> </w:t>
      </w:r>
      <w:proofErr w:type="spellStart"/>
      <w:r>
        <w:rPr>
          <w:sz w:val="19"/>
        </w:rPr>
        <w:t>ssessment</w:t>
      </w:r>
      <w:proofErr w:type="spellEnd"/>
      <w:r>
        <w:rPr>
          <w:sz w:val="19"/>
        </w:rPr>
        <w:t xml:space="preserve"> questionnaire;</w:t>
      </w:r>
      <w:r>
        <w:rPr>
          <w:spacing w:val="8"/>
          <w:sz w:val="19"/>
        </w:rPr>
        <w:t xml:space="preserve"> </w:t>
      </w:r>
      <w:r>
        <w:rPr>
          <w:sz w:val="19"/>
        </w:rPr>
        <w:t>CI</w:t>
      </w:r>
      <w:r>
        <w:rPr>
          <w:spacing w:val="40"/>
          <w:sz w:val="19"/>
        </w:rPr>
        <w:t xml:space="preserve"> </w:t>
      </w:r>
      <w:r>
        <w:rPr>
          <w:sz w:val="19"/>
        </w:rPr>
        <w:t>=</w:t>
      </w:r>
      <w:r>
        <w:rPr>
          <w:spacing w:val="37"/>
          <w:sz w:val="19"/>
        </w:rPr>
        <w:t xml:space="preserve"> </w:t>
      </w:r>
      <w:r>
        <w:rPr>
          <w:sz w:val="19"/>
        </w:rPr>
        <w:t>confidence</w:t>
      </w:r>
      <w:r>
        <w:rPr>
          <w:spacing w:val="30"/>
          <w:sz w:val="19"/>
        </w:rPr>
        <w:t xml:space="preserve"> </w:t>
      </w:r>
      <w:proofErr w:type="spellStart"/>
      <w:r>
        <w:rPr>
          <w:sz w:val="19"/>
        </w:rPr>
        <w:t>interva</w:t>
      </w:r>
      <w:proofErr w:type="spellEnd"/>
      <w:r>
        <w:rPr>
          <w:spacing w:val="-12"/>
          <w:sz w:val="19"/>
        </w:rPr>
        <w:t xml:space="preserve"> </w:t>
      </w:r>
      <w:r>
        <w:rPr>
          <w:sz w:val="19"/>
        </w:rPr>
        <w:t>l;</w:t>
      </w:r>
      <w:r>
        <w:rPr>
          <w:spacing w:val="40"/>
          <w:sz w:val="19"/>
        </w:rPr>
        <w:t xml:space="preserve"> </w:t>
      </w:r>
      <w:r>
        <w:rPr>
          <w:sz w:val="19"/>
        </w:rPr>
        <w:t>LS</w:t>
      </w:r>
      <w:r>
        <w:rPr>
          <w:spacing w:val="38"/>
          <w:sz w:val="19"/>
        </w:rPr>
        <w:t xml:space="preserve"> </w:t>
      </w:r>
      <w:r>
        <w:rPr>
          <w:sz w:val="19"/>
        </w:rPr>
        <w:t>=</w:t>
      </w:r>
      <w:r>
        <w:rPr>
          <w:spacing w:val="37"/>
          <w:sz w:val="19"/>
        </w:rPr>
        <w:t xml:space="preserve"> </w:t>
      </w:r>
      <w:r>
        <w:rPr>
          <w:sz w:val="19"/>
        </w:rPr>
        <w:t>lea</w:t>
      </w:r>
      <w:r>
        <w:rPr>
          <w:spacing w:val="-12"/>
          <w:sz w:val="19"/>
        </w:rPr>
        <w:t xml:space="preserve"> </w:t>
      </w:r>
      <w:proofErr w:type="spellStart"/>
      <w:r>
        <w:rPr>
          <w:sz w:val="19"/>
        </w:rPr>
        <w:t>st</w:t>
      </w:r>
      <w:proofErr w:type="spellEnd"/>
      <w:r>
        <w:rPr>
          <w:spacing w:val="40"/>
          <w:sz w:val="19"/>
        </w:rPr>
        <w:t xml:space="preserve"> </w:t>
      </w:r>
      <w:proofErr w:type="spellStart"/>
      <w:r>
        <w:rPr>
          <w:sz w:val="19"/>
        </w:rPr>
        <w:t>squa</w:t>
      </w:r>
      <w:proofErr w:type="spellEnd"/>
      <w:r>
        <w:rPr>
          <w:spacing w:val="-12"/>
          <w:sz w:val="19"/>
        </w:rPr>
        <w:t xml:space="preserve"> </w:t>
      </w:r>
      <w:r>
        <w:rPr>
          <w:sz w:val="19"/>
        </w:rPr>
        <w:t>res;</w:t>
      </w:r>
      <w:r>
        <w:rPr>
          <w:spacing w:val="32"/>
          <w:sz w:val="19"/>
        </w:rPr>
        <w:t xml:space="preserve"> </w:t>
      </w:r>
      <w:r>
        <w:rPr>
          <w:sz w:val="19"/>
        </w:rPr>
        <w:t>n</w:t>
      </w:r>
      <w:r>
        <w:rPr>
          <w:spacing w:val="40"/>
          <w:sz w:val="19"/>
        </w:rPr>
        <w:t xml:space="preserve"> </w:t>
      </w:r>
      <w:r>
        <w:rPr>
          <w:sz w:val="19"/>
        </w:rPr>
        <w:t>=</w:t>
      </w:r>
      <w:r>
        <w:rPr>
          <w:spacing w:val="37"/>
          <w:sz w:val="19"/>
        </w:rPr>
        <w:t xml:space="preserve"> </w:t>
      </w:r>
      <w:r>
        <w:rPr>
          <w:sz w:val="19"/>
        </w:rPr>
        <w:t>number</w:t>
      </w:r>
      <w:r>
        <w:rPr>
          <w:spacing w:val="37"/>
          <w:sz w:val="19"/>
        </w:rPr>
        <w:t xml:space="preserve"> </w:t>
      </w:r>
      <w:r>
        <w:rPr>
          <w:sz w:val="19"/>
        </w:rPr>
        <w:t>of</w:t>
      </w:r>
      <w:r>
        <w:rPr>
          <w:spacing w:val="40"/>
          <w:sz w:val="19"/>
        </w:rPr>
        <w:t xml:space="preserve"> </w:t>
      </w:r>
      <w:r>
        <w:rPr>
          <w:sz w:val="19"/>
        </w:rPr>
        <w:t>patients</w:t>
      </w:r>
      <w:r>
        <w:rPr>
          <w:spacing w:val="40"/>
          <w:sz w:val="19"/>
        </w:rPr>
        <w:t xml:space="preserve"> </w:t>
      </w:r>
      <w:r>
        <w:rPr>
          <w:sz w:val="19"/>
        </w:rPr>
        <w:t>with</w:t>
      </w:r>
      <w:r>
        <w:rPr>
          <w:spacing w:val="40"/>
          <w:sz w:val="19"/>
        </w:rPr>
        <w:t xml:space="preserve"> </w:t>
      </w:r>
      <w:r>
        <w:rPr>
          <w:sz w:val="19"/>
        </w:rPr>
        <w:t>observations</w:t>
      </w:r>
      <w:r>
        <w:rPr>
          <w:spacing w:val="24"/>
          <w:sz w:val="19"/>
        </w:rPr>
        <w:t xml:space="preserve"> </w:t>
      </w:r>
      <w:r>
        <w:rPr>
          <w:sz w:val="19"/>
        </w:rPr>
        <w:t>at</w:t>
      </w:r>
      <w:r>
        <w:rPr>
          <w:spacing w:val="40"/>
          <w:sz w:val="19"/>
        </w:rPr>
        <w:t xml:space="preserve"> </w:t>
      </w:r>
      <w:r>
        <w:rPr>
          <w:sz w:val="19"/>
        </w:rPr>
        <w:t>the visit;</w:t>
      </w:r>
      <w:r>
        <w:rPr>
          <w:spacing w:val="40"/>
          <w:sz w:val="19"/>
        </w:rPr>
        <w:t xml:space="preserve"> </w:t>
      </w:r>
      <w:r>
        <w:rPr>
          <w:sz w:val="19"/>
        </w:rPr>
        <w:t>N</w:t>
      </w:r>
      <w:r>
        <w:rPr>
          <w:spacing w:val="40"/>
          <w:sz w:val="19"/>
        </w:rPr>
        <w:t xml:space="preserve"> </w:t>
      </w:r>
      <w:r>
        <w:rPr>
          <w:sz w:val="19"/>
        </w:rPr>
        <w:t>=</w:t>
      </w:r>
      <w:r>
        <w:rPr>
          <w:spacing w:val="40"/>
          <w:sz w:val="19"/>
        </w:rPr>
        <w:t xml:space="preserve"> </w:t>
      </w:r>
      <w:r>
        <w:rPr>
          <w:sz w:val="19"/>
        </w:rPr>
        <w:t>total</w:t>
      </w:r>
      <w:r>
        <w:rPr>
          <w:spacing w:val="-11"/>
          <w:sz w:val="19"/>
        </w:rPr>
        <w:t xml:space="preserve"> </w:t>
      </w:r>
      <w:r>
        <w:rPr>
          <w:sz w:val="19"/>
        </w:rPr>
        <w:t>number</w:t>
      </w:r>
      <w:r>
        <w:rPr>
          <w:spacing w:val="-4"/>
          <w:sz w:val="19"/>
        </w:rPr>
        <w:t xml:space="preserve"> </w:t>
      </w:r>
      <w:r>
        <w:rPr>
          <w:sz w:val="19"/>
        </w:rPr>
        <w:t>of patients; SEM</w:t>
      </w:r>
      <w:r>
        <w:rPr>
          <w:spacing w:val="40"/>
          <w:sz w:val="19"/>
        </w:rPr>
        <w:t xml:space="preserve"> </w:t>
      </w:r>
      <w:r>
        <w:rPr>
          <w:sz w:val="19"/>
        </w:rPr>
        <w:t>=</w:t>
      </w:r>
      <w:r>
        <w:rPr>
          <w:spacing w:val="40"/>
          <w:sz w:val="19"/>
        </w:rPr>
        <w:t xml:space="preserve"> </w:t>
      </w:r>
      <w:proofErr w:type="spellStart"/>
      <w:r>
        <w:rPr>
          <w:sz w:val="19"/>
        </w:rPr>
        <w:t>standa</w:t>
      </w:r>
      <w:proofErr w:type="spellEnd"/>
      <w:r>
        <w:rPr>
          <w:spacing w:val="-16"/>
          <w:sz w:val="19"/>
        </w:rPr>
        <w:t xml:space="preserve"> </w:t>
      </w:r>
      <w:proofErr w:type="spellStart"/>
      <w:r>
        <w:rPr>
          <w:sz w:val="19"/>
        </w:rPr>
        <w:t>rd</w:t>
      </w:r>
      <w:proofErr w:type="spellEnd"/>
      <w:r>
        <w:rPr>
          <w:sz w:val="19"/>
        </w:rPr>
        <w:t xml:space="preserve"> error</w:t>
      </w:r>
      <w:r>
        <w:rPr>
          <w:spacing w:val="-4"/>
          <w:sz w:val="19"/>
        </w:rPr>
        <w:t xml:space="preserve"> </w:t>
      </w:r>
      <w:r>
        <w:rPr>
          <w:sz w:val="19"/>
        </w:rPr>
        <w:t>of</w:t>
      </w:r>
      <w:r>
        <w:rPr>
          <w:spacing w:val="40"/>
          <w:sz w:val="19"/>
        </w:rPr>
        <w:t xml:space="preserve"> </w:t>
      </w:r>
      <w:r>
        <w:rPr>
          <w:sz w:val="19"/>
        </w:rPr>
        <w:t>the mean</w:t>
      </w:r>
    </w:p>
    <w:p w14:paraId="7C616817" w14:textId="77777777" w:rsidR="001825E2" w:rsidRDefault="000839A5" w:rsidP="00CB00A7">
      <w:pPr>
        <w:spacing w:line="254" w:lineRule="auto"/>
        <w:ind w:left="370" w:right="1064"/>
        <w:rPr>
          <w:sz w:val="19"/>
        </w:rPr>
      </w:pPr>
      <w:r>
        <w:rPr>
          <w:sz w:val="19"/>
        </w:rPr>
        <w:t>*</w:t>
      </w:r>
      <w:r>
        <w:rPr>
          <w:spacing w:val="40"/>
          <w:sz w:val="19"/>
        </w:rPr>
        <w:t xml:space="preserve"> </w:t>
      </w:r>
      <w:r>
        <w:rPr>
          <w:sz w:val="19"/>
        </w:rPr>
        <w:t>The</w:t>
      </w:r>
      <w:r>
        <w:rPr>
          <w:spacing w:val="33"/>
          <w:sz w:val="19"/>
        </w:rPr>
        <w:t xml:space="preserve"> </w:t>
      </w:r>
      <w:r>
        <w:rPr>
          <w:sz w:val="19"/>
        </w:rPr>
        <w:t>26-week</w:t>
      </w:r>
      <w:r>
        <w:rPr>
          <w:spacing w:val="40"/>
          <w:sz w:val="19"/>
        </w:rPr>
        <w:t xml:space="preserve"> </w:t>
      </w:r>
      <w:r>
        <w:rPr>
          <w:sz w:val="19"/>
        </w:rPr>
        <w:t>double-blind</w:t>
      </w:r>
      <w:r>
        <w:rPr>
          <w:spacing w:val="67"/>
          <w:sz w:val="19"/>
        </w:rPr>
        <w:t xml:space="preserve"> </w:t>
      </w:r>
      <w:r>
        <w:rPr>
          <w:sz w:val="19"/>
        </w:rPr>
        <w:t>phase is</w:t>
      </w:r>
      <w:r>
        <w:rPr>
          <w:spacing w:val="40"/>
          <w:sz w:val="19"/>
        </w:rPr>
        <w:t xml:space="preserve"> </w:t>
      </w:r>
      <w:r>
        <w:rPr>
          <w:sz w:val="19"/>
        </w:rPr>
        <w:t>from</w:t>
      </w:r>
      <w:r>
        <w:rPr>
          <w:spacing w:val="25"/>
          <w:sz w:val="19"/>
        </w:rPr>
        <w:t xml:space="preserve"> </w:t>
      </w:r>
      <w:r>
        <w:rPr>
          <w:sz w:val="19"/>
        </w:rPr>
        <w:t>Week</w:t>
      </w:r>
      <w:r>
        <w:rPr>
          <w:spacing w:val="40"/>
          <w:sz w:val="19"/>
        </w:rPr>
        <w:t xml:space="preserve"> </w:t>
      </w:r>
      <w:r>
        <w:rPr>
          <w:sz w:val="19"/>
        </w:rPr>
        <w:t>18</w:t>
      </w:r>
      <w:r>
        <w:rPr>
          <w:spacing w:val="40"/>
          <w:sz w:val="19"/>
        </w:rPr>
        <w:t xml:space="preserve"> </w:t>
      </w:r>
      <w:r>
        <w:rPr>
          <w:sz w:val="19"/>
        </w:rPr>
        <w:t>through</w:t>
      </w:r>
      <w:r>
        <w:rPr>
          <w:spacing w:val="40"/>
          <w:sz w:val="19"/>
        </w:rPr>
        <w:t xml:space="preserve"> </w:t>
      </w:r>
      <w:r>
        <w:rPr>
          <w:sz w:val="19"/>
        </w:rPr>
        <w:t>Week</w:t>
      </w:r>
      <w:r>
        <w:rPr>
          <w:spacing w:val="40"/>
          <w:sz w:val="19"/>
        </w:rPr>
        <w:t xml:space="preserve"> </w:t>
      </w:r>
      <w:r>
        <w:rPr>
          <w:sz w:val="19"/>
        </w:rPr>
        <w:t>44</w:t>
      </w:r>
      <w:r>
        <w:rPr>
          <w:spacing w:val="40"/>
          <w:sz w:val="19"/>
        </w:rPr>
        <w:t xml:space="preserve"> </w:t>
      </w:r>
      <w:r>
        <w:rPr>
          <w:sz w:val="19"/>
        </w:rPr>
        <w:t>on</w:t>
      </w:r>
      <w:r>
        <w:rPr>
          <w:spacing w:val="40"/>
          <w:sz w:val="19"/>
        </w:rPr>
        <w:t xml:space="preserve"> </w:t>
      </w:r>
      <w:r>
        <w:rPr>
          <w:sz w:val="19"/>
        </w:rPr>
        <w:t>and</w:t>
      </w:r>
      <w:r>
        <w:rPr>
          <w:spacing w:val="16"/>
          <w:sz w:val="19"/>
        </w:rPr>
        <w:t xml:space="preserve"> </w:t>
      </w:r>
      <w:r>
        <w:rPr>
          <w:sz w:val="19"/>
        </w:rPr>
        <w:t>after</w:t>
      </w:r>
      <w:r>
        <w:rPr>
          <w:spacing w:val="-6"/>
          <w:sz w:val="19"/>
        </w:rPr>
        <w:t xml:space="preserve"> </w:t>
      </w:r>
      <w:proofErr w:type="spellStart"/>
      <w:r>
        <w:rPr>
          <w:sz w:val="19"/>
        </w:rPr>
        <w:t>randomisa</w:t>
      </w:r>
      <w:proofErr w:type="spellEnd"/>
      <w:r>
        <w:rPr>
          <w:spacing w:val="-18"/>
          <w:sz w:val="19"/>
        </w:rPr>
        <w:t xml:space="preserve"> </w:t>
      </w:r>
      <w:proofErr w:type="spellStart"/>
      <w:r>
        <w:rPr>
          <w:sz w:val="19"/>
        </w:rPr>
        <w:t>tion</w:t>
      </w:r>
      <w:proofErr w:type="spellEnd"/>
      <w:r>
        <w:rPr>
          <w:spacing w:val="16"/>
          <w:sz w:val="19"/>
        </w:rPr>
        <w:t xml:space="preserve"> </w:t>
      </w:r>
      <w:r>
        <w:rPr>
          <w:sz w:val="19"/>
        </w:rPr>
        <w:t>day. The Type-I</w:t>
      </w:r>
      <w:r>
        <w:rPr>
          <w:spacing w:val="26"/>
          <w:sz w:val="19"/>
        </w:rPr>
        <w:t xml:space="preserve"> </w:t>
      </w:r>
      <w:r>
        <w:rPr>
          <w:sz w:val="19"/>
        </w:rPr>
        <w:t>error-controlled</w:t>
      </w:r>
      <w:r>
        <w:rPr>
          <w:spacing w:val="40"/>
          <w:sz w:val="19"/>
        </w:rPr>
        <w:t xml:space="preserve"> </w:t>
      </w:r>
      <w:r>
        <w:rPr>
          <w:sz w:val="19"/>
        </w:rPr>
        <w:t xml:space="preserve">endpoints </w:t>
      </w:r>
      <w:proofErr w:type="spellStart"/>
      <w:r>
        <w:rPr>
          <w:sz w:val="19"/>
        </w:rPr>
        <w:t>a</w:t>
      </w:r>
      <w:r>
        <w:rPr>
          <w:spacing w:val="-24"/>
          <w:sz w:val="19"/>
        </w:rPr>
        <w:t xml:space="preserve"> </w:t>
      </w:r>
      <w:proofErr w:type="gramStart"/>
      <w:r>
        <w:rPr>
          <w:sz w:val="19"/>
        </w:rPr>
        <w:t>re</w:t>
      </w:r>
      <w:proofErr w:type="spellEnd"/>
      <w:r>
        <w:rPr>
          <w:spacing w:val="-3"/>
          <w:sz w:val="19"/>
        </w:rPr>
        <w:t xml:space="preserve"> </w:t>
      </w:r>
      <w:r>
        <w:rPr>
          <w:sz w:val="19"/>
        </w:rPr>
        <w:t>tested</w:t>
      </w:r>
      <w:proofErr w:type="gramEnd"/>
      <w:r>
        <w:rPr>
          <w:spacing w:val="23"/>
          <w:sz w:val="19"/>
        </w:rPr>
        <w:t xml:space="preserve"> </w:t>
      </w:r>
      <w:r>
        <w:rPr>
          <w:sz w:val="19"/>
        </w:rPr>
        <w:t>in</w:t>
      </w:r>
      <w:r>
        <w:rPr>
          <w:spacing w:val="23"/>
          <w:sz w:val="19"/>
        </w:rPr>
        <w:t xml:space="preserve"> </w:t>
      </w:r>
      <w:r>
        <w:rPr>
          <w:sz w:val="19"/>
        </w:rPr>
        <w:t>this</w:t>
      </w:r>
      <w:r>
        <w:rPr>
          <w:spacing w:val="31"/>
          <w:sz w:val="19"/>
        </w:rPr>
        <w:t xml:space="preserve"> </w:t>
      </w:r>
      <w:r>
        <w:rPr>
          <w:sz w:val="19"/>
        </w:rPr>
        <w:t>order:</w:t>
      </w:r>
      <w:r>
        <w:rPr>
          <w:spacing w:val="20"/>
          <w:sz w:val="19"/>
        </w:rPr>
        <w:t xml:space="preserve"> </w:t>
      </w:r>
      <w:proofErr w:type="spellStart"/>
      <w:r>
        <w:rPr>
          <w:sz w:val="19"/>
        </w:rPr>
        <w:t>Disea</w:t>
      </w:r>
      <w:proofErr w:type="spellEnd"/>
      <w:r>
        <w:rPr>
          <w:spacing w:val="-24"/>
          <w:sz w:val="19"/>
        </w:rPr>
        <w:t xml:space="preserve"> </w:t>
      </w:r>
      <w:r>
        <w:rPr>
          <w:sz w:val="19"/>
        </w:rPr>
        <w:t>se</w:t>
      </w:r>
      <w:r>
        <w:rPr>
          <w:spacing w:val="36"/>
          <w:sz w:val="19"/>
        </w:rPr>
        <w:t xml:space="preserve"> </w:t>
      </w:r>
      <w:r>
        <w:rPr>
          <w:sz w:val="19"/>
        </w:rPr>
        <w:t>Fla</w:t>
      </w:r>
      <w:r>
        <w:rPr>
          <w:spacing w:val="-24"/>
          <w:sz w:val="19"/>
        </w:rPr>
        <w:t xml:space="preserve"> </w:t>
      </w:r>
      <w:r>
        <w:rPr>
          <w:sz w:val="19"/>
        </w:rPr>
        <w:t>re,</w:t>
      </w:r>
      <w:r>
        <w:rPr>
          <w:spacing w:val="27"/>
          <w:sz w:val="19"/>
        </w:rPr>
        <w:t xml:space="preserve"> </w:t>
      </w:r>
      <w:r>
        <w:rPr>
          <w:sz w:val="19"/>
        </w:rPr>
        <w:t>JIA</w:t>
      </w:r>
      <w:r>
        <w:rPr>
          <w:spacing w:val="24"/>
          <w:sz w:val="19"/>
        </w:rPr>
        <w:t xml:space="preserve"> </w:t>
      </w:r>
      <w:r>
        <w:rPr>
          <w:sz w:val="19"/>
        </w:rPr>
        <w:t>ACR50, JIA</w:t>
      </w:r>
      <w:r>
        <w:rPr>
          <w:spacing w:val="24"/>
          <w:sz w:val="19"/>
        </w:rPr>
        <w:t xml:space="preserve"> </w:t>
      </w:r>
      <w:r>
        <w:rPr>
          <w:sz w:val="19"/>
        </w:rPr>
        <w:t>ACR30, JIA ACR70, CHAQ</w:t>
      </w:r>
      <w:r>
        <w:rPr>
          <w:spacing w:val="40"/>
          <w:sz w:val="19"/>
        </w:rPr>
        <w:t xml:space="preserve"> </w:t>
      </w:r>
      <w:proofErr w:type="spellStart"/>
      <w:r>
        <w:rPr>
          <w:sz w:val="19"/>
        </w:rPr>
        <w:t>Disa</w:t>
      </w:r>
      <w:proofErr w:type="spellEnd"/>
      <w:r>
        <w:rPr>
          <w:spacing w:val="-16"/>
          <w:sz w:val="19"/>
        </w:rPr>
        <w:t xml:space="preserve"> </w:t>
      </w:r>
      <w:proofErr w:type="spellStart"/>
      <w:r>
        <w:rPr>
          <w:sz w:val="19"/>
        </w:rPr>
        <w:t>bility</w:t>
      </w:r>
      <w:proofErr w:type="spellEnd"/>
      <w:r>
        <w:rPr>
          <w:spacing w:val="40"/>
          <w:sz w:val="19"/>
        </w:rPr>
        <w:t xml:space="preserve"> </w:t>
      </w:r>
      <w:r>
        <w:rPr>
          <w:sz w:val="19"/>
        </w:rPr>
        <w:t>Index.</w:t>
      </w:r>
    </w:p>
    <w:p w14:paraId="3FE33C48" w14:textId="77777777" w:rsidR="001825E2" w:rsidRDefault="000839A5" w:rsidP="00CB00A7">
      <w:pPr>
        <w:pStyle w:val="BodyText"/>
        <w:spacing w:before="259"/>
        <w:ind w:left="220"/>
        <w:jc w:val="left"/>
      </w:pPr>
      <w:r>
        <w:t>The</w:t>
      </w:r>
      <w:r>
        <w:rPr>
          <w:spacing w:val="5"/>
        </w:rPr>
        <w:t xml:space="preserve"> </w:t>
      </w:r>
      <w:r>
        <w:t>occurrence</w:t>
      </w:r>
      <w:r>
        <w:rPr>
          <w:spacing w:val="9"/>
        </w:rPr>
        <w:t xml:space="preserve"> </w:t>
      </w:r>
      <w:r>
        <w:t>of</w:t>
      </w:r>
      <w:r>
        <w:rPr>
          <w:spacing w:val="-7"/>
        </w:rPr>
        <w:t xml:space="preserve"> </w:t>
      </w:r>
      <w:r>
        <w:t>disease</w:t>
      </w:r>
      <w:r>
        <w:rPr>
          <w:spacing w:val="9"/>
        </w:rPr>
        <w:t xml:space="preserve"> </w:t>
      </w:r>
      <w:r>
        <w:t>flare</w:t>
      </w:r>
      <w:r>
        <w:rPr>
          <w:spacing w:val="-5"/>
        </w:rPr>
        <w:t xml:space="preserve"> </w:t>
      </w:r>
      <w:r>
        <w:t>by</w:t>
      </w:r>
      <w:r>
        <w:rPr>
          <w:spacing w:val="-3"/>
        </w:rPr>
        <w:t xml:space="preserve"> </w:t>
      </w:r>
      <w:r>
        <w:t>visit</w:t>
      </w:r>
      <w:r>
        <w:rPr>
          <w:spacing w:val="19"/>
        </w:rPr>
        <w:t xml:space="preserve"> </w:t>
      </w:r>
      <w:r>
        <w:t>for</w:t>
      </w:r>
      <w:r>
        <w:rPr>
          <w:spacing w:val="-20"/>
        </w:rPr>
        <w:t xml:space="preserve"> </w:t>
      </w:r>
      <w:r>
        <w:t>Study</w:t>
      </w:r>
      <w:r>
        <w:rPr>
          <w:spacing w:val="-15"/>
        </w:rPr>
        <w:t xml:space="preserve"> </w:t>
      </w:r>
      <w:proofErr w:type="spellStart"/>
      <w:r>
        <w:t>pcJIA</w:t>
      </w:r>
      <w:proofErr w:type="spellEnd"/>
      <w:r>
        <w:t>-I</w:t>
      </w:r>
      <w:r>
        <w:rPr>
          <w:spacing w:val="-7"/>
        </w:rPr>
        <w:t xml:space="preserve"> </w:t>
      </w:r>
      <w:r>
        <w:t>is</w:t>
      </w:r>
      <w:r>
        <w:rPr>
          <w:spacing w:val="-7"/>
        </w:rPr>
        <w:t xml:space="preserve"> </w:t>
      </w:r>
      <w:r>
        <w:t>shown</w:t>
      </w:r>
      <w:r>
        <w:rPr>
          <w:spacing w:val="-3"/>
        </w:rPr>
        <w:t xml:space="preserve"> </w:t>
      </w:r>
      <w:r>
        <w:t>in</w:t>
      </w:r>
      <w:r>
        <w:rPr>
          <w:spacing w:val="-3"/>
        </w:rPr>
        <w:t xml:space="preserve"> </w:t>
      </w:r>
      <w:r>
        <w:t>Figure</w:t>
      </w:r>
      <w:r>
        <w:rPr>
          <w:spacing w:val="10"/>
        </w:rPr>
        <w:t xml:space="preserve"> </w:t>
      </w:r>
      <w:r>
        <w:rPr>
          <w:spacing w:val="-5"/>
        </w:rPr>
        <w:t>5.</w:t>
      </w:r>
    </w:p>
    <w:p w14:paraId="0B8C6ECD" w14:textId="77777777" w:rsidR="001825E2" w:rsidRDefault="000839A5" w:rsidP="00CB00A7">
      <w:pPr>
        <w:pStyle w:val="Heading3"/>
        <w:spacing w:before="254" w:line="235" w:lineRule="auto"/>
        <w:ind w:left="1208" w:right="745" w:hanging="989"/>
      </w:pPr>
      <w:r>
        <w:t>Figure</w:t>
      </w:r>
      <w:r>
        <w:rPr>
          <w:spacing w:val="-7"/>
        </w:rPr>
        <w:t xml:space="preserve"> </w:t>
      </w:r>
      <w:r>
        <w:t>5:</w:t>
      </w:r>
      <w:r>
        <w:rPr>
          <w:spacing w:val="-9"/>
        </w:rPr>
        <w:t xml:space="preserve"> </w:t>
      </w:r>
      <w:r>
        <w:t xml:space="preserve">Occurrence of disease flare by visit in the double-blind phase in patients with </w:t>
      </w:r>
      <w:proofErr w:type="spellStart"/>
      <w:r>
        <w:t>pcJIA</w:t>
      </w:r>
      <w:proofErr w:type="spellEnd"/>
      <w:r>
        <w:t xml:space="preserve"> in Study </w:t>
      </w:r>
      <w:proofErr w:type="spellStart"/>
      <w:r>
        <w:t>pcJIA</w:t>
      </w:r>
      <w:proofErr w:type="spellEnd"/>
      <w:r>
        <w:t>-</w:t>
      </w:r>
      <w:proofErr w:type="gramStart"/>
      <w:r>
        <w:t>I</w:t>
      </w:r>
      <w:proofErr w:type="gramEnd"/>
    </w:p>
    <w:p w14:paraId="25835D61" w14:textId="77777777" w:rsidR="001825E2" w:rsidRDefault="000839A5" w:rsidP="00CB00A7">
      <w:pPr>
        <w:pStyle w:val="BodyText"/>
        <w:spacing w:before="9"/>
        <w:jc w:val="left"/>
        <w:rPr>
          <w:b/>
          <w:sz w:val="20"/>
        </w:rPr>
      </w:pPr>
      <w:r>
        <w:rPr>
          <w:noProof/>
        </w:rPr>
        <w:drawing>
          <wp:anchor distT="0" distB="0" distL="0" distR="0" simplePos="0" relativeHeight="487596544" behindDoc="1" locked="0" layoutInCell="1" allowOverlap="1" wp14:anchorId="03D35A8B" wp14:editId="5E4542E3">
            <wp:simplePos x="0" y="0"/>
            <wp:positionH relativeFrom="page">
              <wp:posOffset>1005369</wp:posOffset>
            </wp:positionH>
            <wp:positionV relativeFrom="paragraph">
              <wp:posOffset>167376</wp:posOffset>
            </wp:positionV>
            <wp:extent cx="5429247" cy="2942653"/>
            <wp:effectExtent l="0" t="0" r="0" b="0"/>
            <wp:wrapTopAndBottom/>
            <wp:docPr id="183" name="Imag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3" name="Image 183"/>
                    <pic:cNvPicPr/>
                  </pic:nvPicPr>
                  <pic:blipFill>
                    <a:blip r:embed="rId15" cstate="print"/>
                    <a:stretch>
                      <a:fillRect/>
                    </a:stretch>
                  </pic:blipFill>
                  <pic:spPr>
                    <a:xfrm>
                      <a:off x="0" y="0"/>
                      <a:ext cx="5429247" cy="2942653"/>
                    </a:xfrm>
                    <a:prstGeom prst="rect">
                      <a:avLst/>
                    </a:prstGeom>
                  </pic:spPr>
                </pic:pic>
              </a:graphicData>
            </a:graphic>
          </wp:anchor>
        </w:drawing>
      </w:r>
    </w:p>
    <w:p w14:paraId="3BA220D7" w14:textId="77777777" w:rsidR="001825E2" w:rsidRDefault="001825E2" w:rsidP="00CB00A7">
      <w:pPr>
        <w:rPr>
          <w:sz w:val="20"/>
        </w:rPr>
        <w:sectPr w:rsidR="001825E2">
          <w:pgSz w:w="11910" w:h="16850"/>
          <w:pgMar w:top="1360" w:right="700" w:bottom="980" w:left="1220" w:header="0" w:footer="785" w:gutter="0"/>
          <w:cols w:space="720"/>
        </w:sectPr>
      </w:pPr>
    </w:p>
    <w:p w14:paraId="55D2A056" w14:textId="77777777" w:rsidR="001825E2" w:rsidRDefault="000839A5" w:rsidP="00CB00A7">
      <w:pPr>
        <w:spacing w:before="77"/>
        <w:ind w:left="220"/>
        <w:rPr>
          <w:sz w:val="19"/>
        </w:rPr>
      </w:pPr>
      <w:r>
        <w:rPr>
          <w:sz w:val="19"/>
        </w:rPr>
        <w:lastRenderedPageBreak/>
        <w:t>BD</w:t>
      </w:r>
      <w:r>
        <w:rPr>
          <w:spacing w:val="22"/>
          <w:sz w:val="19"/>
        </w:rPr>
        <w:t xml:space="preserve"> </w:t>
      </w:r>
      <w:r>
        <w:rPr>
          <w:sz w:val="19"/>
        </w:rPr>
        <w:t>=</w:t>
      </w:r>
      <w:r>
        <w:rPr>
          <w:spacing w:val="23"/>
          <w:sz w:val="19"/>
        </w:rPr>
        <w:t xml:space="preserve"> </w:t>
      </w:r>
      <w:r>
        <w:rPr>
          <w:sz w:val="19"/>
        </w:rPr>
        <w:t>twice</w:t>
      </w:r>
      <w:r>
        <w:rPr>
          <w:spacing w:val="34"/>
          <w:sz w:val="19"/>
        </w:rPr>
        <w:t xml:space="preserve"> </w:t>
      </w:r>
      <w:r>
        <w:rPr>
          <w:sz w:val="19"/>
        </w:rPr>
        <w:t>daily;</w:t>
      </w:r>
      <w:r>
        <w:rPr>
          <w:spacing w:val="18"/>
          <w:sz w:val="19"/>
        </w:rPr>
        <w:t xml:space="preserve"> </w:t>
      </w:r>
      <w:r>
        <w:rPr>
          <w:sz w:val="19"/>
        </w:rPr>
        <w:t>SE</w:t>
      </w:r>
      <w:r>
        <w:rPr>
          <w:spacing w:val="32"/>
          <w:sz w:val="19"/>
        </w:rPr>
        <w:t xml:space="preserve"> </w:t>
      </w:r>
      <w:r>
        <w:rPr>
          <w:sz w:val="19"/>
        </w:rPr>
        <w:t>=</w:t>
      </w:r>
      <w:r>
        <w:rPr>
          <w:spacing w:val="4"/>
          <w:sz w:val="19"/>
        </w:rPr>
        <w:t xml:space="preserve"> </w:t>
      </w:r>
      <w:proofErr w:type="spellStart"/>
      <w:r>
        <w:rPr>
          <w:sz w:val="19"/>
        </w:rPr>
        <w:t>sta</w:t>
      </w:r>
      <w:proofErr w:type="spellEnd"/>
      <w:r>
        <w:rPr>
          <w:spacing w:val="-25"/>
          <w:sz w:val="19"/>
        </w:rPr>
        <w:t xml:space="preserve"> </w:t>
      </w:r>
      <w:proofErr w:type="spellStart"/>
      <w:r>
        <w:rPr>
          <w:sz w:val="19"/>
        </w:rPr>
        <w:t>ndard</w:t>
      </w:r>
      <w:proofErr w:type="spellEnd"/>
      <w:r>
        <w:rPr>
          <w:spacing w:val="1"/>
          <w:sz w:val="19"/>
        </w:rPr>
        <w:t xml:space="preserve"> </w:t>
      </w:r>
      <w:r>
        <w:rPr>
          <w:sz w:val="19"/>
        </w:rPr>
        <w:t>error;</w:t>
      </w:r>
      <w:r>
        <w:rPr>
          <w:spacing w:val="19"/>
          <w:sz w:val="19"/>
        </w:rPr>
        <w:t xml:space="preserve"> </w:t>
      </w:r>
      <w:r>
        <w:rPr>
          <w:sz w:val="19"/>
        </w:rPr>
        <w:t>N</w:t>
      </w:r>
      <w:r>
        <w:rPr>
          <w:spacing w:val="22"/>
          <w:sz w:val="19"/>
        </w:rPr>
        <w:t xml:space="preserve"> </w:t>
      </w:r>
      <w:r>
        <w:rPr>
          <w:sz w:val="19"/>
        </w:rPr>
        <w:t>=</w:t>
      </w:r>
      <w:r>
        <w:rPr>
          <w:spacing w:val="24"/>
          <w:sz w:val="19"/>
        </w:rPr>
        <w:t xml:space="preserve"> </w:t>
      </w:r>
      <w:r>
        <w:rPr>
          <w:sz w:val="19"/>
        </w:rPr>
        <w:t>total</w:t>
      </w:r>
      <w:r>
        <w:rPr>
          <w:spacing w:val="-21"/>
          <w:sz w:val="19"/>
        </w:rPr>
        <w:t xml:space="preserve"> </w:t>
      </w:r>
      <w:r>
        <w:rPr>
          <w:sz w:val="19"/>
        </w:rPr>
        <w:t>number</w:t>
      </w:r>
      <w:r>
        <w:rPr>
          <w:spacing w:val="-16"/>
          <w:sz w:val="19"/>
        </w:rPr>
        <w:t xml:space="preserve"> </w:t>
      </w:r>
      <w:r>
        <w:rPr>
          <w:sz w:val="19"/>
        </w:rPr>
        <w:t>of</w:t>
      </w:r>
      <w:r>
        <w:rPr>
          <w:spacing w:val="4"/>
          <w:sz w:val="19"/>
        </w:rPr>
        <w:t xml:space="preserve"> </w:t>
      </w:r>
      <w:r>
        <w:rPr>
          <w:spacing w:val="-2"/>
          <w:sz w:val="19"/>
        </w:rPr>
        <w:t>patients.</w:t>
      </w:r>
    </w:p>
    <w:p w14:paraId="0C5DE0FB" w14:textId="77777777" w:rsidR="001825E2" w:rsidRDefault="000839A5" w:rsidP="00CB00A7">
      <w:pPr>
        <w:spacing w:before="7"/>
        <w:ind w:left="220"/>
        <w:rPr>
          <w:sz w:val="19"/>
        </w:rPr>
      </w:pPr>
      <w:r>
        <w:rPr>
          <w:sz w:val="19"/>
        </w:rPr>
        <w:t>The</w:t>
      </w:r>
      <w:r>
        <w:rPr>
          <w:spacing w:val="21"/>
          <w:sz w:val="19"/>
        </w:rPr>
        <w:t xml:space="preserve"> </w:t>
      </w:r>
      <w:r>
        <w:rPr>
          <w:sz w:val="19"/>
        </w:rPr>
        <w:t>26-week</w:t>
      </w:r>
      <w:r>
        <w:rPr>
          <w:spacing w:val="30"/>
          <w:sz w:val="19"/>
        </w:rPr>
        <w:t xml:space="preserve"> </w:t>
      </w:r>
      <w:r>
        <w:rPr>
          <w:sz w:val="19"/>
        </w:rPr>
        <w:t>double-blind</w:t>
      </w:r>
      <w:r>
        <w:rPr>
          <w:spacing w:val="51"/>
          <w:sz w:val="19"/>
        </w:rPr>
        <w:t xml:space="preserve"> </w:t>
      </w:r>
      <w:r>
        <w:rPr>
          <w:sz w:val="19"/>
        </w:rPr>
        <w:t>phase is</w:t>
      </w:r>
      <w:r>
        <w:rPr>
          <w:spacing w:val="38"/>
          <w:sz w:val="19"/>
        </w:rPr>
        <w:t xml:space="preserve"> </w:t>
      </w:r>
      <w:r>
        <w:rPr>
          <w:sz w:val="19"/>
        </w:rPr>
        <w:t>from</w:t>
      </w:r>
      <w:r>
        <w:rPr>
          <w:spacing w:val="15"/>
          <w:sz w:val="19"/>
        </w:rPr>
        <w:t xml:space="preserve"> </w:t>
      </w:r>
      <w:r>
        <w:rPr>
          <w:sz w:val="19"/>
        </w:rPr>
        <w:t>Week</w:t>
      </w:r>
      <w:r>
        <w:rPr>
          <w:spacing w:val="28"/>
          <w:sz w:val="19"/>
        </w:rPr>
        <w:t xml:space="preserve"> </w:t>
      </w:r>
      <w:r>
        <w:rPr>
          <w:sz w:val="19"/>
        </w:rPr>
        <w:t>18</w:t>
      </w:r>
      <w:r>
        <w:rPr>
          <w:spacing w:val="29"/>
          <w:sz w:val="19"/>
        </w:rPr>
        <w:t xml:space="preserve"> </w:t>
      </w:r>
      <w:r>
        <w:rPr>
          <w:sz w:val="19"/>
        </w:rPr>
        <w:t>through</w:t>
      </w:r>
      <w:r>
        <w:rPr>
          <w:spacing w:val="28"/>
          <w:sz w:val="19"/>
        </w:rPr>
        <w:t xml:space="preserve"> </w:t>
      </w:r>
      <w:r>
        <w:rPr>
          <w:sz w:val="19"/>
        </w:rPr>
        <w:t>Week</w:t>
      </w:r>
      <w:r>
        <w:rPr>
          <w:spacing w:val="29"/>
          <w:sz w:val="19"/>
        </w:rPr>
        <w:t xml:space="preserve"> </w:t>
      </w:r>
      <w:r>
        <w:rPr>
          <w:sz w:val="19"/>
        </w:rPr>
        <w:t>44</w:t>
      </w:r>
      <w:r>
        <w:rPr>
          <w:spacing w:val="28"/>
          <w:sz w:val="19"/>
        </w:rPr>
        <w:t xml:space="preserve"> </w:t>
      </w:r>
      <w:r>
        <w:rPr>
          <w:sz w:val="19"/>
        </w:rPr>
        <w:t>on</w:t>
      </w:r>
      <w:r>
        <w:rPr>
          <w:spacing w:val="29"/>
          <w:sz w:val="19"/>
        </w:rPr>
        <w:t xml:space="preserve"> </w:t>
      </w:r>
      <w:r>
        <w:rPr>
          <w:sz w:val="19"/>
        </w:rPr>
        <w:t>and</w:t>
      </w:r>
      <w:r>
        <w:rPr>
          <w:spacing w:val="6"/>
          <w:sz w:val="19"/>
        </w:rPr>
        <w:t xml:space="preserve"> </w:t>
      </w:r>
      <w:r>
        <w:rPr>
          <w:sz w:val="19"/>
        </w:rPr>
        <w:t>after</w:t>
      </w:r>
      <w:r>
        <w:rPr>
          <w:spacing w:val="-12"/>
          <w:sz w:val="19"/>
        </w:rPr>
        <w:t xml:space="preserve"> </w:t>
      </w:r>
      <w:proofErr w:type="spellStart"/>
      <w:r>
        <w:rPr>
          <w:sz w:val="19"/>
        </w:rPr>
        <w:t>randomisation</w:t>
      </w:r>
      <w:proofErr w:type="spellEnd"/>
      <w:r>
        <w:rPr>
          <w:spacing w:val="8"/>
          <w:sz w:val="19"/>
        </w:rPr>
        <w:t xml:space="preserve"> </w:t>
      </w:r>
      <w:r>
        <w:rPr>
          <w:spacing w:val="-4"/>
          <w:sz w:val="19"/>
        </w:rPr>
        <w:t>day.</w:t>
      </w:r>
    </w:p>
    <w:p w14:paraId="088CB994" w14:textId="77777777" w:rsidR="001825E2" w:rsidRDefault="001825E2" w:rsidP="00CB00A7">
      <w:pPr>
        <w:pStyle w:val="BodyText"/>
        <w:spacing w:before="71"/>
        <w:jc w:val="left"/>
        <w:rPr>
          <w:sz w:val="19"/>
        </w:rPr>
      </w:pPr>
    </w:p>
    <w:p w14:paraId="19B825AE" w14:textId="77777777" w:rsidR="001825E2" w:rsidRDefault="000839A5" w:rsidP="00CB00A7">
      <w:pPr>
        <w:pStyle w:val="BodyText"/>
        <w:ind w:left="220"/>
        <w:jc w:val="left"/>
      </w:pPr>
      <w:r>
        <w:t>The</w:t>
      </w:r>
      <w:r>
        <w:rPr>
          <w:spacing w:val="8"/>
        </w:rPr>
        <w:t xml:space="preserve"> </w:t>
      </w:r>
      <w:r>
        <w:t>ACR50</w:t>
      </w:r>
      <w:r>
        <w:rPr>
          <w:spacing w:val="-15"/>
        </w:rPr>
        <w:t xml:space="preserve"> </w:t>
      </w:r>
      <w:r>
        <w:t>response</w:t>
      </w:r>
      <w:r>
        <w:rPr>
          <w:spacing w:val="11"/>
        </w:rPr>
        <w:t xml:space="preserve"> </w:t>
      </w:r>
      <w:r>
        <w:t>rates</w:t>
      </w:r>
      <w:r>
        <w:rPr>
          <w:spacing w:val="-5"/>
        </w:rPr>
        <w:t xml:space="preserve"> </w:t>
      </w:r>
      <w:r>
        <w:t>by</w:t>
      </w:r>
      <w:r>
        <w:rPr>
          <w:spacing w:val="-1"/>
        </w:rPr>
        <w:t xml:space="preserve"> </w:t>
      </w:r>
      <w:r>
        <w:t>visit</w:t>
      </w:r>
      <w:r>
        <w:rPr>
          <w:spacing w:val="21"/>
        </w:rPr>
        <w:t xml:space="preserve"> </w:t>
      </w:r>
      <w:r>
        <w:t>for</w:t>
      </w:r>
      <w:r>
        <w:rPr>
          <w:spacing w:val="-20"/>
        </w:rPr>
        <w:t xml:space="preserve"> </w:t>
      </w:r>
      <w:r>
        <w:t>Study</w:t>
      </w:r>
      <w:r>
        <w:rPr>
          <w:spacing w:val="-15"/>
        </w:rPr>
        <w:t xml:space="preserve"> </w:t>
      </w:r>
      <w:proofErr w:type="spellStart"/>
      <w:r>
        <w:t>pcJIA</w:t>
      </w:r>
      <w:proofErr w:type="spellEnd"/>
      <w:r>
        <w:t>-I</w:t>
      </w:r>
      <w:r>
        <w:rPr>
          <w:spacing w:val="-6"/>
        </w:rPr>
        <w:t xml:space="preserve"> </w:t>
      </w:r>
      <w:r>
        <w:t>is</w:t>
      </w:r>
      <w:r>
        <w:rPr>
          <w:spacing w:val="-5"/>
        </w:rPr>
        <w:t xml:space="preserve"> </w:t>
      </w:r>
      <w:r>
        <w:t>shown</w:t>
      </w:r>
      <w:r>
        <w:rPr>
          <w:spacing w:val="-2"/>
        </w:rPr>
        <w:t xml:space="preserve"> </w:t>
      </w:r>
      <w:r>
        <w:t>in</w:t>
      </w:r>
      <w:r>
        <w:rPr>
          <w:spacing w:val="-2"/>
        </w:rPr>
        <w:t xml:space="preserve"> </w:t>
      </w:r>
      <w:r>
        <w:t>Figure</w:t>
      </w:r>
      <w:r>
        <w:rPr>
          <w:spacing w:val="12"/>
        </w:rPr>
        <w:t xml:space="preserve"> </w:t>
      </w:r>
      <w:r>
        <w:rPr>
          <w:spacing w:val="-5"/>
        </w:rPr>
        <w:t>6.</w:t>
      </w:r>
    </w:p>
    <w:p w14:paraId="488A3F8E" w14:textId="77777777" w:rsidR="001825E2" w:rsidRDefault="000839A5" w:rsidP="00CB00A7">
      <w:pPr>
        <w:pStyle w:val="Heading3"/>
        <w:spacing w:before="234" w:line="247" w:lineRule="auto"/>
        <w:ind w:left="1208" w:right="745" w:hanging="989"/>
      </w:pPr>
      <w:r>
        <w:t>Figure</w:t>
      </w:r>
      <w:r>
        <w:rPr>
          <w:spacing w:val="-5"/>
        </w:rPr>
        <w:t xml:space="preserve"> </w:t>
      </w:r>
      <w:r>
        <w:t>6:</w:t>
      </w:r>
      <w:r>
        <w:rPr>
          <w:spacing w:val="-9"/>
        </w:rPr>
        <w:t xml:space="preserve"> </w:t>
      </w:r>
      <w:r>
        <w:t>ACR50</w:t>
      </w:r>
      <w:r>
        <w:rPr>
          <w:spacing w:val="40"/>
        </w:rPr>
        <w:t xml:space="preserve"> </w:t>
      </w:r>
      <w:r>
        <w:t>response</w:t>
      </w:r>
      <w:r>
        <w:rPr>
          <w:spacing w:val="40"/>
        </w:rPr>
        <w:t xml:space="preserve"> </w:t>
      </w:r>
      <w:r>
        <w:t>by</w:t>
      </w:r>
      <w:r>
        <w:rPr>
          <w:spacing w:val="40"/>
        </w:rPr>
        <w:t xml:space="preserve"> </w:t>
      </w:r>
      <w:r>
        <w:t>visit</w:t>
      </w:r>
      <w:r>
        <w:rPr>
          <w:spacing w:val="40"/>
        </w:rPr>
        <w:t xml:space="preserve"> </w:t>
      </w:r>
      <w:r>
        <w:t>in</w:t>
      </w:r>
      <w:r>
        <w:rPr>
          <w:spacing w:val="40"/>
        </w:rPr>
        <w:t xml:space="preserve"> </w:t>
      </w:r>
      <w:r>
        <w:t>double-blind</w:t>
      </w:r>
      <w:r>
        <w:rPr>
          <w:spacing w:val="40"/>
        </w:rPr>
        <w:t xml:space="preserve"> </w:t>
      </w:r>
      <w:r>
        <w:t>phase</w:t>
      </w:r>
      <w:r>
        <w:rPr>
          <w:spacing w:val="40"/>
        </w:rPr>
        <w:t xml:space="preserve"> </w:t>
      </w:r>
      <w:r>
        <w:t>in</w:t>
      </w:r>
      <w:r>
        <w:rPr>
          <w:spacing w:val="40"/>
        </w:rPr>
        <w:t xml:space="preserve"> </w:t>
      </w:r>
      <w:r>
        <w:t>patients</w:t>
      </w:r>
      <w:r>
        <w:rPr>
          <w:spacing w:val="40"/>
        </w:rPr>
        <w:t xml:space="preserve"> </w:t>
      </w:r>
      <w:r>
        <w:t>with</w:t>
      </w:r>
      <w:r>
        <w:rPr>
          <w:spacing w:val="40"/>
        </w:rPr>
        <w:t xml:space="preserve"> </w:t>
      </w:r>
      <w:proofErr w:type="spellStart"/>
      <w:r>
        <w:t>pcJIA</w:t>
      </w:r>
      <w:proofErr w:type="spellEnd"/>
      <w:r>
        <w:rPr>
          <w:spacing w:val="40"/>
        </w:rPr>
        <w:t xml:space="preserve"> </w:t>
      </w:r>
      <w:r>
        <w:t xml:space="preserve">in Study </w:t>
      </w:r>
      <w:proofErr w:type="spellStart"/>
      <w:r>
        <w:t>pcJIA</w:t>
      </w:r>
      <w:proofErr w:type="spellEnd"/>
      <w:r>
        <w:t>-</w:t>
      </w:r>
      <w:proofErr w:type="gramStart"/>
      <w:r>
        <w:t>I</w:t>
      </w:r>
      <w:proofErr w:type="gramEnd"/>
    </w:p>
    <w:p w14:paraId="7AB4FF07" w14:textId="77777777" w:rsidR="001825E2" w:rsidRDefault="000839A5" w:rsidP="00CB00A7">
      <w:pPr>
        <w:pStyle w:val="BodyText"/>
        <w:spacing w:before="6"/>
        <w:jc w:val="left"/>
        <w:rPr>
          <w:b/>
          <w:sz w:val="4"/>
        </w:rPr>
      </w:pPr>
      <w:r>
        <w:rPr>
          <w:noProof/>
        </w:rPr>
        <w:drawing>
          <wp:anchor distT="0" distB="0" distL="0" distR="0" simplePos="0" relativeHeight="487597056" behindDoc="1" locked="0" layoutInCell="1" allowOverlap="1" wp14:anchorId="2223E7BE" wp14:editId="567E1F5E">
            <wp:simplePos x="0" y="0"/>
            <wp:positionH relativeFrom="page">
              <wp:posOffset>1008455</wp:posOffset>
            </wp:positionH>
            <wp:positionV relativeFrom="paragraph">
              <wp:posOffset>48302</wp:posOffset>
            </wp:positionV>
            <wp:extent cx="5663380" cy="2982277"/>
            <wp:effectExtent l="0" t="0" r="0" b="0"/>
            <wp:wrapTopAndBottom/>
            <wp:docPr id="184" name="Imag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4" name="Image 184"/>
                    <pic:cNvPicPr/>
                  </pic:nvPicPr>
                  <pic:blipFill>
                    <a:blip r:embed="rId16" cstate="print"/>
                    <a:stretch>
                      <a:fillRect/>
                    </a:stretch>
                  </pic:blipFill>
                  <pic:spPr>
                    <a:xfrm>
                      <a:off x="0" y="0"/>
                      <a:ext cx="5663380" cy="2982277"/>
                    </a:xfrm>
                    <a:prstGeom prst="rect">
                      <a:avLst/>
                    </a:prstGeom>
                  </pic:spPr>
                </pic:pic>
              </a:graphicData>
            </a:graphic>
          </wp:anchor>
        </w:drawing>
      </w:r>
    </w:p>
    <w:p w14:paraId="0CA8A496" w14:textId="77777777" w:rsidR="001825E2" w:rsidRDefault="000839A5" w:rsidP="00CB00A7">
      <w:pPr>
        <w:spacing w:line="247" w:lineRule="auto"/>
        <w:ind w:left="220" w:right="745" w:hanging="1"/>
        <w:rPr>
          <w:sz w:val="19"/>
        </w:rPr>
      </w:pPr>
      <w:r>
        <w:rPr>
          <w:sz w:val="18"/>
        </w:rPr>
        <w:t>A</w:t>
      </w:r>
      <w:r>
        <w:rPr>
          <w:sz w:val="19"/>
        </w:rPr>
        <w:t>CR</w:t>
      </w:r>
      <w:r>
        <w:rPr>
          <w:spacing w:val="40"/>
          <w:sz w:val="19"/>
        </w:rPr>
        <w:t xml:space="preserve"> </w:t>
      </w:r>
      <w:r>
        <w:rPr>
          <w:sz w:val="19"/>
        </w:rPr>
        <w:t>=</w:t>
      </w:r>
      <w:r>
        <w:rPr>
          <w:spacing w:val="56"/>
          <w:sz w:val="19"/>
        </w:rPr>
        <w:t xml:space="preserve"> </w:t>
      </w:r>
      <w:r>
        <w:rPr>
          <w:sz w:val="19"/>
        </w:rPr>
        <w:t>American</w:t>
      </w:r>
      <w:r>
        <w:rPr>
          <w:spacing w:val="40"/>
          <w:sz w:val="19"/>
        </w:rPr>
        <w:t xml:space="preserve"> </w:t>
      </w:r>
      <w:r>
        <w:rPr>
          <w:sz w:val="19"/>
        </w:rPr>
        <w:t>Colle</w:t>
      </w:r>
      <w:r>
        <w:rPr>
          <w:spacing w:val="-26"/>
          <w:sz w:val="19"/>
        </w:rPr>
        <w:t xml:space="preserve"> </w:t>
      </w:r>
      <w:proofErr w:type="spellStart"/>
      <w:r>
        <w:rPr>
          <w:sz w:val="19"/>
        </w:rPr>
        <w:t>ge</w:t>
      </w:r>
      <w:proofErr w:type="spellEnd"/>
      <w:r>
        <w:rPr>
          <w:spacing w:val="40"/>
          <w:sz w:val="19"/>
        </w:rPr>
        <w:t xml:space="preserve"> </w:t>
      </w:r>
      <w:r>
        <w:rPr>
          <w:sz w:val="19"/>
        </w:rPr>
        <w:t>of</w:t>
      </w:r>
      <w:r>
        <w:rPr>
          <w:spacing w:val="56"/>
          <w:sz w:val="19"/>
        </w:rPr>
        <w:t xml:space="preserve"> </w:t>
      </w:r>
      <w:r>
        <w:rPr>
          <w:sz w:val="19"/>
        </w:rPr>
        <w:t>Rheumatology;</w:t>
      </w:r>
      <w:r>
        <w:rPr>
          <w:spacing w:val="40"/>
          <w:sz w:val="19"/>
        </w:rPr>
        <w:t xml:space="preserve"> </w:t>
      </w:r>
      <w:r>
        <w:rPr>
          <w:sz w:val="19"/>
        </w:rPr>
        <w:t>BD</w:t>
      </w:r>
      <w:r>
        <w:rPr>
          <w:spacing w:val="40"/>
          <w:sz w:val="19"/>
        </w:rPr>
        <w:t xml:space="preserve"> </w:t>
      </w:r>
      <w:r>
        <w:rPr>
          <w:sz w:val="19"/>
        </w:rPr>
        <w:t>=</w:t>
      </w:r>
      <w:r>
        <w:rPr>
          <w:spacing w:val="56"/>
          <w:sz w:val="19"/>
        </w:rPr>
        <w:t xml:space="preserve"> </w:t>
      </w:r>
      <w:r>
        <w:rPr>
          <w:sz w:val="19"/>
        </w:rPr>
        <w:t>twice</w:t>
      </w:r>
      <w:r>
        <w:rPr>
          <w:spacing w:val="66"/>
          <w:sz w:val="19"/>
        </w:rPr>
        <w:t xml:space="preserve"> </w:t>
      </w:r>
      <w:r>
        <w:rPr>
          <w:sz w:val="19"/>
        </w:rPr>
        <w:t>da</w:t>
      </w:r>
      <w:r>
        <w:rPr>
          <w:spacing w:val="-26"/>
          <w:sz w:val="19"/>
        </w:rPr>
        <w:t xml:space="preserve"> </w:t>
      </w:r>
      <w:proofErr w:type="spellStart"/>
      <w:r>
        <w:rPr>
          <w:sz w:val="19"/>
        </w:rPr>
        <w:t>ily</w:t>
      </w:r>
      <w:proofErr w:type="spellEnd"/>
      <w:r>
        <w:rPr>
          <w:sz w:val="19"/>
        </w:rPr>
        <w:t>;</w:t>
      </w:r>
      <w:r>
        <w:rPr>
          <w:spacing w:val="40"/>
          <w:sz w:val="19"/>
        </w:rPr>
        <w:t xml:space="preserve"> </w:t>
      </w:r>
      <w:r>
        <w:rPr>
          <w:sz w:val="19"/>
        </w:rPr>
        <w:t>SE</w:t>
      </w:r>
      <w:r>
        <w:rPr>
          <w:spacing w:val="80"/>
          <w:sz w:val="19"/>
        </w:rPr>
        <w:t xml:space="preserve"> </w:t>
      </w:r>
      <w:r>
        <w:rPr>
          <w:sz w:val="19"/>
        </w:rPr>
        <w:t>=</w:t>
      </w:r>
      <w:r>
        <w:rPr>
          <w:spacing w:val="56"/>
          <w:sz w:val="19"/>
        </w:rPr>
        <w:t xml:space="preserve"> </w:t>
      </w:r>
      <w:proofErr w:type="spellStart"/>
      <w:r>
        <w:rPr>
          <w:sz w:val="19"/>
        </w:rPr>
        <w:t>sta</w:t>
      </w:r>
      <w:proofErr w:type="spellEnd"/>
      <w:r>
        <w:rPr>
          <w:spacing w:val="-26"/>
          <w:sz w:val="19"/>
        </w:rPr>
        <w:t xml:space="preserve"> </w:t>
      </w:r>
      <w:proofErr w:type="spellStart"/>
      <w:r>
        <w:rPr>
          <w:sz w:val="19"/>
        </w:rPr>
        <w:t>ndard</w:t>
      </w:r>
      <w:proofErr w:type="spellEnd"/>
      <w:r>
        <w:rPr>
          <w:spacing w:val="40"/>
          <w:sz w:val="19"/>
        </w:rPr>
        <w:t xml:space="preserve"> </w:t>
      </w:r>
      <w:r>
        <w:rPr>
          <w:sz w:val="19"/>
        </w:rPr>
        <w:t>error;</w:t>
      </w:r>
      <w:r>
        <w:rPr>
          <w:spacing w:val="69"/>
          <w:sz w:val="19"/>
        </w:rPr>
        <w:t xml:space="preserve"> </w:t>
      </w:r>
      <w:r>
        <w:rPr>
          <w:sz w:val="19"/>
        </w:rPr>
        <w:t>N</w:t>
      </w:r>
      <w:r>
        <w:rPr>
          <w:spacing w:val="40"/>
          <w:sz w:val="19"/>
        </w:rPr>
        <w:t xml:space="preserve"> </w:t>
      </w:r>
      <w:r>
        <w:rPr>
          <w:sz w:val="19"/>
        </w:rPr>
        <w:t>=</w:t>
      </w:r>
      <w:r>
        <w:rPr>
          <w:spacing w:val="56"/>
          <w:sz w:val="19"/>
        </w:rPr>
        <w:t xml:space="preserve"> </w:t>
      </w:r>
      <w:r>
        <w:rPr>
          <w:sz w:val="19"/>
        </w:rPr>
        <w:t>total</w:t>
      </w:r>
      <w:r>
        <w:rPr>
          <w:spacing w:val="33"/>
          <w:sz w:val="19"/>
        </w:rPr>
        <w:t xml:space="preserve"> </w:t>
      </w:r>
      <w:r>
        <w:rPr>
          <w:sz w:val="19"/>
        </w:rPr>
        <w:t>number</w:t>
      </w:r>
      <w:r>
        <w:rPr>
          <w:spacing w:val="38"/>
          <w:sz w:val="19"/>
        </w:rPr>
        <w:t xml:space="preserve"> </w:t>
      </w:r>
      <w:r>
        <w:rPr>
          <w:sz w:val="19"/>
        </w:rPr>
        <w:t xml:space="preserve">of </w:t>
      </w:r>
      <w:r>
        <w:rPr>
          <w:spacing w:val="-2"/>
          <w:sz w:val="19"/>
        </w:rPr>
        <w:t>patients.</w:t>
      </w:r>
    </w:p>
    <w:p w14:paraId="3CBEB77A" w14:textId="77777777" w:rsidR="001825E2" w:rsidRDefault="000839A5" w:rsidP="00CB00A7">
      <w:pPr>
        <w:spacing w:before="1" w:line="247" w:lineRule="auto"/>
        <w:ind w:left="220" w:right="1064" w:hanging="1"/>
        <w:rPr>
          <w:sz w:val="19"/>
        </w:rPr>
      </w:pPr>
      <w:r>
        <w:rPr>
          <w:sz w:val="19"/>
        </w:rPr>
        <w:t>The</w:t>
      </w:r>
      <w:r>
        <w:rPr>
          <w:spacing w:val="23"/>
          <w:sz w:val="19"/>
        </w:rPr>
        <w:t xml:space="preserve"> </w:t>
      </w:r>
      <w:r>
        <w:rPr>
          <w:sz w:val="19"/>
        </w:rPr>
        <w:t>26-week</w:t>
      </w:r>
      <w:r>
        <w:rPr>
          <w:spacing w:val="31"/>
          <w:sz w:val="19"/>
        </w:rPr>
        <w:t xml:space="preserve"> </w:t>
      </w:r>
      <w:r>
        <w:rPr>
          <w:sz w:val="19"/>
        </w:rPr>
        <w:t>double-blind</w:t>
      </w:r>
      <w:r>
        <w:rPr>
          <w:spacing w:val="40"/>
          <w:sz w:val="19"/>
        </w:rPr>
        <w:t xml:space="preserve"> </w:t>
      </w:r>
      <w:proofErr w:type="spellStart"/>
      <w:r>
        <w:rPr>
          <w:sz w:val="19"/>
        </w:rPr>
        <w:t>pha</w:t>
      </w:r>
      <w:proofErr w:type="spellEnd"/>
      <w:r>
        <w:rPr>
          <w:spacing w:val="-22"/>
          <w:sz w:val="19"/>
        </w:rPr>
        <w:t xml:space="preserve"> </w:t>
      </w:r>
      <w:r>
        <w:rPr>
          <w:sz w:val="19"/>
        </w:rPr>
        <w:t>se is</w:t>
      </w:r>
      <w:r>
        <w:rPr>
          <w:spacing w:val="40"/>
          <w:sz w:val="19"/>
        </w:rPr>
        <w:t xml:space="preserve"> </w:t>
      </w:r>
      <w:r>
        <w:rPr>
          <w:sz w:val="19"/>
        </w:rPr>
        <w:t>from Week</w:t>
      </w:r>
      <w:r>
        <w:rPr>
          <w:spacing w:val="31"/>
          <w:sz w:val="19"/>
        </w:rPr>
        <w:t xml:space="preserve"> </w:t>
      </w:r>
      <w:r>
        <w:rPr>
          <w:sz w:val="19"/>
        </w:rPr>
        <w:t>18</w:t>
      </w:r>
      <w:r>
        <w:rPr>
          <w:spacing w:val="31"/>
          <w:sz w:val="19"/>
        </w:rPr>
        <w:t xml:space="preserve"> </w:t>
      </w:r>
      <w:r>
        <w:rPr>
          <w:sz w:val="19"/>
        </w:rPr>
        <w:t>through</w:t>
      </w:r>
      <w:r>
        <w:rPr>
          <w:spacing w:val="31"/>
          <w:sz w:val="19"/>
        </w:rPr>
        <w:t xml:space="preserve"> </w:t>
      </w:r>
      <w:r>
        <w:rPr>
          <w:sz w:val="19"/>
        </w:rPr>
        <w:t>Week</w:t>
      </w:r>
      <w:r>
        <w:rPr>
          <w:spacing w:val="29"/>
          <w:sz w:val="19"/>
        </w:rPr>
        <w:t xml:space="preserve"> </w:t>
      </w:r>
      <w:r>
        <w:rPr>
          <w:sz w:val="19"/>
        </w:rPr>
        <w:t>44</w:t>
      </w:r>
      <w:r>
        <w:rPr>
          <w:spacing w:val="31"/>
          <w:sz w:val="19"/>
        </w:rPr>
        <w:t xml:space="preserve"> </w:t>
      </w:r>
      <w:r>
        <w:rPr>
          <w:sz w:val="19"/>
        </w:rPr>
        <w:t>on</w:t>
      </w:r>
      <w:r>
        <w:rPr>
          <w:spacing w:val="31"/>
          <w:sz w:val="19"/>
        </w:rPr>
        <w:t xml:space="preserve"> </w:t>
      </w:r>
      <w:r>
        <w:rPr>
          <w:sz w:val="19"/>
        </w:rPr>
        <w:t>and after</w:t>
      </w:r>
      <w:r>
        <w:rPr>
          <w:spacing w:val="-11"/>
          <w:sz w:val="19"/>
        </w:rPr>
        <w:t xml:space="preserve"> </w:t>
      </w:r>
      <w:proofErr w:type="spellStart"/>
      <w:r>
        <w:rPr>
          <w:sz w:val="19"/>
        </w:rPr>
        <w:t>randomisa</w:t>
      </w:r>
      <w:proofErr w:type="spellEnd"/>
      <w:r>
        <w:rPr>
          <w:spacing w:val="-22"/>
          <w:sz w:val="19"/>
        </w:rPr>
        <w:t xml:space="preserve"> </w:t>
      </w:r>
      <w:proofErr w:type="spellStart"/>
      <w:r>
        <w:rPr>
          <w:sz w:val="19"/>
        </w:rPr>
        <w:t>tion</w:t>
      </w:r>
      <w:proofErr w:type="spellEnd"/>
      <w:r>
        <w:rPr>
          <w:sz w:val="19"/>
        </w:rPr>
        <w:t xml:space="preserve"> day. Response is</w:t>
      </w:r>
      <w:r>
        <w:rPr>
          <w:spacing w:val="40"/>
          <w:sz w:val="19"/>
        </w:rPr>
        <w:t xml:space="preserve"> </w:t>
      </w:r>
      <w:r>
        <w:rPr>
          <w:sz w:val="19"/>
        </w:rPr>
        <w:t>ca</w:t>
      </w:r>
      <w:r>
        <w:rPr>
          <w:spacing w:val="-15"/>
          <w:sz w:val="19"/>
        </w:rPr>
        <w:t xml:space="preserve"> </w:t>
      </w:r>
      <w:proofErr w:type="spellStart"/>
      <w:r>
        <w:rPr>
          <w:sz w:val="19"/>
        </w:rPr>
        <w:t>lcula</w:t>
      </w:r>
      <w:proofErr w:type="spellEnd"/>
      <w:r>
        <w:rPr>
          <w:spacing w:val="-15"/>
          <w:sz w:val="19"/>
        </w:rPr>
        <w:t xml:space="preserve"> </w:t>
      </w:r>
      <w:r>
        <w:rPr>
          <w:sz w:val="19"/>
        </w:rPr>
        <w:t>ted relative to</w:t>
      </w:r>
      <w:r>
        <w:rPr>
          <w:spacing w:val="40"/>
          <w:sz w:val="19"/>
        </w:rPr>
        <w:t xml:space="preserve"> </w:t>
      </w:r>
      <w:r>
        <w:rPr>
          <w:sz w:val="19"/>
        </w:rPr>
        <w:t>the open-la</w:t>
      </w:r>
      <w:r>
        <w:rPr>
          <w:spacing w:val="-15"/>
          <w:sz w:val="19"/>
        </w:rPr>
        <w:t xml:space="preserve"> </w:t>
      </w:r>
      <w:r>
        <w:rPr>
          <w:sz w:val="19"/>
        </w:rPr>
        <w:t>bel</w:t>
      </w:r>
      <w:r>
        <w:rPr>
          <w:spacing w:val="-9"/>
          <w:sz w:val="19"/>
        </w:rPr>
        <w:t xml:space="preserve"> </w:t>
      </w:r>
      <w:r>
        <w:rPr>
          <w:sz w:val="19"/>
        </w:rPr>
        <w:t>baseline.</w:t>
      </w:r>
    </w:p>
    <w:p w14:paraId="7B91AADE" w14:textId="77777777" w:rsidR="001825E2" w:rsidRDefault="001825E2" w:rsidP="00CB00A7">
      <w:pPr>
        <w:pStyle w:val="BodyText"/>
        <w:spacing w:before="34"/>
        <w:jc w:val="left"/>
        <w:rPr>
          <w:sz w:val="19"/>
        </w:rPr>
      </w:pPr>
    </w:p>
    <w:p w14:paraId="1E5507E7" w14:textId="77777777" w:rsidR="001825E2" w:rsidRDefault="000839A5" w:rsidP="00CB00A7">
      <w:pPr>
        <w:pStyle w:val="BodyText"/>
        <w:spacing w:before="1" w:line="247" w:lineRule="auto"/>
        <w:ind w:left="218" w:right="1304" w:firstLine="1"/>
        <w:jc w:val="left"/>
      </w:pPr>
      <w:r>
        <w:t>The</w:t>
      </w:r>
      <w:r>
        <w:rPr>
          <w:spacing w:val="-1"/>
        </w:rPr>
        <w:t xml:space="preserve"> </w:t>
      </w:r>
      <w:r>
        <w:t>results for</w:t>
      </w:r>
      <w:r>
        <w:rPr>
          <w:spacing w:val="-15"/>
        </w:rPr>
        <w:t xml:space="preserve"> </w:t>
      </w:r>
      <w:r>
        <w:t>occurrence</w:t>
      </w:r>
      <w:r>
        <w:rPr>
          <w:spacing w:val="23"/>
        </w:rPr>
        <w:t xml:space="preserve"> </w:t>
      </w:r>
      <w:r>
        <w:t>of</w:t>
      </w:r>
      <w:r>
        <w:rPr>
          <w:spacing w:val="-8"/>
        </w:rPr>
        <w:t xml:space="preserve"> </w:t>
      </w:r>
      <w:r>
        <w:t>disease</w:t>
      </w:r>
      <w:r>
        <w:rPr>
          <w:spacing w:val="-5"/>
        </w:rPr>
        <w:t xml:space="preserve"> </w:t>
      </w:r>
      <w:r>
        <w:t>flare</w:t>
      </w:r>
      <w:r>
        <w:rPr>
          <w:spacing w:val="-5"/>
        </w:rPr>
        <w:t xml:space="preserve"> </w:t>
      </w:r>
      <w:r>
        <w:t>and JIA</w:t>
      </w:r>
      <w:r>
        <w:rPr>
          <w:spacing w:val="-12"/>
        </w:rPr>
        <w:t xml:space="preserve"> </w:t>
      </w:r>
      <w:r>
        <w:t>ACR30,</w:t>
      </w:r>
      <w:r>
        <w:rPr>
          <w:spacing w:val="-15"/>
        </w:rPr>
        <w:t xml:space="preserve"> </w:t>
      </w:r>
      <w:r>
        <w:t>50</w:t>
      </w:r>
      <w:r>
        <w:rPr>
          <w:spacing w:val="-3"/>
        </w:rPr>
        <w:t xml:space="preserve"> </w:t>
      </w:r>
      <w:r>
        <w:t>and</w:t>
      </w:r>
      <w:r>
        <w:rPr>
          <w:spacing w:val="-3"/>
        </w:rPr>
        <w:t xml:space="preserve"> </w:t>
      </w:r>
      <w:r>
        <w:t>70</w:t>
      </w:r>
      <w:r>
        <w:rPr>
          <w:spacing w:val="-3"/>
        </w:rPr>
        <w:t xml:space="preserve"> </w:t>
      </w:r>
      <w:r>
        <w:t>response rates</w:t>
      </w:r>
      <w:r>
        <w:rPr>
          <w:spacing w:val="-7"/>
        </w:rPr>
        <w:t xml:space="preserve"> </w:t>
      </w:r>
      <w:r>
        <w:t>for patients</w:t>
      </w:r>
      <w:r>
        <w:rPr>
          <w:spacing w:val="-3"/>
        </w:rPr>
        <w:t xml:space="preserve"> </w:t>
      </w:r>
      <w:r>
        <w:t>with</w:t>
      </w:r>
      <w:r>
        <w:rPr>
          <w:spacing w:val="-14"/>
        </w:rPr>
        <w:t xml:space="preserve"> </w:t>
      </w:r>
      <w:r>
        <w:t>juvenile</w:t>
      </w:r>
      <w:r>
        <w:rPr>
          <w:spacing w:val="30"/>
        </w:rPr>
        <w:t xml:space="preserve"> </w:t>
      </w:r>
      <w:r>
        <w:t>PsA and ERA</w:t>
      </w:r>
      <w:r>
        <w:rPr>
          <w:spacing w:val="-8"/>
        </w:rPr>
        <w:t xml:space="preserve"> </w:t>
      </w:r>
      <w:r>
        <w:t>were</w:t>
      </w:r>
      <w:r>
        <w:rPr>
          <w:spacing w:val="-1"/>
        </w:rPr>
        <w:t xml:space="preserve"> </w:t>
      </w:r>
      <w:r>
        <w:t>consistent with</w:t>
      </w:r>
      <w:r>
        <w:rPr>
          <w:spacing w:val="-15"/>
        </w:rPr>
        <w:t xml:space="preserve"> </w:t>
      </w:r>
      <w:r>
        <w:t>those</w:t>
      </w:r>
      <w:r>
        <w:rPr>
          <w:spacing w:val="-1"/>
        </w:rPr>
        <w:t xml:space="preserve"> </w:t>
      </w:r>
      <w:r>
        <w:t>for</w:t>
      </w:r>
      <w:r>
        <w:rPr>
          <w:spacing w:val="-4"/>
        </w:rPr>
        <w:t xml:space="preserve"> </w:t>
      </w:r>
      <w:r>
        <w:t>subjects</w:t>
      </w:r>
      <w:r>
        <w:rPr>
          <w:spacing w:val="-3"/>
        </w:rPr>
        <w:t xml:space="preserve"> </w:t>
      </w:r>
      <w:r>
        <w:t xml:space="preserve">with </w:t>
      </w:r>
      <w:proofErr w:type="spellStart"/>
      <w:r>
        <w:t>pcJIA</w:t>
      </w:r>
      <w:proofErr w:type="spellEnd"/>
      <w:r>
        <w:t>.</w:t>
      </w:r>
    </w:p>
    <w:p w14:paraId="3F1CE922" w14:textId="77777777" w:rsidR="001825E2" w:rsidRDefault="000839A5" w:rsidP="00CB00A7">
      <w:pPr>
        <w:spacing w:before="256"/>
        <w:ind w:left="217"/>
        <w:rPr>
          <w:i/>
          <w:sz w:val="24"/>
        </w:rPr>
      </w:pPr>
      <w:r>
        <w:rPr>
          <w:i/>
          <w:sz w:val="24"/>
        </w:rPr>
        <w:t>Physical</w:t>
      </w:r>
      <w:r>
        <w:rPr>
          <w:i/>
          <w:spacing w:val="-11"/>
          <w:sz w:val="24"/>
        </w:rPr>
        <w:t xml:space="preserve"> </w:t>
      </w:r>
      <w:r>
        <w:rPr>
          <w:i/>
          <w:sz w:val="24"/>
        </w:rPr>
        <w:t>function</w:t>
      </w:r>
      <w:r>
        <w:rPr>
          <w:i/>
          <w:spacing w:val="10"/>
          <w:sz w:val="24"/>
        </w:rPr>
        <w:t xml:space="preserve"> </w:t>
      </w:r>
      <w:r>
        <w:rPr>
          <w:i/>
          <w:sz w:val="24"/>
        </w:rPr>
        <w:t>and</w:t>
      </w:r>
      <w:r>
        <w:rPr>
          <w:i/>
          <w:spacing w:val="-13"/>
          <w:sz w:val="24"/>
        </w:rPr>
        <w:t xml:space="preserve"> </w:t>
      </w:r>
      <w:r>
        <w:rPr>
          <w:i/>
          <w:sz w:val="24"/>
        </w:rPr>
        <w:t>health-related</w:t>
      </w:r>
      <w:r>
        <w:rPr>
          <w:i/>
          <w:spacing w:val="10"/>
          <w:sz w:val="24"/>
        </w:rPr>
        <w:t xml:space="preserve"> </w:t>
      </w:r>
      <w:r>
        <w:rPr>
          <w:i/>
          <w:sz w:val="24"/>
        </w:rPr>
        <w:t>quality</w:t>
      </w:r>
      <w:r>
        <w:rPr>
          <w:i/>
          <w:spacing w:val="9"/>
          <w:sz w:val="24"/>
        </w:rPr>
        <w:t xml:space="preserve"> </w:t>
      </w:r>
      <w:r>
        <w:rPr>
          <w:i/>
          <w:sz w:val="24"/>
        </w:rPr>
        <w:t>of</w:t>
      </w:r>
      <w:r>
        <w:rPr>
          <w:i/>
          <w:spacing w:val="-15"/>
          <w:sz w:val="24"/>
        </w:rPr>
        <w:t xml:space="preserve"> </w:t>
      </w:r>
      <w:r>
        <w:rPr>
          <w:i/>
          <w:spacing w:val="-4"/>
          <w:sz w:val="24"/>
        </w:rPr>
        <w:t>life</w:t>
      </w:r>
    </w:p>
    <w:p w14:paraId="53288A61" w14:textId="77777777" w:rsidR="001825E2" w:rsidRDefault="000839A5" w:rsidP="00CB00A7">
      <w:pPr>
        <w:pStyle w:val="BodyText"/>
        <w:spacing w:before="129"/>
        <w:ind w:left="216" w:right="725" w:firstLine="1"/>
        <w:jc w:val="left"/>
      </w:pPr>
      <w:r>
        <w:t>Changes</w:t>
      </w:r>
      <w:r>
        <w:rPr>
          <w:spacing w:val="-7"/>
        </w:rPr>
        <w:t xml:space="preserve"> </w:t>
      </w:r>
      <w:r>
        <w:t>in</w:t>
      </w:r>
      <w:r>
        <w:rPr>
          <w:spacing w:val="-3"/>
        </w:rPr>
        <w:t xml:space="preserve"> </w:t>
      </w:r>
      <w:r>
        <w:t>physical</w:t>
      </w:r>
      <w:r>
        <w:rPr>
          <w:spacing w:val="-10"/>
        </w:rPr>
        <w:t xml:space="preserve"> </w:t>
      </w:r>
      <w:r>
        <w:t>function</w:t>
      </w:r>
      <w:r>
        <w:rPr>
          <w:spacing w:val="-3"/>
        </w:rPr>
        <w:t xml:space="preserve"> </w:t>
      </w:r>
      <w:r>
        <w:t>in</w:t>
      </w:r>
      <w:r>
        <w:rPr>
          <w:spacing w:val="-3"/>
        </w:rPr>
        <w:t xml:space="preserve"> </w:t>
      </w:r>
      <w:r>
        <w:t>Study</w:t>
      </w:r>
      <w:r>
        <w:rPr>
          <w:spacing w:val="-3"/>
        </w:rPr>
        <w:t xml:space="preserve"> </w:t>
      </w:r>
      <w:proofErr w:type="spellStart"/>
      <w:r>
        <w:t>pcJIA</w:t>
      </w:r>
      <w:proofErr w:type="spellEnd"/>
      <w:r>
        <w:t>-I were</w:t>
      </w:r>
      <w:r>
        <w:rPr>
          <w:spacing w:val="-5"/>
        </w:rPr>
        <w:t xml:space="preserve"> </w:t>
      </w:r>
      <w:r>
        <w:t>measured by</w:t>
      </w:r>
      <w:r>
        <w:rPr>
          <w:spacing w:val="-3"/>
        </w:rPr>
        <w:t xml:space="preserve"> </w:t>
      </w:r>
      <w:r>
        <w:t>the</w:t>
      </w:r>
      <w:r>
        <w:rPr>
          <w:spacing w:val="-5"/>
        </w:rPr>
        <w:t xml:space="preserve"> </w:t>
      </w:r>
      <w:r>
        <w:t>CHAQ Disability</w:t>
      </w:r>
      <w:r>
        <w:rPr>
          <w:spacing w:val="-3"/>
        </w:rPr>
        <w:t xml:space="preserve"> </w:t>
      </w:r>
      <w:r>
        <w:t>Index. The</w:t>
      </w:r>
      <w:r>
        <w:rPr>
          <w:spacing w:val="-4"/>
        </w:rPr>
        <w:t xml:space="preserve"> </w:t>
      </w:r>
      <w:r>
        <w:t>mean</w:t>
      </w:r>
      <w:r>
        <w:rPr>
          <w:spacing w:val="-2"/>
        </w:rPr>
        <w:t xml:space="preserve"> </w:t>
      </w:r>
      <w:r>
        <w:t>change</w:t>
      </w:r>
      <w:r>
        <w:rPr>
          <w:spacing w:val="-4"/>
        </w:rPr>
        <w:t xml:space="preserve"> </w:t>
      </w:r>
      <w:r>
        <w:t>from</w:t>
      </w:r>
      <w:r>
        <w:rPr>
          <w:spacing w:val="-9"/>
        </w:rPr>
        <w:t xml:space="preserve"> </w:t>
      </w:r>
      <w:r>
        <w:t>the</w:t>
      </w:r>
      <w:r>
        <w:rPr>
          <w:spacing w:val="-4"/>
        </w:rPr>
        <w:t xml:space="preserve"> </w:t>
      </w:r>
      <w:r>
        <w:t>double-blind baseline in</w:t>
      </w:r>
      <w:r>
        <w:rPr>
          <w:spacing w:val="-2"/>
        </w:rPr>
        <w:t xml:space="preserve"> </w:t>
      </w:r>
      <w:r>
        <w:t>CHAQ-Disability</w:t>
      </w:r>
      <w:r>
        <w:rPr>
          <w:spacing w:val="-2"/>
        </w:rPr>
        <w:t xml:space="preserve"> </w:t>
      </w:r>
      <w:r>
        <w:t>Index</w:t>
      </w:r>
      <w:r>
        <w:rPr>
          <w:spacing w:val="-2"/>
        </w:rPr>
        <w:t xml:space="preserve"> </w:t>
      </w:r>
      <w:r>
        <w:t>was</w:t>
      </w:r>
      <w:r>
        <w:rPr>
          <w:spacing w:val="-6"/>
        </w:rPr>
        <w:t xml:space="preserve"> </w:t>
      </w:r>
      <w:r>
        <w:t>significantly lower in the tofacitinib 5 mg film-coated</w:t>
      </w:r>
      <w:r>
        <w:rPr>
          <w:spacing w:val="40"/>
        </w:rPr>
        <w:t xml:space="preserve"> </w:t>
      </w:r>
      <w:r>
        <w:t>tablets twice daily or tofacitinib oral solution weight-based equivalent twice daily compared to</w:t>
      </w:r>
      <w:r>
        <w:rPr>
          <w:spacing w:val="-11"/>
        </w:rPr>
        <w:t xml:space="preserve"> </w:t>
      </w:r>
      <w:r>
        <w:t>placebo at Week 44 (Table</w:t>
      </w:r>
      <w:r>
        <w:rPr>
          <w:spacing w:val="36"/>
        </w:rPr>
        <w:t xml:space="preserve"> </w:t>
      </w:r>
      <w:r>
        <w:t>17).</w:t>
      </w:r>
    </w:p>
    <w:p w14:paraId="55517A96" w14:textId="77777777" w:rsidR="001825E2" w:rsidRDefault="000839A5" w:rsidP="00CB00A7">
      <w:pPr>
        <w:pStyle w:val="BodyText"/>
        <w:spacing w:before="231" w:line="247" w:lineRule="auto"/>
        <w:ind w:left="214" w:right="728"/>
        <w:jc w:val="left"/>
      </w:pPr>
      <w:r>
        <w:t>The LS</w:t>
      </w:r>
      <w:r>
        <w:rPr>
          <w:spacing w:val="40"/>
        </w:rPr>
        <w:t xml:space="preserve"> </w:t>
      </w:r>
      <w:r>
        <w:t>mean change</w:t>
      </w:r>
      <w:r>
        <w:rPr>
          <w:spacing w:val="40"/>
        </w:rPr>
        <w:t xml:space="preserve"> </w:t>
      </w:r>
      <w:r>
        <w:t>from double-blind</w:t>
      </w:r>
      <w:r>
        <w:rPr>
          <w:spacing w:val="40"/>
        </w:rPr>
        <w:t xml:space="preserve"> </w:t>
      </w:r>
      <w:r>
        <w:t>baseline</w:t>
      </w:r>
      <w:r>
        <w:rPr>
          <w:spacing w:val="40"/>
        </w:rPr>
        <w:t xml:space="preserve"> </w:t>
      </w:r>
      <w:r>
        <w:t>in CHAQ</w:t>
      </w:r>
      <w:r>
        <w:rPr>
          <w:spacing w:val="40"/>
        </w:rPr>
        <w:t xml:space="preserve"> </w:t>
      </w:r>
      <w:r>
        <w:t xml:space="preserve">Disability Index for Study </w:t>
      </w:r>
      <w:proofErr w:type="spellStart"/>
      <w:r>
        <w:t>pcJIA</w:t>
      </w:r>
      <w:proofErr w:type="spellEnd"/>
      <w:r>
        <w:t>-I is shown in Figure 7.</w:t>
      </w:r>
    </w:p>
    <w:p w14:paraId="31D8B40B" w14:textId="77777777" w:rsidR="001825E2" w:rsidRDefault="001825E2" w:rsidP="00CB00A7">
      <w:pPr>
        <w:spacing w:line="247" w:lineRule="auto"/>
        <w:sectPr w:rsidR="001825E2">
          <w:pgSz w:w="11910" w:h="16850"/>
          <w:pgMar w:top="1360" w:right="700" w:bottom="980" w:left="1220" w:header="0" w:footer="785" w:gutter="0"/>
          <w:cols w:space="720"/>
        </w:sectPr>
      </w:pPr>
    </w:p>
    <w:p w14:paraId="617FE4E2" w14:textId="77777777" w:rsidR="001825E2" w:rsidRDefault="000839A5" w:rsidP="00CB00A7">
      <w:pPr>
        <w:pStyle w:val="Heading3"/>
        <w:tabs>
          <w:tab w:val="left" w:pos="1374"/>
        </w:tabs>
        <w:spacing w:before="80" w:line="235" w:lineRule="auto"/>
        <w:ind w:left="1374" w:right="1398" w:hanging="1155"/>
      </w:pPr>
      <w:bookmarkStart w:id="68" w:name="5.2_Pharmacokinetic_Properties"/>
      <w:bookmarkEnd w:id="68"/>
      <w:r>
        <w:lastRenderedPageBreak/>
        <w:t>Figure 7.</w:t>
      </w:r>
      <w:r>
        <w:tab/>
        <w:t>LS</w:t>
      </w:r>
      <w:r>
        <w:rPr>
          <w:spacing w:val="-8"/>
        </w:rPr>
        <w:t xml:space="preserve"> </w:t>
      </w:r>
      <w:r>
        <w:t>mean</w:t>
      </w:r>
      <w:r>
        <w:rPr>
          <w:spacing w:val="-8"/>
        </w:rPr>
        <w:t xml:space="preserve"> </w:t>
      </w:r>
      <w:r>
        <w:t>change</w:t>
      </w:r>
      <w:r>
        <w:rPr>
          <w:spacing w:val="-11"/>
        </w:rPr>
        <w:t xml:space="preserve"> </w:t>
      </w:r>
      <w:r>
        <w:t>(±SE)</w:t>
      </w:r>
      <w:r>
        <w:rPr>
          <w:spacing w:val="-14"/>
        </w:rPr>
        <w:t xml:space="preserve"> </w:t>
      </w:r>
      <w:r>
        <w:t>from</w:t>
      </w:r>
      <w:r>
        <w:rPr>
          <w:spacing w:val="-14"/>
        </w:rPr>
        <w:t xml:space="preserve"> </w:t>
      </w:r>
      <w:r>
        <w:t>double-blind baseline in</w:t>
      </w:r>
      <w:r>
        <w:rPr>
          <w:spacing w:val="-8"/>
        </w:rPr>
        <w:t xml:space="preserve"> </w:t>
      </w:r>
      <w:r>
        <w:t>CHAQ</w:t>
      </w:r>
      <w:r>
        <w:rPr>
          <w:spacing w:val="-15"/>
        </w:rPr>
        <w:t xml:space="preserve"> </w:t>
      </w:r>
      <w:r>
        <w:t xml:space="preserve">Disability Index (MMRM) in double blind phase in Study </w:t>
      </w:r>
      <w:proofErr w:type="spellStart"/>
      <w:r>
        <w:t>pcJIA</w:t>
      </w:r>
      <w:proofErr w:type="spellEnd"/>
      <w:r>
        <w:t>-</w:t>
      </w:r>
      <w:proofErr w:type="gramStart"/>
      <w:r>
        <w:t>I</w:t>
      </w:r>
      <w:proofErr w:type="gramEnd"/>
    </w:p>
    <w:p w14:paraId="027C989C" w14:textId="77777777" w:rsidR="001825E2" w:rsidRDefault="000839A5" w:rsidP="00CB00A7">
      <w:pPr>
        <w:pStyle w:val="BodyText"/>
        <w:spacing w:before="9"/>
        <w:jc w:val="left"/>
        <w:rPr>
          <w:b/>
          <w:sz w:val="7"/>
        </w:rPr>
      </w:pPr>
      <w:r>
        <w:rPr>
          <w:noProof/>
        </w:rPr>
        <w:drawing>
          <wp:anchor distT="0" distB="0" distL="0" distR="0" simplePos="0" relativeHeight="487597568" behindDoc="1" locked="0" layoutInCell="1" allowOverlap="1" wp14:anchorId="3F862D98" wp14:editId="198FEEE5">
            <wp:simplePos x="0" y="0"/>
            <wp:positionH relativeFrom="page">
              <wp:posOffset>914399</wp:posOffset>
            </wp:positionH>
            <wp:positionV relativeFrom="paragraph">
              <wp:posOffset>72444</wp:posOffset>
            </wp:positionV>
            <wp:extent cx="5707708" cy="3028950"/>
            <wp:effectExtent l="0" t="0" r="0" b="0"/>
            <wp:wrapTopAndBottom/>
            <wp:docPr id="185" name="Imag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5" name="Image 185"/>
                    <pic:cNvPicPr/>
                  </pic:nvPicPr>
                  <pic:blipFill>
                    <a:blip r:embed="rId17" cstate="print"/>
                    <a:stretch>
                      <a:fillRect/>
                    </a:stretch>
                  </pic:blipFill>
                  <pic:spPr>
                    <a:xfrm>
                      <a:off x="0" y="0"/>
                      <a:ext cx="5707708" cy="3028950"/>
                    </a:xfrm>
                    <a:prstGeom prst="rect">
                      <a:avLst/>
                    </a:prstGeom>
                  </pic:spPr>
                </pic:pic>
              </a:graphicData>
            </a:graphic>
          </wp:anchor>
        </w:drawing>
      </w:r>
    </w:p>
    <w:p w14:paraId="00F7385F" w14:textId="77777777" w:rsidR="001825E2" w:rsidRDefault="000839A5" w:rsidP="00CB00A7">
      <w:pPr>
        <w:spacing w:before="32" w:line="254" w:lineRule="auto"/>
        <w:ind w:left="219" w:right="748"/>
        <w:rPr>
          <w:sz w:val="19"/>
        </w:rPr>
      </w:pPr>
      <w:proofErr w:type="spellStart"/>
      <w:r>
        <w:rPr>
          <w:sz w:val="19"/>
        </w:rPr>
        <w:t>Abbrevia</w:t>
      </w:r>
      <w:proofErr w:type="spellEnd"/>
      <w:r>
        <w:rPr>
          <w:spacing w:val="-12"/>
          <w:sz w:val="19"/>
        </w:rPr>
        <w:t xml:space="preserve"> </w:t>
      </w:r>
      <w:proofErr w:type="spellStart"/>
      <w:r>
        <w:rPr>
          <w:sz w:val="19"/>
        </w:rPr>
        <w:t>tions</w:t>
      </w:r>
      <w:proofErr w:type="spellEnd"/>
      <w:r>
        <w:rPr>
          <w:sz w:val="19"/>
        </w:rPr>
        <w:t>:</w:t>
      </w:r>
      <w:r>
        <w:rPr>
          <w:spacing w:val="40"/>
          <w:sz w:val="19"/>
        </w:rPr>
        <w:t xml:space="preserve"> </w:t>
      </w:r>
      <w:r>
        <w:rPr>
          <w:sz w:val="19"/>
        </w:rPr>
        <w:t>CHAQ=Ch</w:t>
      </w:r>
      <w:r>
        <w:rPr>
          <w:spacing w:val="-12"/>
          <w:sz w:val="19"/>
        </w:rPr>
        <w:t xml:space="preserve"> </w:t>
      </w:r>
      <w:proofErr w:type="spellStart"/>
      <w:r>
        <w:rPr>
          <w:sz w:val="19"/>
        </w:rPr>
        <w:t>ildhood</w:t>
      </w:r>
      <w:proofErr w:type="spellEnd"/>
      <w:r>
        <w:rPr>
          <w:spacing w:val="40"/>
          <w:sz w:val="19"/>
        </w:rPr>
        <w:t xml:space="preserve"> </w:t>
      </w:r>
      <w:r>
        <w:rPr>
          <w:sz w:val="19"/>
        </w:rPr>
        <w:t>Health</w:t>
      </w:r>
      <w:r>
        <w:rPr>
          <w:spacing w:val="40"/>
          <w:sz w:val="19"/>
        </w:rPr>
        <w:t xml:space="preserve"> </w:t>
      </w:r>
      <w:r>
        <w:rPr>
          <w:sz w:val="19"/>
        </w:rPr>
        <w:t>Assessment</w:t>
      </w:r>
      <w:r>
        <w:rPr>
          <w:spacing w:val="40"/>
          <w:sz w:val="19"/>
        </w:rPr>
        <w:t xml:space="preserve"> </w:t>
      </w:r>
      <w:proofErr w:type="spellStart"/>
      <w:r>
        <w:rPr>
          <w:sz w:val="19"/>
        </w:rPr>
        <w:t>Questionna</w:t>
      </w:r>
      <w:proofErr w:type="spellEnd"/>
      <w:r>
        <w:rPr>
          <w:spacing w:val="-12"/>
          <w:sz w:val="19"/>
        </w:rPr>
        <w:t xml:space="preserve"> </w:t>
      </w:r>
      <w:r>
        <w:rPr>
          <w:sz w:val="19"/>
        </w:rPr>
        <w:t>ire;</w:t>
      </w:r>
      <w:r>
        <w:rPr>
          <w:spacing w:val="40"/>
          <w:sz w:val="19"/>
        </w:rPr>
        <w:t xml:space="preserve"> </w:t>
      </w:r>
      <w:r>
        <w:rPr>
          <w:sz w:val="19"/>
        </w:rPr>
        <w:t>CRP=C-rea</w:t>
      </w:r>
      <w:r>
        <w:rPr>
          <w:spacing w:val="-12"/>
          <w:sz w:val="19"/>
        </w:rPr>
        <w:t xml:space="preserve"> </w:t>
      </w:r>
      <w:proofErr w:type="spellStart"/>
      <w:r>
        <w:rPr>
          <w:sz w:val="19"/>
        </w:rPr>
        <w:t>ctive</w:t>
      </w:r>
      <w:proofErr w:type="spellEnd"/>
      <w:r>
        <w:rPr>
          <w:spacing w:val="40"/>
          <w:sz w:val="19"/>
        </w:rPr>
        <w:t xml:space="preserve"> </w:t>
      </w:r>
      <w:r>
        <w:rPr>
          <w:sz w:val="19"/>
        </w:rPr>
        <w:t>protein;</w:t>
      </w:r>
      <w:r>
        <w:rPr>
          <w:spacing w:val="40"/>
          <w:sz w:val="19"/>
        </w:rPr>
        <w:t xml:space="preserve"> </w:t>
      </w:r>
      <w:r>
        <w:rPr>
          <w:sz w:val="19"/>
        </w:rPr>
        <w:t xml:space="preserve">DB=double- blind; LS=Least squares; MMRM=mixed model for repeated measures; </w:t>
      </w:r>
      <w:proofErr w:type="spellStart"/>
      <w:r>
        <w:rPr>
          <w:sz w:val="19"/>
        </w:rPr>
        <w:t>pcJIA</w:t>
      </w:r>
      <w:proofErr w:type="spellEnd"/>
      <w:r>
        <w:rPr>
          <w:sz w:val="19"/>
        </w:rPr>
        <w:t>=polyarticular course juvenile</w:t>
      </w:r>
      <w:r>
        <w:rPr>
          <w:spacing w:val="40"/>
          <w:sz w:val="19"/>
        </w:rPr>
        <w:t xml:space="preserve"> </w:t>
      </w:r>
      <w:r>
        <w:rPr>
          <w:sz w:val="19"/>
        </w:rPr>
        <w:t>idiopathic arthritis.</w:t>
      </w:r>
    </w:p>
    <w:p w14:paraId="273A419F" w14:textId="77777777" w:rsidR="001825E2" w:rsidRDefault="000839A5" w:rsidP="00CB00A7">
      <w:pPr>
        <w:spacing w:before="26"/>
        <w:ind w:left="220"/>
        <w:rPr>
          <w:sz w:val="19"/>
        </w:rPr>
      </w:pPr>
      <w:r>
        <w:rPr>
          <w:sz w:val="19"/>
        </w:rPr>
        <w:t>Number</w:t>
      </w:r>
      <w:r>
        <w:rPr>
          <w:spacing w:val="25"/>
          <w:sz w:val="19"/>
        </w:rPr>
        <w:t xml:space="preserve"> </w:t>
      </w:r>
      <w:r>
        <w:rPr>
          <w:sz w:val="19"/>
        </w:rPr>
        <w:t>of</w:t>
      </w:r>
      <w:r>
        <w:rPr>
          <w:spacing w:val="25"/>
          <w:sz w:val="19"/>
        </w:rPr>
        <w:t xml:space="preserve"> </w:t>
      </w:r>
      <w:r>
        <w:rPr>
          <w:sz w:val="19"/>
        </w:rPr>
        <w:t>subjects=number</w:t>
      </w:r>
      <w:r>
        <w:rPr>
          <w:spacing w:val="-3"/>
          <w:sz w:val="19"/>
        </w:rPr>
        <w:t xml:space="preserve"> </w:t>
      </w:r>
      <w:r>
        <w:rPr>
          <w:sz w:val="19"/>
        </w:rPr>
        <w:t>of</w:t>
      </w:r>
      <w:r>
        <w:rPr>
          <w:spacing w:val="53"/>
          <w:sz w:val="19"/>
        </w:rPr>
        <w:t xml:space="preserve"> </w:t>
      </w:r>
      <w:r>
        <w:rPr>
          <w:sz w:val="19"/>
        </w:rPr>
        <w:t>subjects</w:t>
      </w:r>
      <w:r>
        <w:rPr>
          <w:spacing w:val="5"/>
          <w:sz w:val="19"/>
        </w:rPr>
        <w:t xml:space="preserve"> </w:t>
      </w:r>
      <w:r>
        <w:rPr>
          <w:sz w:val="19"/>
        </w:rPr>
        <w:t>with</w:t>
      </w:r>
      <w:r>
        <w:rPr>
          <w:spacing w:val="75"/>
          <w:sz w:val="19"/>
        </w:rPr>
        <w:t xml:space="preserve"> </w:t>
      </w:r>
      <w:r>
        <w:rPr>
          <w:sz w:val="19"/>
        </w:rPr>
        <w:t>observations</w:t>
      </w:r>
      <w:r>
        <w:rPr>
          <w:spacing w:val="4"/>
          <w:sz w:val="19"/>
        </w:rPr>
        <w:t xml:space="preserve"> </w:t>
      </w:r>
      <w:r>
        <w:rPr>
          <w:sz w:val="19"/>
        </w:rPr>
        <w:t>at</w:t>
      </w:r>
      <w:r>
        <w:rPr>
          <w:spacing w:val="18"/>
          <w:sz w:val="19"/>
        </w:rPr>
        <w:t xml:space="preserve"> </w:t>
      </w:r>
      <w:r>
        <w:rPr>
          <w:spacing w:val="-2"/>
          <w:sz w:val="19"/>
        </w:rPr>
        <w:t>visit.</w:t>
      </w:r>
    </w:p>
    <w:p w14:paraId="00F44893" w14:textId="77777777" w:rsidR="001825E2" w:rsidRDefault="000839A5" w:rsidP="00CB00A7">
      <w:pPr>
        <w:spacing w:before="36" w:line="264" w:lineRule="auto"/>
        <w:ind w:left="220" w:right="1678" w:hanging="1"/>
        <w:rPr>
          <w:sz w:val="19"/>
        </w:rPr>
      </w:pPr>
      <w:r>
        <w:rPr>
          <w:sz w:val="19"/>
        </w:rPr>
        <w:t>The</w:t>
      </w:r>
      <w:r>
        <w:rPr>
          <w:spacing w:val="16"/>
          <w:sz w:val="19"/>
        </w:rPr>
        <w:t xml:space="preserve"> </w:t>
      </w:r>
      <w:r>
        <w:rPr>
          <w:sz w:val="19"/>
        </w:rPr>
        <w:t>26-week</w:t>
      </w:r>
      <w:r>
        <w:rPr>
          <w:spacing w:val="33"/>
          <w:sz w:val="19"/>
        </w:rPr>
        <w:t xml:space="preserve"> </w:t>
      </w:r>
      <w:r>
        <w:rPr>
          <w:sz w:val="19"/>
        </w:rPr>
        <w:t>double-blind</w:t>
      </w:r>
      <w:r>
        <w:rPr>
          <w:spacing w:val="40"/>
          <w:sz w:val="19"/>
        </w:rPr>
        <w:t xml:space="preserve"> </w:t>
      </w:r>
      <w:proofErr w:type="spellStart"/>
      <w:r>
        <w:rPr>
          <w:sz w:val="19"/>
        </w:rPr>
        <w:t>pha</w:t>
      </w:r>
      <w:proofErr w:type="spellEnd"/>
      <w:r>
        <w:rPr>
          <w:spacing w:val="-12"/>
          <w:sz w:val="19"/>
        </w:rPr>
        <w:t xml:space="preserve"> </w:t>
      </w:r>
      <w:r>
        <w:rPr>
          <w:sz w:val="19"/>
        </w:rPr>
        <w:t>se is</w:t>
      </w:r>
      <w:r>
        <w:rPr>
          <w:spacing w:val="40"/>
          <w:sz w:val="19"/>
        </w:rPr>
        <w:t xml:space="preserve"> </w:t>
      </w:r>
      <w:r>
        <w:rPr>
          <w:sz w:val="19"/>
        </w:rPr>
        <w:t>from Week</w:t>
      </w:r>
      <w:r>
        <w:rPr>
          <w:spacing w:val="33"/>
          <w:sz w:val="19"/>
        </w:rPr>
        <w:t xml:space="preserve"> </w:t>
      </w:r>
      <w:r>
        <w:rPr>
          <w:sz w:val="19"/>
        </w:rPr>
        <w:t>18</w:t>
      </w:r>
      <w:r>
        <w:rPr>
          <w:spacing w:val="33"/>
          <w:sz w:val="19"/>
        </w:rPr>
        <w:t xml:space="preserve"> </w:t>
      </w:r>
      <w:r>
        <w:rPr>
          <w:sz w:val="19"/>
        </w:rPr>
        <w:t>through</w:t>
      </w:r>
      <w:r>
        <w:rPr>
          <w:spacing w:val="33"/>
          <w:sz w:val="19"/>
        </w:rPr>
        <w:t xml:space="preserve"> </w:t>
      </w:r>
      <w:r>
        <w:rPr>
          <w:sz w:val="19"/>
        </w:rPr>
        <w:t>Week</w:t>
      </w:r>
      <w:r>
        <w:rPr>
          <w:spacing w:val="31"/>
          <w:sz w:val="19"/>
        </w:rPr>
        <w:t xml:space="preserve"> </w:t>
      </w:r>
      <w:r>
        <w:rPr>
          <w:sz w:val="19"/>
        </w:rPr>
        <w:t>44</w:t>
      </w:r>
      <w:r>
        <w:rPr>
          <w:spacing w:val="33"/>
          <w:sz w:val="19"/>
        </w:rPr>
        <w:t xml:space="preserve"> </w:t>
      </w:r>
      <w:r>
        <w:rPr>
          <w:sz w:val="19"/>
        </w:rPr>
        <w:t>on</w:t>
      </w:r>
      <w:r>
        <w:rPr>
          <w:spacing w:val="31"/>
          <w:sz w:val="19"/>
        </w:rPr>
        <w:t xml:space="preserve"> </w:t>
      </w:r>
      <w:r>
        <w:rPr>
          <w:sz w:val="19"/>
        </w:rPr>
        <w:t>and after</w:t>
      </w:r>
      <w:r>
        <w:rPr>
          <w:spacing w:val="-10"/>
          <w:sz w:val="19"/>
        </w:rPr>
        <w:t xml:space="preserve"> </w:t>
      </w:r>
      <w:proofErr w:type="spellStart"/>
      <w:r>
        <w:rPr>
          <w:sz w:val="19"/>
        </w:rPr>
        <w:t>randomisation</w:t>
      </w:r>
      <w:proofErr w:type="spellEnd"/>
      <w:r>
        <w:rPr>
          <w:sz w:val="19"/>
        </w:rPr>
        <w:t xml:space="preserve"> day. The error</w:t>
      </w:r>
      <w:r>
        <w:rPr>
          <w:spacing w:val="40"/>
          <w:sz w:val="19"/>
        </w:rPr>
        <w:t xml:space="preserve"> </w:t>
      </w:r>
      <w:proofErr w:type="spellStart"/>
      <w:r>
        <w:rPr>
          <w:sz w:val="19"/>
        </w:rPr>
        <w:t>ba</w:t>
      </w:r>
      <w:proofErr w:type="spellEnd"/>
      <w:r>
        <w:rPr>
          <w:spacing w:val="-15"/>
          <w:sz w:val="19"/>
        </w:rPr>
        <w:t xml:space="preserve"> </w:t>
      </w:r>
      <w:proofErr w:type="spellStart"/>
      <w:r>
        <w:rPr>
          <w:sz w:val="19"/>
        </w:rPr>
        <w:t>rs</w:t>
      </w:r>
      <w:proofErr w:type="spellEnd"/>
      <w:r>
        <w:rPr>
          <w:sz w:val="19"/>
        </w:rPr>
        <w:t xml:space="preserve"> </w:t>
      </w:r>
      <w:proofErr w:type="spellStart"/>
      <w:r>
        <w:rPr>
          <w:sz w:val="19"/>
        </w:rPr>
        <w:t>a</w:t>
      </w:r>
      <w:r>
        <w:rPr>
          <w:spacing w:val="-15"/>
          <w:sz w:val="19"/>
        </w:rPr>
        <w:t xml:space="preserve"> </w:t>
      </w:r>
      <w:r>
        <w:rPr>
          <w:sz w:val="19"/>
        </w:rPr>
        <w:t>re</w:t>
      </w:r>
      <w:proofErr w:type="spellEnd"/>
      <w:r>
        <w:rPr>
          <w:sz w:val="19"/>
        </w:rPr>
        <w:t xml:space="preserve"> standard error</w:t>
      </w:r>
      <w:r>
        <w:rPr>
          <w:spacing w:val="-2"/>
          <w:sz w:val="19"/>
        </w:rPr>
        <w:t xml:space="preserve"> </w:t>
      </w:r>
      <w:r>
        <w:rPr>
          <w:sz w:val="19"/>
        </w:rPr>
        <w:t>of</w:t>
      </w:r>
      <w:r>
        <w:rPr>
          <w:spacing w:val="40"/>
          <w:sz w:val="19"/>
        </w:rPr>
        <w:t xml:space="preserve"> </w:t>
      </w:r>
      <w:r>
        <w:rPr>
          <w:sz w:val="19"/>
        </w:rPr>
        <w:t>the mean.</w:t>
      </w:r>
    </w:p>
    <w:p w14:paraId="3690F19A" w14:textId="77777777" w:rsidR="001825E2" w:rsidRDefault="000839A5" w:rsidP="00CB00A7">
      <w:pPr>
        <w:pStyle w:val="Heading2"/>
        <w:numPr>
          <w:ilvl w:val="1"/>
          <w:numId w:val="11"/>
        </w:numPr>
        <w:tabs>
          <w:tab w:val="left" w:pos="638"/>
        </w:tabs>
        <w:spacing w:before="215"/>
        <w:ind w:left="638" w:hanging="418"/>
      </w:pPr>
      <w:r>
        <w:t>Pharmacokinetic</w:t>
      </w:r>
      <w:r>
        <w:rPr>
          <w:spacing w:val="-17"/>
        </w:rPr>
        <w:t xml:space="preserve"> </w:t>
      </w:r>
      <w:r>
        <w:rPr>
          <w:spacing w:val="-2"/>
        </w:rPr>
        <w:t>Properties</w:t>
      </w:r>
    </w:p>
    <w:p w14:paraId="719179FF" w14:textId="77777777" w:rsidR="001825E2" w:rsidRDefault="000839A5" w:rsidP="00CB00A7">
      <w:pPr>
        <w:spacing w:before="256"/>
        <w:ind w:left="220"/>
        <w:rPr>
          <w:i/>
          <w:sz w:val="24"/>
        </w:rPr>
      </w:pPr>
      <w:r>
        <w:rPr>
          <w:i/>
          <w:sz w:val="24"/>
        </w:rPr>
        <w:t>XELJANZ</w:t>
      </w:r>
      <w:r>
        <w:rPr>
          <w:i/>
          <w:spacing w:val="-1"/>
          <w:sz w:val="24"/>
        </w:rPr>
        <w:t xml:space="preserve"> </w:t>
      </w:r>
      <w:r>
        <w:rPr>
          <w:i/>
          <w:spacing w:val="-2"/>
          <w:sz w:val="24"/>
        </w:rPr>
        <w:t>Tablets</w:t>
      </w:r>
    </w:p>
    <w:p w14:paraId="75021F8C" w14:textId="77777777" w:rsidR="001825E2" w:rsidRDefault="000839A5" w:rsidP="00CB00A7">
      <w:pPr>
        <w:pStyle w:val="BodyText"/>
        <w:spacing w:before="114" w:line="242" w:lineRule="auto"/>
        <w:ind w:left="218" w:right="739" w:firstLine="1"/>
        <w:jc w:val="left"/>
      </w:pPr>
      <w:r>
        <w:t>The</w:t>
      </w:r>
      <w:r>
        <w:rPr>
          <w:spacing w:val="-7"/>
        </w:rPr>
        <w:t xml:space="preserve"> </w:t>
      </w:r>
      <w:r>
        <w:t>PK profile</w:t>
      </w:r>
      <w:r>
        <w:rPr>
          <w:spacing w:val="-7"/>
        </w:rPr>
        <w:t xml:space="preserve"> </w:t>
      </w:r>
      <w:r>
        <w:t>of tofacitinib</w:t>
      </w:r>
      <w:r>
        <w:rPr>
          <w:spacing w:val="-5"/>
        </w:rPr>
        <w:t xml:space="preserve"> </w:t>
      </w:r>
      <w:r>
        <w:t>is</w:t>
      </w:r>
      <w:r>
        <w:rPr>
          <w:spacing w:val="-9"/>
        </w:rPr>
        <w:t xml:space="preserve"> </w:t>
      </w:r>
      <w:proofErr w:type="spellStart"/>
      <w:r>
        <w:t>characterised</w:t>
      </w:r>
      <w:proofErr w:type="spellEnd"/>
      <w:r>
        <w:t xml:space="preserve"> by</w:t>
      </w:r>
      <w:r>
        <w:rPr>
          <w:spacing w:val="-5"/>
        </w:rPr>
        <w:t xml:space="preserve"> </w:t>
      </w:r>
      <w:r>
        <w:t>rapid absorption</w:t>
      </w:r>
      <w:r>
        <w:rPr>
          <w:spacing w:val="-5"/>
        </w:rPr>
        <w:t xml:space="preserve"> </w:t>
      </w:r>
      <w:r>
        <w:t>(peak</w:t>
      </w:r>
      <w:r>
        <w:rPr>
          <w:spacing w:val="-5"/>
        </w:rPr>
        <w:t xml:space="preserve"> </w:t>
      </w:r>
      <w:r>
        <w:t>plasma</w:t>
      </w:r>
      <w:r>
        <w:rPr>
          <w:spacing w:val="-7"/>
        </w:rPr>
        <w:t xml:space="preserve"> </w:t>
      </w:r>
      <w:r>
        <w:t>concentrations are</w:t>
      </w:r>
      <w:r>
        <w:rPr>
          <w:spacing w:val="-7"/>
        </w:rPr>
        <w:t xml:space="preserve"> </w:t>
      </w:r>
      <w:r>
        <w:t>reached within</w:t>
      </w:r>
      <w:r>
        <w:rPr>
          <w:spacing w:val="-5"/>
        </w:rPr>
        <w:t xml:space="preserve"> </w:t>
      </w:r>
      <w:r>
        <w:t>0.5-1</w:t>
      </w:r>
      <w:r>
        <w:rPr>
          <w:spacing w:val="-5"/>
        </w:rPr>
        <w:t xml:space="preserve"> </w:t>
      </w:r>
      <w:r>
        <w:t>hour),</w:t>
      </w:r>
      <w:r>
        <w:rPr>
          <w:spacing w:val="-5"/>
        </w:rPr>
        <w:t xml:space="preserve"> </w:t>
      </w:r>
      <w:r>
        <w:t>rapid elimination</w:t>
      </w:r>
      <w:r>
        <w:rPr>
          <w:spacing w:val="-5"/>
        </w:rPr>
        <w:t xml:space="preserve"> </w:t>
      </w:r>
      <w:r>
        <w:t>(half-life</w:t>
      </w:r>
      <w:r>
        <w:rPr>
          <w:spacing w:val="-7"/>
        </w:rPr>
        <w:t xml:space="preserve"> </w:t>
      </w:r>
      <w:r>
        <w:t>of ~3</w:t>
      </w:r>
      <w:r>
        <w:rPr>
          <w:spacing w:val="-5"/>
        </w:rPr>
        <w:t xml:space="preserve"> </w:t>
      </w:r>
      <w:r>
        <w:t>hours)</w:t>
      </w:r>
      <w:r>
        <w:rPr>
          <w:spacing w:val="-10"/>
        </w:rPr>
        <w:t xml:space="preserve"> </w:t>
      </w:r>
      <w:r>
        <w:t>and dose-proportional increases in systemic exposure. Steady state concentrations are achieved in 24-48</w:t>
      </w:r>
      <w:r>
        <w:rPr>
          <w:spacing w:val="-5"/>
        </w:rPr>
        <w:t xml:space="preserve"> </w:t>
      </w:r>
      <w:r>
        <w:t>hours with negligible</w:t>
      </w:r>
      <w:r>
        <w:rPr>
          <w:spacing w:val="40"/>
        </w:rPr>
        <w:t xml:space="preserve"> </w:t>
      </w:r>
      <w:r>
        <w:t>accumulation after twice</w:t>
      </w:r>
      <w:r>
        <w:rPr>
          <w:spacing w:val="-2"/>
        </w:rPr>
        <w:t xml:space="preserve"> </w:t>
      </w:r>
      <w:r>
        <w:t>daily administration.</w:t>
      </w:r>
    </w:p>
    <w:p w14:paraId="6D813E0F" w14:textId="77777777" w:rsidR="001825E2" w:rsidRDefault="000839A5" w:rsidP="00CB00A7">
      <w:pPr>
        <w:spacing w:before="235"/>
        <w:ind w:left="218"/>
        <w:rPr>
          <w:i/>
          <w:sz w:val="24"/>
        </w:rPr>
      </w:pPr>
      <w:r>
        <w:rPr>
          <w:i/>
          <w:sz w:val="24"/>
        </w:rPr>
        <w:t>XELJANZ</w:t>
      </w:r>
      <w:r>
        <w:rPr>
          <w:i/>
          <w:spacing w:val="-3"/>
          <w:sz w:val="24"/>
        </w:rPr>
        <w:t xml:space="preserve"> </w:t>
      </w:r>
      <w:r>
        <w:rPr>
          <w:i/>
          <w:spacing w:val="-5"/>
          <w:sz w:val="24"/>
        </w:rPr>
        <w:t>XR</w:t>
      </w:r>
    </w:p>
    <w:p w14:paraId="1236BD90" w14:textId="77777777" w:rsidR="001825E2" w:rsidRDefault="000839A5" w:rsidP="00CB00A7">
      <w:pPr>
        <w:pStyle w:val="BodyText"/>
        <w:spacing w:before="114" w:line="242" w:lineRule="auto"/>
        <w:ind w:left="218" w:right="723"/>
        <w:jc w:val="left"/>
      </w:pPr>
      <w:r>
        <w:t>Following oral</w:t>
      </w:r>
      <w:r>
        <w:rPr>
          <w:spacing w:val="20"/>
        </w:rPr>
        <w:t xml:space="preserve"> </w:t>
      </w:r>
      <w:r>
        <w:t>administration of</w:t>
      </w:r>
      <w:r>
        <w:rPr>
          <w:spacing w:val="22"/>
        </w:rPr>
        <w:t xml:space="preserve"> </w:t>
      </w:r>
      <w:r>
        <w:t>XELJANZ XR, peak plasma</w:t>
      </w:r>
      <w:r>
        <w:rPr>
          <w:spacing w:val="25"/>
        </w:rPr>
        <w:t xml:space="preserve"> </w:t>
      </w:r>
      <w:r>
        <w:t>concentrations</w:t>
      </w:r>
      <w:r>
        <w:rPr>
          <w:spacing w:val="23"/>
        </w:rPr>
        <w:t xml:space="preserve"> </w:t>
      </w:r>
      <w:r>
        <w:t>are</w:t>
      </w:r>
      <w:r>
        <w:rPr>
          <w:spacing w:val="25"/>
        </w:rPr>
        <w:t xml:space="preserve"> </w:t>
      </w:r>
      <w:r>
        <w:t>reached</w:t>
      </w:r>
      <w:r>
        <w:rPr>
          <w:spacing w:val="27"/>
        </w:rPr>
        <w:t xml:space="preserve"> </w:t>
      </w:r>
      <w:r>
        <w:t>at 4 hours and</w:t>
      </w:r>
      <w:r>
        <w:rPr>
          <w:spacing w:val="40"/>
        </w:rPr>
        <w:t xml:space="preserve"> </w:t>
      </w:r>
      <w:r>
        <w:t>half-life</w:t>
      </w:r>
      <w:r>
        <w:rPr>
          <w:spacing w:val="40"/>
        </w:rPr>
        <w:t xml:space="preserve"> </w:t>
      </w:r>
      <w:r>
        <w:t>is ~6 hours. Steady state concentrations are achieved</w:t>
      </w:r>
      <w:r>
        <w:rPr>
          <w:spacing w:val="40"/>
        </w:rPr>
        <w:t xml:space="preserve"> </w:t>
      </w:r>
      <w:r>
        <w:t xml:space="preserve">within 48 hours </w:t>
      </w:r>
      <w:r>
        <w:rPr>
          <w:position w:val="1"/>
        </w:rPr>
        <w:t>with</w:t>
      </w:r>
      <w:r>
        <w:rPr>
          <w:spacing w:val="-1"/>
          <w:position w:val="1"/>
        </w:rPr>
        <w:t xml:space="preserve"> </w:t>
      </w:r>
      <w:r>
        <w:rPr>
          <w:position w:val="1"/>
        </w:rPr>
        <w:t>negligible</w:t>
      </w:r>
      <w:r>
        <w:rPr>
          <w:spacing w:val="-3"/>
          <w:position w:val="1"/>
        </w:rPr>
        <w:t xml:space="preserve"> </w:t>
      </w:r>
      <w:r>
        <w:rPr>
          <w:position w:val="1"/>
        </w:rPr>
        <w:t>accumulation after</w:t>
      </w:r>
      <w:r>
        <w:rPr>
          <w:spacing w:val="-6"/>
          <w:position w:val="1"/>
        </w:rPr>
        <w:t xml:space="preserve"> </w:t>
      </w:r>
      <w:r>
        <w:rPr>
          <w:position w:val="1"/>
        </w:rPr>
        <w:t>once</w:t>
      </w:r>
      <w:r>
        <w:rPr>
          <w:spacing w:val="-3"/>
          <w:position w:val="1"/>
        </w:rPr>
        <w:t xml:space="preserve"> </w:t>
      </w:r>
      <w:r>
        <w:rPr>
          <w:position w:val="1"/>
        </w:rPr>
        <w:t>daily</w:t>
      </w:r>
      <w:r>
        <w:rPr>
          <w:spacing w:val="-1"/>
          <w:position w:val="1"/>
        </w:rPr>
        <w:t xml:space="preserve"> </w:t>
      </w:r>
      <w:r>
        <w:rPr>
          <w:position w:val="1"/>
        </w:rPr>
        <w:t>administration.</w:t>
      </w:r>
      <w:r>
        <w:rPr>
          <w:spacing w:val="-1"/>
          <w:position w:val="1"/>
        </w:rPr>
        <w:t xml:space="preserve"> </w:t>
      </w:r>
      <w:r>
        <w:rPr>
          <w:position w:val="1"/>
        </w:rPr>
        <w:t>AUC and C</w:t>
      </w:r>
      <w:r>
        <w:rPr>
          <w:sz w:val="16"/>
        </w:rPr>
        <w:t>max</w:t>
      </w:r>
      <w:r>
        <w:rPr>
          <w:spacing w:val="26"/>
          <w:sz w:val="16"/>
        </w:rPr>
        <w:t xml:space="preserve"> </w:t>
      </w:r>
      <w:r>
        <w:rPr>
          <w:position w:val="1"/>
        </w:rPr>
        <w:t>of tofacitinib</w:t>
      </w:r>
      <w:r>
        <w:rPr>
          <w:spacing w:val="-1"/>
          <w:position w:val="1"/>
        </w:rPr>
        <w:t xml:space="preserve"> </w:t>
      </w:r>
      <w:r>
        <w:rPr>
          <w:position w:val="1"/>
        </w:rPr>
        <w:t xml:space="preserve">for </w:t>
      </w:r>
      <w:r>
        <w:t>XELJANZ</w:t>
      </w:r>
      <w:r>
        <w:rPr>
          <w:spacing w:val="-3"/>
        </w:rPr>
        <w:t xml:space="preserve"> </w:t>
      </w:r>
      <w:r>
        <w:t>XR 11</w:t>
      </w:r>
      <w:r>
        <w:rPr>
          <w:spacing w:val="-5"/>
        </w:rPr>
        <w:t xml:space="preserve"> </w:t>
      </w:r>
      <w:r>
        <w:t>mg administered once</w:t>
      </w:r>
      <w:r>
        <w:rPr>
          <w:spacing w:val="-7"/>
        </w:rPr>
        <w:t xml:space="preserve"> </w:t>
      </w:r>
      <w:r>
        <w:t>daily are bioequivalent to those of XELJANZ 5</w:t>
      </w:r>
      <w:r>
        <w:rPr>
          <w:spacing w:val="-5"/>
        </w:rPr>
        <w:t xml:space="preserve"> </w:t>
      </w:r>
      <w:r>
        <w:t>mg administered twice daily.</w:t>
      </w:r>
    </w:p>
    <w:p w14:paraId="5912F761" w14:textId="77777777" w:rsidR="001825E2" w:rsidRDefault="000839A5" w:rsidP="00CB00A7">
      <w:pPr>
        <w:spacing w:before="226"/>
        <w:ind w:left="219"/>
        <w:rPr>
          <w:i/>
          <w:sz w:val="24"/>
        </w:rPr>
      </w:pPr>
      <w:r>
        <w:rPr>
          <w:i/>
          <w:sz w:val="24"/>
        </w:rPr>
        <w:t>XELJANZ</w:t>
      </w:r>
      <w:r>
        <w:rPr>
          <w:i/>
          <w:spacing w:val="-8"/>
          <w:sz w:val="24"/>
        </w:rPr>
        <w:t xml:space="preserve"> </w:t>
      </w:r>
      <w:r>
        <w:rPr>
          <w:i/>
          <w:sz w:val="24"/>
        </w:rPr>
        <w:t>Oral</w:t>
      </w:r>
      <w:r>
        <w:rPr>
          <w:i/>
          <w:spacing w:val="2"/>
          <w:sz w:val="24"/>
        </w:rPr>
        <w:t xml:space="preserve"> </w:t>
      </w:r>
      <w:r>
        <w:rPr>
          <w:i/>
          <w:spacing w:val="-2"/>
          <w:sz w:val="24"/>
        </w:rPr>
        <w:t>Solution</w:t>
      </w:r>
    </w:p>
    <w:p w14:paraId="47A93BAD" w14:textId="77777777" w:rsidR="001825E2" w:rsidRDefault="000839A5" w:rsidP="00CB00A7">
      <w:pPr>
        <w:pStyle w:val="BodyText"/>
        <w:spacing w:before="129"/>
        <w:ind w:left="217" w:right="735" w:firstLine="2"/>
        <w:jc w:val="left"/>
      </w:pPr>
      <w:r>
        <w:t>Tofacitinib in XELJANZ oral solution is absorbed rapidly with peak plasma concentrations reached within 0.5-1</w:t>
      </w:r>
      <w:r>
        <w:rPr>
          <w:spacing w:val="-1"/>
        </w:rPr>
        <w:t xml:space="preserve"> </w:t>
      </w:r>
      <w:r>
        <w:t>hour and a mean elimination half-life of ~3</w:t>
      </w:r>
      <w:r>
        <w:rPr>
          <w:spacing w:val="-2"/>
        </w:rPr>
        <w:t xml:space="preserve"> </w:t>
      </w:r>
      <w:r>
        <w:t xml:space="preserve">hours </w:t>
      </w:r>
      <w:proofErr w:type="gramStart"/>
      <w:r>
        <w:t>similar to</w:t>
      </w:r>
      <w:proofErr w:type="gramEnd"/>
      <w:r>
        <w:t xml:space="preserve"> the XELJANZ 5</w:t>
      </w:r>
      <w:r>
        <w:rPr>
          <w:spacing w:val="-3"/>
        </w:rPr>
        <w:t xml:space="preserve"> </w:t>
      </w:r>
      <w:r>
        <w:t>mg</w:t>
      </w:r>
      <w:r>
        <w:rPr>
          <w:spacing w:val="-3"/>
        </w:rPr>
        <w:t xml:space="preserve"> </w:t>
      </w:r>
      <w:r>
        <w:t>tablet.</w:t>
      </w:r>
      <w:r>
        <w:rPr>
          <w:spacing w:val="-3"/>
        </w:rPr>
        <w:t xml:space="preserve"> </w:t>
      </w:r>
      <w:r>
        <w:t>XELJANZ 1</w:t>
      </w:r>
      <w:r>
        <w:rPr>
          <w:spacing w:val="-3"/>
        </w:rPr>
        <w:t xml:space="preserve"> </w:t>
      </w:r>
      <w:r>
        <w:t>mg/mL oral solution when</w:t>
      </w:r>
      <w:r>
        <w:rPr>
          <w:spacing w:val="-3"/>
        </w:rPr>
        <w:t xml:space="preserve"> </w:t>
      </w:r>
      <w:r>
        <w:t>given as</w:t>
      </w:r>
      <w:r>
        <w:rPr>
          <w:spacing w:val="-7"/>
        </w:rPr>
        <w:t xml:space="preserve"> </w:t>
      </w:r>
      <w:r>
        <w:t>a 5</w:t>
      </w:r>
      <w:r>
        <w:rPr>
          <w:spacing w:val="-3"/>
        </w:rPr>
        <w:t xml:space="preserve"> </w:t>
      </w:r>
      <w:r>
        <w:t>mg (5</w:t>
      </w:r>
      <w:r>
        <w:rPr>
          <w:spacing w:val="-3"/>
        </w:rPr>
        <w:t xml:space="preserve"> </w:t>
      </w:r>
      <w:r>
        <w:t>mL) dose can be considered bioequivalent</w:t>
      </w:r>
      <w:r>
        <w:rPr>
          <w:spacing w:val="40"/>
        </w:rPr>
        <w:t xml:space="preserve"> </w:t>
      </w:r>
      <w:r>
        <w:t>to</w:t>
      </w:r>
      <w:r>
        <w:rPr>
          <w:spacing w:val="-3"/>
        </w:rPr>
        <w:t xml:space="preserve"> </w:t>
      </w:r>
      <w:r>
        <w:t>the XELJANZ 5</w:t>
      </w:r>
      <w:r>
        <w:rPr>
          <w:spacing w:val="-4"/>
        </w:rPr>
        <w:t xml:space="preserve"> </w:t>
      </w:r>
      <w:r>
        <w:t>mg tablet.</w:t>
      </w:r>
    </w:p>
    <w:p w14:paraId="426323DB" w14:textId="77777777" w:rsidR="001825E2" w:rsidRDefault="001825E2" w:rsidP="00CB00A7">
      <w:pPr>
        <w:sectPr w:rsidR="001825E2">
          <w:pgSz w:w="11910" w:h="16850"/>
          <w:pgMar w:top="1360" w:right="700" w:bottom="980" w:left="1220" w:header="0" w:footer="785" w:gutter="0"/>
          <w:cols w:space="720"/>
        </w:sectPr>
      </w:pPr>
    </w:p>
    <w:p w14:paraId="70635163" w14:textId="77777777" w:rsidR="001825E2" w:rsidRDefault="000839A5" w:rsidP="00CB00A7">
      <w:pPr>
        <w:pStyle w:val="Heading4"/>
        <w:spacing w:before="76"/>
        <w:jc w:val="left"/>
      </w:pPr>
      <w:bookmarkStart w:id="69" w:name="Absorption"/>
      <w:bookmarkStart w:id="70" w:name="XELJANZ"/>
      <w:bookmarkStart w:id="71" w:name="XELJANZ_XR"/>
      <w:bookmarkStart w:id="72" w:name="Distribution"/>
      <w:bookmarkStart w:id="73" w:name="Metabolism_and_Excretion"/>
      <w:bookmarkStart w:id="74" w:name="Special_Populations"/>
      <w:bookmarkEnd w:id="69"/>
      <w:bookmarkEnd w:id="70"/>
      <w:bookmarkEnd w:id="71"/>
      <w:bookmarkEnd w:id="72"/>
      <w:bookmarkEnd w:id="73"/>
      <w:bookmarkEnd w:id="74"/>
      <w:r>
        <w:rPr>
          <w:spacing w:val="-2"/>
        </w:rPr>
        <w:lastRenderedPageBreak/>
        <w:t>Absorption</w:t>
      </w:r>
    </w:p>
    <w:p w14:paraId="2D363216" w14:textId="77777777" w:rsidR="001825E2" w:rsidRDefault="000839A5" w:rsidP="00CB00A7">
      <w:pPr>
        <w:spacing w:before="114"/>
        <w:ind w:left="220"/>
        <w:rPr>
          <w:i/>
          <w:sz w:val="24"/>
        </w:rPr>
      </w:pPr>
      <w:r>
        <w:rPr>
          <w:i/>
          <w:spacing w:val="-2"/>
          <w:sz w:val="24"/>
        </w:rPr>
        <w:t>XELJANZ</w:t>
      </w:r>
    </w:p>
    <w:p w14:paraId="132C37DB" w14:textId="77777777" w:rsidR="001825E2" w:rsidRDefault="000839A5" w:rsidP="00CB00A7">
      <w:pPr>
        <w:pStyle w:val="BodyText"/>
        <w:spacing w:before="133" w:line="235" w:lineRule="auto"/>
        <w:ind w:left="219" w:right="732"/>
        <w:jc w:val="left"/>
      </w:pPr>
      <w:r>
        <w:t xml:space="preserve">Tofacitinib is well-absorbed, with an oral bioavailability of 74% following administration of XELJANZ. Co-administration of tofacitinib with a high fat meal resulted in no changes in </w:t>
      </w:r>
      <w:r>
        <w:rPr>
          <w:position w:val="2"/>
        </w:rPr>
        <w:t>AUC</w:t>
      </w:r>
      <w:r>
        <w:rPr>
          <w:spacing w:val="-2"/>
          <w:position w:val="2"/>
        </w:rPr>
        <w:t xml:space="preserve"> </w:t>
      </w:r>
      <w:r>
        <w:rPr>
          <w:position w:val="2"/>
        </w:rPr>
        <w:t>while C</w:t>
      </w:r>
      <w:r>
        <w:rPr>
          <w:sz w:val="16"/>
        </w:rPr>
        <w:t>max</w:t>
      </w:r>
      <w:r>
        <w:rPr>
          <w:spacing w:val="21"/>
          <w:sz w:val="16"/>
        </w:rPr>
        <w:t xml:space="preserve"> </w:t>
      </w:r>
      <w:r>
        <w:rPr>
          <w:position w:val="1"/>
        </w:rPr>
        <w:t>was reduced by 32%.</w:t>
      </w:r>
      <w:r>
        <w:rPr>
          <w:spacing w:val="-6"/>
          <w:position w:val="1"/>
        </w:rPr>
        <w:t xml:space="preserve"> </w:t>
      </w:r>
      <w:r>
        <w:rPr>
          <w:position w:val="1"/>
        </w:rPr>
        <w:t xml:space="preserve">In clinical trials, tofacitinib was administered without </w:t>
      </w:r>
      <w:r>
        <w:t>regard to meals.</w:t>
      </w:r>
    </w:p>
    <w:p w14:paraId="22679970" w14:textId="77777777" w:rsidR="001825E2" w:rsidRDefault="000839A5" w:rsidP="00CB00A7">
      <w:pPr>
        <w:spacing w:before="239"/>
        <w:ind w:left="219"/>
        <w:rPr>
          <w:i/>
          <w:sz w:val="24"/>
        </w:rPr>
      </w:pPr>
      <w:r>
        <w:rPr>
          <w:i/>
          <w:sz w:val="24"/>
        </w:rPr>
        <w:t>XELJANZ</w:t>
      </w:r>
      <w:r>
        <w:rPr>
          <w:i/>
          <w:spacing w:val="-3"/>
          <w:sz w:val="24"/>
        </w:rPr>
        <w:t xml:space="preserve"> </w:t>
      </w:r>
      <w:r>
        <w:rPr>
          <w:i/>
          <w:spacing w:val="-5"/>
          <w:sz w:val="24"/>
        </w:rPr>
        <w:t>XR</w:t>
      </w:r>
    </w:p>
    <w:p w14:paraId="7B761F19" w14:textId="77777777" w:rsidR="001825E2" w:rsidRDefault="000839A5" w:rsidP="00CB00A7">
      <w:pPr>
        <w:pStyle w:val="BodyText"/>
        <w:spacing w:before="138" w:line="230" w:lineRule="auto"/>
        <w:ind w:left="219" w:right="738"/>
        <w:jc w:val="left"/>
      </w:pPr>
      <w:r>
        <w:t>Coadministration</w:t>
      </w:r>
      <w:r>
        <w:rPr>
          <w:spacing w:val="-4"/>
        </w:rPr>
        <w:t xml:space="preserve"> </w:t>
      </w:r>
      <w:r>
        <w:t>of XELJANZ</w:t>
      </w:r>
      <w:r>
        <w:rPr>
          <w:spacing w:val="-15"/>
        </w:rPr>
        <w:t xml:space="preserve"> </w:t>
      </w:r>
      <w:r>
        <w:t>XR with</w:t>
      </w:r>
      <w:r>
        <w:rPr>
          <w:spacing w:val="-4"/>
        </w:rPr>
        <w:t xml:space="preserve"> </w:t>
      </w:r>
      <w:r>
        <w:t>a</w:t>
      </w:r>
      <w:r>
        <w:rPr>
          <w:spacing w:val="-6"/>
        </w:rPr>
        <w:t xml:space="preserve"> </w:t>
      </w:r>
      <w:r>
        <w:t>high</w:t>
      </w:r>
      <w:r>
        <w:rPr>
          <w:spacing w:val="-4"/>
        </w:rPr>
        <w:t xml:space="preserve"> </w:t>
      </w:r>
      <w:r>
        <w:t>fat meal</w:t>
      </w:r>
      <w:r>
        <w:rPr>
          <w:spacing w:val="-11"/>
        </w:rPr>
        <w:t xml:space="preserve"> </w:t>
      </w:r>
      <w:r>
        <w:t>resulted in</w:t>
      </w:r>
      <w:r>
        <w:rPr>
          <w:spacing w:val="-4"/>
        </w:rPr>
        <w:t xml:space="preserve"> </w:t>
      </w:r>
      <w:r>
        <w:t>no</w:t>
      </w:r>
      <w:r>
        <w:rPr>
          <w:spacing w:val="-4"/>
        </w:rPr>
        <w:t xml:space="preserve"> </w:t>
      </w:r>
      <w:r>
        <w:t>changes in</w:t>
      </w:r>
      <w:r>
        <w:rPr>
          <w:spacing w:val="-4"/>
        </w:rPr>
        <w:t xml:space="preserve"> </w:t>
      </w:r>
      <w:r>
        <w:t xml:space="preserve">AUC while </w:t>
      </w:r>
      <w:r>
        <w:rPr>
          <w:position w:val="2"/>
        </w:rPr>
        <w:t>C</w:t>
      </w:r>
      <w:r>
        <w:rPr>
          <w:sz w:val="16"/>
        </w:rPr>
        <w:t xml:space="preserve">max </w:t>
      </w:r>
      <w:r>
        <w:rPr>
          <w:position w:val="1"/>
        </w:rPr>
        <w:t>was</w:t>
      </w:r>
      <w:r>
        <w:rPr>
          <w:spacing w:val="-11"/>
          <w:position w:val="1"/>
        </w:rPr>
        <w:t xml:space="preserve"> </w:t>
      </w:r>
      <w:r>
        <w:rPr>
          <w:position w:val="1"/>
        </w:rPr>
        <w:t>increased by 27% and T</w:t>
      </w:r>
      <w:r>
        <w:rPr>
          <w:sz w:val="16"/>
        </w:rPr>
        <w:t xml:space="preserve">max </w:t>
      </w:r>
      <w:r>
        <w:rPr>
          <w:position w:val="1"/>
        </w:rPr>
        <w:t>was extended by</w:t>
      </w:r>
      <w:r>
        <w:rPr>
          <w:spacing w:val="-6"/>
          <w:position w:val="1"/>
        </w:rPr>
        <w:t xml:space="preserve"> </w:t>
      </w:r>
      <w:r>
        <w:rPr>
          <w:position w:val="1"/>
        </w:rPr>
        <w:t>approximately 1 hour.</w:t>
      </w:r>
    </w:p>
    <w:p w14:paraId="7D93F1DF" w14:textId="77777777" w:rsidR="001825E2" w:rsidRDefault="000839A5" w:rsidP="00CB00A7">
      <w:pPr>
        <w:pStyle w:val="Heading4"/>
        <w:spacing w:before="246"/>
        <w:jc w:val="left"/>
      </w:pPr>
      <w:r>
        <w:rPr>
          <w:spacing w:val="-2"/>
        </w:rPr>
        <w:t>Distribution</w:t>
      </w:r>
    </w:p>
    <w:p w14:paraId="2FB2F884" w14:textId="77777777" w:rsidR="001825E2" w:rsidRDefault="000839A5" w:rsidP="00CB00A7">
      <w:pPr>
        <w:pStyle w:val="BodyText"/>
        <w:spacing w:before="116" w:line="237" w:lineRule="auto"/>
        <w:ind w:left="219" w:right="738"/>
        <w:jc w:val="left"/>
      </w:pPr>
      <w:r>
        <w:t>After intravenous administration, the volume of distribution is 87</w:t>
      </w:r>
      <w:r>
        <w:rPr>
          <w:spacing w:val="-1"/>
        </w:rPr>
        <w:t xml:space="preserve"> </w:t>
      </w:r>
      <w:r>
        <w:t xml:space="preserve">L. Approximately 40% of circulating tofacitinib is bound to plasma proteins. Tofacitinib binds predominantly to albumin and does not appear to bind to </w:t>
      </w:r>
      <w:r>
        <w:rPr>
          <w:rFonts w:ascii="Symbol" w:hAnsi="Symbol"/>
        </w:rPr>
        <w:t></w:t>
      </w:r>
      <w:r>
        <w:t>1-acid glycoprotein. Tofacitinib distributes equally between red blood cells</w:t>
      </w:r>
      <w:r>
        <w:rPr>
          <w:spacing w:val="40"/>
        </w:rPr>
        <w:t xml:space="preserve"> </w:t>
      </w:r>
      <w:r>
        <w:t>and plasma.</w:t>
      </w:r>
    </w:p>
    <w:p w14:paraId="7FF4A735" w14:textId="77777777" w:rsidR="001825E2" w:rsidRDefault="000839A5" w:rsidP="00CB00A7">
      <w:pPr>
        <w:pStyle w:val="Heading4"/>
        <w:spacing w:before="252"/>
        <w:ind w:left="218"/>
        <w:jc w:val="left"/>
      </w:pPr>
      <w:r>
        <w:t>Metabolism</w:t>
      </w:r>
      <w:r>
        <w:rPr>
          <w:spacing w:val="5"/>
        </w:rPr>
        <w:t xml:space="preserve"> </w:t>
      </w:r>
      <w:r>
        <w:t>and</w:t>
      </w:r>
      <w:r>
        <w:rPr>
          <w:spacing w:val="-12"/>
        </w:rPr>
        <w:t xml:space="preserve"> </w:t>
      </w:r>
      <w:r>
        <w:rPr>
          <w:spacing w:val="-2"/>
        </w:rPr>
        <w:t>Excretion</w:t>
      </w:r>
    </w:p>
    <w:p w14:paraId="67BF927D" w14:textId="77777777" w:rsidR="001825E2" w:rsidRDefault="000839A5" w:rsidP="00CB00A7">
      <w:pPr>
        <w:pStyle w:val="BodyText"/>
        <w:spacing w:before="114"/>
        <w:ind w:left="214" w:right="723" w:firstLine="4"/>
        <w:jc w:val="left"/>
      </w:pPr>
      <w:r>
        <w:t>Clearance mechanisms for tofacitinib are approximately 70% hepatic metabolism and 30% renal excretion of the parent drug. The metabolism of tofacitinib is primarily mediated by CYP3A4</w:t>
      </w:r>
      <w:r>
        <w:rPr>
          <w:spacing w:val="-2"/>
        </w:rPr>
        <w:t xml:space="preserve"> </w:t>
      </w:r>
      <w:r>
        <w:t>with</w:t>
      </w:r>
      <w:r>
        <w:rPr>
          <w:spacing w:val="-2"/>
        </w:rPr>
        <w:t xml:space="preserve"> </w:t>
      </w:r>
      <w:r>
        <w:t>minor contribution from CYP2C19.</w:t>
      </w:r>
      <w:r>
        <w:rPr>
          <w:spacing w:val="-2"/>
        </w:rPr>
        <w:t xml:space="preserve"> </w:t>
      </w:r>
      <w:r>
        <w:t>In</w:t>
      </w:r>
      <w:r>
        <w:rPr>
          <w:spacing w:val="-2"/>
        </w:rPr>
        <w:t xml:space="preserve"> </w:t>
      </w:r>
      <w:r>
        <w:t>a human radiolabeled study, more than 65% of the total circulating radioactivity was accounted for by unchanged drug, with the remaining 35% attributed to 8 metabolites, each accounting for less than 8% of total radioactivity. The</w:t>
      </w:r>
      <w:r>
        <w:rPr>
          <w:spacing w:val="-2"/>
        </w:rPr>
        <w:t xml:space="preserve"> </w:t>
      </w:r>
      <w:r>
        <w:t>pharmacologic</w:t>
      </w:r>
      <w:r>
        <w:rPr>
          <w:spacing w:val="-2"/>
        </w:rPr>
        <w:t xml:space="preserve"> </w:t>
      </w:r>
      <w:r>
        <w:t>activity of tofacitinib is</w:t>
      </w:r>
      <w:r>
        <w:rPr>
          <w:spacing w:val="-4"/>
        </w:rPr>
        <w:t xml:space="preserve"> </w:t>
      </w:r>
      <w:r>
        <w:t>attributed to</w:t>
      </w:r>
      <w:r>
        <w:rPr>
          <w:spacing w:val="-15"/>
        </w:rPr>
        <w:t xml:space="preserve"> </w:t>
      </w:r>
      <w:r>
        <w:t>the</w:t>
      </w:r>
      <w:r>
        <w:rPr>
          <w:spacing w:val="-2"/>
        </w:rPr>
        <w:t xml:space="preserve"> </w:t>
      </w:r>
      <w:r>
        <w:t xml:space="preserve">parent molecule. </w:t>
      </w:r>
      <w:r>
        <w:rPr>
          <w:i/>
        </w:rPr>
        <w:t>In vitro</w:t>
      </w:r>
      <w:r>
        <w:t xml:space="preserve">, tofacitinib is a substrate for multidrug resistance (MDR) 1, but not for breast cancer resistance protein (BCRP), organic anion transporting polypeptide </w:t>
      </w:r>
      <w:r>
        <w:t>(OATP) 1B1/1B3, or organic cationic transporter (OCT) 1/2, and is not an inhibitor of MDR1, OATP1B1/1B3, OCT2, organic anion transporter (OAT) 1/3, or multidrug resistance-associated protein</w:t>
      </w:r>
      <w:r>
        <w:rPr>
          <w:spacing w:val="40"/>
        </w:rPr>
        <w:t xml:space="preserve"> </w:t>
      </w:r>
      <w:r>
        <w:t>(MRP) at clinically</w:t>
      </w:r>
      <w:r>
        <w:rPr>
          <w:spacing w:val="40"/>
        </w:rPr>
        <w:t xml:space="preserve"> </w:t>
      </w:r>
      <w:r>
        <w:t>meaningful concentrations.</w:t>
      </w:r>
    </w:p>
    <w:p w14:paraId="3B63B787" w14:textId="77777777" w:rsidR="001825E2" w:rsidRDefault="000839A5" w:rsidP="00CB00A7">
      <w:pPr>
        <w:pStyle w:val="Heading4"/>
        <w:ind w:left="214"/>
        <w:jc w:val="left"/>
      </w:pPr>
      <w:r>
        <w:t>Special</w:t>
      </w:r>
      <w:r>
        <w:rPr>
          <w:spacing w:val="-2"/>
        </w:rPr>
        <w:t xml:space="preserve"> Populations</w:t>
      </w:r>
    </w:p>
    <w:p w14:paraId="7B848204" w14:textId="77777777" w:rsidR="001825E2" w:rsidRDefault="000839A5" w:rsidP="00CB00A7">
      <w:pPr>
        <w:spacing w:before="114"/>
        <w:ind w:left="214"/>
        <w:rPr>
          <w:i/>
          <w:sz w:val="24"/>
        </w:rPr>
      </w:pPr>
      <w:r>
        <w:rPr>
          <w:i/>
          <w:sz w:val="24"/>
        </w:rPr>
        <w:t>Pharmacokinetics</w:t>
      </w:r>
      <w:r>
        <w:rPr>
          <w:i/>
          <w:spacing w:val="10"/>
          <w:sz w:val="24"/>
        </w:rPr>
        <w:t xml:space="preserve"> </w:t>
      </w:r>
      <w:r>
        <w:rPr>
          <w:i/>
          <w:sz w:val="24"/>
        </w:rPr>
        <w:t>in</w:t>
      </w:r>
      <w:r>
        <w:rPr>
          <w:i/>
          <w:spacing w:val="-11"/>
          <w:sz w:val="24"/>
        </w:rPr>
        <w:t xml:space="preserve"> </w:t>
      </w:r>
      <w:r>
        <w:rPr>
          <w:i/>
          <w:sz w:val="24"/>
        </w:rPr>
        <w:t>Elderly (&gt;65</w:t>
      </w:r>
      <w:r>
        <w:rPr>
          <w:i/>
          <w:spacing w:val="-11"/>
          <w:sz w:val="24"/>
        </w:rPr>
        <w:t xml:space="preserve"> </w:t>
      </w:r>
      <w:r>
        <w:rPr>
          <w:i/>
          <w:sz w:val="24"/>
        </w:rPr>
        <w:t>years)</w:t>
      </w:r>
      <w:r>
        <w:rPr>
          <w:i/>
          <w:spacing w:val="-3"/>
          <w:sz w:val="24"/>
        </w:rPr>
        <w:t xml:space="preserve"> </w:t>
      </w:r>
      <w:r>
        <w:rPr>
          <w:i/>
          <w:sz w:val="24"/>
        </w:rPr>
        <w:t>patients,</w:t>
      </w:r>
      <w:r>
        <w:rPr>
          <w:i/>
          <w:spacing w:val="13"/>
          <w:sz w:val="24"/>
        </w:rPr>
        <w:t xml:space="preserve"> </w:t>
      </w:r>
      <w:r>
        <w:rPr>
          <w:i/>
          <w:sz w:val="24"/>
        </w:rPr>
        <w:t>Gender,</w:t>
      </w:r>
      <w:r>
        <w:rPr>
          <w:i/>
          <w:spacing w:val="-10"/>
          <w:sz w:val="24"/>
        </w:rPr>
        <w:t xml:space="preserve"> </w:t>
      </w:r>
      <w:r>
        <w:rPr>
          <w:i/>
          <w:spacing w:val="-4"/>
          <w:sz w:val="24"/>
        </w:rPr>
        <w:t>Race</w:t>
      </w:r>
    </w:p>
    <w:p w14:paraId="257CDAB3" w14:textId="77777777" w:rsidR="001825E2" w:rsidRDefault="000839A5" w:rsidP="00CB00A7">
      <w:pPr>
        <w:pStyle w:val="BodyText"/>
        <w:spacing w:before="114"/>
        <w:ind w:left="212" w:right="724" w:firstLine="1"/>
        <w:jc w:val="left"/>
      </w:pPr>
      <w:r>
        <w:t>Population PK analysis in RA patients indicated that systemic exposure (AUC) of tofacitinib in</w:t>
      </w:r>
      <w:r>
        <w:rPr>
          <w:spacing w:val="-1"/>
        </w:rPr>
        <w:t xml:space="preserve"> </w:t>
      </w:r>
      <w:r>
        <w:t>the</w:t>
      </w:r>
      <w:r>
        <w:rPr>
          <w:spacing w:val="-3"/>
        </w:rPr>
        <w:t xml:space="preserve"> </w:t>
      </w:r>
      <w:r>
        <w:t>extremes</w:t>
      </w:r>
      <w:r>
        <w:rPr>
          <w:spacing w:val="-5"/>
        </w:rPr>
        <w:t xml:space="preserve"> </w:t>
      </w:r>
      <w:r>
        <w:t>of body</w:t>
      </w:r>
      <w:r>
        <w:rPr>
          <w:spacing w:val="-1"/>
        </w:rPr>
        <w:t xml:space="preserve"> </w:t>
      </w:r>
      <w:r>
        <w:t>weight (40</w:t>
      </w:r>
      <w:r>
        <w:rPr>
          <w:spacing w:val="-1"/>
        </w:rPr>
        <w:t xml:space="preserve"> </w:t>
      </w:r>
      <w:r>
        <w:t>kg,</w:t>
      </w:r>
      <w:r>
        <w:rPr>
          <w:spacing w:val="-1"/>
        </w:rPr>
        <w:t xml:space="preserve"> </w:t>
      </w:r>
      <w:r>
        <w:t>140</w:t>
      </w:r>
      <w:r>
        <w:rPr>
          <w:spacing w:val="-1"/>
        </w:rPr>
        <w:t xml:space="preserve"> </w:t>
      </w:r>
      <w:r>
        <w:t>kg)</w:t>
      </w:r>
      <w:r>
        <w:rPr>
          <w:spacing w:val="-6"/>
        </w:rPr>
        <w:t xml:space="preserve"> </w:t>
      </w:r>
      <w:r>
        <w:t>were</w:t>
      </w:r>
      <w:r>
        <w:rPr>
          <w:spacing w:val="-3"/>
        </w:rPr>
        <w:t xml:space="preserve"> </w:t>
      </w:r>
      <w:proofErr w:type="gramStart"/>
      <w:r>
        <w:t>similar</w:t>
      </w:r>
      <w:r>
        <w:rPr>
          <w:spacing w:val="-6"/>
        </w:rPr>
        <w:t xml:space="preserve"> </w:t>
      </w:r>
      <w:r>
        <w:t>to</w:t>
      </w:r>
      <w:proofErr w:type="gramEnd"/>
      <w:r>
        <w:rPr>
          <w:spacing w:val="-1"/>
        </w:rPr>
        <w:t xml:space="preserve"> </w:t>
      </w:r>
      <w:r>
        <w:t>that of a</w:t>
      </w:r>
      <w:r>
        <w:rPr>
          <w:spacing w:val="-3"/>
        </w:rPr>
        <w:t xml:space="preserve"> </w:t>
      </w:r>
      <w:r>
        <w:t>70</w:t>
      </w:r>
      <w:r>
        <w:rPr>
          <w:spacing w:val="-1"/>
        </w:rPr>
        <w:t xml:space="preserve"> </w:t>
      </w:r>
      <w:r>
        <w:t>kg</w:t>
      </w:r>
      <w:r>
        <w:rPr>
          <w:spacing w:val="-1"/>
        </w:rPr>
        <w:t xml:space="preserve"> </w:t>
      </w:r>
      <w:r>
        <w:t>patient.</w:t>
      </w:r>
      <w:r>
        <w:rPr>
          <w:spacing w:val="-1"/>
        </w:rPr>
        <w:t xml:space="preserve"> </w:t>
      </w:r>
      <w:r>
        <w:t>Elderly patients 80</w:t>
      </w:r>
      <w:r>
        <w:rPr>
          <w:spacing w:val="-3"/>
        </w:rPr>
        <w:t xml:space="preserve"> </w:t>
      </w:r>
      <w:r>
        <w:t>years of age</w:t>
      </w:r>
      <w:r>
        <w:rPr>
          <w:spacing w:val="-5"/>
        </w:rPr>
        <w:t xml:space="preserve"> </w:t>
      </w:r>
      <w:r>
        <w:t>were estimated to have</w:t>
      </w:r>
      <w:r>
        <w:rPr>
          <w:spacing w:val="-5"/>
        </w:rPr>
        <w:t xml:space="preserve"> </w:t>
      </w:r>
      <w:r>
        <w:t>&lt;5% higher AUC relative to</w:t>
      </w:r>
      <w:r>
        <w:rPr>
          <w:spacing w:val="-3"/>
        </w:rPr>
        <w:t xml:space="preserve"> </w:t>
      </w:r>
      <w:r>
        <w:t>the mean age of 55</w:t>
      </w:r>
      <w:r>
        <w:rPr>
          <w:spacing w:val="-2"/>
        </w:rPr>
        <w:t xml:space="preserve"> </w:t>
      </w:r>
      <w:r>
        <w:t>years. Women were estimated</w:t>
      </w:r>
      <w:r>
        <w:rPr>
          <w:spacing w:val="40"/>
        </w:rPr>
        <w:t xml:space="preserve"> </w:t>
      </w:r>
      <w:r>
        <w:t>to have 7% lower AUC compared to men. The available data have also shown that there are</w:t>
      </w:r>
      <w:r>
        <w:rPr>
          <w:spacing w:val="30"/>
        </w:rPr>
        <w:t xml:space="preserve"> </w:t>
      </w:r>
      <w:r>
        <w:t>no</w:t>
      </w:r>
      <w:r>
        <w:rPr>
          <w:spacing w:val="32"/>
        </w:rPr>
        <w:t xml:space="preserve"> </w:t>
      </w:r>
      <w:r>
        <w:t xml:space="preserve">major differences in tofacitinib AUC between races. An approximate linear relationship between body weight and volume of distribution was </w:t>
      </w:r>
      <w:r>
        <w:rPr>
          <w:position w:val="2"/>
        </w:rPr>
        <w:t>observed, resulting in higher peak (C</w:t>
      </w:r>
      <w:r>
        <w:rPr>
          <w:sz w:val="16"/>
        </w:rPr>
        <w:t>max</w:t>
      </w:r>
      <w:r>
        <w:rPr>
          <w:position w:val="1"/>
        </w:rPr>
        <w:t>) and lower trough (C</w:t>
      </w:r>
      <w:r>
        <w:rPr>
          <w:sz w:val="16"/>
        </w:rPr>
        <w:t>min</w:t>
      </w:r>
      <w:r>
        <w:rPr>
          <w:position w:val="1"/>
        </w:rPr>
        <w:t>) c</w:t>
      </w:r>
      <w:r>
        <w:rPr>
          <w:position w:val="1"/>
        </w:rPr>
        <w:t xml:space="preserve">oncentrations in lighter </w:t>
      </w:r>
      <w:r>
        <w:t>patients. However, this difference is not considered to be clinically relevant. The between- subject variability (percentage coefficient of variation) in AUC of tofacitinib is estimated to be approximately</w:t>
      </w:r>
      <w:r>
        <w:rPr>
          <w:spacing w:val="40"/>
        </w:rPr>
        <w:t xml:space="preserve"> </w:t>
      </w:r>
      <w:r>
        <w:t>27%.</w:t>
      </w:r>
    </w:p>
    <w:p w14:paraId="41DED99F" w14:textId="77777777" w:rsidR="001825E2" w:rsidRDefault="000839A5" w:rsidP="00CB00A7">
      <w:pPr>
        <w:spacing w:before="231"/>
        <w:ind w:left="218"/>
        <w:rPr>
          <w:i/>
          <w:sz w:val="24"/>
        </w:rPr>
      </w:pPr>
      <w:r>
        <w:rPr>
          <w:i/>
          <w:sz w:val="24"/>
        </w:rPr>
        <w:t>Pharmacokinetics</w:t>
      </w:r>
      <w:r>
        <w:rPr>
          <w:i/>
          <w:spacing w:val="8"/>
          <w:sz w:val="24"/>
        </w:rPr>
        <w:t xml:space="preserve"> </w:t>
      </w:r>
      <w:r>
        <w:rPr>
          <w:i/>
          <w:sz w:val="24"/>
        </w:rPr>
        <w:t>in</w:t>
      </w:r>
      <w:r>
        <w:rPr>
          <w:i/>
          <w:spacing w:val="-13"/>
          <w:sz w:val="24"/>
        </w:rPr>
        <w:t xml:space="preserve"> </w:t>
      </w:r>
      <w:r>
        <w:rPr>
          <w:i/>
          <w:sz w:val="24"/>
        </w:rPr>
        <w:t>Patient</w:t>
      </w:r>
      <w:r>
        <w:rPr>
          <w:i/>
          <w:spacing w:val="-5"/>
          <w:sz w:val="24"/>
        </w:rPr>
        <w:t xml:space="preserve"> </w:t>
      </w:r>
      <w:r>
        <w:rPr>
          <w:i/>
          <w:spacing w:val="-2"/>
          <w:sz w:val="24"/>
        </w:rPr>
        <w:t>Populations</w:t>
      </w:r>
    </w:p>
    <w:p w14:paraId="1D4F8560" w14:textId="77777777" w:rsidR="001825E2" w:rsidRDefault="000839A5" w:rsidP="00CB00A7">
      <w:pPr>
        <w:pStyle w:val="BodyText"/>
        <w:spacing w:before="133" w:line="235" w:lineRule="auto"/>
        <w:ind w:left="219" w:right="752"/>
        <w:jc w:val="left"/>
      </w:pPr>
      <w:r>
        <w:t>Results from population PK analysis in patients with active PsA, AS or moderate to severe UC were consistent with those in patients with RA.</w:t>
      </w:r>
    </w:p>
    <w:p w14:paraId="0EBC7AD6" w14:textId="77777777" w:rsidR="001825E2" w:rsidRDefault="001825E2" w:rsidP="00CB00A7">
      <w:pPr>
        <w:spacing w:line="235" w:lineRule="auto"/>
        <w:sectPr w:rsidR="001825E2">
          <w:pgSz w:w="11910" w:h="16850"/>
          <w:pgMar w:top="1360" w:right="700" w:bottom="980" w:left="1220" w:header="0" w:footer="785" w:gutter="0"/>
          <w:cols w:space="720"/>
        </w:sectPr>
      </w:pPr>
    </w:p>
    <w:p w14:paraId="6FC117BD" w14:textId="77777777" w:rsidR="001825E2" w:rsidRDefault="000839A5" w:rsidP="00CB00A7">
      <w:pPr>
        <w:spacing w:before="76"/>
        <w:ind w:left="220"/>
        <w:rPr>
          <w:i/>
          <w:sz w:val="24"/>
        </w:rPr>
      </w:pPr>
      <w:r>
        <w:rPr>
          <w:i/>
          <w:sz w:val="24"/>
        </w:rPr>
        <w:lastRenderedPageBreak/>
        <w:t>Pharmacokinetics</w:t>
      </w:r>
      <w:r>
        <w:rPr>
          <w:i/>
          <w:spacing w:val="7"/>
          <w:sz w:val="24"/>
        </w:rPr>
        <w:t xml:space="preserve"> </w:t>
      </w:r>
      <w:r>
        <w:rPr>
          <w:i/>
          <w:sz w:val="24"/>
        </w:rPr>
        <w:t>in</w:t>
      </w:r>
      <w:r>
        <w:rPr>
          <w:i/>
          <w:spacing w:val="-12"/>
          <w:sz w:val="24"/>
        </w:rPr>
        <w:t xml:space="preserve"> </w:t>
      </w:r>
      <w:r>
        <w:rPr>
          <w:i/>
          <w:sz w:val="24"/>
        </w:rPr>
        <w:t>Children with</w:t>
      </w:r>
      <w:r>
        <w:rPr>
          <w:i/>
          <w:spacing w:val="1"/>
          <w:sz w:val="24"/>
        </w:rPr>
        <w:t xml:space="preserve"> </w:t>
      </w:r>
      <w:r>
        <w:rPr>
          <w:i/>
          <w:spacing w:val="-5"/>
          <w:sz w:val="24"/>
        </w:rPr>
        <w:t>JIA</w:t>
      </w:r>
    </w:p>
    <w:p w14:paraId="5DB8B01C" w14:textId="77777777" w:rsidR="001825E2" w:rsidRDefault="000839A5" w:rsidP="00CB00A7">
      <w:pPr>
        <w:pStyle w:val="BodyText"/>
        <w:spacing w:before="114" w:line="242" w:lineRule="auto"/>
        <w:ind w:left="218" w:right="732" w:firstLine="1"/>
        <w:jc w:val="left"/>
      </w:pPr>
      <w:r>
        <w:t>Population PK analysis based on results from both tofacitinib 5</w:t>
      </w:r>
      <w:r>
        <w:rPr>
          <w:spacing w:val="-5"/>
        </w:rPr>
        <w:t xml:space="preserve"> </w:t>
      </w:r>
      <w:r>
        <w:t>mg film-coated tablets twice daily and tofacitinib oral solution weight-based equivalent twice daily indicated that tofacitinib clearance and volume of distribution both</w:t>
      </w:r>
      <w:r>
        <w:rPr>
          <w:spacing w:val="-4"/>
        </w:rPr>
        <w:t xml:space="preserve"> </w:t>
      </w:r>
      <w:r>
        <w:t>decreased with</w:t>
      </w:r>
      <w:r>
        <w:rPr>
          <w:spacing w:val="-4"/>
        </w:rPr>
        <w:t xml:space="preserve"> </w:t>
      </w:r>
      <w:r>
        <w:t xml:space="preserve">decreasing body weight in JIA patients. The available data indicated that there were no clinically relevant differences in tofacitinib exposure (AUC), based on age, race, gender, patient </w:t>
      </w:r>
      <w:proofErr w:type="gramStart"/>
      <w:r>
        <w:t>type</w:t>
      </w:r>
      <w:proofErr w:type="gramEnd"/>
      <w:r>
        <w:t xml:space="preserve"> or baseline disease severity. The between-subject variability (percentage coefficient of variation) in AUC was estimated to be approxi</w:t>
      </w:r>
      <w:r>
        <w:t>mately 24%.</w:t>
      </w:r>
    </w:p>
    <w:p w14:paraId="11490528" w14:textId="77777777" w:rsidR="001825E2" w:rsidRDefault="000839A5" w:rsidP="00CB00A7">
      <w:pPr>
        <w:spacing w:before="224"/>
        <w:ind w:left="218"/>
        <w:rPr>
          <w:i/>
          <w:sz w:val="24"/>
        </w:rPr>
      </w:pPr>
      <w:r>
        <w:rPr>
          <w:i/>
          <w:sz w:val="24"/>
        </w:rPr>
        <w:t>Renal</w:t>
      </w:r>
      <w:r>
        <w:rPr>
          <w:i/>
          <w:spacing w:val="-6"/>
          <w:sz w:val="24"/>
        </w:rPr>
        <w:t xml:space="preserve"> </w:t>
      </w:r>
      <w:r>
        <w:rPr>
          <w:i/>
          <w:spacing w:val="-2"/>
          <w:sz w:val="24"/>
        </w:rPr>
        <w:t>Impairment</w:t>
      </w:r>
    </w:p>
    <w:p w14:paraId="395780FC" w14:textId="77777777" w:rsidR="001825E2" w:rsidRDefault="000839A5" w:rsidP="00CB00A7">
      <w:pPr>
        <w:pStyle w:val="BodyText"/>
        <w:spacing w:before="131" w:line="237" w:lineRule="auto"/>
        <w:ind w:left="216" w:right="726" w:firstLine="2"/>
        <w:jc w:val="left"/>
      </w:pPr>
      <w:r>
        <w:t>In</w:t>
      </w:r>
      <w:r>
        <w:rPr>
          <w:spacing w:val="71"/>
        </w:rPr>
        <w:t xml:space="preserve"> </w:t>
      </w:r>
      <w:r>
        <w:t>a</w:t>
      </w:r>
      <w:r>
        <w:rPr>
          <w:spacing w:val="70"/>
        </w:rPr>
        <w:t xml:space="preserve"> </w:t>
      </w:r>
      <w:r>
        <w:t>clinical</w:t>
      </w:r>
      <w:r>
        <w:rPr>
          <w:spacing w:val="79"/>
        </w:rPr>
        <w:t xml:space="preserve"> </w:t>
      </w:r>
      <w:r>
        <w:t>study,</w:t>
      </w:r>
      <w:r>
        <w:rPr>
          <w:spacing w:val="72"/>
        </w:rPr>
        <w:t xml:space="preserve"> </w:t>
      </w:r>
      <w:r>
        <w:t>subjects</w:t>
      </w:r>
      <w:r>
        <w:rPr>
          <w:spacing w:val="68"/>
        </w:rPr>
        <w:t xml:space="preserve"> </w:t>
      </w:r>
      <w:r>
        <w:t>with</w:t>
      </w:r>
      <w:r>
        <w:rPr>
          <w:spacing w:val="72"/>
        </w:rPr>
        <w:t xml:space="preserve"> </w:t>
      </w:r>
      <w:r>
        <w:t>renal</w:t>
      </w:r>
      <w:r>
        <w:rPr>
          <w:spacing w:val="65"/>
        </w:rPr>
        <w:t xml:space="preserve"> </w:t>
      </w:r>
      <w:r>
        <w:t>impairment</w:t>
      </w:r>
      <w:r>
        <w:rPr>
          <w:spacing w:val="79"/>
        </w:rPr>
        <w:t xml:space="preserve"> </w:t>
      </w:r>
      <w:r>
        <w:t>with</w:t>
      </w:r>
      <w:r>
        <w:rPr>
          <w:spacing w:val="72"/>
        </w:rPr>
        <w:t xml:space="preserve"> </w:t>
      </w:r>
      <w:r>
        <w:t>a</w:t>
      </w:r>
      <w:r>
        <w:rPr>
          <w:spacing w:val="70"/>
        </w:rPr>
        <w:t xml:space="preserve"> </w:t>
      </w:r>
      <w:r>
        <w:t>creatinine</w:t>
      </w:r>
      <w:r>
        <w:rPr>
          <w:spacing w:val="70"/>
        </w:rPr>
        <w:t xml:space="preserve"> </w:t>
      </w:r>
      <w:r>
        <w:t>clearance</w:t>
      </w:r>
      <w:r>
        <w:rPr>
          <w:spacing w:val="70"/>
        </w:rPr>
        <w:t xml:space="preserve"> </w:t>
      </w:r>
      <w:r>
        <w:t>of</w:t>
      </w:r>
      <w:r>
        <w:rPr>
          <w:spacing w:val="80"/>
        </w:rPr>
        <w:t xml:space="preserve"> </w:t>
      </w:r>
      <w:r>
        <w:t>51- 80</w:t>
      </w:r>
      <w:r>
        <w:rPr>
          <w:spacing w:val="-4"/>
        </w:rPr>
        <w:t xml:space="preserve"> </w:t>
      </w:r>
      <w:r>
        <w:t>mL/min,</w:t>
      </w:r>
      <w:r>
        <w:rPr>
          <w:spacing w:val="-4"/>
        </w:rPr>
        <w:t xml:space="preserve"> </w:t>
      </w:r>
      <w:r>
        <w:t>30-50 mL/min</w:t>
      </w:r>
      <w:r>
        <w:rPr>
          <w:spacing w:val="-4"/>
        </w:rPr>
        <w:t xml:space="preserve"> </w:t>
      </w:r>
      <w:r>
        <w:t>and &lt;30</w:t>
      </w:r>
      <w:r>
        <w:rPr>
          <w:spacing w:val="-4"/>
        </w:rPr>
        <w:t xml:space="preserve"> </w:t>
      </w:r>
      <w:r>
        <w:t>mL/min (estimated GFR</w:t>
      </w:r>
      <w:r>
        <w:rPr>
          <w:spacing w:val="-1"/>
        </w:rPr>
        <w:t xml:space="preserve"> </w:t>
      </w:r>
      <w:r>
        <w:t>(Cockcroft–Gault formula))</w:t>
      </w:r>
      <w:r>
        <w:rPr>
          <w:spacing w:val="-9"/>
        </w:rPr>
        <w:t xml:space="preserve"> </w:t>
      </w:r>
      <w:r>
        <w:t>had 37%, 43% and 123%</w:t>
      </w:r>
      <w:r>
        <w:rPr>
          <w:spacing w:val="-10"/>
        </w:rPr>
        <w:t xml:space="preserve"> </w:t>
      </w:r>
      <w:r>
        <w:t>higher AUC,</w:t>
      </w:r>
      <w:r>
        <w:rPr>
          <w:spacing w:val="-6"/>
        </w:rPr>
        <w:t xml:space="preserve"> </w:t>
      </w:r>
      <w:r>
        <w:t>respectively, compared with healthy subjects (see Section 4.2 Dose and Method of Administration). In subjects with end-stage renal disease, the contribution of dialysis to</w:t>
      </w:r>
      <w:r>
        <w:rPr>
          <w:spacing w:val="-9"/>
        </w:rPr>
        <w:t xml:space="preserve"> </w:t>
      </w:r>
      <w:r>
        <w:t>the total</w:t>
      </w:r>
      <w:r>
        <w:rPr>
          <w:spacing w:val="-17"/>
        </w:rPr>
        <w:t xml:space="preserve"> </w:t>
      </w:r>
      <w:r>
        <w:t>clearance of tofacitinib was</w:t>
      </w:r>
      <w:r>
        <w:rPr>
          <w:spacing w:val="-14"/>
        </w:rPr>
        <w:t xml:space="preserve"> </w:t>
      </w:r>
      <w:r>
        <w:t>relatively</w:t>
      </w:r>
      <w:r>
        <w:rPr>
          <w:spacing w:val="40"/>
        </w:rPr>
        <w:t xml:space="preserve"> </w:t>
      </w:r>
      <w:r>
        <w:t>small.</w:t>
      </w:r>
    </w:p>
    <w:p w14:paraId="6CFC18E3" w14:textId="77777777" w:rsidR="001825E2" w:rsidRDefault="000839A5" w:rsidP="00CB00A7">
      <w:pPr>
        <w:spacing w:before="252"/>
        <w:ind w:left="216"/>
        <w:rPr>
          <w:i/>
          <w:sz w:val="24"/>
        </w:rPr>
      </w:pPr>
      <w:r>
        <w:rPr>
          <w:i/>
          <w:sz w:val="24"/>
        </w:rPr>
        <w:t>Hepatic</w:t>
      </w:r>
      <w:r>
        <w:rPr>
          <w:i/>
          <w:spacing w:val="3"/>
          <w:sz w:val="24"/>
        </w:rPr>
        <w:t xml:space="preserve"> </w:t>
      </w:r>
      <w:r>
        <w:rPr>
          <w:i/>
          <w:spacing w:val="-2"/>
          <w:sz w:val="24"/>
        </w:rPr>
        <w:t>Impairment</w:t>
      </w:r>
    </w:p>
    <w:p w14:paraId="1E53B866" w14:textId="77777777" w:rsidR="001825E2" w:rsidRDefault="000839A5" w:rsidP="00CB00A7">
      <w:pPr>
        <w:pStyle w:val="BodyText"/>
        <w:spacing w:before="114" w:line="242" w:lineRule="auto"/>
        <w:ind w:left="213" w:right="728" w:firstLine="2"/>
        <w:jc w:val="left"/>
      </w:pPr>
      <w:r>
        <w:t xml:space="preserve">Subjects with mild and moderate hepatic impairment had 3%, and 65% higher AUC, respectively, compared with healthy subjects (see Section 4.2 Dose and Method of Administration). Subjects with severe hepatic impairment were not studied. </w:t>
      </w:r>
      <w:proofErr w:type="gramStart"/>
      <w:r>
        <w:t>Therefore</w:t>
      </w:r>
      <w:proofErr w:type="gramEnd"/>
      <w:r>
        <w:t xml:space="preserve"> XELJANZ should not be used in patients with severe hepatic impairment (see Section 4.3 </w:t>
      </w:r>
      <w:r>
        <w:rPr>
          <w:spacing w:val="-2"/>
        </w:rPr>
        <w:t>Contraindications).</w:t>
      </w:r>
    </w:p>
    <w:p w14:paraId="0CD5E551" w14:textId="77777777" w:rsidR="001825E2" w:rsidRDefault="000839A5" w:rsidP="00CB00A7">
      <w:pPr>
        <w:pStyle w:val="BodyText"/>
        <w:spacing w:before="226" w:line="242" w:lineRule="auto"/>
        <w:ind w:left="213" w:right="758"/>
        <w:jc w:val="left"/>
      </w:pPr>
      <w:r>
        <w:t xml:space="preserve">The impact of intrinsic factors on tofacitinib pharmacokinetics is </w:t>
      </w:r>
      <w:proofErr w:type="spellStart"/>
      <w:r>
        <w:t>summarised</w:t>
      </w:r>
      <w:proofErr w:type="spellEnd"/>
      <w:r>
        <w:rPr>
          <w:spacing w:val="40"/>
        </w:rPr>
        <w:t xml:space="preserve"> </w:t>
      </w:r>
      <w:r>
        <w:t>in Figure</w:t>
      </w:r>
      <w:r>
        <w:rPr>
          <w:spacing w:val="-7"/>
        </w:rPr>
        <w:t xml:space="preserve"> </w:t>
      </w:r>
      <w:r>
        <w:t>8 with</w:t>
      </w:r>
      <w:r>
        <w:rPr>
          <w:spacing w:val="-8"/>
        </w:rPr>
        <w:t xml:space="preserve"> </w:t>
      </w:r>
      <w:r>
        <w:t>dosage adjustment recommendations. Modifications required for special</w:t>
      </w:r>
      <w:r>
        <w:rPr>
          <w:spacing w:val="-1"/>
        </w:rPr>
        <w:t xml:space="preserve"> </w:t>
      </w:r>
      <w:r>
        <w:t>populations are described in Section 4.2 Dose and Method of Administration.</w:t>
      </w:r>
    </w:p>
    <w:p w14:paraId="04CB1A1D" w14:textId="77777777" w:rsidR="001825E2" w:rsidRDefault="001825E2" w:rsidP="00CB00A7">
      <w:pPr>
        <w:spacing w:line="242" w:lineRule="auto"/>
        <w:sectPr w:rsidR="001825E2">
          <w:pgSz w:w="11910" w:h="16850"/>
          <w:pgMar w:top="1360" w:right="700" w:bottom="980" w:left="1220" w:header="0" w:footer="785" w:gutter="0"/>
          <w:cols w:space="720"/>
        </w:sectPr>
      </w:pPr>
    </w:p>
    <w:p w14:paraId="7EB57B29" w14:textId="77777777" w:rsidR="001825E2" w:rsidRDefault="000839A5" w:rsidP="00CB00A7">
      <w:pPr>
        <w:pStyle w:val="Heading3"/>
      </w:pPr>
      <w:r>
        <w:lastRenderedPageBreak/>
        <w:t>Figure</w:t>
      </w:r>
      <w:r>
        <w:rPr>
          <w:spacing w:val="-14"/>
        </w:rPr>
        <w:t xml:space="preserve"> </w:t>
      </w:r>
      <w:r>
        <w:t>8:</w:t>
      </w:r>
      <w:r>
        <w:rPr>
          <w:spacing w:val="69"/>
        </w:rPr>
        <w:t xml:space="preserve"> </w:t>
      </w:r>
      <w:r>
        <w:t>Impact</w:t>
      </w:r>
      <w:r>
        <w:rPr>
          <w:spacing w:val="3"/>
        </w:rPr>
        <w:t xml:space="preserve"> </w:t>
      </w:r>
      <w:r>
        <w:t>of</w:t>
      </w:r>
      <w:r>
        <w:rPr>
          <w:spacing w:val="-11"/>
        </w:rPr>
        <w:t xml:space="preserve"> </w:t>
      </w:r>
      <w:r>
        <w:t>Intrinsic</w:t>
      </w:r>
      <w:r>
        <w:rPr>
          <w:spacing w:val="20"/>
        </w:rPr>
        <w:t xml:space="preserve"> </w:t>
      </w:r>
      <w:r>
        <w:t>Factors</w:t>
      </w:r>
      <w:r>
        <w:rPr>
          <w:spacing w:val="3"/>
        </w:rPr>
        <w:t xml:space="preserve"> </w:t>
      </w:r>
      <w:r>
        <w:t>on</w:t>
      </w:r>
      <w:r>
        <w:rPr>
          <w:spacing w:val="-15"/>
        </w:rPr>
        <w:t xml:space="preserve"> </w:t>
      </w:r>
      <w:r>
        <w:t>Tofacitinib</w:t>
      </w:r>
      <w:r>
        <w:rPr>
          <w:spacing w:val="9"/>
        </w:rPr>
        <w:t xml:space="preserve"> </w:t>
      </w:r>
      <w:r>
        <w:rPr>
          <w:spacing w:val="-2"/>
        </w:rPr>
        <w:t>Pharmacokinetics</w:t>
      </w:r>
    </w:p>
    <w:p w14:paraId="1342CFAE" w14:textId="77777777" w:rsidR="001825E2" w:rsidRDefault="000839A5" w:rsidP="00CB00A7">
      <w:pPr>
        <w:tabs>
          <w:tab w:val="left" w:pos="1974"/>
          <w:tab w:val="left" w:pos="2979"/>
          <w:tab w:val="left" w:pos="7029"/>
        </w:tabs>
        <w:spacing w:before="158" w:line="247" w:lineRule="auto"/>
        <w:ind w:left="865" w:right="933" w:hanging="180"/>
        <w:rPr>
          <w:rFonts w:ascii="Arial"/>
          <w:b/>
          <w:sz w:val="24"/>
        </w:rPr>
      </w:pPr>
      <w:r>
        <w:rPr>
          <w:noProof/>
        </w:rPr>
        <mc:AlternateContent>
          <mc:Choice Requires="wpg">
            <w:drawing>
              <wp:anchor distT="0" distB="0" distL="0" distR="0" simplePos="0" relativeHeight="15739392" behindDoc="0" locked="0" layoutInCell="1" allowOverlap="1" wp14:anchorId="41CC9664" wp14:editId="60B253F1">
                <wp:simplePos x="0" y="0"/>
                <wp:positionH relativeFrom="page">
                  <wp:posOffset>3025775</wp:posOffset>
                </wp:positionH>
                <wp:positionV relativeFrom="paragraph">
                  <wp:posOffset>600724</wp:posOffset>
                </wp:positionV>
                <wp:extent cx="919480" cy="4558665"/>
                <wp:effectExtent l="0" t="0" r="0" b="0"/>
                <wp:wrapNone/>
                <wp:docPr id="18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9480" cy="4558665"/>
                          <a:chOff x="0" y="0"/>
                          <a:chExt cx="919480" cy="4558665"/>
                        </a:xfrm>
                      </wpg:grpSpPr>
                      <pic:pic xmlns:pic="http://schemas.openxmlformats.org/drawingml/2006/picture">
                        <pic:nvPicPr>
                          <pic:cNvPr id="187" name="Image 187"/>
                          <pic:cNvPicPr/>
                        </pic:nvPicPr>
                        <pic:blipFill>
                          <a:blip r:embed="rId18" cstate="print"/>
                          <a:stretch>
                            <a:fillRect/>
                          </a:stretch>
                        </pic:blipFill>
                        <pic:spPr>
                          <a:xfrm>
                            <a:off x="163512" y="83502"/>
                            <a:ext cx="75247" cy="75247"/>
                          </a:xfrm>
                          <a:prstGeom prst="rect">
                            <a:avLst/>
                          </a:prstGeom>
                        </pic:spPr>
                      </pic:pic>
                      <pic:pic xmlns:pic="http://schemas.openxmlformats.org/drawingml/2006/picture">
                        <pic:nvPicPr>
                          <pic:cNvPr id="188" name="Image 188"/>
                          <pic:cNvPicPr/>
                        </pic:nvPicPr>
                        <pic:blipFill>
                          <a:blip r:embed="rId19" cstate="print"/>
                          <a:stretch>
                            <a:fillRect/>
                          </a:stretch>
                        </pic:blipFill>
                        <pic:spPr>
                          <a:xfrm>
                            <a:off x="136842" y="463232"/>
                            <a:ext cx="75247" cy="75882"/>
                          </a:xfrm>
                          <a:prstGeom prst="rect">
                            <a:avLst/>
                          </a:prstGeom>
                        </pic:spPr>
                      </pic:pic>
                      <pic:pic xmlns:pic="http://schemas.openxmlformats.org/drawingml/2006/picture">
                        <pic:nvPicPr>
                          <pic:cNvPr id="189" name="Image 189"/>
                          <pic:cNvPicPr/>
                        </pic:nvPicPr>
                        <pic:blipFill>
                          <a:blip r:embed="rId20" cstate="print"/>
                          <a:stretch>
                            <a:fillRect/>
                          </a:stretch>
                        </pic:blipFill>
                        <pic:spPr>
                          <a:xfrm>
                            <a:off x="172402" y="843597"/>
                            <a:ext cx="75247" cy="75247"/>
                          </a:xfrm>
                          <a:prstGeom prst="rect">
                            <a:avLst/>
                          </a:prstGeom>
                        </pic:spPr>
                      </pic:pic>
                      <pic:pic xmlns:pic="http://schemas.openxmlformats.org/drawingml/2006/picture">
                        <pic:nvPicPr>
                          <pic:cNvPr id="190" name="Image 190"/>
                          <pic:cNvPicPr/>
                        </pic:nvPicPr>
                        <pic:blipFill>
                          <a:blip r:embed="rId21" cstate="print"/>
                          <a:stretch>
                            <a:fillRect/>
                          </a:stretch>
                        </pic:blipFill>
                        <pic:spPr>
                          <a:xfrm>
                            <a:off x="225107" y="966787"/>
                            <a:ext cx="75895" cy="75882"/>
                          </a:xfrm>
                          <a:prstGeom prst="rect">
                            <a:avLst/>
                          </a:prstGeom>
                        </pic:spPr>
                      </pic:pic>
                      <pic:pic xmlns:pic="http://schemas.openxmlformats.org/drawingml/2006/picture">
                        <pic:nvPicPr>
                          <pic:cNvPr id="191" name="Image 191"/>
                          <pic:cNvPicPr/>
                        </pic:nvPicPr>
                        <pic:blipFill>
                          <a:blip r:embed="rId22" cstate="print"/>
                          <a:stretch>
                            <a:fillRect/>
                          </a:stretch>
                        </pic:blipFill>
                        <pic:spPr>
                          <a:xfrm>
                            <a:off x="127952" y="1223327"/>
                            <a:ext cx="75895" cy="75247"/>
                          </a:xfrm>
                          <a:prstGeom prst="rect">
                            <a:avLst/>
                          </a:prstGeom>
                        </pic:spPr>
                      </pic:pic>
                      <pic:pic xmlns:pic="http://schemas.openxmlformats.org/drawingml/2006/picture">
                        <pic:nvPicPr>
                          <pic:cNvPr id="192" name="Image 192"/>
                          <pic:cNvPicPr/>
                        </pic:nvPicPr>
                        <pic:blipFill>
                          <a:blip r:embed="rId23" cstate="print"/>
                          <a:stretch>
                            <a:fillRect/>
                          </a:stretch>
                        </pic:blipFill>
                        <pic:spPr>
                          <a:xfrm>
                            <a:off x="154622" y="1347152"/>
                            <a:ext cx="75234" cy="75247"/>
                          </a:xfrm>
                          <a:prstGeom prst="rect">
                            <a:avLst/>
                          </a:prstGeom>
                        </pic:spPr>
                      </pic:pic>
                      <pic:pic xmlns:pic="http://schemas.openxmlformats.org/drawingml/2006/picture">
                        <pic:nvPicPr>
                          <pic:cNvPr id="193" name="Image 193"/>
                          <pic:cNvPicPr/>
                        </pic:nvPicPr>
                        <pic:blipFill>
                          <a:blip r:embed="rId24" cstate="print"/>
                          <a:stretch>
                            <a:fillRect/>
                          </a:stretch>
                        </pic:blipFill>
                        <pic:spPr>
                          <a:xfrm>
                            <a:off x="154622" y="1603057"/>
                            <a:ext cx="75234" cy="75247"/>
                          </a:xfrm>
                          <a:prstGeom prst="rect">
                            <a:avLst/>
                          </a:prstGeom>
                        </pic:spPr>
                      </pic:pic>
                      <pic:pic xmlns:pic="http://schemas.openxmlformats.org/drawingml/2006/picture">
                        <pic:nvPicPr>
                          <pic:cNvPr id="194" name="Image 194"/>
                          <pic:cNvPicPr/>
                        </pic:nvPicPr>
                        <pic:blipFill>
                          <a:blip r:embed="rId25" cstate="print"/>
                          <a:stretch>
                            <a:fillRect/>
                          </a:stretch>
                        </pic:blipFill>
                        <pic:spPr>
                          <a:xfrm>
                            <a:off x="163512" y="1726882"/>
                            <a:ext cx="75247" cy="75247"/>
                          </a:xfrm>
                          <a:prstGeom prst="rect">
                            <a:avLst/>
                          </a:prstGeom>
                        </pic:spPr>
                      </pic:pic>
                      <pic:pic xmlns:pic="http://schemas.openxmlformats.org/drawingml/2006/picture">
                        <pic:nvPicPr>
                          <pic:cNvPr id="195" name="Image 195"/>
                          <pic:cNvPicPr/>
                        </pic:nvPicPr>
                        <pic:blipFill>
                          <a:blip r:embed="rId26" cstate="print"/>
                          <a:stretch>
                            <a:fillRect/>
                          </a:stretch>
                        </pic:blipFill>
                        <pic:spPr>
                          <a:xfrm>
                            <a:off x="145732" y="1982787"/>
                            <a:ext cx="75247" cy="75882"/>
                          </a:xfrm>
                          <a:prstGeom prst="rect">
                            <a:avLst/>
                          </a:prstGeom>
                        </pic:spPr>
                      </pic:pic>
                      <pic:pic xmlns:pic="http://schemas.openxmlformats.org/drawingml/2006/picture">
                        <pic:nvPicPr>
                          <pic:cNvPr id="196" name="Image 196"/>
                          <pic:cNvPicPr/>
                        </pic:nvPicPr>
                        <pic:blipFill>
                          <a:blip r:embed="rId27" cstate="print"/>
                          <a:stretch>
                            <a:fillRect/>
                          </a:stretch>
                        </pic:blipFill>
                        <pic:spPr>
                          <a:xfrm>
                            <a:off x="163512" y="2106612"/>
                            <a:ext cx="75247" cy="75247"/>
                          </a:xfrm>
                          <a:prstGeom prst="rect">
                            <a:avLst/>
                          </a:prstGeom>
                        </pic:spPr>
                      </pic:pic>
                      <pic:pic xmlns:pic="http://schemas.openxmlformats.org/drawingml/2006/picture">
                        <pic:nvPicPr>
                          <pic:cNvPr id="197" name="Image 197"/>
                          <pic:cNvPicPr/>
                        </pic:nvPicPr>
                        <pic:blipFill>
                          <a:blip r:embed="rId23" cstate="print"/>
                          <a:stretch>
                            <a:fillRect/>
                          </a:stretch>
                        </pic:blipFill>
                        <pic:spPr>
                          <a:xfrm>
                            <a:off x="154622" y="2363152"/>
                            <a:ext cx="75234" cy="75247"/>
                          </a:xfrm>
                          <a:prstGeom prst="rect">
                            <a:avLst/>
                          </a:prstGeom>
                        </pic:spPr>
                      </pic:pic>
                      <pic:pic xmlns:pic="http://schemas.openxmlformats.org/drawingml/2006/picture">
                        <pic:nvPicPr>
                          <pic:cNvPr id="198" name="Image 198"/>
                          <pic:cNvPicPr/>
                        </pic:nvPicPr>
                        <pic:blipFill>
                          <a:blip r:embed="rId28" cstate="print"/>
                          <a:stretch>
                            <a:fillRect/>
                          </a:stretch>
                        </pic:blipFill>
                        <pic:spPr>
                          <a:xfrm>
                            <a:off x="163512" y="2486342"/>
                            <a:ext cx="75247" cy="75882"/>
                          </a:xfrm>
                          <a:prstGeom prst="rect">
                            <a:avLst/>
                          </a:prstGeom>
                        </pic:spPr>
                      </pic:pic>
                      <pic:pic xmlns:pic="http://schemas.openxmlformats.org/drawingml/2006/picture">
                        <pic:nvPicPr>
                          <pic:cNvPr id="199" name="Image 199"/>
                          <pic:cNvPicPr/>
                        </pic:nvPicPr>
                        <pic:blipFill>
                          <a:blip r:embed="rId29" cstate="print"/>
                          <a:stretch>
                            <a:fillRect/>
                          </a:stretch>
                        </pic:blipFill>
                        <pic:spPr>
                          <a:xfrm>
                            <a:off x="428307" y="2742882"/>
                            <a:ext cx="75882" cy="75247"/>
                          </a:xfrm>
                          <a:prstGeom prst="rect">
                            <a:avLst/>
                          </a:prstGeom>
                        </pic:spPr>
                      </pic:pic>
                      <pic:pic xmlns:pic="http://schemas.openxmlformats.org/drawingml/2006/picture">
                        <pic:nvPicPr>
                          <pic:cNvPr id="200" name="Image 200"/>
                          <pic:cNvPicPr/>
                        </pic:nvPicPr>
                        <pic:blipFill>
                          <a:blip r:embed="rId30" cstate="print"/>
                          <a:stretch>
                            <a:fillRect/>
                          </a:stretch>
                        </pic:blipFill>
                        <pic:spPr>
                          <a:xfrm>
                            <a:off x="172402" y="2875597"/>
                            <a:ext cx="75247" cy="75247"/>
                          </a:xfrm>
                          <a:prstGeom prst="rect">
                            <a:avLst/>
                          </a:prstGeom>
                        </pic:spPr>
                      </pic:pic>
                      <pic:pic xmlns:pic="http://schemas.openxmlformats.org/drawingml/2006/picture">
                        <pic:nvPicPr>
                          <pic:cNvPr id="201" name="Image 201"/>
                          <pic:cNvPicPr/>
                        </pic:nvPicPr>
                        <pic:blipFill>
                          <a:blip r:embed="rId31" cstate="print"/>
                          <a:stretch>
                            <a:fillRect/>
                          </a:stretch>
                        </pic:blipFill>
                        <pic:spPr>
                          <a:xfrm>
                            <a:off x="181292" y="3255327"/>
                            <a:ext cx="75247" cy="75247"/>
                          </a:xfrm>
                          <a:prstGeom prst="rect">
                            <a:avLst/>
                          </a:prstGeom>
                        </pic:spPr>
                      </pic:pic>
                      <pic:pic xmlns:pic="http://schemas.openxmlformats.org/drawingml/2006/picture">
                        <pic:nvPicPr>
                          <pic:cNvPr id="202" name="Image 202"/>
                          <pic:cNvPicPr/>
                        </pic:nvPicPr>
                        <pic:blipFill>
                          <a:blip r:embed="rId32" cstate="print"/>
                          <a:stretch>
                            <a:fillRect/>
                          </a:stretch>
                        </pic:blipFill>
                        <pic:spPr>
                          <a:xfrm>
                            <a:off x="287337" y="3635057"/>
                            <a:ext cx="75234" cy="75247"/>
                          </a:xfrm>
                          <a:prstGeom prst="rect">
                            <a:avLst/>
                          </a:prstGeom>
                        </pic:spPr>
                      </pic:pic>
                      <pic:pic xmlns:pic="http://schemas.openxmlformats.org/drawingml/2006/picture">
                        <pic:nvPicPr>
                          <pic:cNvPr id="203" name="Image 203"/>
                          <pic:cNvPicPr/>
                        </pic:nvPicPr>
                        <pic:blipFill>
                          <a:blip r:embed="rId33" cstate="print"/>
                          <a:stretch>
                            <a:fillRect/>
                          </a:stretch>
                        </pic:blipFill>
                        <pic:spPr>
                          <a:xfrm>
                            <a:off x="190182" y="3882707"/>
                            <a:ext cx="75234" cy="75247"/>
                          </a:xfrm>
                          <a:prstGeom prst="rect">
                            <a:avLst/>
                          </a:prstGeom>
                        </pic:spPr>
                      </pic:pic>
                      <pic:pic xmlns:pic="http://schemas.openxmlformats.org/drawingml/2006/picture">
                        <pic:nvPicPr>
                          <pic:cNvPr id="204" name="Image 204"/>
                          <pic:cNvPicPr/>
                        </pic:nvPicPr>
                        <pic:blipFill>
                          <a:blip r:embed="rId28" cstate="print"/>
                          <a:stretch>
                            <a:fillRect/>
                          </a:stretch>
                        </pic:blipFill>
                        <pic:spPr>
                          <a:xfrm>
                            <a:off x="163512" y="4014787"/>
                            <a:ext cx="75247" cy="75882"/>
                          </a:xfrm>
                          <a:prstGeom prst="rect">
                            <a:avLst/>
                          </a:prstGeom>
                        </pic:spPr>
                      </pic:pic>
                      <wps:wsp>
                        <wps:cNvPr id="205" name="Graphic 205"/>
                        <wps:cNvSpPr/>
                        <wps:spPr>
                          <a:xfrm>
                            <a:off x="44450" y="123825"/>
                            <a:ext cx="353695" cy="1270"/>
                          </a:xfrm>
                          <a:custGeom>
                            <a:avLst/>
                            <a:gdLst/>
                            <a:ahLst/>
                            <a:cxnLst/>
                            <a:rect l="l" t="t" r="r" b="b"/>
                            <a:pathLst>
                              <a:path w="353695">
                                <a:moveTo>
                                  <a:pt x="0" y="0"/>
                                </a:moveTo>
                                <a:lnTo>
                                  <a:pt x="353695" y="0"/>
                                </a:lnTo>
                              </a:path>
                            </a:pathLst>
                          </a:custGeom>
                          <a:ln w="17780">
                            <a:solidFill>
                              <a:srgbClr val="000000"/>
                            </a:solidFill>
                            <a:prstDash val="solid"/>
                          </a:ln>
                        </wps:spPr>
                        <wps:bodyPr wrap="square" lIns="0" tIns="0" rIns="0" bIns="0" rtlCol="0">
                          <a:prstTxWarp prst="textNoShape">
                            <a:avLst/>
                          </a:prstTxWarp>
                          <a:noAutofit/>
                        </wps:bodyPr>
                      </wps:wsp>
                      <wps:wsp>
                        <wps:cNvPr id="206" name="Graphic 206"/>
                        <wps:cNvSpPr/>
                        <wps:spPr>
                          <a:xfrm>
                            <a:off x="106679" y="503555"/>
                            <a:ext cx="158750" cy="1270"/>
                          </a:xfrm>
                          <a:custGeom>
                            <a:avLst/>
                            <a:gdLst/>
                            <a:ahLst/>
                            <a:cxnLst/>
                            <a:rect l="l" t="t" r="r" b="b"/>
                            <a:pathLst>
                              <a:path w="158750">
                                <a:moveTo>
                                  <a:pt x="0" y="0"/>
                                </a:moveTo>
                                <a:lnTo>
                                  <a:pt x="158750" y="0"/>
                                </a:lnTo>
                              </a:path>
                            </a:pathLst>
                          </a:custGeom>
                          <a:ln w="17780">
                            <a:solidFill>
                              <a:srgbClr val="000000"/>
                            </a:solidFill>
                            <a:prstDash val="solid"/>
                          </a:ln>
                        </wps:spPr>
                        <wps:bodyPr wrap="square" lIns="0" tIns="0" rIns="0" bIns="0" rtlCol="0">
                          <a:prstTxWarp prst="textNoShape">
                            <a:avLst/>
                          </a:prstTxWarp>
                          <a:noAutofit/>
                        </wps:bodyPr>
                      </wps:wsp>
                      <wps:wsp>
                        <wps:cNvPr id="207" name="Graphic 207"/>
                        <wps:cNvSpPr/>
                        <wps:spPr>
                          <a:xfrm>
                            <a:off x="97789" y="883285"/>
                            <a:ext cx="220345" cy="1270"/>
                          </a:xfrm>
                          <a:custGeom>
                            <a:avLst/>
                            <a:gdLst/>
                            <a:ahLst/>
                            <a:cxnLst/>
                            <a:rect l="l" t="t" r="r" b="b"/>
                            <a:pathLst>
                              <a:path w="220345">
                                <a:moveTo>
                                  <a:pt x="0" y="0"/>
                                </a:moveTo>
                                <a:lnTo>
                                  <a:pt x="220345" y="0"/>
                                </a:lnTo>
                              </a:path>
                            </a:pathLst>
                          </a:custGeom>
                          <a:ln w="17780">
                            <a:solidFill>
                              <a:srgbClr val="000000"/>
                            </a:solidFill>
                            <a:prstDash val="solid"/>
                          </a:ln>
                        </wps:spPr>
                        <wps:bodyPr wrap="square" lIns="0" tIns="0" rIns="0" bIns="0" rtlCol="0">
                          <a:prstTxWarp prst="textNoShape">
                            <a:avLst/>
                          </a:prstTxWarp>
                          <a:noAutofit/>
                        </wps:bodyPr>
                      </wps:wsp>
                      <wps:wsp>
                        <wps:cNvPr id="208" name="Graphic 208"/>
                        <wps:cNvSpPr/>
                        <wps:spPr>
                          <a:xfrm>
                            <a:off x="212090" y="1007110"/>
                            <a:ext cx="88900" cy="1270"/>
                          </a:xfrm>
                          <a:custGeom>
                            <a:avLst/>
                            <a:gdLst/>
                            <a:ahLst/>
                            <a:cxnLst/>
                            <a:rect l="l" t="t" r="r" b="b"/>
                            <a:pathLst>
                              <a:path w="88900">
                                <a:moveTo>
                                  <a:pt x="0" y="0"/>
                                </a:moveTo>
                                <a:lnTo>
                                  <a:pt x="88900" y="0"/>
                                </a:lnTo>
                              </a:path>
                            </a:pathLst>
                          </a:custGeom>
                          <a:ln w="17780">
                            <a:solidFill>
                              <a:srgbClr val="000000"/>
                            </a:solidFill>
                            <a:prstDash val="solid"/>
                          </a:ln>
                        </wps:spPr>
                        <wps:bodyPr wrap="square" lIns="0" tIns="0" rIns="0" bIns="0" rtlCol="0">
                          <a:prstTxWarp prst="textNoShape">
                            <a:avLst/>
                          </a:prstTxWarp>
                          <a:noAutofit/>
                        </wps:bodyPr>
                      </wps:wsp>
                      <wps:wsp>
                        <wps:cNvPr id="209" name="Graphic 209"/>
                        <wps:cNvSpPr/>
                        <wps:spPr>
                          <a:xfrm>
                            <a:off x="106679" y="1263014"/>
                            <a:ext cx="114300" cy="1270"/>
                          </a:xfrm>
                          <a:custGeom>
                            <a:avLst/>
                            <a:gdLst/>
                            <a:ahLst/>
                            <a:cxnLst/>
                            <a:rect l="l" t="t" r="r" b="b"/>
                            <a:pathLst>
                              <a:path w="114300">
                                <a:moveTo>
                                  <a:pt x="0" y="0"/>
                                </a:moveTo>
                                <a:lnTo>
                                  <a:pt x="114300" y="0"/>
                                </a:lnTo>
                              </a:path>
                            </a:pathLst>
                          </a:custGeom>
                          <a:ln w="17780">
                            <a:solidFill>
                              <a:srgbClr val="000000"/>
                            </a:solidFill>
                            <a:prstDash val="solid"/>
                          </a:ln>
                        </wps:spPr>
                        <wps:bodyPr wrap="square" lIns="0" tIns="0" rIns="0" bIns="0" rtlCol="0">
                          <a:prstTxWarp prst="textNoShape">
                            <a:avLst/>
                          </a:prstTxWarp>
                          <a:noAutofit/>
                        </wps:bodyPr>
                      </wps:wsp>
                      <wps:wsp>
                        <wps:cNvPr id="210" name="Graphic 210"/>
                        <wps:cNvSpPr/>
                        <wps:spPr>
                          <a:xfrm>
                            <a:off x="168275" y="1386839"/>
                            <a:ext cx="61594" cy="1270"/>
                          </a:xfrm>
                          <a:custGeom>
                            <a:avLst/>
                            <a:gdLst/>
                            <a:ahLst/>
                            <a:cxnLst/>
                            <a:rect l="l" t="t" r="r" b="b"/>
                            <a:pathLst>
                              <a:path w="61594">
                                <a:moveTo>
                                  <a:pt x="0" y="0"/>
                                </a:moveTo>
                                <a:lnTo>
                                  <a:pt x="61594" y="0"/>
                                </a:lnTo>
                              </a:path>
                            </a:pathLst>
                          </a:custGeom>
                          <a:ln w="17780">
                            <a:solidFill>
                              <a:srgbClr val="000000"/>
                            </a:solidFill>
                            <a:prstDash val="solid"/>
                          </a:ln>
                        </wps:spPr>
                        <wps:bodyPr wrap="square" lIns="0" tIns="0" rIns="0" bIns="0" rtlCol="0">
                          <a:prstTxWarp prst="textNoShape">
                            <a:avLst/>
                          </a:prstTxWarp>
                          <a:noAutofit/>
                        </wps:bodyPr>
                      </wps:wsp>
                      <wps:wsp>
                        <wps:cNvPr id="211" name="Graphic 211"/>
                        <wps:cNvSpPr/>
                        <wps:spPr>
                          <a:xfrm>
                            <a:off x="114935" y="1643379"/>
                            <a:ext cx="168275" cy="1270"/>
                          </a:xfrm>
                          <a:custGeom>
                            <a:avLst/>
                            <a:gdLst/>
                            <a:ahLst/>
                            <a:cxnLst/>
                            <a:rect l="l" t="t" r="r" b="b"/>
                            <a:pathLst>
                              <a:path w="168275">
                                <a:moveTo>
                                  <a:pt x="0" y="0"/>
                                </a:moveTo>
                                <a:lnTo>
                                  <a:pt x="168275" y="0"/>
                                </a:lnTo>
                              </a:path>
                            </a:pathLst>
                          </a:custGeom>
                          <a:ln w="17780">
                            <a:solidFill>
                              <a:srgbClr val="000000"/>
                            </a:solidFill>
                            <a:prstDash val="solid"/>
                          </a:ln>
                        </wps:spPr>
                        <wps:bodyPr wrap="square" lIns="0" tIns="0" rIns="0" bIns="0" rtlCol="0">
                          <a:prstTxWarp prst="textNoShape">
                            <a:avLst/>
                          </a:prstTxWarp>
                          <a:noAutofit/>
                        </wps:bodyPr>
                      </wps:wsp>
                      <wps:wsp>
                        <wps:cNvPr id="212" name="Graphic 212"/>
                        <wps:cNvSpPr/>
                        <wps:spPr>
                          <a:xfrm>
                            <a:off x="177164" y="1766570"/>
                            <a:ext cx="52705" cy="1270"/>
                          </a:xfrm>
                          <a:custGeom>
                            <a:avLst/>
                            <a:gdLst/>
                            <a:ahLst/>
                            <a:cxnLst/>
                            <a:rect l="l" t="t" r="r" b="b"/>
                            <a:pathLst>
                              <a:path w="52705">
                                <a:moveTo>
                                  <a:pt x="0" y="0"/>
                                </a:moveTo>
                                <a:lnTo>
                                  <a:pt x="52705" y="0"/>
                                </a:lnTo>
                              </a:path>
                            </a:pathLst>
                          </a:custGeom>
                          <a:ln w="17780">
                            <a:solidFill>
                              <a:srgbClr val="000000"/>
                            </a:solidFill>
                            <a:prstDash val="solid"/>
                          </a:ln>
                        </wps:spPr>
                        <wps:bodyPr wrap="square" lIns="0" tIns="0" rIns="0" bIns="0" rtlCol="0">
                          <a:prstTxWarp prst="textNoShape">
                            <a:avLst/>
                          </a:prstTxWarp>
                          <a:noAutofit/>
                        </wps:bodyPr>
                      </wps:wsp>
                      <wps:wsp>
                        <wps:cNvPr id="213" name="Graphic 213"/>
                        <wps:cNvSpPr/>
                        <wps:spPr>
                          <a:xfrm>
                            <a:off x="44450" y="2023110"/>
                            <a:ext cx="265430" cy="1270"/>
                          </a:xfrm>
                          <a:custGeom>
                            <a:avLst/>
                            <a:gdLst/>
                            <a:ahLst/>
                            <a:cxnLst/>
                            <a:rect l="l" t="t" r="r" b="b"/>
                            <a:pathLst>
                              <a:path w="265430">
                                <a:moveTo>
                                  <a:pt x="0" y="0"/>
                                </a:moveTo>
                                <a:lnTo>
                                  <a:pt x="265430" y="0"/>
                                </a:lnTo>
                              </a:path>
                            </a:pathLst>
                          </a:custGeom>
                          <a:ln w="17780">
                            <a:solidFill>
                              <a:srgbClr val="000000"/>
                            </a:solidFill>
                            <a:prstDash val="solid"/>
                          </a:ln>
                        </wps:spPr>
                        <wps:bodyPr wrap="square" lIns="0" tIns="0" rIns="0" bIns="0" rtlCol="0">
                          <a:prstTxWarp prst="textNoShape">
                            <a:avLst/>
                          </a:prstTxWarp>
                          <a:noAutofit/>
                        </wps:bodyPr>
                      </wps:wsp>
                      <wps:wsp>
                        <wps:cNvPr id="214" name="Graphic 214"/>
                        <wps:cNvSpPr/>
                        <wps:spPr>
                          <a:xfrm>
                            <a:off x="159385" y="2146935"/>
                            <a:ext cx="88265" cy="1270"/>
                          </a:xfrm>
                          <a:custGeom>
                            <a:avLst/>
                            <a:gdLst/>
                            <a:ahLst/>
                            <a:cxnLst/>
                            <a:rect l="l" t="t" r="r" b="b"/>
                            <a:pathLst>
                              <a:path w="88265">
                                <a:moveTo>
                                  <a:pt x="0" y="0"/>
                                </a:moveTo>
                                <a:lnTo>
                                  <a:pt x="88265" y="0"/>
                                </a:lnTo>
                              </a:path>
                            </a:pathLst>
                          </a:custGeom>
                          <a:ln w="17780">
                            <a:solidFill>
                              <a:srgbClr val="000000"/>
                            </a:solidFill>
                            <a:prstDash val="solid"/>
                          </a:ln>
                        </wps:spPr>
                        <wps:bodyPr wrap="square" lIns="0" tIns="0" rIns="0" bIns="0" rtlCol="0">
                          <a:prstTxWarp prst="textNoShape">
                            <a:avLst/>
                          </a:prstTxWarp>
                          <a:noAutofit/>
                        </wps:bodyPr>
                      </wps:wsp>
                      <wps:wsp>
                        <wps:cNvPr id="215" name="Graphic 215"/>
                        <wps:cNvSpPr/>
                        <wps:spPr>
                          <a:xfrm>
                            <a:off x="106679" y="2402839"/>
                            <a:ext cx="176530" cy="1270"/>
                          </a:xfrm>
                          <a:custGeom>
                            <a:avLst/>
                            <a:gdLst/>
                            <a:ahLst/>
                            <a:cxnLst/>
                            <a:rect l="l" t="t" r="r" b="b"/>
                            <a:pathLst>
                              <a:path w="176530">
                                <a:moveTo>
                                  <a:pt x="0" y="0"/>
                                </a:moveTo>
                                <a:lnTo>
                                  <a:pt x="176530" y="0"/>
                                </a:lnTo>
                              </a:path>
                            </a:pathLst>
                          </a:custGeom>
                          <a:ln w="17780">
                            <a:solidFill>
                              <a:srgbClr val="000000"/>
                            </a:solidFill>
                            <a:prstDash val="solid"/>
                          </a:ln>
                        </wps:spPr>
                        <wps:bodyPr wrap="square" lIns="0" tIns="0" rIns="0" bIns="0" rtlCol="0">
                          <a:prstTxWarp prst="textNoShape">
                            <a:avLst/>
                          </a:prstTxWarp>
                          <a:noAutofit/>
                        </wps:bodyPr>
                      </wps:wsp>
                      <wps:wsp>
                        <wps:cNvPr id="216" name="Graphic 216"/>
                        <wps:cNvSpPr/>
                        <wps:spPr>
                          <a:xfrm>
                            <a:off x="177164" y="2526664"/>
                            <a:ext cx="61594" cy="1270"/>
                          </a:xfrm>
                          <a:custGeom>
                            <a:avLst/>
                            <a:gdLst/>
                            <a:ahLst/>
                            <a:cxnLst/>
                            <a:rect l="l" t="t" r="r" b="b"/>
                            <a:pathLst>
                              <a:path w="61594">
                                <a:moveTo>
                                  <a:pt x="0" y="0"/>
                                </a:moveTo>
                                <a:lnTo>
                                  <a:pt x="61594" y="0"/>
                                </a:lnTo>
                              </a:path>
                            </a:pathLst>
                          </a:custGeom>
                          <a:ln w="17780">
                            <a:solidFill>
                              <a:srgbClr val="000000"/>
                            </a:solidFill>
                            <a:prstDash val="solid"/>
                          </a:ln>
                        </wps:spPr>
                        <wps:bodyPr wrap="square" lIns="0" tIns="0" rIns="0" bIns="0" rtlCol="0">
                          <a:prstTxWarp prst="textNoShape">
                            <a:avLst/>
                          </a:prstTxWarp>
                          <a:noAutofit/>
                        </wps:bodyPr>
                      </wps:wsp>
                      <wps:wsp>
                        <wps:cNvPr id="217" name="Graphic 217"/>
                        <wps:cNvSpPr/>
                        <wps:spPr>
                          <a:xfrm>
                            <a:off x="168275" y="2782570"/>
                            <a:ext cx="742315" cy="1270"/>
                          </a:xfrm>
                          <a:custGeom>
                            <a:avLst/>
                            <a:gdLst/>
                            <a:ahLst/>
                            <a:cxnLst/>
                            <a:rect l="l" t="t" r="r" b="b"/>
                            <a:pathLst>
                              <a:path w="742315">
                                <a:moveTo>
                                  <a:pt x="0" y="0"/>
                                </a:moveTo>
                                <a:lnTo>
                                  <a:pt x="742315" y="0"/>
                                </a:lnTo>
                              </a:path>
                            </a:pathLst>
                          </a:custGeom>
                          <a:ln w="17780">
                            <a:solidFill>
                              <a:srgbClr val="000000"/>
                            </a:solidFill>
                            <a:prstDash val="solid"/>
                          </a:ln>
                        </wps:spPr>
                        <wps:bodyPr wrap="square" lIns="0" tIns="0" rIns="0" bIns="0" rtlCol="0">
                          <a:prstTxWarp prst="textNoShape">
                            <a:avLst/>
                          </a:prstTxWarp>
                          <a:noAutofit/>
                        </wps:bodyPr>
                      </wps:wsp>
                      <wps:wsp>
                        <wps:cNvPr id="218" name="Graphic 218"/>
                        <wps:cNvSpPr/>
                        <wps:spPr>
                          <a:xfrm>
                            <a:off x="8889" y="2915285"/>
                            <a:ext cx="521334" cy="1270"/>
                          </a:xfrm>
                          <a:custGeom>
                            <a:avLst/>
                            <a:gdLst/>
                            <a:ahLst/>
                            <a:cxnLst/>
                            <a:rect l="l" t="t" r="r" b="b"/>
                            <a:pathLst>
                              <a:path w="521334">
                                <a:moveTo>
                                  <a:pt x="0" y="0"/>
                                </a:moveTo>
                                <a:lnTo>
                                  <a:pt x="521334" y="0"/>
                                </a:lnTo>
                              </a:path>
                            </a:pathLst>
                          </a:custGeom>
                          <a:ln w="17780">
                            <a:solidFill>
                              <a:srgbClr val="000000"/>
                            </a:solidFill>
                            <a:prstDash val="solid"/>
                          </a:ln>
                        </wps:spPr>
                        <wps:bodyPr wrap="square" lIns="0" tIns="0" rIns="0" bIns="0" rtlCol="0">
                          <a:prstTxWarp prst="textNoShape">
                            <a:avLst/>
                          </a:prstTxWarp>
                          <a:noAutofit/>
                        </wps:bodyPr>
                      </wps:wsp>
                      <wps:wsp>
                        <wps:cNvPr id="219" name="Graphic 219"/>
                        <wps:cNvSpPr/>
                        <wps:spPr>
                          <a:xfrm>
                            <a:off x="8889" y="3295015"/>
                            <a:ext cx="539115" cy="1270"/>
                          </a:xfrm>
                          <a:custGeom>
                            <a:avLst/>
                            <a:gdLst/>
                            <a:ahLst/>
                            <a:cxnLst/>
                            <a:rect l="l" t="t" r="r" b="b"/>
                            <a:pathLst>
                              <a:path w="539115">
                                <a:moveTo>
                                  <a:pt x="0" y="0"/>
                                </a:moveTo>
                                <a:lnTo>
                                  <a:pt x="539115" y="0"/>
                                </a:lnTo>
                              </a:path>
                            </a:pathLst>
                          </a:custGeom>
                          <a:ln w="17780">
                            <a:solidFill>
                              <a:srgbClr val="000000"/>
                            </a:solidFill>
                            <a:prstDash val="solid"/>
                          </a:ln>
                        </wps:spPr>
                        <wps:bodyPr wrap="square" lIns="0" tIns="0" rIns="0" bIns="0" rtlCol="0">
                          <a:prstTxWarp prst="textNoShape">
                            <a:avLst/>
                          </a:prstTxWarp>
                          <a:noAutofit/>
                        </wps:bodyPr>
                      </wps:wsp>
                      <wps:wsp>
                        <wps:cNvPr id="220" name="Graphic 220"/>
                        <wps:cNvSpPr/>
                        <wps:spPr>
                          <a:xfrm>
                            <a:off x="71119" y="3675379"/>
                            <a:ext cx="662305" cy="1270"/>
                          </a:xfrm>
                          <a:custGeom>
                            <a:avLst/>
                            <a:gdLst/>
                            <a:ahLst/>
                            <a:cxnLst/>
                            <a:rect l="l" t="t" r="r" b="b"/>
                            <a:pathLst>
                              <a:path w="662305">
                                <a:moveTo>
                                  <a:pt x="0" y="0"/>
                                </a:moveTo>
                                <a:lnTo>
                                  <a:pt x="662305" y="0"/>
                                </a:lnTo>
                              </a:path>
                            </a:pathLst>
                          </a:custGeom>
                          <a:ln w="17780">
                            <a:solidFill>
                              <a:srgbClr val="000000"/>
                            </a:solidFill>
                            <a:prstDash val="solid"/>
                          </a:ln>
                        </wps:spPr>
                        <wps:bodyPr wrap="square" lIns="0" tIns="0" rIns="0" bIns="0" rtlCol="0">
                          <a:prstTxWarp prst="textNoShape">
                            <a:avLst/>
                          </a:prstTxWarp>
                          <a:noAutofit/>
                        </wps:bodyPr>
                      </wps:wsp>
                      <wps:wsp>
                        <wps:cNvPr id="221" name="Graphic 221"/>
                        <wps:cNvSpPr/>
                        <wps:spPr>
                          <a:xfrm>
                            <a:off x="71119" y="3922395"/>
                            <a:ext cx="361950" cy="1270"/>
                          </a:xfrm>
                          <a:custGeom>
                            <a:avLst/>
                            <a:gdLst/>
                            <a:ahLst/>
                            <a:cxnLst/>
                            <a:rect l="l" t="t" r="r" b="b"/>
                            <a:pathLst>
                              <a:path w="361950">
                                <a:moveTo>
                                  <a:pt x="0" y="0"/>
                                </a:moveTo>
                                <a:lnTo>
                                  <a:pt x="361950" y="0"/>
                                </a:lnTo>
                              </a:path>
                            </a:pathLst>
                          </a:custGeom>
                          <a:ln w="17780">
                            <a:solidFill>
                              <a:srgbClr val="000000"/>
                            </a:solidFill>
                            <a:prstDash val="solid"/>
                          </a:ln>
                        </wps:spPr>
                        <wps:bodyPr wrap="square" lIns="0" tIns="0" rIns="0" bIns="0" rtlCol="0">
                          <a:prstTxWarp prst="textNoShape">
                            <a:avLst/>
                          </a:prstTxWarp>
                          <a:noAutofit/>
                        </wps:bodyPr>
                      </wps:wsp>
                      <wps:wsp>
                        <wps:cNvPr id="222" name="Graphic 222"/>
                        <wps:cNvSpPr/>
                        <wps:spPr>
                          <a:xfrm>
                            <a:off x="53339" y="4055109"/>
                            <a:ext cx="353695" cy="1270"/>
                          </a:xfrm>
                          <a:custGeom>
                            <a:avLst/>
                            <a:gdLst/>
                            <a:ahLst/>
                            <a:cxnLst/>
                            <a:rect l="l" t="t" r="r" b="b"/>
                            <a:pathLst>
                              <a:path w="353695">
                                <a:moveTo>
                                  <a:pt x="0" y="0"/>
                                </a:moveTo>
                                <a:lnTo>
                                  <a:pt x="353695" y="0"/>
                                </a:lnTo>
                              </a:path>
                            </a:pathLst>
                          </a:custGeom>
                          <a:ln w="17780">
                            <a:solidFill>
                              <a:srgbClr val="000000"/>
                            </a:solidFill>
                            <a:prstDash val="solid"/>
                          </a:ln>
                        </wps:spPr>
                        <wps:bodyPr wrap="square" lIns="0" tIns="0" rIns="0" bIns="0" rtlCol="0">
                          <a:prstTxWarp prst="textNoShape">
                            <a:avLst/>
                          </a:prstTxWarp>
                          <a:noAutofit/>
                        </wps:bodyPr>
                      </wps:wsp>
                      <wps:wsp>
                        <wps:cNvPr id="223" name="Graphic 223"/>
                        <wps:cNvSpPr/>
                        <wps:spPr>
                          <a:xfrm>
                            <a:off x="44450" y="97155"/>
                            <a:ext cx="1270" cy="52705"/>
                          </a:xfrm>
                          <a:custGeom>
                            <a:avLst/>
                            <a:gdLst/>
                            <a:ahLst/>
                            <a:cxnLst/>
                            <a:rect l="l" t="t" r="r" b="b"/>
                            <a:pathLst>
                              <a:path h="52705">
                                <a:moveTo>
                                  <a:pt x="0" y="52704"/>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224" name="Graphic 224"/>
                        <wps:cNvSpPr/>
                        <wps:spPr>
                          <a:xfrm>
                            <a:off x="106679" y="476884"/>
                            <a:ext cx="1270" cy="53340"/>
                          </a:xfrm>
                          <a:custGeom>
                            <a:avLst/>
                            <a:gdLst/>
                            <a:ahLst/>
                            <a:cxnLst/>
                            <a:rect l="l" t="t" r="r" b="b"/>
                            <a:pathLst>
                              <a:path h="53340">
                                <a:moveTo>
                                  <a:pt x="0" y="53340"/>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225" name="Graphic 225"/>
                        <wps:cNvSpPr/>
                        <wps:spPr>
                          <a:xfrm>
                            <a:off x="97789" y="856614"/>
                            <a:ext cx="1270" cy="53340"/>
                          </a:xfrm>
                          <a:custGeom>
                            <a:avLst/>
                            <a:gdLst/>
                            <a:ahLst/>
                            <a:cxnLst/>
                            <a:rect l="l" t="t" r="r" b="b"/>
                            <a:pathLst>
                              <a:path h="53340">
                                <a:moveTo>
                                  <a:pt x="0" y="53340"/>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226" name="Graphic 226"/>
                        <wps:cNvSpPr/>
                        <wps:spPr>
                          <a:xfrm>
                            <a:off x="212090" y="980439"/>
                            <a:ext cx="1270" cy="53340"/>
                          </a:xfrm>
                          <a:custGeom>
                            <a:avLst/>
                            <a:gdLst/>
                            <a:ahLst/>
                            <a:cxnLst/>
                            <a:rect l="l" t="t" r="r" b="b"/>
                            <a:pathLst>
                              <a:path h="53340">
                                <a:moveTo>
                                  <a:pt x="0" y="53340"/>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227" name="Graphic 227"/>
                        <wps:cNvSpPr/>
                        <wps:spPr>
                          <a:xfrm>
                            <a:off x="106679" y="1236980"/>
                            <a:ext cx="1270" cy="52705"/>
                          </a:xfrm>
                          <a:custGeom>
                            <a:avLst/>
                            <a:gdLst/>
                            <a:ahLst/>
                            <a:cxnLst/>
                            <a:rect l="l" t="t" r="r" b="b"/>
                            <a:pathLst>
                              <a:path h="52705">
                                <a:moveTo>
                                  <a:pt x="0" y="52704"/>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228" name="Graphic 228"/>
                        <wps:cNvSpPr/>
                        <wps:spPr>
                          <a:xfrm>
                            <a:off x="168275" y="1369060"/>
                            <a:ext cx="1270" cy="44450"/>
                          </a:xfrm>
                          <a:custGeom>
                            <a:avLst/>
                            <a:gdLst/>
                            <a:ahLst/>
                            <a:cxnLst/>
                            <a:rect l="l" t="t" r="r" b="b"/>
                            <a:pathLst>
                              <a:path h="44450">
                                <a:moveTo>
                                  <a:pt x="0" y="44450"/>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229" name="Graphic 229"/>
                        <wps:cNvSpPr/>
                        <wps:spPr>
                          <a:xfrm>
                            <a:off x="114935" y="1616710"/>
                            <a:ext cx="1270" cy="52705"/>
                          </a:xfrm>
                          <a:custGeom>
                            <a:avLst/>
                            <a:gdLst/>
                            <a:ahLst/>
                            <a:cxnLst/>
                            <a:rect l="l" t="t" r="r" b="b"/>
                            <a:pathLst>
                              <a:path h="52705">
                                <a:moveTo>
                                  <a:pt x="0" y="52704"/>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230" name="Graphic 230"/>
                        <wps:cNvSpPr/>
                        <wps:spPr>
                          <a:xfrm>
                            <a:off x="177164" y="1749425"/>
                            <a:ext cx="1270" cy="43815"/>
                          </a:xfrm>
                          <a:custGeom>
                            <a:avLst/>
                            <a:gdLst/>
                            <a:ahLst/>
                            <a:cxnLst/>
                            <a:rect l="l" t="t" r="r" b="b"/>
                            <a:pathLst>
                              <a:path h="43815">
                                <a:moveTo>
                                  <a:pt x="0" y="43815"/>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231" name="Graphic 231"/>
                        <wps:cNvSpPr/>
                        <wps:spPr>
                          <a:xfrm>
                            <a:off x="44450" y="1996439"/>
                            <a:ext cx="1270" cy="53340"/>
                          </a:xfrm>
                          <a:custGeom>
                            <a:avLst/>
                            <a:gdLst/>
                            <a:ahLst/>
                            <a:cxnLst/>
                            <a:rect l="l" t="t" r="r" b="b"/>
                            <a:pathLst>
                              <a:path h="53340">
                                <a:moveTo>
                                  <a:pt x="0" y="53340"/>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232" name="Graphic 232"/>
                        <wps:cNvSpPr/>
                        <wps:spPr>
                          <a:xfrm>
                            <a:off x="159385" y="2129154"/>
                            <a:ext cx="1270" cy="43815"/>
                          </a:xfrm>
                          <a:custGeom>
                            <a:avLst/>
                            <a:gdLst/>
                            <a:ahLst/>
                            <a:cxnLst/>
                            <a:rect l="l" t="t" r="r" b="b"/>
                            <a:pathLst>
                              <a:path h="43815">
                                <a:moveTo>
                                  <a:pt x="0" y="43815"/>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233" name="Graphic 233"/>
                        <wps:cNvSpPr/>
                        <wps:spPr>
                          <a:xfrm>
                            <a:off x="106679" y="2376170"/>
                            <a:ext cx="1270" cy="53340"/>
                          </a:xfrm>
                          <a:custGeom>
                            <a:avLst/>
                            <a:gdLst/>
                            <a:ahLst/>
                            <a:cxnLst/>
                            <a:rect l="l" t="t" r="r" b="b"/>
                            <a:pathLst>
                              <a:path h="53340">
                                <a:moveTo>
                                  <a:pt x="0" y="53340"/>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234" name="Graphic 234"/>
                        <wps:cNvSpPr/>
                        <wps:spPr>
                          <a:xfrm>
                            <a:off x="177164" y="2508885"/>
                            <a:ext cx="1270" cy="44450"/>
                          </a:xfrm>
                          <a:custGeom>
                            <a:avLst/>
                            <a:gdLst/>
                            <a:ahLst/>
                            <a:cxnLst/>
                            <a:rect l="l" t="t" r="r" b="b"/>
                            <a:pathLst>
                              <a:path h="44450">
                                <a:moveTo>
                                  <a:pt x="0" y="44450"/>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235" name="Graphic 235"/>
                        <wps:cNvSpPr/>
                        <wps:spPr>
                          <a:xfrm>
                            <a:off x="168275" y="2756535"/>
                            <a:ext cx="1270" cy="52705"/>
                          </a:xfrm>
                          <a:custGeom>
                            <a:avLst/>
                            <a:gdLst/>
                            <a:ahLst/>
                            <a:cxnLst/>
                            <a:rect l="l" t="t" r="r" b="b"/>
                            <a:pathLst>
                              <a:path h="52705">
                                <a:moveTo>
                                  <a:pt x="0" y="52704"/>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236" name="Graphic 236"/>
                        <wps:cNvSpPr/>
                        <wps:spPr>
                          <a:xfrm>
                            <a:off x="8889" y="2888614"/>
                            <a:ext cx="1270" cy="44450"/>
                          </a:xfrm>
                          <a:custGeom>
                            <a:avLst/>
                            <a:gdLst/>
                            <a:ahLst/>
                            <a:cxnLst/>
                            <a:rect l="l" t="t" r="r" b="b"/>
                            <a:pathLst>
                              <a:path h="44450">
                                <a:moveTo>
                                  <a:pt x="0" y="44450"/>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237" name="Graphic 237"/>
                        <wps:cNvSpPr/>
                        <wps:spPr>
                          <a:xfrm>
                            <a:off x="8889" y="3268979"/>
                            <a:ext cx="1270" cy="43815"/>
                          </a:xfrm>
                          <a:custGeom>
                            <a:avLst/>
                            <a:gdLst/>
                            <a:ahLst/>
                            <a:cxnLst/>
                            <a:rect l="l" t="t" r="r" b="b"/>
                            <a:pathLst>
                              <a:path h="43815">
                                <a:moveTo>
                                  <a:pt x="0" y="43814"/>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238" name="Graphic 238"/>
                        <wps:cNvSpPr/>
                        <wps:spPr>
                          <a:xfrm>
                            <a:off x="71119" y="3648709"/>
                            <a:ext cx="1270" cy="44450"/>
                          </a:xfrm>
                          <a:custGeom>
                            <a:avLst/>
                            <a:gdLst/>
                            <a:ahLst/>
                            <a:cxnLst/>
                            <a:rect l="l" t="t" r="r" b="b"/>
                            <a:pathLst>
                              <a:path h="44450">
                                <a:moveTo>
                                  <a:pt x="0" y="44450"/>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239" name="Graphic 239"/>
                        <wps:cNvSpPr/>
                        <wps:spPr>
                          <a:xfrm>
                            <a:off x="71119" y="3896359"/>
                            <a:ext cx="1270" cy="52705"/>
                          </a:xfrm>
                          <a:custGeom>
                            <a:avLst/>
                            <a:gdLst/>
                            <a:ahLst/>
                            <a:cxnLst/>
                            <a:rect l="l" t="t" r="r" b="b"/>
                            <a:pathLst>
                              <a:path h="52705">
                                <a:moveTo>
                                  <a:pt x="0" y="52704"/>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240" name="Graphic 240"/>
                        <wps:cNvSpPr/>
                        <wps:spPr>
                          <a:xfrm>
                            <a:off x="53339" y="4028440"/>
                            <a:ext cx="1270" cy="53340"/>
                          </a:xfrm>
                          <a:custGeom>
                            <a:avLst/>
                            <a:gdLst/>
                            <a:ahLst/>
                            <a:cxnLst/>
                            <a:rect l="l" t="t" r="r" b="b"/>
                            <a:pathLst>
                              <a:path h="53340">
                                <a:moveTo>
                                  <a:pt x="0" y="53339"/>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241" name="Graphic 241"/>
                        <wps:cNvSpPr/>
                        <wps:spPr>
                          <a:xfrm>
                            <a:off x="398145" y="97155"/>
                            <a:ext cx="1270" cy="52705"/>
                          </a:xfrm>
                          <a:custGeom>
                            <a:avLst/>
                            <a:gdLst/>
                            <a:ahLst/>
                            <a:cxnLst/>
                            <a:rect l="l" t="t" r="r" b="b"/>
                            <a:pathLst>
                              <a:path h="52705">
                                <a:moveTo>
                                  <a:pt x="0" y="52704"/>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242" name="Graphic 242"/>
                        <wps:cNvSpPr/>
                        <wps:spPr>
                          <a:xfrm>
                            <a:off x="265429" y="476884"/>
                            <a:ext cx="1270" cy="53340"/>
                          </a:xfrm>
                          <a:custGeom>
                            <a:avLst/>
                            <a:gdLst/>
                            <a:ahLst/>
                            <a:cxnLst/>
                            <a:rect l="l" t="t" r="r" b="b"/>
                            <a:pathLst>
                              <a:path h="53340">
                                <a:moveTo>
                                  <a:pt x="0" y="53340"/>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243" name="Graphic 243"/>
                        <wps:cNvSpPr/>
                        <wps:spPr>
                          <a:xfrm>
                            <a:off x="318134" y="856614"/>
                            <a:ext cx="1270" cy="53340"/>
                          </a:xfrm>
                          <a:custGeom>
                            <a:avLst/>
                            <a:gdLst/>
                            <a:ahLst/>
                            <a:cxnLst/>
                            <a:rect l="l" t="t" r="r" b="b"/>
                            <a:pathLst>
                              <a:path h="53340">
                                <a:moveTo>
                                  <a:pt x="0" y="53340"/>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244" name="Graphic 244"/>
                        <wps:cNvSpPr/>
                        <wps:spPr>
                          <a:xfrm>
                            <a:off x="300990" y="980439"/>
                            <a:ext cx="1270" cy="53340"/>
                          </a:xfrm>
                          <a:custGeom>
                            <a:avLst/>
                            <a:gdLst/>
                            <a:ahLst/>
                            <a:cxnLst/>
                            <a:rect l="l" t="t" r="r" b="b"/>
                            <a:pathLst>
                              <a:path h="53340">
                                <a:moveTo>
                                  <a:pt x="0" y="53340"/>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245" name="Graphic 245"/>
                        <wps:cNvSpPr/>
                        <wps:spPr>
                          <a:xfrm>
                            <a:off x="220979" y="1236980"/>
                            <a:ext cx="1270" cy="52705"/>
                          </a:xfrm>
                          <a:custGeom>
                            <a:avLst/>
                            <a:gdLst/>
                            <a:ahLst/>
                            <a:cxnLst/>
                            <a:rect l="l" t="t" r="r" b="b"/>
                            <a:pathLst>
                              <a:path h="52705">
                                <a:moveTo>
                                  <a:pt x="0" y="52704"/>
                                </a:moveTo>
                                <a:lnTo>
                                  <a:pt x="0" y="0"/>
                                </a:lnTo>
                              </a:path>
                            </a:pathLst>
                          </a:custGeom>
                          <a:ln w="17779">
                            <a:solidFill>
                              <a:srgbClr val="000000"/>
                            </a:solidFill>
                            <a:prstDash val="solid"/>
                          </a:ln>
                        </wps:spPr>
                        <wps:bodyPr wrap="square" lIns="0" tIns="0" rIns="0" bIns="0" rtlCol="0">
                          <a:prstTxWarp prst="textNoShape">
                            <a:avLst/>
                          </a:prstTxWarp>
                          <a:noAutofit/>
                        </wps:bodyPr>
                      </wps:wsp>
                      <wps:wsp>
                        <wps:cNvPr id="246" name="Graphic 246"/>
                        <wps:cNvSpPr/>
                        <wps:spPr>
                          <a:xfrm>
                            <a:off x="229870" y="1369060"/>
                            <a:ext cx="1270" cy="44450"/>
                          </a:xfrm>
                          <a:custGeom>
                            <a:avLst/>
                            <a:gdLst/>
                            <a:ahLst/>
                            <a:cxnLst/>
                            <a:rect l="l" t="t" r="r" b="b"/>
                            <a:pathLst>
                              <a:path h="44450">
                                <a:moveTo>
                                  <a:pt x="0" y="44450"/>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247" name="Graphic 247"/>
                        <wps:cNvSpPr/>
                        <wps:spPr>
                          <a:xfrm>
                            <a:off x="283209" y="1616710"/>
                            <a:ext cx="1270" cy="52705"/>
                          </a:xfrm>
                          <a:custGeom>
                            <a:avLst/>
                            <a:gdLst/>
                            <a:ahLst/>
                            <a:cxnLst/>
                            <a:rect l="l" t="t" r="r" b="b"/>
                            <a:pathLst>
                              <a:path h="52705">
                                <a:moveTo>
                                  <a:pt x="0" y="52704"/>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248" name="Graphic 248"/>
                        <wps:cNvSpPr/>
                        <wps:spPr>
                          <a:xfrm>
                            <a:off x="229870" y="1749425"/>
                            <a:ext cx="1270" cy="43815"/>
                          </a:xfrm>
                          <a:custGeom>
                            <a:avLst/>
                            <a:gdLst/>
                            <a:ahLst/>
                            <a:cxnLst/>
                            <a:rect l="l" t="t" r="r" b="b"/>
                            <a:pathLst>
                              <a:path h="43815">
                                <a:moveTo>
                                  <a:pt x="0" y="43815"/>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249" name="Graphic 249"/>
                        <wps:cNvSpPr/>
                        <wps:spPr>
                          <a:xfrm>
                            <a:off x="309879" y="1996439"/>
                            <a:ext cx="1270" cy="53340"/>
                          </a:xfrm>
                          <a:custGeom>
                            <a:avLst/>
                            <a:gdLst/>
                            <a:ahLst/>
                            <a:cxnLst/>
                            <a:rect l="l" t="t" r="r" b="b"/>
                            <a:pathLst>
                              <a:path h="53340">
                                <a:moveTo>
                                  <a:pt x="0" y="53340"/>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250" name="Graphic 250"/>
                        <wps:cNvSpPr/>
                        <wps:spPr>
                          <a:xfrm>
                            <a:off x="247650" y="2129154"/>
                            <a:ext cx="1270" cy="43815"/>
                          </a:xfrm>
                          <a:custGeom>
                            <a:avLst/>
                            <a:gdLst/>
                            <a:ahLst/>
                            <a:cxnLst/>
                            <a:rect l="l" t="t" r="r" b="b"/>
                            <a:pathLst>
                              <a:path h="43815">
                                <a:moveTo>
                                  <a:pt x="0" y="43815"/>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251" name="Graphic 251"/>
                        <wps:cNvSpPr/>
                        <wps:spPr>
                          <a:xfrm>
                            <a:off x="283209" y="2376170"/>
                            <a:ext cx="1270" cy="53340"/>
                          </a:xfrm>
                          <a:custGeom>
                            <a:avLst/>
                            <a:gdLst/>
                            <a:ahLst/>
                            <a:cxnLst/>
                            <a:rect l="l" t="t" r="r" b="b"/>
                            <a:pathLst>
                              <a:path h="53340">
                                <a:moveTo>
                                  <a:pt x="0" y="53340"/>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252" name="Graphic 252"/>
                        <wps:cNvSpPr/>
                        <wps:spPr>
                          <a:xfrm>
                            <a:off x="238759" y="2508885"/>
                            <a:ext cx="1270" cy="44450"/>
                          </a:xfrm>
                          <a:custGeom>
                            <a:avLst/>
                            <a:gdLst/>
                            <a:ahLst/>
                            <a:cxnLst/>
                            <a:rect l="l" t="t" r="r" b="b"/>
                            <a:pathLst>
                              <a:path h="44450">
                                <a:moveTo>
                                  <a:pt x="0" y="44450"/>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253" name="Graphic 253"/>
                        <wps:cNvSpPr/>
                        <wps:spPr>
                          <a:xfrm>
                            <a:off x="910589" y="2756535"/>
                            <a:ext cx="1270" cy="52705"/>
                          </a:xfrm>
                          <a:custGeom>
                            <a:avLst/>
                            <a:gdLst/>
                            <a:ahLst/>
                            <a:cxnLst/>
                            <a:rect l="l" t="t" r="r" b="b"/>
                            <a:pathLst>
                              <a:path h="52705">
                                <a:moveTo>
                                  <a:pt x="0" y="52704"/>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254" name="Graphic 254"/>
                        <wps:cNvSpPr/>
                        <wps:spPr>
                          <a:xfrm>
                            <a:off x="530225" y="2888614"/>
                            <a:ext cx="1270" cy="44450"/>
                          </a:xfrm>
                          <a:custGeom>
                            <a:avLst/>
                            <a:gdLst/>
                            <a:ahLst/>
                            <a:cxnLst/>
                            <a:rect l="l" t="t" r="r" b="b"/>
                            <a:pathLst>
                              <a:path h="44450">
                                <a:moveTo>
                                  <a:pt x="0" y="44450"/>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255" name="Graphic 255"/>
                        <wps:cNvSpPr/>
                        <wps:spPr>
                          <a:xfrm>
                            <a:off x="548005" y="3268979"/>
                            <a:ext cx="1270" cy="43815"/>
                          </a:xfrm>
                          <a:custGeom>
                            <a:avLst/>
                            <a:gdLst/>
                            <a:ahLst/>
                            <a:cxnLst/>
                            <a:rect l="l" t="t" r="r" b="b"/>
                            <a:pathLst>
                              <a:path h="43815">
                                <a:moveTo>
                                  <a:pt x="0" y="43814"/>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256" name="Graphic 256"/>
                        <wps:cNvSpPr/>
                        <wps:spPr>
                          <a:xfrm>
                            <a:off x="733425" y="3648709"/>
                            <a:ext cx="1270" cy="44450"/>
                          </a:xfrm>
                          <a:custGeom>
                            <a:avLst/>
                            <a:gdLst/>
                            <a:ahLst/>
                            <a:cxnLst/>
                            <a:rect l="l" t="t" r="r" b="b"/>
                            <a:pathLst>
                              <a:path h="44450">
                                <a:moveTo>
                                  <a:pt x="0" y="44450"/>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257" name="Graphic 257"/>
                        <wps:cNvSpPr/>
                        <wps:spPr>
                          <a:xfrm>
                            <a:off x="433069" y="3896359"/>
                            <a:ext cx="1270" cy="52705"/>
                          </a:xfrm>
                          <a:custGeom>
                            <a:avLst/>
                            <a:gdLst/>
                            <a:ahLst/>
                            <a:cxnLst/>
                            <a:rect l="l" t="t" r="r" b="b"/>
                            <a:pathLst>
                              <a:path h="52705">
                                <a:moveTo>
                                  <a:pt x="0" y="52704"/>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258" name="Graphic 258"/>
                        <wps:cNvSpPr/>
                        <wps:spPr>
                          <a:xfrm>
                            <a:off x="407034" y="4028440"/>
                            <a:ext cx="1270" cy="53340"/>
                          </a:xfrm>
                          <a:custGeom>
                            <a:avLst/>
                            <a:gdLst/>
                            <a:ahLst/>
                            <a:cxnLst/>
                            <a:rect l="l" t="t" r="r" b="b"/>
                            <a:pathLst>
                              <a:path h="53340">
                                <a:moveTo>
                                  <a:pt x="0" y="53339"/>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259" name="Graphic 259"/>
                        <wps:cNvSpPr/>
                        <wps:spPr>
                          <a:xfrm>
                            <a:off x="212090" y="0"/>
                            <a:ext cx="1270" cy="4558665"/>
                          </a:xfrm>
                          <a:custGeom>
                            <a:avLst/>
                            <a:gdLst/>
                            <a:ahLst/>
                            <a:cxnLst/>
                            <a:rect l="l" t="t" r="r" b="b"/>
                            <a:pathLst>
                              <a:path h="4558665">
                                <a:moveTo>
                                  <a:pt x="0" y="4558664"/>
                                </a:moveTo>
                                <a:lnTo>
                                  <a:pt x="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687745" id="Group 186" o:spid="_x0000_s1026" style="position:absolute;margin-left:238.25pt;margin-top:47.3pt;width:72.4pt;height:358.95pt;z-index:15739392;mso-wrap-distance-left:0;mso-wrap-distance-right:0;mso-position-horizontal-relative:page" coordsize="9194,455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87" o:spid="_x0000_s1027" type="#_x0000_t75" style="position:absolute;left:1635;top:835;width:752;height: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">
                  <v:imagedata r:id="rId34" o:title=""/>
                </v:shape>
                <v:shape id="Image 188" o:spid="_x0000_s1028" type="#_x0000_t75" style="position:absolute;left:1368;top:4632;width:752;height: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">
                  <v:imagedata r:id="rId35" o:title=""/>
                </v:shape>
                <v:shape id="Image 189" o:spid="_x0000_s1029" type="#_x0000_t75" style="position:absolute;left:1724;top:8435;width:752;height: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">
                  <v:imagedata r:id="rId36" o:title=""/>
                </v:shape>
                <v:shape id="Image 190" o:spid="_x0000_s1030" type="#_x0000_t75" style="position:absolute;left:2251;top:9667;width:759;height: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">
                  <v:imagedata r:id="rId37" o:title=""/>
                </v:shape>
                <v:shape id="Image 191" o:spid="_x0000_s1031" type="#_x0000_t75" style="position:absolute;left:1279;top:12233;width:759;height: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">
                  <v:imagedata r:id="rId38" o:title=""/>
                </v:shape>
                <v:shape id="Image 192" o:spid="_x0000_s1032" type="#_x0000_t75" style="position:absolute;left:1546;top:13471;width:752;height: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">
                  <v:imagedata r:id="rId39" o:title=""/>
                </v:shape>
                <v:shape id="Image 193" o:spid="_x0000_s1033" type="#_x0000_t75" style="position:absolute;left:1546;top:16030;width:752;height: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">
                  <v:imagedata r:id="rId40" o:title=""/>
                </v:shape>
                <v:shape id="Image 194" o:spid="_x0000_s1034" type="#_x0000_t75" style="position:absolute;left:1635;top:17268;width:752;height: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">
                  <v:imagedata r:id="rId41" o:title=""/>
                </v:shape>
                <v:shape id="Image 195" o:spid="_x0000_s1035" type="#_x0000_t75" style="position:absolute;left:1457;top:19827;width:752;height: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">
                  <v:imagedata r:id="rId42" o:title=""/>
                </v:shape>
                <v:shape id="Image 196" o:spid="_x0000_s1036" type="#_x0000_t75" style="position:absolute;left:1635;top:21066;width:752;height: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">
                  <v:imagedata r:id="rId43" o:title=""/>
                </v:shape>
                <v:shape id="Image 197" o:spid="_x0000_s1037" type="#_x0000_t75" style="position:absolute;left:1546;top:23631;width:752;height: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">
                  <v:imagedata r:id="rId39" o:title=""/>
                </v:shape>
                <v:shape id="Image 198" o:spid="_x0000_s1038" type="#_x0000_t75" style="position:absolute;left:1635;top:24863;width:752;height: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">
                  <v:imagedata r:id="rId44" o:title=""/>
                </v:shape>
                <v:shape id="Image 199" o:spid="_x0000_s1039" type="#_x0000_t75" style="position:absolute;left:4283;top:27428;width:758;height: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">
                  <v:imagedata r:id="rId45" o:title=""/>
                </v:shape>
                <v:shape id="Image 200" o:spid="_x0000_s1040" type="#_x0000_t75" style="position:absolute;left:1724;top:28755;width:752;height: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">
                  <v:imagedata r:id="rId46" o:title=""/>
                </v:shape>
                <v:shape id="Image 201" o:spid="_x0000_s1041" type="#_x0000_t75" style="position:absolute;left:1812;top:32553;width:753;height: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">
                  <v:imagedata r:id="rId47" o:title=""/>
                </v:shape>
                <v:shape id="Image 202" o:spid="_x0000_s1042" type="#_x0000_t75" style="position:absolute;left:2873;top:36350;width:752;height: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">
                  <v:imagedata r:id="rId48" o:title=""/>
                </v:shape>
                <v:shape id="Image 203" o:spid="_x0000_s1043" type="#_x0000_t75" style="position:absolute;left:1901;top:38827;width:753;height: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">
                  <v:imagedata r:id="rId49" o:title=""/>
                </v:shape>
                <v:shape id="Image 204" o:spid="_x0000_s1044" type="#_x0000_t75" style="position:absolute;left:1635;top:40147;width:752;height: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">
                  <v:imagedata r:id="rId44" o:title=""/>
                </v:shape>
                <v:shape id="Graphic 205" o:spid="_x0000_s1045" style="position:absolute;left:444;top:1238;width:3537;height:12;visibility:visible;mso-wrap-style:square;v-text-anchor:top" coordsize="353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" path="m,l353695,e" filled="f" strokeweight="1.4pt">
                  <v:path arrowok="t"/>
                </v:shape>
                <v:shape id="Graphic 206" o:spid="_x0000_s1046" style="position:absolute;left:1066;top:5035;width:1588;height:13;visibility:visible;mso-wrap-style:square;v-text-anchor:top" coordsize="1587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" path="m,l158750,e" filled="f" strokeweight="1.4pt">
                  <v:path arrowok="t"/>
                </v:shape>
                <v:shape id="Graphic 207" o:spid="_x0000_s1047" style="position:absolute;left:977;top:8832;width:2204;height:13;visibility:visible;mso-wrap-style:square;v-text-anchor:top" coordsize="2203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" path="m,l220345,e" filled="f" strokeweight="1.4pt">
                  <v:path arrowok="t"/>
                </v:shape>
                <v:shape id="Graphic 208" o:spid="_x0000_s1048" style="position:absolute;left:2120;top:10071;width:889;height:12;visibility:visible;mso-wrap-style:square;v-text-anchor:top" coordsize="88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" path="m,l88900,e" filled="f" strokeweight="1.4pt">
                  <v:path arrowok="t"/>
                </v:shape>
                <v:shape id="Graphic 209" o:spid="_x0000_s1049" style="position:absolute;left:1066;top:12630;width:1143;height:12;visibility:visible;mso-wrap-style:square;v-text-anchor:top" coordsize="1143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" path="m,l114300,e" filled="f" strokeweight="1.4pt">
                  <v:path arrowok="t"/>
                </v:shape>
                <v:shape id="Graphic 210" o:spid="_x0000_s1050" style="position:absolute;left:1682;top:13868;width:616;height:13;visibility:visible;mso-wrap-style:square;v-text-anchor:top" coordsize="6159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" path="m,l61594,e" filled="f" strokeweight="1.4pt">
                  <v:path arrowok="t"/>
                </v:shape>
                <v:shape id="Graphic 211" o:spid="_x0000_s1051" style="position:absolute;left:1149;top:16433;width:1683;height:13;visibility:visible;mso-wrap-style:square;v-text-anchor:top" coordsize="168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" path="m,l168275,e" filled="f" strokeweight="1.4pt">
                  <v:path arrowok="t"/>
                </v:shape>
                <v:shape id="Graphic 212" o:spid="_x0000_s1052" style="position:absolute;left:1771;top:17665;width:527;height:13;visibility:visible;mso-wrap-style:square;v-text-anchor:top" coordsize="52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" path="m,l52705,e" filled="f" strokeweight="1.4pt">
                  <v:path arrowok="t"/>
                </v:shape>
                <v:shape id="Graphic 213" o:spid="_x0000_s1053" style="position:absolute;left:444;top:20231;width:2654;height:12;visibility:visible;mso-wrap-style:square;v-text-anchor:top" coordsize="2654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" path="m,l265430,e" filled="f" strokeweight="1.4pt">
                  <v:path arrowok="t"/>
                </v:shape>
                <v:shape id="Graphic 214" o:spid="_x0000_s1054" style="position:absolute;left:1593;top:21469;width:883;height:13;visibility:visible;mso-wrap-style:square;v-text-anchor:top" coordsize="882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" path="m,l88265,e" filled="f" strokeweight="1.4pt">
                  <v:path arrowok="t"/>
                </v:shape>
                <v:shape id="Graphic 215" o:spid="_x0000_s1055" style="position:absolute;left:1066;top:24028;width:1766;height:13;visibility:visible;mso-wrap-style:square;v-text-anchor:top" coordsize="1765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" path="m,l176530,e" filled="f" strokeweight="1.4pt">
                  <v:path arrowok="t"/>
                </v:shape>
                <v:shape id="Graphic 216" o:spid="_x0000_s1056" style="position:absolute;left:1771;top:25266;width:616;height:13;visibility:visible;mso-wrap-style:square;v-text-anchor:top" coordsize="6159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" path="m,l61594,e" filled="f" strokeweight="1.4pt">
                  <v:path arrowok="t"/>
                </v:shape>
                <v:shape id="Graphic 217" o:spid="_x0000_s1057" style="position:absolute;left:1682;top:27825;width:7423;height:13;visibility:visible;mso-wrap-style:square;v-text-anchor:top" coordsize="7423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" path="m,l742315,e" filled="f" strokeweight="1.4pt">
                  <v:path arrowok="t"/>
                </v:shape>
                <v:shape id="Graphic 218" o:spid="_x0000_s1058" style="position:absolute;left:88;top:29152;width:5214;height:13;visibility:visible;mso-wrap-style:square;v-text-anchor:top" coordsize="52133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" path="m,l521334,e" filled="f" strokeweight="1.4pt">
                  <v:path arrowok="t"/>
                </v:shape>
                <v:shape id="Graphic 219" o:spid="_x0000_s1059" style="position:absolute;left:88;top:32950;width:5392;height:12;visibility:visible;mso-wrap-style:square;v-text-anchor:top" coordsize="5391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" path="m,l539115,e" filled="f" strokeweight="1.4pt">
                  <v:path arrowok="t"/>
                </v:shape>
                <v:shape id="Graphic 220" o:spid="_x0000_s1060" style="position:absolute;left:711;top:36753;width:6623;height:13;visibility:visible;mso-wrap-style:square;v-text-anchor:top" coordsize="6623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" path="m,l662305,e" filled="f" strokeweight="1.4pt">
                  <v:path arrowok="t"/>
                </v:shape>
                <v:shape id="Graphic 221" o:spid="_x0000_s1061" style="position:absolute;left:711;top:39223;width:3619;height:13;visibility:visible;mso-wrap-style:square;v-text-anchor:top" coordsize="3619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" path="m,l361950,e" filled="f" strokeweight="1.4pt">
                  <v:path arrowok="t"/>
                </v:shape>
                <v:shape id="Graphic 222" o:spid="_x0000_s1062" style="position:absolute;left:533;top:40551;width:3537;height:12;visibility:visible;mso-wrap-style:square;v-text-anchor:top" coordsize="353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" path="m,l353695,e" filled="f" strokeweight="1.4pt">
                  <v:path arrowok="t"/>
                </v:shape>
                <v:shape id="Graphic 223" o:spid="_x0000_s1063" style="position:absolute;left:444;top:971;width:13;height:527;visibility:visible;mso-wrap-style:square;v-text-anchor:top" coordsize="1270,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" path="m,52704l,e" filled="f" strokeweight="1.4pt">
                  <v:path arrowok="t"/>
                </v:shape>
                <v:shape id="Graphic 224" o:spid="_x0000_s1064" style="position:absolute;left:1066;top:4768;width:13;height:534;visibility:visible;mso-wrap-style:square;v-text-anchor:top" coordsize="127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" path="m,53340l,e" filled="f" strokeweight="1.4pt">
                  <v:path arrowok="t"/>
                </v:shape>
                <v:shape id="Graphic 225" o:spid="_x0000_s1065" style="position:absolute;left:977;top:8566;width:13;height:533;visibility:visible;mso-wrap-style:square;v-text-anchor:top" coordsize="127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" path="m,53340l,e" filled="f" strokeweight="1.4pt">
                  <v:path arrowok="t"/>
                </v:shape>
                <v:shape id="Graphic 226" o:spid="_x0000_s1066" style="position:absolute;left:2120;top:9804;width:13;height:533;visibility:visible;mso-wrap-style:square;v-text-anchor:top" coordsize="127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" path="m,53340l,e" filled="f" strokeweight="1.4pt">
                  <v:path arrowok="t"/>
                </v:shape>
                <v:shape id="Graphic 227" o:spid="_x0000_s1067" style="position:absolute;left:1066;top:12369;width:13;height:527;visibility:visible;mso-wrap-style:square;v-text-anchor:top" coordsize="1270,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" path="m,52704l,e" filled="f" strokeweight="1.4pt">
                  <v:path arrowok="t"/>
                </v:shape>
                <v:shape id="Graphic 228" o:spid="_x0000_s1068" style="position:absolute;left:1682;top:13690;width:13;height:445;visibility:visible;mso-wrap-style:square;v-text-anchor:top" coordsize="127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" path="m,44450l,e" filled="f" strokeweight="1.4pt">
                  <v:path arrowok="t"/>
                </v:shape>
                <v:shape id="Graphic 229" o:spid="_x0000_s1069" style="position:absolute;left:1149;top:16167;width:13;height:527;visibility:visible;mso-wrap-style:square;v-text-anchor:top" coordsize="1270,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" path="m,52704l,e" filled="f" strokeweight="1.4pt">
                  <v:path arrowok="t"/>
                </v:shape>
                <v:shape id="Graphic 230" o:spid="_x0000_s1070" style="position:absolute;left:1771;top:17494;width:13;height:438;visibility:visible;mso-wrap-style:square;v-text-anchor:top" coordsize="1270,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" path="m,43815l,e" filled="f" strokeweight="1.4pt">
                  <v:path arrowok="t"/>
                </v:shape>
                <v:shape id="Graphic 231" o:spid="_x0000_s1071" style="position:absolute;left:444;top:19964;width:13;height:533;visibility:visible;mso-wrap-style:square;v-text-anchor:top" coordsize="127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" path="m,53340l,e" filled="f" strokeweight="1.4pt">
                  <v:path arrowok="t"/>
                </v:shape>
                <v:shape id="Graphic 232" o:spid="_x0000_s1072" style="position:absolute;left:1593;top:21291;width:13;height:438;visibility:visible;mso-wrap-style:square;v-text-anchor:top" coordsize="1270,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" path="m,43815l,e" filled="f" strokeweight="1.4pt">
                  <v:path arrowok="t"/>
                </v:shape>
                <v:shape id="Graphic 233" o:spid="_x0000_s1073" style="position:absolute;left:1066;top:23761;width:13;height:534;visibility:visible;mso-wrap-style:square;v-text-anchor:top" coordsize="127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" path="m,53340l,e" filled="f" strokeweight="1.4pt">
                  <v:path arrowok="t"/>
                </v:shape>
                <v:shape id="Graphic 234" o:spid="_x0000_s1074" style="position:absolute;left:1771;top:25088;width:13;height:445;visibility:visible;mso-wrap-style:square;v-text-anchor:top" coordsize="127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" path="m,44450l,e" filled="f" strokeweight="1.4pt">
                  <v:path arrowok="t"/>
                </v:shape>
                <v:shape id="Graphic 235" o:spid="_x0000_s1075" style="position:absolute;left:1682;top:27565;width:13;height:527;visibility:visible;mso-wrap-style:square;v-text-anchor:top" coordsize="1270,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" path="m,52704l,e" filled="f" strokeweight="1.4pt">
                  <v:path arrowok="t"/>
                </v:shape>
                <v:shape id="Graphic 236" o:spid="_x0000_s1076" style="position:absolute;left:88;top:28886;width:13;height:444;visibility:visible;mso-wrap-style:square;v-text-anchor:top" coordsize="127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" path="m,44450l,e" filled="f" strokeweight="1.4pt">
                  <v:path arrowok="t"/>
                </v:shape>
                <v:shape id="Graphic 237" o:spid="_x0000_s1077" style="position:absolute;left:88;top:32689;width:13;height:438;visibility:visible;mso-wrap-style:square;v-text-anchor:top" coordsize="1270,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" path="m,43814l,e" filled="f" strokeweight="1.4pt">
                  <v:path arrowok="t"/>
                </v:shape>
                <v:shape id="Graphic 238" o:spid="_x0000_s1078" style="position:absolute;left:711;top:36487;width:12;height:444;visibility:visible;mso-wrap-style:square;v-text-anchor:top" coordsize="127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" path="m,44450l,e" filled="f" strokeweight="1.4pt">
                  <v:path arrowok="t"/>
                </v:shape>
                <v:shape id="Graphic 239" o:spid="_x0000_s1079" style="position:absolute;left:711;top:38963;width:12;height:527;visibility:visible;mso-wrap-style:square;v-text-anchor:top" coordsize="1270,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" path="m,52704l,e" filled="f" strokeweight="1.4pt">
                  <v:path arrowok="t"/>
                </v:shape>
                <v:shape id="Graphic 240" o:spid="_x0000_s1080" style="position:absolute;left:533;top:40284;width:13;height:533;visibility:visible;mso-wrap-style:square;v-text-anchor:top" coordsize="127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" path="m,53339l,e" filled="f" strokeweight="1.4pt">
                  <v:path arrowok="t"/>
                </v:shape>
                <v:shape id="Graphic 241" o:spid="_x0000_s1081" style="position:absolute;left:3981;top:971;width:13;height:527;visibility:visible;mso-wrap-style:square;v-text-anchor:top" coordsize="1270,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" path="m,52704l,e" filled="f" strokeweight="1.4pt">
                  <v:path arrowok="t"/>
                </v:shape>
                <v:shape id="Graphic 242" o:spid="_x0000_s1082" style="position:absolute;left:2654;top:4768;width:12;height:534;visibility:visible;mso-wrap-style:square;v-text-anchor:top" coordsize="127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" path="m,53340l,e" filled="f" strokeweight="1.4pt">
                  <v:path arrowok="t"/>
                </v:shape>
                <v:shape id="Graphic 243" o:spid="_x0000_s1083" style="position:absolute;left:3181;top:8566;width:13;height:533;visibility:visible;mso-wrap-style:square;v-text-anchor:top" coordsize="127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" path="m,53340l,e" filled="f" strokeweight="1.4pt">
                  <v:path arrowok="t"/>
                </v:shape>
                <v:shape id="Graphic 244" o:spid="_x0000_s1084" style="position:absolute;left:3009;top:9804;width:13;height:533;visibility:visible;mso-wrap-style:square;v-text-anchor:top" coordsize="127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" path="m,53340l,e" filled="f" strokeweight="1.4pt">
                  <v:path arrowok="t"/>
                </v:shape>
                <v:shape id="Graphic 245" o:spid="_x0000_s1085" style="position:absolute;left:2209;top:12369;width:13;height:527;visibility:visible;mso-wrap-style:square;v-text-anchor:top" coordsize="1270,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" path="m,52704l,e" filled="f" strokeweight=".49386mm">
                  <v:path arrowok="t"/>
                </v:shape>
                <v:shape id="Graphic 246" o:spid="_x0000_s1086" style="position:absolute;left:2298;top:13690;width:13;height:445;visibility:visible;mso-wrap-style:square;v-text-anchor:top" coordsize="127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" path="m,44450l,e" filled="f" strokeweight="1.4pt">
                  <v:path arrowok="t"/>
                </v:shape>
                <v:shape id="Graphic 247" o:spid="_x0000_s1087" style="position:absolute;left:2832;top:16167;width:12;height:527;visibility:visible;mso-wrap-style:square;v-text-anchor:top" coordsize="1270,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" path="m,52704l,e" filled="f" strokeweight="1.4pt">
                  <v:path arrowok="t"/>
                </v:shape>
                <v:shape id="Graphic 248" o:spid="_x0000_s1088" style="position:absolute;left:2298;top:17494;width:13;height:438;visibility:visible;mso-wrap-style:square;v-text-anchor:top" coordsize="1270,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" path="m,43815l,e" filled="f" strokeweight="1.4pt">
                  <v:path arrowok="t"/>
                </v:shape>
                <v:shape id="Graphic 249" o:spid="_x0000_s1089" style="position:absolute;left:3098;top:19964;width:13;height:533;visibility:visible;mso-wrap-style:square;v-text-anchor:top" coordsize="127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" path="m,53340l,e" filled="f" strokeweight="1.4pt">
                  <v:path arrowok="t"/>
                </v:shape>
                <v:shape id="Graphic 250" o:spid="_x0000_s1090" style="position:absolute;left:2476;top:21291;width:13;height:438;visibility:visible;mso-wrap-style:square;v-text-anchor:top" coordsize="1270,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" path="m,43815l,e" filled="f" strokeweight="1.4pt">
                  <v:path arrowok="t"/>
                </v:shape>
                <v:shape id="Graphic 251" o:spid="_x0000_s1091" style="position:absolute;left:2832;top:23761;width:12;height:534;visibility:visible;mso-wrap-style:square;v-text-anchor:top" coordsize="127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" path="m,53340l,e" filled="f" strokeweight="1.4pt">
                  <v:path arrowok="t"/>
                </v:shape>
                <v:shape id="Graphic 252" o:spid="_x0000_s1092" style="position:absolute;left:2387;top:25088;width:13;height:445;visibility:visible;mso-wrap-style:square;v-text-anchor:top" coordsize="127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" path="m,44450l,e" filled="f" strokeweight="1.4pt">
                  <v:path arrowok="t"/>
                </v:shape>
                <v:shape id="Graphic 253" o:spid="_x0000_s1093" style="position:absolute;left:9105;top:27565;width:13;height:527;visibility:visible;mso-wrap-style:square;v-text-anchor:top" coordsize="1270,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" path="m,52704l,e" filled="f" strokeweight="1.4pt">
                  <v:path arrowok="t"/>
                </v:shape>
                <v:shape id="Graphic 254" o:spid="_x0000_s1094" style="position:absolute;left:5302;top:28886;width:12;height:444;visibility:visible;mso-wrap-style:square;v-text-anchor:top" coordsize="127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" path="m,44450l,e" filled="f" strokeweight="1.4pt">
                  <v:path arrowok="t"/>
                </v:shape>
                <v:shape id="Graphic 255" o:spid="_x0000_s1095" style="position:absolute;left:5480;top:32689;width:12;height:438;visibility:visible;mso-wrap-style:square;v-text-anchor:top" coordsize="1270,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" path="m,43814l,e" filled="f" strokeweight="1.4pt">
                  <v:path arrowok="t"/>
                </v:shape>
                <v:shape id="Graphic 256" o:spid="_x0000_s1096" style="position:absolute;left:7334;top:36487;width:12;height:444;visibility:visible;mso-wrap-style:square;v-text-anchor:top" coordsize="127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" path="m,44450l,e" filled="f" strokeweight="1.4pt">
                  <v:path arrowok="t"/>
                </v:shape>
                <v:shape id="Graphic 257" o:spid="_x0000_s1097" style="position:absolute;left:4330;top:38963;width:13;height:527;visibility:visible;mso-wrap-style:square;v-text-anchor:top" coordsize="1270,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" path="m,52704l,e" filled="f" strokeweight="1.4pt">
                  <v:path arrowok="t"/>
                </v:shape>
                <v:shape id="Graphic 258" o:spid="_x0000_s1098" style="position:absolute;left:4070;top:40284;width:13;height:533;visibility:visible;mso-wrap-style:square;v-text-anchor:top" coordsize="127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" path="m,53339l,e" filled="f" strokeweight="1.4pt">
                  <v:path arrowok="t"/>
                </v:shape>
                <v:shape id="Graphic 259" o:spid="_x0000_s1099" style="position:absolute;left:2120;width:13;height:45586;visibility:visible;mso-wrap-style:square;v-text-anchor:top" coordsize="1270,45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" path="m,4558664l,e" filled="f">
                  <v:path arrowok="t"/>
                </v:shape>
                <w10:wrap anchorx="page"/>
              </v:group>
            </w:pict>
          </mc:Fallback>
        </mc:AlternateContent>
      </w:r>
      <w:r>
        <w:rPr>
          <w:noProof/>
        </w:rPr>
        <mc:AlternateContent>
          <mc:Choice Requires="wpg">
            <w:drawing>
              <wp:anchor distT="0" distB="0" distL="0" distR="0" simplePos="0" relativeHeight="15739904" behindDoc="0" locked="0" layoutInCell="1" allowOverlap="1" wp14:anchorId="344B27AF" wp14:editId="423E23F7">
                <wp:simplePos x="0" y="0"/>
                <wp:positionH relativeFrom="page">
                  <wp:posOffset>3449954</wp:posOffset>
                </wp:positionH>
                <wp:positionV relativeFrom="paragraph">
                  <wp:posOffset>808052</wp:posOffset>
                </wp:positionV>
                <wp:extent cx="150495" cy="75565"/>
                <wp:effectExtent l="0" t="0" r="0" b="0"/>
                <wp:wrapNone/>
                <wp:docPr id="260"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495" cy="75565"/>
                          <a:chOff x="0" y="0"/>
                          <a:chExt cx="150495" cy="75565"/>
                        </a:xfrm>
                      </wpg:grpSpPr>
                      <pic:pic xmlns:pic="http://schemas.openxmlformats.org/drawingml/2006/picture">
                        <pic:nvPicPr>
                          <pic:cNvPr id="261" name="Image 261"/>
                          <pic:cNvPicPr/>
                        </pic:nvPicPr>
                        <pic:blipFill>
                          <a:blip r:embed="rId50" cstate="print"/>
                          <a:stretch>
                            <a:fillRect/>
                          </a:stretch>
                        </pic:blipFill>
                        <pic:spPr>
                          <a:xfrm>
                            <a:off x="39687" y="0"/>
                            <a:ext cx="75247" cy="75247"/>
                          </a:xfrm>
                          <a:prstGeom prst="rect">
                            <a:avLst/>
                          </a:prstGeom>
                        </pic:spPr>
                      </pic:pic>
                      <wps:wsp>
                        <wps:cNvPr id="262" name="Graphic 262"/>
                        <wps:cNvSpPr/>
                        <wps:spPr>
                          <a:xfrm>
                            <a:off x="8889" y="39687"/>
                            <a:ext cx="132715" cy="1270"/>
                          </a:xfrm>
                          <a:custGeom>
                            <a:avLst/>
                            <a:gdLst/>
                            <a:ahLst/>
                            <a:cxnLst/>
                            <a:rect l="l" t="t" r="r" b="b"/>
                            <a:pathLst>
                              <a:path w="132715">
                                <a:moveTo>
                                  <a:pt x="0" y="0"/>
                                </a:moveTo>
                                <a:lnTo>
                                  <a:pt x="132715" y="0"/>
                                </a:lnTo>
                              </a:path>
                            </a:pathLst>
                          </a:custGeom>
                          <a:ln w="17780">
                            <a:solidFill>
                              <a:srgbClr val="000000"/>
                            </a:solidFill>
                            <a:prstDash val="solid"/>
                          </a:ln>
                        </wps:spPr>
                        <wps:bodyPr wrap="square" lIns="0" tIns="0" rIns="0" bIns="0" rtlCol="0">
                          <a:prstTxWarp prst="textNoShape">
                            <a:avLst/>
                          </a:prstTxWarp>
                          <a:noAutofit/>
                        </wps:bodyPr>
                      </wps:wsp>
                      <wps:wsp>
                        <wps:cNvPr id="263" name="Graphic 263"/>
                        <wps:cNvSpPr/>
                        <wps:spPr>
                          <a:xfrm>
                            <a:off x="8889" y="13652"/>
                            <a:ext cx="1270" cy="52705"/>
                          </a:xfrm>
                          <a:custGeom>
                            <a:avLst/>
                            <a:gdLst/>
                            <a:ahLst/>
                            <a:cxnLst/>
                            <a:rect l="l" t="t" r="r" b="b"/>
                            <a:pathLst>
                              <a:path h="52705">
                                <a:moveTo>
                                  <a:pt x="0" y="52704"/>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264" name="Graphic 264"/>
                        <wps:cNvSpPr/>
                        <wps:spPr>
                          <a:xfrm>
                            <a:off x="141604" y="13652"/>
                            <a:ext cx="1270" cy="52705"/>
                          </a:xfrm>
                          <a:custGeom>
                            <a:avLst/>
                            <a:gdLst/>
                            <a:ahLst/>
                            <a:cxnLst/>
                            <a:rect l="l" t="t" r="r" b="b"/>
                            <a:pathLst>
                              <a:path h="52705">
                                <a:moveTo>
                                  <a:pt x="0" y="52704"/>
                                </a:moveTo>
                                <a:lnTo>
                                  <a:pt x="0" y="0"/>
                                </a:lnTo>
                              </a:path>
                            </a:pathLst>
                          </a:custGeom>
                          <a:ln w="1778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2AB27A1" id="Group 260" o:spid="_x0000_s1026" style="position:absolute;margin-left:271.65pt;margin-top:63.65pt;width:11.85pt;height:5.95pt;z-index:15739904;mso-wrap-distance-left:0;mso-wrap-distance-right:0;mso-position-horizontal-relative:page" coordsize="150495,75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">
                <v:shape id="Image 261" o:spid="_x0000_s1027" type="#_x0000_t75" style="position:absolute;left:39687;width:75247;height:75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">
                  <v:imagedata r:id="rId51" o:title=""/>
                </v:shape>
                <v:shape id="Graphic 262" o:spid="_x0000_s1028" style="position:absolute;left:8889;top:39687;width:132715;height:1270;visibility:visible;mso-wrap-style:square;v-text-anchor:top" coordsize="1327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" path="m,l132715,e" filled="f" strokeweight="1.4pt">
                  <v:path arrowok="t"/>
                </v:shape>
                <v:shape id="Graphic 263" o:spid="_x0000_s1029" style="position:absolute;left:8889;top:13652;width:1270;height:52705;visibility:visible;mso-wrap-style:square;v-text-anchor:top" coordsize="1270,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" path="m,52704l,e" filled="f" strokeweight="1.4pt">
                  <v:path arrowok="t"/>
                </v:shape>
                <v:shape id="Graphic 264" o:spid="_x0000_s1030" style="position:absolute;left:141604;top:13652;width:1270;height:52705;visibility:visible;mso-wrap-style:square;v-text-anchor:top" coordsize="1270,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" path="m,52704l,e" filled="f" strokeweight="1.4pt">
                  <v:path arrowok="t"/>
                </v:shape>
                <w10:wrap anchorx="page"/>
              </v:group>
            </w:pict>
          </mc:Fallback>
        </mc:AlternateContent>
      </w:r>
      <w:r>
        <w:rPr>
          <w:noProof/>
        </w:rPr>
        <mc:AlternateContent>
          <mc:Choice Requires="wpg">
            <w:drawing>
              <wp:anchor distT="0" distB="0" distL="0" distR="0" simplePos="0" relativeHeight="15740416" behindDoc="0" locked="0" layoutInCell="1" allowOverlap="1" wp14:anchorId="64F687D4" wp14:editId="60C5CCB2">
                <wp:simplePos x="0" y="0"/>
                <wp:positionH relativeFrom="page">
                  <wp:posOffset>2994977</wp:posOffset>
                </wp:positionH>
                <wp:positionV relativeFrom="paragraph">
                  <wp:posOffset>1187782</wp:posOffset>
                </wp:positionV>
                <wp:extent cx="84455" cy="75565"/>
                <wp:effectExtent l="0" t="0" r="0" b="0"/>
                <wp:wrapNone/>
                <wp:docPr id="265"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455" cy="75565"/>
                          <a:chOff x="0" y="0"/>
                          <a:chExt cx="84455" cy="75565"/>
                        </a:xfrm>
                      </wpg:grpSpPr>
                      <pic:pic xmlns:pic="http://schemas.openxmlformats.org/drawingml/2006/picture">
                        <pic:nvPicPr>
                          <pic:cNvPr id="266" name="Image 266"/>
                          <pic:cNvPicPr/>
                        </pic:nvPicPr>
                        <pic:blipFill>
                          <a:blip r:embed="rId52" cstate="print"/>
                          <a:stretch>
                            <a:fillRect/>
                          </a:stretch>
                        </pic:blipFill>
                        <pic:spPr>
                          <a:xfrm>
                            <a:off x="0" y="0"/>
                            <a:ext cx="75247" cy="75247"/>
                          </a:xfrm>
                          <a:prstGeom prst="rect">
                            <a:avLst/>
                          </a:prstGeom>
                        </pic:spPr>
                      </pic:pic>
                      <wps:wsp>
                        <wps:cNvPr id="267" name="Graphic 267"/>
                        <wps:cNvSpPr/>
                        <wps:spPr>
                          <a:xfrm>
                            <a:off x="13652" y="40322"/>
                            <a:ext cx="61594" cy="1270"/>
                          </a:xfrm>
                          <a:custGeom>
                            <a:avLst/>
                            <a:gdLst/>
                            <a:ahLst/>
                            <a:cxnLst/>
                            <a:rect l="l" t="t" r="r" b="b"/>
                            <a:pathLst>
                              <a:path w="61594">
                                <a:moveTo>
                                  <a:pt x="0" y="0"/>
                                </a:moveTo>
                                <a:lnTo>
                                  <a:pt x="61594" y="0"/>
                                </a:lnTo>
                              </a:path>
                            </a:pathLst>
                          </a:custGeom>
                          <a:ln w="17780">
                            <a:solidFill>
                              <a:srgbClr val="000000"/>
                            </a:solidFill>
                            <a:prstDash val="solid"/>
                          </a:ln>
                        </wps:spPr>
                        <wps:bodyPr wrap="square" lIns="0" tIns="0" rIns="0" bIns="0" rtlCol="0">
                          <a:prstTxWarp prst="textNoShape">
                            <a:avLst/>
                          </a:prstTxWarp>
                          <a:noAutofit/>
                        </wps:bodyPr>
                      </wps:wsp>
                      <wps:wsp>
                        <wps:cNvPr id="268" name="Graphic 268"/>
                        <wps:cNvSpPr/>
                        <wps:spPr>
                          <a:xfrm>
                            <a:off x="13652" y="13652"/>
                            <a:ext cx="1270" cy="52705"/>
                          </a:xfrm>
                          <a:custGeom>
                            <a:avLst/>
                            <a:gdLst/>
                            <a:ahLst/>
                            <a:cxnLst/>
                            <a:rect l="l" t="t" r="r" b="b"/>
                            <a:pathLst>
                              <a:path h="52705">
                                <a:moveTo>
                                  <a:pt x="0" y="52704"/>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269" name="Graphic 269"/>
                        <wps:cNvSpPr/>
                        <wps:spPr>
                          <a:xfrm>
                            <a:off x="75247" y="13652"/>
                            <a:ext cx="1270" cy="52705"/>
                          </a:xfrm>
                          <a:custGeom>
                            <a:avLst/>
                            <a:gdLst/>
                            <a:ahLst/>
                            <a:cxnLst/>
                            <a:rect l="l" t="t" r="r" b="b"/>
                            <a:pathLst>
                              <a:path h="52705">
                                <a:moveTo>
                                  <a:pt x="0" y="52704"/>
                                </a:moveTo>
                                <a:lnTo>
                                  <a:pt x="0" y="0"/>
                                </a:lnTo>
                              </a:path>
                            </a:pathLst>
                          </a:custGeom>
                          <a:ln w="1778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1A768A1" id="Group 265" o:spid="_x0000_s1026" style="position:absolute;margin-left:235.8pt;margin-top:93.55pt;width:6.65pt;height:5.95pt;z-index:15740416;mso-wrap-distance-left:0;mso-wrap-distance-right:0;mso-position-horizontal-relative:page" coordsize="84455,75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">
                <v:shape id="Image 266" o:spid="_x0000_s1027" type="#_x0000_t75" style="position:absolute;width:75247;height:75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">
                  <v:imagedata r:id="rId53" o:title=""/>
                </v:shape>
                <v:shape id="Graphic 267" o:spid="_x0000_s1028" style="position:absolute;left:13652;top:40322;width:61594;height:1270;visibility:visible;mso-wrap-style:square;v-text-anchor:top" coordsize="6159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" path="m,l61594,e" filled="f" strokeweight="1.4pt">
                  <v:path arrowok="t"/>
                </v:shape>
                <v:shape id="Graphic 268" o:spid="_x0000_s1029" style="position:absolute;left:13652;top:13652;width:1270;height:52705;visibility:visible;mso-wrap-style:square;v-text-anchor:top" coordsize="1270,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" path="m,52704l,e" filled="f" strokeweight="1.4pt">
                  <v:path arrowok="t"/>
                </v:shape>
                <v:shape id="Graphic 269" o:spid="_x0000_s1030" style="position:absolute;left:75247;top:13652;width:1270;height:52705;visibility:visible;mso-wrap-style:square;v-text-anchor:top" coordsize="1270,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" path="m,52704l,e" filled="f" strokeweight="1.4pt">
                  <v:path arrowok="t"/>
                </v:shape>
                <w10:wrap anchorx="page"/>
              </v:group>
            </w:pict>
          </mc:Fallback>
        </mc:AlternateContent>
      </w:r>
      <w:r>
        <w:rPr>
          <w:noProof/>
        </w:rPr>
        <mc:AlternateContent>
          <mc:Choice Requires="wps">
            <w:drawing>
              <wp:anchor distT="0" distB="0" distL="0" distR="0" simplePos="0" relativeHeight="15742976" behindDoc="0" locked="0" layoutInCell="1" allowOverlap="1" wp14:anchorId="1F4AAC19" wp14:editId="0EB8EFFC">
                <wp:simplePos x="0" y="0"/>
                <wp:positionH relativeFrom="page">
                  <wp:posOffset>2469514</wp:posOffset>
                </wp:positionH>
                <wp:positionV relativeFrom="paragraph">
                  <wp:posOffset>600724</wp:posOffset>
                </wp:positionV>
                <wp:extent cx="1270" cy="4558665"/>
                <wp:effectExtent l="0" t="0" r="0" b="0"/>
                <wp:wrapNone/>
                <wp:docPr id="270" name="Graphic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558665"/>
                        </a:xfrm>
                        <a:custGeom>
                          <a:avLst/>
                          <a:gdLst/>
                          <a:ahLst/>
                          <a:cxnLst/>
                          <a:rect l="l" t="t" r="r" b="b"/>
                          <a:pathLst>
                            <a:path h="4558665">
                              <a:moveTo>
                                <a:pt x="0" y="4558664"/>
                              </a:moveTo>
                              <a:lnTo>
                                <a:pt x="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7DE9D4" id="Graphic 270" o:spid="_x0000_s1026" style="position:absolute;margin-left:194.45pt;margin-top:47.3pt;width:.1pt;height:358.95pt;z-index:15742976;visibility:visible;mso-wrap-style:square;mso-wrap-distance-left:0;mso-wrap-distance-top:0;mso-wrap-distance-right:0;mso-wrap-distance-bottom:0;mso-position-horizontal:absolute;mso-position-horizontal-relative:page;mso-position-vertical:absolute;mso-position-vertical-relative:text;v-text-anchor:top" coordsize="1270,4558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" path="m,4558664l,e" filled="f">
                <v:path arrowok="t"/>
                <w10:wrap anchorx="page"/>
              </v:shape>
            </w:pict>
          </mc:Fallback>
        </mc:AlternateContent>
      </w:r>
      <w:r>
        <w:rPr>
          <w:rFonts w:ascii="Arial"/>
          <w:b/>
          <w:color w:val="0000FF"/>
          <w:spacing w:val="-2"/>
          <w:sz w:val="24"/>
        </w:rPr>
        <w:t>Intrinsic</w:t>
      </w:r>
      <w:r>
        <w:rPr>
          <w:rFonts w:ascii="Arial"/>
          <w:b/>
          <w:color w:val="0000FF"/>
          <w:sz w:val="24"/>
        </w:rPr>
        <w:tab/>
      </w:r>
      <w:r>
        <w:rPr>
          <w:rFonts w:ascii="Arial"/>
          <w:b/>
          <w:color w:val="0000FF"/>
          <w:spacing w:val="-6"/>
          <w:sz w:val="24"/>
        </w:rPr>
        <w:t>PK</w:t>
      </w:r>
      <w:r>
        <w:rPr>
          <w:rFonts w:ascii="Arial"/>
          <w:b/>
          <w:color w:val="0000FF"/>
          <w:sz w:val="24"/>
        </w:rPr>
        <w:tab/>
      </w:r>
      <w:r>
        <w:rPr>
          <w:rFonts w:ascii="Arial"/>
          <w:b/>
          <w:color w:val="0000FF"/>
          <w:sz w:val="24"/>
        </w:rPr>
        <w:t>Ratio and 90% CI</w:t>
      </w:r>
      <w:r>
        <w:rPr>
          <w:rFonts w:ascii="Arial"/>
          <w:b/>
          <w:color w:val="0000FF"/>
          <w:sz w:val="24"/>
        </w:rPr>
        <w:tab/>
      </w:r>
      <w:r>
        <w:rPr>
          <w:rFonts w:ascii="Arial"/>
          <w:b/>
          <w:color w:val="0000FF"/>
          <w:spacing w:val="-2"/>
          <w:sz w:val="24"/>
        </w:rPr>
        <w:t>Recommendation Factor</w:t>
      </w:r>
    </w:p>
    <w:p w14:paraId="0525FC63" w14:textId="77777777" w:rsidR="001825E2" w:rsidRDefault="001825E2" w:rsidP="00CB00A7">
      <w:pPr>
        <w:pStyle w:val="BodyText"/>
        <w:spacing w:before="17"/>
        <w:jc w:val="left"/>
        <w:rPr>
          <w:rFonts w:ascii="Arial"/>
          <w:b/>
          <w:sz w:val="20"/>
        </w:rPr>
      </w:pPr>
    </w:p>
    <w:p w14:paraId="1D5021F5" w14:textId="77777777" w:rsidR="001825E2" w:rsidRDefault="001825E2" w:rsidP="00CB00A7">
      <w:pPr>
        <w:rPr>
          <w:rFonts w:ascii="Arial"/>
          <w:sz w:val="20"/>
        </w:rPr>
        <w:sectPr w:rsidR="001825E2">
          <w:pgSz w:w="11910" w:h="16850"/>
          <w:pgMar w:top="1360" w:right="700" w:bottom="980" w:left="1220" w:header="0" w:footer="785" w:gutter="0"/>
          <w:cols w:space="720"/>
        </w:sectPr>
      </w:pPr>
    </w:p>
    <w:p w14:paraId="26336C21" w14:textId="77777777" w:rsidR="001825E2" w:rsidRDefault="000839A5" w:rsidP="00CB00A7">
      <w:pPr>
        <w:spacing w:before="114"/>
        <w:ind w:right="97"/>
        <w:rPr>
          <w:rFonts w:ascii="Arial"/>
          <w:sz w:val="16"/>
        </w:rPr>
      </w:pPr>
      <w:r>
        <w:rPr>
          <w:rFonts w:ascii="Arial"/>
          <w:sz w:val="16"/>
        </w:rPr>
        <w:t>Weight =</w:t>
      </w:r>
      <w:r>
        <w:rPr>
          <w:rFonts w:ascii="Arial"/>
          <w:spacing w:val="-7"/>
          <w:sz w:val="16"/>
        </w:rPr>
        <w:t xml:space="preserve"> </w:t>
      </w:r>
      <w:r>
        <w:rPr>
          <w:rFonts w:ascii="Arial"/>
          <w:sz w:val="16"/>
        </w:rPr>
        <w:t xml:space="preserve">40 </w:t>
      </w:r>
      <w:r>
        <w:rPr>
          <w:rFonts w:ascii="Arial"/>
          <w:spacing w:val="-5"/>
          <w:sz w:val="16"/>
        </w:rPr>
        <w:t>kg</w:t>
      </w:r>
    </w:p>
    <w:p w14:paraId="1DC7E357" w14:textId="77777777" w:rsidR="001825E2" w:rsidRDefault="001825E2" w:rsidP="00CB00A7">
      <w:pPr>
        <w:pStyle w:val="BodyText"/>
        <w:jc w:val="left"/>
        <w:rPr>
          <w:rFonts w:ascii="Arial"/>
          <w:sz w:val="16"/>
        </w:rPr>
      </w:pPr>
    </w:p>
    <w:p w14:paraId="186940AC" w14:textId="77777777" w:rsidR="001825E2" w:rsidRDefault="001825E2" w:rsidP="00CB00A7">
      <w:pPr>
        <w:pStyle w:val="BodyText"/>
        <w:spacing w:before="63"/>
        <w:jc w:val="left"/>
        <w:rPr>
          <w:rFonts w:ascii="Arial"/>
          <w:sz w:val="16"/>
        </w:rPr>
      </w:pPr>
    </w:p>
    <w:p w14:paraId="18E2C594" w14:textId="77777777" w:rsidR="001825E2" w:rsidRDefault="000839A5" w:rsidP="00CB00A7">
      <w:pPr>
        <w:ind w:right="38"/>
        <w:rPr>
          <w:rFonts w:ascii="Arial"/>
          <w:sz w:val="16"/>
        </w:rPr>
      </w:pPr>
      <w:r>
        <w:rPr>
          <w:rFonts w:ascii="Arial"/>
          <w:sz w:val="16"/>
        </w:rPr>
        <w:t>Weight</w:t>
      </w:r>
      <w:r>
        <w:rPr>
          <w:rFonts w:ascii="Arial"/>
          <w:spacing w:val="1"/>
          <w:sz w:val="16"/>
        </w:rPr>
        <w:t xml:space="preserve"> </w:t>
      </w:r>
      <w:r>
        <w:rPr>
          <w:rFonts w:ascii="Arial"/>
          <w:sz w:val="16"/>
        </w:rPr>
        <w:t>=</w:t>
      </w:r>
      <w:r>
        <w:rPr>
          <w:rFonts w:ascii="Arial"/>
          <w:spacing w:val="-7"/>
          <w:sz w:val="16"/>
        </w:rPr>
        <w:t xml:space="preserve"> </w:t>
      </w:r>
      <w:r>
        <w:rPr>
          <w:rFonts w:ascii="Arial"/>
          <w:sz w:val="16"/>
        </w:rPr>
        <w:t>140</w:t>
      </w:r>
      <w:r>
        <w:rPr>
          <w:rFonts w:ascii="Arial"/>
          <w:spacing w:val="-1"/>
          <w:sz w:val="16"/>
        </w:rPr>
        <w:t xml:space="preserve"> </w:t>
      </w:r>
      <w:r>
        <w:rPr>
          <w:rFonts w:ascii="Arial"/>
          <w:spacing w:val="-5"/>
          <w:sz w:val="16"/>
        </w:rPr>
        <w:t>kg</w:t>
      </w:r>
    </w:p>
    <w:p w14:paraId="4EC26FFE" w14:textId="77777777" w:rsidR="001825E2" w:rsidRDefault="001825E2" w:rsidP="00CB00A7">
      <w:pPr>
        <w:pStyle w:val="BodyText"/>
        <w:jc w:val="left"/>
        <w:rPr>
          <w:rFonts w:ascii="Arial"/>
          <w:sz w:val="16"/>
        </w:rPr>
      </w:pPr>
    </w:p>
    <w:p w14:paraId="144F4A14" w14:textId="77777777" w:rsidR="001825E2" w:rsidRDefault="001825E2" w:rsidP="00CB00A7">
      <w:pPr>
        <w:pStyle w:val="BodyText"/>
        <w:spacing w:before="18"/>
        <w:jc w:val="left"/>
        <w:rPr>
          <w:rFonts w:ascii="Arial"/>
          <w:sz w:val="16"/>
        </w:rPr>
      </w:pPr>
    </w:p>
    <w:p w14:paraId="40D99CD5" w14:textId="77777777" w:rsidR="001825E2" w:rsidRDefault="000839A5" w:rsidP="00CB00A7">
      <w:pPr>
        <w:ind w:right="92"/>
        <w:rPr>
          <w:rFonts w:ascii="Arial"/>
          <w:sz w:val="16"/>
        </w:rPr>
      </w:pPr>
      <w:r>
        <w:rPr>
          <w:rFonts w:ascii="Arial"/>
          <w:sz w:val="16"/>
        </w:rPr>
        <w:t>Age</w:t>
      </w:r>
      <w:r>
        <w:rPr>
          <w:rFonts w:ascii="Arial"/>
          <w:spacing w:val="-12"/>
          <w:sz w:val="16"/>
        </w:rPr>
        <w:t xml:space="preserve"> </w:t>
      </w:r>
      <w:r>
        <w:rPr>
          <w:rFonts w:ascii="Arial"/>
          <w:sz w:val="16"/>
        </w:rPr>
        <w:t>=</w:t>
      </w:r>
      <w:r>
        <w:rPr>
          <w:rFonts w:ascii="Arial"/>
          <w:spacing w:val="2"/>
          <w:sz w:val="16"/>
        </w:rPr>
        <w:t xml:space="preserve"> </w:t>
      </w:r>
      <w:r>
        <w:rPr>
          <w:rFonts w:ascii="Arial"/>
          <w:sz w:val="16"/>
        </w:rPr>
        <w:t>80</w:t>
      </w:r>
      <w:r>
        <w:rPr>
          <w:rFonts w:ascii="Arial"/>
          <w:spacing w:val="6"/>
          <w:sz w:val="16"/>
        </w:rPr>
        <w:t xml:space="preserve"> </w:t>
      </w:r>
      <w:r>
        <w:rPr>
          <w:rFonts w:ascii="Arial"/>
          <w:spacing w:val="-2"/>
          <w:sz w:val="16"/>
        </w:rPr>
        <w:t>years</w:t>
      </w:r>
    </w:p>
    <w:p w14:paraId="776280BA" w14:textId="77777777" w:rsidR="001825E2" w:rsidRDefault="001825E2" w:rsidP="00CB00A7">
      <w:pPr>
        <w:pStyle w:val="BodyText"/>
        <w:jc w:val="left"/>
        <w:rPr>
          <w:rFonts w:ascii="Arial"/>
          <w:sz w:val="16"/>
        </w:rPr>
      </w:pPr>
    </w:p>
    <w:p w14:paraId="18F1483F" w14:textId="77777777" w:rsidR="001825E2" w:rsidRDefault="001825E2" w:rsidP="00CB00A7">
      <w:pPr>
        <w:pStyle w:val="BodyText"/>
        <w:spacing w:before="78"/>
        <w:jc w:val="left"/>
        <w:rPr>
          <w:rFonts w:ascii="Arial"/>
          <w:sz w:val="16"/>
        </w:rPr>
      </w:pPr>
    </w:p>
    <w:p w14:paraId="7B6D6948" w14:textId="77777777" w:rsidR="001825E2" w:rsidRDefault="000839A5" w:rsidP="00CB00A7">
      <w:pPr>
        <w:ind w:right="38"/>
        <w:rPr>
          <w:rFonts w:ascii="Arial"/>
          <w:sz w:val="16"/>
        </w:rPr>
      </w:pPr>
      <w:r>
        <w:rPr>
          <w:rFonts w:ascii="Arial"/>
          <w:spacing w:val="-2"/>
          <w:w w:val="105"/>
          <w:sz w:val="16"/>
        </w:rPr>
        <w:t>Female</w:t>
      </w:r>
    </w:p>
    <w:p w14:paraId="2F6CEB8A" w14:textId="77777777" w:rsidR="001825E2" w:rsidRDefault="001825E2" w:rsidP="00CB00A7">
      <w:pPr>
        <w:pStyle w:val="BodyText"/>
        <w:jc w:val="left"/>
        <w:rPr>
          <w:rFonts w:ascii="Arial"/>
          <w:sz w:val="16"/>
        </w:rPr>
      </w:pPr>
    </w:p>
    <w:p w14:paraId="0094D4B2" w14:textId="77777777" w:rsidR="001825E2" w:rsidRDefault="001825E2" w:rsidP="00CB00A7">
      <w:pPr>
        <w:pStyle w:val="BodyText"/>
        <w:spacing w:before="18"/>
        <w:jc w:val="left"/>
        <w:rPr>
          <w:rFonts w:ascii="Arial"/>
          <w:sz w:val="16"/>
        </w:rPr>
      </w:pPr>
    </w:p>
    <w:p w14:paraId="68B04FAF" w14:textId="77777777" w:rsidR="001825E2" w:rsidRDefault="000839A5" w:rsidP="00CB00A7">
      <w:pPr>
        <w:ind w:right="142"/>
        <w:rPr>
          <w:rFonts w:ascii="Arial"/>
          <w:sz w:val="16"/>
        </w:rPr>
      </w:pPr>
      <w:r>
        <w:rPr>
          <w:rFonts w:ascii="Arial"/>
          <w:spacing w:val="-4"/>
          <w:w w:val="105"/>
          <w:sz w:val="16"/>
        </w:rPr>
        <w:t>Asian</w:t>
      </w:r>
    </w:p>
    <w:p w14:paraId="4EEDCE0E" w14:textId="77777777" w:rsidR="001825E2" w:rsidRDefault="001825E2" w:rsidP="00CB00A7">
      <w:pPr>
        <w:pStyle w:val="BodyText"/>
        <w:jc w:val="left"/>
        <w:rPr>
          <w:rFonts w:ascii="Arial"/>
          <w:sz w:val="16"/>
        </w:rPr>
      </w:pPr>
    </w:p>
    <w:p w14:paraId="1406E075" w14:textId="77777777" w:rsidR="001825E2" w:rsidRDefault="001825E2" w:rsidP="00CB00A7">
      <w:pPr>
        <w:pStyle w:val="BodyText"/>
        <w:spacing w:before="48"/>
        <w:jc w:val="left"/>
        <w:rPr>
          <w:rFonts w:ascii="Arial"/>
          <w:sz w:val="16"/>
        </w:rPr>
      </w:pPr>
    </w:p>
    <w:p w14:paraId="66DD9529" w14:textId="77777777" w:rsidR="001825E2" w:rsidRDefault="000839A5" w:rsidP="00CB00A7">
      <w:pPr>
        <w:ind w:right="174"/>
        <w:rPr>
          <w:rFonts w:ascii="Arial"/>
          <w:sz w:val="16"/>
        </w:rPr>
      </w:pPr>
      <w:r>
        <w:rPr>
          <w:rFonts w:ascii="Arial"/>
          <w:spacing w:val="-2"/>
          <w:w w:val="105"/>
          <w:sz w:val="16"/>
        </w:rPr>
        <w:t>Black</w:t>
      </w:r>
    </w:p>
    <w:p w14:paraId="5DB0299F" w14:textId="77777777" w:rsidR="001825E2" w:rsidRDefault="001825E2" w:rsidP="00CB00A7">
      <w:pPr>
        <w:pStyle w:val="BodyText"/>
        <w:jc w:val="left"/>
        <w:rPr>
          <w:rFonts w:ascii="Arial"/>
          <w:sz w:val="16"/>
        </w:rPr>
      </w:pPr>
    </w:p>
    <w:p w14:paraId="4A39AFE6" w14:textId="77777777" w:rsidR="001825E2" w:rsidRDefault="001825E2" w:rsidP="00CB00A7">
      <w:pPr>
        <w:pStyle w:val="BodyText"/>
        <w:spacing w:before="48"/>
        <w:jc w:val="left"/>
        <w:rPr>
          <w:rFonts w:ascii="Arial"/>
          <w:sz w:val="16"/>
        </w:rPr>
      </w:pPr>
    </w:p>
    <w:p w14:paraId="221DDD0E" w14:textId="77777777" w:rsidR="001825E2" w:rsidRDefault="000839A5" w:rsidP="00CB00A7">
      <w:pPr>
        <w:ind w:right="62"/>
        <w:rPr>
          <w:rFonts w:ascii="Arial"/>
          <w:sz w:val="16"/>
        </w:rPr>
      </w:pPr>
      <w:r>
        <w:rPr>
          <w:rFonts w:ascii="Arial"/>
          <w:spacing w:val="-2"/>
          <w:w w:val="105"/>
          <w:sz w:val="16"/>
        </w:rPr>
        <w:t>Hispanic</w:t>
      </w:r>
    </w:p>
    <w:p w14:paraId="6EB61509" w14:textId="77777777" w:rsidR="001825E2" w:rsidRDefault="001825E2" w:rsidP="00CB00A7">
      <w:pPr>
        <w:pStyle w:val="BodyText"/>
        <w:jc w:val="left"/>
        <w:rPr>
          <w:rFonts w:ascii="Arial"/>
          <w:sz w:val="16"/>
        </w:rPr>
      </w:pPr>
    </w:p>
    <w:p w14:paraId="5A51E7E3" w14:textId="77777777" w:rsidR="001825E2" w:rsidRDefault="001825E2" w:rsidP="00CB00A7">
      <w:pPr>
        <w:pStyle w:val="BodyText"/>
        <w:spacing w:before="48"/>
        <w:jc w:val="left"/>
        <w:rPr>
          <w:rFonts w:ascii="Arial"/>
          <w:sz w:val="16"/>
        </w:rPr>
      </w:pPr>
    </w:p>
    <w:p w14:paraId="1339E5C8" w14:textId="77777777" w:rsidR="001825E2" w:rsidRDefault="000839A5" w:rsidP="00CB00A7">
      <w:pPr>
        <w:spacing w:line="182" w:lineRule="exact"/>
        <w:ind w:right="70"/>
        <w:rPr>
          <w:rFonts w:ascii="Arial"/>
          <w:sz w:val="16"/>
        </w:rPr>
      </w:pPr>
      <w:r>
        <w:rPr>
          <w:rFonts w:ascii="Arial"/>
          <w:sz w:val="16"/>
        </w:rPr>
        <w:t>Ren</w:t>
      </w:r>
      <w:r>
        <w:rPr>
          <w:rFonts w:ascii="Arial"/>
          <w:spacing w:val="-30"/>
          <w:sz w:val="16"/>
        </w:rPr>
        <w:t xml:space="preserve"> </w:t>
      </w:r>
      <w:r>
        <w:rPr>
          <w:rFonts w:ascii="Arial"/>
          <w:sz w:val="16"/>
        </w:rPr>
        <w:t>al</w:t>
      </w:r>
      <w:r>
        <w:rPr>
          <w:rFonts w:ascii="Arial"/>
          <w:spacing w:val="-1"/>
          <w:sz w:val="16"/>
        </w:rPr>
        <w:t xml:space="preserve"> </w:t>
      </w:r>
      <w:r>
        <w:rPr>
          <w:rFonts w:ascii="Arial"/>
          <w:spacing w:val="-2"/>
          <w:sz w:val="16"/>
        </w:rPr>
        <w:t>Impairment</w:t>
      </w:r>
    </w:p>
    <w:p w14:paraId="2F30D5DE" w14:textId="77777777" w:rsidR="001825E2" w:rsidRDefault="000839A5" w:rsidP="00CB00A7">
      <w:pPr>
        <w:spacing w:line="182" w:lineRule="exact"/>
        <w:ind w:right="74"/>
        <w:rPr>
          <w:rFonts w:ascii="Arial"/>
          <w:sz w:val="16"/>
        </w:rPr>
      </w:pPr>
      <w:r>
        <w:rPr>
          <w:rFonts w:ascii="Arial"/>
          <w:spacing w:val="-2"/>
          <w:w w:val="105"/>
          <w:sz w:val="16"/>
        </w:rPr>
        <w:t>(Mild)</w:t>
      </w:r>
    </w:p>
    <w:p w14:paraId="7F895F91" w14:textId="77777777" w:rsidR="001825E2" w:rsidRDefault="001825E2" w:rsidP="00CB00A7">
      <w:pPr>
        <w:pStyle w:val="BodyText"/>
        <w:spacing w:before="52"/>
        <w:jc w:val="left"/>
        <w:rPr>
          <w:rFonts w:ascii="Arial"/>
          <w:sz w:val="16"/>
        </w:rPr>
      </w:pPr>
    </w:p>
    <w:p w14:paraId="5424272D" w14:textId="77777777" w:rsidR="001825E2" w:rsidRDefault="000839A5" w:rsidP="00CB00A7">
      <w:pPr>
        <w:spacing w:before="1"/>
        <w:ind w:right="70"/>
        <w:rPr>
          <w:rFonts w:ascii="Arial"/>
          <w:sz w:val="16"/>
        </w:rPr>
      </w:pPr>
      <w:r>
        <w:rPr>
          <w:rFonts w:ascii="Arial"/>
          <w:sz w:val="16"/>
        </w:rPr>
        <w:t>Ren</w:t>
      </w:r>
      <w:r>
        <w:rPr>
          <w:rFonts w:ascii="Arial"/>
          <w:spacing w:val="-30"/>
          <w:sz w:val="16"/>
        </w:rPr>
        <w:t xml:space="preserve"> </w:t>
      </w:r>
      <w:r>
        <w:rPr>
          <w:rFonts w:ascii="Arial"/>
          <w:sz w:val="16"/>
        </w:rPr>
        <w:t>al</w:t>
      </w:r>
      <w:r>
        <w:rPr>
          <w:rFonts w:ascii="Arial"/>
          <w:spacing w:val="-1"/>
          <w:sz w:val="16"/>
        </w:rPr>
        <w:t xml:space="preserve"> </w:t>
      </w:r>
      <w:r>
        <w:rPr>
          <w:rFonts w:ascii="Arial"/>
          <w:spacing w:val="-2"/>
          <w:sz w:val="16"/>
        </w:rPr>
        <w:t>Impairment</w:t>
      </w:r>
    </w:p>
    <w:p w14:paraId="09FFB999" w14:textId="77777777" w:rsidR="001825E2" w:rsidRDefault="000839A5" w:rsidP="00CB00A7">
      <w:pPr>
        <w:spacing w:before="11"/>
        <w:ind w:right="59"/>
        <w:rPr>
          <w:rFonts w:ascii="Arial"/>
          <w:sz w:val="16"/>
        </w:rPr>
      </w:pPr>
      <w:r>
        <w:rPr>
          <w:noProof/>
        </w:rPr>
        <mc:AlternateContent>
          <mc:Choice Requires="wpg">
            <w:drawing>
              <wp:anchor distT="0" distB="0" distL="0" distR="0" simplePos="0" relativeHeight="15741440" behindDoc="0" locked="0" layoutInCell="1" allowOverlap="1" wp14:anchorId="67DB5329" wp14:editId="64124A12">
                <wp:simplePos x="0" y="0"/>
                <wp:positionH relativeFrom="page">
                  <wp:posOffset>3609340</wp:posOffset>
                </wp:positionH>
                <wp:positionV relativeFrom="paragraph">
                  <wp:posOffset>256797</wp:posOffset>
                </wp:positionV>
                <wp:extent cx="1440180" cy="76200"/>
                <wp:effectExtent l="0" t="0" r="0" b="0"/>
                <wp:wrapNone/>
                <wp:docPr id="271"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0180" cy="76200"/>
                          <a:chOff x="0" y="0"/>
                          <a:chExt cx="1440180" cy="76200"/>
                        </a:xfrm>
                      </wpg:grpSpPr>
                      <pic:pic xmlns:pic="http://schemas.openxmlformats.org/drawingml/2006/picture">
                        <pic:nvPicPr>
                          <pic:cNvPr id="272" name="Image 272"/>
                          <pic:cNvPicPr/>
                        </pic:nvPicPr>
                        <pic:blipFill>
                          <a:blip r:embed="rId54" cstate="print"/>
                          <a:stretch>
                            <a:fillRect/>
                          </a:stretch>
                        </pic:blipFill>
                        <pic:spPr>
                          <a:xfrm>
                            <a:off x="525462" y="0"/>
                            <a:ext cx="75234" cy="75882"/>
                          </a:xfrm>
                          <a:prstGeom prst="rect">
                            <a:avLst/>
                          </a:prstGeom>
                        </pic:spPr>
                      </pic:pic>
                      <wps:wsp>
                        <wps:cNvPr id="273" name="Graphic 273"/>
                        <wps:cNvSpPr/>
                        <wps:spPr>
                          <a:xfrm>
                            <a:off x="8889" y="40322"/>
                            <a:ext cx="1422400" cy="1270"/>
                          </a:xfrm>
                          <a:custGeom>
                            <a:avLst/>
                            <a:gdLst/>
                            <a:ahLst/>
                            <a:cxnLst/>
                            <a:rect l="l" t="t" r="r" b="b"/>
                            <a:pathLst>
                              <a:path w="1422400">
                                <a:moveTo>
                                  <a:pt x="0" y="0"/>
                                </a:moveTo>
                                <a:lnTo>
                                  <a:pt x="1422400" y="0"/>
                                </a:lnTo>
                              </a:path>
                            </a:pathLst>
                          </a:custGeom>
                          <a:ln w="17780">
                            <a:solidFill>
                              <a:srgbClr val="000000"/>
                            </a:solidFill>
                            <a:prstDash val="solid"/>
                          </a:ln>
                        </wps:spPr>
                        <wps:bodyPr wrap="square" lIns="0" tIns="0" rIns="0" bIns="0" rtlCol="0">
                          <a:prstTxWarp prst="textNoShape">
                            <a:avLst/>
                          </a:prstTxWarp>
                          <a:noAutofit/>
                        </wps:bodyPr>
                      </wps:wsp>
                      <wps:wsp>
                        <wps:cNvPr id="274" name="Graphic 274"/>
                        <wps:cNvSpPr/>
                        <wps:spPr>
                          <a:xfrm>
                            <a:off x="8889" y="13652"/>
                            <a:ext cx="1270" cy="53340"/>
                          </a:xfrm>
                          <a:custGeom>
                            <a:avLst/>
                            <a:gdLst/>
                            <a:ahLst/>
                            <a:cxnLst/>
                            <a:rect l="l" t="t" r="r" b="b"/>
                            <a:pathLst>
                              <a:path h="53340">
                                <a:moveTo>
                                  <a:pt x="0" y="53339"/>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275" name="Graphic 275"/>
                        <wps:cNvSpPr/>
                        <wps:spPr>
                          <a:xfrm>
                            <a:off x="1431289" y="13652"/>
                            <a:ext cx="1270" cy="53340"/>
                          </a:xfrm>
                          <a:custGeom>
                            <a:avLst/>
                            <a:gdLst/>
                            <a:ahLst/>
                            <a:cxnLst/>
                            <a:rect l="l" t="t" r="r" b="b"/>
                            <a:pathLst>
                              <a:path h="53340">
                                <a:moveTo>
                                  <a:pt x="0" y="53339"/>
                                </a:moveTo>
                                <a:lnTo>
                                  <a:pt x="0" y="0"/>
                                </a:lnTo>
                              </a:path>
                            </a:pathLst>
                          </a:custGeom>
                          <a:ln w="1778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61C32E3" id="Group 271" o:spid="_x0000_s1026" style="position:absolute;margin-left:284.2pt;margin-top:20.2pt;width:113.4pt;height:6pt;z-index:15741440;mso-wrap-distance-left:0;mso-wrap-distance-right:0;mso-position-horizontal-relative:page" coordsize="14401,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">
                <v:shape id="Image 272" o:spid="_x0000_s1027" type="#_x0000_t75" style="position:absolute;left:5254;width:752;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">
                  <v:imagedata r:id="rId55" o:title=""/>
                </v:shape>
                <v:shape id="Graphic 273" o:spid="_x0000_s1028" style="position:absolute;left:88;top:403;width:14224;height:12;visibility:visible;mso-wrap-style:square;v-text-anchor:top" coordsize="1422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" path="m,l1422400,e" filled="f" strokeweight="1.4pt">
                  <v:path arrowok="t"/>
                </v:shape>
                <v:shape id="Graphic 274" o:spid="_x0000_s1029" style="position:absolute;left:88;top:136;width:13;height:533;visibility:visible;mso-wrap-style:square;v-text-anchor:top" coordsize="127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" path="m,53339l,e" filled="f" strokeweight="1.4pt">
                  <v:path arrowok="t"/>
                </v:shape>
                <v:shape id="Graphic 275" o:spid="_x0000_s1030" style="position:absolute;left:14312;top:136;width:13;height:533;visibility:visible;mso-wrap-style:square;v-text-anchor:top" coordsize="127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" path="m,53339l,e" filled="f" strokeweight="1.4pt">
                  <v:path arrowok="t"/>
                </v:shape>
                <w10:wrap anchorx="page"/>
              </v:group>
            </w:pict>
          </mc:Fallback>
        </mc:AlternateContent>
      </w:r>
      <w:r>
        <w:rPr>
          <w:rFonts w:ascii="Arial"/>
          <w:spacing w:val="-2"/>
          <w:w w:val="105"/>
          <w:sz w:val="16"/>
        </w:rPr>
        <w:t>(Moderate)</w:t>
      </w:r>
    </w:p>
    <w:p w14:paraId="327FEAAA" w14:textId="77777777" w:rsidR="001825E2" w:rsidRDefault="000839A5" w:rsidP="00CB00A7">
      <w:pPr>
        <w:spacing w:before="99" w:line="174" w:lineRule="exact"/>
        <w:ind w:left="340"/>
        <w:rPr>
          <w:rFonts w:ascii="Arial"/>
          <w:b/>
          <w:sz w:val="16"/>
        </w:rPr>
      </w:pPr>
      <w:r>
        <w:br w:type="column"/>
      </w:r>
      <w:r>
        <w:rPr>
          <w:rFonts w:ascii="Arial"/>
          <w:b/>
          <w:spacing w:val="-5"/>
          <w:w w:val="105"/>
          <w:sz w:val="16"/>
        </w:rPr>
        <w:t>AUC</w:t>
      </w:r>
    </w:p>
    <w:p w14:paraId="705A4B8E" w14:textId="77777777" w:rsidR="001825E2" w:rsidRDefault="000839A5" w:rsidP="00CB00A7">
      <w:pPr>
        <w:spacing w:line="174" w:lineRule="exact"/>
        <w:ind w:left="235"/>
        <w:rPr>
          <w:rFonts w:ascii="Arial"/>
          <w:b/>
          <w:sz w:val="16"/>
        </w:rPr>
      </w:pPr>
      <w:proofErr w:type="spellStart"/>
      <w:r>
        <w:rPr>
          <w:rFonts w:ascii="Arial"/>
          <w:b/>
          <w:spacing w:val="-4"/>
          <w:w w:val="105"/>
          <w:sz w:val="16"/>
        </w:rPr>
        <w:t>Cmax</w:t>
      </w:r>
      <w:proofErr w:type="spellEnd"/>
    </w:p>
    <w:p w14:paraId="53117195" w14:textId="77777777" w:rsidR="001825E2" w:rsidRDefault="001825E2" w:rsidP="00CB00A7">
      <w:pPr>
        <w:pStyle w:val="BodyText"/>
        <w:spacing w:before="52"/>
        <w:jc w:val="left"/>
        <w:rPr>
          <w:rFonts w:ascii="Arial"/>
          <w:b/>
          <w:sz w:val="16"/>
        </w:rPr>
      </w:pPr>
    </w:p>
    <w:p w14:paraId="5F3F49A7" w14:textId="77777777" w:rsidR="001825E2" w:rsidRDefault="000839A5" w:rsidP="00CB00A7">
      <w:pPr>
        <w:spacing w:line="182" w:lineRule="exact"/>
        <w:ind w:left="340"/>
        <w:rPr>
          <w:rFonts w:ascii="Arial"/>
          <w:b/>
          <w:sz w:val="16"/>
        </w:rPr>
      </w:pPr>
      <w:r>
        <w:rPr>
          <w:rFonts w:ascii="Arial"/>
          <w:b/>
          <w:spacing w:val="-5"/>
          <w:w w:val="105"/>
          <w:sz w:val="16"/>
        </w:rPr>
        <w:t>AUC</w:t>
      </w:r>
    </w:p>
    <w:p w14:paraId="19F9746C" w14:textId="77777777" w:rsidR="001825E2" w:rsidRDefault="000839A5" w:rsidP="00CB00A7">
      <w:pPr>
        <w:spacing w:line="182" w:lineRule="exact"/>
        <w:ind w:left="235"/>
        <w:rPr>
          <w:rFonts w:ascii="Arial"/>
          <w:b/>
          <w:sz w:val="16"/>
        </w:rPr>
      </w:pPr>
      <w:proofErr w:type="spellStart"/>
      <w:r>
        <w:rPr>
          <w:rFonts w:ascii="Arial"/>
          <w:b/>
          <w:spacing w:val="-4"/>
          <w:w w:val="105"/>
          <w:sz w:val="16"/>
        </w:rPr>
        <w:t>Cmax</w:t>
      </w:r>
      <w:proofErr w:type="spellEnd"/>
    </w:p>
    <w:p w14:paraId="11F4042A" w14:textId="77777777" w:rsidR="001825E2" w:rsidRDefault="001825E2" w:rsidP="00CB00A7">
      <w:pPr>
        <w:pStyle w:val="BodyText"/>
        <w:spacing w:before="82"/>
        <w:jc w:val="left"/>
        <w:rPr>
          <w:rFonts w:ascii="Arial"/>
          <w:b/>
          <w:sz w:val="16"/>
        </w:rPr>
      </w:pPr>
    </w:p>
    <w:p w14:paraId="59508A2F" w14:textId="77777777" w:rsidR="001825E2" w:rsidRDefault="000839A5" w:rsidP="00CB00A7">
      <w:pPr>
        <w:spacing w:line="182" w:lineRule="exact"/>
        <w:ind w:left="340"/>
        <w:rPr>
          <w:rFonts w:ascii="Arial"/>
          <w:b/>
          <w:sz w:val="16"/>
        </w:rPr>
      </w:pPr>
      <w:r>
        <w:rPr>
          <w:rFonts w:ascii="Arial"/>
          <w:b/>
          <w:spacing w:val="-5"/>
          <w:w w:val="105"/>
          <w:sz w:val="16"/>
        </w:rPr>
        <w:t>AUC</w:t>
      </w:r>
    </w:p>
    <w:p w14:paraId="01D21F7E" w14:textId="77777777" w:rsidR="001825E2" w:rsidRDefault="000839A5" w:rsidP="00CB00A7">
      <w:pPr>
        <w:spacing w:line="182" w:lineRule="exact"/>
        <w:ind w:left="220"/>
        <w:rPr>
          <w:rFonts w:ascii="Arial"/>
          <w:b/>
          <w:sz w:val="16"/>
        </w:rPr>
      </w:pPr>
      <w:proofErr w:type="spellStart"/>
      <w:r>
        <w:rPr>
          <w:rFonts w:ascii="Arial"/>
          <w:b/>
          <w:spacing w:val="-4"/>
          <w:w w:val="105"/>
          <w:sz w:val="16"/>
        </w:rPr>
        <w:t>Cmax</w:t>
      </w:r>
      <w:proofErr w:type="spellEnd"/>
    </w:p>
    <w:p w14:paraId="750EE642" w14:textId="77777777" w:rsidR="001825E2" w:rsidRDefault="001825E2" w:rsidP="00CB00A7">
      <w:pPr>
        <w:pStyle w:val="BodyText"/>
        <w:spacing w:before="67"/>
        <w:jc w:val="left"/>
        <w:rPr>
          <w:rFonts w:ascii="Arial"/>
          <w:b/>
          <w:sz w:val="16"/>
        </w:rPr>
      </w:pPr>
    </w:p>
    <w:p w14:paraId="57A468BD" w14:textId="77777777" w:rsidR="001825E2" w:rsidRDefault="000839A5" w:rsidP="00CB00A7">
      <w:pPr>
        <w:spacing w:line="174" w:lineRule="exact"/>
        <w:ind w:left="325"/>
        <w:rPr>
          <w:rFonts w:ascii="Arial"/>
          <w:b/>
          <w:sz w:val="16"/>
        </w:rPr>
      </w:pPr>
      <w:r>
        <w:rPr>
          <w:rFonts w:ascii="Arial"/>
          <w:b/>
          <w:spacing w:val="-5"/>
          <w:w w:val="105"/>
          <w:sz w:val="16"/>
        </w:rPr>
        <w:t>AUC</w:t>
      </w:r>
    </w:p>
    <w:p w14:paraId="595307AE" w14:textId="77777777" w:rsidR="001825E2" w:rsidRDefault="000839A5" w:rsidP="00CB00A7">
      <w:pPr>
        <w:spacing w:line="174" w:lineRule="exact"/>
        <w:ind w:left="235"/>
        <w:rPr>
          <w:rFonts w:ascii="Arial"/>
          <w:b/>
          <w:sz w:val="16"/>
        </w:rPr>
      </w:pPr>
      <w:proofErr w:type="spellStart"/>
      <w:r>
        <w:rPr>
          <w:rFonts w:ascii="Arial"/>
          <w:b/>
          <w:spacing w:val="-4"/>
          <w:w w:val="105"/>
          <w:sz w:val="16"/>
        </w:rPr>
        <w:t>Cmax</w:t>
      </w:r>
      <w:proofErr w:type="spellEnd"/>
    </w:p>
    <w:p w14:paraId="615A8310" w14:textId="77777777" w:rsidR="001825E2" w:rsidRDefault="001825E2" w:rsidP="00CB00A7">
      <w:pPr>
        <w:pStyle w:val="BodyText"/>
        <w:spacing w:before="22"/>
        <w:jc w:val="left"/>
        <w:rPr>
          <w:rFonts w:ascii="Arial"/>
          <w:b/>
          <w:sz w:val="16"/>
        </w:rPr>
      </w:pPr>
    </w:p>
    <w:p w14:paraId="6862E962" w14:textId="77777777" w:rsidR="001825E2" w:rsidRDefault="000839A5" w:rsidP="00CB00A7">
      <w:pPr>
        <w:spacing w:line="182" w:lineRule="exact"/>
        <w:ind w:left="310"/>
        <w:rPr>
          <w:rFonts w:ascii="Arial"/>
          <w:b/>
          <w:sz w:val="16"/>
        </w:rPr>
      </w:pPr>
      <w:r>
        <w:rPr>
          <w:rFonts w:ascii="Arial"/>
          <w:b/>
          <w:spacing w:val="-5"/>
          <w:w w:val="105"/>
          <w:sz w:val="16"/>
        </w:rPr>
        <w:t>AUC</w:t>
      </w:r>
    </w:p>
    <w:p w14:paraId="35A03602" w14:textId="77777777" w:rsidR="001825E2" w:rsidRDefault="000839A5" w:rsidP="00CB00A7">
      <w:pPr>
        <w:spacing w:line="182" w:lineRule="exact"/>
        <w:ind w:left="220"/>
        <w:rPr>
          <w:rFonts w:ascii="Arial"/>
          <w:b/>
          <w:sz w:val="16"/>
        </w:rPr>
      </w:pPr>
      <w:proofErr w:type="spellStart"/>
      <w:r>
        <w:rPr>
          <w:rFonts w:ascii="Arial"/>
          <w:b/>
          <w:spacing w:val="-4"/>
          <w:w w:val="105"/>
          <w:sz w:val="16"/>
        </w:rPr>
        <w:t>Cmax</w:t>
      </w:r>
      <w:proofErr w:type="spellEnd"/>
    </w:p>
    <w:p w14:paraId="5E44C9A9" w14:textId="77777777" w:rsidR="001825E2" w:rsidRDefault="001825E2" w:rsidP="00CB00A7">
      <w:pPr>
        <w:pStyle w:val="BodyText"/>
        <w:spacing w:before="52"/>
        <w:jc w:val="left"/>
        <w:rPr>
          <w:rFonts w:ascii="Arial"/>
          <w:b/>
          <w:sz w:val="16"/>
        </w:rPr>
      </w:pPr>
    </w:p>
    <w:p w14:paraId="0FF9378F" w14:textId="77777777" w:rsidR="001825E2" w:rsidRDefault="000839A5" w:rsidP="00CB00A7">
      <w:pPr>
        <w:spacing w:line="182" w:lineRule="exact"/>
        <w:ind w:left="325"/>
        <w:rPr>
          <w:rFonts w:ascii="Arial"/>
          <w:b/>
          <w:sz w:val="16"/>
        </w:rPr>
      </w:pPr>
      <w:r>
        <w:rPr>
          <w:rFonts w:ascii="Arial"/>
          <w:b/>
          <w:spacing w:val="-5"/>
          <w:w w:val="105"/>
          <w:sz w:val="16"/>
        </w:rPr>
        <w:t>AUC</w:t>
      </w:r>
    </w:p>
    <w:p w14:paraId="66D51049" w14:textId="77777777" w:rsidR="001825E2" w:rsidRDefault="000839A5" w:rsidP="00CB00A7">
      <w:pPr>
        <w:spacing w:line="182" w:lineRule="exact"/>
        <w:ind w:left="235"/>
        <w:rPr>
          <w:rFonts w:ascii="Arial"/>
          <w:b/>
          <w:sz w:val="16"/>
        </w:rPr>
      </w:pPr>
      <w:proofErr w:type="spellStart"/>
      <w:r>
        <w:rPr>
          <w:rFonts w:ascii="Arial"/>
          <w:b/>
          <w:spacing w:val="-4"/>
          <w:w w:val="105"/>
          <w:sz w:val="16"/>
        </w:rPr>
        <w:t>Cmax</w:t>
      </w:r>
      <w:proofErr w:type="spellEnd"/>
    </w:p>
    <w:p w14:paraId="16DEA839" w14:textId="77777777" w:rsidR="001825E2" w:rsidRDefault="001825E2" w:rsidP="00CB00A7">
      <w:pPr>
        <w:pStyle w:val="BodyText"/>
        <w:spacing w:before="52"/>
        <w:jc w:val="left"/>
        <w:rPr>
          <w:rFonts w:ascii="Arial"/>
          <w:b/>
          <w:sz w:val="16"/>
        </w:rPr>
      </w:pPr>
    </w:p>
    <w:p w14:paraId="76E8552A" w14:textId="77777777" w:rsidR="001825E2" w:rsidRDefault="000839A5" w:rsidP="00CB00A7">
      <w:pPr>
        <w:spacing w:line="182" w:lineRule="exact"/>
        <w:ind w:left="325"/>
        <w:rPr>
          <w:rFonts w:ascii="Arial"/>
          <w:b/>
          <w:sz w:val="16"/>
        </w:rPr>
      </w:pPr>
      <w:r>
        <w:rPr>
          <w:rFonts w:ascii="Arial"/>
          <w:b/>
          <w:spacing w:val="-5"/>
          <w:w w:val="105"/>
          <w:sz w:val="16"/>
        </w:rPr>
        <w:t>AUC</w:t>
      </w:r>
    </w:p>
    <w:p w14:paraId="4A1830E1" w14:textId="77777777" w:rsidR="001825E2" w:rsidRDefault="000839A5" w:rsidP="00CB00A7">
      <w:pPr>
        <w:spacing w:line="182" w:lineRule="exact"/>
        <w:ind w:left="235"/>
        <w:rPr>
          <w:rFonts w:ascii="Arial"/>
          <w:b/>
          <w:sz w:val="16"/>
        </w:rPr>
      </w:pPr>
      <w:proofErr w:type="spellStart"/>
      <w:r>
        <w:rPr>
          <w:rFonts w:ascii="Arial"/>
          <w:b/>
          <w:spacing w:val="-4"/>
          <w:w w:val="105"/>
          <w:sz w:val="16"/>
        </w:rPr>
        <w:t>Cmax</w:t>
      </w:r>
      <w:proofErr w:type="spellEnd"/>
    </w:p>
    <w:p w14:paraId="1D181510" w14:textId="77777777" w:rsidR="001825E2" w:rsidRDefault="001825E2" w:rsidP="00CB00A7">
      <w:pPr>
        <w:pStyle w:val="BodyText"/>
        <w:spacing w:before="37"/>
        <w:jc w:val="left"/>
        <w:rPr>
          <w:rFonts w:ascii="Arial"/>
          <w:b/>
          <w:sz w:val="16"/>
        </w:rPr>
      </w:pPr>
    </w:p>
    <w:p w14:paraId="3FECBAD0" w14:textId="77777777" w:rsidR="001825E2" w:rsidRDefault="000839A5" w:rsidP="00CB00A7">
      <w:pPr>
        <w:spacing w:line="182" w:lineRule="exact"/>
        <w:ind w:left="325"/>
        <w:rPr>
          <w:rFonts w:ascii="Arial"/>
          <w:b/>
          <w:sz w:val="16"/>
        </w:rPr>
      </w:pPr>
      <w:r>
        <w:rPr>
          <w:rFonts w:ascii="Arial"/>
          <w:b/>
          <w:spacing w:val="-5"/>
          <w:w w:val="105"/>
          <w:sz w:val="16"/>
        </w:rPr>
        <w:t>AUC</w:t>
      </w:r>
    </w:p>
    <w:p w14:paraId="77C799A5" w14:textId="77777777" w:rsidR="001825E2" w:rsidRDefault="000839A5" w:rsidP="00CB00A7">
      <w:pPr>
        <w:spacing w:line="182" w:lineRule="exact"/>
        <w:ind w:left="235"/>
        <w:rPr>
          <w:rFonts w:ascii="Arial"/>
          <w:b/>
          <w:sz w:val="16"/>
        </w:rPr>
      </w:pPr>
      <w:proofErr w:type="spellStart"/>
      <w:r>
        <w:rPr>
          <w:rFonts w:ascii="Arial"/>
          <w:b/>
          <w:spacing w:val="-4"/>
          <w:w w:val="105"/>
          <w:sz w:val="16"/>
        </w:rPr>
        <w:t>Cmax</w:t>
      </w:r>
      <w:proofErr w:type="spellEnd"/>
    </w:p>
    <w:p w14:paraId="3F5E5836" w14:textId="77777777" w:rsidR="001825E2" w:rsidRDefault="001825E2" w:rsidP="00CB00A7">
      <w:pPr>
        <w:pStyle w:val="BodyText"/>
        <w:spacing w:before="52"/>
        <w:jc w:val="left"/>
        <w:rPr>
          <w:rFonts w:ascii="Arial"/>
          <w:b/>
          <w:sz w:val="16"/>
        </w:rPr>
      </w:pPr>
    </w:p>
    <w:p w14:paraId="216AE078" w14:textId="77777777" w:rsidR="001825E2" w:rsidRDefault="000839A5" w:rsidP="00CB00A7">
      <w:pPr>
        <w:spacing w:line="174" w:lineRule="exact"/>
        <w:ind w:left="295"/>
        <w:rPr>
          <w:rFonts w:ascii="Arial"/>
          <w:b/>
          <w:sz w:val="16"/>
        </w:rPr>
      </w:pPr>
      <w:r>
        <w:rPr>
          <w:rFonts w:ascii="Arial"/>
          <w:b/>
          <w:spacing w:val="-5"/>
          <w:w w:val="105"/>
          <w:sz w:val="16"/>
        </w:rPr>
        <w:t>AUC</w:t>
      </w:r>
    </w:p>
    <w:p w14:paraId="1C320EB3" w14:textId="77777777" w:rsidR="001825E2" w:rsidRDefault="000839A5" w:rsidP="00CB00A7">
      <w:pPr>
        <w:spacing w:line="174" w:lineRule="exact"/>
        <w:ind w:left="220"/>
        <w:rPr>
          <w:rFonts w:ascii="Arial"/>
          <w:b/>
          <w:sz w:val="16"/>
        </w:rPr>
      </w:pPr>
      <w:proofErr w:type="spellStart"/>
      <w:r>
        <w:rPr>
          <w:rFonts w:ascii="Arial"/>
          <w:b/>
          <w:spacing w:val="-4"/>
          <w:w w:val="105"/>
          <w:sz w:val="16"/>
        </w:rPr>
        <w:t>Cmax</w:t>
      </w:r>
      <w:proofErr w:type="spellEnd"/>
    </w:p>
    <w:p w14:paraId="476A97DB" w14:textId="77777777" w:rsidR="001825E2" w:rsidRDefault="000839A5" w:rsidP="00CB00A7">
      <w:pPr>
        <w:spacing w:before="114"/>
        <w:ind w:left="220"/>
        <w:rPr>
          <w:rFonts w:ascii="Arial"/>
          <w:sz w:val="16"/>
        </w:rPr>
      </w:pPr>
      <w:r>
        <w:br w:type="column"/>
      </w:r>
      <w:r>
        <w:rPr>
          <w:rFonts w:ascii="Arial"/>
          <w:sz w:val="16"/>
        </w:rPr>
        <w:t>No</w:t>
      </w:r>
      <w:r>
        <w:rPr>
          <w:rFonts w:ascii="Arial"/>
          <w:spacing w:val="20"/>
          <w:sz w:val="16"/>
        </w:rPr>
        <w:t xml:space="preserve"> </w:t>
      </w:r>
      <w:r>
        <w:rPr>
          <w:rFonts w:ascii="Arial"/>
          <w:sz w:val="16"/>
        </w:rPr>
        <w:t>Dose</w:t>
      </w:r>
      <w:r>
        <w:rPr>
          <w:rFonts w:ascii="Arial"/>
          <w:spacing w:val="-2"/>
          <w:sz w:val="16"/>
        </w:rPr>
        <w:t xml:space="preserve"> Adjustment</w:t>
      </w:r>
    </w:p>
    <w:p w14:paraId="5F509A8D" w14:textId="77777777" w:rsidR="001825E2" w:rsidRDefault="001825E2" w:rsidP="00CB00A7">
      <w:pPr>
        <w:pStyle w:val="BodyText"/>
        <w:jc w:val="left"/>
        <w:rPr>
          <w:rFonts w:ascii="Arial"/>
          <w:sz w:val="16"/>
        </w:rPr>
      </w:pPr>
    </w:p>
    <w:p w14:paraId="324605F0" w14:textId="77777777" w:rsidR="001825E2" w:rsidRDefault="001825E2" w:rsidP="00CB00A7">
      <w:pPr>
        <w:pStyle w:val="BodyText"/>
        <w:spacing w:before="33"/>
        <w:jc w:val="left"/>
        <w:rPr>
          <w:rFonts w:ascii="Arial"/>
          <w:sz w:val="16"/>
        </w:rPr>
      </w:pPr>
    </w:p>
    <w:p w14:paraId="435EA58C" w14:textId="77777777" w:rsidR="001825E2" w:rsidRDefault="000839A5" w:rsidP="00CB00A7">
      <w:pPr>
        <w:ind w:left="220"/>
        <w:rPr>
          <w:rFonts w:ascii="Arial"/>
          <w:sz w:val="16"/>
        </w:rPr>
      </w:pPr>
      <w:r>
        <w:rPr>
          <w:rFonts w:ascii="Arial"/>
          <w:sz w:val="16"/>
        </w:rPr>
        <w:t>No</w:t>
      </w:r>
      <w:r>
        <w:rPr>
          <w:rFonts w:ascii="Arial"/>
          <w:spacing w:val="20"/>
          <w:sz w:val="16"/>
        </w:rPr>
        <w:t xml:space="preserve"> </w:t>
      </w:r>
      <w:r>
        <w:rPr>
          <w:rFonts w:ascii="Arial"/>
          <w:sz w:val="16"/>
        </w:rPr>
        <w:t>Dose</w:t>
      </w:r>
      <w:r>
        <w:rPr>
          <w:rFonts w:ascii="Arial"/>
          <w:spacing w:val="-2"/>
          <w:sz w:val="16"/>
        </w:rPr>
        <w:t xml:space="preserve"> Adjustment</w:t>
      </w:r>
    </w:p>
    <w:p w14:paraId="2101D224" w14:textId="77777777" w:rsidR="001825E2" w:rsidRDefault="001825E2" w:rsidP="00CB00A7">
      <w:pPr>
        <w:pStyle w:val="BodyText"/>
        <w:jc w:val="left"/>
        <w:rPr>
          <w:rFonts w:ascii="Arial"/>
          <w:sz w:val="16"/>
        </w:rPr>
      </w:pPr>
    </w:p>
    <w:p w14:paraId="5DE7603B" w14:textId="77777777" w:rsidR="001825E2" w:rsidRDefault="001825E2" w:rsidP="00CB00A7">
      <w:pPr>
        <w:pStyle w:val="BodyText"/>
        <w:spacing w:before="48"/>
        <w:jc w:val="left"/>
        <w:rPr>
          <w:rFonts w:ascii="Arial"/>
          <w:sz w:val="16"/>
        </w:rPr>
      </w:pPr>
    </w:p>
    <w:p w14:paraId="10639745" w14:textId="77777777" w:rsidR="001825E2" w:rsidRDefault="000839A5" w:rsidP="00CB00A7">
      <w:pPr>
        <w:ind w:left="220"/>
        <w:rPr>
          <w:rFonts w:ascii="Arial"/>
          <w:sz w:val="16"/>
        </w:rPr>
      </w:pPr>
      <w:r>
        <w:rPr>
          <w:rFonts w:ascii="Arial"/>
          <w:sz w:val="16"/>
        </w:rPr>
        <w:t>No</w:t>
      </w:r>
      <w:r>
        <w:rPr>
          <w:rFonts w:ascii="Arial"/>
          <w:spacing w:val="20"/>
          <w:sz w:val="16"/>
        </w:rPr>
        <w:t xml:space="preserve"> </w:t>
      </w:r>
      <w:r>
        <w:rPr>
          <w:rFonts w:ascii="Arial"/>
          <w:sz w:val="16"/>
        </w:rPr>
        <w:t>Dose</w:t>
      </w:r>
      <w:r>
        <w:rPr>
          <w:rFonts w:ascii="Arial"/>
          <w:spacing w:val="-2"/>
          <w:sz w:val="16"/>
        </w:rPr>
        <w:t xml:space="preserve"> Adjustment</w:t>
      </w:r>
    </w:p>
    <w:p w14:paraId="57AEF1C1" w14:textId="77777777" w:rsidR="001825E2" w:rsidRDefault="001825E2" w:rsidP="00CB00A7">
      <w:pPr>
        <w:pStyle w:val="BodyText"/>
        <w:jc w:val="left"/>
        <w:rPr>
          <w:rFonts w:ascii="Arial"/>
          <w:sz w:val="16"/>
        </w:rPr>
      </w:pPr>
    </w:p>
    <w:p w14:paraId="6D7D6216" w14:textId="77777777" w:rsidR="001825E2" w:rsidRDefault="001825E2" w:rsidP="00CB00A7">
      <w:pPr>
        <w:pStyle w:val="BodyText"/>
        <w:spacing w:before="48"/>
        <w:jc w:val="left"/>
        <w:rPr>
          <w:rFonts w:ascii="Arial"/>
          <w:sz w:val="16"/>
        </w:rPr>
      </w:pPr>
    </w:p>
    <w:p w14:paraId="7E28D22F" w14:textId="77777777" w:rsidR="001825E2" w:rsidRDefault="000839A5" w:rsidP="00CB00A7">
      <w:pPr>
        <w:ind w:left="220"/>
        <w:rPr>
          <w:rFonts w:ascii="Arial"/>
          <w:sz w:val="16"/>
        </w:rPr>
      </w:pPr>
      <w:r>
        <w:rPr>
          <w:rFonts w:ascii="Arial"/>
          <w:sz w:val="16"/>
        </w:rPr>
        <w:t>No</w:t>
      </w:r>
      <w:r>
        <w:rPr>
          <w:rFonts w:ascii="Arial"/>
          <w:spacing w:val="20"/>
          <w:sz w:val="16"/>
        </w:rPr>
        <w:t xml:space="preserve"> </w:t>
      </w:r>
      <w:r>
        <w:rPr>
          <w:rFonts w:ascii="Arial"/>
          <w:sz w:val="16"/>
        </w:rPr>
        <w:t>Dose</w:t>
      </w:r>
      <w:r>
        <w:rPr>
          <w:rFonts w:ascii="Arial"/>
          <w:spacing w:val="-2"/>
          <w:sz w:val="16"/>
        </w:rPr>
        <w:t xml:space="preserve"> Adjustment</w:t>
      </w:r>
    </w:p>
    <w:p w14:paraId="7F14605D" w14:textId="77777777" w:rsidR="001825E2" w:rsidRDefault="001825E2" w:rsidP="00CB00A7">
      <w:pPr>
        <w:pStyle w:val="BodyText"/>
        <w:jc w:val="left"/>
        <w:rPr>
          <w:rFonts w:ascii="Arial"/>
          <w:sz w:val="16"/>
        </w:rPr>
      </w:pPr>
    </w:p>
    <w:p w14:paraId="4BC1C366" w14:textId="77777777" w:rsidR="001825E2" w:rsidRDefault="001825E2" w:rsidP="00CB00A7">
      <w:pPr>
        <w:pStyle w:val="BodyText"/>
        <w:spacing w:before="48"/>
        <w:jc w:val="left"/>
        <w:rPr>
          <w:rFonts w:ascii="Arial"/>
          <w:sz w:val="16"/>
        </w:rPr>
      </w:pPr>
    </w:p>
    <w:p w14:paraId="63720462" w14:textId="77777777" w:rsidR="001825E2" w:rsidRDefault="000839A5" w:rsidP="00CB00A7">
      <w:pPr>
        <w:ind w:left="220"/>
        <w:rPr>
          <w:rFonts w:ascii="Arial"/>
          <w:sz w:val="16"/>
        </w:rPr>
      </w:pPr>
      <w:r>
        <w:rPr>
          <w:rFonts w:ascii="Arial"/>
          <w:sz w:val="16"/>
        </w:rPr>
        <w:t>No</w:t>
      </w:r>
      <w:r>
        <w:rPr>
          <w:rFonts w:ascii="Arial"/>
          <w:spacing w:val="20"/>
          <w:sz w:val="16"/>
        </w:rPr>
        <w:t xml:space="preserve"> </w:t>
      </w:r>
      <w:r>
        <w:rPr>
          <w:rFonts w:ascii="Arial"/>
          <w:sz w:val="16"/>
        </w:rPr>
        <w:t>Dose</w:t>
      </w:r>
      <w:r>
        <w:rPr>
          <w:rFonts w:ascii="Arial"/>
          <w:spacing w:val="-2"/>
          <w:sz w:val="16"/>
        </w:rPr>
        <w:t xml:space="preserve"> Adjustment</w:t>
      </w:r>
    </w:p>
    <w:p w14:paraId="281F05C2" w14:textId="77777777" w:rsidR="001825E2" w:rsidRDefault="001825E2" w:rsidP="00CB00A7">
      <w:pPr>
        <w:pStyle w:val="BodyText"/>
        <w:jc w:val="left"/>
        <w:rPr>
          <w:rFonts w:ascii="Arial"/>
          <w:sz w:val="16"/>
        </w:rPr>
      </w:pPr>
    </w:p>
    <w:p w14:paraId="492CBB5E" w14:textId="77777777" w:rsidR="001825E2" w:rsidRDefault="001825E2" w:rsidP="00CB00A7">
      <w:pPr>
        <w:pStyle w:val="BodyText"/>
        <w:spacing w:before="48"/>
        <w:jc w:val="left"/>
        <w:rPr>
          <w:rFonts w:ascii="Arial"/>
          <w:sz w:val="16"/>
        </w:rPr>
      </w:pPr>
    </w:p>
    <w:p w14:paraId="541CE176" w14:textId="77777777" w:rsidR="001825E2" w:rsidRDefault="000839A5" w:rsidP="00CB00A7">
      <w:pPr>
        <w:ind w:left="220"/>
        <w:rPr>
          <w:rFonts w:ascii="Arial"/>
          <w:sz w:val="16"/>
        </w:rPr>
      </w:pPr>
      <w:r>
        <w:rPr>
          <w:rFonts w:ascii="Arial"/>
          <w:sz w:val="16"/>
        </w:rPr>
        <w:t>No</w:t>
      </w:r>
      <w:r>
        <w:rPr>
          <w:rFonts w:ascii="Arial"/>
          <w:spacing w:val="20"/>
          <w:sz w:val="16"/>
        </w:rPr>
        <w:t xml:space="preserve"> </w:t>
      </w:r>
      <w:r>
        <w:rPr>
          <w:rFonts w:ascii="Arial"/>
          <w:sz w:val="16"/>
        </w:rPr>
        <w:t>Dose</w:t>
      </w:r>
      <w:r>
        <w:rPr>
          <w:rFonts w:ascii="Arial"/>
          <w:spacing w:val="-2"/>
          <w:sz w:val="16"/>
        </w:rPr>
        <w:t xml:space="preserve"> Adjustment</w:t>
      </w:r>
    </w:p>
    <w:p w14:paraId="73023D50" w14:textId="77777777" w:rsidR="001825E2" w:rsidRDefault="001825E2" w:rsidP="00CB00A7">
      <w:pPr>
        <w:pStyle w:val="BodyText"/>
        <w:jc w:val="left"/>
        <w:rPr>
          <w:rFonts w:ascii="Arial"/>
          <w:sz w:val="16"/>
        </w:rPr>
      </w:pPr>
    </w:p>
    <w:p w14:paraId="37F710E9" w14:textId="77777777" w:rsidR="001825E2" w:rsidRDefault="001825E2" w:rsidP="00CB00A7">
      <w:pPr>
        <w:pStyle w:val="BodyText"/>
        <w:spacing w:before="48"/>
        <w:jc w:val="left"/>
        <w:rPr>
          <w:rFonts w:ascii="Arial"/>
          <w:sz w:val="16"/>
        </w:rPr>
      </w:pPr>
    </w:p>
    <w:p w14:paraId="1C509563" w14:textId="77777777" w:rsidR="001825E2" w:rsidRDefault="000839A5" w:rsidP="00CB00A7">
      <w:pPr>
        <w:ind w:left="220"/>
        <w:rPr>
          <w:rFonts w:ascii="Arial"/>
          <w:sz w:val="16"/>
        </w:rPr>
      </w:pPr>
      <w:r>
        <w:rPr>
          <w:rFonts w:ascii="Arial"/>
          <w:sz w:val="16"/>
        </w:rPr>
        <w:t>No</w:t>
      </w:r>
      <w:r>
        <w:rPr>
          <w:rFonts w:ascii="Arial"/>
          <w:spacing w:val="20"/>
          <w:sz w:val="16"/>
        </w:rPr>
        <w:t xml:space="preserve"> </w:t>
      </w:r>
      <w:r>
        <w:rPr>
          <w:rFonts w:ascii="Arial"/>
          <w:sz w:val="16"/>
        </w:rPr>
        <w:t>Dose</w:t>
      </w:r>
      <w:r>
        <w:rPr>
          <w:rFonts w:ascii="Arial"/>
          <w:spacing w:val="-2"/>
          <w:sz w:val="16"/>
        </w:rPr>
        <w:t xml:space="preserve"> Adjustment</w:t>
      </w:r>
    </w:p>
    <w:p w14:paraId="5A7FA92A" w14:textId="77777777" w:rsidR="001825E2" w:rsidRDefault="001825E2" w:rsidP="00CB00A7">
      <w:pPr>
        <w:pStyle w:val="BodyText"/>
        <w:jc w:val="left"/>
        <w:rPr>
          <w:rFonts w:ascii="Arial"/>
          <w:sz w:val="16"/>
        </w:rPr>
      </w:pPr>
    </w:p>
    <w:p w14:paraId="6E89A4EB" w14:textId="77777777" w:rsidR="001825E2" w:rsidRDefault="001825E2" w:rsidP="00CB00A7">
      <w:pPr>
        <w:pStyle w:val="BodyText"/>
        <w:spacing w:before="48"/>
        <w:jc w:val="left"/>
        <w:rPr>
          <w:rFonts w:ascii="Arial"/>
          <w:sz w:val="16"/>
        </w:rPr>
      </w:pPr>
    </w:p>
    <w:p w14:paraId="3188C475" w14:textId="77777777" w:rsidR="001825E2" w:rsidRDefault="000839A5" w:rsidP="00CB00A7">
      <w:pPr>
        <w:ind w:left="220"/>
        <w:rPr>
          <w:rFonts w:ascii="Arial"/>
          <w:sz w:val="16"/>
        </w:rPr>
      </w:pPr>
      <w:r>
        <w:rPr>
          <w:rFonts w:ascii="Arial"/>
          <w:sz w:val="16"/>
        </w:rPr>
        <w:t>No</w:t>
      </w:r>
      <w:r>
        <w:rPr>
          <w:rFonts w:ascii="Arial"/>
          <w:spacing w:val="20"/>
          <w:sz w:val="16"/>
        </w:rPr>
        <w:t xml:space="preserve"> </w:t>
      </w:r>
      <w:r>
        <w:rPr>
          <w:rFonts w:ascii="Arial"/>
          <w:sz w:val="16"/>
        </w:rPr>
        <w:t>Dose</w:t>
      </w:r>
      <w:r>
        <w:rPr>
          <w:rFonts w:ascii="Arial"/>
          <w:spacing w:val="-2"/>
          <w:sz w:val="16"/>
        </w:rPr>
        <w:t xml:space="preserve"> Adjustment</w:t>
      </w:r>
    </w:p>
    <w:p w14:paraId="66E5845C" w14:textId="77777777" w:rsidR="001825E2" w:rsidRDefault="001825E2" w:rsidP="00CB00A7">
      <w:pPr>
        <w:pStyle w:val="BodyText"/>
        <w:jc w:val="left"/>
        <w:rPr>
          <w:rFonts w:ascii="Arial"/>
          <w:sz w:val="16"/>
        </w:rPr>
      </w:pPr>
    </w:p>
    <w:p w14:paraId="0E139EAF" w14:textId="77777777" w:rsidR="001825E2" w:rsidRDefault="001825E2" w:rsidP="00CB00A7">
      <w:pPr>
        <w:pStyle w:val="BodyText"/>
        <w:spacing w:before="48"/>
        <w:jc w:val="left"/>
        <w:rPr>
          <w:rFonts w:ascii="Arial"/>
          <w:sz w:val="16"/>
        </w:rPr>
      </w:pPr>
    </w:p>
    <w:p w14:paraId="21BB4A36" w14:textId="77777777" w:rsidR="001825E2" w:rsidRDefault="000839A5" w:rsidP="00CB00A7">
      <w:pPr>
        <w:spacing w:before="1"/>
        <w:ind w:left="220"/>
        <w:rPr>
          <w:rFonts w:ascii="Arial"/>
          <w:sz w:val="16"/>
        </w:rPr>
      </w:pPr>
      <w:r>
        <w:rPr>
          <w:rFonts w:ascii="Arial"/>
          <w:spacing w:val="2"/>
          <w:sz w:val="16"/>
        </w:rPr>
        <w:t>Dose</w:t>
      </w:r>
      <w:r>
        <w:rPr>
          <w:rFonts w:ascii="Arial"/>
          <w:spacing w:val="6"/>
          <w:sz w:val="16"/>
        </w:rPr>
        <w:t xml:space="preserve"> </w:t>
      </w:r>
      <w:proofErr w:type="spellStart"/>
      <w:r>
        <w:rPr>
          <w:rFonts w:ascii="Arial"/>
          <w:spacing w:val="-2"/>
          <w:sz w:val="16"/>
        </w:rPr>
        <w:t>Adjustment</w:t>
      </w:r>
      <w:r>
        <w:rPr>
          <w:rFonts w:ascii="Arial"/>
          <w:spacing w:val="-2"/>
          <w:sz w:val="16"/>
          <w:vertAlign w:val="superscript"/>
        </w:rPr>
        <w:t>a</w:t>
      </w:r>
      <w:proofErr w:type="spellEnd"/>
    </w:p>
    <w:p w14:paraId="291ABAA8" w14:textId="77777777" w:rsidR="001825E2" w:rsidRDefault="001825E2" w:rsidP="00CB00A7">
      <w:pPr>
        <w:rPr>
          <w:rFonts w:ascii="Arial"/>
          <w:sz w:val="16"/>
        </w:rPr>
        <w:sectPr w:rsidR="001825E2">
          <w:type w:val="continuous"/>
          <w:pgSz w:w="11910" w:h="16850"/>
          <w:pgMar w:top="1420" w:right="700" w:bottom="980" w:left="1220" w:header="0" w:footer="785" w:gutter="0"/>
          <w:cols w:num="3" w:space="720" w:equalWidth="0">
            <w:col w:w="1597" w:space="98"/>
            <w:col w:w="740" w:space="4465"/>
            <w:col w:w="3090"/>
          </w:cols>
        </w:sectPr>
      </w:pPr>
    </w:p>
    <w:p w14:paraId="01778BFD" w14:textId="77777777" w:rsidR="001825E2" w:rsidRDefault="001825E2" w:rsidP="00CB00A7">
      <w:pPr>
        <w:pStyle w:val="BodyText"/>
        <w:spacing w:before="2"/>
        <w:jc w:val="left"/>
        <w:rPr>
          <w:rFonts w:ascii="Arial"/>
          <w:sz w:val="10"/>
        </w:rPr>
      </w:pPr>
    </w:p>
    <w:p w14:paraId="62420AED" w14:textId="77777777" w:rsidR="001825E2" w:rsidRDefault="001825E2" w:rsidP="00CB00A7">
      <w:pPr>
        <w:rPr>
          <w:rFonts w:ascii="Arial"/>
          <w:sz w:val="10"/>
        </w:rPr>
        <w:sectPr w:rsidR="001825E2">
          <w:type w:val="continuous"/>
          <w:pgSz w:w="11910" w:h="16850"/>
          <w:pgMar w:top="1420" w:right="700" w:bottom="980" w:left="1220" w:header="0" w:footer="785" w:gutter="0"/>
          <w:cols w:space="720"/>
        </w:sectPr>
      </w:pPr>
    </w:p>
    <w:p w14:paraId="1AAA11C6" w14:textId="77777777" w:rsidR="001825E2" w:rsidRDefault="000839A5" w:rsidP="00CB00A7">
      <w:pPr>
        <w:spacing w:before="104" w:line="182" w:lineRule="exact"/>
        <w:ind w:right="38"/>
        <w:rPr>
          <w:rFonts w:ascii="Arial"/>
          <w:sz w:val="16"/>
        </w:rPr>
      </w:pPr>
      <w:r>
        <w:rPr>
          <w:noProof/>
        </w:rPr>
        <mc:AlternateContent>
          <mc:Choice Requires="wpg">
            <w:drawing>
              <wp:anchor distT="0" distB="0" distL="0" distR="0" simplePos="0" relativeHeight="15740928" behindDoc="0" locked="0" layoutInCell="1" allowOverlap="1" wp14:anchorId="2CB0903F" wp14:editId="0C9A9675">
                <wp:simplePos x="0" y="0"/>
                <wp:positionH relativeFrom="page">
                  <wp:posOffset>3308984</wp:posOffset>
                </wp:positionH>
                <wp:positionV relativeFrom="paragraph">
                  <wp:posOffset>-321035</wp:posOffset>
                </wp:positionV>
                <wp:extent cx="936625" cy="75565"/>
                <wp:effectExtent l="0" t="0" r="0" b="0"/>
                <wp:wrapNone/>
                <wp:docPr id="276"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6625" cy="75565"/>
                          <a:chOff x="0" y="0"/>
                          <a:chExt cx="936625" cy="75565"/>
                        </a:xfrm>
                      </wpg:grpSpPr>
                      <pic:pic xmlns:pic="http://schemas.openxmlformats.org/drawingml/2006/picture">
                        <pic:nvPicPr>
                          <pic:cNvPr id="277" name="Image 277"/>
                          <pic:cNvPicPr/>
                        </pic:nvPicPr>
                        <pic:blipFill>
                          <a:blip r:embed="rId56" cstate="print"/>
                          <a:stretch>
                            <a:fillRect/>
                          </a:stretch>
                        </pic:blipFill>
                        <pic:spPr>
                          <a:xfrm>
                            <a:off x="330517" y="0"/>
                            <a:ext cx="75895" cy="75247"/>
                          </a:xfrm>
                          <a:prstGeom prst="rect">
                            <a:avLst/>
                          </a:prstGeom>
                        </pic:spPr>
                      </pic:pic>
                      <wps:wsp>
                        <wps:cNvPr id="278" name="Graphic 278"/>
                        <wps:cNvSpPr/>
                        <wps:spPr>
                          <a:xfrm>
                            <a:off x="8889" y="40322"/>
                            <a:ext cx="918844" cy="1270"/>
                          </a:xfrm>
                          <a:custGeom>
                            <a:avLst/>
                            <a:gdLst/>
                            <a:ahLst/>
                            <a:cxnLst/>
                            <a:rect l="l" t="t" r="r" b="b"/>
                            <a:pathLst>
                              <a:path w="918844">
                                <a:moveTo>
                                  <a:pt x="0" y="0"/>
                                </a:moveTo>
                                <a:lnTo>
                                  <a:pt x="918844" y="0"/>
                                </a:lnTo>
                              </a:path>
                            </a:pathLst>
                          </a:custGeom>
                          <a:ln w="17780">
                            <a:solidFill>
                              <a:srgbClr val="000000"/>
                            </a:solidFill>
                            <a:prstDash val="solid"/>
                          </a:ln>
                        </wps:spPr>
                        <wps:bodyPr wrap="square" lIns="0" tIns="0" rIns="0" bIns="0" rtlCol="0">
                          <a:prstTxWarp prst="textNoShape">
                            <a:avLst/>
                          </a:prstTxWarp>
                          <a:noAutofit/>
                        </wps:bodyPr>
                      </wps:wsp>
                      <wps:wsp>
                        <wps:cNvPr id="279" name="Graphic 279"/>
                        <wps:cNvSpPr/>
                        <wps:spPr>
                          <a:xfrm>
                            <a:off x="8889" y="13652"/>
                            <a:ext cx="1270" cy="52705"/>
                          </a:xfrm>
                          <a:custGeom>
                            <a:avLst/>
                            <a:gdLst/>
                            <a:ahLst/>
                            <a:cxnLst/>
                            <a:rect l="l" t="t" r="r" b="b"/>
                            <a:pathLst>
                              <a:path h="52705">
                                <a:moveTo>
                                  <a:pt x="0" y="52704"/>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280" name="Graphic 280"/>
                        <wps:cNvSpPr/>
                        <wps:spPr>
                          <a:xfrm>
                            <a:off x="927735" y="13652"/>
                            <a:ext cx="1270" cy="52705"/>
                          </a:xfrm>
                          <a:custGeom>
                            <a:avLst/>
                            <a:gdLst/>
                            <a:ahLst/>
                            <a:cxnLst/>
                            <a:rect l="l" t="t" r="r" b="b"/>
                            <a:pathLst>
                              <a:path h="52705">
                                <a:moveTo>
                                  <a:pt x="0" y="52704"/>
                                </a:moveTo>
                                <a:lnTo>
                                  <a:pt x="0" y="0"/>
                                </a:lnTo>
                              </a:path>
                            </a:pathLst>
                          </a:custGeom>
                          <a:ln w="1778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50EAF9C" id="Group 276" o:spid="_x0000_s1026" style="position:absolute;margin-left:260.55pt;margin-top:-25.3pt;width:73.75pt;height:5.95pt;z-index:15740928;mso-wrap-distance-left:0;mso-wrap-distance-right:0;mso-position-horizontal-relative:page" coordsize="9366,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">
                <v:shape id="Image 277" o:spid="_x0000_s1027" type="#_x0000_t75" style="position:absolute;left:3305;width:759;height: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">
                  <v:imagedata r:id="rId57" o:title=""/>
                </v:shape>
                <v:shape id="Graphic 278" o:spid="_x0000_s1028" style="position:absolute;left:88;top:403;width:9189;height:12;visibility:visible;mso-wrap-style:square;v-text-anchor:top" coordsize="91884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" path="m,l918844,e" filled="f" strokeweight="1.4pt">
                  <v:path arrowok="t"/>
                </v:shape>
                <v:shape id="Graphic 279" o:spid="_x0000_s1029" style="position:absolute;left:88;top:136;width:13;height:527;visibility:visible;mso-wrap-style:square;v-text-anchor:top" coordsize="1270,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" path="m,52704l,e" filled="f" strokeweight="1.4pt">
                  <v:path arrowok="t"/>
                </v:shape>
                <v:shape id="Graphic 280" o:spid="_x0000_s1030" style="position:absolute;left:9277;top:136;width:13;height:527;visibility:visible;mso-wrap-style:square;v-text-anchor:top" coordsize="1270,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" path="m,52704l,e" filled="f" strokeweight="1.4pt">
                  <v:path arrowok="t"/>
                </v:shape>
                <w10:wrap anchorx="page"/>
              </v:group>
            </w:pict>
          </mc:Fallback>
        </mc:AlternateContent>
      </w:r>
      <w:r>
        <w:rPr>
          <w:rFonts w:ascii="Arial"/>
          <w:sz w:val="16"/>
        </w:rPr>
        <w:t>Ren</w:t>
      </w:r>
      <w:r>
        <w:rPr>
          <w:rFonts w:ascii="Arial"/>
          <w:spacing w:val="-30"/>
          <w:sz w:val="16"/>
        </w:rPr>
        <w:t xml:space="preserve"> </w:t>
      </w:r>
      <w:r>
        <w:rPr>
          <w:rFonts w:ascii="Arial"/>
          <w:sz w:val="16"/>
        </w:rPr>
        <w:t>al</w:t>
      </w:r>
      <w:r>
        <w:rPr>
          <w:rFonts w:ascii="Arial"/>
          <w:spacing w:val="-1"/>
          <w:sz w:val="16"/>
        </w:rPr>
        <w:t xml:space="preserve"> </w:t>
      </w:r>
      <w:r>
        <w:rPr>
          <w:rFonts w:ascii="Arial"/>
          <w:spacing w:val="-2"/>
          <w:sz w:val="16"/>
        </w:rPr>
        <w:t>Impairment</w:t>
      </w:r>
    </w:p>
    <w:p w14:paraId="0978988C" w14:textId="77777777" w:rsidR="001825E2" w:rsidRDefault="000839A5" w:rsidP="00CB00A7">
      <w:pPr>
        <w:spacing w:line="182" w:lineRule="exact"/>
        <w:ind w:right="56"/>
        <w:rPr>
          <w:rFonts w:ascii="Arial"/>
          <w:sz w:val="16"/>
        </w:rPr>
      </w:pPr>
      <w:r>
        <w:rPr>
          <w:noProof/>
        </w:rPr>
        <mc:AlternateContent>
          <mc:Choice Requires="wpg">
            <w:drawing>
              <wp:anchor distT="0" distB="0" distL="0" distR="0" simplePos="0" relativeHeight="15741952" behindDoc="0" locked="0" layoutInCell="1" allowOverlap="1" wp14:anchorId="218ACA9E" wp14:editId="648BC725">
                <wp:simplePos x="0" y="0"/>
                <wp:positionH relativeFrom="page">
                  <wp:posOffset>3379470</wp:posOffset>
                </wp:positionH>
                <wp:positionV relativeFrom="paragraph">
                  <wp:posOffset>637184</wp:posOffset>
                </wp:positionV>
                <wp:extent cx="600710" cy="75565"/>
                <wp:effectExtent l="0" t="0" r="0" b="0"/>
                <wp:wrapNone/>
                <wp:docPr id="281"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0710" cy="75565"/>
                          <a:chOff x="0" y="0"/>
                          <a:chExt cx="600710" cy="75565"/>
                        </a:xfrm>
                      </wpg:grpSpPr>
                      <pic:pic xmlns:pic="http://schemas.openxmlformats.org/drawingml/2006/picture">
                        <pic:nvPicPr>
                          <pic:cNvPr id="282" name="Image 282"/>
                          <pic:cNvPicPr/>
                        </pic:nvPicPr>
                        <pic:blipFill>
                          <a:blip r:embed="rId58" cstate="print"/>
                          <a:stretch>
                            <a:fillRect/>
                          </a:stretch>
                        </pic:blipFill>
                        <pic:spPr>
                          <a:xfrm>
                            <a:off x="225107" y="0"/>
                            <a:ext cx="75234" cy="75247"/>
                          </a:xfrm>
                          <a:prstGeom prst="rect">
                            <a:avLst/>
                          </a:prstGeom>
                        </pic:spPr>
                      </pic:pic>
                      <wps:wsp>
                        <wps:cNvPr id="283" name="Graphic 283"/>
                        <wps:cNvSpPr/>
                        <wps:spPr>
                          <a:xfrm>
                            <a:off x="8889" y="40322"/>
                            <a:ext cx="582930" cy="1270"/>
                          </a:xfrm>
                          <a:custGeom>
                            <a:avLst/>
                            <a:gdLst/>
                            <a:ahLst/>
                            <a:cxnLst/>
                            <a:rect l="l" t="t" r="r" b="b"/>
                            <a:pathLst>
                              <a:path w="582930">
                                <a:moveTo>
                                  <a:pt x="0" y="0"/>
                                </a:moveTo>
                                <a:lnTo>
                                  <a:pt x="582930" y="0"/>
                                </a:lnTo>
                              </a:path>
                            </a:pathLst>
                          </a:custGeom>
                          <a:ln w="17780">
                            <a:solidFill>
                              <a:srgbClr val="000000"/>
                            </a:solidFill>
                            <a:prstDash val="solid"/>
                          </a:ln>
                        </wps:spPr>
                        <wps:bodyPr wrap="square" lIns="0" tIns="0" rIns="0" bIns="0" rtlCol="0">
                          <a:prstTxWarp prst="textNoShape">
                            <a:avLst/>
                          </a:prstTxWarp>
                          <a:noAutofit/>
                        </wps:bodyPr>
                      </wps:wsp>
                      <wps:wsp>
                        <wps:cNvPr id="284" name="Graphic 284"/>
                        <wps:cNvSpPr/>
                        <wps:spPr>
                          <a:xfrm>
                            <a:off x="8889" y="13652"/>
                            <a:ext cx="1270" cy="52705"/>
                          </a:xfrm>
                          <a:custGeom>
                            <a:avLst/>
                            <a:gdLst/>
                            <a:ahLst/>
                            <a:cxnLst/>
                            <a:rect l="l" t="t" r="r" b="b"/>
                            <a:pathLst>
                              <a:path h="52705">
                                <a:moveTo>
                                  <a:pt x="0" y="52704"/>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285" name="Graphic 285"/>
                        <wps:cNvSpPr/>
                        <wps:spPr>
                          <a:xfrm>
                            <a:off x="591819" y="13652"/>
                            <a:ext cx="1270" cy="52705"/>
                          </a:xfrm>
                          <a:custGeom>
                            <a:avLst/>
                            <a:gdLst/>
                            <a:ahLst/>
                            <a:cxnLst/>
                            <a:rect l="l" t="t" r="r" b="b"/>
                            <a:pathLst>
                              <a:path h="52705">
                                <a:moveTo>
                                  <a:pt x="0" y="52704"/>
                                </a:moveTo>
                                <a:lnTo>
                                  <a:pt x="0" y="0"/>
                                </a:lnTo>
                              </a:path>
                            </a:pathLst>
                          </a:custGeom>
                          <a:ln w="1778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B3AECA5" id="Group 281" o:spid="_x0000_s1026" style="position:absolute;margin-left:266.1pt;margin-top:50.15pt;width:47.3pt;height:5.95pt;z-index:15741952;mso-wrap-distance-left:0;mso-wrap-distance-right:0;mso-position-horizontal-relative:page" coordsize="6007,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">
                <v:shape id="Image 282" o:spid="_x0000_s1027" type="#_x0000_t75" style="position:absolute;left:2251;width:752;height: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">
                  <v:imagedata r:id="rId59" o:title=""/>
                </v:shape>
                <v:shape id="Graphic 283" o:spid="_x0000_s1028" style="position:absolute;left:88;top:403;width:5830;height:12;visibility:visible;mso-wrap-style:square;v-text-anchor:top" coordsize="5829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" path="m,l582930,e" filled="f" strokeweight="1.4pt">
                  <v:path arrowok="t"/>
                </v:shape>
                <v:shape id="Graphic 284" o:spid="_x0000_s1029" style="position:absolute;left:88;top:136;width:13;height:527;visibility:visible;mso-wrap-style:square;v-text-anchor:top" coordsize="1270,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" path="m,52704l,e" filled="f" strokeweight="1.4pt">
                  <v:path arrowok="t"/>
                </v:shape>
                <v:shape id="Graphic 285" o:spid="_x0000_s1030" style="position:absolute;left:5918;top:136;width:12;height:527;visibility:visible;mso-wrap-style:square;v-text-anchor:top" coordsize="1270,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" path="m,52704l,e" filled="f" strokeweight="1.4pt">
                  <v:path arrowok="t"/>
                </v:shape>
                <w10:wrap anchorx="page"/>
              </v:group>
            </w:pict>
          </mc:Fallback>
        </mc:AlternateContent>
      </w:r>
      <w:r>
        <w:rPr>
          <w:rFonts w:ascii="Arial"/>
          <w:spacing w:val="-2"/>
          <w:w w:val="105"/>
          <w:sz w:val="16"/>
        </w:rPr>
        <w:t>(Severe)</w:t>
      </w:r>
    </w:p>
    <w:p w14:paraId="7280EE80" w14:textId="77777777" w:rsidR="001825E2" w:rsidRDefault="000839A5" w:rsidP="00CB00A7">
      <w:pPr>
        <w:spacing w:before="104" w:line="167" w:lineRule="exact"/>
        <w:ind w:left="295"/>
        <w:rPr>
          <w:rFonts w:ascii="Arial"/>
          <w:b/>
          <w:sz w:val="16"/>
        </w:rPr>
      </w:pPr>
      <w:r>
        <w:br w:type="column"/>
      </w:r>
      <w:r>
        <w:rPr>
          <w:rFonts w:ascii="Arial"/>
          <w:b/>
          <w:spacing w:val="-5"/>
          <w:w w:val="105"/>
          <w:sz w:val="16"/>
        </w:rPr>
        <w:t>AUC</w:t>
      </w:r>
    </w:p>
    <w:p w14:paraId="574A94D1" w14:textId="77777777" w:rsidR="001825E2" w:rsidRDefault="000839A5" w:rsidP="00CB00A7">
      <w:pPr>
        <w:spacing w:line="167" w:lineRule="exact"/>
        <w:ind w:left="220"/>
        <w:rPr>
          <w:rFonts w:ascii="Arial"/>
          <w:b/>
          <w:sz w:val="16"/>
        </w:rPr>
      </w:pPr>
      <w:proofErr w:type="spellStart"/>
      <w:r>
        <w:rPr>
          <w:rFonts w:ascii="Arial"/>
          <w:b/>
          <w:spacing w:val="-4"/>
          <w:w w:val="105"/>
          <w:sz w:val="16"/>
        </w:rPr>
        <w:t>Cmax</w:t>
      </w:r>
      <w:proofErr w:type="spellEnd"/>
    </w:p>
    <w:p w14:paraId="633BFA8D" w14:textId="77777777" w:rsidR="001825E2" w:rsidRDefault="000839A5" w:rsidP="00CB00A7">
      <w:pPr>
        <w:spacing w:before="119"/>
        <w:ind w:left="220"/>
        <w:rPr>
          <w:rFonts w:ascii="Arial"/>
          <w:sz w:val="16"/>
        </w:rPr>
      </w:pPr>
      <w:r>
        <w:br w:type="column"/>
      </w:r>
      <w:r>
        <w:rPr>
          <w:rFonts w:ascii="Arial"/>
          <w:spacing w:val="2"/>
          <w:sz w:val="16"/>
        </w:rPr>
        <w:t>Dose</w:t>
      </w:r>
      <w:r>
        <w:rPr>
          <w:rFonts w:ascii="Arial"/>
          <w:spacing w:val="6"/>
          <w:sz w:val="16"/>
        </w:rPr>
        <w:t xml:space="preserve"> </w:t>
      </w:r>
      <w:proofErr w:type="spellStart"/>
      <w:proofErr w:type="gramStart"/>
      <w:r>
        <w:rPr>
          <w:rFonts w:ascii="Arial"/>
          <w:spacing w:val="-2"/>
          <w:sz w:val="16"/>
        </w:rPr>
        <w:t>Adjustment</w:t>
      </w:r>
      <w:r>
        <w:rPr>
          <w:rFonts w:ascii="Arial"/>
          <w:spacing w:val="-2"/>
          <w:sz w:val="16"/>
          <w:vertAlign w:val="superscript"/>
        </w:rPr>
        <w:t>a,b</w:t>
      </w:r>
      <w:proofErr w:type="spellEnd"/>
      <w:proofErr w:type="gramEnd"/>
    </w:p>
    <w:p w14:paraId="0F07F141" w14:textId="77777777" w:rsidR="001825E2" w:rsidRDefault="001825E2" w:rsidP="00CB00A7">
      <w:pPr>
        <w:rPr>
          <w:rFonts w:ascii="Arial"/>
          <w:sz w:val="16"/>
        </w:rPr>
        <w:sectPr w:rsidR="001825E2">
          <w:type w:val="continuous"/>
          <w:pgSz w:w="11910" w:h="16850"/>
          <w:pgMar w:top="1420" w:right="700" w:bottom="980" w:left="1220" w:header="0" w:footer="785" w:gutter="0"/>
          <w:cols w:num="3" w:space="720" w:equalWidth="0">
            <w:col w:w="1564" w:space="131"/>
            <w:col w:w="710" w:space="4480"/>
            <w:col w:w="3105"/>
          </w:cols>
        </w:sectPr>
      </w:pPr>
    </w:p>
    <w:p w14:paraId="3EBF1205" w14:textId="77777777" w:rsidR="001825E2" w:rsidRDefault="001825E2" w:rsidP="00CB00A7">
      <w:pPr>
        <w:pStyle w:val="BodyText"/>
        <w:spacing w:before="3"/>
        <w:jc w:val="left"/>
        <w:rPr>
          <w:rFonts w:ascii="Arial"/>
          <w:sz w:val="9"/>
        </w:rPr>
      </w:pPr>
    </w:p>
    <w:p w14:paraId="432327A0" w14:textId="77777777" w:rsidR="001825E2" w:rsidRDefault="001825E2" w:rsidP="00CB00A7">
      <w:pPr>
        <w:rPr>
          <w:rFonts w:ascii="Arial"/>
          <w:sz w:val="9"/>
        </w:rPr>
        <w:sectPr w:rsidR="001825E2">
          <w:type w:val="continuous"/>
          <w:pgSz w:w="11910" w:h="16850"/>
          <w:pgMar w:top="1420" w:right="700" w:bottom="980" w:left="1220" w:header="0" w:footer="785" w:gutter="0"/>
          <w:cols w:space="720"/>
        </w:sectPr>
      </w:pPr>
    </w:p>
    <w:p w14:paraId="36B40EDA" w14:textId="77777777" w:rsidR="001825E2" w:rsidRDefault="000839A5" w:rsidP="00CB00A7">
      <w:pPr>
        <w:spacing w:before="99"/>
        <w:ind w:right="41"/>
        <w:rPr>
          <w:rFonts w:ascii="Arial"/>
          <w:sz w:val="16"/>
        </w:rPr>
      </w:pPr>
      <w:r>
        <w:rPr>
          <w:rFonts w:ascii="Arial"/>
          <w:sz w:val="16"/>
        </w:rPr>
        <w:t>Hep</w:t>
      </w:r>
      <w:r>
        <w:rPr>
          <w:rFonts w:ascii="Arial"/>
          <w:spacing w:val="-28"/>
          <w:sz w:val="16"/>
        </w:rPr>
        <w:t xml:space="preserve"> </w:t>
      </w:r>
      <w:proofErr w:type="spellStart"/>
      <w:r>
        <w:rPr>
          <w:rFonts w:ascii="Arial"/>
          <w:sz w:val="16"/>
        </w:rPr>
        <w:t>atic</w:t>
      </w:r>
      <w:proofErr w:type="spellEnd"/>
      <w:r>
        <w:rPr>
          <w:rFonts w:ascii="Arial"/>
          <w:spacing w:val="8"/>
          <w:sz w:val="16"/>
        </w:rPr>
        <w:t xml:space="preserve"> </w:t>
      </w:r>
      <w:r>
        <w:rPr>
          <w:rFonts w:ascii="Arial"/>
          <w:spacing w:val="-2"/>
          <w:sz w:val="16"/>
        </w:rPr>
        <w:t>Impairment</w:t>
      </w:r>
    </w:p>
    <w:p w14:paraId="34AA7FFC" w14:textId="77777777" w:rsidR="001825E2" w:rsidRDefault="000839A5" w:rsidP="00CB00A7">
      <w:pPr>
        <w:spacing w:before="11"/>
        <w:ind w:right="16"/>
        <w:rPr>
          <w:rFonts w:ascii="Arial"/>
          <w:sz w:val="16"/>
        </w:rPr>
      </w:pPr>
      <w:r>
        <w:rPr>
          <w:rFonts w:ascii="Arial"/>
          <w:spacing w:val="-2"/>
          <w:w w:val="105"/>
          <w:sz w:val="16"/>
        </w:rPr>
        <w:t>(Mild)</w:t>
      </w:r>
    </w:p>
    <w:p w14:paraId="0BFCC8A2" w14:textId="77777777" w:rsidR="001825E2" w:rsidRDefault="001825E2" w:rsidP="00CB00A7">
      <w:pPr>
        <w:pStyle w:val="BodyText"/>
        <w:spacing w:before="37"/>
        <w:jc w:val="left"/>
        <w:rPr>
          <w:rFonts w:ascii="Arial"/>
          <w:sz w:val="16"/>
        </w:rPr>
      </w:pPr>
    </w:p>
    <w:p w14:paraId="7BA99968" w14:textId="77777777" w:rsidR="001825E2" w:rsidRDefault="000839A5" w:rsidP="00CB00A7">
      <w:pPr>
        <w:spacing w:line="182" w:lineRule="exact"/>
        <w:rPr>
          <w:rFonts w:ascii="Arial"/>
          <w:sz w:val="16"/>
        </w:rPr>
      </w:pPr>
      <w:r>
        <w:rPr>
          <w:rFonts w:ascii="Arial"/>
          <w:sz w:val="16"/>
        </w:rPr>
        <w:t>Hep</w:t>
      </w:r>
      <w:r>
        <w:rPr>
          <w:rFonts w:ascii="Arial"/>
          <w:spacing w:val="-28"/>
          <w:sz w:val="16"/>
        </w:rPr>
        <w:t xml:space="preserve"> </w:t>
      </w:r>
      <w:proofErr w:type="spellStart"/>
      <w:r>
        <w:rPr>
          <w:rFonts w:ascii="Arial"/>
          <w:sz w:val="16"/>
        </w:rPr>
        <w:t>atic</w:t>
      </w:r>
      <w:proofErr w:type="spellEnd"/>
      <w:r>
        <w:rPr>
          <w:rFonts w:ascii="Arial"/>
          <w:spacing w:val="7"/>
          <w:sz w:val="16"/>
        </w:rPr>
        <w:t xml:space="preserve"> </w:t>
      </w:r>
      <w:r>
        <w:rPr>
          <w:rFonts w:ascii="Arial"/>
          <w:spacing w:val="-2"/>
          <w:sz w:val="16"/>
        </w:rPr>
        <w:t>Impairment</w:t>
      </w:r>
    </w:p>
    <w:p w14:paraId="346F3194" w14:textId="77777777" w:rsidR="001825E2" w:rsidRDefault="000839A5" w:rsidP="00CB00A7">
      <w:pPr>
        <w:spacing w:line="182" w:lineRule="exact"/>
        <w:ind w:right="3"/>
        <w:rPr>
          <w:rFonts w:ascii="Arial"/>
          <w:sz w:val="16"/>
        </w:rPr>
      </w:pPr>
      <w:r>
        <w:rPr>
          <w:rFonts w:ascii="Arial"/>
          <w:spacing w:val="-2"/>
          <w:w w:val="105"/>
          <w:sz w:val="16"/>
        </w:rPr>
        <w:t>(Moderate)</w:t>
      </w:r>
    </w:p>
    <w:p w14:paraId="28CDCBEA" w14:textId="77777777" w:rsidR="001825E2" w:rsidRDefault="000839A5" w:rsidP="00CB00A7">
      <w:pPr>
        <w:spacing w:before="114" w:line="174" w:lineRule="exact"/>
        <w:ind w:left="261"/>
        <w:rPr>
          <w:rFonts w:ascii="Arial"/>
          <w:b/>
          <w:sz w:val="16"/>
        </w:rPr>
      </w:pPr>
      <w:r>
        <w:br w:type="column"/>
      </w:r>
      <w:r>
        <w:rPr>
          <w:rFonts w:ascii="Arial"/>
          <w:b/>
          <w:spacing w:val="-5"/>
          <w:w w:val="105"/>
          <w:sz w:val="16"/>
        </w:rPr>
        <w:t>AUC</w:t>
      </w:r>
    </w:p>
    <w:p w14:paraId="7A149EFB" w14:textId="77777777" w:rsidR="001825E2" w:rsidRDefault="000839A5" w:rsidP="00CB00A7">
      <w:pPr>
        <w:spacing w:line="174" w:lineRule="exact"/>
        <w:ind w:left="186"/>
        <w:rPr>
          <w:rFonts w:ascii="Arial"/>
          <w:b/>
          <w:sz w:val="16"/>
        </w:rPr>
      </w:pPr>
      <w:proofErr w:type="spellStart"/>
      <w:r>
        <w:rPr>
          <w:rFonts w:ascii="Arial"/>
          <w:b/>
          <w:spacing w:val="-4"/>
          <w:w w:val="105"/>
          <w:sz w:val="16"/>
        </w:rPr>
        <w:t>Cmax</w:t>
      </w:r>
      <w:proofErr w:type="spellEnd"/>
    </w:p>
    <w:p w14:paraId="0423EE43" w14:textId="77777777" w:rsidR="001825E2" w:rsidRDefault="001825E2" w:rsidP="00CB00A7">
      <w:pPr>
        <w:pStyle w:val="BodyText"/>
        <w:spacing w:before="67"/>
        <w:jc w:val="left"/>
        <w:rPr>
          <w:rFonts w:ascii="Arial"/>
          <w:b/>
          <w:sz w:val="16"/>
        </w:rPr>
      </w:pPr>
    </w:p>
    <w:p w14:paraId="7178232E" w14:textId="77777777" w:rsidR="001825E2" w:rsidRDefault="000839A5" w:rsidP="00CB00A7">
      <w:pPr>
        <w:spacing w:line="167" w:lineRule="exact"/>
        <w:ind w:left="261"/>
        <w:rPr>
          <w:rFonts w:ascii="Arial"/>
          <w:b/>
          <w:sz w:val="16"/>
        </w:rPr>
      </w:pPr>
      <w:r>
        <w:rPr>
          <w:rFonts w:ascii="Arial"/>
          <w:b/>
          <w:spacing w:val="-5"/>
          <w:w w:val="105"/>
          <w:sz w:val="16"/>
        </w:rPr>
        <w:t>AUC</w:t>
      </w:r>
    </w:p>
    <w:p w14:paraId="28EA874F" w14:textId="77777777" w:rsidR="001825E2" w:rsidRDefault="000839A5" w:rsidP="00CB00A7">
      <w:pPr>
        <w:spacing w:line="167" w:lineRule="exact"/>
        <w:ind w:left="186"/>
        <w:rPr>
          <w:rFonts w:ascii="Arial"/>
          <w:b/>
          <w:sz w:val="16"/>
        </w:rPr>
      </w:pPr>
      <w:proofErr w:type="spellStart"/>
      <w:r>
        <w:rPr>
          <w:rFonts w:ascii="Arial"/>
          <w:b/>
          <w:spacing w:val="-4"/>
          <w:w w:val="105"/>
          <w:sz w:val="16"/>
        </w:rPr>
        <w:t>Cmax</w:t>
      </w:r>
      <w:proofErr w:type="spellEnd"/>
    </w:p>
    <w:p w14:paraId="4855B53E" w14:textId="77777777" w:rsidR="001825E2" w:rsidRDefault="000839A5" w:rsidP="00CB00A7">
      <w:pPr>
        <w:spacing w:before="114"/>
        <w:ind w:left="250"/>
        <w:rPr>
          <w:rFonts w:ascii="Arial"/>
          <w:sz w:val="16"/>
        </w:rPr>
      </w:pPr>
      <w:r>
        <w:br w:type="column"/>
      </w:r>
      <w:r>
        <w:rPr>
          <w:rFonts w:ascii="Arial"/>
          <w:sz w:val="16"/>
        </w:rPr>
        <w:t>No</w:t>
      </w:r>
      <w:r>
        <w:rPr>
          <w:rFonts w:ascii="Arial"/>
          <w:spacing w:val="20"/>
          <w:sz w:val="16"/>
        </w:rPr>
        <w:t xml:space="preserve"> </w:t>
      </w:r>
      <w:r>
        <w:rPr>
          <w:rFonts w:ascii="Arial"/>
          <w:sz w:val="16"/>
        </w:rPr>
        <w:t>Dose</w:t>
      </w:r>
      <w:r>
        <w:rPr>
          <w:rFonts w:ascii="Arial"/>
          <w:spacing w:val="-2"/>
          <w:sz w:val="16"/>
        </w:rPr>
        <w:t xml:space="preserve"> Adjustment</w:t>
      </w:r>
    </w:p>
    <w:p w14:paraId="1B16F9AC" w14:textId="77777777" w:rsidR="001825E2" w:rsidRDefault="001825E2" w:rsidP="00CB00A7">
      <w:pPr>
        <w:pStyle w:val="BodyText"/>
        <w:jc w:val="left"/>
        <w:rPr>
          <w:rFonts w:ascii="Arial"/>
          <w:sz w:val="16"/>
        </w:rPr>
      </w:pPr>
    </w:p>
    <w:p w14:paraId="5B74EF69" w14:textId="77777777" w:rsidR="001825E2" w:rsidRDefault="001825E2" w:rsidP="00CB00A7">
      <w:pPr>
        <w:pStyle w:val="BodyText"/>
        <w:spacing w:before="63"/>
        <w:jc w:val="left"/>
        <w:rPr>
          <w:rFonts w:ascii="Arial"/>
          <w:sz w:val="16"/>
        </w:rPr>
      </w:pPr>
    </w:p>
    <w:p w14:paraId="30116444" w14:textId="77777777" w:rsidR="001825E2" w:rsidRDefault="000839A5" w:rsidP="00CB00A7">
      <w:pPr>
        <w:ind w:left="250"/>
        <w:rPr>
          <w:rFonts w:ascii="Arial"/>
          <w:sz w:val="16"/>
        </w:rPr>
      </w:pPr>
      <w:r>
        <w:rPr>
          <w:noProof/>
        </w:rPr>
        <mc:AlternateContent>
          <mc:Choice Requires="wpg">
            <w:drawing>
              <wp:anchor distT="0" distB="0" distL="0" distR="0" simplePos="0" relativeHeight="15742464" behindDoc="0" locked="0" layoutInCell="1" allowOverlap="1" wp14:anchorId="6163B5AC" wp14:editId="493D8284">
                <wp:simplePos x="0" y="0"/>
                <wp:positionH relativeFrom="page">
                  <wp:posOffset>3300095</wp:posOffset>
                </wp:positionH>
                <wp:positionV relativeFrom="paragraph">
                  <wp:posOffset>123826</wp:posOffset>
                </wp:positionV>
                <wp:extent cx="556260" cy="75565"/>
                <wp:effectExtent l="0" t="0" r="0" b="0"/>
                <wp:wrapNone/>
                <wp:docPr id="286"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6260" cy="75565"/>
                          <a:chOff x="0" y="0"/>
                          <a:chExt cx="556260" cy="75565"/>
                        </a:xfrm>
                      </wpg:grpSpPr>
                      <pic:pic xmlns:pic="http://schemas.openxmlformats.org/drawingml/2006/picture">
                        <pic:nvPicPr>
                          <pic:cNvPr id="287" name="Image 287"/>
                          <pic:cNvPicPr/>
                        </pic:nvPicPr>
                        <pic:blipFill>
                          <a:blip r:embed="rId20" cstate="print"/>
                          <a:stretch>
                            <a:fillRect/>
                          </a:stretch>
                        </pic:blipFill>
                        <pic:spPr>
                          <a:xfrm>
                            <a:off x="198437" y="0"/>
                            <a:ext cx="75247" cy="75247"/>
                          </a:xfrm>
                          <a:prstGeom prst="rect">
                            <a:avLst/>
                          </a:prstGeom>
                        </pic:spPr>
                      </pic:pic>
                      <wps:wsp>
                        <wps:cNvPr id="288" name="Graphic 288"/>
                        <wps:cNvSpPr/>
                        <wps:spPr>
                          <a:xfrm>
                            <a:off x="8889" y="39687"/>
                            <a:ext cx="538480" cy="1270"/>
                          </a:xfrm>
                          <a:custGeom>
                            <a:avLst/>
                            <a:gdLst/>
                            <a:ahLst/>
                            <a:cxnLst/>
                            <a:rect l="l" t="t" r="r" b="b"/>
                            <a:pathLst>
                              <a:path w="538480">
                                <a:moveTo>
                                  <a:pt x="0" y="0"/>
                                </a:moveTo>
                                <a:lnTo>
                                  <a:pt x="538480" y="0"/>
                                </a:lnTo>
                              </a:path>
                            </a:pathLst>
                          </a:custGeom>
                          <a:ln w="17780">
                            <a:solidFill>
                              <a:srgbClr val="000000"/>
                            </a:solidFill>
                            <a:prstDash val="solid"/>
                          </a:ln>
                        </wps:spPr>
                        <wps:bodyPr wrap="square" lIns="0" tIns="0" rIns="0" bIns="0" rtlCol="0">
                          <a:prstTxWarp prst="textNoShape">
                            <a:avLst/>
                          </a:prstTxWarp>
                          <a:noAutofit/>
                        </wps:bodyPr>
                      </wps:wsp>
                      <wps:wsp>
                        <wps:cNvPr id="289" name="Graphic 289"/>
                        <wps:cNvSpPr/>
                        <wps:spPr>
                          <a:xfrm>
                            <a:off x="8889" y="13017"/>
                            <a:ext cx="1270" cy="53340"/>
                          </a:xfrm>
                          <a:custGeom>
                            <a:avLst/>
                            <a:gdLst/>
                            <a:ahLst/>
                            <a:cxnLst/>
                            <a:rect l="l" t="t" r="r" b="b"/>
                            <a:pathLst>
                              <a:path h="53340">
                                <a:moveTo>
                                  <a:pt x="0" y="53339"/>
                                </a:moveTo>
                                <a:lnTo>
                                  <a:pt x="0" y="0"/>
                                </a:lnTo>
                              </a:path>
                            </a:pathLst>
                          </a:custGeom>
                          <a:ln w="17780">
                            <a:solidFill>
                              <a:srgbClr val="000000"/>
                            </a:solidFill>
                            <a:prstDash val="solid"/>
                          </a:ln>
                        </wps:spPr>
                        <wps:bodyPr wrap="square" lIns="0" tIns="0" rIns="0" bIns="0" rtlCol="0">
                          <a:prstTxWarp prst="textNoShape">
                            <a:avLst/>
                          </a:prstTxWarp>
                          <a:noAutofit/>
                        </wps:bodyPr>
                      </wps:wsp>
                      <wps:wsp>
                        <wps:cNvPr id="290" name="Graphic 290"/>
                        <wps:cNvSpPr/>
                        <wps:spPr>
                          <a:xfrm>
                            <a:off x="547369" y="13017"/>
                            <a:ext cx="1270" cy="53340"/>
                          </a:xfrm>
                          <a:custGeom>
                            <a:avLst/>
                            <a:gdLst/>
                            <a:ahLst/>
                            <a:cxnLst/>
                            <a:rect l="l" t="t" r="r" b="b"/>
                            <a:pathLst>
                              <a:path h="53340">
                                <a:moveTo>
                                  <a:pt x="0" y="53339"/>
                                </a:moveTo>
                                <a:lnTo>
                                  <a:pt x="0" y="0"/>
                                </a:lnTo>
                              </a:path>
                            </a:pathLst>
                          </a:custGeom>
                          <a:ln w="1778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502191E" id="Group 286" o:spid="_x0000_s1026" style="position:absolute;margin-left:259.85pt;margin-top:9.75pt;width:43.8pt;height:5.95pt;z-index:15742464;mso-wrap-distance-left:0;mso-wrap-distance-right:0;mso-position-horizontal-relative:page" coordsize="5562,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">
                <v:shape id="Image 287" o:spid="_x0000_s1027" type="#_x0000_t75" style="position:absolute;left:1984;width:752;height: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">
                  <v:imagedata r:id="rId36" o:title=""/>
                </v:shape>
                <v:shape id="Graphic 288" o:spid="_x0000_s1028" style="position:absolute;left:88;top:396;width:5385;height:13;visibility:visible;mso-wrap-style:square;v-text-anchor:top" coordsize="538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" path="m,l538480,e" filled="f" strokeweight="1.4pt">
                  <v:path arrowok="t"/>
                </v:shape>
                <v:shape id="Graphic 289" o:spid="_x0000_s1029" style="position:absolute;left:88;top:130;width:13;height:533;visibility:visible;mso-wrap-style:square;v-text-anchor:top" coordsize="127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" path="m,53339l,e" filled="f" strokeweight="1.4pt">
                  <v:path arrowok="t"/>
                </v:shape>
                <v:shape id="Graphic 290" o:spid="_x0000_s1030" style="position:absolute;left:5473;top:130;width:13;height:533;visibility:visible;mso-wrap-style:square;v-text-anchor:top" coordsize="127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" path="m,53339l,e" filled="f" strokeweight="1.4pt">
                  <v:path arrowok="t"/>
                </v:shape>
                <w10:wrap anchorx="page"/>
              </v:group>
            </w:pict>
          </mc:Fallback>
        </mc:AlternateContent>
      </w:r>
      <w:r>
        <w:rPr>
          <w:rFonts w:ascii="Arial"/>
          <w:spacing w:val="2"/>
          <w:sz w:val="16"/>
        </w:rPr>
        <w:t>Dose</w:t>
      </w:r>
      <w:r>
        <w:rPr>
          <w:rFonts w:ascii="Arial"/>
          <w:spacing w:val="6"/>
          <w:sz w:val="16"/>
        </w:rPr>
        <w:t xml:space="preserve"> </w:t>
      </w:r>
      <w:proofErr w:type="spellStart"/>
      <w:r>
        <w:rPr>
          <w:rFonts w:ascii="Arial"/>
          <w:spacing w:val="-2"/>
          <w:sz w:val="16"/>
        </w:rPr>
        <w:t>Adjustment</w:t>
      </w:r>
      <w:r>
        <w:rPr>
          <w:rFonts w:ascii="Arial"/>
          <w:spacing w:val="-2"/>
          <w:sz w:val="16"/>
          <w:vertAlign w:val="superscript"/>
        </w:rPr>
        <w:t>a</w:t>
      </w:r>
      <w:proofErr w:type="spellEnd"/>
    </w:p>
    <w:p w14:paraId="2640455E" w14:textId="77777777" w:rsidR="001825E2" w:rsidRDefault="001825E2" w:rsidP="00CB00A7">
      <w:pPr>
        <w:rPr>
          <w:rFonts w:ascii="Arial"/>
          <w:sz w:val="16"/>
        </w:rPr>
        <w:sectPr w:rsidR="001825E2">
          <w:type w:val="continuous"/>
          <w:pgSz w:w="11910" w:h="16850"/>
          <w:pgMar w:top="1420" w:right="700" w:bottom="980" w:left="1220" w:header="0" w:footer="785" w:gutter="0"/>
          <w:cols w:num="3" w:space="720" w:equalWidth="0">
            <w:col w:w="1689" w:space="40"/>
            <w:col w:w="676" w:space="4465"/>
            <w:col w:w="3120"/>
          </w:cols>
        </w:sectPr>
      </w:pPr>
    </w:p>
    <w:p w14:paraId="0AB1F7A0" w14:textId="77777777" w:rsidR="001825E2" w:rsidRDefault="001825E2" w:rsidP="00CB00A7">
      <w:pPr>
        <w:pStyle w:val="BodyText"/>
        <w:spacing w:before="172"/>
        <w:jc w:val="left"/>
        <w:rPr>
          <w:rFonts w:ascii="Arial"/>
          <w:sz w:val="20"/>
        </w:rPr>
      </w:pPr>
    </w:p>
    <w:p w14:paraId="68756BBF" w14:textId="77777777" w:rsidR="001825E2" w:rsidRDefault="000839A5" w:rsidP="00CB00A7">
      <w:pPr>
        <w:pStyle w:val="BodyText"/>
        <w:spacing w:line="141" w:lineRule="exact"/>
        <w:ind w:left="2870"/>
        <w:jc w:val="left"/>
        <w:rPr>
          <w:rFonts w:ascii="Arial"/>
          <w:sz w:val="14"/>
        </w:rPr>
      </w:pPr>
      <w:r>
        <w:rPr>
          <w:rFonts w:ascii="Arial"/>
          <w:noProof/>
          <w:position w:val="-2"/>
          <w:sz w:val="14"/>
        </w:rPr>
        <mc:AlternateContent>
          <mc:Choice Requires="wpg">
            <w:drawing>
              <wp:inline distT="0" distB="0" distL="0" distR="0" wp14:anchorId="57C4E588" wp14:editId="37A67B9B">
                <wp:extent cx="2527300" cy="84455"/>
                <wp:effectExtent l="0" t="0" r="0" b="10794"/>
                <wp:docPr id="291"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7300" cy="84455"/>
                          <a:chOff x="0" y="0"/>
                          <a:chExt cx="2527300" cy="84455"/>
                        </a:xfrm>
                      </wpg:grpSpPr>
                      <wps:wsp>
                        <wps:cNvPr id="292" name="Graphic 292"/>
                        <wps:cNvSpPr/>
                        <wps:spPr>
                          <a:xfrm>
                            <a:off x="4762" y="4762"/>
                            <a:ext cx="2517775" cy="79375"/>
                          </a:xfrm>
                          <a:custGeom>
                            <a:avLst/>
                            <a:gdLst/>
                            <a:ahLst/>
                            <a:cxnLst/>
                            <a:rect l="l" t="t" r="r" b="b"/>
                            <a:pathLst>
                              <a:path w="2517775" h="79375">
                                <a:moveTo>
                                  <a:pt x="0" y="0"/>
                                </a:moveTo>
                                <a:lnTo>
                                  <a:pt x="2517775" y="0"/>
                                </a:lnTo>
                              </a:path>
                              <a:path w="2517775" h="79375">
                                <a:moveTo>
                                  <a:pt x="0" y="0"/>
                                </a:moveTo>
                                <a:lnTo>
                                  <a:pt x="0" y="79375"/>
                                </a:lnTo>
                              </a:path>
                            </a:pathLst>
                          </a:custGeom>
                          <a:ln w="9525">
                            <a:solidFill>
                              <a:srgbClr val="000000"/>
                            </a:solidFill>
                            <a:prstDash val="solid"/>
                          </a:ln>
                        </wps:spPr>
                        <wps:bodyPr wrap="square" lIns="0" tIns="0" rIns="0" bIns="0" rtlCol="0">
                          <a:prstTxWarp prst="textNoShape">
                            <a:avLst/>
                          </a:prstTxWarp>
                          <a:noAutofit/>
                        </wps:bodyPr>
                      </wps:wsp>
                      <wps:wsp>
                        <wps:cNvPr id="293" name="Graphic 293"/>
                        <wps:cNvSpPr/>
                        <wps:spPr>
                          <a:xfrm>
                            <a:off x="163512" y="4762"/>
                            <a:ext cx="1270" cy="79375"/>
                          </a:xfrm>
                          <a:custGeom>
                            <a:avLst/>
                            <a:gdLst/>
                            <a:ahLst/>
                            <a:cxnLst/>
                            <a:rect l="l" t="t" r="r" b="b"/>
                            <a:pathLst>
                              <a:path h="79375">
                                <a:moveTo>
                                  <a:pt x="0" y="0"/>
                                </a:moveTo>
                                <a:lnTo>
                                  <a:pt x="0" y="79375"/>
                                </a:lnTo>
                              </a:path>
                            </a:pathLst>
                          </a:custGeom>
                          <a:ln w="9525">
                            <a:solidFill>
                              <a:srgbClr val="000000"/>
                            </a:solidFill>
                            <a:prstDash val="solid"/>
                          </a:ln>
                        </wps:spPr>
                        <wps:bodyPr wrap="square" lIns="0" tIns="0" rIns="0" bIns="0" rtlCol="0">
                          <a:prstTxWarp prst="textNoShape">
                            <a:avLst/>
                          </a:prstTxWarp>
                          <a:noAutofit/>
                        </wps:bodyPr>
                      </wps:wsp>
                      <wps:wsp>
                        <wps:cNvPr id="294" name="Graphic 294"/>
                        <wps:cNvSpPr/>
                        <wps:spPr>
                          <a:xfrm>
                            <a:off x="322897" y="4762"/>
                            <a:ext cx="1270" cy="79375"/>
                          </a:xfrm>
                          <a:custGeom>
                            <a:avLst/>
                            <a:gdLst/>
                            <a:ahLst/>
                            <a:cxnLst/>
                            <a:rect l="l" t="t" r="r" b="b"/>
                            <a:pathLst>
                              <a:path h="79375">
                                <a:moveTo>
                                  <a:pt x="0" y="0"/>
                                </a:moveTo>
                                <a:lnTo>
                                  <a:pt x="0" y="79375"/>
                                </a:lnTo>
                              </a:path>
                            </a:pathLst>
                          </a:custGeom>
                          <a:ln w="9525">
                            <a:solidFill>
                              <a:srgbClr val="000000"/>
                            </a:solidFill>
                            <a:prstDash val="solid"/>
                          </a:ln>
                        </wps:spPr>
                        <wps:bodyPr wrap="square" lIns="0" tIns="0" rIns="0" bIns="0" rtlCol="0">
                          <a:prstTxWarp prst="textNoShape">
                            <a:avLst/>
                          </a:prstTxWarp>
                          <a:noAutofit/>
                        </wps:bodyPr>
                      </wps:wsp>
                      <wps:wsp>
                        <wps:cNvPr id="295" name="Graphic 295"/>
                        <wps:cNvSpPr/>
                        <wps:spPr>
                          <a:xfrm>
                            <a:off x="481647" y="4762"/>
                            <a:ext cx="1270" cy="79375"/>
                          </a:xfrm>
                          <a:custGeom>
                            <a:avLst/>
                            <a:gdLst/>
                            <a:ahLst/>
                            <a:cxnLst/>
                            <a:rect l="l" t="t" r="r" b="b"/>
                            <a:pathLst>
                              <a:path h="79375">
                                <a:moveTo>
                                  <a:pt x="0" y="0"/>
                                </a:moveTo>
                                <a:lnTo>
                                  <a:pt x="0" y="79375"/>
                                </a:lnTo>
                              </a:path>
                            </a:pathLst>
                          </a:custGeom>
                          <a:ln w="9525">
                            <a:solidFill>
                              <a:srgbClr val="000000"/>
                            </a:solidFill>
                            <a:prstDash val="solid"/>
                          </a:ln>
                        </wps:spPr>
                        <wps:bodyPr wrap="square" lIns="0" tIns="0" rIns="0" bIns="0" rtlCol="0">
                          <a:prstTxWarp prst="textNoShape">
                            <a:avLst/>
                          </a:prstTxWarp>
                          <a:noAutofit/>
                        </wps:bodyPr>
                      </wps:wsp>
                      <wps:wsp>
                        <wps:cNvPr id="296" name="Graphic 296"/>
                        <wps:cNvSpPr/>
                        <wps:spPr>
                          <a:xfrm>
                            <a:off x="640397" y="4762"/>
                            <a:ext cx="1270" cy="79375"/>
                          </a:xfrm>
                          <a:custGeom>
                            <a:avLst/>
                            <a:gdLst/>
                            <a:ahLst/>
                            <a:cxnLst/>
                            <a:rect l="l" t="t" r="r" b="b"/>
                            <a:pathLst>
                              <a:path h="79375">
                                <a:moveTo>
                                  <a:pt x="0" y="0"/>
                                </a:moveTo>
                                <a:lnTo>
                                  <a:pt x="0" y="79375"/>
                                </a:lnTo>
                              </a:path>
                            </a:pathLst>
                          </a:custGeom>
                          <a:ln w="9525">
                            <a:solidFill>
                              <a:srgbClr val="000000"/>
                            </a:solidFill>
                            <a:prstDash val="solid"/>
                          </a:ln>
                        </wps:spPr>
                        <wps:bodyPr wrap="square" lIns="0" tIns="0" rIns="0" bIns="0" rtlCol="0">
                          <a:prstTxWarp prst="textNoShape">
                            <a:avLst/>
                          </a:prstTxWarp>
                          <a:noAutofit/>
                        </wps:bodyPr>
                      </wps:wsp>
                      <wps:wsp>
                        <wps:cNvPr id="297" name="Graphic 297"/>
                        <wps:cNvSpPr/>
                        <wps:spPr>
                          <a:xfrm>
                            <a:off x="790892" y="4762"/>
                            <a:ext cx="1270" cy="79375"/>
                          </a:xfrm>
                          <a:custGeom>
                            <a:avLst/>
                            <a:gdLst/>
                            <a:ahLst/>
                            <a:cxnLst/>
                            <a:rect l="l" t="t" r="r" b="b"/>
                            <a:pathLst>
                              <a:path h="79375">
                                <a:moveTo>
                                  <a:pt x="0" y="0"/>
                                </a:moveTo>
                                <a:lnTo>
                                  <a:pt x="0" y="79375"/>
                                </a:lnTo>
                              </a:path>
                            </a:pathLst>
                          </a:custGeom>
                          <a:ln w="9525">
                            <a:solidFill>
                              <a:srgbClr val="000000"/>
                            </a:solidFill>
                            <a:prstDash val="solid"/>
                          </a:ln>
                        </wps:spPr>
                        <wps:bodyPr wrap="square" lIns="0" tIns="0" rIns="0" bIns="0" rtlCol="0">
                          <a:prstTxWarp prst="textNoShape">
                            <a:avLst/>
                          </a:prstTxWarp>
                          <a:noAutofit/>
                        </wps:bodyPr>
                      </wps:wsp>
                      <wps:wsp>
                        <wps:cNvPr id="298" name="Graphic 298"/>
                        <wps:cNvSpPr/>
                        <wps:spPr>
                          <a:xfrm>
                            <a:off x="949642" y="4762"/>
                            <a:ext cx="1270" cy="79375"/>
                          </a:xfrm>
                          <a:custGeom>
                            <a:avLst/>
                            <a:gdLst/>
                            <a:ahLst/>
                            <a:cxnLst/>
                            <a:rect l="l" t="t" r="r" b="b"/>
                            <a:pathLst>
                              <a:path h="79375">
                                <a:moveTo>
                                  <a:pt x="0" y="0"/>
                                </a:moveTo>
                                <a:lnTo>
                                  <a:pt x="0" y="79375"/>
                                </a:lnTo>
                              </a:path>
                            </a:pathLst>
                          </a:custGeom>
                          <a:ln w="9525">
                            <a:solidFill>
                              <a:srgbClr val="000000"/>
                            </a:solidFill>
                            <a:prstDash val="solid"/>
                          </a:ln>
                        </wps:spPr>
                        <wps:bodyPr wrap="square" lIns="0" tIns="0" rIns="0" bIns="0" rtlCol="0">
                          <a:prstTxWarp prst="textNoShape">
                            <a:avLst/>
                          </a:prstTxWarp>
                          <a:noAutofit/>
                        </wps:bodyPr>
                      </wps:wsp>
                      <wps:wsp>
                        <wps:cNvPr id="299" name="Graphic 299"/>
                        <wps:cNvSpPr/>
                        <wps:spPr>
                          <a:xfrm>
                            <a:off x="1109027" y="4762"/>
                            <a:ext cx="1270" cy="79375"/>
                          </a:xfrm>
                          <a:custGeom>
                            <a:avLst/>
                            <a:gdLst/>
                            <a:ahLst/>
                            <a:cxnLst/>
                            <a:rect l="l" t="t" r="r" b="b"/>
                            <a:pathLst>
                              <a:path h="79375">
                                <a:moveTo>
                                  <a:pt x="0" y="0"/>
                                </a:moveTo>
                                <a:lnTo>
                                  <a:pt x="0" y="79375"/>
                                </a:lnTo>
                              </a:path>
                            </a:pathLst>
                          </a:custGeom>
                          <a:ln w="9525">
                            <a:solidFill>
                              <a:srgbClr val="000000"/>
                            </a:solidFill>
                            <a:prstDash val="solid"/>
                          </a:ln>
                        </wps:spPr>
                        <wps:bodyPr wrap="square" lIns="0" tIns="0" rIns="0" bIns="0" rtlCol="0">
                          <a:prstTxWarp prst="textNoShape">
                            <a:avLst/>
                          </a:prstTxWarp>
                          <a:noAutofit/>
                        </wps:bodyPr>
                      </wps:wsp>
                      <wps:wsp>
                        <wps:cNvPr id="300" name="Graphic 300"/>
                        <wps:cNvSpPr/>
                        <wps:spPr>
                          <a:xfrm>
                            <a:off x="1267777" y="4762"/>
                            <a:ext cx="1270" cy="79375"/>
                          </a:xfrm>
                          <a:custGeom>
                            <a:avLst/>
                            <a:gdLst/>
                            <a:ahLst/>
                            <a:cxnLst/>
                            <a:rect l="l" t="t" r="r" b="b"/>
                            <a:pathLst>
                              <a:path h="79375">
                                <a:moveTo>
                                  <a:pt x="0" y="0"/>
                                </a:moveTo>
                                <a:lnTo>
                                  <a:pt x="0" y="79375"/>
                                </a:lnTo>
                              </a:path>
                            </a:pathLst>
                          </a:custGeom>
                          <a:ln w="9525">
                            <a:solidFill>
                              <a:srgbClr val="000000"/>
                            </a:solidFill>
                            <a:prstDash val="solid"/>
                          </a:ln>
                        </wps:spPr>
                        <wps:bodyPr wrap="square" lIns="0" tIns="0" rIns="0" bIns="0" rtlCol="0">
                          <a:prstTxWarp prst="textNoShape">
                            <a:avLst/>
                          </a:prstTxWarp>
                          <a:noAutofit/>
                        </wps:bodyPr>
                      </wps:wsp>
                      <wps:wsp>
                        <wps:cNvPr id="301" name="Graphic 301"/>
                        <wps:cNvSpPr/>
                        <wps:spPr>
                          <a:xfrm>
                            <a:off x="1427162" y="4762"/>
                            <a:ext cx="1270" cy="79375"/>
                          </a:xfrm>
                          <a:custGeom>
                            <a:avLst/>
                            <a:gdLst/>
                            <a:ahLst/>
                            <a:cxnLst/>
                            <a:rect l="l" t="t" r="r" b="b"/>
                            <a:pathLst>
                              <a:path h="79375">
                                <a:moveTo>
                                  <a:pt x="0" y="0"/>
                                </a:moveTo>
                                <a:lnTo>
                                  <a:pt x="0" y="79375"/>
                                </a:lnTo>
                              </a:path>
                            </a:pathLst>
                          </a:custGeom>
                          <a:ln w="9525">
                            <a:solidFill>
                              <a:srgbClr val="000000"/>
                            </a:solidFill>
                            <a:prstDash val="solid"/>
                          </a:ln>
                        </wps:spPr>
                        <wps:bodyPr wrap="square" lIns="0" tIns="0" rIns="0" bIns="0" rtlCol="0">
                          <a:prstTxWarp prst="textNoShape">
                            <a:avLst/>
                          </a:prstTxWarp>
                          <a:noAutofit/>
                        </wps:bodyPr>
                      </wps:wsp>
                      <wps:wsp>
                        <wps:cNvPr id="302" name="Graphic 302"/>
                        <wps:cNvSpPr/>
                        <wps:spPr>
                          <a:xfrm>
                            <a:off x="1577022" y="4762"/>
                            <a:ext cx="1270" cy="79375"/>
                          </a:xfrm>
                          <a:custGeom>
                            <a:avLst/>
                            <a:gdLst/>
                            <a:ahLst/>
                            <a:cxnLst/>
                            <a:rect l="l" t="t" r="r" b="b"/>
                            <a:pathLst>
                              <a:path h="79375">
                                <a:moveTo>
                                  <a:pt x="0" y="0"/>
                                </a:moveTo>
                                <a:lnTo>
                                  <a:pt x="0" y="79375"/>
                                </a:lnTo>
                              </a:path>
                            </a:pathLst>
                          </a:custGeom>
                          <a:ln w="9525">
                            <a:solidFill>
                              <a:srgbClr val="000000"/>
                            </a:solidFill>
                            <a:prstDash val="solid"/>
                          </a:ln>
                        </wps:spPr>
                        <wps:bodyPr wrap="square" lIns="0" tIns="0" rIns="0" bIns="0" rtlCol="0">
                          <a:prstTxWarp prst="textNoShape">
                            <a:avLst/>
                          </a:prstTxWarp>
                          <a:noAutofit/>
                        </wps:bodyPr>
                      </wps:wsp>
                      <wps:wsp>
                        <wps:cNvPr id="303" name="Graphic 303"/>
                        <wps:cNvSpPr/>
                        <wps:spPr>
                          <a:xfrm>
                            <a:off x="1736407" y="4762"/>
                            <a:ext cx="1270" cy="79375"/>
                          </a:xfrm>
                          <a:custGeom>
                            <a:avLst/>
                            <a:gdLst/>
                            <a:ahLst/>
                            <a:cxnLst/>
                            <a:rect l="l" t="t" r="r" b="b"/>
                            <a:pathLst>
                              <a:path h="79375">
                                <a:moveTo>
                                  <a:pt x="0" y="0"/>
                                </a:moveTo>
                                <a:lnTo>
                                  <a:pt x="0" y="79375"/>
                                </a:lnTo>
                              </a:path>
                            </a:pathLst>
                          </a:custGeom>
                          <a:ln w="9525">
                            <a:solidFill>
                              <a:srgbClr val="000000"/>
                            </a:solidFill>
                            <a:prstDash val="solid"/>
                          </a:ln>
                        </wps:spPr>
                        <wps:bodyPr wrap="square" lIns="0" tIns="0" rIns="0" bIns="0" rtlCol="0">
                          <a:prstTxWarp prst="textNoShape">
                            <a:avLst/>
                          </a:prstTxWarp>
                          <a:noAutofit/>
                        </wps:bodyPr>
                      </wps:wsp>
                      <wps:wsp>
                        <wps:cNvPr id="304" name="Graphic 304"/>
                        <wps:cNvSpPr/>
                        <wps:spPr>
                          <a:xfrm>
                            <a:off x="1895157" y="4762"/>
                            <a:ext cx="1270" cy="79375"/>
                          </a:xfrm>
                          <a:custGeom>
                            <a:avLst/>
                            <a:gdLst/>
                            <a:ahLst/>
                            <a:cxnLst/>
                            <a:rect l="l" t="t" r="r" b="b"/>
                            <a:pathLst>
                              <a:path h="79375">
                                <a:moveTo>
                                  <a:pt x="0" y="0"/>
                                </a:moveTo>
                                <a:lnTo>
                                  <a:pt x="0" y="79375"/>
                                </a:lnTo>
                              </a:path>
                            </a:pathLst>
                          </a:custGeom>
                          <a:ln w="9525">
                            <a:solidFill>
                              <a:srgbClr val="000000"/>
                            </a:solidFill>
                            <a:prstDash val="solid"/>
                          </a:ln>
                        </wps:spPr>
                        <wps:bodyPr wrap="square" lIns="0" tIns="0" rIns="0" bIns="0" rtlCol="0">
                          <a:prstTxWarp prst="textNoShape">
                            <a:avLst/>
                          </a:prstTxWarp>
                          <a:noAutofit/>
                        </wps:bodyPr>
                      </wps:wsp>
                      <wps:wsp>
                        <wps:cNvPr id="305" name="Graphic 305"/>
                        <wps:cNvSpPr/>
                        <wps:spPr>
                          <a:xfrm>
                            <a:off x="2054542" y="4762"/>
                            <a:ext cx="1270" cy="79375"/>
                          </a:xfrm>
                          <a:custGeom>
                            <a:avLst/>
                            <a:gdLst/>
                            <a:ahLst/>
                            <a:cxnLst/>
                            <a:rect l="l" t="t" r="r" b="b"/>
                            <a:pathLst>
                              <a:path h="79375">
                                <a:moveTo>
                                  <a:pt x="0" y="0"/>
                                </a:moveTo>
                                <a:lnTo>
                                  <a:pt x="0" y="79375"/>
                                </a:lnTo>
                              </a:path>
                            </a:pathLst>
                          </a:custGeom>
                          <a:ln w="9525">
                            <a:solidFill>
                              <a:srgbClr val="000000"/>
                            </a:solidFill>
                            <a:prstDash val="solid"/>
                          </a:ln>
                        </wps:spPr>
                        <wps:bodyPr wrap="square" lIns="0" tIns="0" rIns="0" bIns="0" rtlCol="0">
                          <a:prstTxWarp prst="textNoShape">
                            <a:avLst/>
                          </a:prstTxWarp>
                          <a:noAutofit/>
                        </wps:bodyPr>
                      </wps:wsp>
                      <wps:wsp>
                        <wps:cNvPr id="306" name="Graphic 306"/>
                        <wps:cNvSpPr/>
                        <wps:spPr>
                          <a:xfrm>
                            <a:off x="2213292" y="4762"/>
                            <a:ext cx="1270" cy="79375"/>
                          </a:xfrm>
                          <a:custGeom>
                            <a:avLst/>
                            <a:gdLst/>
                            <a:ahLst/>
                            <a:cxnLst/>
                            <a:rect l="l" t="t" r="r" b="b"/>
                            <a:pathLst>
                              <a:path h="79375">
                                <a:moveTo>
                                  <a:pt x="0" y="0"/>
                                </a:moveTo>
                                <a:lnTo>
                                  <a:pt x="0" y="79375"/>
                                </a:lnTo>
                              </a:path>
                            </a:pathLst>
                          </a:custGeom>
                          <a:ln w="9525">
                            <a:solidFill>
                              <a:srgbClr val="000000"/>
                            </a:solidFill>
                            <a:prstDash val="solid"/>
                          </a:ln>
                        </wps:spPr>
                        <wps:bodyPr wrap="square" lIns="0" tIns="0" rIns="0" bIns="0" rtlCol="0">
                          <a:prstTxWarp prst="textNoShape">
                            <a:avLst/>
                          </a:prstTxWarp>
                          <a:noAutofit/>
                        </wps:bodyPr>
                      </wps:wsp>
                      <wps:wsp>
                        <wps:cNvPr id="307" name="Graphic 307"/>
                        <wps:cNvSpPr/>
                        <wps:spPr>
                          <a:xfrm>
                            <a:off x="2372042" y="4762"/>
                            <a:ext cx="1270" cy="79375"/>
                          </a:xfrm>
                          <a:custGeom>
                            <a:avLst/>
                            <a:gdLst/>
                            <a:ahLst/>
                            <a:cxnLst/>
                            <a:rect l="l" t="t" r="r" b="b"/>
                            <a:pathLst>
                              <a:path h="79375">
                                <a:moveTo>
                                  <a:pt x="0" y="0"/>
                                </a:moveTo>
                                <a:lnTo>
                                  <a:pt x="0" y="79375"/>
                                </a:lnTo>
                              </a:path>
                            </a:pathLst>
                          </a:custGeom>
                          <a:ln w="9525">
                            <a:solidFill>
                              <a:srgbClr val="000000"/>
                            </a:solidFill>
                            <a:prstDash val="solid"/>
                          </a:ln>
                        </wps:spPr>
                        <wps:bodyPr wrap="square" lIns="0" tIns="0" rIns="0" bIns="0" rtlCol="0">
                          <a:prstTxWarp prst="textNoShape">
                            <a:avLst/>
                          </a:prstTxWarp>
                          <a:noAutofit/>
                        </wps:bodyPr>
                      </wps:wsp>
                      <wps:wsp>
                        <wps:cNvPr id="308" name="Graphic 308"/>
                        <wps:cNvSpPr/>
                        <wps:spPr>
                          <a:xfrm>
                            <a:off x="2522537" y="4762"/>
                            <a:ext cx="1270" cy="79375"/>
                          </a:xfrm>
                          <a:custGeom>
                            <a:avLst/>
                            <a:gdLst/>
                            <a:ahLst/>
                            <a:cxnLst/>
                            <a:rect l="l" t="t" r="r" b="b"/>
                            <a:pathLst>
                              <a:path h="79375">
                                <a:moveTo>
                                  <a:pt x="0" y="0"/>
                                </a:moveTo>
                                <a:lnTo>
                                  <a:pt x="0" y="79375"/>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B1B83F6" id="Group 291" o:spid="_x0000_s1026" style="width:199pt;height:6.65pt;mso-position-horizontal-relative:char;mso-position-vertical-relative:line" coordsize="25273,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">
                <v:shape id="Graphic 292" o:spid="_x0000_s1027" style="position:absolute;left:47;top:47;width:25178;height:794;visibility:visible;mso-wrap-style:square;v-text-anchor:top" coordsize="2517775,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" path="m,l2517775,em,l,79375e" filled="f">
                  <v:path arrowok="t"/>
                </v:shape>
                <v:shape id="Graphic 293" o:spid="_x0000_s1028" style="position:absolute;left:1635;top:47;width:12;height:794;visibility:visible;mso-wrap-style:square;v-text-anchor:top" coordsize="127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" path="m,l,79375e" filled="f">
                  <v:path arrowok="t"/>
                </v:shape>
                <v:shape id="Graphic 294" o:spid="_x0000_s1029" style="position:absolute;left:3228;top:47;width:13;height:794;visibility:visible;mso-wrap-style:square;v-text-anchor:top" coordsize="127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" path="m,l,79375e" filled="f">
                  <v:path arrowok="t"/>
                </v:shape>
                <v:shape id="Graphic 295" o:spid="_x0000_s1030" style="position:absolute;left:4816;top:47;width:13;height:794;visibility:visible;mso-wrap-style:square;v-text-anchor:top" coordsize="127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" path="m,l,79375e" filled="f">
                  <v:path arrowok="t"/>
                </v:shape>
                <v:shape id="Graphic 296" o:spid="_x0000_s1031" style="position:absolute;left:6403;top:47;width:13;height:794;visibility:visible;mso-wrap-style:square;v-text-anchor:top" coordsize="127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" path="m,l,79375e" filled="f">
                  <v:path arrowok="t"/>
                </v:shape>
                <v:shape id="Graphic 297" o:spid="_x0000_s1032" style="position:absolute;left:7908;top:47;width:13;height:794;visibility:visible;mso-wrap-style:square;v-text-anchor:top" coordsize="127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" path="m,l,79375e" filled="f">
                  <v:path arrowok="t"/>
                </v:shape>
                <v:shape id="Graphic 298" o:spid="_x0000_s1033" style="position:absolute;left:9496;top:47;width:13;height:794;visibility:visible;mso-wrap-style:square;v-text-anchor:top" coordsize="127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" path="m,l,79375e" filled="f">
                  <v:path arrowok="t"/>
                </v:shape>
                <v:shape id="Graphic 299" o:spid="_x0000_s1034" style="position:absolute;left:11090;top:47;width:12;height:794;visibility:visible;mso-wrap-style:square;v-text-anchor:top" coordsize="127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" path="m,l,79375e" filled="f">
                  <v:path arrowok="t"/>
                </v:shape>
                <v:shape id="Graphic 300" o:spid="_x0000_s1035" style="position:absolute;left:12677;top:47;width:13;height:794;visibility:visible;mso-wrap-style:square;v-text-anchor:top" coordsize="127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" path="m,l,79375e" filled="f">
                  <v:path arrowok="t"/>
                </v:shape>
                <v:shape id="Graphic 301" o:spid="_x0000_s1036" style="position:absolute;left:14271;top:47;width:13;height:794;visibility:visible;mso-wrap-style:square;v-text-anchor:top" coordsize="127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" path="m,l,79375e" filled="f">
                  <v:path arrowok="t"/>
                </v:shape>
                <v:shape id="Graphic 302" o:spid="_x0000_s1037" style="position:absolute;left:15770;top:47;width:12;height:794;visibility:visible;mso-wrap-style:square;v-text-anchor:top" coordsize="127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" path="m,l,79375e" filled="f">
                  <v:path arrowok="t"/>
                </v:shape>
                <v:shape id="Graphic 303" o:spid="_x0000_s1038" style="position:absolute;left:17364;top:47;width:12;height:794;visibility:visible;mso-wrap-style:square;v-text-anchor:top" coordsize="127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" path="m,l,79375e" filled="f">
                  <v:path arrowok="t"/>
                </v:shape>
                <v:shape id="Graphic 304" o:spid="_x0000_s1039" style="position:absolute;left:18951;top:47;width:13;height:794;visibility:visible;mso-wrap-style:square;v-text-anchor:top" coordsize="127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" path="m,l,79375e" filled="f">
                  <v:path arrowok="t"/>
                </v:shape>
                <v:shape id="Graphic 305" o:spid="_x0000_s1040" style="position:absolute;left:20545;top:47;width:13;height:794;visibility:visible;mso-wrap-style:square;v-text-anchor:top" coordsize="127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" path="m,l,79375e" filled="f">
                  <v:path arrowok="t"/>
                </v:shape>
                <v:shape id="Graphic 306" o:spid="_x0000_s1041" style="position:absolute;left:22132;top:47;width:13;height:794;visibility:visible;mso-wrap-style:square;v-text-anchor:top" coordsize="127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" path="m,l,79375e" filled="f">
                  <v:path arrowok="t"/>
                </v:shape>
                <v:shape id="Graphic 307" o:spid="_x0000_s1042" style="position:absolute;left:23720;top:47;width:13;height:794;visibility:visible;mso-wrap-style:square;v-text-anchor:top" coordsize="127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" path="m,l,79375e" filled="f">
                  <v:path arrowok="t"/>
                </v:shape>
                <v:shape id="Graphic 308" o:spid="_x0000_s1043" style="position:absolute;left:25225;top:47;width:13;height:794;visibility:visible;mso-wrap-style:square;v-text-anchor:top" coordsize="127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" path="m,l,79375e" filled="f">
                  <v:path arrowok="t"/>
                </v:shape>
                <w10:anchorlock/>
              </v:group>
            </w:pict>
          </mc:Fallback>
        </mc:AlternateContent>
      </w:r>
    </w:p>
    <w:p w14:paraId="7BB3682F" w14:textId="77777777" w:rsidR="001825E2" w:rsidRDefault="000839A5" w:rsidP="00CB00A7">
      <w:pPr>
        <w:tabs>
          <w:tab w:val="left" w:pos="3174"/>
          <w:tab w:val="left" w:pos="3759"/>
          <w:tab w:val="left" w:pos="4164"/>
          <w:tab w:val="left" w:pos="4749"/>
          <w:tab w:val="left" w:pos="5139"/>
          <w:tab w:val="left" w:pos="5739"/>
          <w:tab w:val="left" w:pos="6144"/>
          <w:tab w:val="left" w:pos="6729"/>
        </w:tabs>
        <w:spacing w:before="114"/>
        <w:ind w:left="2755"/>
        <w:rPr>
          <w:rFonts w:ascii="Arial"/>
          <w:b/>
          <w:sz w:val="19"/>
        </w:rPr>
      </w:pPr>
      <w:r>
        <w:rPr>
          <w:rFonts w:ascii="Arial"/>
          <w:b/>
          <w:spacing w:val="-10"/>
          <w:sz w:val="19"/>
        </w:rPr>
        <w:t>0</w:t>
      </w:r>
      <w:r>
        <w:rPr>
          <w:rFonts w:ascii="Arial"/>
          <w:b/>
          <w:sz w:val="19"/>
        </w:rPr>
        <w:tab/>
      </w:r>
      <w:r>
        <w:rPr>
          <w:rFonts w:ascii="Arial"/>
          <w:b/>
          <w:spacing w:val="-5"/>
          <w:sz w:val="19"/>
        </w:rPr>
        <w:t>0.5</w:t>
      </w:r>
      <w:r>
        <w:rPr>
          <w:rFonts w:ascii="Arial"/>
          <w:b/>
          <w:sz w:val="19"/>
        </w:rPr>
        <w:tab/>
      </w:r>
      <w:r>
        <w:rPr>
          <w:rFonts w:ascii="Arial"/>
          <w:b/>
          <w:spacing w:val="-10"/>
          <w:sz w:val="19"/>
        </w:rPr>
        <w:t>1</w:t>
      </w:r>
      <w:r>
        <w:rPr>
          <w:rFonts w:ascii="Arial"/>
          <w:b/>
          <w:sz w:val="19"/>
        </w:rPr>
        <w:tab/>
      </w:r>
      <w:r>
        <w:rPr>
          <w:rFonts w:ascii="Arial"/>
          <w:b/>
          <w:spacing w:val="-5"/>
          <w:sz w:val="19"/>
        </w:rPr>
        <w:t>1.5</w:t>
      </w:r>
      <w:r>
        <w:rPr>
          <w:rFonts w:ascii="Arial"/>
          <w:b/>
          <w:sz w:val="19"/>
        </w:rPr>
        <w:tab/>
      </w:r>
      <w:r>
        <w:rPr>
          <w:rFonts w:ascii="Arial"/>
          <w:b/>
          <w:spacing w:val="-10"/>
          <w:sz w:val="19"/>
        </w:rPr>
        <w:t>2</w:t>
      </w:r>
      <w:r>
        <w:rPr>
          <w:rFonts w:ascii="Arial"/>
          <w:b/>
          <w:sz w:val="19"/>
        </w:rPr>
        <w:tab/>
      </w:r>
      <w:r>
        <w:rPr>
          <w:rFonts w:ascii="Arial"/>
          <w:b/>
          <w:spacing w:val="-5"/>
          <w:sz w:val="19"/>
        </w:rPr>
        <w:t>2.5</w:t>
      </w:r>
      <w:r>
        <w:rPr>
          <w:rFonts w:ascii="Arial"/>
          <w:b/>
          <w:sz w:val="19"/>
        </w:rPr>
        <w:tab/>
      </w:r>
      <w:r>
        <w:rPr>
          <w:rFonts w:ascii="Arial"/>
          <w:b/>
          <w:spacing w:val="-10"/>
          <w:sz w:val="19"/>
        </w:rPr>
        <w:t>3</w:t>
      </w:r>
      <w:r>
        <w:rPr>
          <w:rFonts w:ascii="Arial"/>
          <w:b/>
          <w:sz w:val="19"/>
        </w:rPr>
        <w:tab/>
      </w:r>
      <w:r>
        <w:rPr>
          <w:rFonts w:ascii="Arial"/>
          <w:b/>
          <w:spacing w:val="-5"/>
          <w:sz w:val="19"/>
        </w:rPr>
        <w:t>3.5</w:t>
      </w:r>
      <w:r>
        <w:rPr>
          <w:rFonts w:ascii="Arial"/>
          <w:b/>
          <w:sz w:val="19"/>
        </w:rPr>
        <w:tab/>
      </w:r>
      <w:r>
        <w:rPr>
          <w:rFonts w:ascii="Arial"/>
          <w:b/>
          <w:spacing w:val="-10"/>
          <w:sz w:val="19"/>
        </w:rPr>
        <w:t>4</w:t>
      </w:r>
    </w:p>
    <w:p w14:paraId="2CB0BF32" w14:textId="77777777" w:rsidR="001825E2" w:rsidRDefault="000839A5" w:rsidP="00CB00A7">
      <w:pPr>
        <w:pStyle w:val="Heading3"/>
        <w:spacing w:before="275"/>
        <w:ind w:left="386" w:right="709"/>
        <w:rPr>
          <w:rFonts w:ascii="Arial"/>
        </w:rPr>
      </w:pPr>
      <w:r>
        <w:rPr>
          <w:rFonts w:ascii="Arial"/>
        </w:rPr>
        <w:t>Ratio</w:t>
      </w:r>
      <w:r>
        <w:rPr>
          <w:rFonts w:ascii="Arial"/>
          <w:spacing w:val="-13"/>
        </w:rPr>
        <w:t xml:space="preserve"> </w:t>
      </w:r>
      <w:r>
        <w:rPr>
          <w:rFonts w:ascii="Arial"/>
        </w:rPr>
        <w:t>relative</w:t>
      </w:r>
      <w:r>
        <w:rPr>
          <w:rFonts w:ascii="Arial"/>
          <w:spacing w:val="12"/>
        </w:rPr>
        <w:t xml:space="preserve"> </w:t>
      </w:r>
      <w:r>
        <w:rPr>
          <w:rFonts w:ascii="Arial"/>
        </w:rPr>
        <w:t>to</w:t>
      </w:r>
      <w:r>
        <w:rPr>
          <w:rFonts w:ascii="Arial"/>
          <w:spacing w:val="1"/>
        </w:rPr>
        <w:t xml:space="preserve"> </w:t>
      </w:r>
      <w:r>
        <w:rPr>
          <w:rFonts w:ascii="Arial"/>
          <w:spacing w:val="-2"/>
        </w:rPr>
        <w:t>reference</w:t>
      </w:r>
    </w:p>
    <w:p w14:paraId="13A3BF34" w14:textId="77777777" w:rsidR="001825E2" w:rsidRDefault="001825E2" w:rsidP="00CB00A7">
      <w:pPr>
        <w:pStyle w:val="BodyText"/>
        <w:spacing w:before="143"/>
        <w:jc w:val="left"/>
        <w:rPr>
          <w:rFonts w:ascii="Arial"/>
          <w:b/>
          <w:sz w:val="19"/>
        </w:rPr>
      </w:pPr>
    </w:p>
    <w:p w14:paraId="0BEADFCC" w14:textId="77777777" w:rsidR="001825E2" w:rsidRDefault="000839A5" w:rsidP="00CB00A7">
      <w:pPr>
        <w:ind w:left="219" w:right="730"/>
        <w:rPr>
          <w:sz w:val="19"/>
        </w:rPr>
      </w:pPr>
      <w:r>
        <w:rPr>
          <w:position w:val="1"/>
          <w:sz w:val="19"/>
        </w:rPr>
        <w:t>Abbreviations: AUC=total area under the concentration time curve; C</w:t>
      </w:r>
      <w:r>
        <w:rPr>
          <w:sz w:val="13"/>
        </w:rPr>
        <w:t>max</w:t>
      </w:r>
      <w:r>
        <w:rPr>
          <w:position w:val="1"/>
          <w:sz w:val="19"/>
        </w:rPr>
        <w:t xml:space="preserve">=maximum plasma concentration; </w:t>
      </w:r>
      <w:r>
        <w:rPr>
          <w:sz w:val="19"/>
        </w:rPr>
        <w:t>PK=pharmacokinetics; CI=confidence</w:t>
      </w:r>
      <w:r>
        <w:rPr>
          <w:spacing w:val="-2"/>
          <w:sz w:val="19"/>
        </w:rPr>
        <w:t xml:space="preserve"> </w:t>
      </w:r>
      <w:r>
        <w:rPr>
          <w:sz w:val="19"/>
        </w:rPr>
        <w:t>interval</w:t>
      </w:r>
    </w:p>
    <w:p w14:paraId="4C984789" w14:textId="77777777" w:rsidR="001825E2" w:rsidRDefault="000839A5" w:rsidP="00CB00A7">
      <w:pPr>
        <w:spacing w:before="39" w:line="247" w:lineRule="auto"/>
        <w:ind w:left="219" w:right="735"/>
        <w:rPr>
          <w:sz w:val="19"/>
        </w:rPr>
      </w:pPr>
      <w:r>
        <w:rPr>
          <w:sz w:val="19"/>
        </w:rPr>
        <w:t>Note: Reference values for weight, age, gender, and race comparisons are 70 kg, 55 yea</w:t>
      </w:r>
      <w:r>
        <w:rPr>
          <w:spacing w:val="-12"/>
          <w:sz w:val="19"/>
        </w:rPr>
        <w:t xml:space="preserve"> </w:t>
      </w:r>
      <w:proofErr w:type="spellStart"/>
      <w:r>
        <w:rPr>
          <w:sz w:val="19"/>
        </w:rPr>
        <w:t>rs</w:t>
      </w:r>
      <w:proofErr w:type="spellEnd"/>
      <w:r>
        <w:rPr>
          <w:sz w:val="19"/>
        </w:rPr>
        <w:t>, male and white, respectively; reference groups for renal and</w:t>
      </w:r>
      <w:r>
        <w:rPr>
          <w:spacing w:val="40"/>
          <w:sz w:val="19"/>
        </w:rPr>
        <w:t xml:space="preserve"> </w:t>
      </w:r>
      <w:r>
        <w:rPr>
          <w:sz w:val="19"/>
        </w:rPr>
        <w:t xml:space="preserve">hepatic </w:t>
      </w:r>
      <w:proofErr w:type="spellStart"/>
      <w:r>
        <w:rPr>
          <w:sz w:val="19"/>
        </w:rPr>
        <w:t>impa</w:t>
      </w:r>
      <w:proofErr w:type="spellEnd"/>
      <w:r>
        <w:rPr>
          <w:spacing w:val="-12"/>
          <w:sz w:val="19"/>
        </w:rPr>
        <w:t xml:space="preserve"> </w:t>
      </w:r>
      <w:proofErr w:type="spellStart"/>
      <w:r>
        <w:rPr>
          <w:sz w:val="19"/>
        </w:rPr>
        <w:t>irment</w:t>
      </w:r>
      <w:proofErr w:type="spellEnd"/>
      <w:r>
        <w:rPr>
          <w:spacing w:val="40"/>
          <w:sz w:val="19"/>
        </w:rPr>
        <w:t xml:space="preserve"> </w:t>
      </w:r>
      <w:r>
        <w:rPr>
          <w:sz w:val="19"/>
        </w:rPr>
        <w:t>data are subjects with</w:t>
      </w:r>
      <w:r>
        <w:rPr>
          <w:spacing w:val="40"/>
          <w:sz w:val="19"/>
        </w:rPr>
        <w:t xml:space="preserve"> </w:t>
      </w:r>
      <w:r>
        <w:rPr>
          <w:sz w:val="19"/>
        </w:rPr>
        <w:t xml:space="preserve">normal renal or hepatic </w:t>
      </w:r>
      <w:r>
        <w:rPr>
          <w:spacing w:val="-2"/>
          <w:sz w:val="19"/>
        </w:rPr>
        <w:t>function.</w:t>
      </w:r>
    </w:p>
    <w:p w14:paraId="08FD35FA" w14:textId="77777777" w:rsidR="001825E2" w:rsidRDefault="000839A5" w:rsidP="00CB00A7">
      <w:pPr>
        <w:spacing w:before="25" w:line="254" w:lineRule="auto"/>
        <w:ind w:left="354" w:right="728" w:hanging="135"/>
        <w:rPr>
          <w:sz w:val="19"/>
        </w:rPr>
      </w:pPr>
      <w:proofErr w:type="spellStart"/>
      <w:r>
        <w:rPr>
          <w:position w:val="6"/>
          <w:sz w:val="13"/>
        </w:rPr>
        <w:t>a</w:t>
      </w:r>
      <w:proofErr w:type="spellEnd"/>
      <w:r>
        <w:rPr>
          <w:position w:val="6"/>
          <w:sz w:val="13"/>
        </w:rPr>
        <w:t xml:space="preserve"> </w:t>
      </w:r>
      <w:proofErr w:type="gramStart"/>
      <w:r>
        <w:rPr>
          <w:sz w:val="19"/>
        </w:rPr>
        <w:t>In</w:t>
      </w:r>
      <w:proofErr w:type="gramEnd"/>
      <w:r>
        <w:rPr>
          <w:sz w:val="19"/>
        </w:rPr>
        <w:t xml:space="preserve"> rheumatoid arthritis and psoriatic arthritis patients the recommended dose is XELJANZ 5 mg once daily. In ulcerative</w:t>
      </w:r>
      <w:r>
        <w:rPr>
          <w:spacing w:val="14"/>
          <w:sz w:val="19"/>
        </w:rPr>
        <w:t xml:space="preserve"> </w:t>
      </w:r>
      <w:proofErr w:type="spellStart"/>
      <w:r>
        <w:rPr>
          <w:sz w:val="19"/>
        </w:rPr>
        <w:t>colit</w:t>
      </w:r>
      <w:proofErr w:type="spellEnd"/>
      <w:r>
        <w:rPr>
          <w:spacing w:val="-12"/>
          <w:sz w:val="19"/>
        </w:rPr>
        <w:t xml:space="preserve"> </w:t>
      </w:r>
      <w:r>
        <w:rPr>
          <w:sz w:val="19"/>
        </w:rPr>
        <w:t>is</w:t>
      </w:r>
      <w:r>
        <w:rPr>
          <w:spacing w:val="38"/>
          <w:sz w:val="19"/>
        </w:rPr>
        <w:t xml:space="preserve"> </w:t>
      </w:r>
      <w:r>
        <w:rPr>
          <w:sz w:val="19"/>
        </w:rPr>
        <w:t>patients the</w:t>
      </w:r>
      <w:r>
        <w:rPr>
          <w:spacing w:val="22"/>
          <w:sz w:val="19"/>
        </w:rPr>
        <w:t xml:space="preserve"> </w:t>
      </w:r>
      <w:r>
        <w:rPr>
          <w:sz w:val="19"/>
        </w:rPr>
        <w:t>recommended</w:t>
      </w:r>
      <w:r>
        <w:rPr>
          <w:spacing w:val="29"/>
          <w:sz w:val="19"/>
        </w:rPr>
        <w:t xml:space="preserve"> </w:t>
      </w:r>
      <w:r>
        <w:rPr>
          <w:sz w:val="19"/>
        </w:rPr>
        <w:t>dose</w:t>
      </w:r>
      <w:r>
        <w:rPr>
          <w:spacing w:val="22"/>
          <w:sz w:val="19"/>
        </w:rPr>
        <w:t xml:space="preserve"> </w:t>
      </w:r>
      <w:r>
        <w:rPr>
          <w:sz w:val="19"/>
        </w:rPr>
        <w:t>is</w:t>
      </w:r>
      <w:r>
        <w:rPr>
          <w:spacing w:val="38"/>
          <w:sz w:val="19"/>
        </w:rPr>
        <w:t xml:space="preserve"> </w:t>
      </w:r>
      <w:r>
        <w:rPr>
          <w:sz w:val="19"/>
        </w:rPr>
        <w:t>half</w:t>
      </w:r>
      <w:r>
        <w:rPr>
          <w:spacing w:val="32"/>
          <w:sz w:val="19"/>
        </w:rPr>
        <w:t xml:space="preserve"> </w:t>
      </w:r>
      <w:r>
        <w:rPr>
          <w:sz w:val="19"/>
        </w:rPr>
        <w:t>the</w:t>
      </w:r>
      <w:r>
        <w:rPr>
          <w:spacing w:val="22"/>
          <w:sz w:val="19"/>
        </w:rPr>
        <w:t xml:space="preserve"> </w:t>
      </w:r>
      <w:r>
        <w:rPr>
          <w:sz w:val="19"/>
        </w:rPr>
        <w:t>total daily</w:t>
      </w:r>
      <w:r>
        <w:rPr>
          <w:spacing w:val="29"/>
          <w:sz w:val="19"/>
        </w:rPr>
        <w:t xml:space="preserve"> </w:t>
      </w:r>
      <w:r>
        <w:rPr>
          <w:sz w:val="19"/>
        </w:rPr>
        <w:t>dose</w:t>
      </w:r>
      <w:r>
        <w:rPr>
          <w:spacing w:val="40"/>
          <w:sz w:val="19"/>
        </w:rPr>
        <w:t xml:space="preserve"> </w:t>
      </w:r>
      <w:proofErr w:type="spellStart"/>
      <w:r>
        <w:rPr>
          <w:sz w:val="19"/>
        </w:rPr>
        <w:t>ind</w:t>
      </w:r>
      <w:proofErr w:type="spellEnd"/>
      <w:r>
        <w:rPr>
          <w:spacing w:val="-12"/>
          <w:sz w:val="19"/>
        </w:rPr>
        <w:t xml:space="preserve"> </w:t>
      </w:r>
      <w:proofErr w:type="spellStart"/>
      <w:r>
        <w:rPr>
          <w:sz w:val="19"/>
        </w:rPr>
        <w:t>icated</w:t>
      </w:r>
      <w:proofErr w:type="spellEnd"/>
      <w:r>
        <w:rPr>
          <w:spacing w:val="29"/>
          <w:sz w:val="19"/>
        </w:rPr>
        <w:t xml:space="preserve"> </w:t>
      </w:r>
      <w:r>
        <w:rPr>
          <w:sz w:val="19"/>
        </w:rPr>
        <w:t>for</w:t>
      </w:r>
      <w:r>
        <w:rPr>
          <w:spacing w:val="32"/>
          <w:sz w:val="19"/>
        </w:rPr>
        <w:t xml:space="preserve"> </w:t>
      </w:r>
      <w:r>
        <w:rPr>
          <w:sz w:val="19"/>
        </w:rPr>
        <w:t>patients</w:t>
      </w:r>
      <w:r>
        <w:rPr>
          <w:spacing w:val="38"/>
          <w:sz w:val="19"/>
        </w:rPr>
        <w:t xml:space="preserve"> </w:t>
      </w:r>
      <w:r>
        <w:rPr>
          <w:sz w:val="19"/>
        </w:rPr>
        <w:t>with</w:t>
      </w:r>
      <w:r>
        <w:rPr>
          <w:spacing w:val="40"/>
          <w:sz w:val="19"/>
        </w:rPr>
        <w:t xml:space="preserve"> </w:t>
      </w:r>
      <w:r>
        <w:rPr>
          <w:sz w:val="19"/>
        </w:rPr>
        <w:t xml:space="preserve">normal </w:t>
      </w:r>
      <w:proofErr w:type="spellStart"/>
      <w:r>
        <w:rPr>
          <w:sz w:val="19"/>
        </w:rPr>
        <w:t>rena</w:t>
      </w:r>
      <w:proofErr w:type="spellEnd"/>
      <w:r>
        <w:rPr>
          <w:spacing w:val="-12"/>
          <w:sz w:val="19"/>
        </w:rPr>
        <w:t xml:space="preserve"> </w:t>
      </w:r>
      <w:r>
        <w:rPr>
          <w:sz w:val="19"/>
        </w:rPr>
        <w:t>l and hepatic function; when the indicated dose in</w:t>
      </w:r>
      <w:r>
        <w:rPr>
          <w:spacing w:val="40"/>
          <w:sz w:val="19"/>
        </w:rPr>
        <w:t xml:space="preserve"> </w:t>
      </w:r>
      <w:r>
        <w:rPr>
          <w:sz w:val="19"/>
        </w:rPr>
        <w:t>the presence of normal renal and hepatic function is XELJANZ</w:t>
      </w:r>
      <w:r>
        <w:rPr>
          <w:spacing w:val="21"/>
          <w:sz w:val="19"/>
        </w:rPr>
        <w:t xml:space="preserve"> </w:t>
      </w:r>
      <w:r>
        <w:rPr>
          <w:sz w:val="19"/>
        </w:rPr>
        <w:t>10</w:t>
      </w:r>
      <w:r>
        <w:rPr>
          <w:spacing w:val="40"/>
          <w:sz w:val="19"/>
        </w:rPr>
        <w:t xml:space="preserve"> </w:t>
      </w:r>
      <w:r>
        <w:rPr>
          <w:sz w:val="19"/>
        </w:rPr>
        <w:t>mg</w:t>
      </w:r>
      <w:r>
        <w:rPr>
          <w:spacing w:val="22"/>
          <w:sz w:val="19"/>
        </w:rPr>
        <w:t xml:space="preserve"> </w:t>
      </w:r>
      <w:r>
        <w:rPr>
          <w:sz w:val="19"/>
        </w:rPr>
        <w:t>twice</w:t>
      </w:r>
      <w:r>
        <w:rPr>
          <w:spacing w:val="36"/>
          <w:sz w:val="19"/>
        </w:rPr>
        <w:t xml:space="preserve"> </w:t>
      </w:r>
      <w:r>
        <w:rPr>
          <w:sz w:val="19"/>
        </w:rPr>
        <w:t>da</w:t>
      </w:r>
      <w:r>
        <w:rPr>
          <w:spacing w:val="-12"/>
          <w:sz w:val="19"/>
        </w:rPr>
        <w:t xml:space="preserve"> </w:t>
      </w:r>
      <w:proofErr w:type="spellStart"/>
      <w:r>
        <w:rPr>
          <w:sz w:val="19"/>
        </w:rPr>
        <w:t>ily</w:t>
      </w:r>
      <w:proofErr w:type="spellEnd"/>
      <w:r>
        <w:rPr>
          <w:spacing w:val="40"/>
          <w:sz w:val="19"/>
        </w:rPr>
        <w:t xml:space="preserve"> </w:t>
      </w:r>
      <w:r>
        <w:rPr>
          <w:sz w:val="19"/>
        </w:rPr>
        <w:t>the</w:t>
      </w:r>
      <w:r>
        <w:rPr>
          <w:spacing w:val="37"/>
          <w:sz w:val="19"/>
        </w:rPr>
        <w:t xml:space="preserve"> </w:t>
      </w:r>
      <w:r>
        <w:rPr>
          <w:sz w:val="19"/>
        </w:rPr>
        <w:t>recommended</w:t>
      </w:r>
      <w:r>
        <w:rPr>
          <w:spacing w:val="22"/>
          <w:sz w:val="19"/>
        </w:rPr>
        <w:t xml:space="preserve"> </w:t>
      </w:r>
      <w:r>
        <w:rPr>
          <w:sz w:val="19"/>
        </w:rPr>
        <w:t>dose</w:t>
      </w:r>
      <w:r>
        <w:rPr>
          <w:spacing w:val="37"/>
          <w:sz w:val="19"/>
        </w:rPr>
        <w:t xml:space="preserve"> </w:t>
      </w:r>
      <w:r>
        <w:rPr>
          <w:sz w:val="19"/>
        </w:rPr>
        <w:t>is</w:t>
      </w:r>
      <w:r>
        <w:rPr>
          <w:spacing w:val="30"/>
          <w:sz w:val="19"/>
        </w:rPr>
        <w:t xml:space="preserve"> </w:t>
      </w:r>
      <w:r>
        <w:rPr>
          <w:sz w:val="19"/>
        </w:rPr>
        <w:t>XELJANZ</w:t>
      </w:r>
      <w:r>
        <w:rPr>
          <w:spacing w:val="33"/>
          <w:sz w:val="19"/>
        </w:rPr>
        <w:t xml:space="preserve"> </w:t>
      </w:r>
      <w:r>
        <w:rPr>
          <w:sz w:val="19"/>
        </w:rPr>
        <w:t>5</w:t>
      </w:r>
      <w:r>
        <w:rPr>
          <w:spacing w:val="22"/>
          <w:sz w:val="19"/>
        </w:rPr>
        <w:t xml:space="preserve"> </w:t>
      </w:r>
      <w:r>
        <w:rPr>
          <w:sz w:val="19"/>
        </w:rPr>
        <w:t>mg</w:t>
      </w:r>
      <w:r>
        <w:rPr>
          <w:spacing w:val="22"/>
          <w:sz w:val="19"/>
        </w:rPr>
        <w:t xml:space="preserve"> </w:t>
      </w:r>
      <w:r>
        <w:rPr>
          <w:sz w:val="19"/>
        </w:rPr>
        <w:t>twice</w:t>
      </w:r>
      <w:r>
        <w:rPr>
          <w:spacing w:val="36"/>
          <w:sz w:val="19"/>
        </w:rPr>
        <w:t xml:space="preserve"> </w:t>
      </w:r>
      <w:r>
        <w:rPr>
          <w:sz w:val="19"/>
        </w:rPr>
        <w:t>daily,</w:t>
      </w:r>
      <w:r>
        <w:rPr>
          <w:spacing w:val="26"/>
          <w:sz w:val="19"/>
        </w:rPr>
        <w:t xml:space="preserve"> </w:t>
      </w:r>
      <w:r>
        <w:rPr>
          <w:sz w:val="19"/>
        </w:rPr>
        <w:t>and</w:t>
      </w:r>
      <w:r>
        <w:rPr>
          <w:spacing w:val="40"/>
          <w:sz w:val="19"/>
        </w:rPr>
        <w:t xml:space="preserve"> </w:t>
      </w:r>
      <w:r>
        <w:rPr>
          <w:sz w:val="19"/>
        </w:rPr>
        <w:t>when</w:t>
      </w:r>
      <w:r>
        <w:rPr>
          <w:spacing w:val="40"/>
          <w:sz w:val="19"/>
        </w:rPr>
        <w:t xml:space="preserve"> </w:t>
      </w:r>
      <w:r>
        <w:rPr>
          <w:sz w:val="19"/>
        </w:rPr>
        <w:t>the</w:t>
      </w:r>
      <w:r>
        <w:rPr>
          <w:spacing w:val="37"/>
          <w:sz w:val="19"/>
        </w:rPr>
        <w:t xml:space="preserve"> </w:t>
      </w:r>
      <w:r>
        <w:rPr>
          <w:sz w:val="19"/>
        </w:rPr>
        <w:t>indicated dose</w:t>
      </w:r>
      <w:r>
        <w:rPr>
          <w:spacing w:val="40"/>
          <w:sz w:val="19"/>
        </w:rPr>
        <w:t xml:space="preserve"> </w:t>
      </w:r>
      <w:r>
        <w:rPr>
          <w:sz w:val="19"/>
        </w:rPr>
        <w:t>in</w:t>
      </w:r>
      <w:r>
        <w:rPr>
          <w:spacing w:val="40"/>
          <w:sz w:val="19"/>
        </w:rPr>
        <w:t xml:space="preserve"> </w:t>
      </w:r>
      <w:r>
        <w:rPr>
          <w:sz w:val="19"/>
        </w:rPr>
        <w:t>the</w:t>
      </w:r>
      <w:r>
        <w:rPr>
          <w:spacing w:val="40"/>
          <w:sz w:val="19"/>
        </w:rPr>
        <w:t xml:space="preserve"> </w:t>
      </w:r>
      <w:r>
        <w:rPr>
          <w:sz w:val="19"/>
        </w:rPr>
        <w:t>presence</w:t>
      </w:r>
      <w:r>
        <w:rPr>
          <w:spacing w:val="40"/>
          <w:sz w:val="19"/>
        </w:rPr>
        <w:t xml:space="preserve"> </w:t>
      </w:r>
      <w:r>
        <w:rPr>
          <w:sz w:val="19"/>
        </w:rPr>
        <w:t>of</w:t>
      </w:r>
      <w:r>
        <w:rPr>
          <w:spacing w:val="40"/>
          <w:sz w:val="19"/>
        </w:rPr>
        <w:t xml:space="preserve"> </w:t>
      </w:r>
      <w:r>
        <w:rPr>
          <w:sz w:val="19"/>
        </w:rPr>
        <w:t>normal</w:t>
      </w:r>
      <w:r>
        <w:rPr>
          <w:spacing w:val="23"/>
          <w:sz w:val="19"/>
        </w:rPr>
        <w:t xml:space="preserve"> </w:t>
      </w:r>
      <w:r>
        <w:rPr>
          <w:sz w:val="19"/>
        </w:rPr>
        <w:t>renal</w:t>
      </w:r>
      <w:r>
        <w:rPr>
          <w:spacing w:val="23"/>
          <w:sz w:val="19"/>
        </w:rPr>
        <w:t xml:space="preserve"> </w:t>
      </w:r>
      <w:r>
        <w:rPr>
          <w:sz w:val="19"/>
        </w:rPr>
        <w:t>and</w:t>
      </w:r>
      <w:r>
        <w:rPr>
          <w:spacing w:val="40"/>
          <w:sz w:val="19"/>
        </w:rPr>
        <w:t xml:space="preserve"> </w:t>
      </w:r>
      <w:r>
        <w:rPr>
          <w:sz w:val="19"/>
        </w:rPr>
        <w:t>hepatic</w:t>
      </w:r>
      <w:r>
        <w:rPr>
          <w:spacing w:val="40"/>
          <w:sz w:val="19"/>
        </w:rPr>
        <w:t xml:space="preserve"> </w:t>
      </w:r>
      <w:r>
        <w:rPr>
          <w:sz w:val="19"/>
        </w:rPr>
        <w:t>function</w:t>
      </w:r>
      <w:r>
        <w:rPr>
          <w:spacing w:val="40"/>
          <w:sz w:val="19"/>
        </w:rPr>
        <w:t xml:space="preserve"> </w:t>
      </w:r>
      <w:r>
        <w:rPr>
          <w:sz w:val="19"/>
        </w:rPr>
        <w:t>is</w:t>
      </w:r>
      <w:r>
        <w:rPr>
          <w:spacing w:val="40"/>
          <w:sz w:val="19"/>
        </w:rPr>
        <w:t xml:space="preserve"> </w:t>
      </w:r>
      <w:r>
        <w:rPr>
          <w:sz w:val="19"/>
        </w:rPr>
        <w:t>XELJANZ</w:t>
      </w:r>
      <w:r>
        <w:rPr>
          <w:spacing w:val="37"/>
          <w:sz w:val="19"/>
        </w:rPr>
        <w:t xml:space="preserve"> </w:t>
      </w:r>
      <w:r>
        <w:rPr>
          <w:sz w:val="19"/>
        </w:rPr>
        <w:t>5</w:t>
      </w:r>
      <w:r>
        <w:rPr>
          <w:spacing w:val="40"/>
          <w:sz w:val="19"/>
        </w:rPr>
        <w:t xml:space="preserve"> </w:t>
      </w:r>
      <w:r>
        <w:rPr>
          <w:sz w:val="19"/>
        </w:rPr>
        <w:t>mg</w:t>
      </w:r>
      <w:r>
        <w:rPr>
          <w:spacing w:val="26"/>
          <w:sz w:val="19"/>
        </w:rPr>
        <w:t xml:space="preserve"> </w:t>
      </w:r>
      <w:r>
        <w:rPr>
          <w:sz w:val="19"/>
        </w:rPr>
        <w:t>twice</w:t>
      </w:r>
      <w:r>
        <w:rPr>
          <w:spacing w:val="40"/>
          <w:sz w:val="19"/>
        </w:rPr>
        <w:t xml:space="preserve"> </w:t>
      </w:r>
      <w:r>
        <w:rPr>
          <w:sz w:val="19"/>
        </w:rPr>
        <w:t>daily</w:t>
      </w:r>
      <w:r>
        <w:rPr>
          <w:spacing w:val="40"/>
          <w:sz w:val="19"/>
        </w:rPr>
        <w:t xml:space="preserve"> </w:t>
      </w:r>
      <w:r>
        <w:rPr>
          <w:sz w:val="19"/>
        </w:rPr>
        <w:t>the</w:t>
      </w:r>
      <w:r>
        <w:rPr>
          <w:spacing w:val="40"/>
          <w:sz w:val="19"/>
        </w:rPr>
        <w:t xml:space="preserve"> </w:t>
      </w:r>
      <w:r>
        <w:rPr>
          <w:sz w:val="19"/>
        </w:rPr>
        <w:t>recommended dose is XELJANZ</w:t>
      </w:r>
      <w:r>
        <w:rPr>
          <w:spacing w:val="40"/>
          <w:sz w:val="19"/>
        </w:rPr>
        <w:t xml:space="preserve"> </w:t>
      </w:r>
      <w:r>
        <w:rPr>
          <w:sz w:val="19"/>
        </w:rPr>
        <w:t>5 mg once daily.</w:t>
      </w:r>
    </w:p>
    <w:p w14:paraId="750C7E2D" w14:textId="77777777" w:rsidR="001825E2" w:rsidRDefault="000839A5" w:rsidP="00CB00A7">
      <w:pPr>
        <w:spacing w:before="17"/>
        <w:ind w:left="220"/>
        <w:rPr>
          <w:sz w:val="19"/>
        </w:rPr>
      </w:pPr>
      <w:r>
        <w:rPr>
          <w:position w:val="6"/>
          <w:sz w:val="13"/>
        </w:rPr>
        <w:t>b</w:t>
      </w:r>
      <w:r>
        <w:rPr>
          <w:spacing w:val="54"/>
          <w:position w:val="6"/>
          <w:sz w:val="13"/>
        </w:rPr>
        <w:t xml:space="preserve"> </w:t>
      </w:r>
      <w:proofErr w:type="spellStart"/>
      <w:r>
        <w:rPr>
          <w:sz w:val="19"/>
        </w:rPr>
        <w:t>Supplementa</w:t>
      </w:r>
      <w:proofErr w:type="spellEnd"/>
      <w:r>
        <w:rPr>
          <w:spacing w:val="-18"/>
          <w:sz w:val="19"/>
        </w:rPr>
        <w:t xml:space="preserve"> </w:t>
      </w:r>
      <w:r>
        <w:rPr>
          <w:sz w:val="19"/>
        </w:rPr>
        <w:t>l</w:t>
      </w:r>
      <w:r>
        <w:rPr>
          <w:spacing w:val="-13"/>
          <w:sz w:val="19"/>
        </w:rPr>
        <w:t xml:space="preserve"> </w:t>
      </w:r>
      <w:r>
        <w:rPr>
          <w:sz w:val="19"/>
        </w:rPr>
        <w:t>doses are</w:t>
      </w:r>
      <w:r>
        <w:rPr>
          <w:spacing w:val="33"/>
          <w:sz w:val="19"/>
        </w:rPr>
        <w:t xml:space="preserve"> </w:t>
      </w:r>
      <w:r>
        <w:rPr>
          <w:sz w:val="19"/>
        </w:rPr>
        <w:t>not</w:t>
      </w:r>
      <w:r>
        <w:rPr>
          <w:spacing w:val="12"/>
          <w:sz w:val="19"/>
        </w:rPr>
        <w:t xml:space="preserve"> </w:t>
      </w:r>
      <w:r>
        <w:rPr>
          <w:sz w:val="19"/>
        </w:rPr>
        <w:t>necessary</w:t>
      </w:r>
      <w:r>
        <w:rPr>
          <w:spacing w:val="41"/>
          <w:sz w:val="19"/>
        </w:rPr>
        <w:t xml:space="preserve"> </w:t>
      </w:r>
      <w:r>
        <w:rPr>
          <w:sz w:val="19"/>
        </w:rPr>
        <w:t>in</w:t>
      </w:r>
      <w:r>
        <w:rPr>
          <w:spacing w:val="41"/>
          <w:sz w:val="19"/>
        </w:rPr>
        <w:t xml:space="preserve"> </w:t>
      </w:r>
      <w:r>
        <w:rPr>
          <w:sz w:val="19"/>
        </w:rPr>
        <w:t>patients</w:t>
      </w:r>
      <w:r>
        <w:rPr>
          <w:spacing w:val="1"/>
          <w:sz w:val="19"/>
        </w:rPr>
        <w:t xml:space="preserve"> </w:t>
      </w:r>
      <w:r>
        <w:rPr>
          <w:sz w:val="19"/>
        </w:rPr>
        <w:t>after</w:t>
      </w:r>
      <w:r>
        <w:rPr>
          <w:spacing w:val="-6"/>
          <w:sz w:val="19"/>
        </w:rPr>
        <w:t xml:space="preserve"> </w:t>
      </w:r>
      <w:r>
        <w:rPr>
          <w:spacing w:val="-2"/>
          <w:sz w:val="19"/>
        </w:rPr>
        <w:t>dialysis.</w:t>
      </w:r>
    </w:p>
    <w:p w14:paraId="7B5173B0" w14:textId="77777777" w:rsidR="001825E2" w:rsidRDefault="001825E2" w:rsidP="00CB00A7">
      <w:pPr>
        <w:rPr>
          <w:sz w:val="19"/>
        </w:rPr>
        <w:sectPr w:rsidR="001825E2">
          <w:type w:val="continuous"/>
          <w:pgSz w:w="11910" w:h="16850"/>
          <w:pgMar w:top="1420" w:right="700" w:bottom="980" w:left="1220" w:header="0" w:footer="785" w:gutter="0"/>
          <w:cols w:space="720"/>
        </w:sectPr>
      </w:pPr>
    </w:p>
    <w:p w14:paraId="7ED02424" w14:textId="77777777" w:rsidR="001825E2" w:rsidRDefault="000839A5" w:rsidP="00CB00A7">
      <w:pPr>
        <w:pStyle w:val="Heading2"/>
        <w:numPr>
          <w:ilvl w:val="1"/>
          <w:numId w:val="11"/>
        </w:numPr>
        <w:tabs>
          <w:tab w:val="left" w:pos="638"/>
        </w:tabs>
        <w:spacing w:before="68"/>
        <w:ind w:left="638" w:hanging="418"/>
      </w:pPr>
      <w:bookmarkStart w:id="75" w:name="5.3_Preclinical_Safety_Data"/>
      <w:bookmarkStart w:id="76" w:name="Genotoxicity"/>
      <w:bookmarkStart w:id="77" w:name="Carcinogenicity"/>
      <w:bookmarkStart w:id="78" w:name="6_PHARMACEUTICAL_PARTICULARS"/>
      <w:bookmarkStart w:id="79" w:name="6.1_List_of_Excipients"/>
      <w:bookmarkStart w:id="80" w:name="XELJANZ_Tablets"/>
      <w:bookmarkStart w:id="81" w:name="XELJANZ_XR_Tablets"/>
      <w:bookmarkEnd w:id="75"/>
      <w:bookmarkEnd w:id="76"/>
      <w:bookmarkEnd w:id="77"/>
      <w:bookmarkEnd w:id="78"/>
      <w:bookmarkEnd w:id="79"/>
      <w:bookmarkEnd w:id="80"/>
      <w:bookmarkEnd w:id="81"/>
      <w:r>
        <w:lastRenderedPageBreak/>
        <w:t>Preclinical</w:t>
      </w:r>
      <w:r>
        <w:rPr>
          <w:spacing w:val="7"/>
        </w:rPr>
        <w:t xml:space="preserve"> </w:t>
      </w:r>
      <w:r>
        <w:t>Safety</w:t>
      </w:r>
      <w:r>
        <w:rPr>
          <w:spacing w:val="-18"/>
        </w:rPr>
        <w:t xml:space="preserve"> </w:t>
      </w:r>
      <w:r>
        <w:rPr>
          <w:spacing w:val="-4"/>
        </w:rPr>
        <w:t>Data</w:t>
      </w:r>
    </w:p>
    <w:p w14:paraId="12076700" w14:textId="77777777" w:rsidR="001825E2" w:rsidRDefault="000839A5" w:rsidP="00CB00A7">
      <w:pPr>
        <w:pStyle w:val="Heading4"/>
        <w:spacing w:before="241"/>
        <w:jc w:val="left"/>
      </w:pPr>
      <w:r>
        <w:rPr>
          <w:spacing w:val="-2"/>
        </w:rPr>
        <w:t>Genotoxicity</w:t>
      </w:r>
    </w:p>
    <w:p w14:paraId="41073075" w14:textId="77777777" w:rsidR="001825E2" w:rsidRDefault="000839A5" w:rsidP="00CB00A7">
      <w:pPr>
        <w:pStyle w:val="BodyText"/>
        <w:spacing w:before="133" w:line="235" w:lineRule="auto"/>
        <w:ind w:left="219" w:right="745"/>
        <w:jc w:val="left"/>
      </w:pPr>
      <w:r>
        <w:t>Tofacitinib is not mutagenic or</w:t>
      </w:r>
      <w:r>
        <w:rPr>
          <w:spacing w:val="-9"/>
        </w:rPr>
        <w:t xml:space="preserve"> </w:t>
      </w:r>
      <w:r>
        <w:t>genotoxic based on</w:t>
      </w:r>
      <w:r>
        <w:rPr>
          <w:spacing w:val="-4"/>
        </w:rPr>
        <w:t xml:space="preserve"> </w:t>
      </w:r>
      <w:r>
        <w:t>the</w:t>
      </w:r>
      <w:r>
        <w:rPr>
          <w:spacing w:val="-6"/>
        </w:rPr>
        <w:t xml:space="preserve"> </w:t>
      </w:r>
      <w:r>
        <w:t>weight of evidence</w:t>
      </w:r>
      <w:r>
        <w:rPr>
          <w:spacing w:val="-6"/>
        </w:rPr>
        <w:t xml:space="preserve"> </w:t>
      </w:r>
      <w:r>
        <w:t>from a</w:t>
      </w:r>
      <w:r>
        <w:rPr>
          <w:spacing w:val="-6"/>
        </w:rPr>
        <w:t xml:space="preserve"> </w:t>
      </w:r>
      <w:r>
        <w:t xml:space="preserve">series of </w:t>
      </w:r>
      <w:r>
        <w:rPr>
          <w:i/>
        </w:rPr>
        <w:t xml:space="preserve">in vitro </w:t>
      </w:r>
      <w:r>
        <w:t xml:space="preserve">and </w:t>
      </w:r>
      <w:r>
        <w:rPr>
          <w:i/>
        </w:rPr>
        <w:t xml:space="preserve">in vivo </w:t>
      </w:r>
      <w:r>
        <w:t>tests for gene mutations and chromosomal</w:t>
      </w:r>
      <w:r>
        <w:rPr>
          <w:spacing w:val="34"/>
        </w:rPr>
        <w:t xml:space="preserve"> </w:t>
      </w:r>
      <w:r>
        <w:t>aberrations.</w:t>
      </w:r>
    </w:p>
    <w:p w14:paraId="4BDAE0F4" w14:textId="77777777" w:rsidR="001825E2" w:rsidRDefault="000839A5" w:rsidP="00CB00A7">
      <w:pPr>
        <w:pStyle w:val="Heading4"/>
        <w:spacing w:before="250"/>
        <w:ind w:left="219"/>
        <w:jc w:val="left"/>
      </w:pPr>
      <w:r>
        <w:rPr>
          <w:spacing w:val="-2"/>
        </w:rPr>
        <w:t>Carcinogenicity</w:t>
      </w:r>
    </w:p>
    <w:p w14:paraId="26F4D26D" w14:textId="77777777" w:rsidR="001825E2" w:rsidRDefault="000839A5" w:rsidP="00CB00A7">
      <w:pPr>
        <w:pStyle w:val="BodyText"/>
        <w:spacing w:before="114"/>
        <w:ind w:left="213" w:right="724" w:firstLine="6"/>
        <w:jc w:val="left"/>
      </w:pPr>
      <w:r>
        <w:t>The carcinogenic potential of tofacitinib was assessed in 6-month rasH2 transgenic mouse carcinogenicity and 2-year rat carcinogenicity studies. Tofacitinib was not carcinogenic in mice up to a high</w:t>
      </w:r>
      <w:r>
        <w:rPr>
          <w:spacing w:val="-3"/>
        </w:rPr>
        <w:t xml:space="preserve"> </w:t>
      </w:r>
      <w:r>
        <w:t>dose of 200</w:t>
      </w:r>
      <w:r>
        <w:rPr>
          <w:spacing w:val="-3"/>
        </w:rPr>
        <w:t xml:space="preserve"> </w:t>
      </w:r>
      <w:r>
        <w:t>mg/kg/day (unbound</w:t>
      </w:r>
      <w:r>
        <w:rPr>
          <w:spacing w:val="-3"/>
        </w:rPr>
        <w:t xml:space="preserve"> </w:t>
      </w:r>
      <w:r>
        <w:t>drug AUC of ~38</w:t>
      </w:r>
      <w:r>
        <w:rPr>
          <w:spacing w:val="-3"/>
        </w:rPr>
        <w:t xml:space="preserve"> </w:t>
      </w:r>
      <w:r>
        <w:t>times or ~19 times the human AUC at 5</w:t>
      </w:r>
      <w:r>
        <w:rPr>
          <w:spacing w:val="-4"/>
        </w:rPr>
        <w:t xml:space="preserve"> </w:t>
      </w:r>
      <w:r>
        <w:t xml:space="preserve">mg or 10 mg twice daily). Benign Leydig cell </w:t>
      </w:r>
      <w:proofErr w:type="spellStart"/>
      <w:r>
        <w:t>tumours</w:t>
      </w:r>
      <w:proofErr w:type="spellEnd"/>
      <w:r>
        <w:t xml:space="preserve"> were observed</w:t>
      </w:r>
      <w:r>
        <w:rPr>
          <w:spacing w:val="39"/>
        </w:rPr>
        <w:t xml:space="preserve"> </w:t>
      </w:r>
      <w:r>
        <w:t xml:space="preserve">in rats: benign Leydig cell </w:t>
      </w:r>
      <w:proofErr w:type="spellStart"/>
      <w:r>
        <w:t>tumours</w:t>
      </w:r>
      <w:proofErr w:type="spellEnd"/>
      <w:r>
        <w:t xml:space="preserve"> in rats are not associated</w:t>
      </w:r>
      <w:r>
        <w:rPr>
          <w:spacing w:val="23"/>
        </w:rPr>
        <w:t xml:space="preserve"> </w:t>
      </w:r>
      <w:r>
        <w:t>with</w:t>
      </w:r>
      <w:r>
        <w:rPr>
          <w:spacing w:val="-5"/>
        </w:rPr>
        <w:t xml:space="preserve"> </w:t>
      </w:r>
      <w:r>
        <w:t>a risk of</w:t>
      </w:r>
      <w:r>
        <w:rPr>
          <w:spacing w:val="19"/>
        </w:rPr>
        <w:t xml:space="preserve"> </w:t>
      </w:r>
      <w:r>
        <w:t xml:space="preserve">Leydig cell </w:t>
      </w:r>
      <w:proofErr w:type="spellStart"/>
      <w:r>
        <w:t>tumours</w:t>
      </w:r>
      <w:proofErr w:type="spellEnd"/>
      <w:r>
        <w:t xml:space="preserve"> in</w:t>
      </w:r>
      <w:r>
        <w:rPr>
          <w:spacing w:val="-2"/>
        </w:rPr>
        <w:t xml:space="preserve"> </w:t>
      </w:r>
      <w:r>
        <w:t>humans.</w:t>
      </w:r>
      <w:r>
        <w:rPr>
          <w:spacing w:val="-2"/>
        </w:rPr>
        <w:t xml:space="preserve"> </w:t>
      </w:r>
      <w:r>
        <w:t>Hibernomas</w:t>
      </w:r>
      <w:r>
        <w:rPr>
          <w:spacing w:val="-6"/>
        </w:rPr>
        <w:t xml:space="preserve"> </w:t>
      </w:r>
      <w:r>
        <w:t>(malignancy</w:t>
      </w:r>
      <w:r>
        <w:rPr>
          <w:spacing w:val="-2"/>
        </w:rPr>
        <w:t xml:space="preserve"> </w:t>
      </w:r>
      <w:r>
        <w:t>of brown</w:t>
      </w:r>
      <w:r>
        <w:rPr>
          <w:spacing w:val="-2"/>
        </w:rPr>
        <w:t xml:space="preserve"> </w:t>
      </w:r>
      <w:r>
        <w:t>adipose</w:t>
      </w:r>
      <w:r>
        <w:rPr>
          <w:spacing w:val="-4"/>
        </w:rPr>
        <w:t xml:space="preserve"> </w:t>
      </w:r>
      <w:r>
        <w:t>tissue)</w:t>
      </w:r>
      <w:r>
        <w:rPr>
          <w:spacing w:val="-7"/>
        </w:rPr>
        <w:t xml:space="preserve"> </w:t>
      </w:r>
      <w:r>
        <w:t>were</w:t>
      </w:r>
      <w:r>
        <w:rPr>
          <w:spacing w:val="-4"/>
        </w:rPr>
        <w:t xml:space="preserve"> </w:t>
      </w:r>
      <w:r>
        <w:t>observed in</w:t>
      </w:r>
      <w:r>
        <w:rPr>
          <w:spacing w:val="-2"/>
        </w:rPr>
        <w:t xml:space="preserve"> </w:t>
      </w:r>
      <w:r>
        <w:t>female rats</w:t>
      </w:r>
      <w:r>
        <w:rPr>
          <w:spacing w:val="-6"/>
        </w:rPr>
        <w:t xml:space="preserve"> </w:t>
      </w:r>
      <w:r>
        <w:t>at doses</w:t>
      </w:r>
      <w:r>
        <w:rPr>
          <w:spacing w:val="29"/>
        </w:rPr>
        <w:t xml:space="preserve"> </w:t>
      </w:r>
      <w:r>
        <w:t>≥30 mg/kg/day</w:t>
      </w:r>
      <w:r>
        <w:rPr>
          <w:spacing w:val="34"/>
        </w:rPr>
        <w:t xml:space="preserve"> </w:t>
      </w:r>
      <w:r>
        <w:t>(unbound</w:t>
      </w:r>
      <w:r>
        <w:rPr>
          <w:spacing w:val="40"/>
        </w:rPr>
        <w:t xml:space="preserve"> </w:t>
      </w:r>
      <w:r>
        <w:t>drug</w:t>
      </w:r>
      <w:r>
        <w:rPr>
          <w:spacing w:val="34"/>
        </w:rPr>
        <w:t xml:space="preserve"> </w:t>
      </w:r>
      <w:r>
        <w:t>AUC</w:t>
      </w:r>
      <w:r>
        <w:rPr>
          <w:spacing w:val="38"/>
        </w:rPr>
        <w:t xml:space="preserve"> </w:t>
      </w:r>
      <w:r>
        <w:t>of</w:t>
      </w:r>
      <w:r>
        <w:rPr>
          <w:spacing w:val="40"/>
        </w:rPr>
        <w:t xml:space="preserve"> </w:t>
      </w:r>
      <w:r>
        <w:t>~83</w:t>
      </w:r>
      <w:r>
        <w:rPr>
          <w:spacing w:val="33"/>
        </w:rPr>
        <w:t xml:space="preserve"> </w:t>
      </w:r>
      <w:r>
        <w:t>times</w:t>
      </w:r>
      <w:r>
        <w:rPr>
          <w:spacing w:val="29"/>
        </w:rPr>
        <w:t xml:space="preserve"> </w:t>
      </w:r>
      <w:r>
        <w:t>or</w:t>
      </w:r>
      <w:r>
        <w:rPr>
          <w:spacing w:val="40"/>
        </w:rPr>
        <w:t xml:space="preserve"> </w:t>
      </w:r>
      <w:r>
        <w:t>~41</w:t>
      </w:r>
      <w:r>
        <w:rPr>
          <w:spacing w:val="34"/>
        </w:rPr>
        <w:t xml:space="preserve"> </w:t>
      </w:r>
      <w:r>
        <w:t>times</w:t>
      </w:r>
      <w:r>
        <w:rPr>
          <w:spacing w:val="29"/>
        </w:rPr>
        <w:t xml:space="preserve"> </w:t>
      </w:r>
      <w:r>
        <w:t>the</w:t>
      </w:r>
      <w:r>
        <w:rPr>
          <w:spacing w:val="32"/>
        </w:rPr>
        <w:t xml:space="preserve"> </w:t>
      </w:r>
      <w:r>
        <w:t>human</w:t>
      </w:r>
      <w:r>
        <w:rPr>
          <w:spacing w:val="34"/>
        </w:rPr>
        <w:t xml:space="preserve"> </w:t>
      </w:r>
      <w:r>
        <w:t>AUC</w:t>
      </w:r>
      <w:r>
        <w:rPr>
          <w:spacing w:val="38"/>
        </w:rPr>
        <w:t xml:space="preserve"> </w:t>
      </w:r>
      <w:r>
        <w:t>at 5</w:t>
      </w:r>
      <w:r>
        <w:rPr>
          <w:spacing w:val="-2"/>
        </w:rPr>
        <w:t xml:space="preserve"> </w:t>
      </w:r>
      <w:r>
        <w:t>mg</w:t>
      </w:r>
      <w:r>
        <w:rPr>
          <w:spacing w:val="-2"/>
        </w:rPr>
        <w:t xml:space="preserve"> </w:t>
      </w:r>
      <w:r>
        <w:t>or</w:t>
      </w:r>
      <w:r>
        <w:rPr>
          <w:spacing w:val="-7"/>
        </w:rPr>
        <w:t xml:space="preserve"> </w:t>
      </w:r>
      <w:r>
        <w:t>10 mg</w:t>
      </w:r>
      <w:r>
        <w:rPr>
          <w:spacing w:val="-2"/>
        </w:rPr>
        <w:t xml:space="preserve"> </w:t>
      </w:r>
      <w:r>
        <w:t>twice</w:t>
      </w:r>
      <w:r>
        <w:rPr>
          <w:spacing w:val="-4"/>
        </w:rPr>
        <w:t xml:space="preserve"> </w:t>
      </w:r>
      <w:r>
        <w:t>daily).</w:t>
      </w:r>
      <w:r>
        <w:rPr>
          <w:spacing w:val="-2"/>
        </w:rPr>
        <w:t xml:space="preserve"> </w:t>
      </w:r>
      <w:r>
        <w:t>Benign</w:t>
      </w:r>
      <w:r>
        <w:rPr>
          <w:spacing w:val="-2"/>
        </w:rPr>
        <w:t xml:space="preserve"> </w:t>
      </w:r>
      <w:r>
        <w:t>thymomas</w:t>
      </w:r>
      <w:r>
        <w:rPr>
          <w:spacing w:val="-6"/>
        </w:rPr>
        <w:t xml:space="preserve"> </w:t>
      </w:r>
      <w:r>
        <w:t>were</w:t>
      </w:r>
      <w:r>
        <w:rPr>
          <w:spacing w:val="-4"/>
        </w:rPr>
        <w:t xml:space="preserve"> </w:t>
      </w:r>
      <w:r>
        <w:t>observed in</w:t>
      </w:r>
      <w:r>
        <w:rPr>
          <w:spacing w:val="-2"/>
        </w:rPr>
        <w:t xml:space="preserve"> </w:t>
      </w:r>
      <w:r>
        <w:t>female rats</w:t>
      </w:r>
      <w:r>
        <w:rPr>
          <w:spacing w:val="-6"/>
        </w:rPr>
        <w:t xml:space="preserve"> </w:t>
      </w:r>
      <w:r>
        <w:t>dosed only</w:t>
      </w:r>
      <w:r>
        <w:rPr>
          <w:spacing w:val="-2"/>
        </w:rPr>
        <w:t xml:space="preserve"> </w:t>
      </w:r>
      <w:r>
        <w:t>at the 100 reduced to 75 mg/kg/day dose (unbound</w:t>
      </w:r>
      <w:r>
        <w:rPr>
          <w:spacing w:val="40"/>
        </w:rPr>
        <w:t xml:space="preserve"> </w:t>
      </w:r>
      <w:r>
        <w:t>drug AUC of</w:t>
      </w:r>
      <w:r>
        <w:rPr>
          <w:spacing w:val="40"/>
        </w:rPr>
        <w:t xml:space="preserve"> </w:t>
      </w:r>
      <w:r>
        <w:t>~187 times or ~94 times the human AUC at 5 mg or 10 mg twice daily).</w:t>
      </w:r>
    </w:p>
    <w:p w14:paraId="193954A6" w14:textId="77777777" w:rsidR="001825E2" w:rsidRDefault="000839A5" w:rsidP="00CB00A7">
      <w:pPr>
        <w:pStyle w:val="BodyText"/>
        <w:spacing w:before="240" w:line="242" w:lineRule="auto"/>
        <w:ind w:left="211" w:right="744" w:firstLine="1"/>
        <w:jc w:val="left"/>
      </w:pPr>
      <w:r>
        <w:t>Lymphoma was observed</w:t>
      </w:r>
      <w:r>
        <w:rPr>
          <w:spacing w:val="22"/>
        </w:rPr>
        <w:t xml:space="preserve"> </w:t>
      </w:r>
      <w:r>
        <w:t>in 3</w:t>
      </w:r>
      <w:r>
        <w:rPr>
          <w:spacing w:val="-5"/>
        </w:rPr>
        <w:t xml:space="preserve"> </w:t>
      </w:r>
      <w:r>
        <w:t>of 8</w:t>
      </w:r>
      <w:r>
        <w:rPr>
          <w:spacing w:val="-5"/>
        </w:rPr>
        <w:t xml:space="preserve"> </w:t>
      </w:r>
      <w:r>
        <w:t>adult and 0</w:t>
      </w:r>
      <w:r>
        <w:rPr>
          <w:spacing w:val="-5"/>
        </w:rPr>
        <w:t xml:space="preserve"> </w:t>
      </w:r>
      <w:r>
        <w:t>of 14</w:t>
      </w:r>
      <w:r>
        <w:rPr>
          <w:spacing w:val="-5"/>
        </w:rPr>
        <w:t xml:space="preserve"> </w:t>
      </w:r>
      <w:r>
        <w:t>juvenile monkeys dosed with</w:t>
      </w:r>
      <w:r>
        <w:rPr>
          <w:spacing w:val="-6"/>
        </w:rPr>
        <w:t xml:space="preserve"> </w:t>
      </w:r>
      <w:r>
        <w:t>tofacitinib at 5</w:t>
      </w:r>
      <w:r>
        <w:rPr>
          <w:spacing w:val="-2"/>
        </w:rPr>
        <w:t xml:space="preserve"> </w:t>
      </w:r>
      <w:r>
        <w:t>mg/kg twice daily. The NOAEL for the lymphomas was 1</w:t>
      </w:r>
      <w:r>
        <w:rPr>
          <w:spacing w:val="-2"/>
        </w:rPr>
        <w:t xml:space="preserve"> </w:t>
      </w:r>
      <w:r>
        <w:t>mg/kg twice daily. The unbound AUC at 1</w:t>
      </w:r>
      <w:r>
        <w:rPr>
          <w:spacing w:val="-3"/>
        </w:rPr>
        <w:t xml:space="preserve"> </w:t>
      </w:r>
      <w:r>
        <w:t>mg/kg twice daily was 341</w:t>
      </w:r>
      <w:r>
        <w:rPr>
          <w:spacing w:val="-3"/>
        </w:rPr>
        <w:t xml:space="preserve"> </w:t>
      </w:r>
      <w:proofErr w:type="spellStart"/>
      <w:r>
        <w:t>ng•h</w:t>
      </w:r>
      <w:proofErr w:type="spellEnd"/>
      <w:r>
        <w:t>/mL, which is approximately half of the unbound AUC at 10 mg twice</w:t>
      </w:r>
      <w:r>
        <w:rPr>
          <w:spacing w:val="-6"/>
        </w:rPr>
        <w:t xml:space="preserve"> </w:t>
      </w:r>
      <w:r>
        <w:t xml:space="preserve">daily and </w:t>
      </w:r>
      <w:proofErr w:type="gramStart"/>
      <w:r>
        <w:t>similar to</w:t>
      </w:r>
      <w:proofErr w:type="gramEnd"/>
      <w:r>
        <w:t xml:space="preserve"> the unbound AUC at 5</w:t>
      </w:r>
      <w:r>
        <w:rPr>
          <w:spacing w:val="-4"/>
        </w:rPr>
        <w:t xml:space="preserve"> </w:t>
      </w:r>
      <w:r>
        <w:t xml:space="preserve">mg twice daily in </w:t>
      </w:r>
      <w:r>
        <w:rPr>
          <w:spacing w:val="-2"/>
        </w:rPr>
        <w:t>humans.</w:t>
      </w:r>
    </w:p>
    <w:p w14:paraId="47712EDC" w14:textId="77777777" w:rsidR="001825E2" w:rsidRDefault="001825E2" w:rsidP="00CB00A7">
      <w:pPr>
        <w:pStyle w:val="BodyText"/>
        <w:spacing w:before="63"/>
        <w:jc w:val="left"/>
      </w:pPr>
    </w:p>
    <w:p w14:paraId="5C1F7D7F" w14:textId="77777777" w:rsidR="001825E2" w:rsidRDefault="000839A5" w:rsidP="00CB00A7">
      <w:pPr>
        <w:pStyle w:val="Heading1"/>
        <w:numPr>
          <w:ilvl w:val="0"/>
          <w:numId w:val="11"/>
        </w:numPr>
        <w:tabs>
          <w:tab w:val="left" w:pos="939"/>
        </w:tabs>
        <w:ind w:hanging="719"/>
      </w:pPr>
      <w:r>
        <w:t>PHARMACEUTICAL</w:t>
      </w:r>
      <w:r>
        <w:rPr>
          <w:spacing w:val="-1"/>
        </w:rPr>
        <w:t xml:space="preserve"> </w:t>
      </w:r>
      <w:r>
        <w:rPr>
          <w:spacing w:val="-2"/>
        </w:rPr>
        <w:t>PARTICULARS</w:t>
      </w:r>
    </w:p>
    <w:p w14:paraId="3F1E473B" w14:textId="77777777" w:rsidR="001825E2" w:rsidRDefault="000839A5" w:rsidP="00CB00A7">
      <w:pPr>
        <w:pStyle w:val="Heading2"/>
        <w:numPr>
          <w:ilvl w:val="1"/>
          <w:numId w:val="11"/>
        </w:numPr>
        <w:tabs>
          <w:tab w:val="left" w:pos="637"/>
        </w:tabs>
        <w:spacing w:before="248"/>
        <w:ind w:left="637" w:hanging="418"/>
      </w:pPr>
      <w:r>
        <w:t>List</w:t>
      </w:r>
      <w:r>
        <w:rPr>
          <w:spacing w:val="3"/>
        </w:rPr>
        <w:t xml:space="preserve"> </w:t>
      </w:r>
      <w:r>
        <w:t>of</w:t>
      </w:r>
      <w:r>
        <w:rPr>
          <w:spacing w:val="-11"/>
        </w:rPr>
        <w:t xml:space="preserve"> </w:t>
      </w:r>
      <w:r>
        <w:rPr>
          <w:spacing w:val="-2"/>
        </w:rPr>
        <w:t>Excipients</w:t>
      </w:r>
    </w:p>
    <w:p w14:paraId="079F70F6" w14:textId="77777777" w:rsidR="001825E2" w:rsidRDefault="000839A5" w:rsidP="00CB00A7">
      <w:pPr>
        <w:pStyle w:val="Heading3"/>
        <w:spacing w:before="240"/>
      </w:pPr>
      <w:r>
        <w:t xml:space="preserve">XELJANZ </w:t>
      </w:r>
      <w:r>
        <w:rPr>
          <w:spacing w:val="-2"/>
        </w:rPr>
        <w:t>Tablets</w:t>
      </w:r>
    </w:p>
    <w:p w14:paraId="0ABD4EA2" w14:textId="77777777" w:rsidR="001825E2" w:rsidRDefault="000839A5" w:rsidP="00CB00A7">
      <w:pPr>
        <w:pStyle w:val="BodyText"/>
        <w:spacing w:before="114"/>
        <w:ind w:left="220"/>
        <w:jc w:val="left"/>
      </w:pPr>
      <w:r>
        <w:rPr>
          <w:u w:val="single"/>
        </w:rPr>
        <w:t>Tablet</w:t>
      </w:r>
      <w:r>
        <w:rPr>
          <w:spacing w:val="-2"/>
          <w:u w:val="single"/>
        </w:rPr>
        <w:t xml:space="preserve"> core</w:t>
      </w:r>
      <w:r>
        <w:rPr>
          <w:spacing w:val="-2"/>
        </w:rPr>
        <w:t>:</w:t>
      </w:r>
    </w:p>
    <w:p w14:paraId="1B7E5859" w14:textId="77777777" w:rsidR="001825E2" w:rsidRDefault="000839A5" w:rsidP="00CB00A7">
      <w:pPr>
        <w:pStyle w:val="BodyText"/>
        <w:spacing w:before="9"/>
        <w:ind w:left="219" w:right="6696"/>
        <w:jc w:val="left"/>
      </w:pPr>
      <w:r>
        <w:rPr>
          <w:spacing w:val="-2"/>
        </w:rPr>
        <w:t>microcrystalline</w:t>
      </w:r>
      <w:r>
        <w:rPr>
          <w:spacing w:val="6"/>
        </w:rPr>
        <w:t xml:space="preserve"> </w:t>
      </w:r>
      <w:r>
        <w:rPr>
          <w:spacing w:val="-2"/>
        </w:rPr>
        <w:t xml:space="preserve">cellulose </w:t>
      </w:r>
      <w:r>
        <w:t>lactose monohydrate croscarmellose</w:t>
      </w:r>
      <w:r>
        <w:rPr>
          <w:spacing w:val="40"/>
        </w:rPr>
        <w:t xml:space="preserve"> </w:t>
      </w:r>
      <w:r>
        <w:t>sodium magnesium stearate</w:t>
      </w:r>
    </w:p>
    <w:p w14:paraId="59100A59" w14:textId="77777777" w:rsidR="001825E2" w:rsidRDefault="000839A5" w:rsidP="00CB00A7">
      <w:pPr>
        <w:pStyle w:val="BodyText"/>
        <w:spacing w:before="232"/>
        <w:ind w:left="220"/>
        <w:jc w:val="left"/>
      </w:pPr>
      <w:r>
        <w:rPr>
          <w:u w:val="single"/>
        </w:rPr>
        <w:t>Film</w:t>
      </w:r>
      <w:r>
        <w:rPr>
          <w:spacing w:val="-7"/>
          <w:u w:val="single"/>
        </w:rPr>
        <w:t xml:space="preserve"> </w:t>
      </w:r>
      <w:r>
        <w:rPr>
          <w:spacing w:val="-2"/>
          <w:u w:val="single"/>
        </w:rPr>
        <w:t>coat</w:t>
      </w:r>
      <w:r>
        <w:rPr>
          <w:spacing w:val="-2"/>
        </w:rPr>
        <w:t>:</w:t>
      </w:r>
    </w:p>
    <w:p w14:paraId="5769E520" w14:textId="77777777" w:rsidR="001825E2" w:rsidRDefault="000839A5" w:rsidP="00CB00A7">
      <w:pPr>
        <w:pStyle w:val="BodyText"/>
        <w:spacing w:before="11" w:line="237" w:lineRule="auto"/>
        <w:ind w:left="219" w:right="7708"/>
        <w:jc w:val="left"/>
      </w:pPr>
      <w:proofErr w:type="spellStart"/>
      <w:r>
        <w:rPr>
          <w:spacing w:val="-2"/>
        </w:rPr>
        <w:t>hypromellose</w:t>
      </w:r>
      <w:proofErr w:type="spellEnd"/>
      <w:r>
        <w:rPr>
          <w:spacing w:val="-2"/>
        </w:rPr>
        <w:t xml:space="preserve"> </w:t>
      </w:r>
      <w:r>
        <w:t>titanium dioxide lactose</w:t>
      </w:r>
      <w:r>
        <w:rPr>
          <w:spacing w:val="-15"/>
        </w:rPr>
        <w:t xml:space="preserve"> </w:t>
      </w:r>
      <w:r>
        <w:t xml:space="preserve">monohydrate macrogol 3350 </w:t>
      </w:r>
      <w:r>
        <w:rPr>
          <w:spacing w:val="-2"/>
        </w:rPr>
        <w:t>triacetin</w:t>
      </w:r>
    </w:p>
    <w:p w14:paraId="1487F2F1" w14:textId="77777777" w:rsidR="001825E2" w:rsidRDefault="000839A5" w:rsidP="00CB00A7">
      <w:pPr>
        <w:pStyle w:val="BodyText"/>
        <w:spacing w:before="16" w:line="235" w:lineRule="auto"/>
        <w:ind w:left="219" w:right="4049"/>
        <w:jc w:val="left"/>
      </w:pPr>
      <w:r>
        <w:t xml:space="preserve">indigo carmine </w:t>
      </w:r>
      <w:proofErr w:type="spellStart"/>
      <w:r>
        <w:t>aluminium</w:t>
      </w:r>
      <w:proofErr w:type="spellEnd"/>
      <w:r>
        <w:rPr>
          <w:spacing w:val="40"/>
        </w:rPr>
        <w:t xml:space="preserve"> </w:t>
      </w:r>
      <w:r>
        <w:t>lake (10 mg strength only) brilliant</w:t>
      </w:r>
      <w:r>
        <w:rPr>
          <w:spacing w:val="7"/>
        </w:rPr>
        <w:t xml:space="preserve"> </w:t>
      </w:r>
      <w:r>
        <w:t>blue</w:t>
      </w:r>
      <w:r>
        <w:rPr>
          <w:spacing w:val="-14"/>
        </w:rPr>
        <w:t xml:space="preserve"> </w:t>
      </w:r>
      <w:r>
        <w:t>FCF</w:t>
      </w:r>
      <w:r>
        <w:rPr>
          <w:spacing w:val="-12"/>
        </w:rPr>
        <w:t xml:space="preserve"> </w:t>
      </w:r>
      <w:proofErr w:type="spellStart"/>
      <w:r>
        <w:t>aluminium</w:t>
      </w:r>
      <w:proofErr w:type="spellEnd"/>
      <w:r>
        <w:t xml:space="preserve"> lake</w:t>
      </w:r>
      <w:r>
        <w:rPr>
          <w:spacing w:val="-3"/>
        </w:rPr>
        <w:t xml:space="preserve"> </w:t>
      </w:r>
      <w:r>
        <w:t>(10</w:t>
      </w:r>
      <w:r>
        <w:rPr>
          <w:spacing w:val="-13"/>
        </w:rPr>
        <w:t xml:space="preserve"> </w:t>
      </w:r>
      <w:r>
        <w:t>mg</w:t>
      </w:r>
      <w:r>
        <w:rPr>
          <w:spacing w:val="-1"/>
        </w:rPr>
        <w:t xml:space="preserve"> </w:t>
      </w:r>
      <w:r>
        <w:t>strength</w:t>
      </w:r>
      <w:r>
        <w:rPr>
          <w:spacing w:val="-15"/>
        </w:rPr>
        <w:t xml:space="preserve"> </w:t>
      </w:r>
      <w:r>
        <w:t>only)</w:t>
      </w:r>
    </w:p>
    <w:p w14:paraId="3E7FB3C2" w14:textId="77777777" w:rsidR="001825E2" w:rsidRDefault="000839A5" w:rsidP="00CB00A7">
      <w:pPr>
        <w:pStyle w:val="Heading3"/>
        <w:spacing w:before="249"/>
        <w:ind w:left="219"/>
      </w:pPr>
      <w:r>
        <w:t>XELJANZ</w:t>
      </w:r>
      <w:r>
        <w:rPr>
          <w:spacing w:val="-14"/>
        </w:rPr>
        <w:t xml:space="preserve"> </w:t>
      </w:r>
      <w:r>
        <w:t>XR</w:t>
      </w:r>
      <w:r>
        <w:rPr>
          <w:spacing w:val="11"/>
        </w:rPr>
        <w:t xml:space="preserve"> </w:t>
      </w:r>
      <w:r>
        <w:rPr>
          <w:spacing w:val="-2"/>
        </w:rPr>
        <w:t>Tablets</w:t>
      </w:r>
    </w:p>
    <w:p w14:paraId="441FF9C2" w14:textId="77777777" w:rsidR="001825E2" w:rsidRDefault="000839A5" w:rsidP="00CB00A7">
      <w:pPr>
        <w:pStyle w:val="BodyText"/>
        <w:spacing w:before="115"/>
        <w:ind w:left="220"/>
        <w:jc w:val="left"/>
      </w:pPr>
      <w:r>
        <w:rPr>
          <w:u w:val="single"/>
        </w:rPr>
        <w:t>Tablet</w:t>
      </w:r>
      <w:r>
        <w:rPr>
          <w:spacing w:val="-2"/>
          <w:u w:val="single"/>
        </w:rPr>
        <w:t xml:space="preserve"> core:</w:t>
      </w:r>
    </w:p>
    <w:p w14:paraId="19BD70FA" w14:textId="77777777" w:rsidR="001825E2" w:rsidRDefault="000839A5" w:rsidP="00CB00A7">
      <w:pPr>
        <w:pStyle w:val="BodyText"/>
        <w:spacing w:before="114" w:line="247" w:lineRule="auto"/>
        <w:ind w:left="219" w:right="8798"/>
        <w:jc w:val="left"/>
      </w:pPr>
      <w:r>
        <w:rPr>
          <w:spacing w:val="-2"/>
        </w:rPr>
        <w:t xml:space="preserve">sorbitol </w:t>
      </w:r>
      <w:proofErr w:type="spellStart"/>
      <w:r>
        <w:rPr>
          <w:spacing w:val="-2"/>
        </w:rPr>
        <w:t>hyetellose</w:t>
      </w:r>
      <w:proofErr w:type="spellEnd"/>
    </w:p>
    <w:p w14:paraId="13A3F712" w14:textId="77777777" w:rsidR="001825E2" w:rsidRDefault="001825E2" w:rsidP="00CB00A7">
      <w:pPr>
        <w:spacing w:line="247" w:lineRule="auto"/>
        <w:sectPr w:rsidR="001825E2">
          <w:pgSz w:w="11910" w:h="16850"/>
          <w:pgMar w:top="1360" w:right="700" w:bottom="980" w:left="1220" w:header="0" w:footer="785" w:gutter="0"/>
          <w:cols w:space="720"/>
        </w:sectPr>
      </w:pPr>
    </w:p>
    <w:p w14:paraId="144A35A0" w14:textId="77777777" w:rsidR="001825E2" w:rsidRDefault="000839A5" w:rsidP="00CB00A7">
      <w:pPr>
        <w:pStyle w:val="BodyText"/>
        <w:spacing w:before="80" w:line="235" w:lineRule="auto"/>
        <w:ind w:left="220" w:right="7857"/>
        <w:jc w:val="left"/>
      </w:pPr>
      <w:bookmarkStart w:id="82" w:name="XELJANZ_Oral_Solution"/>
      <w:bookmarkStart w:id="83" w:name="6.2_Incompatibilities"/>
      <w:bookmarkStart w:id="84" w:name="6.3_Shelf_Life"/>
      <w:bookmarkStart w:id="85" w:name="6.4_Special_Precautions_for_Storage"/>
      <w:bookmarkStart w:id="86" w:name="6.5_Nature_and_Contents_of_Container"/>
      <w:bookmarkEnd w:id="82"/>
      <w:bookmarkEnd w:id="83"/>
      <w:bookmarkEnd w:id="84"/>
      <w:bookmarkEnd w:id="85"/>
      <w:bookmarkEnd w:id="86"/>
      <w:proofErr w:type="spellStart"/>
      <w:r>
        <w:rPr>
          <w:spacing w:val="-2"/>
        </w:rPr>
        <w:lastRenderedPageBreak/>
        <w:t>copovidone</w:t>
      </w:r>
      <w:proofErr w:type="spellEnd"/>
      <w:r>
        <w:rPr>
          <w:spacing w:val="-2"/>
        </w:rPr>
        <w:t xml:space="preserve"> </w:t>
      </w:r>
      <w:r>
        <w:t>magnesium</w:t>
      </w:r>
      <w:r>
        <w:rPr>
          <w:spacing w:val="-7"/>
        </w:rPr>
        <w:t xml:space="preserve"> </w:t>
      </w:r>
      <w:r>
        <w:t>stearate</w:t>
      </w:r>
    </w:p>
    <w:p w14:paraId="7DF7E48F" w14:textId="77777777" w:rsidR="001825E2" w:rsidRDefault="000839A5" w:rsidP="00CB00A7">
      <w:pPr>
        <w:pStyle w:val="BodyText"/>
        <w:spacing w:before="250"/>
        <w:ind w:left="220"/>
        <w:jc w:val="left"/>
      </w:pPr>
      <w:r>
        <w:rPr>
          <w:u w:val="single"/>
        </w:rPr>
        <w:t>Film</w:t>
      </w:r>
      <w:r>
        <w:rPr>
          <w:spacing w:val="-7"/>
          <w:u w:val="single"/>
        </w:rPr>
        <w:t xml:space="preserve"> </w:t>
      </w:r>
      <w:r>
        <w:rPr>
          <w:spacing w:val="-2"/>
          <w:u w:val="single"/>
        </w:rPr>
        <w:t>coat:</w:t>
      </w:r>
    </w:p>
    <w:p w14:paraId="2A082CF3" w14:textId="77777777" w:rsidR="001825E2" w:rsidRDefault="000839A5" w:rsidP="00CB00A7">
      <w:pPr>
        <w:pStyle w:val="BodyText"/>
        <w:spacing w:before="114" w:line="247" w:lineRule="auto"/>
        <w:ind w:left="220" w:right="8174"/>
        <w:jc w:val="left"/>
      </w:pPr>
      <w:r>
        <w:t>cellulose</w:t>
      </w:r>
      <w:r>
        <w:rPr>
          <w:spacing w:val="-3"/>
        </w:rPr>
        <w:t xml:space="preserve"> </w:t>
      </w:r>
      <w:r>
        <w:t xml:space="preserve">acetate </w:t>
      </w:r>
      <w:proofErr w:type="spellStart"/>
      <w:r>
        <w:rPr>
          <w:spacing w:val="-2"/>
        </w:rPr>
        <w:t>hyprolose</w:t>
      </w:r>
      <w:proofErr w:type="spellEnd"/>
    </w:p>
    <w:p w14:paraId="16B12871" w14:textId="77777777" w:rsidR="001825E2" w:rsidRDefault="000839A5" w:rsidP="00CB00A7">
      <w:pPr>
        <w:pStyle w:val="BodyText"/>
        <w:spacing w:line="235" w:lineRule="auto"/>
        <w:ind w:left="220" w:right="4049"/>
        <w:jc w:val="left"/>
      </w:pPr>
      <w:r>
        <w:t>OPADRY</w:t>
      </w:r>
      <w:r>
        <w:rPr>
          <w:spacing w:val="-9"/>
        </w:rPr>
        <w:t xml:space="preserve"> </w:t>
      </w:r>
      <w:r>
        <w:t>complete</w:t>
      </w:r>
      <w:r>
        <w:rPr>
          <w:spacing w:val="-17"/>
        </w:rPr>
        <w:t xml:space="preserve"> </w:t>
      </w:r>
      <w:r>
        <w:t>film coating system 03K140024</w:t>
      </w:r>
      <w:r>
        <w:rPr>
          <w:spacing w:val="-15"/>
        </w:rPr>
        <w:t xml:space="preserve"> </w:t>
      </w:r>
      <w:r>
        <w:t>PINK OPACODE monogramming ink S-1-17823 BLACK</w:t>
      </w:r>
    </w:p>
    <w:p w14:paraId="25693970" w14:textId="77777777" w:rsidR="001825E2" w:rsidRDefault="000839A5" w:rsidP="00CB00A7">
      <w:pPr>
        <w:pStyle w:val="Heading3"/>
        <w:spacing w:before="240"/>
        <w:ind w:left="219"/>
      </w:pPr>
      <w:r>
        <w:t>XELJANZ</w:t>
      </w:r>
      <w:r>
        <w:rPr>
          <w:spacing w:val="-21"/>
        </w:rPr>
        <w:t xml:space="preserve"> </w:t>
      </w:r>
      <w:r>
        <w:t>Oral</w:t>
      </w:r>
      <w:r>
        <w:rPr>
          <w:spacing w:val="20"/>
        </w:rPr>
        <w:t xml:space="preserve"> </w:t>
      </w:r>
      <w:r>
        <w:rPr>
          <w:spacing w:val="-2"/>
        </w:rPr>
        <w:t>Solution</w:t>
      </w:r>
    </w:p>
    <w:p w14:paraId="50CD54FA" w14:textId="77777777" w:rsidR="001825E2" w:rsidRDefault="000839A5" w:rsidP="00CB00A7">
      <w:pPr>
        <w:pStyle w:val="BodyText"/>
        <w:spacing w:before="114" w:line="242" w:lineRule="auto"/>
        <w:ind w:left="219" w:right="8784"/>
        <w:jc w:val="left"/>
      </w:pPr>
      <w:r>
        <w:rPr>
          <w:spacing w:val="-2"/>
        </w:rPr>
        <w:t xml:space="preserve">xylitol </w:t>
      </w:r>
      <w:r>
        <w:t>lactic</w:t>
      </w:r>
      <w:r>
        <w:rPr>
          <w:spacing w:val="-13"/>
        </w:rPr>
        <w:t xml:space="preserve"> </w:t>
      </w:r>
      <w:r>
        <w:t xml:space="preserve">acid </w:t>
      </w:r>
      <w:r>
        <w:rPr>
          <w:spacing w:val="-2"/>
        </w:rPr>
        <w:t>sucralose</w:t>
      </w:r>
    </w:p>
    <w:p w14:paraId="7041EC1C" w14:textId="77777777" w:rsidR="001825E2" w:rsidRDefault="000839A5" w:rsidP="00CB00A7">
      <w:pPr>
        <w:pStyle w:val="BodyText"/>
        <w:spacing w:line="265" w:lineRule="exact"/>
        <w:ind w:left="219"/>
        <w:jc w:val="left"/>
      </w:pPr>
      <w:r>
        <w:t>sodium</w:t>
      </w:r>
      <w:r>
        <w:rPr>
          <w:spacing w:val="-4"/>
        </w:rPr>
        <w:t xml:space="preserve"> </w:t>
      </w:r>
      <w:r>
        <w:rPr>
          <w:spacing w:val="-2"/>
        </w:rPr>
        <w:t>benzoate</w:t>
      </w:r>
    </w:p>
    <w:p w14:paraId="2C0BE097" w14:textId="77777777" w:rsidR="001825E2" w:rsidRDefault="000839A5" w:rsidP="00CB00A7">
      <w:pPr>
        <w:pStyle w:val="BodyText"/>
        <w:spacing w:before="14" w:line="235" w:lineRule="auto"/>
        <w:ind w:left="219" w:right="4049"/>
        <w:jc w:val="left"/>
      </w:pPr>
      <w:r>
        <w:t>grape flavor</w:t>
      </w:r>
      <w:r>
        <w:rPr>
          <w:spacing w:val="-10"/>
        </w:rPr>
        <w:t xml:space="preserve"> </w:t>
      </w:r>
      <w:r>
        <w:t>534732</w:t>
      </w:r>
      <w:r>
        <w:rPr>
          <w:spacing w:val="-5"/>
        </w:rPr>
        <w:t xml:space="preserve"> </w:t>
      </w:r>
      <w:r>
        <w:t>T</w:t>
      </w:r>
      <w:r>
        <w:rPr>
          <w:spacing w:val="-3"/>
        </w:rPr>
        <w:t xml:space="preserve"> </w:t>
      </w:r>
      <w:r>
        <w:t>(Proprietary Ingredient</w:t>
      </w:r>
      <w:r>
        <w:rPr>
          <w:spacing w:val="-12"/>
        </w:rPr>
        <w:t xml:space="preserve"> </w:t>
      </w:r>
      <w:r>
        <w:t>ID:</w:t>
      </w:r>
      <w:r>
        <w:rPr>
          <w:spacing w:val="-22"/>
        </w:rPr>
        <w:t xml:space="preserve"> </w:t>
      </w:r>
      <w:r>
        <w:t>142903) hydrochloric acid</w:t>
      </w:r>
    </w:p>
    <w:p w14:paraId="5EB3C26B" w14:textId="77777777" w:rsidR="001825E2" w:rsidRDefault="000839A5" w:rsidP="00CB00A7">
      <w:pPr>
        <w:pStyle w:val="BodyText"/>
        <w:spacing w:before="9"/>
        <w:ind w:left="219"/>
        <w:jc w:val="left"/>
      </w:pPr>
      <w:r>
        <w:t>purified</w:t>
      </w:r>
      <w:r>
        <w:rPr>
          <w:spacing w:val="2"/>
        </w:rPr>
        <w:t xml:space="preserve"> </w:t>
      </w:r>
      <w:r>
        <w:rPr>
          <w:spacing w:val="-2"/>
        </w:rPr>
        <w:t>water</w:t>
      </w:r>
    </w:p>
    <w:p w14:paraId="31365A3D" w14:textId="77777777" w:rsidR="001825E2" w:rsidRDefault="000839A5" w:rsidP="00CB00A7">
      <w:pPr>
        <w:pStyle w:val="Heading2"/>
        <w:numPr>
          <w:ilvl w:val="1"/>
          <w:numId w:val="11"/>
        </w:numPr>
        <w:tabs>
          <w:tab w:val="left" w:pos="638"/>
        </w:tabs>
        <w:ind w:left="638" w:hanging="418"/>
      </w:pPr>
      <w:r>
        <w:rPr>
          <w:spacing w:val="-2"/>
        </w:rPr>
        <w:t>Incompatibilities</w:t>
      </w:r>
    </w:p>
    <w:p w14:paraId="0D30A80F" w14:textId="77777777" w:rsidR="001825E2" w:rsidRDefault="000839A5" w:rsidP="00CB00A7">
      <w:pPr>
        <w:pStyle w:val="BodyText"/>
        <w:spacing w:before="241" w:line="247" w:lineRule="auto"/>
        <w:ind w:left="219" w:right="573"/>
        <w:jc w:val="left"/>
      </w:pPr>
      <w:r>
        <w:t>Incompatibilities were either not assessed</w:t>
      </w:r>
      <w:r>
        <w:rPr>
          <w:spacing w:val="26"/>
        </w:rPr>
        <w:t xml:space="preserve"> </w:t>
      </w:r>
      <w:r>
        <w:t>or not</w:t>
      </w:r>
      <w:r>
        <w:rPr>
          <w:spacing w:val="34"/>
        </w:rPr>
        <w:t xml:space="preserve"> </w:t>
      </w:r>
      <w:r>
        <w:t>identified</w:t>
      </w:r>
      <w:r>
        <w:rPr>
          <w:spacing w:val="26"/>
        </w:rPr>
        <w:t xml:space="preserve"> </w:t>
      </w:r>
      <w:r>
        <w:t xml:space="preserve">as part of the registration of this </w:t>
      </w:r>
      <w:r>
        <w:rPr>
          <w:spacing w:val="-2"/>
        </w:rPr>
        <w:t>medicine.</w:t>
      </w:r>
    </w:p>
    <w:p w14:paraId="1EAC0F62" w14:textId="77777777" w:rsidR="001825E2" w:rsidRDefault="000839A5" w:rsidP="00CB00A7">
      <w:pPr>
        <w:pStyle w:val="Heading2"/>
        <w:numPr>
          <w:ilvl w:val="1"/>
          <w:numId w:val="11"/>
        </w:numPr>
        <w:tabs>
          <w:tab w:val="left" w:pos="638"/>
        </w:tabs>
        <w:spacing w:before="219"/>
        <w:ind w:left="638" w:hanging="418"/>
      </w:pPr>
      <w:r>
        <w:t>Shelf</w:t>
      </w:r>
      <w:r>
        <w:rPr>
          <w:spacing w:val="-9"/>
        </w:rPr>
        <w:t xml:space="preserve"> </w:t>
      </w:r>
      <w:r>
        <w:rPr>
          <w:spacing w:val="-4"/>
        </w:rPr>
        <w:t>Life</w:t>
      </w:r>
    </w:p>
    <w:p w14:paraId="49D6E477" w14:textId="77777777" w:rsidR="001825E2" w:rsidRDefault="000839A5" w:rsidP="00CB00A7">
      <w:pPr>
        <w:pStyle w:val="BodyText"/>
        <w:spacing w:before="255" w:line="242" w:lineRule="auto"/>
        <w:ind w:left="219" w:right="722"/>
        <w:jc w:val="left"/>
      </w:pPr>
      <w:r>
        <w:t xml:space="preserve">In Australia, information on the shelf life can be found on the public summary of the Australian Register of Therapeutic Goods (ARTG). The expiry date can be found on the </w:t>
      </w:r>
      <w:r>
        <w:rPr>
          <w:spacing w:val="-2"/>
        </w:rPr>
        <w:t>packaging.</w:t>
      </w:r>
    </w:p>
    <w:p w14:paraId="5407761B" w14:textId="77777777" w:rsidR="001825E2" w:rsidRDefault="000839A5" w:rsidP="00CB00A7">
      <w:pPr>
        <w:pStyle w:val="Heading2"/>
        <w:numPr>
          <w:ilvl w:val="1"/>
          <w:numId w:val="11"/>
        </w:numPr>
        <w:tabs>
          <w:tab w:val="left" w:pos="638"/>
        </w:tabs>
        <w:spacing w:before="222"/>
        <w:ind w:left="638" w:hanging="418"/>
      </w:pPr>
      <w:r>
        <w:t>Special</w:t>
      </w:r>
      <w:r>
        <w:rPr>
          <w:spacing w:val="-5"/>
        </w:rPr>
        <w:t xml:space="preserve"> </w:t>
      </w:r>
      <w:r>
        <w:t>Precautions</w:t>
      </w:r>
      <w:r>
        <w:rPr>
          <w:spacing w:val="-6"/>
        </w:rPr>
        <w:t xml:space="preserve"> </w:t>
      </w:r>
      <w:r>
        <w:t>for</w:t>
      </w:r>
      <w:r>
        <w:rPr>
          <w:spacing w:val="-24"/>
        </w:rPr>
        <w:t xml:space="preserve"> </w:t>
      </w:r>
      <w:r>
        <w:rPr>
          <w:spacing w:val="-2"/>
        </w:rPr>
        <w:t>Storage</w:t>
      </w:r>
    </w:p>
    <w:p w14:paraId="3D4AD196" w14:textId="77777777" w:rsidR="001825E2" w:rsidRDefault="000839A5" w:rsidP="00CB00A7">
      <w:pPr>
        <w:pStyle w:val="BodyText"/>
        <w:spacing w:before="240"/>
        <w:ind w:left="220"/>
        <w:jc w:val="left"/>
      </w:pPr>
      <w:r>
        <w:t>Store</w:t>
      </w:r>
      <w:r>
        <w:rPr>
          <w:spacing w:val="-6"/>
        </w:rPr>
        <w:t xml:space="preserve"> </w:t>
      </w:r>
      <w:r>
        <w:t>below</w:t>
      </w:r>
      <w:r>
        <w:rPr>
          <w:spacing w:val="2"/>
        </w:rPr>
        <w:t xml:space="preserve"> </w:t>
      </w:r>
      <w:r>
        <w:t xml:space="preserve">30°C </w:t>
      </w:r>
      <w:r>
        <w:rPr>
          <w:spacing w:val="-2"/>
        </w:rPr>
        <w:t>(Tablets)</w:t>
      </w:r>
    </w:p>
    <w:p w14:paraId="7A5730EB" w14:textId="77777777" w:rsidR="001825E2" w:rsidRDefault="000839A5" w:rsidP="00CB00A7">
      <w:pPr>
        <w:pStyle w:val="BodyText"/>
        <w:spacing w:before="249"/>
        <w:ind w:left="219"/>
        <w:jc w:val="left"/>
      </w:pPr>
      <w:r>
        <w:t>Store</w:t>
      </w:r>
      <w:r>
        <w:rPr>
          <w:spacing w:val="-7"/>
        </w:rPr>
        <w:t xml:space="preserve"> </w:t>
      </w:r>
      <w:r>
        <w:t>below</w:t>
      </w:r>
      <w:r>
        <w:rPr>
          <w:spacing w:val="1"/>
        </w:rPr>
        <w:t xml:space="preserve"> </w:t>
      </w:r>
      <w:r>
        <w:t>25°C (Oral</w:t>
      </w:r>
      <w:r>
        <w:rPr>
          <w:spacing w:val="3"/>
        </w:rPr>
        <w:t xml:space="preserve"> </w:t>
      </w:r>
      <w:r>
        <w:rPr>
          <w:spacing w:val="-2"/>
        </w:rPr>
        <w:t>Solution)</w:t>
      </w:r>
    </w:p>
    <w:p w14:paraId="7DFCA7DF" w14:textId="77777777" w:rsidR="001825E2" w:rsidRDefault="000839A5" w:rsidP="00CB00A7">
      <w:pPr>
        <w:pStyle w:val="BodyText"/>
        <w:spacing w:before="234" w:line="247" w:lineRule="auto"/>
        <w:ind w:left="218" w:right="733"/>
        <w:jc w:val="left"/>
      </w:pPr>
      <w:r>
        <w:t>XELJANZ Oral Solution should be stored in the original bottle and carton to protect from light. Discard any remaining</w:t>
      </w:r>
      <w:r>
        <w:rPr>
          <w:spacing w:val="40"/>
        </w:rPr>
        <w:t xml:space="preserve"> </w:t>
      </w:r>
      <w:r>
        <w:t>solution 60 days</w:t>
      </w:r>
      <w:r>
        <w:rPr>
          <w:spacing w:val="-13"/>
        </w:rPr>
        <w:t xml:space="preserve"> </w:t>
      </w:r>
      <w:r>
        <w:t>after</w:t>
      </w:r>
      <w:r>
        <w:rPr>
          <w:spacing w:val="-14"/>
        </w:rPr>
        <w:t xml:space="preserve"> </w:t>
      </w:r>
      <w:r>
        <w:t>opening the bottle</w:t>
      </w:r>
      <w:r>
        <w:rPr>
          <w:spacing w:val="-11"/>
        </w:rPr>
        <w:t xml:space="preserve"> </w:t>
      </w:r>
      <w:r>
        <w:t>for the</w:t>
      </w:r>
      <w:r>
        <w:rPr>
          <w:spacing w:val="-11"/>
        </w:rPr>
        <w:t xml:space="preserve"> </w:t>
      </w:r>
      <w:r>
        <w:t>first time.</w:t>
      </w:r>
    </w:p>
    <w:p w14:paraId="60C103A1" w14:textId="77777777" w:rsidR="001825E2" w:rsidRDefault="000839A5" w:rsidP="00CB00A7">
      <w:pPr>
        <w:pStyle w:val="Heading2"/>
        <w:numPr>
          <w:ilvl w:val="1"/>
          <w:numId w:val="11"/>
        </w:numPr>
        <w:tabs>
          <w:tab w:val="left" w:pos="638"/>
        </w:tabs>
        <w:spacing w:before="219"/>
        <w:ind w:left="638" w:hanging="418"/>
      </w:pPr>
      <w:r>
        <w:t>Nature</w:t>
      </w:r>
      <w:r>
        <w:rPr>
          <w:spacing w:val="-2"/>
        </w:rPr>
        <w:t xml:space="preserve"> </w:t>
      </w:r>
      <w:r>
        <w:t>and</w:t>
      </w:r>
      <w:r>
        <w:rPr>
          <w:spacing w:val="-4"/>
        </w:rPr>
        <w:t xml:space="preserve"> </w:t>
      </w:r>
      <w:r>
        <w:t>Contents</w:t>
      </w:r>
      <w:r>
        <w:rPr>
          <w:spacing w:val="-20"/>
        </w:rPr>
        <w:t xml:space="preserve"> </w:t>
      </w:r>
      <w:r>
        <w:t>of</w:t>
      </w:r>
      <w:r>
        <w:rPr>
          <w:spacing w:val="-1"/>
        </w:rPr>
        <w:t xml:space="preserve"> </w:t>
      </w:r>
      <w:r>
        <w:rPr>
          <w:spacing w:val="-2"/>
        </w:rPr>
        <w:t>Container</w:t>
      </w:r>
    </w:p>
    <w:p w14:paraId="67B52DCC" w14:textId="77777777" w:rsidR="001825E2" w:rsidRDefault="000839A5" w:rsidP="00CB00A7">
      <w:pPr>
        <w:pStyle w:val="BodyText"/>
        <w:spacing w:before="241"/>
        <w:ind w:left="220"/>
        <w:jc w:val="left"/>
      </w:pPr>
      <w:r>
        <w:rPr>
          <w:u w:val="single"/>
        </w:rPr>
        <w:t>XELJANZ</w:t>
      </w:r>
      <w:r>
        <w:rPr>
          <w:spacing w:val="-2"/>
          <w:u w:val="single"/>
        </w:rPr>
        <w:t xml:space="preserve"> </w:t>
      </w:r>
      <w:r>
        <w:rPr>
          <w:u w:val="single"/>
        </w:rPr>
        <w:t>5</w:t>
      </w:r>
      <w:r>
        <w:rPr>
          <w:spacing w:val="-6"/>
          <w:u w:val="single"/>
        </w:rPr>
        <w:t xml:space="preserve"> </w:t>
      </w:r>
      <w:r>
        <w:rPr>
          <w:spacing w:val="-5"/>
          <w:u w:val="single"/>
        </w:rPr>
        <w:t>mg</w:t>
      </w:r>
    </w:p>
    <w:p w14:paraId="2CAAE40C" w14:textId="77777777" w:rsidR="001825E2" w:rsidRDefault="000839A5" w:rsidP="00CB00A7">
      <w:pPr>
        <w:pStyle w:val="BodyText"/>
        <w:spacing w:before="133" w:line="235" w:lineRule="auto"/>
        <w:ind w:left="219" w:right="745"/>
        <w:jc w:val="left"/>
      </w:pPr>
      <w:r>
        <w:t>HDPE</w:t>
      </w:r>
      <w:r>
        <w:rPr>
          <w:spacing w:val="80"/>
        </w:rPr>
        <w:t xml:space="preserve"> </w:t>
      </w:r>
      <w:r>
        <w:t>bottles</w:t>
      </w:r>
      <w:r>
        <w:rPr>
          <w:spacing w:val="80"/>
        </w:rPr>
        <w:t xml:space="preserve"> </w:t>
      </w:r>
      <w:r>
        <w:t>with</w:t>
      </w:r>
      <w:r>
        <w:rPr>
          <w:spacing w:val="70"/>
        </w:rPr>
        <w:t xml:space="preserve"> </w:t>
      </w:r>
      <w:r>
        <w:t>desiccant</w:t>
      </w:r>
      <w:r>
        <w:rPr>
          <w:spacing w:val="80"/>
        </w:rPr>
        <w:t xml:space="preserve"> </w:t>
      </w:r>
      <w:r>
        <w:t>and</w:t>
      </w:r>
      <w:r>
        <w:rPr>
          <w:spacing w:val="80"/>
        </w:rPr>
        <w:t xml:space="preserve"> </w:t>
      </w:r>
      <w:r>
        <w:t>child-resistant</w:t>
      </w:r>
      <w:r>
        <w:rPr>
          <w:spacing w:val="80"/>
        </w:rPr>
        <w:t xml:space="preserve"> </w:t>
      </w:r>
      <w:r>
        <w:t>caps</w:t>
      </w:r>
      <w:r>
        <w:rPr>
          <w:spacing w:val="80"/>
        </w:rPr>
        <w:t xml:space="preserve"> </w:t>
      </w:r>
      <w:r>
        <w:t>containing</w:t>
      </w:r>
      <w:r>
        <w:rPr>
          <w:spacing w:val="80"/>
        </w:rPr>
        <w:t xml:space="preserve"> </w:t>
      </w:r>
      <w:r>
        <w:t>60</w:t>
      </w:r>
      <w:r>
        <w:rPr>
          <w:spacing w:val="-2"/>
        </w:rPr>
        <w:t xml:space="preserve"> </w:t>
      </w:r>
      <w:r>
        <w:t>or</w:t>
      </w:r>
      <w:r>
        <w:rPr>
          <w:spacing w:val="-8"/>
        </w:rPr>
        <w:t xml:space="preserve"> </w:t>
      </w:r>
      <w:r>
        <w:t>180</w:t>
      </w:r>
      <w:r>
        <w:rPr>
          <w:spacing w:val="-2"/>
        </w:rPr>
        <w:t xml:space="preserve"> </w:t>
      </w:r>
      <w:r>
        <w:t xml:space="preserve">film-coated </w:t>
      </w:r>
      <w:r>
        <w:rPr>
          <w:spacing w:val="-2"/>
        </w:rPr>
        <w:t>tablets.</w:t>
      </w:r>
    </w:p>
    <w:p w14:paraId="32FB5A48" w14:textId="77777777" w:rsidR="001825E2" w:rsidRDefault="000839A5" w:rsidP="00CB00A7">
      <w:pPr>
        <w:pStyle w:val="BodyText"/>
        <w:spacing w:before="250" w:line="444" w:lineRule="auto"/>
        <w:ind w:left="219" w:right="1398"/>
        <w:jc w:val="left"/>
      </w:pPr>
      <w:proofErr w:type="spellStart"/>
      <w:r>
        <w:t>Aluminium</w:t>
      </w:r>
      <w:proofErr w:type="spellEnd"/>
      <w:r>
        <w:t>/PVC-backed</w:t>
      </w:r>
      <w:r>
        <w:rPr>
          <w:spacing w:val="10"/>
        </w:rPr>
        <w:t xml:space="preserve"> </w:t>
      </w:r>
      <w:proofErr w:type="spellStart"/>
      <w:r>
        <w:t>Aluminium</w:t>
      </w:r>
      <w:proofErr w:type="spellEnd"/>
      <w:r>
        <w:t xml:space="preserve"> blisters</w:t>
      </w:r>
      <w:r>
        <w:rPr>
          <w:spacing w:val="-4"/>
        </w:rPr>
        <w:t xml:space="preserve"> </w:t>
      </w:r>
      <w:r>
        <w:t>containing</w:t>
      </w:r>
      <w:r>
        <w:rPr>
          <w:spacing w:val="-1"/>
        </w:rPr>
        <w:t xml:space="preserve"> </w:t>
      </w:r>
      <w:r>
        <w:t>14</w:t>
      </w:r>
      <w:r>
        <w:rPr>
          <w:spacing w:val="-13"/>
        </w:rPr>
        <w:t xml:space="preserve"> </w:t>
      </w:r>
      <w:r>
        <w:t>or</w:t>
      </w:r>
      <w:r>
        <w:rPr>
          <w:spacing w:val="-15"/>
        </w:rPr>
        <w:t xml:space="preserve"> </w:t>
      </w:r>
      <w:r>
        <w:t>56</w:t>
      </w:r>
      <w:r>
        <w:rPr>
          <w:spacing w:val="-13"/>
        </w:rPr>
        <w:t xml:space="preserve"> </w:t>
      </w:r>
      <w:r>
        <w:t>film-coated</w:t>
      </w:r>
      <w:r>
        <w:rPr>
          <w:spacing w:val="-1"/>
        </w:rPr>
        <w:t xml:space="preserve"> </w:t>
      </w:r>
      <w:r>
        <w:t>tablets. Not all pack sizes may be marketed.</w:t>
      </w:r>
    </w:p>
    <w:p w14:paraId="6FC33F4A" w14:textId="77777777" w:rsidR="001825E2" w:rsidRDefault="000839A5" w:rsidP="00CB00A7">
      <w:pPr>
        <w:pStyle w:val="BodyText"/>
        <w:spacing w:line="275" w:lineRule="exact"/>
        <w:ind w:left="220"/>
        <w:jc w:val="left"/>
      </w:pPr>
      <w:r>
        <w:rPr>
          <w:u w:val="single"/>
        </w:rPr>
        <w:t>XELJANZ</w:t>
      </w:r>
      <w:r>
        <w:rPr>
          <w:spacing w:val="-2"/>
          <w:u w:val="single"/>
        </w:rPr>
        <w:t xml:space="preserve"> </w:t>
      </w:r>
      <w:r>
        <w:rPr>
          <w:u w:val="single"/>
        </w:rPr>
        <w:t>10</w:t>
      </w:r>
      <w:r>
        <w:rPr>
          <w:spacing w:val="-5"/>
          <w:u w:val="single"/>
        </w:rPr>
        <w:t xml:space="preserve"> mg</w:t>
      </w:r>
    </w:p>
    <w:p w14:paraId="305FF07F" w14:textId="77777777" w:rsidR="001825E2" w:rsidRDefault="000839A5" w:rsidP="00CB00A7">
      <w:pPr>
        <w:pStyle w:val="BodyText"/>
        <w:spacing w:before="129"/>
        <w:ind w:left="220"/>
        <w:jc w:val="left"/>
      </w:pPr>
      <w:proofErr w:type="spellStart"/>
      <w:r>
        <w:t>Aluminium</w:t>
      </w:r>
      <w:proofErr w:type="spellEnd"/>
      <w:r>
        <w:t>/PVC-backed</w:t>
      </w:r>
      <w:r>
        <w:rPr>
          <w:spacing w:val="11"/>
        </w:rPr>
        <w:t xml:space="preserve"> </w:t>
      </w:r>
      <w:proofErr w:type="spellStart"/>
      <w:r>
        <w:t>Aluminium</w:t>
      </w:r>
      <w:proofErr w:type="spellEnd"/>
      <w:r>
        <w:rPr>
          <w:spacing w:val="9"/>
        </w:rPr>
        <w:t xml:space="preserve"> </w:t>
      </w:r>
      <w:r>
        <w:t>blisters</w:t>
      </w:r>
      <w:r>
        <w:rPr>
          <w:spacing w:val="-2"/>
        </w:rPr>
        <w:t xml:space="preserve"> </w:t>
      </w:r>
      <w:r>
        <w:t>containing</w:t>
      </w:r>
      <w:r>
        <w:rPr>
          <w:spacing w:val="2"/>
        </w:rPr>
        <w:t xml:space="preserve"> </w:t>
      </w:r>
      <w:r>
        <w:t>14</w:t>
      </w:r>
      <w:r>
        <w:rPr>
          <w:spacing w:val="-11"/>
        </w:rPr>
        <w:t xml:space="preserve"> </w:t>
      </w:r>
      <w:r>
        <w:t>or</w:t>
      </w:r>
      <w:r>
        <w:rPr>
          <w:spacing w:val="-15"/>
        </w:rPr>
        <w:t xml:space="preserve"> </w:t>
      </w:r>
      <w:r>
        <w:t>56</w:t>
      </w:r>
      <w:r>
        <w:rPr>
          <w:spacing w:val="-10"/>
        </w:rPr>
        <w:t xml:space="preserve"> </w:t>
      </w:r>
      <w:r>
        <w:t>film-coated</w:t>
      </w:r>
      <w:r>
        <w:rPr>
          <w:spacing w:val="2"/>
        </w:rPr>
        <w:t xml:space="preserve"> </w:t>
      </w:r>
      <w:r>
        <w:rPr>
          <w:spacing w:val="-2"/>
        </w:rPr>
        <w:t>tablets.</w:t>
      </w:r>
    </w:p>
    <w:p w14:paraId="6B9A004A" w14:textId="77777777" w:rsidR="001825E2" w:rsidRDefault="001825E2" w:rsidP="00CB00A7">
      <w:pPr>
        <w:sectPr w:rsidR="001825E2">
          <w:pgSz w:w="11910" w:h="16850"/>
          <w:pgMar w:top="1360" w:right="700" w:bottom="980" w:left="1220" w:header="0" w:footer="785" w:gutter="0"/>
          <w:cols w:space="720"/>
        </w:sectPr>
      </w:pPr>
    </w:p>
    <w:p w14:paraId="0E0A1404" w14:textId="77777777" w:rsidR="001825E2" w:rsidRDefault="000839A5" w:rsidP="00CB00A7">
      <w:pPr>
        <w:pStyle w:val="BodyText"/>
        <w:spacing w:before="76"/>
        <w:ind w:left="220"/>
        <w:jc w:val="left"/>
      </w:pPr>
      <w:bookmarkStart w:id="87" w:name="6.6_Special_Precautions_for_Disposal"/>
      <w:bookmarkStart w:id="88" w:name="6.7_Physicochemical_Properties"/>
      <w:bookmarkStart w:id="89" w:name="Chemical_Structure"/>
      <w:bookmarkStart w:id="90" w:name="CAS_Number"/>
      <w:bookmarkEnd w:id="87"/>
      <w:bookmarkEnd w:id="88"/>
      <w:bookmarkEnd w:id="89"/>
      <w:bookmarkEnd w:id="90"/>
      <w:r>
        <w:lastRenderedPageBreak/>
        <w:t>Not</w:t>
      </w:r>
      <w:r>
        <w:rPr>
          <w:spacing w:val="-12"/>
        </w:rPr>
        <w:t xml:space="preserve"> </w:t>
      </w:r>
      <w:r>
        <w:t>all</w:t>
      </w:r>
      <w:r>
        <w:rPr>
          <w:spacing w:val="3"/>
        </w:rPr>
        <w:t xml:space="preserve"> </w:t>
      </w:r>
      <w:r>
        <w:t>pack</w:t>
      </w:r>
      <w:r>
        <w:rPr>
          <w:spacing w:val="-5"/>
        </w:rPr>
        <w:t xml:space="preserve"> </w:t>
      </w:r>
      <w:r>
        <w:t>sizes</w:t>
      </w:r>
      <w:r>
        <w:rPr>
          <w:spacing w:val="5"/>
        </w:rPr>
        <w:t xml:space="preserve"> </w:t>
      </w:r>
      <w:r>
        <w:t>may</w:t>
      </w:r>
      <w:r>
        <w:rPr>
          <w:spacing w:val="9"/>
        </w:rPr>
        <w:t xml:space="preserve"> </w:t>
      </w:r>
      <w:r>
        <w:t>be</w:t>
      </w:r>
      <w:r>
        <w:rPr>
          <w:spacing w:val="-6"/>
        </w:rPr>
        <w:t xml:space="preserve"> </w:t>
      </w:r>
      <w:r>
        <w:rPr>
          <w:spacing w:val="-2"/>
        </w:rPr>
        <w:t>marketed.</w:t>
      </w:r>
    </w:p>
    <w:p w14:paraId="33AE9E1E" w14:textId="77777777" w:rsidR="001825E2" w:rsidRDefault="000839A5" w:rsidP="00CB00A7">
      <w:pPr>
        <w:pStyle w:val="BodyText"/>
        <w:spacing w:before="234"/>
        <w:ind w:left="220"/>
        <w:jc w:val="left"/>
      </w:pPr>
      <w:r>
        <w:rPr>
          <w:u w:val="single"/>
        </w:rPr>
        <w:t>XELJANZ</w:t>
      </w:r>
      <w:r>
        <w:rPr>
          <w:spacing w:val="-4"/>
          <w:u w:val="single"/>
        </w:rPr>
        <w:t xml:space="preserve"> </w:t>
      </w:r>
      <w:r>
        <w:rPr>
          <w:u w:val="single"/>
        </w:rPr>
        <w:t>XR</w:t>
      </w:r>
      <w:r>
        <w:rPr>
          <w:spacing w:val="-2"/>
          <w:u w:val="single"/>
        </w:rPr>
        <w:t xml:space="preserve"> </w:t>
      </w:r>
      <w:r>
        <w:rPr>
          <w:u w:val="single"/>
        </w:rPr>
        <w:t>11</w:t>
      </w:r>
      <w:r>
        <w:rPr>
          <w:spacing w:val="-7"/>
          <w:u w:val="single"/>
        </w:rPr>
        <w:t xml:space="preserve"> </w:t>
      </w:r>
      <w:r>
        <w:rPr>
          <w:spacing w:val="-5"/>
          <w:u w:val="single"/>
        </w:rPr>
        <w:t>mg</w:t>
      </w:r>
    </w:p>
    <w:p w14:paraId="4CF4B55F" w14:textId="77777777" w:rsidR="001825E2" w:rsidRDefault="000839A5" w:rsidP="00CB00A7">
      <w:pPr>
        <w:pStyle w:val="BodyText"/>
        <w:spacing w:before="133" w:line="235" w:lineRule="auto"/>
        <w:ind w:left="220" w:right="736"/>
        <w:jc w:val="left"/>
      </w:pPr>
      <w:r>
        <w:t>HDPE</w:t>
      </w:r>
      <w:r>
        <w:rPr>
          <w:spacing w:val="28"/>
        </w:rPr>
        <w:t xml:space="preserve"> </w:t>
      </w:r>
      <w:r>
        <w:t>bottles with desiccant</w:t>
      </w:r>
      <w:r>
        <w:rPr>
          <w:spacing w:val="33"/>
        </w:rPr>
        <w:t xml:space="preserve"> </w:t>
      </w:r>
      <w:r>
        <w:t>and</w:t>
      </w:r>
      <w:r>
        <w:rPr>
          <w:spacing w:val="40"/>
        </w:rPr>
        <w:t xml:space="preserve"> </w:t>
      </w:r>
      <w:r>
        <w:t>child-resistant</w:t>
      </w:r>
      <w:r>
        <w:rPr>
          <w:spacing w:val="33"/>
        </w:rPr>
        <w:t xml:space="preserve"> </w:t>
      </w:r>
      <w:r>
        <w:t>caps containing</w:t>
      </w:r>
      <w:r>
        <w:rPr>
          <w:spacing w:val="25"/>
        </w:rPr>
        <w:t xml:space="preserve"> </w:t>
      </w:r>
      <w:r>
        <w:t>14</w:t>
      </w:r>
      <w:r>
        <w:rPr>
          <w:spacing w:val="25"/>
        </w:rPr>
        <w:t xml:space="preserve"> </w:t>
      </w:r>
      <w:r>
        <w:t>or 30</w:t>
      </w:r>
      <w:r>
        <w:rPr>
          <w:spacing w:val="25"/>
        </w:rPr>
        <w:t xml:space="preserve"> </w:t>
      </w:r>
      <w:proofErr w:type="gramStart"/>
      <w:r>
        <w:t>extended</w:t>
      </w:r>
      <w:r>
        <w:rPr>
          <w:spacing w:val="40"/>
        </w:rPr>
        <w:t xml:space="preserve"> </w:t>
      </w:r>
      <w:r>
        <w:t>release</w:t>
      </w:r>
      <w:proofErr w:type="gramEnd"/>
      <w:r>
        <w:t xml:space="preserve"> film-coated tablets.</w:t>
      </w:r>
    </w:p>
    <w:p w14:paraId="62DEDA7F" w14:textId="77777777" w:rsidR="001825E2" w:rsidRDefault="000839A5" w:rsidP="00CB00A7">
      <w:pPr>
        <w:pStyle w:val="BodyText"/>
        <w:spacing w:before="254" w:line="235" w:lineRule="auto"/>
        <w:ind w:left="219" w:right="745"/>
        <w:jc w:val="left"/>
      </w:pPr>
      <w:proofErr w:type="spellStart"/>
      <w:r>
        <w:t>Aluminium</w:t>
      </w:r>
      <w:proofErr w:type="spellEnd"/>
      <w:r>
        <w:t>/</w:t>
      </w:r>
      <w:proofErr w:type="spellStart"/>
      <w:r>
        <w:t>Aluminium</w:t>
      </w:r>
      <w:proofErr w:type="spellEnd"/>
      <w:r>
        <w:t>-backed</w:t>
      </w:r>
      <w:r>
        <w:rPr>
          <w:spacing w:val="31"/>
        </w:rPr>
        <w:t xml:space="preserve"> </w:t>
      </w:r>
      <w:r>
        <w:t xml:space="preserve">foil blisters containing 7 or 28 </w:t>
      </w:r>
      <w:proofErr w:type="gramStart"/>
      <w:r>
        <w:t>extended release</w:t>
      </w:r>
      <w:proofErr w:type="gramEnd"/>
      <w:r>
        <w:t xml:space="preserve"> film-coated </w:t>
      </w:r>
      <w:r>
        <w:rPr>
          <w:spacing w:val="-2"/>
        </w:rPr>
        <w:t>tablets.</w:t>
      </w:r>
    </w:p>
    <w:p w14:paraId="1A7123F0" w14:textId="77777777" w:rsidR="001825E2" w:rsidRDefault="000839A5" w:rsidP="00CB00A7">
      <w:pPr>
        <w:pStyle w:val="BodyText"/>
        <w:spacing w:before="40" w:line="524" w:lineRule="exact"/>
        <w:ind w:left="220" w:right="5302" w:hanging="1"/>
        <w:jc w:val="left"/>
      </w:pPr>
      <w:r>
        <w:t>Not</w:t>
      </w:r>
      <w:r>
        <w:rPr>
          <w:spacing w:val="-15"/>
        </w:rPr>
        <w:t xml:space="preserve"> </w:t>
      </w:r>
      <w:r>
        <w:t>all</w:t>
      </w:r>
      <w:r>
        <w:rPr>
          <w:spacing w:val="-2"/>
        </w:rPr>
        <w:t xml:space="preserve"> </w:t>
      </w:r>
      <w:r>
        <w:t>pack</w:t>
      </w:r>
      <w:r>
        <w:rPr>
          <w:spacing w:val="-9"/>
        </w:rPr>
        <w:t xml:space="preserve"> </w:t>
      </w:r>
      <w:r>
        <w:t>sizes may be</w:t>
      </w:r>
      <w:r>
        <w:rPr>
          <w:spacing w:val="-11"/>
        </w:rPr>
        <w:t xml:space="preserve"> </w:t>
      </w:r>
      <w:r>
        <w:t xml:space="preserve">marketed. </w:t>
      </w:r>
      <w:r>
        <w:rPr>
          <w:u w:val="single"/>
        </w:rPr>
        <w:t>XELJANZ Oral Solution</w:t>
      </w:r>
    </w:p>
    <w:p w14:paraId="017C73F3" w14:textId="77777777" w:rsidR="001825E2" w:rsidRDefault="000839A5" w:rsidP="00CB00A7">
      <w:pPr>
        <w:pStyle w:val="BodyText"/>
        <w:spacing w:before="62" w:line="242" w:lineRule="auto"/>
        <w:ind w:left="217" w:right="749" w:firstLine="2"/>
        <w:jc w:val="left"/>
      </w:pPr>
      <w:r>
        <w:t>250 mL HDPE bottle with a child-resistant polypropylene closure containing 240 mL of solution; closure containing PP liner sealed by aluminum-foil heat-induction seal. The pack also contains a LDPE</w:t>
      </w:r>
      <w:r>
        <w:rPr>
          <w:spacing w:val="-2"/>
        </w:rPr>
        <w:t xml:space="preserve"> </w:t>
      </w:r>
      <w:r>
        <w:t>press-in</w:t>
      </w:r>
      <w:r>
        <w:rPr>
          <w:spacing w:val="40"/>
        </w:rPr>
        <w:t xml:space="preserve"> </w:t>
      </w:r>
      <w:r>
        <w:t>bottle</w:t>
      </w:r>
      <w:r>
        <w:rPr>
          <w:spacing w:val="-9"/>
        </w:rPr>
        <w:t xml:space="preserve"> </w:t>
      </w:r>
      <w:r>
        <w:t>adaptor</w:t>
      </w:r>
      <w:r>
        <w:rPr>
          <w:spacing w:val="-13"/>
        </w:rPr>
        <w:t xml:space="preserve"> </w:t>
      </w:r>
      <w:r>
        <w:t>(PIBA) and an oral dosing</w:t>
      </w:r>
      <w:r>
        <w:rPr>
          <w:spacing w:val="-7"/>
        </w:rPr>
        <w:t xml:space="preserve"> </w:t>
      </w:r>
      <w:r>
        <w:t>syringe.</w:t>
      </w:r>
    </w:p>
    <w:p w14:paraId="1E78E8E0" w14:textId="77777777" w:rsidR="001825E2" w:rsidRDefault="000839A5" w:rsidP="00CB00A7">
      <w:pPr>
        <w:pStyle w:val="Heading2"/>
        <w:numPr>
          <w:ilvl w:val="1"/>
          <w:numId w:val="11"/>
        </w:numPr>
        <w:tabs>
          <w:tab w:val="left" w:pos="638"/>
        </w:tabs>
        <w:spacing w:before="221"/>
        <w:ind w:left="638" w:hanging="418"/>
      </w:pPr>
      <w:r>
        <w:t>Special</w:t>
      </w:r>
      <w:r>
        <w:rPr>
          <w:spacing w:val="-5"/>
        </w:rPr>
        <w:t xml:space="preserve"> </w:t>
      </w:r>
      <w:r>
        <w:t>Precautions</w:t>
      </w:r>
      <w:r>
        <w:rPr>
          <w:spacing w:val="-6"/>
        </w:rPr>
        <w:t xml:space="preserve"> </w:t>
      </w:r>
      <w:r>
        <w:t>for</w:t>
      </w:r>
      <w:r>
        <w:rPr>
          <w:spacing w:val="-24"/>
        </w:rPr>
        <w:t xml:space="preserve"> </w:t>
      </w:r>
      <w:r>
        <w:rPr>
          <w:spacing w:val="-2"/>
        </w:rPr>
        <w:t>Disposal</w:t>
      </w:r>
    </w:p>
    <w:p w14:paraId="1F8AAAAD" w14:textId="77777777" w:rsidR="001825E2" w:rsidRDefault="000839A5" w:rsidP="00CB00A7">
      <w:pPr>
        <w:pStyle w:val="BodyText"/>
        <w:spacing w:before="260" w:line="235" w:lineRule="auto"/>
        <w:ind w:left="219" w:right="718"/>
        <w:jc w:val="left"/>
      </w:pPr>
      <w:r>
        <w:t>In Australia, any unused medicine or waste material should be disposed of by</w:t>
      </w:r>
      <w:r>
        <w:rPr>
          <w:spacing w:val="-5"/>
        </w:rPr>
        <w:t xml:space="preserve"> </w:t>
      </w:r>
      <w:r>
        <w:t>taking to your local pharmacy.</w:t>
      </w:r>
    </w:p>
    <w:p w14:paraId="25C270E6" w14:textId="77777777" w:rsidR="001825E2" w:rsidRDefault="000839A5" w:rsidP="00CB00A7">
      <w:pPr>
        <w:pStyle w:val="Heading2"/>
        <w:numPr>
          <w:ilvl w:val="1"/>
          <w:numId w:val="11"/>
        </w:numPr>
        <w:tabs>
          <w:tab w:val="left" w:pos="638"/>
        </w:tabs>
        <w:spacing w:before="242"/>
        <w:ind w:left="638" w:hanging="418"/>
      </w:pPr>
      <w:r>
        <w:t>Physicochemical</w:t>
      </w:r>
      <w:r>
        <w:rPr>
          <w:spacing w:val="-29"/>
        </w:rPr>
        <w:t xml:space="preserve"> </w:t>
      </w:r>
      <w:r>
        <w:rPr>
          <w:spacing w:val="-2"/>
        </w:rPr>
        <w:t>Properties</w:t>
      </w:r>
    </w:p>
    <w:p w14:paraId="2F71F2AC" w14:textId="77777777" w:rsidR="001825E2" w:rsidRDefault="000839A5" w:rsidP="00CB00A7">
      <w:pPr>
        <w:pStyle w:val="BodyText"/>
        <w:tabs>
          <w:tab w:val="left" w:pos="2634"/>
        </w:tabs>
        <w:spacing w:before="241" w:line="242" w:lineRule="auto"/>
        <w:ind w:left="2633" w:right="1485" w:hanging="2414"/>
        <w:jc w:val="left"/>
      </w:pPr>
      <w:r>
        <w:t>Chemical name:</w:t>
      </w:r>
      <w:r>
        <w:tab/>
        <w:t>(3</w:t>
      </w:r>
      <w:r>
        <w:rPr>
          <w:i/>
        </w:rPr>
        <w:t>R</w:t>
      </w:r>
      <w:r>
        <w:t>,4</w:t>
      </w:r>
      <w:r>
        <w:rPr>
          <w:i/>
        </w:rPr>
        <w:t>R</w:t>
      </w:r>
      <w:r>
        <w:t>)-4-methyl-3-(methyl-7</w:t>
      </w:r>
      <w:r>
        <w:rPr>
          <w:i/>
        </w:rPr>
        <w:t>H</w:t>
      </w:r>
      <w:r>
        <w:t>-pyrrolo</w:t>
      </w:r>
      <w:r>
        <w:rPr>
          <w:spacing w:val="18"/>
        </w:rPr>
        <w:t xml:space="preserve"> </w:t>
      </w:r>
      <w:r>
        <w:t>[2,3-</w:t>
      </w:r>
      <w:proofErr w:type="gramStart"/>
      <w:r>
        <w:rPr>
          <w:i/>
        </w:rPr>
        <w:t>d</w:t>
      </w:r>
      <w:r>
        <w:t>]pyrimidin</w:t>
      </w:r>
      <w:proofErr w:type="gramEnd"/>
      <w:r>
        <w:t xml:space="preserve">-4- </w:t>
      </w:r>
      <w:proofErr w:type="spellStart"/>
      <w:r>
        <w:rPr>
          <w:spacing w:val="-2"/>
        </w:rPr>
        <w:t>ylamino</w:t>
      </w:r>
      <w:proofErr w:type="spellEnd"/>
      <w:r>
        <w:rPr>
          <w:spacing w:val="-2"/>
        </w:rPr>
        <w:t>)-ß-oxo-1-piperidinepropanenitrile,</w:t>
      </w:r>
      <w:r>
        <w:rPr>
          <w:spacing w:val="40"/>
        </w:rPr>
        <w:t xml:space="preserve"> </w:t>
      </w:r>
      <w:r>
        <w:rPr>
          <w:spacing w:val="-2"/>
        </w:rPr>
        <w:t xml:space="preserve">2-hydroxy-1,2,3- </w:t>
      </w:r>
      <w:proofErr w:type="spellStart"/>
      <w:r>
        <w:rPr>
          <w:spacing w:val="-2"/>
        </w:rPr>
        <w:t>propanetricarboxylate</w:t>
      </w:r>
      <w:proofErr w:type="spellEnd"/>
    </w:p>
    <w:p w14:paraId="41777AC7" w14:textId="77777777" w:rsidR="001825E2" w:rsidRDefault="000839A5" w:rsidP="00CB00A7">
      <w:pPr>
        <w:pStyle w:val="BodyText"/>
        <w:tabs>
          <w:tab w:val="left" w:pos="2632"/>
        </w:tabs>
        <w:spacing w:before="229" w:line="460" w:lineRule="auto"/>
        <w:ind w:left="218" w:right="3750" w:hanging="1"/>
        <w:jc w:val="left"/>
        <w:rPr>
          <w:sz w:val="16"/>
        </w:rPr>
      </w:pPr>
      <w:r>
        <w:t>Molecular weight:</w:t>
      </w:r>
      <w:r>
        <w:tab/>
      </w:r>
      <w:r>
        <w:rPr>
          <w:spacing w:val="-60"/>
        </w:rPr>
        <w:t xml:space="preserve"> </w:t>
      </w:r>
      <w:r>
        <w:t>504.5</w:t>
      </w:r>
      <w:r>
        <w:rPr>
          <w:spacing w:val="-6"/>
        </w:rPr>
        <w:t xml:space="preserve"> </w:t>
      </w:r>
      <w:r>
        <w:t>(312.4</w:t>
      </w:r>
      <w:r>
        <w:rPr>
          <w:spacing w:val="-7"/>
        </w:rPr>
        <w:t xml:space="preserve"> </w:t>
      </w:r>
      <w:r>
        <w:t>for</w:t>
      </w:r>
      <w:r>
        <w:rPr>
          <w:spacing w:val="-11"/>
        </w:rPr>
        <w:t xml:space="preserve"> </w:t>
      </w:r>
      <w:r>
        <w:t>tofacitinib</w:t>
      </w:r>
      <w:r>
        <w:rPr>
          <w:spacing w:val="-7"/>
        </w:rPr>
        <w:t xml:space="preserve"> </w:t>
      </w:r>
      <w:r>
        <w:t>free</w:t>
      </w:r>
      <w:r>
        <w:rPr>
          <w:spacing w:val="-9"/>
        </w:rPr>
        <w:t xml:space="preserve"> </w:t>
      </w:r>
      <w:r>
        <w:t xml:space="preserve">base) </w:t>
      </w:r>
      <w:r>
        <w:rPr>
          <w:position w:val="1"/>
        </w:rPr>
        <w:t>Molecular formula:</w:t>
      </w:r>
      <w:r>
        <w:rPr>
          <w:position w:val="1"/>
        </w:rPr>
        <w:tab/>
      </w:r>
      <w:r>
        <w:rPr>
          <w:spacing w:val="-2"/>
          <w:position w:val="1"/>
        </w:rPr>
        <w:t>C</w:t>
      </w:r>
      <w:r>
        <w:rPr>
          <w:spacing w:val="-2"/>
          <w:sz w:val="16"/>
        </w:rPr>
        <w:t>16</w:t>
      </w:r>
      <w:r>
        <w:rPr>
          <w:spacing w:val="-2"/>
          <w:position w:val="1"/>
        </w:rPr>
        <w:t>H</w:t>
      </w:r>
      <w:r>
        <w:rPr>
          <w:spacing w:val="-2"/>
          <w:sz w:val="16"/>
        </w:rPr>
        <w:t>20</w:t>
      </w:r>
      <w:r>
        <w:rPr>
          <w:spacing w:val="-2"/>
          <w:position w:val="1"/>
        </w:rPr>
        <w:t>N</w:t>
      </w:r>
      <w:r>
        <w:rPr>
          <w:spacing w:val="-2"/>
          <w:sz w:val="16"/>
        </w:rPr>
        <w:t>6</w:t>
      </w:r>
      <w:r>
        <w:rPr>
          <w:spacing w:val="-2"/>
          <w:position w:val="1"/>
        </w:rPr>
        <w:t>O•C</w:t>
      </w:r>
      <w:r>
        <w:rPr>
          <w:spacing w:val="-2"/>
          <w:sz w:val="16"/>
        </w:rPr>
        <w:t>6</w:t>
      </w:r>
      <w:r>
        <w:rPr>
          <w:spacing w:val="-2"/>
          <w:position w:val="1"/>
        </w:rPr>
        <w:t>H</w:t>
      </w:r>
      <w:r>
        <w:rPr>
          <w:spacing w:val="-2"/>
          <w:sz w:val="16"/>
        </w:rPr>
        <w:t>8</w:t>
      </w:r>
      <w:r>
        <w:rPr>
          <w:spacing w:val="-2"/>
          <w:position w:val="1"/>
        </w:rPr>
        <w:t>O</w:t>
      </w:r>
      <w:r>
        <w:rPr>
          <w:spacing w:val="-2"/>
          <w:sz w:val="16"/>
        </w:rPr>
        <w:t>7</w:t>
      </w:r>
    </w:p>
    <w:p w14:paraId="1FADEEA9" w14:textId="77777777" w:rsidR="001825E2" w:rsidRDefault="000839A5" w:rsidP="00CB00A7">
      <w:pPr>
        <w:pStyle w:val="Heading4"/>
        <w:spacing w:before="0" w:line="251" w:lineRule="exact"/>
        <w:jc w:val="left"/>
      </w:pPr>
      <w:r>
        <w:t>Chemical</w:t>
      </w:r>
      <w:r>
        <w:rPr>
          <w:spacing w:val="-5"/>
        </w:rPr>
        <w:t xml:space="preserve"> </w:t>
      </w:r>
      <w:r>
        <w:rPr>
          <w:spacing w:val="-2"/>
        </w:rPr>
        <w:t>Structure</w:t>
      </w:r>
    </w:p>
    <w:p w14:paraId="6EA99AC4" w14:textId="77777777" w:rsidR="001825E2" w:rsidRDefault="000839A5" w:rsidP="00CB00A7">
      <w:pPr>
        <w:spacing w:before="165"/>
        <w:ind w:left="519"/>
        <w:rPr>
          <w:rFonts w:ascii="Arial"/>
          <w:sz w:val="19"/>
        </w:rPr>
      </w:pPr>
      <w:r>
        <w:rPr>
          <w:noProof/>
        </w:rPr>
        <mc:AlternateContent>
          <mc:Choice Requires="wpg">
            <w:drawing>
              <wp:anchor distT="0" distB="0" distL="0" distR="0" simplePos="0" relativeHeight="484347392" behindDoc="1" locked="0" layoutInCell="1" allowOverlap="1" wp14:anchorId="08E0C40D" wp14:editId="31CDD8ED">
                <wp:simplePos x="0" y="0"/>
                <wp:positionH relativeFrom="page">
                  <wp:posOffset>1278086</wp:posOffset>
                </wp:positionH>
                <wp:positionV relativeFrom="paragraph">
                  <wp:posOffset>166936</wp:posOffset>
                </wp:positionV>
                <wp:extent cx="973455" cy="583565"/>
                <wp:effectExtent l="0" t="0" r="0" b="0"/>
                <wp:wrapNone/>
                <wp:docPr id="309"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3455" cy="583565"/>
                          <a:chOff x="0" y="0"/>
                          <a:chExt cx="973455" cy="583565"/>
                        </a:xfrm>
                      </wpg:grpSpPr>
                      <wps:wsp>
                        <wps:cNvPr id="310" name="Graphic 310"/>
                        <wps:cNvSpPr/>
                        <wps:spPr>
                          <a:xfrm>
                            <a:off x="414315" y="89261"/>
                            <a:ext cx="1270" cy="120014"/>
                          </a:xfrm>
                          <a:custGeom>
                            <a:avLst/>
                            <a:gdLst/>
                            <a:ahLst/>
                            <a:cxnLst/>
                            <a:rect l="l" t="t" r="r" b="b"/>
                            <a:pathLst>
                              <a:path h="120014">
                                <a:moveTo>
                                  <a:pt x="0" y="119699"/>
                                </a:moveTo>
                                <a:lnTo>
                                  <a:pt x="0" y="0"/>
                                </a:lnTo>
                              </a:path>
                            </a:pathLst>
                          </a:custGeom>
                          <a:ln w="6390">
                            <a:solidFill>
                              <a:srgbClr val="000000"/>
                            </a:solidFill>
                            <a:prstDash val="solid"/>
                          </a:ln>
                        </wps:spPr>
                        <wps:bodyPr wrap="square" lIns="0" tIns="0" rIns="0" bIns="0" rtlCol="0">
                          <a:prstTxWarp prst="textNoShape">
                            <a:avLst/>
                          </a:prstTxWarp>
                          <a:noAutofit/>
                        </wps:bodyPr>
                      </wps:wsp>
                      <wps:wsp>
                        <wps:cNvPr id="311" name="Graphic 311"/>
                        <wps:cNvSpPr/>
                        <wps:spPr>
                          <a:xfrm>
                            <a:off x="263074" y="3161"/>
                            <a:ext cx="151765" cy="86360"/>
                          </a:xfrm>
                          <a:custGeom>
                            <a:avLst/>
                            <a:gdLst/>
                            <a:ahLst/>
                            <a:cxnLst/>
                            <a:rect l="l" t="t" r="r" b="b"/>
                            <a:pathLst>
                              <a:path w="151765" h="86360">
                                <a:moveTo>
                                  <a:pt x="151239" y="86099"/>
                                </a:moveTo>
                                <a:lnTo>
                                  <a:pt x="0" y="0"/>
                                </a:lnTo>
                              </a:path>
                            </a:pathLst>
                          </a:custGeom>
                          <a:ln w="6322">
                            <a:solidFill>
                              <a:srgbClr val="000000"/>
                            </a:solidFill>
                            <a:prstDash val="solid"/>
                          </a:ln>
                        </wps:spPr>
                        <wps:bodyPr wrap="square" lIns="0" tIns="0" rIns="0" bIns="0" rtlCol="0">
                          <a:prstTxWarp prst="textNoShape">
                            <a:avLst/>
                          </a:prstTxWarp>
                          <a:noAutofit/>
                        </wps:bodyPr>
                      </wps:wsp>
                      <wps:wsp>
                        <wps:cNvPr id="312" name="Graphic 312"/>
                        <wps:cNvSpPr/>
                        <wps:spPr>
                          <a:xfrm>
                            <a:off x="113963" y="3161"/>
                            <a:ext cx="149225" cy="86360"/>
                          </a:xfrm>
                          <a:custGeom>
                            <a:avLst/>
                            <a:gdLst/>
                            <a:ahLst/>
                            <a:cxnLst/>
                            <a:rect l="l" t="t" r="r" b="b"/>
                            <a:pathLst>
                              <a:path w="149225" h="86360">
                                <a:moveTo>
                                  <a:pt x="149109" y="0"/>
                                </a:moveTo>
                                <a:lnTo>
                                  <a:pt x="0" y="86099"/>
                                </a:lnTo>
                              </a:path>
                            </a:pathLst>
                          </a:custGeom>
                          <a:ln w="6322">
                            <a:solidFill>
                              <a:srgbClr val="000000"/>
                            </a:solidFill>
                            <a:prstDash val="solid"/>
                          </a:ln>
                        </wps:spPr>
                        <wps:bodyPr wrap="square" lIns="0" tIns="0" rIns="0" bIns="0" rtlCol="0">
                          <a:prstTxWarp prst="textNoShape">
                            <a:avLst/>
                          </a:prstTxWarp>
                          <a:noAutofit/>
                        </wps:bodyPr>
                      </wps:wsp>
                      <wps:wsp>
                        <wps:cNvPr id="313" name="Graphic 313"/>
                        <wps:cNvSpPr/>
                        <wps:spPr>
                          <a:xfrm>
                            <a:off x="113962" y="89260"/>
                            <a:ext cx="1270" cy="170180"/>
                          </a:xfrm>
                          <a:custGeom>
                            <a:avLst/>
                            <a:gdLst/>
                            <a:ahLst/>
                            <a:cxnLst/>
                            <a:rect l="l" t="t" r="r" b="b"/>
                            <a:pathLst>
                              <a:path h="170180">
                                <a:moveTo>
                                  <a:pt x="0" y="0"/>
                                </a:moveTo>
                                <a:lnTo>
                                  <a:pt x="0" y="170098"/>
                                </a:lnTo>
                              </a:path>
                            </a:pathLst>
                          </a:custGeom>
                          <a:ln w="6390">
                            <a:solidFill>
                              <a:srgbClr val="000000"/>
                            </a:solidFill>
                            <a:prstDash val="solid"/>
                          </a:ln>
                        </wps:spPr>
                        <wps:bodyPr wrap="square" lIns="0" tIns="0" rIns="0" bIns="0" rtlCol="0">
                          <a:prstTxWarp prst="textNoShape">
                            <a:avLst/>
                          </a:prstTxWarp>
                          <a:noAutofit/>
                        </wps:bodyPr>
                      </wps:wsp>
                      <wps:wsp>
                        <wps:cNvPr id="314" name="Graphic 314"/>
                        <wps:cNvSpPr/>
                        <wps:spPr>
                          <a:xfrm>
                            <a:off x="113961" y="259359"/>
                            <a:ext cx="151765" cy="88265"/>
                          </a:xfrm>
                          <a:custGeom>
                            <a:avLst/>
                            <a:gdLst/>
                            <a:ahLst/>
                            <a:cxnLst/>
                            <a:rect l="l" t="t" r="r" b="b"/>
                            <a:pathLst>
                              <a:path w="151765" h="88265">
                                <a:moveTo>
                                  <a:pt x="0" y="0"/>
                                </a:moveTo>
                                <a:lnTo>
                                  <a:pt x="151239" y="88199"/>
                                </a:lnTo>
                              </a:path>
                            </a:pathLst>
                          </a:custGeom>
                          <a:ln w="6322">
                            <a:solidFill>
                              <a:srgbClr val="000000"/>
                            </a:solidFill>
                            <a:prstDash val="solid"/>
                          </a:ln>
                        </wps:spPr>
                        <wps:bodyPr wrap="square" lIns="0" tIns="0" rIns="0" bIns="0" rtlCol="0">
                          <a:prstTxWarp prst="textNoShape">
                            <a:avLst/>
                          </a:prstTxWarp>
                          <a:noAutofit/>
                        </wps:bodyPr>
                      </wps:wsp>
                      <wps:wsp>
                        <wps:cNvPr id="315" name="Graphic 315"/>
                        <wps:cNvSpPr/>
                        <wps:spPr>
                          <a:xfrm>
                            <a:off x="263069" y="286659"/>
                            <a:ext cx="100330" cy="59055"/>
                          </a:xfrm>
                          <a:custGeom>
                            <a:avLst/>
                            <a:gdLst/>
                            <a:ahLst/>
                            <a:cxnLst/>
                            <a:rect l="l" t="t" r="r" b="b"/>
                            <a:pathLst>
                              <a:path w="100330" h="59055">
                                <a:moveTo>
                                  <a:pt x="100116" y="0"/>
                                </a:moveTo>
                                <a:lnTo>
                                  <a:pt x="0" y="58799"/>
                                </a:lnTo>
                              </a:path>
                            </a:pathLst>
                          </a:custGeom>
                          <a:ln w="6323">
                            <a:solidFill>
                              <a:srgbClr val="000000"/>
                            </a:solidFill>
                            <a:prstDash val="solid"/>
                          </a:ln>
                        </wps:spPr>
                        <wps:bodyPr wrap="square" lIns="0" tIns="0" rIns="0" bIns="0" rtlCol="0">
                          <a:prstTxWarp prst="textNoShape">
                            <a:avLst/>
                          </a:prstTxWarp>
                          <a:noAutofit/>
                        </wps:bodyPr>
                      </wps:wsp>
                      <wps:wsp>
                        <wps:cNvPr id="316" name="Graphic 316"/>
                        <wps:cNvSpPr/>
                        <wps:spPr>
                          <a:xfrm>
                            <a:off x="9582" y="299259"/>
                            <a:ext cx="17145" cy="29845"/>
                          </a:xfrm>
                          <a:custGeom>
                            <a:avLst/>
                            <a:gdLst/>
                            <a:ahLst/>
                            <a:cxnLst/>
                            <a:rect l="l" t="t" r="r" b="b"/>
                            <a:pathLst>
                              <a:path w="17145" h="29845">
                                <a:moveTo>
                                  <a:pt x="17041" y="29399"/>
                                </a:moveTo>
                                <a:lnTo>
                                  <a:pt x="0" y="0"/>
                                </a:lnTo>
                              </a:path>
                            </a:pathLst>
                          </a:custGeom>
                          <a:ln w="6367">
                            <a:solidFill>
                              <a:srgbClr val="000000"/>
                            </a:solidFill>
                            <a:prstDash val="solid"/>
                          </a:ln>
                        </wps:spPr>
                        <wps:bodyPr wrap="square" lIns="0" tIns="0" rIns="0" bIns="0" rtlCol="0">
                          <a:prstTxWarp prst="textNoShape">
                            <a:avLst/>
                          </a:prstTxWarp>
                          <a:noAutofit/>
                        </wps:bodyPr>
                      </wps:wsp>
                      <wps:wsp>
                        <wps:cNvPr id="317" name="Graphic 317"/>
                        <wps:cNvSpPr/>
                        <wps:spPr>
                          <a:xfrm>
                            <a:off x="24492" y="292959"/>
                            <a:ext cx="15240" cy="25400"/>
                          </a:xfrm>
                          <a:custGeom>
                            <a:avLst/>
                            <a:gdLst/>
                            <a:ahLst/>
                            <a:cxnLst/>
                            <a:rect l="l" t="t" r="r" b="b"/>
                            <a:pathLst>
                              <a:path w="15240" h="25400">
                                <a:moveTo>
                                  <a:pt x="14910" y="25199"/>
                                </a:moveTo>
                                <a:lnTo>
                                  <a:pt x="0" y="0"/>
                                </a:lnTo>
                              </a:path>
                            </a:pathLst>
                          </a:custGeom>
                          <a:ln w="6366">
                            <a:solidFill>
                              <a:srgbClr val="000000"/>
                            </a:solidFill>
                            <a:prstDash val="solid"/>
                          </a:ln>
                        </wps:spPr>
                        <wps:bodyPr wrap="square" lIns="0" tIns="0" rIns="0" bIns="0" rtlCol="0">
                          <a:prstTxWarp prst="textNoShape">
                            <a:avLst/>
                          </a:prstTxWarp>
                          <a:noAutofit/>
                        </wps:bodyPr>
                      </wps:wsp>
                      <wps:wsp>
                        <wps:cNvPr id="318" name="Graphic 318"/>
                        <wps:cNvSpPr/>
                        <wps:spPr>
                          <a:xfrm>
                            <a:off x="37271" y="286659"/>
                            <a:ext cx="13335" cy="23495"/>
                          </a:xfrm>
                          <a:custGeom>
                            <a:avLst/>
                            <a:gdLst/>
                            <a:ahLst/>
                            <a:cxnLst/>
                            <a:rect l="l" t="t" r="r" b="b"/>
                            <a:pathLst>
                              <a:path w="13335" h="23495">
                                <a:moveTo>
                                  <a:pt x="12780" y="23099"/>
                                </a:moveTo>
                                <a:lnTo>
                                  <a:pt x="0" y="0"/>
                                </a:lnTo>
                              </a:path>
                            </a:pathLst>
                          </a:custGeom>
                          <a:ln w="6369">
                            <a:solidFill>
                              <a:srgbClr val="000000"/>
                            </a:solidFill>
                            <a:prstDash val="solid"/>
                          </a:ln>
                        </wps:spPr>
                        <wps:bodyPr wrap="square" lIns="0" tIns="0" rIns="0" bIns="0" rtlCol="0">
                          <a:prstTxWarp prst="textNoShape">
                            <a:avLst/>
                          </a:prstTxWarp>
                          <a:noAutofit/>
                        </wps:bodyPr>
                      </wps:wsp>
                      <wps:wsp>
                        <wps:cNvPr id="319" name="Graphic 319"/>
                        <wps:cNvSpPr/>
                        <wps:spPr>
                          <a:xfrm>
                            <a:off x="52181" y="282459"/>
                            <a:ext cx="10795" cy="17145"/>
                          </a:xfrm>
                          <a:custGeom>
                            <a:avLst/>
                            <a:gdLst/>
                            <a:ahLst/>
                            <a:cxnLst/>
                            <a:rect l="l" t="t" r="r" b="b"/>
                            <a:pathLst>
                              <a:path w="10795" h="17145">
                                <a:moveTo>
                                  <a:pt x="10650" y="16799"/>
                                </a:moveTo>
                                <a:lnTo>
                                  <a:pt x="0" y="0"/>
                                </a:lnTo>
                              </a:path>
                            </a:pathLst>
                          </a:custGeom>
                          <a:ln w="6364">
                            <a:solidFill>
                              <a:srgbClr val="000000"/>
                            </a:solidFill>
                            <a:prstDash val="solid"/>
                          </a:ln>
                        </wps:spPr>
                        <wps:bodyPr wrap="square" lIns="0" tIns="0" rIns="0" bIns="0" rtlCol="0">
                          <a:prstTxWarp prst="textNoShape">
                            <a:avLst/>
                          </a:prstTxWarp>
                          <a:noAutofit/>
                        </wps:bodyPr>
                      </wps:wsp>
                      <wps:wsp>
                        <wps:cNvPr id="320" name="Graphic 320"/>
                        <wps:cNvSpPr/>
                        <wps:spPr>
                          <a:xfrm>
                            <a:off x="67091" y="276159"/>
                            <a:ext cx="8890" cy="15240"/>
                          </a:xfrm>
                          <a:custGeom>
                            <a:avLst/>
                            <a:gdLst/>
                            <a:ahLst/>
                            <a:cxnLst/>
                            <a:rect l="l" t="t" r="r" b="b"/>
                            <a:pathLst>
                              <a:path w="8890" h="15240">
                                <a:moveTo>
                                  <a:pt x="8520" y="14699"/>
                                </a:moveTo>
                                <a:lnTo>
                                  <a:pt x="0" y="0"/>
                                </a:lnTo>
                              </a:path>
                            </a:pathLst>
                          </a:custGeom>
                          <a:ln w="6367">
                            <a:solidFill>
                              <a:srgbClr val="000000"/>
                            </a:solidFill>
                            <a:prstDash val="solid"/>
                          </a:ln>
                        </wps:spPr>
                        <wps:bodyPr wrap="square" lIns="0" tIns="0" rIns="0" bIns="0" rtlCol="0">
                          <a:prstTxWarp prst="textNoShape">
                            <a:avLst/>
                          </a:prstTxWarp>
                          <a:noAutofit/>
                        </wps:bodyPr>
                      </wps:wsp>
                      <wps:wsp>
                        <wps:cNvPr id="321" name="Graphic 321"/>
                        <wps:cNvSpPr/>
                        <wps:spPr>
                          <a:xfrm>
                            <a:off x="82001" y="269859"/>
                            <a:ext cx="6985" cy="10795"/>
                          </a:xfrm>
                          <a:custGeom>
                            <a:avLst/>
                            <a:gdLst/>
                            <a:ahLst/>
                            <a:cxnLst/>
                            <a:rect l="l" t="t" r="r" b="b"/>
                            <a:pathLst>
                              <a:path w="6985" h="10795">
                                <a:moveTo>
                                  <a:pt x="6390" y="10499"/>
                                </a:moveTo>
                                <a:lnTo>
                                  <a:pt x="0" y="0"/>
                                </a:lnTo>
                              </a:path>
                            </a:pathLst>
                          </a:custGeom>
                          <a:ln w="6365">
                            <a:solidFill>
                              <a:srgbClr val="000000"/>
                            </a:solidFill>
                            <a:prstDash val="solid"/>
                          </a:ln>
                        </wps:spPr>
                        <wps:bodyPr wrap="square" lIns="0" tIns="0" rIns="0" bIns="0" rtlCol="0">
                          <a:prstTxWarp prst="textNoShape">
                            <a:avLst/>
                          </a:prstTxWarp>
                          <a:noAutofit/>
                        </wps:bodyPr>
                      </wps:wsp>
                      <wps:wsp>
                        <wps:cNvPr id="322" name="Graphic 322"/>
                        <wps:cNvSpPr/>
                        <wps:spPr>
                          <a:xfrm>
                            <a:off x="96910" y="265659"/>
                            <a:ext cx="2540" cy="4445"/>
                          </a:xfrm>
                          <a:custGeom>
                            <a:avLst/>
                            <a:gdLst/>
                            <a:ahLst/>
                            <a:cxnLst/>
                            <a:rect l="l" t="t" r="r" b="b"/>
                            <a:pathLst>
                              <a:path w="2540" h="4445">
                                <a:moveTo>
                                  <a:pt x="2130" y="4199"/>
                                </a:moveTo>
                                <a:lnTo>
                                  <a:pt x="0" y="0"/>
                                </a:lnTo>
                              </a:path>
                            </a:pathLst>
                          </a:custGeom>
                          <a:ln w="6371">
                            <a:solidFill>
                              <a:srgbClr val="000000"/>
                            </a:solidFill>
                            <a:prstDash val="solid"/>
                          </a:ln>
                        </wps:spPr>
                        <wps:bodyPr wrap="square" lIns="0" tIns="0" rIns="0" bIns="0" rtlCol="0">
                          <a:prstTxWarp prst="textNoShape">
                            <a:avLst/>
                          </a:prstTxWarp>
                          <a:noAutofit/>
                        </wps:bodyPr>
                      </wps:wsp>
                      <wps:wsp>
                        <wps:cNvPr id="323" name="Graphic 323"/>
                        <wps:cNvSpPr/>
                        <wps:spPr>
                          <a:xfrm>
                            <a:off x="3184" y="15761"/>
                            <a:ext cx="17145" cy="29845"/>
                          </a:xfrm>
                          <a:custGeom>
                            <a:avLst/>
                            <a:gdLst/>
                            <a:ahLst/>
                            <a:cxnLst/>
                            <a:rect l="l" t="t" r="r" b="b"/>
                            <a:pathLst>
                              <a:path w="17145" h="29845">
                                <a:moveTo>
                                  <a:pt x="0" y="29399"/>
                                </a:moveTo>
                                <a:lnTo>
                                  <a:pt x="17041" y="0"/>
                                </a:lnTo>
                              </a:path>
                            </a:pathLst>
                          </a:custGeom>
                          <a:ln w="6367">
                            <a:solidFill>
                              <a:srgbClr val="000000"/>
                            </a:solidFill>
                            <a:prstDash val="solid"/>
                          </a:ln>
                        </wps:spPr>
                        <wps:bodyPr wrap="square" lIns="0" tIns="0" rIns="0" bIns="0" rtlCol="0">
                          <a:prstTxWarp prst="textNoShape">
                            <a:avLst/>
                          </a:prstTxWarp>
                          <a:noAutofit/>
                        </wps:bodyPr>
                      </wps:wsp>
                      <wps:wsp>
                        <wps:cNvPr id="324" name="Graphic 324"/>
                        <wps:cNvSpPr/>
                        <wps:spPr>
                          <a:xfrm>
                            <a:off x="18093" y="26261"/>
                            <a:ext cx="15240" cy="25400"/>
                          </a:xfrm>
                          <a:custGeom>
                            <a:avLst/>
                            <a:gdLst/>
                            <a:ahLst/>
                            <a:cxnLst/>
                            <a:rect l="l" t="t" r="r" b="b"/>
                            <a:pathLst>
                              <a:path w="15240" h="25400">
                                <a:moveTo>
                                  <a:pt x="0" y="25199"/>
                                </a:moveTo>
                                <a:lnTo>
                                  <a:pt x="14910" y="0"/>
                                </a:lnTo>
                              </a:path>
                            </a:pathLst>
                          </a:custGeom>
                          <a:ln w="6366">
                            <a:solidFill>
                              <a:srgbClr val="000000"/>
                            </a:solidFill>
                            <a:prstDash val="solid"/>
                          </a:ln>
                        </wps:spPr>
                        <wps:bodyPr wrap="square" lIns="0" tIns="0" rIns="0" bIns="0" rtlCol="0">
                          <a:prstTxWarp prst="textNoShape">
                            <a:avLst/>
                          </a:prstTxWarp>
                          <a:noAutofit/>
                        </wps:bodyPr>
                      </wps:wsp>
                      <wps:wsp>
                        <wps:cNvPr id="325" name="Graphic 325"/>
                        <wps:cNvSpPr/>
                        <wps:spPr>
                          <a:xfrm>
                            <a:off x="35133" y="36761"/>
                            <a:ext cx="10795" cy="21590"/>
                          </a:xfrm>
                          <a:custGeom>
                            <a:avLst/>
                            <a:gdLst/>
                            <a:ahLst/>
                            <a:cxnLst/>
                            <a:rect l="l" t="t" r="r" b="b"/>
                            <a:pathLst>
                              <a:path w="10795" h="21590">
                                <a:moveTo>
                                  <a:pt x="0" y="20999"/>
                                </a:moveTo>
                                <a:lnTo>
                                  <a:pt x="10650" y="0"/>
                                </a:lnTo>
                              </a:path>
                            </a:pathLst>
                          </a:custGeom>
                          <a:ln w="6371">
                            <a:solidFill>
                              <a:srgbClr val="000000"/>
                            </a:solidFill>
                            <a:prstDash val="solid"/>
                          </a:ln>
                        </wps:spPr>
                        <wps:bodyPr wrap="square" lIns="0" tIns="0" rIns="0" bIns="0" rtlCol="0">
                          <a:prstTxWarp prst="textNoShape">
                            <a:avLst/>
                          </a:prstTxWarp>
                          <a:noAutofit/>
                        </wps:bodyPr>
                      </wps:wsp>
                      <wps:wsp>
                        <wps:cNvPr id="326" name="Graphic 326"/>
                        <wps:cNvSpPr/>
                        <wps:spPr>
                          <a:xfrm>
                            <a:off x="50043" y="47261"/>
                            <a:ext cx="10795" cy="17145"/>
                          </a:xfrm>
                          <a:custGeom>
                            <a:avLst/>
                            <a:gdLst/>
                            <a:ahLst/>
                            <a:cxnLst/>
                            <a:rect l="l" t="t" r="r" b="b"/>
                            <a:pathLst>
                              <a:path w="10795" h="17145">
                                <a:moveTo>
                                  <a:pt x="0" y="16799"/>
                                </a:moveTo>
                                <a:lnTo>
                                  <a:pt x="10650" y="0"/>
                                </a:lnTo>
                              </a:path>
                            </a:pathLst>
                          </a:custGeom>
                          <a:ln w="6364">
                            <a:solidFill>
                              <a:srgbClr val="000000"/>
                            </a:solidFill>
                            <a:prstDash val="solid"/>
                          </a:ln>
                        </wps:spPr>
                        <wps:bodyPr wrap="square" lIns="0" tIns="0" rIns="0" bIns="0" rtlCol="0">
                          <a:prstTxWarp prst="textNoShape">
                            <a:avLst/>
                          </a:prstTxWarp>
                          <a:noAutofit/>
                        </wps:bodyPr>
                      </wps:wsp>
                      <wps:wsp>
                        <wps:cNvPr id="327" name="Graphic 327"/>
                        <wps:cNvSpPr/>
                        <wps:spPr>
                          <a:xfrm>
                            <a:off x="64953" y="55661"/>
                            <a:ext cx="8890" cy="15240"/>
                          </a:xfrm>
                          <a:custGeom>
                            <a:avLst/>
                            <a:gdLst/>
                            <a:ahLst/>
                            <a:cxnLst/>
                            <a:rect l="l" t="t" r="r" b="b"/>
                            <a:pathLst>
                              <a:path w="8890" h="15240">
                                <a:moveTo>
                                  <a:pt x="0" y="14699"/>
                                </a:moveTo>
                                <a:lnTo>
                                  <a:pt x="8520" y="0"/>
                                </a:lnTo>
                              </a:path>
                            </a:pathLst>
                          </a:custGeom>
                          <a:ln w="6367">
                            <a:solidFill>
                              <a:srgbClr val="000000"/>
                            </a:solidFill>
                            <a:prstDash val="solid"/>
                          </a:ln>
                        </wps:spPr>
                        <wps:bodyPr wrap="square" lIns="0" tIns="0" rIns="0" bIns="0" rtlCol="0">
                          <a:prstTxWarp prst="textNoShape">
                            <a:avLst/>
                          </a:prstTxWarp>
                          <a:noAutofit/>
                        </wps:bodyPr>
                      </wps:wsp>
                      <wps:wsp>
                        <wps:cNvPr id="328" name="Graphic 328"/>
                        <wps:cNvSpPr/>
                        <wps:spPr>
                          <a:xfrm>
                            <a:off x="79863" y="66161"/>
                            <a:ext cx="6985" cy="10795"/>
                          </a:xfrm>
                          <a:custGeom>
                            <a:avLst/>
                            <a:gdLst/>
                            <a:ahLst/>
                            <a:cxnLst/>
                            <a:rect l="l" t="t" r="r" b="b"/>
                            <a:pathLst>
                              <a:path w="6985" h="10795">
                                <a:moveTo>
                                  <a:pt x="0" y="10499"/>
                                </a:moveTo>
                                <a:lnTo>
                                  <a:pt x="6390" y="0"/>
                                </a:lnTo>
                              </a:path>
                            </a:pathLst>
                          </a:custGeom>
                          <a:ln w="6365">
                            <a:solidFill>
                              <a:srgbClr val="000000"/>
                            </a:solidFill>
                            <a:prstDash val="solid"/>
                          </a:ln>
                        </wps:spPr>
                        <wps:bodyPr wrap="square" lIns="0" tIns="0" rIns="0" bIns="0" rtlCol="0">
                          <a:prstTxWarp prst="textNoShape">
                            <a:avLst/>
                          </a:prstTxWarp>
                          <a:noAutofit/>
                        </wps:bodyPr>
                      </wps:wsp>
                      <wps:wsp>
                        <wps:cNvPr id="329" name="Graphic 329"/>
                        <wps:cNvSpPr/>
                        <wps:spPr>
                          <a:xfrm>
                            <a:off x="96903" y="76661"/>
                            <a:ext cx="2540" cy="6350"/>
                          </a:xfrm>
                          <a:custGeom>
                            <a:avLst/>
                            <a:gdLst/>
                            <a:ahLst/>
                            <a:cxnLst/>
                            <a:rect l="l" t="t" r="r" b="b"/>
                            <a:pathLst>
                              <a:path w="2540" h="6350">
                                <a:moveTo>
                                  <a:pt x="0" y="6299"/>
                                </a:moveTo>
                                <a:lnTo>
                                  <a:pt x="2130" y="0"/>
                                </a:lnTo>
                              </a:path>
                            </a:pathLst>
                          </a:custGeom>
                          <a:ln w="6381">
                            <a:solidFill>
                              <a:srgbClr val="000000"/>
                            </a:solidFill>
                            <a:prstDash val="solid"/>
                          </a:ln>
                        </wps:spPr>
                        <wps:bodyPr wrap="square" lIns="0" tIns="0" rIns="0" bIns="0" rtlCol="0">
                          <a:prstTxWarp prst="textNoShape">
                            <a:avLst/>
                          </a:prstTxWarp>
                          <a:noAutofit/>
                        </wps:bodyPr>
                      </wps:wsp>
                      <wps:wsp>
                        <wps:cNvPr id="330" name="Graphic 330"/>
                        <wps:cNvSpPr/>
                        <wps:spPr>
                          <a:xfrm>
                            <a:off x="463268" y="286659"/>
                            <a:ext cx="100330" cy="59055"/>
                          </a:xfrm>
                          <a:custGeom>
                            <a:avLst/>
                            <a:gdLst/>
                            <a:ahLst/>
                            <a:cxnLst/>
                            <a:rect l="l" t="t" r="r" b="b"/>
                            <a:pathLst>
                              <a:path w="100330" h="59055">
                                <a:moveTo>
                                  <a:pt x="0" y="0"/>
                                </a:moveTo>
                                <a:lnTo>
                                  <a:pt x="100116" y="58799"/>
                                </a:lnTo>
                              </a:path>
                            </a:pathLst>
                          </a:custGeom>
                          <a:ln w="6323">
                            <a:solidFill>
                              <a:srgbClr val="000000"/>
                            </a:solidFill>
                            <a:prstDash val="solid"/>
                          </a:ln>
                        </wps:spPr>
                        <wps:bodyPr wrap="square" lIns="0" tIns="0" rIns="0" bIns="0" rtlCol="0">
                          <a:prstTxWarp prst="textNoShape">
                            <a:avLst/>
                          </a:prstTxWarp>
                          <a:noAutofit/>
                        </wps:bodyPr>
                      </wps:wsp>
                      <wps:wsp>
                        <wps:cNvPr id="331" name="Graphic 331"/>
                        <wps:cNvSpPr/>
                        <wps:spPr>
                          <a:xfrm>
                            <a:off x="571904" y="339159"/>
                            <a:ext cx="1270" cy="120014"/>
                          </a:xfrm>
                          <a:custGeom>
                            <a:avLst/>
                            <a:gdLst/>
                            <a:ahLst/>
                            <a:cxnLst/>
                            <a:rect l="l" t="t" r="r" b="b"/>
                            <a:pathLst>
                              <a:path h="120014">
                                <a:moveTo>
                                  <a:pt x="0" y="0"/>
                                </a:moveTo>
                                <a:lnTo>
                                  <a:pt x="0" y="119699"/>
                                </a:lnTo>
                              </a:path>
                            </a:pathLst>
                          </a:custGeom>
                          <a:ln w="6390">
                            <a:solidFill>
                              <a:srgbClr val="000000"/>
                            </a:solidFill>
                            <a:prstDash val="solid"/>
                          </a:ln>
                        </wps:spPr>
                        <wps:bodyPr wrap="square" lIns="0" tIns="0" rIns="0" bIns="0" rtlCol="0">
                          <a:prstTxWarp prst="textNoShape">
                            <a:avLst/>
                          </a:prstTxWarp>
                          <a:noAutofit/>
                        </wps:bodyPr>
                      </wps:wsp>
                      <wps:wsp>
                        <wps:cNvPr id="332" name="Graphic 332"/>
                        <wps:cNvSpPr/>
                        <wps:spPr>
                          <a:xfrm>
                            <a:off x="552731" y="339159"/>
                            <a:ext cx="1270" cy="120014"/>
                          </a:xfrm>
                          <a:custGeom>
                            <a:avLst/>
                            <a:gdLst/>
                            <a:ahLst/>
                            <a:cxnLst/>
                            <a:rect l="l" t="t" r="r" b="b"/>
                            <a:pathLst>
                              <a:path h="120014">
                                <a:moveTo>
                                  <a:pt x="0" y="0"/>
                                </a:moveTo>
                                <a:lnTo>
                                  <a:pt x="0" y="119699"/>
                                </a:lnTo>
                              </a:path>
                            </a:pathLst>
                          </a:custGeom>
                          <a:ln w="6390">
                            <a:solidFill>
                              <a:srgbClr val="000000"/>
                            </a:solidFill>
                            <a:prstDash val="solid"/>
                          </a:ln>
                        </wps:spPr>
                        <wps:bodyPr wrap="square" lIns="0" tIns="0" rIns="0" bIns="0" rtlCol="0">
                          <a:prstTxWarp prst="textNoShape">
                            <a:avLst/>
                          </a:prstTxWarp>
                          <a:noAutofit/>
                        </wps:bodyPr>
                      </wps:wsp>
                      <wps:wsp>
                        <wps:cNvPr id="333" name="Graphic 333"/>
                        <wps:cNvSpPr/>
                        <wps:spPr>
                          <a:xfrm>
                            <a:off x="563381" y="259359"/>
                            <a:ext cx="149225" cy="86360"/>
                          </a:xfrm>
                          <a:custGeom>
                            <a:avLst/>
                            <a:gdLst/>
                            <a:ahLst/>
                            <a:cxnLst/>
                            <a:rect l="l" t="t" r="r" b="b"/>
                            <a:pathLst>
                              <a:path w="149225" h="86360">
                                <a:moveTo>
                                  <a:pt x="0" y="86099"/>
                                </a:moveTo>
                                <a:lnTo>
                                  <a:pt x="149109" y="0"/>
                                </a:lnTo>
                              </a:path>
                            </a:pathLst>
                          </a:custGeom>
                          <a:ln w="6322">
                            <a:solidFill>
                              <a:srgbClr val="000000"/>
                            </a:solidFill>
                            <a:prstDash val="solid"/>
                          </a:ln>
                        </wps:spPr>
                        <wps:bodyPr wrap="square" lIns="0" tIns="0" rIns="0" bIns="0" rtlCol="0">
                          <a:prstTxWarp prst="textNoShape">
                            <a:avLst/>
                          </a:prstTxWarp>
                          <a:noAutofit/>
                        </wps:bodyPr>
                      </wps:wsp>
                      <wps:wsp>
                        <wps:cNvPr id="334" name="Graphic 334"/>
                        <wps:cNvSpPr/>
                        <wps:spPr>
                          <a:xfrm>
                            <a:off x="712489" y="259359"/>
                            <a:ext cx="149225" cy="86360"/>
                          </a:xfrm>
                          <a:custGeom>
                            <a:avLst/>
                            <a:gdLst/>
                            <a:ahLst/>
                            <a:cxnLst/>
                            <a:rect l="l" t="t" r="r" b="b"/>
                            <a:pathLst>
                              <a:path w="149225" h="86360">
                                <a:moveTo>
                                  <a:pt x="0" y="0"/>
                                </a:moveTo>
                                <a:lnTo>
                                  <a:pt x="149109" y="86099"/>
                                </a:lnTo>
                              </a:path>
                            </a:pathLst>
                          </a:custGeom>
                          <a:ln w="6322">
                            <a:solidFill>
                              <a:srgbClr val="000000"/>
                            </a:solidFill>
                            <a:prstDash val="solid"/>
                          </a:ln>
                        </wps:spPr>
                        <wps:bodyPr wrap="square" lIns="0" tIns="0" rIns="0" bIns="0" rtlCol="0">
                          <a:prstTxWarp prst="textNoShape">
                            <a:avLst/>
                          </a:prstTxWarp>
                          <a:noAutofit/>
                        </wps:bodyPr>
                      </wps:wsp>
                      <wps:wsp>
                        <wps:cNvPr id="335" name="Graphic 335"/>
                        <wps:cNvSpPr/>
                        <wps:spPr>
                          <a:xfrm>
                            <a:off x="872249" y="326559"/>
                            <a:ext cx="98425" cy="57150"/>
                          </a:xfrm>
                          <a:custGeom>
                            <a:avLst/>
                            <a:gdLst/>
                            <a:ahLst/>
                            <a:cxnLst/>
                            <a:rect l="l" t="t" r="r" b="b"/>
                            <a:pathLst>
                              <a:path w="98425" h="57150">
                                <a:moveTo>
                                  <a:pt x="0" y="0"/>
                                </a:moveTo>
                                <a:lnTo>
                                  <a:pt x="97986" y="56699"/>
                                </a:lnTo>
                              </a:path>
                            </a:pathLst>
                          </a:custGeom>
                          <a:ln w="6322">
                            <a:solidFill>
                              <a:srgbClr val="000000"/>
                            </a:solidFill>
                            <a:prstDash val="solid"/>
                          </a:ln>
                        </wps:spPr>
                        <wps:bodyPr wrap="square" lIns="0" tIns="0" rIns="0" bIns="0" rtlCol="0">
                          <a:prstTxWarp prst="textNoShape">
                            <a:avLst/>
                          </a:prstTxWarp>
                          <a:noAutofit/>
                        </wps:bodyPr>
                      </wps:wsp>
                      <wps:wsp>
                        <wps:cNvPr id="336" name="Graphic 336"/>
                        <wps:cNvSpPr/>
                        <wps:spPr>
                          <a:xfrm>
                            <a:off x="861597" y="345459"/>
                            <a:ext cx="98425" cy="54610"/>
                          </a:xfrm>
                          <a:custGeom>
                            <a:avLst/>
                            <a:gdLst/>
                            <a:ahLst/>
                            <a:cxnLst/>
                            <a:rect l="l" t="t" r="r" b="b"/>
                            <a:pathLst>
                              <a:path w="98425" h="54610">
                                <a:moveTo>
                                  <a:pt x="0" y="0"/>
                                </a:moveTo>
                                <a:lnTo>
                                  <a:pt x="97986" y="54599"/>
                                </a:lnTo>
                              </a:path>
                            </a:pathLst>
                          </a:custGeom>
                          <a:ln w="6321">
                            <a:solidFill>
                              <a:srgbClr val="000000"/>
                            </a:solidFill>
                            <a:prstDash val="solid"/>
                          </a:ln>
                        </wps:spPr>
                        <wps:bodyPr wrap="square" lIns="0" tIns="0" rIns="0" bIns="0" rtlCol="0">
                          <a:prstTxWarp prst="textNoShape">
                            <a:avLst/>
                          </a:prstTxWarp>
                          <a:noAutofit/>
                        </wps:bodyPr>
                      </wps:wsp>
                      <wps:wsp>
                        <wps:cNvPr id="337" name="Graphic 337"/>
                        <wps:cNvSpPr/>
                        <wps:spPr>
                          <a:xfrm>
                            <a:off x="850945" y="362259"/>
                            <a:ext cx="98425" cy="57150"/>
                          </a:xfrm>
                          <a:custGeom>
                            <a:avLst/>
                            <a:gdLst/>
                            <a:ahLst/>
                            <a:cxnLst/>
                            <a:rect l="l" t="t" r="r" b="b"/>
                            <a:pathLst>
                              <a:path w="98425" h="57150">
                                <a:moveTo>
                                  <a:pt x="0" y="0"/>
                                </a:moveTo>
                                <a:lnTo>
                                  <a:pt x="97986" y="56699"/>
                                </a:lnTo>
                              </a:path>
                            </a:pathLst>
                          </a:custGeom>
                          <a:ln w="6322">
                            <a:solidFill>
                              <a:srgbClr val="000000"/>
                            </a:solidFill>
                            <a:prstDash val="solid"/>
                          </a:ln>
                        </wps:spPr>
                        <wps:bodyPr wrap="square" lIns="0" tIns="0" rIns="0" bIns="0" rtlCol="0">
                          <a:prstTxWarp prst="textNoShape">
                            <a:avLst/>
                          </a:prstTxWarp>
                          <a:noAutofit/>
                        </wps:bodyPr>
                      </wps:wsp>
                      <wps:wsp>
                        <wps:cNvPr id="338" name="Textbox 338"/>
                        <wps:cNvSpPr txBox="1"/>
                        <wps:spPr>
                          <a:xfrm>
                            <a:off x="369582" y="195296"/>
                            <a:ext cx="102235" cy="136525"/>
                          </a:xfrm>
                          <a:prstGeom prst="rect">
                            <a:avLst/>
                          </a:prstGeom>
                        </wps:spPr>
                        <wps:txbx>
                          <w:txbxContent>
                            <w:p w14:paraId="374E2912" w14:textId="77777777" w:rsidR="001825E2" w:rsidRDefault="000839A5">
                              <w:pPr>
                                <w:spacing w:line="214" w:lineRule="exact"/>
                                <w:rPr>
                                  <w:rFonts w:ascii="Arial"/>
                                  <w:sz w:val="19"/>
                                </w:rPr>
                              </w:pPr>
                              <w:r>
                                <w:rPr>
                                  <w:rFonts w:ascii="Arial"/>
                                  <w:spacing w:val="-10"/>
                                  <w:sz w:val="19"/>
                                </w:rPr>
                                <w:t>N</w:t>
                              </w:r>
                            </w:p>
                          </w:txbxContent>
                        </wps:txbx>
                        <wps:bodyPr wrap="square" lIns="0" tIns="0" rIns="0" bIns="0" rtlCol="0">
                          <a:noAutofit/>
                        </wps:bodyPr>
                      </wps:wsp>
                      <wps:wsp>
                        <wps:cNvPr id="339" name="Textbox 339"/>
                        <wps:cNvSpPr txBox="1"/>
                        <wps:spPr>
                          <a:xfrm>
                            <a:off x="514389" y="447295"/>
                            <a:ext cx="109220" cy="136525"/>
                          </a:xfrm>
                          <a:prstGeom prst="rect">
                            <a:avLst/>
                          </a:prstGeom>
                        </wps:spPr>
                        <wps:txbx>
                          <w:txbxContent>
                            <w:p w14:paraId="75B96D15" w14:textId="77777777" w:rsidR="001825E2" w:rsidRDefault="000839A5">
                              <w:pPr>
                                <w:spacing w:line="214" w:lineRule="exact"/>
                                <w:rPr>
                                  <w:rFonts w:ascii="Arial"/>
                                  <w:sz w:val="19"/>
                                </w:rPr>
                              </w:pPr>
                              <w:r>
                                <w:rPr>
                                  <w:rFonts w:ascii="Arial"/>
                                  <w:spacing w:val="-10"/>
                                  <w:sz w:val="19"/>
                                </w:rPr>
                                <w:t>O</w:t>
                              </w:r>
                            </w:p>
                          </w:txbxContent>
                        </wps:txbx>
                        <wps:bodyPr wrap="square" lIns="0" tIns="0" rIns="0" bIns="0" rtlCol="0">
                          <a:noAutofit/>
                        </wps:bodyPr>
                      </wps:wsp>
                    </wpg:wgp>
                  </a:graphicData>
                </a:graphic>
              </wp:anchor>
            </w:drawing>
          </mc:Choice>
          <mc:Fallback>
            <w:pict>
              <v:group w14:anchorId="08E0C40D" id="Group 309" o:spid="_x0000_s1033" style="position:absolute;left:0;text-align:left;margin-left:100.65pt;margin-top:13.15pt;width:76.65pt;height:45.95pt;z-index:-18969088;mso-wrap-distance-left:0;mso-wrap-distance-right:0;mso-position-horizontal-relative:page" coordsize="9734,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">
                <v:shape id="Graphic 310" o:spid="_x0000_s1034" style="position:absolute;left:4143;top:892;width:12;height:1200;visibility:visible;mso-wrap-style:square;v-text-anchor:top" coordsize="1270,12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" path="m,119699l,e" filled="f" strokeweight=".1775mm">
                  <v:path arrowok="t"/>
                </v:shape>
                <v:shape id="Graphic 311" o:spid="_x0000_s1035" style="position:absolute;left:2630;top:31;width:1518;height:864;visibility:visible;mso-wrap-style:square;v-text-anchor:top" coordsize="151765,8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" path="m151239,86099l,e" filled="f" strokeweight=".17561mm">
                  <v:path arrowok="t"/>
                </v:shape>
                <v:shape id="Graphic 312" o:spid="_x0000_s1036" style="position:absolute;left:1139;top:31;width:1492;height:864;visibility:visible;mso-wrap-style:square;v-text-anchor:top" coordsize="149225,8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" path="m149109,l,86099e" filled="f" strokeweight=".17561mm">
                  <v:path arrowok="t"/>
                </v:shape>
                <v:shape id="Graphic 313" o:spid="_x0000_s1037" style="position:absolute;left:1139;top:892;width:13;height:1702;visibility:visible;mso-wrap-style:square;v-text-anchor:top" coordsize="1270,17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" path="m,l,170098e" filled="f" strokeweight=".1775mm">
                  <v:path arrowok="t"/>
                </v:shape>
                <v:shape id="Graphic 314" o:spid="_x0000_s1038" style="position:absolute;left:1139;top:2593;width:1518;height:883;visibility:visible;mso-wrap-style:square;v-text-anchor:top" coordsize="151765,88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" path="m,l151239,88199e" filled="f" strokeweight=".17561mm">
                  <v:path arrowok="t"/>
                </v:shape>
                <v:shape id="Graphic 315" o:spid="_x0000_s1039" style="position:absolute;left:2630;top:2866;width:1003;height:591;visibility:visible;mso-wrap-style:square;v-text-anchor:top" coordsize="100330,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" path="m100116,l,58799e" filled="f" strokeweight=".17564mm">
                  <v:path arrowok="t"/>
                </v:shape>
                <v:shape id="Graphic 316" o:spid="_x0000_s1040" style="position:absolute;left:95;top:2992;width:172;height:299;visibility:visible;mso-wrap-style:square;v-text-anchor:top" coordsize="17145,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" path="m17041,29399l,e" filled="f" strokeweight=".17686mm">
                  <v:path arrowok="t"/>
                </v:shape>
                <v:shape id="Graphic 317" o:spid="_x0000_s1041" style="position:absolute;left:244;top:2929;width:153;height:254;visibility:visible;mso-wrap-style:square;v-text-anchor:top" coordsize="1524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" path="m14910,25199l,e" filled="f" strokeweight=".17683mm">
                  <v:path arrowok="t"/>
                </v:shape>
                <v:shape id="Graphic 318" o:spid="_x0000_s1042" style="position:absolute;left:372;top:2866;width:134;height:235;visibility:visible;mso-wrap-style:square;v-text-anchor:top" coordsize="13335,2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" path="m12780,23099l,e" filled="f" strokeweight=".17692mm">
                  <v:path arrowok="t"/>
                </v:shape>
                <v:shape id="Graphic 319" o:spid="_x0000_s1043" style="position:absolute;left:521;top:2824;width:108;height:172;visibility:visible;mso-wrap-style:square;v-text-anchor:top" coordsize="1079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" path="m10650,16799l,e" filled="f" strokeweight=".17678mm">
                  <v:path arrowok="t"/>
                </v:shape>
                <v:shape id="Graphic 320" o:spid="_x0000_s1044" style="position:absolute;left:670;top:2761;width:89;height:152;visibility:visible;mso-wrap-style:square;v-text-anchor:top" coordsize="889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" path="m8520,14699l,e" filled="f" strokeweight=".17686mm">
                  <v:path arrowok="t"/>
                </v:shape>
                <v:shape id="Graphic 321" o:spid="_x0000_s1045" style="position:absolute;left:820;top:2698;width:69;height:108;visibility:visible;mso-wrap-style:square;v-text-anchor:top" coordsize="698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" path="m6390,10499l,e" filled="f" strokeweight=".17681mm">
                  <v:path arrowok="t"/>
                </v:shape>
                <v:shape id="Graphic 322" o:spid="_x0000_s1046" style="position:absolute;left:969;top:2656;width:25;height:45;visibility:visible;mso-wrap-style:square;v-text-anchor:top" coordsize="254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" path="m2130,4199l,e" filled="f" strokeweight=".17697mm">
                  <v:path arrowok="t"/>
                </v:shape>
                <v:shape id="Graphic 323" o:spid="_x0000_s1047" style="position:absolute;left:31;top:157;width:172;height:299;visibility:visible;mso-wrap-style:square;v-text-anchor:top" coordsize="17145,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" path="m,29399l17041,e" filled="f" strokeweight=".17686mm">
                  <v:path arrowok="t"/>
                </v:shape>
                <v:shape id="Graphic 324" o:spid="_x0000_s1048" style="position:absolute;left:180;top:262;width:153;height:254;visibility:visible;mso-wrap-style:square;v-text-anchor:top" coordsize="1524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" path="m,25199l14910,e" filled="f" strokeweight=".17683mm">
                  <v:path arrowok="t"/>
                </v:shape>
                <v:shape id="Graphic 325" o:spid="_x0000_s1049" style="position:absolute;left:351;top:367;width:108;height:216;visibility:visible;mso-wrap-style:square;v-text-anchor:top" coordsize="10795,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" path="m,20999l10650,e" filled="f" strokeweight=".17697mm">
                  <v:path arrowok="t"/>
                </v:shape>
                <v:shape id="Graphic 326" o:spid="_x0000_s1050" style="position:absolute;left:500;top:472;width:108;height:172;visibility:visible;mso-wrap-style:square;v-text-anchor:top" coordsize="1079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" path="m,16799l10650,e" filled="f" strokeweight=".17678mm">
                  <v:path arrowok="t"/>
                </v:shape>
                <v:shape id="Graphic 327" o:spid="_x0000_s1051" style="position:absolute;left:649;top:556;width:89;height:153;visibility:visible;mso-wrap-style:square;v-text-anchor:top" coordsize="889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" path="m,14699l8520,e" filled="f" strokeweight=".17686mm">
                  <v:path arrowok="t"/>
                </v:shape>
                <v:shape id="Graphic 328" o:spid="_x0000_s1052" style="position:absolute;left:798;top:661;width:70;height:108;visibility:visible;mso-wrap-style:square;v-text-anchor:top" coordsize="698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" path="m,10499l6390,e" filled="f" strokeweight=".17681mm">
                  <v:path arrowok="t"/>
                </v:shape>
                <v:shape id="Graphic 329" o:spid="_x0000_s1053" style="position:absolute;left:969;top:766;width:25;height:64;visibility:visible;mso-wrap-style:square;v-text-anchor:top" coordsize="25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" path="m,6299l2130,e" filled="f" strokeweight=".17725mm">
                  <v:path arrowok="t"/>
                </v:shape>
                <v:shape id="Graphic 330" o:spid="_x0000_s1054" style="position:absolute;left:4632;top:2866;width:1003;height:591;visibility:visible;mso-wrap-style:square;v-text-anchor:top" coordsize="100330,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" path="m,l100116,58799e" filled="f" strokeweight=".17564mm">
                  <v:path arrowok="t"/>
                </v:shape>
                <v:shape id="Graphic 331" o:spid="_x0000_s1055" style="position:absolute;left:5719;top:3391;width:12;height:1200;visibility:visible;mso-wrap-style:square;v-text-anchor:top" coordsize="1270,12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" path="m,l,119699e" filled="f" strokeweight=".1775mm">
                  <v:path arrowok="t"/>
                </v:shape>
                <v:shape id="Graphic 332" o:spid="_x0000_s1056" style="position:absolute;left:5527;top:3391;width:13;height:1200;visibility:visible;mso-wrap-style:square;v-text-anchor:top" coordsize="1270,12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" path="m,l,119699e" filled="f" strokeweight=".1775mm">
                  <v:path arrowok="t"/>
                </v:shape>
                <v:shape id="Graphic 333" o:spid="_x0000_s1057" style="position:absolute;left:5633;top:2593;width:1493;height:864;visibility:visible;mso-wrap-style:square;v-text-anchor:top" coordsize="149225,8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" path="m,86099l149109,e" filled="f" strokeweight=".17561mm">
                  <v:path arrowok="t"/>
                </v:shape>
                <v:shape id="Graphic 334" o:spid="_x0000_s1058" style="position:absolute;left:7124;top:2593;width:1493;height:864;visibility:visible;mso-wrap-style:square;v-text-anchor:top" coordsize="149225,8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" path="m,l149109,86099e" filled="f" strokeweight=".17561mm">
                  <v:path arrowok="t"/>
                </v:shape>
                <v:shape id="Graphic 335" o:spid="_x0000_s1059" style="position:absolute;left:8722;top:3265;width:984;height:572;visibility:visible;mso-wrap-style:square;v-text-anchor:top" coordsize="98425,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" path="m,l97986,56699e" filled="f" strokeweight=".17561mm">
                  <v:path arrowok="t"/>
                </v:shape>
                <v:shape id="Graphic 336" o:spid="_x0000_s1060" style="position:absolute;left:8615;top:3454;width:985;height:546;visibility:visible;mso-wrap-style:square;v-text-anchor:top" coordsize="98425,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" path="m,l97986,54599e" filled="f" strokeweight=".17558mm">
                  <v:path arrowok="t"/>
                </v:shape>
                <v:shape id="Graphic 337" o:spid="_x0000_s1061" style="position:absolute;left:8509;top:3622;width:984;height:572;visibility:visible;mso-wrap-style:square;v-text-anchor:top" coordsize="98425,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" path="m,l97986,56699e" filled="f" strokeweight=".17561mm">
                  <v:path arrowok="t"/>
                </v:shape>
                <v:shape id="Textbox 338" o:spid="_x0000_s1062" type="#_x0000_t202" style="position:absolute;left:3695;top:1952;width:1023;height:1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" filled="f" stroked="f">
                  <v:textbox inset="0,0,0,0">
                    <w:txbxContent>
                      <w:p w14:paraId="374E2912" w14:textId="77777777" w:rsidR="001825E2" w:rsidRDefault="000839A5">
                        <w:pPr>
                          <w:spacing w:line="214" w:lineRule="exact"/>
                          <w:rPr>
                            <w:rFonts w:ascii="Arial"/>
                            <w:sz w:val="19"/>
                          </w:rPr>
                        </w:pPr>
                        <w:r>
                          <w:rPr>
                            <w:rFonts w:ascii="Arial"/>
                            <w:spacing w:val="-10"/>
                            <w:sz w:val="19"/>
                          </w:rPr>
                          <w:t>N</w:t>
                        </w:r>
                      </w:p>
                    </w:txbxContent>
                  </v:textbox>
                </v:shape>
                <v:shape id="Textbox 339" o:spid="_x0000_s1063" type="#_x0000_t202" style="position:absolute;left:5143;top:4472;width:1093;height:1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" filled="f" stroked="f">
                  <v:textbox inset="0,0,0,0">
                    <w:txbxContent>
                      <w:p w14:paraId="75B96D15" w14:textId="77777777" w:rsidR="001825E2" w:rsidRDefault="000839A5">
                        <w:pPr>
                          <w:spacing w:line="214" w:lineRule="exact"/>
                          <w:rPr>
                            <w:rFonts w:ascii="Arial"/>
                            <w:sz w:val="19"/>
                          </w:rPr>
                        </w:pPr>
                        <w:r>
                          <w:rPr>
                            <w:rFonts w:ascii="Arial"/>
                            <w:spacing w:val="-10"/>
                            <w:sz w:val="19"/>
                          </w:rPr>
                          <w:t>O</w:t>
                        </w:r>
                      </w:p>
                    </w:txbxContent>
                  </v:textbox>
                </v:shape>
                <w10:wrap anchorx="page"/>
              </v:group>
            </w:pict>
          </mc:Fallback>
        </mc:AlternateContent>
      </w:r>
      <w:r>
        <w:rPr>
          <w:rFonts w:ascii="Arial"/>
          <w:spacing w:val="-5"/>
          <w:sz w:val="19"/>
        </w:rPr>
        <w:t>Me</w:t>
      </w:r>
    </w:p>
    <w:p w14:paraId="7BA33514" w14:textId="77777777" w:rsidR="001825E2" w:rsidRDefault="001825E2" w:rsidP="00CB00A7">
      <w:pPr>
        <w:rPr>
          <w:rFonts w:ascii="Arial"/>
          <w:sz w:val="19"/>
        </w:rPr>
        <w:sectPr w:rsidR="001825E2">
          <w:pgSz w:w="11910" w:h="16850"/>
          <w:pgMar w:top="1360" w:right="700" w:bottom="980" w:left="1220" w:header="0" w:footer="785" w:gutter="0"/>
          <w:cols w:space="720"/>
        </w:sectPr>
      </w:pPr>
    </w:p>
    <w:p w14:paraId="3F38456A" w14:textId="77777777" w:rsidR="001825E2" w:rsidRDefault="000839A5" w:rsidP="00CB00A7">
      <w:pPr>
        <w:spacing w:before="182" w:line="432" w:lineRule="auto"/>
        <w:ind w:left="438" w:right="471" w:hanging="155"/>
        <w:rPr>
          <w:rFonts w:ascii="Arial"/>
          <w:sz w:val="19"/>
        </w:rPr>
      </w:pPr>
      <w:r>
        <w:rPr>
          <w:noProof/>
        </w:rPr>
        <mc:AlternateContent>
          <mc:Choice Requires="wpg">
            <w:drawing>
              <wp:anchor distT="0" distB="0" distL="0" distR="0" simplePos="0" relativeHeight="484347904" behindDoc="1" locked="0" layoutInCell="1" allowOverlap="1" wp14:anchorId="4107CA66" wp14:editId="62EC7DC6">
                <wp:simplePos x="0" y="0"/>
                <wp:positionH relativeFrom="page">
                  <wp:posOffset>1143902</wp:posOffset>
                </wp:positionH>
                <wp:positionV relativeFrom="paragraph">
                  <wp:posOffset>322390</wp:posOffset>
                </wp:positionV>
                <wp:extent cx="521970" cy="426720"/>
                <wp:effectExtent l="0" t="0" r="0" b="0"/>
                <wp:wrapNone/>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970" cy="426720"/>
                          <a:chOff x="0" y="0"/>
                          <a:chExt cx="521970" cy="426720"/>
                        </a:xfrm>
                      </wpg:grpSpPr>
                      <wps:wsp>
                        <wps:cNvPr id="341" name="Graphic 341"/>
                        <wps:cNvSpPr/>
                        <wps:spPr>
                          <a:xfrm>
                            <a:off x="3161" y="112394"/>
                            <a:ext cx="100330" cy="57150"/>
                          </a:xfrm>
                          <a:custGeom>
                            <a:avLst/>
                            <a:gdLst/>
                            <a:ahLst/>
                            <a:cxnLst/>
                            <a:rect l="l" t="t" r="r" b="b"/>
                            <a:pathLst>
                              <a:path w="100330" h="57150">
                                <a:moveTo>
                                  <a:pt x="100116" y="0"/>
                                </a:moveTo>
                                <a:lnTo>
                                  <a:pt x="0" y="56699"/>
                                </a:lnTo>
                              </a:path>
                            </a:pathLst>
                          </a:custGeom>
                          <a:ln w="6321">
                            <a:solidFill>
                              <a:srgbClr val="000000"/>
                            </a:solidFill>
                            <a:prstDash val="solid"/>
                          </a:ln>
                        </wps:spPr>
                        <wps:bodyPr wrap="square" lIns="0" tIns="0" rIns="0" bIns="0" rtlCol="0">
                          <a:prstTxWarp prst="textNoShape">
                            <a:avLst/>
                          </a:prstTxWarp>
                          <a:noAutofit/>
                        </wps:bodyPr>
                      </wps:wsp>
                      <wps:wsp>
                        <wps:cNvPr id="342" name="Graphic 342"/>
                        <wps:cNvSpPr/>
                        <wps:spPr>
                          <a:xfrm>
                            <a:off x="13810" y="135494"/>
                            <a:ext cx="89535" cy="50800"/>
                          </a:xfrm>
                          <a:custGeom>
                            <a:avLst/>
                            <a:gdLst/>
                            <a:ahLst/>
                            <a:cxnLst/>
                            <a:rect l="l" t="t" r="r" b="b"/>
                            <a:pathLst>
                              <a:path w="89535" h="50800">
                                <a:moveTo>
                                  <a:pt x="89465" y="0"/>
                                </a:moveTo>
                                <a:lnTo>
                                  <a:pt x="0" y="50399"/>
                                </a:lnTo>
                              </a:path>
                            </a:pathLst>
                          </a:custGeom>
                          <a:ln w="6321">
                            <a:solidFill>
                              <a:srgbClr val="000000"/>
                            </a:solidFill>
                            <a:prstDash val="solid"/>
                          </a:ln>
                        </wps:spPr>
                        <wps:bodyPr wrap="square" lIns="0" tIns="0" rIns="0" bIns="0" rtlCol="0">
                          <a:prstTxWarp prst="textNoShape">
                            <a:avLst/>
                          </a:prstTxWarp>
                          <a:noAutofit/>
                        </wps:bodyPr>
                      </wps:wsp>
                      <wps:wsp>
                        <wps:cNvPr id="343" name="Graphic 343"/>
                        <wps:cNvSpPr/>
                        <wps:spPr>
                          <a:xfrm>
                            <a:off x="152265" y="366492"/>
                            <a:ext cx="100330" cy="57150"/>
                          </a:xfrm>
                          <a:custGeom>
                            <a:avLst/>
                            <a:gdLst/>
                            <a:ahLst/>
                            <a:cxnLst/>
                            <a:rect l="l" t="t" r="r" b="b"/>
                            <a:pathLst>
                              <a:path w="100330" h="57150">
                                <a:moveTo>
                                  <a:pt x="0" y="56699"/>
                                </a:moveTo>
                                <a:lnTo>
                                  <a:pt x="100116" y="0"/>
                                </a:lnTo>
                              </a:path>
                            </a:pathLst>
                          </a:custGeom>
                          <a:ln w="6321">
                            <a:solidFill>
                              <a:srgbClr val="000000"/>
                            </a:solidFill>
                            <a:prstDash val="solid"/>
                          </a:ln>
                        </wps:spPr>
                        <wps:bodyPr wrap="square" lIns="0" tIns="0" rIns="0" bIns="0" rtlCol="0">
                          <a:prstTxWarp prst="textNoShape">
                            <a:avLst/>
                          </a:prstTxWarp>
                          <a:noAutofit/>
                        </wps:bodyPr>
                      </wps:wsp>
                      <wps:wsp>
                        <wps:cNvPr id="344" name="Graphic 344"/>
                        <wps:cNvSpPr/>
                        <wps:spPr>
                          <a:xfrm>
                            <a:off x="252380" y="196393"/>
                            <a:ext cx="1270" cy="170180"/>
                          </a:xfrm>
                          <a:custGeom>
                            <a:avLst/>
                            <a:gdLst/>
                            <a:ahLst/>
                            <a:cxnLst/>
                            <a:rect l="l" t="t" r="r" b="b"/>
                            <a:pathLst>
                              <a:path h="170180">
                                <a:moveTo>
                                  <a:pt x="0" y="170098"/>
                                </a:moveTo>
                                <a:lnTo>
                                  <a:pt x="0" y="0"/>
                                </a:lnTo>
                              </a:path>
                            </a:pathLst>
                          </a:custGeom>
                          <a:ln w="6390">
                            <a:solidFill>
                              <a:srgbClr val="000000"/>
                            </a:solidFill>
                            <a:prstDash val="solid"/>
                          </a:ln>
                        </wps:spPr>
                        <wps:bodyPr wrap="square" lIns="0" tIns="0" rIns="0" bIns="0" rtlCol="0">
                          <a:prstTxWarp prst="textNoShape">
                            <a:avLst/>
                          </a:prstTxWarp>
                          <a:noAutofit/>
                        </wps:bodyPr>
                      </wps:wsp>
                      <wps:wsp>
                        <wps:cNvPr id="345" name="Graphic 345"/>
                        <wps:cNvSpPr/>
                        <wps:spPr>
                          <a:xfrm>
                            <a:off x="233207" y="208993"/>
                            <a:ext cx="1270" cy="145415"/>
                          </a:xfrm>
                          <a:custGeom>
                            <a:avLst/>
                            <a:gdLst/>
                            <a:ahLst/>
                            <a:cxnLst/>
                            <a:rect l="l" t="t" r="r" b="b"/>
                            <a:pathLst>
                              <a:path h="145415">
                                <a:moveTo>
                                  <a:pt x="0" y="144899"/>
                                </a:moveTo>
                                <a:lnTo>
                                  <a:pt x="0" y="0"/>
                                </a:lnTo>
                              </a:path>
                            </a:pathLst>
                          </a:custGeom>
                          <a:ln w="6390">
                            <a:solidFill>
                              <a:srgbClr val="000000"/>
                            </a:solidFill>
                            <a:prstDash val="solid"/>
                          </a:ln>
                        </wps:spPr>
                        <wps:bodyPr wrap="square" lIns="0" tIns="0" rIns="0" bIns="0" rtlCol="0">
                          <a:prstTxWarp prst="textNoShape">
                            <a:avLst/>
                          </a:prstTxWarp>
                          <a:noAutofit/>
                        </wps:bodyPr>
                      </wps:wsp>
                      <wps:wsp>
                        <wps:cNvPr id="346" name="Graphic 346"/>
                        <wps:cNvSpPr/>
                        <wps:spPr>
                          <a:xfrm>
                            <a:off x="103268" y="112394"/>
                            <a:ext cx="149225" cy="84455"/>
                          </a:xfrm>
                          <a:custGeom>
                            <a:avLst/>
                            <a:gdLst/>
                            <a:ahLst/>
                            <a:cxnLst/>
                            <a:rect l="l" t="t" r="r" b="b"/>
                            <a:pathLst>
                              <a:path w="149225" h="84455">
                                <a:moveTo>
                                  <a:pt x="0" y="0"/>
                                </a:moveTo>
                                <a:lnTo>
                                  <a:pt x="149109" y="83999"/>
                                </a:lnTo>
                              </a:path>
                            </a:pathLst>
                          </a:custGeom>
                          <a:ln w="6321">
                            <a:solidFill>
                              <a:srgbClr val="000000"/>
                            </a:solidFill>
                            <a:prstDash val="solid"/>
                          </a:ln>
                        </wps:spPr>
                        <wps:bodyPr wrap="square" lIns="0" tIns="0" rIns="0" bIns="0" rtlCol="0">
                          <a:prstTxWarp prst="textNoShape">
                            <a:avLst/>
                          </a:prstTxWarp>
                          <a:noAutofit/>
                        </wps:bodyPr>
                      </wps:wsp>
                      <wps:wsp>
                        <wps:cNvPr id="347" name="Graphic 347"/>
                        <wps:cNvSpPr/>
                        <wps:spPr>
                          <a:xfrm>
                            <a:off x="252377" y="366492"/>
                            <a:ext cx="115570" cy="36195"/>
                          </a:xfrm>
                          <a:custGeom>
                            <a:avLst/>
                            <a:gdLst/>
                            <a:ahLst/>
                            <a:cxnLst/>
                            <a:rect l="l" t="t" r="r" b="b"/>
                            <a:pathLst>
                              <a:path w="115570" h="36195">
                                <a:moveTo>
                                  <a:pt x="0" y="0"/>
                                </a:moveTo>
                                <a:lnTo>
                                  <a:pt x="115027" y="35699"/>
                                </a:lnTo>
                              </a:path>
                            </a:pathLst>
                          </a:custGeom>
                          <a:ln w="6307">
                            <a:solidFill>
                              <a:srgbClr val="000000"/>
                            </a:solidFill>
                            <a:prstDash val="solid"/>
                          </a:ln>
                        </wps:spPr>
                        <wps:bodyPr wrap="square" lIns="0" tIns="0" rIns="0" bIns="0" rtlCol="0">
                          <a:prstTxWarp prst="textNoShape">
                            <a:avLst/>
                          </a:prstTxWarp>
                          <a:noAutofit/>
                        </wps:bodyPr>
                      </wps:wsp>
                      <wps:wsp>
                        <wps:cNvPr id="348" name="Graphic 348"/>
                        <wps:cNvSpPr/>
                        <wps:spPr>
                          <a:xfrm>
                            <a:off x="452608" y="282493"/>
                            <a:ext cx="66040" cy="86360"/>
                          </a:xfrm>
                          <a:custGeom>
                            <a:avLst/>
                            <a:gdLst/>
                            <a:ahLst/>
                            <a:cxnLst/>
                            <a:rect l="l" t="t" r="r" b="b"/>
                            <a:pathLst>
                              <a:path w="66040" h="86360">
                                <a:moveTo>
                                  <a:pt x="0" y="86099"/>
                                </a:moveTo>
                                <a:lnTo>
                                  <a:pt x="66034" y="0"/>
                                </a:lnTo>
                              </a:path>
                            </a:pathLst>
                          </a:custGeom>
                          <a:ln w="6356">
                            <a:solidFill>
                              <a:srgbClr val="000000"/>
                            </a:solidFill>
                            <a:prstDash val="solid"/>
                          </a:ln>
                        </wps:spPr>
                        <wps:bodyPr wrap="square" lIns="0" tIns="0" rIns="0" bIns="0" rtlCol="0">
                          <a:prstTxWarp prst="textNoShape">
                            <a:avLst/>
                          </a:prstTxWarp>
                          <a:noAutofit/>
                        </wps:bodyPr>
                      </wps:wsp>
                      <wps:wsp>
                        <wps:cNvPr id="349" name="Graphic 349"/>
                        <wps:cNvSpPr/>
                        <wps:spPr>
                          <a:xfrm>
                            <a:off x="414265" y="141794"/>
                            <a:ext cx="104775" cy="140970"/>
                          </a:xfrm>
                          <a:custGeom>
                            <a:avLst/>
                            <a:gdLst/>
                            <a:ahLst/>
                            <a:cxnLst/>
                            <a:rect l="l" t="t" r="r" b="b"/>
                            <a:pathLst>
                              <a:path w="104775" h="140970">
                                <a:moveTo>
                                  <a:pt x="104376" y="140699"/>
                                </a:moveTo>
                                <a:lnTo>
                                  <a:pt x="0" y="0"/>
                                </a:lnTo>
                              </a:path>
                            </a:pathLst>
                          </a:custGeom>
                          <a:ln w="6358">
                            <a:solidFill>
                              <a:srgbClr val="000000"/>
                            </a:solidFill>
                            <a:prstDash val="solid"/>
                          </a:ln>
                        </wps:spPr>
                        <wps:bodyPr wrap="square" lIns="0" tIns="0" rIns="0" bIns="0" rtlCol="0">
                          <a:prstTxWarp prst="textNoShape">
                            <a:avLst/>
                          </a:prstTxWarp>
                          <a:noAutofit/>
                        </wps:bodyPr>
                      </wps:wsp>
                      <wps:wsp>
                        <wps:cNvPr id="350" name="Graphic 350"/>
                        <wps:cNvSpPr/>
                        <wps:spPr>
                          <a:xfrm>
                            <a:off x="405743" y="166994"/>
                            <a:ext cx="87630" cy="115570"/>
                          </a:xfrm>
                          <a:custGeom>
                            <a:avLst/>
                            <a:gdLst/>
                            <a:ahLst/>
                            <a:cxnLst/>
                            <a:rect l="l" t="t" r="r" b="b"/>
                            <a:pathLst>
                              <a:path w="87630" h="115570">
                                <a:moveTo>
                                  <a:pt x="87335" y="115499"/>
                                </a:moveTo>
                                <a:lnTo>
                                  <a:pt x="0" y="0"/>
                                </a:lnTo>
                              </a:path>
                            </a:pathLst>
                          </a:custGeom>
                          <a:ln w="6357">
                            <a:solidFill>
                              <a:srgbClr val="000000"/>
                            </a:solidFill>
                            <a:prstDash val="solid"/>
                          </a:ln>
                        </wps:spPr>
                        <wps:bodyPr wrap="square" lIns="0" tIns="0" rIns="0" bIns="0" rtlCol="0">
                          <a:prstTxWarp prst="textNoShape">
                            <a:avLst/>
                          </a:prstTxWarp>
                          <a:noAutofit/>
                        </wps:bodyPr>
                      </wps:wsp>
                      <wps:wsp>
                        <wps:cNvPr id="351" name="Graphic 351"/>
                        <wps:cNvSpPr/>
                        <wps:spPr>
                          <a:xfrm>
                            <a:off x="252372" y="143894"/>
                            <a:ext cx="164465" cy="52705"/>
                          </a:xfrm>
                          <a:custGeom>
                            <a:avLst/>
                            <a:gdLst/>
                            <a:ahLst/>
                            <a:cxnLst/>
                            <a:rect l="l" t="t" r="r" b="b"/>
                            <a:pathLst>
                              <a:path w="164465" h="52705">
                                <a:moveTo>
                                  <a:pt x="0" y="52499"/>
                                </a:moveTo>
                                <a:lnTo>
                                  <a:pt x="164020" y="0"/>
                                </a:lnTo>
                              </a:path>
                            </a:pathLst>
                          </a:custGeom>
                          <a:ln w="6308">
                            <a:solidFill>
                              <a:srgbClr val="000000"/>
                            </a:solidFill>
                            <a:prstDash val="solid"/>
                          </a:ln>
                        </wps:spPr>
                        <wps:bodyPr wrap="square" lIns="0" tIns="0" rIns="0" bIns="0" rtlCol="0">
                          <a:prstTxWarp prst="textNoShape">
                            <a:avLst/>
                          </a:prstTxWarp>
                          <a:noAutofit/>
                        </wps:bodyPr>
                      </wps:wsp>
                      <wps:wsp>
                        <wps:cNvPr id="352" name="Graphic 352"/>
                        <wps:cNvSpPr/>
                        <wps:spPr>
                          <a:xfrm>
                            <a:off x="96871" y="3195"/>
                            <a:ext cx="6985" cy="109220"/>
                          </a:xfrm>
                          <a:custGeom>
                            <a:avLst/>
                            <a:gdLst/>
                            <a:ahLst/>
                            <a:cxnLst/>
                            <a:rect l="l" t="t" r="r" b="b"/>
                            <a:pathLst>
                              <a:path w="6985" h="109220">
                                <a:moveTo>
                                  <a:pt x="0" y="0"/>
                                </a:moveTo>
                                <a:lnTo>
                                  <a:pt x="6390" y="109199"/>
                                </a:lnTo>
                              </a:path>
                            </a:pathLst>
                          </a:custGeom>
                          <a:ln w="63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2F8CCD5" id="Group 340" o:spid="_x0000_s1026" style="position:absolute;margin-left:90.05pt;margin-top:25.4pt;width:41.1pt;height:33.6pt;z-index:-18968576;mso-wrap-distance-left:0;mso-wrap-distance-right:0;mso-position-horizontal-relative:page" coordsize="521970,42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">
                <v:shape id="Graphic 341" o:spid="_x0000_s1027" style="position:absolute;left:3161;top:112394;width:100330;height:57150;visibility:visible;mso-wrap-style:square;v-text-anchor:top" coordsize="10033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" path="m100116,l,56699e" filled="f" strokeweight=".17558mm">
                  <v:path arrowok="t"/>
                </v:shape>
                <v:shape id="Graphic 342" o:spid="_x0000_s1028" style="position:absolute;left:13810;top:135494;width:89535;height:50800;visibility:visible;mso-wrap-style:square;v-text-anchor:top" coordsize="89535,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" path="m89465,l,50399e" filled="f" strokeweight=".17558mm">
                  <v:path arrowok="t"/>
                </v:shape>
                <v:shape id="Graphic 343" o:spid="_x0000_s1029" style="position:absolute;left:152265;top:366492;width:100330;height:57150;visibility:visible;mso-wrap-style:square;v-text-anchor:top" coordsize="10033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" path="m,56699l100116,e" filled="f" strokeweight=".17558mm">
                  <v:path arrowok="t"/>
                </v:shape>
                <v:shape id="Graphic 344" o:spid="_x0000_s1030" style="position:absolute;left:252380;top:196393;width:1270;height:170180;visibility:visible;mso-wrap-style:square;v-text-anchor:top" coordsize="1270,17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" path="m,170098l,e" filled="f" strokeweight=".1775mm">
                  <v:path arrowok="t"/>
                </v:shape>
                <v:shape id="Graphic 345" o:spid="_x0000_s1031" style="position:absolute;left:233207;top:208993;width:1270;height:145415;visibility:visible;mso-wrap-style:square;v-text-anchor:top" coordsize="1270,14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" path="m,144899l,e" filled="f" strokeweight=".1775mm">
                  <v:path arrowok="t"/>
                </v:shape>
                <v:shape id="Graphic 346" o:spid="_x0000_s1032" style="position:absolute;left:103268;top:112394;width:149225;height:84455;visibility:visible;mso-wrap-style:square;v-text-anchor:top" coordsize="149225,8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" path="m,l149109,83999e" filled="f" strokeweight=".17558mm">
                  <v:path arrowok="t"/>
                </v:shape>
                <v:shape id="Graphic 347" o:spid="_x0000_s1033" style="position:absolute;left:252377;top:366492;width:115570;height:36195;visibility:visible;mso-wrap-style:square;v-text-anchor:top" coordsize="1155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" path="m,l115027,35699e" filled="f" strokeweight=".17519mm">
                  <v:path arrowok="t"/>
                </v:shape>
                <v:shape id="Graphic 348" o:spid="_x0000_s1034" style="position:absolute;left:452608;top:282493;width:66040;height:86360;visibility:visible;mso-wrap-style:square;v-text-anchor:top" coordsize="66040,8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" path="m,86099l66034,e" filled="f" strokeweight=".17656mm">
                  <v:path arrowok="t"/>
                </v:shape>
                <v:shape id="Graphic 349" o:spid="_x0000_s1035" style="position:absolute;left:414265;top:141794;width:104775;height:140970;visibility:visible;mso-wrap-style:square;v-text-anchor:top" coordsize="104775,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" path="m104376,140699l,e" filled="f" strokeweight=".17661mm">
                  <v:path arrowok="t"/>
                </v:shape>
                <v:shape id="Graphic 350" o:spid="_x0000_s1036" style="position:absolute;left:405743;top:166994;width:87630;height:115570;visibility:visible;mso-wrap-style:square;v-text-anchor:top" coordsize="8763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" path="m87335,115499l,e" filled="f" strokeweight=".17658mm">
                  <v:path arrowok="t"/>
                </v:shape>
                <v:shape id="Graphic 351" o:spid="_x0000_s1037" style="position:absolute;left:252372;top:143894;width:164465;height:52705;visibility:visible;mso-wrap-style:square;v-text-anchor:top" coordsize="164465,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" path="m,52499l164020,e" filled="f" strokeweight=".17522mm">
                  <v:path arrowok="t"/>
                </v:shape>
                <v:shape id="Graphic 352" o:spid="_x0000_s1038" style="position:absolute;left:96871;top:3195;width:6985;height:109220;visibility:visible;mso-wrap-style:square;v-text-anchor:top" coordsize="698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" path="m,l6390,109199e" filled="f" strokeweight=".1775mm">
                  <v:path arrowok="t"/>
                </v:shape>
                <w10:wrap anchorx="page"/>
              </v:group>
            </w:pict>
          </mc:Fallback>
        </mc:AlternateContent>
      </w:r>
      <w:r>
        <w:rPr>
          <w:noProof/>
        </w:rPr>
        <mc:AlternateContent>
          <mc:Choice Requires="wpg">
            <w:drawing>
              <wp:anchor distT="0" distB="0" distL="0" distR="0" simplePos="0" relativeHeight="484348416" behindDoc="1" locked="0" layoutInCell="1" allowOverlap="1" wp14:anchorId="25A20327" wp14:editId="535FAA10">
                <wp:simplePos x="0" y="0"/>
                <wp:positionH relativeFrom="page">
                  <wp:posOffset>1094872</wp:posOffset>
                </wp:positionH>
                <wp:positionV relativeFrom="paragraph">
                  <wp:posOffset>577583</wp:posOffset>
                </wp:positionV>
                <wp:extent cx="115570" cy="171450"/>
                <wp:effectExtent l="0" t="0" r="0" b="0"/>
                <wp:wrapNone/>
                <wp:docPr id="353" name="Group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71450"/>
                          <a:chOff x="0" y="0"/>
                          <a:chExt cx="115570" cy="171450"/>
                        </a:xfrm>
                      </wpg:grpSpPr>
                      <wps:wsp>
                        <wps:cNvPr id="354" name="Graphic 354"/>
                        <wps:cNvSpPr/>
                        <wps:spPr>
                          <a:xfrm>
                            <a:off x="3195" y="0"/>
                            <a:ext cx="1270" cy="111760"/>
                          </a:xfrm>
                          <a:custGeom>
                            <a:avLst/>
                            <a:gdLst/>
                            <a:ahLst/>
                            <a:cxnLst/>
                            <a:rect l="l" t="t" r="r" b="b"/>
                            <a:pathLst>
                              <a:path h="111760">
                                <a:moveTo>
                                  <a:pt x="0" y="0"/>
                                </a:moveTo>
                                <a:lnTo>
                                  <a:pt x="0" y="111299"/>
                                </a:lnTo>
                              </a:path>
                            </a:pathLst>
                          </a:custGeom>
                          <a:ln w="6390">
                            <a:solidFill>
                              <a:srgbClr val="000000"/>
                            </a:solidFill>
                            <a:prstDash val="solid"/>
                          </a:ln>
                        </wps:spPr>
                        <wps:bodyPr wrap="square" lIns="0" tIns="0" rIns="0" bIns="0" rtlCol="0">
                          <a:prstTxWarp prst="textNoShape">
                            <a:avLst/>
                          </a:prstTxWarp>
                          <a:noAutofit/>
                        </wps:bodyPr>
                      </wps:wsp>
                      <wps:wsp>
                        <wps:cNvPr id="355" name="Graphic 355"/>
                        <wps:cNvSpPr/>
                        <wps:spPr>
                          <a:xfrm>
                            <a:off x="3194" y="111299"/>
                            <a:ext cx="98425" cy="57150"/>
                          </a:xfrm>
                          <a:custGeom>
                            <a:avLst/>
                            <a:gdLst/>
                            <a:ahLst/>
                            <a:cxnLst/>
                            <a:rect l="l" t="t" r="r" b="b"/>
                            <a:pathLst>
                              <a:path w="98425" h="57150">
                                <a:moveTo>
                                  <a:pt x="0" y="0"/>
                                </a:moveTo>
                                <a:lnTo>
                                  <a:pt x="97986" y="56699"/>
                                </a:lnTo>
                              </a:path>
                            </a:pathLst>
                          </a:custGeom>
                          <a:ln w="6322">
                            <a:solidFill>
                              <a:srgbClr val="000000"/>
                            </a:solidFill>
                            <a:prstDash val="solid"/>
                          </a:ln>
                        </wps:spPr>
                        <wps:bodyPr wrap="square" lIns="0" tIns="0" rIns="0" bIns="0" rtlCol="0">
                          <a:prstTxWarp prst="textNoShape">
                            <a:avLst/>
                          </a:prstTxWarp>
                          <a:noAutofit/>
                        </wps:bodyPr>
                      </wps:wsp>
                      <wps:wsp>
                        <wps:cNvPr id="356" name="Graphic 356"/>
                        <wps:cNvSpPr/>
                        <wps:spPr>
                          <a:xfrm>
                            <a:off x="24494" y="98699"/>
                            <a:ext cx="87630" cy="50800"/>
                          </a:xfrm>
                          <a:custGeom>
                            <a:avLst/>
                            <a:gdLst/>
                            <a:ahLst/>
                            <a:cxnLst/>
                            <a:rect l="l" t="t" r="r" b="b"/>
                            <a:pathLst>
                              <a:path w="87630" h="50800">
                                <a:moveTo>
                                  <a:pt x="0" y="0"/>
                                </a:moveTo>
                                <a:lnTo>
                                  <a:pt x="87335" y="50399"/>
                                </a:lnTo>
                              </a:path>
                            </a:pathLst>
                          </a:custGeom>
                          <a:ln w="632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E5EF8C0" id="Group 353" o:spid="_x0000_s1026" style="position:absolute;margin-left:86.2pt;margin-top:45.5pt;width:9.1pt;height:13.5pt;z-index:-18968064;mso-wrap-distance-left:0;mso-wrap-distance-right:0;mso-position-horizontal-relative:page" coordsize="11557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">
                <v:shape id="Graphic 354" o:spid="_x0000_s1027" style="position:absolute;left:3195;width:1270;height:111760;visibility:visible;mso-wrap-style:square;v-text-anchor:top" coordsize="1270,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" path="m,l,111299e" filled="f" strokeweight=".1775mm">
                  <v:path arrowok="t"/>
                </v:shape>
                <v:shape id="Graphic 355" o:spid="_x0000_s1028" style="position:absolute;left:3194;top:111299;width:98425;height:57150;visibility:visible;mso-wrap-style:square;v-text-anchor:top" coordsize="98425,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" path="m,l97986,56699e" filled="f" strokeweight=".17561mm">
                  <v:path arrowok="t"/>
                </v:shape>
                <v:shape id="Graphic 356" o:spid="_x0000_s1029" style="position:absolute;left:24494;top:98699;width:87630;height:50800;visibility:visible;mso-wrap-style:square;v-text-anchor:top" coordsize="8763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" path="m,l87335,50399e" filled="f" strokeweight=".17561mm">
                  <v:path arrowok="t"/>
                </v:shape>
                <w10:wrap anchorx="page"/>
              </v:group>
            </w:pict>
          </mc:Fallback>
        </mc:AlternateContent>
      </w:r>
      <w:r>
        <w:rPr>
          <w:rFonts w:ascii="Arial"/>
          <w:spacing w:val="-4"/>
          <w:sz w:val="19"/>
        </w:rPr>
        <w:t>Me</w:t>
      </w:r>
      <w:r>
        <w:rPr>
          <w:rFonts w:ascii="Arial"/>
          <w:noProof/>
          <w:spacing w:val="7"/>
          <w:position w:val="-1"/>
          <w:sz w:val="19"/>
        </w:rPr>
        <w:drawing>
          <wp:inline distT="0" distB="0" distL="0" distR="0" wp14:anchorId="180BF8D0" wp14:editId="1E55049A">
            <wp:extent cx="61706" cy="37822"/>
            <wp:effectExtent l="0" t="0" r="0" b="0"/>
            <wp:docPr id="357" name="Image 3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7" name="Image 357"/>
                    <pic:cNvPicPr/>
                  </pic:nvPicPr>
                  <pic:blipFill>
                    <a:blip r:embed="rId60" cstate="print"/>
                    <a:stretch>
                      <a:fillRect/>
                    </a:stretch>
                  </pic:blipFill>
                  <pic:spPr>
                    <a:xfrm>
                      <a:off x="0" y="0"/>
                      <a:ext cx="61706" cy="37822"/>
                    </a:xfrm>
                    <a:prstGeom prst="rect">
                      <a:avLst/>
                    </a:prstGeom>
                  </pic:spPr>
                </pic:pic>
              </a:graphicData>
            </a:graphic>
          </wp:inline>
        </w:drawing>
      </w:r>
      <w:r>
        <w:rPr>
          <w:rFonts w:ascii="Arial"/>
          <w:spacing w:val="-4"/>
          <w:position w:val="-13"/>
          <w:sz w:val="19"/>
        </w:rPr>
        <w:t xml:space="preserve">N </w:t>
      </w:r>
      <w:proofErr w:type="spellStart"/>
      <w:r>
        <w:rPr>
          <w:rFonts w:ascii="Arial"/>
          <w:spacing w:val="-10"/>
          <w:sz w:val="19"/>
        </w:rPr>
        <w:t>N</w:t>
      </w:r>
      <w:proofErr w:type="spellEnd"/>
    </w:p>
    <w:p w14:paraId="6CCBC4CD" w14:textId="77777777" w:rsidR="001825E2" w:rsidRDefault="000839A5" w:rsidP="00CB00A7">
      <w:pPr>
        <w:tabs>
          <w:tab w:val="left" w:pos="1166"/>
        </w:tabs>
        <w:spacing w:line="170" w:lineRule="exact"/>
        <w:ind w:left="673"/>
        <w:rPr>
          <w:rFonts w:ascii="Arial"/>
          <w:sz w:val="19"/>
        </w:rPr>
      </w:pPr>
      <w:r>
        <w:rPr>
          <w:rFonts w:ascii="Arial"/>
          <w:spacing w:val="-10"/>
          <w:position w:val="-4"/>
          <w:sz w:val="19"/>
        </w:rPr>
        <w:t>N</w:t>
      </w:r>
      <w:r>
        <w:rPr>
          <w:rFonts w:ascii="Arial"/>
          <w:position w:val="-4"/>
          <w:sz w:val="19"/>
        </w:rPr>
        <w:tab/>
      </w:r>
      <w:proofErr w:type="spellStart"/>
      <w:r>
        <w:rPr>
          <w:rFonts w:ascii="Arial"/>
          <w:spacing w:val="-10"/>
          <w:sz w:val="19"/>
        </w:rPr>
        <w:t>N</w:t>
      </w:r>
      <w:proofErr w:type="spellEnd"/>
    </w:p>
    <w:p w14:paraId="6049EFBF" w14:textId="77777777" w:rsidR="001825E2" w:rsidRDefault="000839A5" w:rsidP="00CB00A7">
      <w:pPr>
        <w:spacing w:line="164" w:lineRule="exact"/>
        <w:ind w:right="39"/>
        <w:rPr>
          <w:rFonts w:ascii="Arial"/>
          <w:sz w:val="19"/>
        </w:rPr>
      </w:pPr>
      <w:r>
        <w:rPr>
          <w:rFonts w:ascii="Arial"/>
          <w:spacing w:val="-10"/>
          <w:sz w:val="19"/>
        </w:rPr>
        <w:t>H</w:t>
      </w:r>
    </w:p>
    <w:p w14:paraId="0F7F5538" w14:textId="77777777" w:rsidR="001825E2" w:rsidRDefault="000839A5" w:rsidP="00CB00A7">
      <w:pPr>
        <w:rPr>
          <w:rFonts w:ascii="Arial"/>
          <w:sz w:val="19"/>
        </w:rPr>
      </w:pPr>
      <w:r>
        <w:br w:type="column"/>
      </w:r>
    </w:p>
    <w:p w14:paraId="22F50F3A" w14:textId="77777777" w:rsidR="001825E2" w:rsidRDefault="001825E2" w:rsidP="00CB00A7">
      <w:pPr>
        <w:pStyle w:val="BodyText"/>
        <w:spacing w:before="16"/>
        <w:jc w:val="left"/>
        <w:rPr>
          <w:rFonts w:ascii="Arial"/>
          <w:sz w:val="19"/>
        </w:rPr>
      </w:pPr>
    </w:p>
    <w:p w14:paraId="2E55DB4B" w14:textId="77777777" w:rsidR="001825E2" w:rsidRDefault="000839A5" w:rsidP="00CB00A7">
      <w:pPr>
        <w:ind w:left="794"/>
        <w:rPr>
          <w:rFonts w:ascii="Arial"/>
          <w:sz w:val="19"/>
        </w:rPr>
      </w:pPr>
      <w:r>
        <w:rPr>
          <w:rFonts w:ascii="Arial"/>
          <w:spacing w:val="-10"/>
          <w:sz w:val="19"/>
        </w:rPr>
        <w:t>N</w:t>
      </w:r>
    </w:p>
    <w:p w14:paraId="2ECAA111" w14:textId="77777777" w:rsidR="001825E2" w:rsidRDefault="001825E2" w:rsidP="00CB00A7">
      <w:pPr>
        <w:pStyle w:val="BodyText"/>
        <w:spacing w:before="81"/>
        <w:jc w:val="left"/>
        <w:rPr>
          <w:rFonts w:ascii="Arial"/>
          <w:sz w:val="19"/>
        </w:rPr>
      </w:pPr>
    </w:p>
    <w:p w14:paraId="2E91D455" w14:textId="77777777" w:rsidR="001825E2" w:rsidRDefault="000839A5" w:rsidP="00CB00A7">
      <w:pPr>
        <w:pStyle w:val="ListParagraph"/>
        <w:numPr>
          <w:ilvl w:val="0"/>
          <w:numId w:val="1"/>
        </w:numPr>
        <w:tabs>
          <w:tab w:val="left" w:pos="559"/>
          <w:tab w:val="left" w:pos="794"/>
        </w:tabs>
        <w:spacing w:line="432" w:lineRule="auto"/>
        <w:ind w:hanging="510"/>
        <w:jc w:val="left"/>
        <w:rPr>
          <w:rFonts w:ascii="Arial" w:hAnsi="Arial"/>
          <w:sz w:val="18"/>
        </w:rPr>
      </w:pPr>
      <w:r>
        <w:rPr>
          <w:noProof/>
        </w:rPr>
        <mc:AlternateContent>
          <mc:Choice Requires="wpg">
            <w:drawing>
              <wp:anchor distT="0" distB="0" distL="0" distR="0" simplePos="0" relativeHeight="15745024" behindDoc="0" locked="0" layoutInCell="1" allowOverlap="1" wp14:anchorId="3E9E54E6" wp14:editId="5B2BC3EF">
                <wp:simplePos x="0" y="0"/>
                <wp:positionH relativeFrom="page">
                  <wp:posOffset>2407048</wp:posOffset>
                </wp:positionH>
                <wp:positionV relativeFrom="paragraph">
                  <wp:posOffset>-38954</wp:posOffset>
                </wp:positionV>
                <wp:extent cx="366395" cy="387985"/>
                <wp:effectExtent l="0" t="0" r="0" b="0"/>
                <wp:wrapNone/>
                <wp:docPr id="358"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6395" cy="387985"/>
                          <a:chOff x="0" y="0"/>
                          <a:chExt cx="366395" cy="387985"/>
                        </a:xfrm>
                      </wpg:grpSpPr>
                      <wps:wsp>
                        <wps:cNvPr id="359" name="Graphic 359"/>
                        <wps:cNvSpPr/>
                        <wps:spPr>
                          <a:xfrm>
                            <a:off x="3161" y="67200"/>
                            <a:ext cx="106680" cy="60960"/>
                          </a:xfrm>
                          <a:custGeom>
                            <a:avLst/>
                            <a:gdLst/>
                            <a:ahLst/>
                            <a:cxnLst/>
                            <a:rect l="l" t="t" r="r" b="b"/>
                            <a:pathLst>
                              <a:path w="106680" h="60960">
                                <a:moveTo>
                                  <a:pt x="106506" y="0"/>
                                </a:moveTo>
                                <a:lnTo>
                                  <a:pt x="0" y="60899"/>
                                </a:lnTo>
                              </a:path>
                            </a:pathLst>
                          </a:custGeom>
                          <a:ln w="6322">
                            <a:solidFill>
                              <a:srgbClr val="000000"/>
                            </a:solidFill>
                            <a:prstDash val="solid"/>
                          </a:ln>
                        </wps:spPr>
                        <wps:bodyPr wrap="square" lIns="0" tIns="0" rIns="0" bIns="0" rtlCol="0">
                          <a:prstTxWarp prst="textNoShape">
                            <a:avLst/>
                          </a:prstTxWarp>
                          <a:noAutofit/>
                        </wps:bodyPr>
                      </wps:wsp>
                      <wps:wsp>
                        <wps:cNvPr id="360" name="Graphic 360"/>
                        <wps:cNvSpPr/>
                        <wps:spPr>
                          <a:xfrm>
                            <a:off x="109666" y="67199"/>
                            <a:ext cx="151765" cy="84455"/>
                          </a:xfrm>
                          <a:custGeom>
                            <a:avLst/>
                            <a:gdLst/>
                            <a:ahLst/>
                            <a:cxnLst/>
                            <a:rect l="l" t="t" r="r" b="b"/>
                            <a:pathLst>
                              <a:path w="151765" h="84455">
                                <a:moveTo>
                                  <a:pt x="151239" y="83999"/>
                                </a:moveTo>
                                <a:lnTo>
                                  <a:pt x="0" y="0"/>
                                </a:lnTo>
                              </a:path>
                            </a:pathLst>
                          </a:custGeom>
                          <a:ln w="6321">
                            <a:solidFill>
                              <a:srgbClr val="000000"/>
                            </a:solidFill>
                            <a:prstDash val="solid"/>
                          </a:ln>
                        </wps:spPr>
                        <wps:bodyPr wrap="square" lIns="0" tIns="0" rIns="0" bIns="0" rtlCol="0">
                          <a:prstTxWarp prst="textNoShape">
                            <a:avLst/>
                          </a:prstTxWarp>
                          <a:noAutofit/>
                        </wps:bodyPr>
                      </wps:wsp>
                      <wps:wsp>
                        <wps:cNvPr id="361" name="Graphic 361"/>
                        <wps:cNvSpPr/>
                        <wps:spPr>
                          <a:xfrm>
                            <a:off x="260906" y="92399"/>
                            <a:ext cx="102870" cy="59055"/>
                          </a:xfrm>
                          <a:custGeom>
                            <a:avLst/>
                            <a:gdLst/>
                            <a:ahLst/>
                            <a:cxnLst/>
                            <a:rect l="l" t="t" r="r" b="b"/>
                            <a:pathLst>
                              <a:path w="102870" h="59055">
                                <a:moveTo>
                                  <a:pt x="102246" y="0"/>
                                </a:moveTo>
                                <a:lnTo>
                                  <a:pt x="0" y="58799"/>
                                </a:lnTo>
                              </a:path>
                            </a:pathLst>
                          </a:custGeom>
                          <a:ln w="6322">
                            <a:solidFill>
                              <a:srgbClr val="000000"/>
                            </a:solidFill>
                            <a:prstDash val="solid"/>
                          </a:ln>
                        </wps:spPr>
                        <wps:bodyPr wrap="square" lIns="0" tIns="0" rIns="0" bIns="0" rtlCol="0">
                          <a:prstTxWarp prst="textNoShape">
                            <a:avLst/>
                          </a:prstTxWarp>
                          <a:noAutofit/>
                        </wps:bodyPr>
                      </wps:wsp>
                      <wps:wsp>
                        <wps:cNvPr id="362" name="Graphic 362"/>
                        <wps:cNvSpPr/>
                        <wps:spPr>
                          <a:xfrm>
                            <a:off x="260905" y="151199"/>
                            <a:ext cx="1270" cy="172720"/>
                          </a:xfrm>
                          <a:custGeom>
                            <a:avLst/>
                            <a:gdLst/>
                            <a:ahLst/>
                            <a:cxnLst/>
                            <a:rect l="l" t="t" r="r" b="b"/>
                            <a:pathLst>
                              <a:path h="172720">
                                <a:moveTo>
                                  <a:pt x="0" y="172198"/>
                                </a:moveTo>
                                <a:lnTo>
                                  <a:pt x="0" y="0"/>
                                </a:lnTo>
                              </a:path>
                            </a:pathLst>
                          </a:custGeom>
                          <a:ln w="6390">
                            <a:solidFill>
                              <a:srgbClr val="000000"/>
                            </a:solidFill>
                            <a:prstDash val="solid"/>
                          </a:ln>
                        </wps:spPr>
                        <wps:bodyPr wrap="square" lIns="0" tIns="0" rIns="0" bIns="0" rtlCol="0">
                          <a:prstTxWarp prst="textNoShape">
                            <a:avLst/>
                          </a:prstTxWarp>
                          <a:noAutofit/>
                        </wps:bodyPr>
                      </wps:wsp>
                      <wps:wsp>
                        <wps:cNvPr id="363" name="Graphic 363"/>
                        <wps:cNvSpPr/>
                        <wps:spPr>
                          <a:xfrm>
                            <a:off x="154398" y="323397"/>
                            <a:ext cx="106680" cy="60960"/>
                          </a:xfrm>
                          <a:custGeom>
                            <a:avLst/>
                            <a:gdLst/>
                            <a:ahLst/>
                            <a:cxnLst/>
                            <a:rect l="l" t="t" r="r" b="b"/>
                            <a:pathLst>
                              <a:path w="106680" h="60960">
                                <a:moveTo>
                                  <a:pt x="0" y="60899"/>
                                </a:moveTo>
                                <a:lnTo>
                                  <a:pt x="106506" y="0"/>
                                </a:lnTo>
                              </a:path>
                            </a:pathLst>
                          </a:custGeom>
                          <a:ln w="6322">
                            <a:solidFill>
                              <a:srgbClr val="000000"/>
                            </a:solidFill>
                            <a:prstDash val="solid"/>
                          </a:ln>
                        </wps:spPr>
                        <wps:bodyPr wrap="square" lIns="0" tIns="0" rIns="0" bIns="0" rtlCol="0">
                          <a:prstTxWarp prst="textNoShape">
                            <a:avLst/>
                          </a:prstTxWarp>
                          <a:noAutofit/>
                        </wps:bodyPr>
                      </wps:wsp>
                      <wps:wsp>
                        <wps:cNvPr id="364" name="Graphic 364"/>
                        <wps:cNvSpPr/>
                        <wps:spPr>
                          <a:xfrm>
                            <a:off x="260904" y="0"/>
                            <a:ext cx="1270" cy="151765"/>
                          </a:xfrm>
                          <a:custGeom>
                            <a:avLst/>
                            <a:gdLst/>
                            <a:ahLst/>
                            <a:cxnLst/>
                            <a:rect l="l" t="t" r="r" b="b"/>
                            <a:pathLst>
                              <a:path h="151765">
                                <a:moveTo>
                                  <a:pt x="0" y="151199"/>
                                </a:moveTo>
                                <a:lnTo>
                                  <a:pt x="0" y="0"/>
                                </a:lnTo>
                              </a:path>
                            </a:pathLst>
                          </a:custGeom>
                          <a:ln w="63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69AF9C" id="Group 358" o:spid="_x0000_s1026" style="position:absolute;margin-left:189.55pt;margin-top:-3.05pt;width:28.85pt;height:30.55pt;z-index:15745024;mso-wrap-distance-left:0;mso-wrap-distance-right:0;mso-position-horizontal-relative:page" coordsize="366395,387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">
                <v:shape id="Graphic 359" o:spid="_x0000_s1027" style="position:absolute;left:3161;top:67200;width:106680;height:60960;visibility:visible;mso-wrap-style:square;v-text-anchor:top" coordsize="10668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" path="m106506,l,60899e" filled="f" strokeweight=".17561mm">
                  <v:path arrowok="t"/>
                </v:shape>
                <v:shape id="Graphic 360" o:spid="_x0000_s1028" style="position:absolute;left:109666;top:67199;width:151765;height:84455;visibility:visible;mso-wrap-style:square;v-text-anchor:top" coordsize="151765,8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" path="m151239,83999l,e" filled="f" strokeweight=".17558mm">
                  <v:path arrowok="t"/>
                </v:shape>
                <v:shape id="Graphic 361" o:spid="_x0000_s1029" style="position:absolute;left:260906;top:92399;width:102870;height:59055;visibility:visible;mso-wrap-style:square;v-text-anchor:top" coordsize="102870,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" path="m102246,l,58799e" filled="f" strokeweight=".17561mm">
                  <v:path arrowok="t"/>
                </v:shape>
                <v:shape id="Graphic 362" o:spid="_x0000_s1030" style="position:absolute;left:260905;top:151199;width:1270;height:172720;visibility:visible;mso-wrap-style:square;v-text-anchor:top" coordsize="127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" path="m,172198l,e" filled="f" strokeweight=".1775mm">
                  <v:path arrowok="t"/>
                </v:shape>
                <v:shape id="Graphic 363" o:spid="_x0000_s1031" style="position:absolute;left:154398;top:323397;width:106680;height:60960;visibility:visible;mso-wrap-style:square;v-text-anchor:top" coordsize="10668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" path="m,60899l106506,e" filled="f" strokeweight=".17561mm">
                  <v:path arrowok="t"/>
                </v:shape>
                <v:shape id="Graphic 364" o:spid="_x0000_s1032" style="position:absolute;left:260904;width:1270;height:151765;visibility:visible;mso-wrap-style:square;v-text-anchor:top" coordsize="127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" path="m,151199l,e" filled="f" strokeweight=".1775mm">
                  <v:path arrowok="t"/>
                </v:shape>
                <w10:wrap anchorx="page"/>
              </v:group>
            </w:pict>
          </mc:Fallback>
        </mc:AlternateContent>
      </w:r>
      <w:r>
        <w:rPr>
          <w:rFonts w:ascii="Arial" w:hAnsi="Arial"/>
          <w:spacing w:val="-4"/>
          <w:w w:val="105"/>
          <w:sz w:val="18"/>
        </w:rPr>
        <w:t>HO</w:t>
      </w:r>
      <w:r>
        <w:rPr>
          <w:rFonts w:ascii="Arial" w:hAnsi="Arial"/>
          <w:spacing w:val="-4"/>
          <w:w w:val="105"/>
          <w:position w:val="-3"/>
          <w:sz w:val="14"/>
        </w:rPr>
        <w:t>2</w:t>
      </w:r>
      <w:r>
        <w:rPr>
          <w:rFonts w:ascii="Arial" w:hAnsi="Arial"/>
          <w:spacing w:val="-4"/>
          <w:w w:val="105"/>
          <w:sz w:val="18"/>
        </w:rPr>
        <w:t xml:space="preserve">C </w:t>
      </w:r>
      <w:r>
        <w:rPr>
          <w:rFonts w:ascii="Arial" w:hAnsi="Arial"/>
          <w:spacing w:val="-4"/>
          <w:sz w:val="18"/>
        </w:rPr>
        <w:t>HO</w:t>
      </w:r>
      <w:r>
        <w:rPr>
          <w:rFonts w:ascii="Arial" w:hAnsi="Arial"/>
          <w:spacing w:val="-4"/>
          <w:position w:val="-3"/>
          <w:sz w:val="14"/>
        </w:rPr>
        <w:t>2</w:t>
      </w:r>
      <w:r>
        <w:rPr>
          <w:rFonts w:ascii="Arial" w:hAnsi="Arial"/>
          <w:spacing w:val="-4"/>
          <w:sz w:val="18"/>
        </w:rPr>
        <w:t>C</w:t>
      </w:r>
    </w:p>
    <w:p w14:paraId="2B8B7B79" w14:textId="77777777" w:rsidR="001825E2" w:rsidRDefault="000839A5" w:rsidP="00CB00A7">
      <w:pPr>
        <w:rPr>
          <w:rFonts w:ascii="Arial"/>
          <w:sz w:val="18"/>
        </w:rPr>
      </w:pPr>
      <w:r>
        <w:br w:type="column"/>
      </w:r>
    </w:p>
    <w:p w14:paraId="210CAC72" w14:textId="77777777" w:rsidR="001825E2" w:rsidRDefault="001825E2" w:rsidP="00CB00A7">
      <w:pPr>
        <w:pStyle w:val="BodyText"/>
        <w:jc w:val="left"/>
        <w:rPr>
          <w:rFonts w:ascii="Arial"/>
          <w:sz w:val="18"/>
        </w:rPr>
      </w:pPr>
    </w:p>
    <w:p w14:paraId="7E4062EF" w14:textId="77777777" w:rsidR="001825E2" w:rsidRDefault="001825E2" w:rsidP="00CB00A7">
      <w:pPr>
        <w:pStyle w:val="BodyText"/>
        <w:spacing w:before="99"/>
        <w:jc w:val="left"/>
        <w:rPr>
          <w:rFonts w:ascii="Arial"/>
          <w:sz w:val="18"/>
        </w:rPr>
      </w:pPr>
    </w:p>
    <w:p w14:paraId="07205CA5" w14:textId="77777777" w:rsidR="001825E2" w:rsidRDefault="000839A5" w:rsidP="00CB00A7">
      <w:pPr>
        <w:spacing w:before="1" w:line="203" w:lineRule="exact"/>
        <w:ind w:left="55"/>
        <w:rPr>
          <w:rFonts w:ascii="Arial"/>
          <w:sz w:val="18"/>
        </w:rPr>
      </w:pPr>
      <w:r>
        <w:rPr>
          <w:rFonts w:ascii="Arial"/>
          <w:spacing w:val="-5"/>
          <w:w w:val="105"/>
          <w:sz w:val="18"/>
        </w:rPr>
        <w:t>OH</w:t>
      </w:r>
    </w:p>
    <w:p w14:paraId="7F8ED61E" w14:textId="77777777" w:rsidR="001825E2" w:rsidRDefault="000839A5" w:rsidP="00CB00A7">
      <w:pPr>
        <w:spacing w:line="234" w:lineRule="exact"/>
        <w:ind w:left="297"/>
        <w:rPr>
          <w:rFonts w:ascii="Arial"/>
          <w:sz w:val="18"/>
        </w:rPr>
      </w:pPr>
      <w:r>
        <w:rPr>
          <w:rFonts w:ascii="Arial"/>
          <w:spacing w:val="-4"/>
          <w:w w:val="105"/>
          <w:sz w:val="18"/>
        </w:rPr>
        <w:t>CO</w:t>
      </w:r>
      <w:r>
        <w:rPr>
          <w:rFonts w:ascii="Arial"/>
          <w:spacing w:val="-4"/>
          <w:w w:val="105"/>
          <w:position w:val="-3"/>
          <w:sz w:val="14"/>
        </w:rPr>
        <w:t>2</w:t>
      </w:r>
      <w:r>
        <w:rPr>
          <w:rFonts w:ascii="Arial"/>
          <w:spacing w:val="-4"/>
          <w:w w:val="105"/>
          <w:sz w:val="18"/>
        </w:rPr>
        <w:t>H</w:t>
      </w:r>
    </w:p>
    <w:p w14:paraId="25B9353C" w14:textId="77777777" w:rsidR="001825E2" w:rsidRDefault="001825E2" w:rsidP="00CB00A7">
      <w:pPr>
        <w:spacing w:line="234" w:lineRule="exact"/>
        <w:rPr>
          <w:rFonts w:ascii="Arial"/>
          <w:sz w:val="18"/>
        </w:rPr>
        <w:sectPr w:rsidR="001825E2">
          <w:type w:val="continuous"/>
          <w:pgSz w:w="11910" w:h="16850"/>
          <w:pgMar w:top="1420" w:right="700" w:bottom="980" w:left="1220" w:header="0" w:footer="785" w:gutter="0"/>
          <w:cols w:num="3" w:space="720" w:equalWidth="0">
            <w:col w:w="1348" w:space="172"/>
            <w:col w:w="1293" w:space="39"/>
            <w:col w:w="7138"/>
          </w:cols>
        </w:sectPr>
      </w:pPr>
    </w:p>
    <w:p w14:paraId="4D3C0DD9" w14:textId="77777777" w:rsidR="001825E2" w:rsidRDefault="000839A5" w:rsidP="00CB00A7">
      <w:pPr>
        <w:pStyle w:val="Heading4"/>
        <w:spacing w:before="121"/>
        <w:jc w:val="left"/>
      </w:pPr>
      <w:r>
        <w:t>CAS</w:t>
      </w:r>
      <w:r>
        <w:rPr>
          <w:spacing w:val="-6"/>
        </w:rPr>
        <w:t xml:space="preserve"> </w:t>
      </w:r>
      <w:r>
        <w:rPr>
          <w:spacing w:val="-2"/>
        </w:rPr>
        <w:t>Number</w:t>
      </w:r>
    </w:p>
    <w:p w14:paraId="13EC0983" w14:textId="77777777" w:rsidR="001825E2" w:rsidRDefault="000839A5" w:rsidP="00CB00A7">
      <w:pPr>
        <w:pStyle w:val="BodyText"/>
        <w:spacing w:before="114"/>
        <w:ind w:left="220"/>
        <w:jc w:val="left"/>
      </w:pPr>
      <w:r>
        <w:t>540737-29-9</w:t>
      </w:r>
      <w:r>
        <w:rPr>
          <w:spacing w:val="5"/>
        </w:rPr>
        <w:t xml:space="preserve"> </w:t>
      </w:r>
      <w:r>
        <w:t>(citrate</w:t>
      </w:r>
      <w:r>
        <w:rPr>
          <w:spacing w:val="-9"/>
        </w:rPr>
        <w:t xml:space="preserve"> </w:t>
      </w:r>
      <w:r>
        <w:t>salt);</w:t>
      </w:r>
      <w:r>
        <w:rPr>
          <w:spacing w:val="1"/>
        </w:rPr>
        <w:t xml:space="preserve"> </w:t>
      </w:r>
      <w:r>
        <w:t>477600-75-2</w:t>
      </w:r>
      <w:r>
        <w:rPr>
          <w:spacing w:val="6"/>
        </w:rPr>
        <w:t xml:space="preserve"> </w:t>
      </w:r>
      <w:r>
        <w:t>(free</w:t>
      </w:r>
      <w:r>
        <w:rPr>
          <w:spacing w:val="-8"/>
        </w:rPr>
        <w:t xml:space="preserve"> </w:t>
      </w:r>
      <w:r>
        <w:rPr>
          <w:spacing w:val="-4"/>
        </w:rPr>
        <w:t>base)</w:t>
      </w:r>
    </w:p>
    <w:p w14:paraId="6135AB99" w14:textId="77777777" w:rsidR="001825E2" w:rsidRDefault="000839A5" w:rsidP="00CB00A7">
      <w:pPr>
        <w:pStyle w:val="BodyText"/>
        <w:spacing w:before="234" w:line="242" w:lineRule="auto"/>
        <w:ind w:left="218" w:right="757" w:firstLine="1"/>
        <w:jc w:val="left"/>
      </w:pPr>
      <w:r>
        <w:t xml:space="preserve">Tofacitinib citrate is a white to off-white powder with a </w:t>
      </w:r>
      <w:proofErr w:type="spellStart"/>
      <w:r>
        <w:t>pKa</w:t>
      </w:r>
      <w:proofErr w:type="spellEnd"/>
      <w:r>
        <w:rPr>
          <w:spacing w:val="-3"/>
        </w:rPr>
        <w:t xml:space="preserve"> </w:t>
      </w:r>
      <w:r>
        <w:t xml:space="preserve">of 5.07. Tofacitinib citrate is freely soluble in </w:t>
      </w:r>
      <w:proofErr w:type="gramStart"/>
      <w:r>
        <w:rPr>
          <w:i/>
        </w:rPr>
        <w:t>N,N</w:t>
      </w:r>
      <w:proofErr w:type="gramEnd"/>
      <w:r>
        <w:t>-dimethylacetamide, slightly soluble in water, and very slightly soluble in ethanol (99.5% ethanol). The partition coefficient is 14.3 (Log P=1.15).</w:t>
      </w:r>
    </w:p>
    <w:p w14:paraId="6304F195" w14:textId="77777777" w:rsidR="001825E2" w:rsidRDefault="001825E2" w:rsidP="00CB00A7">
      <w:pPr>
        <w:spacing w:line="242" w:lineRule="auto"/>
        <w:sectPr w:rsidR="001825E2">
          <w:type w:val="continuous"/>
          <w:pgSz w:w="11910" w:h="16850"/>
          <w:pgMar w:top="1420" w:right="700" w:bottom="980" w:left="1220" w:header="0" w:footer="785" w:gutter="0"/>
          <w:cols w:space="720"/>
        </w:sectPr>
      </w:pPr>
    </w:p>
    <w:p w14:paraId="4FB4DBA3" w14:textId="77777777" w:rsidR="001825E2" w:rsidRDefault="000839A5" w:rsidP="00CB00A7">
      <w:pPr>
        <w:pStyle w:val="Heading1"/>
        <w:numPr>
          <w:ilvl w:val="0"/>
          <w:numId w:val="11"/>
        </w:numPr>
        <w:tabs>
          <w:tab w:val="left" w:pos="939"/>
        </w:tabs>
        <w:spacing w:before="68"/>
        <w:ind w:hanging="719"/>
      </w:pPr>
      <w:bookmarkStart w:id="91" w:name="7_MEDICINE_SCHEDULE_(POISONS_STANDARD)"/>
      <w:bookmarkStart w:id="92" w:name="8_SPONSOR"/>
      <w:bookmarkStart w:id="93" w:name="9_DATE_OF_FIRST_APPROVAL"/>
      <w:bookmarkStart w:id="94" w:name="10_DATE_OF_REVISION"/>
      <w:bookmarkEnd w:id="91"/>
      <w:bookmarkEnd w:id="92"/>
      <w:bookmarkEnd w:id="93"/>
      <w:bookmarkEnd w:id="94"/>
      <w:r>
        <w:lastRenderedPageBreak/>
        <w:t>MEDICINE</w:t>
      </w:r>
      <w:r>
        <w:rPr>
          <w:spacing w:val="-8"/>
        </w:rPr>
        <w:t xml:space="preserve"> </w:t>
      </w:r>
      <w:r>
        <w:t>SCHEDULE</w:t>
      </w:r>
      <w:r>
        <w:rPr>
          <w:spacing w:val="-7"/>
        </w:rPr>
        <w:t xml:space="preserve"> </w:t>
      </w:r>
      <w:r>
        <w:t>(POISONS</w:t>
      </w:r>
      <w:r>
        <w:rPr>
          <w:spacing w:val="-4"/>
        </w:rPr>
        <w:t xml:space="preserve"> </w:t>
      </w:r>
      <w:r>
        <w:rPr>
          <w:spacing w:val="-2"/>
        </w:rPr>
        <w:t>STANDARD)</w:t>
      </w:r>
    </w:p>
    <w:p w14:paraId="685AD561" w14:textId="77777777" w:rsidR="001825E2" w:rsidRDefault="000839A5" w:rsidP="00CB00A7">
      <w:pPr>
        <w:pStyle w:val="BodyText"/>
        <w:spacing w:before="241"/>
        <w:ind w:left="220"/>
        <w:jc w:val="left"/>
      </w:pPr>
      <w:r>
        <w:t>S4</w:t>
      </w:r>
      <w:r>
        <w:rPr>
          <w:spacing w:val="-11"/>
        </w:rPr>
        <w:t xml:space="preserve"> </w:t>
      </w:r>
      <w:r>
        <w:t>(Prescription</w:t>
      </w:r>
      <w:r>
        <w:rPr>
          <w:spacing w:val="14"/>
        </w:rPr>
        <w:t xml:space="preserve"> </w:t>
      </w:r>
      <w:r>
        <w:rPr>
          <w:spacing w:val="-2"/>
        </w:rPr>
        <w:t>Medicine)</w:t>
      </w:r>
    </w:p>
    <w:p w14:paraId="7FB8C9EB" w14:textId="77777777" w:rsidR="001825E2" w:rsidRDefault="001825E2" w:rsidP="00CB00A7">
      <w:pPr>
        <w:pStyle w:val="BodyText"/>
        <w:spacing w:before="85"/>
        <w:jc w:val="left"/>
      </w:pPr>
    </w:p>
    <w:p w14:paraId="6F273AD9" w14:textId="77777777" w:rsidR="001825E2" w:rsidRDefault="000839A5" w:rsidP="00CB00A7">
      <w:pPr>
        <w:pStyle w:val="Heading1"/>
        <w:numPr>
          <w:ilvl w:val="0"/>
          <w:numId w:val="11"/>
        </w:numPr>
        <w:tabs>
          <w:tab w:val="left" w:pos="939"/>
        </w:tabs>
        <w:ind w:hanging="719"/>
      </w:pPr>
      <w:bookmarkStart w:id="95" w:name="Summary_Table_of_Changes"/>
      <w:bookmarkEnd w:id="95"/>
      <w:r>
        <w:rPr>
          <w:spacing w:val="-2"/>
        </w:rPr>
        <w:t>SPONSOR</w:t>
      </w:r>
    </w:p>
    <w:p w14:paraId="4F09880C" w14:textId="77777777" w:rsidR="001825E2" w:rsidRDefault="000839A5" w:rsidP="00CB00A7">
      <w:pPr>
        <w:pStyle w:val="BodyText"/>
        <w:spacing w:before="241" w:line="247" w:lineRule="auto"/>
        <w:ind w:left="219" w:right="6918"/>
        <w:jc w:val="left"/>
      </w:pPr>
      <w:r>
        <w:t>Pfizer Australia Pty Ltd</w:t>
      </w:r>
      <w:r>
        <w:rPr>
          <w:spacing w:val="40"/>
        </w:rPr>
        <w:t xml:space="preserve"> </w:t>
      </w:r>
      <w:r>
        <w:t>Level</w:t>
      </w:r>
      <w:r>
        <w:rPr>
          <w:spacing w:val="-15"/>
        </w:rPr>
        <w:t xml:space="preserve"> </w:t>
      </w:r>
      <w:r>
        <w:t>17,</w:t>
      </w:r>
      <w:r>
        <w:rPr>
          <w:spacing w:val="-13"/>
        </w:rPr>
        <w:t xml:space="preserve"> </w:t>
      </w:r>
      <w:r>
        <w:t>151</w:t>
      </w:r>
      <w:r>
        <w:rPr>
          <w:spacing w:val="-11"/>
        </w:rPr>
        <w:t xml:space="preserve"> </w:t>
      </w:r>
      <w:r>
        <w:t>Clarence</w:t>
      </w:r>
      <w:r>
        <w:rPr>
          <w:spacing w:val="-1"/>
        </w:rPr>
        <w:t xml:space="preserve"> </w:t>
      </w:r>
      <w:r>
        <w:t>Street</w:t>
      </w:r>
    </w:p>
    <w:p w14:paraId="3BB51FE2" w14:textId="77777777" w:rsidR="001825E2" w:rsidRDefault="000839A5" w:rsidP="00CB00A7">
      <w:pPr>
        <w:pStyle w:val="BodyText"/>
        <w:spacing w:line="262" w:lineRule="exact"/>
        <w:ind w:left="219"/>
        <w:jc w:val="left"/>
      </w:pPr>
      <w:r>
        <w:t>Sydney</w:t>
      </w:r>
      <w:r>
        <w:rPr>
          <w:spacing w:val="-6"/>
        </w:rPr>
        <w:t xml:space="preserve"> </w:t>
      </w:r>
      <w:r>
        <w:t>NSW</w:t>
      </w:r>
      <w:r>
        <w:rPr>
          <w:spacing w:val="10"/>
        </w:rPr>
        <w:t xml:space="preserve"> </w:t>
      </w:r>
      <w:r>
        <w:rPr>
          <w:spacing w:val="-4"/>
        </w:rPr>
        <w:t>2000</w:t>
      </w:r>
    </w:p>
    <w:p w14:paraId="2E94EDAE" w14:textId="77777777" w:rsidR="001825E2" w:rsidRDefault="000839A5" w:rsidP="00CB00A7">
      <w:pPr>
        <w:pStyle w:val="BodyText"/>
        <w:spacing w:before="13" w:line="235" w:lineRule="auto"/>
        <w:ind w:left="219" w:right="4049"/>
        <w:jc w:val="left"/>
      </w:pPr>
      <w:r>
        <w:t>Toll Free</w:t>
      </w:r>
      <w:r>
        <w:rPr>
          <w:spacing w:val="-15"/>
        </w:rPr>
        <w:t xml:space="preserve"> </w:t>
      </w:r>
      <w:r>
        <w:t>number:</w:t>
      </w:r>
      <w:r>
        <w:rPr>
          <w:spacing w:val="-7"/>
        </w:rPr>
        <w:t xml:space="preserve"> </w:t>
      </w:r>
      <w:r>
        <w:t>1800</w:t>
      </w:r>
      <w:r>
        <w:rPr>
          <w:spacing w:val="-13"/>
        </w:rPr>
        <w:t xml:space="preserve"> </w:t>
      </w:r>
      <w:r>
        <w:t>675</w:t>
      </w:r>
      <w:r>
        <w:rPr>
          <w:spacing w:val="-1"/>
        </w:rPr>
        <w:t xml:space="preserve"> </w:t>
      </w:r>
      <w:r>
        <w:t xml:space="preserve">229 </w:t>
      </w:r>
      <w:hyperlink r:id="rId61">
        <w:r>
          <w:rPr>
            <w:spacing w:val="-2"/>
          </w:rPr>
          <w:t>www.pfizermedinfo.com.au</w:t>
        </w:r>
      </w:hyperlink>
    </w:p>
    <w:p w14:paraId="226EF81E" w14:textId="77777777" w:rsidR="001825E2" w:rsidRDefault="001825E2" w:rsidP="00CB00A7">
      <w:pPr>
        <w:pStyle w:val="BodyText"/>
        <w:spacing w:before="71"/>
        <w:jc w:val="left"/>
      </w:pPr>
    </w:p>
    <w:p w14:paraId="16314A74" w14:textId="77777777" w:rsidR="001825E2" w:rsidRDefault="000839A5" w:rsidP="00CB00A7">
      <w:pPr>
        <w:pStyle w:val="Heading1"/>
        <w:numPr>
          <w:ilvl w:val="0"/>
          <w:numId w:val="11"/>
        </w:numPr>
        <w:tabs>
          <w:tab w:val="left" w:pos="939"/>
        </w:tabs>
        <w:spacing w:before="1"/>
        <w:ind w:hanging="719"/>
      </w:pPr>
      <w:r>
        <w:t>DATE</w:t>
      </w:r>
      <w:r>
        <w:rPr>
          <w:spacing w:val="-13"/>
        </w:rPr>
        <w:t xml:space="preserve"> </w:t>
      </w:r>
      <w:r>
        <w:t>OF</w:t>
      </w:r>
      <w:r>
        <w:rPr>
          <w:spacing w:val="-11"/>
        </w:rPr>
        <w:t xml:space="preserve"> </w:t>
      </w:r>
      <w:r>
        <w:t>FIRST</w:t>
      </w:r>
      <w:r>
        <w:rPr>
          <w:spacing w:val="5"/>
        </w:rPr>
        <w:t xml:space="preserve"> </w:t>
      </w:r>
      <w:r>
        <w:rPr>
          <w:spacing w:val="-2"/>
        </w:rPr>
        <w:t>APPROVAL</w:t>
      </w:r>
    </w:p>
    <w:p w14:paraId="7C01F66A" w14:textId="77777777" w:rsidR="001825E2" w:rsidRDefault="000839A5" w:rsidP="00CB00A7">
      <w:pPr>
        <w:pStyle w:val="BodyText"/>
        <w:spacing w:before="255"/>
        <w:ind w:left="220"/>
        <w:jc w:val="left"/>
      </w:pPr>
      <w:r>
        <w:t>05</w:t>
      </w:r>
      <w:r>
        <w:rPr>
          <w:spacing w:val="-7"/>
        </w:rPr>
        <w:t xml:space="preserve"> </w:t>
      </w:r>
      <w:r>
        <w:t>February</w:t>
      </w:r>
      <w:r>
        <w:rPr>
          <w:spacing w:val="7"/>
        </w:rPr>
        <w:t xml:space="preserve"> </w:t>
      </w:r>
      <w:r>
        <w:rPr>
          <w:spacing w:val="-4"/>
        </w:rPr>
        <w:t>2015</w:t>
      </w:r>
    </w:p>
    <w:p w14:paraId="72573C23" w14:textId="77777777" w:rsidR="001825E2" w:rsidRDefault="001825E2" w:rsidP="00CB00A7">
      <w:pPr>
        <w:pStyle w:val="BodyText"/>
        <w:spacing w:before="71"/>
        <w:jc w:val="left"/>
      </w:pPr>
    </w:p>
    <w:p w14:paraId="17AAFFD5" w14:textId="77777777" w:rsidR="001825E2" w:rsidRDefault="000839A5" w:rsidP="00CB00A7">
      <w:pPr>
        <w:pStyle w:val="Heading1"/>
        <w:numPr>
          <w:ilvl w:val="0"/>
          <w:numId w:val="11"/>
        </w:numPr>
        <w:tabs>
          <w:tab w:val="left" w:pos="939"/>
        </w:tabs>
        <w:ind w:hanging="719"/>
      </w:pPr>
      <w:r>
        <w:t>DATE</w:t>
      </w:r>
      <w:r>
        <w:rPr>
          <w:spacing w:val="-8"/>
        </w:rPr>
        <w:t xml:space="preserve"> </w:t>
      </w:r>
      <w:r>
        <w:t>OF</w:t>
      </w:r>
      <w:r>
        <w:rPr>
          <w:spacing w:val="-7"/>
        </w:rPr>
        <w:t xml:space="preserve"> </w:t>
      </w:r>
      <w:r>
        <w:rPr>
          <w:spacing w:val="-2"/>
        </w:rPr>
        <w:t>REVISION</w:t>
      </w:r>
    </w:p>
    <w:p w14:paraId="16253E43" w14:textId="77777777" w:rsidR="001825E2" w:rsidRDefault="000839A5" w:rsidP="00CB00A7">
      <w:pPr>
        <w:pStyle w:val="BodyText"/>
        <w:spacing w:before="255"/>
        <w:ind w:left="220"/>
        <w:jc w:val="left"/>
      </w:pPr>
      <w:r>
        <w:t>DD</w:t>
      </w:r>
      <w:r>
        <w:rPr>
          <w:spacing w:val="-5"/>
        </w:rPr>
        <w:t xml:space="preserve"> </w:t>
      </w:r>
      <w:r>
        <w:t>Month</w:t>
      </w:r>
      <w:r>
        <w:rPr>
          <w:spacing w:val="5"/>
        </w:rPr>
        <w:t xml:space="preserve"> </w:t>
      </w:r>
      <w:r>
        <w:rPr>
          <w:spacing w:val="-4"/>
        </w:rPr>
        <w:t>YYYY</w:t>
      </w:r>
    </w:p>
    <w:p w14:paraId="2DD24671" w14:textId="77777777" w:rsidR="001825E2" w:rsidRDefault="000839A5" w:rsidP="00CB00A7">
      <w:pPr>
        <w:pStyle w:val="BodyText"/>
        <w:spacing w:before="242"/>
        <w:ind w:left="220"/>
        <w:jc w:val="left"/>
      </w:pPr>
      <w:r>
        <w:rPr>
          <w:rFonts w:ascii="Symbol" w:hAnsi="Symbol"/>
          <w:position w:val="7"/>
          <w:sz w:val="16"/>
        </w:rPr>
        <w:t></w:t>
      </w:r>
      <w:r>
        <w:rPr>
          <w:spacing w:val="6"/>
          <w:position w:val="7"/>
          <w:sz w:val="16"/>
        </w:rPr>
        <w:t xml:space="preserve"> </w:t>
      </w:r>
      <w:r>
        <w:t>Registered</w:t>
      </w:r>
      <w:r>
        <w:rPr>
          <w:spacing w:val="11"/>
        </w:rPr>
        <w:t xml:space="preserve"> </w:t>
      </w:r>
      <w:r>
        <w:rPr>
          <w:spacing w:val="-2"/>
        </w:rPr>
        <w:t>trademark</w:t>
      </w:r>
    </w:p>
    <w:p w14:paraId="76E51611" w14:textId="77777777" w:rsidR="001825E2" w:rsidRDefault="000839A5" w:rsidP="00CB00A7">
      <w:pPr>
        <w:spacing w:before="249"/>
        <w:ind w:left="219"/>
        <w:rPr>
          <w:b/>
          <w:sz w:val="24"/>
        </w:rPr>
      </w:pPr>
      <w:r>
        <w:rPr>
          <w:b/>
          <w:sz w:val="24"/>
        </w:rPr>
        <w:t>Summary</w:t>
      </w:r>
      <w:r>
        <w:rPr>
          <w:b/>
          <w:spacing w:val="7"/>
          <w:sz w:val="24"/>
        </w:rPr>
        <w:t xml:space="preserve"> </w:t>
      </w:r>
      <w:r>
        <w:rPr>
          <w:b/>
          <w:sz w:val="24"/>
        </w:rPr>
        <w:t>table</w:t>
      </w:r>
      <w:r>
        <w:rPr>
          <w:b/>
          <w:spacing w:val="-8"/>
          <w:sz w:val="24"/>
        </w:rPr>
        <w:t xml:space="preserve"> </w:t>
      </w:r>
      <w:r>
        <w:rPr>
          <w:b/>
          <w:sz w:val="24"/>
        </w:rPr>
        <w:t>of</w:t>
      </w:r>
      <w:r>
        <w:rPr>
          <w:b/>
          <w:spacing w:val="3"/>
          <w:sz w:val="24"/>
        </w:rPr>
        <w:t xml:space="preserve"> </w:t>
      </w:r>
      <w:r>
        <w:rPr>
          <w:b/>
          <w:spacing w:val="-2"/>
          <w:sz w:val="24"/>
        </w:rPr>
        <w:t>changes</w:t>
      </w:r>
    </w:p>
    <w:p w14:paraId="4D8C9325" w14:textId="77777777" w:rsidR="001825E2" w:rsidRDefault="001825E2" w:rsidP="00CB00A7">
      <w:pPr>
        <w:pStyle w:val="BodyText"/>
        <w:spacing w:before="10"/>
        <w:jc w:val="left"/>
        <w:rPr>
          <w:b/>
          <w:sz w:val="9"/>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50"/>
        <w:gridCol w:w="7230"/>
      </w:tblGrid>
      <w:tr w:rsidR="001825E2" w14:paraId="41DB5F38" w14:textId="77777777">
        <w:trPr>
          <w:trHeight w:val="390"/>
        </w:trPr>
        <w:tc>
          <w:tcPr>
            <w:tcW w:w="1950" w:type="dxa"/>
            <w:shd w:val="clear" w:color="auto" w:fill="CDCDCD"/>
          </w:tcPr>
          <w:p w14:paraId="24F5CDC8" w14:textId="77777777" w:rsidR="001825E2" w:rsidRDefault="000839A5" w:rsidP="00CB00A7">
            <w:pPr>
              <w:pStyle w:val="TableParagraph"/>
              <w:spacing w:before="1"/>
              <w:ind w:left="30" w:right="74"/>
              <w:jc w:val="left"/>
              <w:rPr>
                <w:b/>
                <w:sz w:val="24"/>
              </w:rPr>
            </w:pPr>
            <w:r>
              <w:rPr>
                <w:b/>
                <w:sz w:val="24"/>
              </w:rPr>
              <w:t>Section</w:t>
            </w:r>
            <w:r>
              <w:rPr>
                <w:b/>
                <w:spacing w:val="1"/>
                <w:sz w:val="24"/>
              </w:rPr>
              <w:t xml:space="preserve"> </w:t>
            </w:r>
            <w:r>
              <w:rPr>
                <w:b/>
                <w:spacing w:val="-2"/>
                <w:sz w:val="24"/>
              </w:rPr>
              <w:t>changed</w:t>
            </w:r>
          </w:p>
        </w:tc>
        <w:tc>
          <w:tcPr>
            <w:tcW w:w="7230" w:type="dxa"/>
            <w:shd w:val="clear" w:color="auto" w:fill="CDCDCD"/>
          </w:tcPr>
          <w:p w14:paraId="04E4353F" w14:textId="77777777" w:rsidR="001825E2" w:rsidRDefault="000839A5" w:rsidP="00CB00A7">
            <w:pPr>
              <w:pStyle w:val="TableParagraph"/>
              <w:spacing w:before="1"/>
              <w:jc w:val="left"/>
              <w:rPr>
                <w:b/>
                <w:sz w:val="24"/>
              </w:rPr>
            </w:pPr>
            <w:r>
              <w:rPr>
                <w:b/>
                <w:sz w:val="24"/>
              </w:rPr>
              <w:t>Summary</w:t>
            </w:r>
            <w:r>
              <w:rPr>
                <w:b/>
                <w:spacing w:val="10"/>
                <w:sz w:val="24"/>
              </w:rPr>
              <w:t xml:space="preserve"> </w:t>
            </w:r>
            <w:r>
              <w:rPr>
                <w:b/>
                <w:sz w:val="24"/>
              </w:rPr>
              <w:t>of</w:t>
            </w:r>
            <w:r>
              <w:rPr>
                <w:b/>
                <w:spacing w:val="-8"/>
                <w:sz w:val="24"/>
              </w:rPr>
              <w:t xml:space="preserve"> </w:t>
            </w:r>
            <w:r>
              <w:rPr>
                <w:b/>
                <w:sz w:val="24"/>
              </w:rPr>
              <w:t>new</w:t>
            </w:r>
            <w:r>
              <w:rPr>
                <w:b/>
                <w:spacing w:val="-12"/>
                <w:sz w:val="24"/>
              </w:rPr>
              <w:t xml:space="preserve"> </w:t>
            </w:r>
            <w:r>
              <w:rPr>
                <w:b/>
                <w:spacing w:val="-2"/>
                <w:sz w:val="24"/>
              </w:rPr>
              <w:t>information</w:t>
            </w:r>
          </w:p>
        </w:tc>
      </w:tr>
      <w:tr w:rsidR="001825E2" w14:paraId="5FDC2DCA" w14:textId="77777777">
        <w:trPr>
          <w:trHeight w:val="390"/>
        </w:trPr>
        <w:tc>
          <w:tcPr>
            <w:tcW w:w="1950" w:type="dxa"/>
          </w:tcPr>
          <w:p w14:paraId="17E0BD11" w14:textId="77777777" w:rsidR="001825E2" w:rsidRDefault="000839A5" w:rsidP="00CB00A7">
            <w:pPr>
              <w:pStyle w:val="TableParagraph"/>
              <w:spacing w:before="61"/>
              <w:ind w:left="74" w:right="44"/>
              <w:jc w:val="left"/>
              <w:rPr>
                <w:sz w:val="24"/>
              </w:rPr>
            </w:pPr>
            <w:r>
              <w:rPr>
                <w:spacing w:val="-10"/>
                <w:sz w:val="24"/>
              </w:rPr>
              <w:t>2</w:t>
            </w:r>
          </w:p>
        </w:tc>
        <w:tc>
          <w:tcPr>
            <w:tcW w:w="7230" w:type="dxa"/>
          </w:tcPr>
          <w:p w14:paraId="23C1E0DC" w14:textId="77777777" w:rsidR="001825E2" w:rsidRDefault="000839A5" w:rsidP="00CB00A7">
            <w:pPr>
              <w:pStyle w:val="TableParagraph"/>
              <w:spacing w:before="61"/>
              <w:jc w:val="left"/>
              <w:rPr>
                <w:sz w:val="24"/>
              </w:rPr>
            </w:pPr>
            <w:r>
              <w:rPr>
                <w:sz w:val="24"/>
              </w:rPr>
              <w:t>XELJANZ</w:t>
            </w:r>
            <w:r>
              <w:rPr>
                <w:spacing w:val="-8"/>
                <w:sz w:val="24"/>
              </w:rPr>
              <w:t xml:space="preserve"> </w:t>
            </w:r>
            <w:r>
              <w:rPr>
                <w:sz w:val="24"/>
              </w:rPr>
              <w:t>Oral</w:t>
            </w:r>
            <w:r>
              <w:rPr>
                <w:spacing w:val="-3"/>
                <w:sz w:val="24"/>
              </w:rPr>
              <w:t xml:space="preserve"> </w:t>
            </w:r>
            <w:r>
              <w:rPr>
                <w:sz w:val="24"/>
              </w:rPr>
              <w:t>Solution</w:t>
            </w:r>
            <w:r>
              <w:rPr>
                <w:spacing w:val="6"/>
                <w:sz w:val="24"/>
              </w:rPr>
              <w:t xml:space="preserve"> </w:t>
            </w:r>
            <w:r>
              <w:rPr>
                <w:spacing w:val="-2"/>
                <w:sz w:val="24"/>
              </w:rPr>
              <w:t>added.</w:t>
            </w:r>
          </w:p>
        </w:tc>
      </w:tr>
      <w:tr w:rsidR="001825E2" w14:paraId="3546F1AA" w14:textId="77777777">
        <w:trPr>
          <w:trHeight w:val="390"/>
        </w:trPr>
        <w:tc>
          <w:tcPr>
            <w:tcW w:w="1950" w:type="dxa"/>
          </w:tcPr>
          <w:p w14:paraId="1CD57E5E" w14:textId="77777777" w:rsidR="001825E2" w:rsidRDefault="000839A5" w:rsidP="00CB00A7">
            <w:pPr>
              <w:pStyle w:val="TableParagraph"/>
              <w:spacing w:before="61"/>
              <w:ind w:left="74" w:right="44"/>
              <w:jc w:val="left"/>
              <w:rPr>
                <w:sz w:val="24"/>
              </w:rPr>
            </w:pPr>
            <w:r>
              <w:rPr>
                <w:spacing w:val="-10"/>
                <w:sz w:val="24"/>
              </w:rPr>
              <w:t>3</w:t>
            </w:r>
          </w:p>
        </w:tc>
        <w:tc>
          <w:tcPr>
            <w:tcW w:w="7230" w:type="dxa"/>
          </w:tcPr>
          <w:p w14:paraId="455DA9C6" w14:textId="77777777" w:rsidR="001825E2" w:rsidRDefault="000839A5" w:rsidP="00CB00A7">
            <w:pPr>
              <w:pStyle w:val="TableParagraph"/>
              <w:spacing w:before="61"/>
              <w:jc w:val="left"/>
              <w:rPr>
                <w:sz w:val="24"/>
              </w:rPr>
            </w:pPr>
            <w:r>
              <w:rPr>
                <w:sz w:val="24"/>
              </w:rPr>
              <w:t>XELJANZ</w:t>
            </w:r>
            <w:r>
              <w:rPr>
                <w:spacing w:val="-8"/>
                <w:sz w:val="24"/>
              </w:rPr>
              <w:t xml:space="preserve"> </w:t>
            </w:r>
            <w:r>
              <w:rPr>
                <w:sz w:val="24"/>
              </w:rPr>
              <w:t>Oral</w:t>
            </w:r>
            <w:r>
              <w:rPr>
                <w:spacing w:val="-3"/>
                <w:sz w:val="24"/>
              </w:rPr>
              <w:t xml:space="preserve"> </w:t>
            </w:r>
            <w:r>
              <w:rPr>
                <w:sz w:val="24"/>
              </w:rPr>
              <w:t>Solution</w:t>
            </w:r>
            <w:r>
              <w:rPr>
                <w:spacing w:val="6"/>
                <w:sz w:val="24"/>
              </w:rPr>
              <w:t xml:space="preserve"> </w:t>
            </w:r>
            <w:r>
              <w:rPr>
                <w:spacing w:val="-2"/>
                <w:sz w:val="24"/>
              </w:rPr>
              <w:t>added.</w:t>
            </w:r>
          </w:p>
        </w:tc>
      </w:tr>
      <w:tr w:rsidR="001825E2" w14:paraId="33C58C2E" w14:textId="77777777">
        <w:trPr>
          <w:trHeight w:val="675"/>
        </w:trPr>
        <w:tc>
          <w:tcPr>
            <w:tcW w:w="1950" w:type="dxa"/>
          </w:tcPr>
          <w:p w14:paraId="7DB1CD56" w14:textId="77777777" w:rsidR="001825E2" w:rsidRDefault="000839A5" w:rsidP="00CB00A7">
            <w:pPr>
              <w:pStyle w:val="TableParagraph"/>
              <w:spacing w:before="61"/>
              <w:ind w:left="74" w:right="44"/>
              <w:jc w:val="left"/>
              <w:rPr>
                <w:sz w:val="24"/>
              </w:rPr>
            </w:pPr>
            <w:r>
              <w:rPr>
                <w:spacing w:val="-5"/>
                <w:sz w:val="24"/>
              </w:rPr>
              <w:t>4.1</w:t>
            </w:r>
          </w:p>
        </w:tc>
        <w:tc>
          <w:tcPr>
            <w:tcW w:w="7230" w:type="dxa"/>
          </w:tcPr>
          <w:p w14:paraId="291F607E" w14:textId="77777777" w:rsidR="001825E2" w:rsidRDefault="000839A5" w:rsidP="00CB00A7">
            <w:pPr>
              <w:pStyle w:val="TableParagraph"/>
              <w:spacing w:before="65" w:line="235" w:lineRule="auto"/>
              <w:jc w:val="left"/>
              <w:rPr>
                <w:sz w:val="24"/>
              </w:rPr>
            </w:pPr>
            <w:r>
              <w:rPr>
                <w:sz w:val="24"/>
              </w:rPr>
              <w:t>Ankylosing</w:t>
            </w:r>
            <w:r>
              <w:rPr>
                <w:spacing w:val="40"/>
                <w:sz w:val="24"/>
              </w:rPr>
              <w:t xml:space="preserve"> </w:t>
            </w:r>
            <w:r>
              <w:rPr>
                <w:sz w:val="24"/>
              </w:rPr>
              <w:t>spondylitis</w:t>
            </w:r>
            <w:r>
              <w:rPr>
                <w:spacing w:val="40"/>
                <w:sz w:val="24"/>
              </w:rPr>
              <w:t xml:space="preserve"> </w:t>
            </w:r>
            <w:r>
              <w:rPr>
                <w:sz w:val="24"/>
              </w:rPr>
              <w:t>(AS)</w:t>
            </w:r>
            <w:r>
              <w:rPr>
                <w:spacing w:val="40"/>
                <w:sz w:val="24"/>
              </w:rPr>
              <w:t xml:space="preserve"> </w:t>
            </w:r>
            <w:r>
              <w:rPr>
                <w:sz w:val="24"/>
              </w:rPr>
              <w:t>and</w:t>
            </w:r>
            <w:r>
              <w:rPr>
                <w:spacing w:val="80"/>
                <w:sz w:val="24"/>
              </w:rPr>
              <w:t xml:space="preserve"> </w:t>
            </w:r>
            <w:r>
              <w:rPr>
                <w:sz w:val="24"/>
              </w:rPr>
              <w:t>Juvenile</w:t>
            </w:r>
            <w:r>
              <w:rPr>
                <w:spacing w:val="40"/>
                <w:sz w:val="24"/>
              </w:rPr>
              <w:t xml:space="preserve"> </w:t>
            </w:r>
            <w:r>
              <w:rPr>
                <w:sz w:val="24"/>
              </w:rPr>
              <w:t>idiopathic</w:t>
            </w:r>
            <w:r>
              <w:rPr>
                <w:spacing w:val="40"/>
                <w:sz w:val="24"/>
              </w:rPr>
              <w:t xml:space="preserve"> </w:t>
            </w:r>
            <w:r>
              <w:rPr>
                <w:sz w:val="24"/>
              </w:rPr>
              <w:t>arthritis</w:t>
            </w:r>
            <w:r>
              <w:rPr>
                <w:spacing w:val="40"/>
                <w:sz w:val="24"/>
              </w:rPr>
              <w:t xml:space="preserve"> </w:t>
            </w:r>
            <w:r>
              <w:rPr>
                <w:sz w:val="24"/>
              </w:rPr>
              <w:t>(JIA)</w:t>
            </w:r>
            <w:r>
              <w:rPr>
                <w:spacing w:val="80"/>
                <w:sz w:val="24"/>
              </w:rPr>
              <w:t xml:space="preserve"> </w:t>
            </w:r>
            <w:r>
              <w:rPr>
                <w:sz w:val="24"/>
              </w:rPr>
              <w:t>added to indications</w:t>
            </w:r>
          </w:p>
        </w:tc>
      </w:tr>
      <w:tr w:rsidR="001825E2" w14:paraId="319A63E6" w14:textId="77777777">
        <w:trPr>
          <w:trHeight w:val="660"/>
        </w:trPr>
        <w:tc>
          <w:tcPr>
            <w:tcW w:w="1950" w:type="dxa"/>
          </w:tcPr>
          <w:p w14:paraId="3C9F8259" w14:textId="77777777" w:rsidR="001825E2" w:rsidRDefault="000839A5" w:rsidP="00CB00A7">
            <w:pPr>
              <w:pStyle w:val="TableParagraph"/>
              <w:spacing w:before="46"/>
              <w:ind w:left="74" w:right="44"/>
              <w:jc w:val="left"/>
              <w:rPr>
                <w:sz w:val="24"/>
              </w:rPr>
            </w:pPr>
            <w:r>
              <w:rPr>
                <w:spacing w:val="-5"/>
                <w:sz w:val="24"/>
              </w:rPr>
              <w:t>4.2</w:t>
            </w:r>
          </w:p>
        </w:tc>
        <w:tc>
          <w:tcPr>
            <w:tcW w:w="7230" w:type="dxa"/>
          </w:tcPr>
          <w:p w14:paraId="4E586EAB" w14:textId="77777777" w:rsidR="001825E2" w:rsidRDefault="000839A5" w:rsidP="00CB00A7">
            <w:pPr>
              <w:pStyle w:val="TableParagraph"/>
              <w:spacing w:before="46" w:line="247" w:lineRule="auto"/>
              <w:jc w:val="left"/>
              <w:rPr>
                <w:sz w:val="24"/>
              </w:rPr>
            </w:pPr>
            <w:r>
              <w:rPr>
                <w:sz w:val="24"/>
              </w:rPr>
              <w:t>Dosage</w:t>
            </w:r>
            <w:r>
              <w:rPr>
                <w:spacing w:val="80"/>
                <w:sz w:val="24"/>
              </w:rPr>
              <w:t xml:space="preserve"> </w:t>
            </w:r>
            <w:r>
              <w:rPr>
                <w:sz w:val="24"/>
              </w:rPr>
              <w:t>for</w:t>
            </w:r>
            <w:r>
              <w:rPr>
                <w:spacing w:val="67"/>
                <w:sz w:val="24"/>
              </w:rPr>
              <w:t xml:space="preserve"> </w:t>
            </w:r>
            <w:r>
              <w:rPr>
                <w:sz w:val="24"/>
              </w:rPr>
              <w:t>AS,</w:t>
            </w:r>
            <w:r>
              <w:rPr>
                <w:spacing w:val="80"/>
                <w:sz w:val="24"/>
              </w:rPr>
              <w:t xml:space="preserve"> </w:t>
            </w:r>
            <w:proofErr w:type="spellStart"/>
            <w:r>
              <w:rPr>
                <w:sz w:val="24"/>
              </w:rPr>
              <w:t>pcJIA</w:t>
            </w:r>
            <w:proofErr w:type="spellEnd"/>
            <w:r>
              <w:rPr>
                <w:spacing w:val="78"/>
                <w:sz w:val="24"/>
              </w:rPr>
              <w:t xml:space="preserve"> </w:t>
            </w:r>
            <w:r>
              <w:rPr>
                <w:sz w:val="24"/>
              </w:rPr>
              <w:t>and</w:t>
            </w:r>
            <w:r>
              <w:rPr>
                <w:spacing w:val="80"/>
                <w:sz w:val="24"/>
              </w:rPr>
              <w:t xml:space="preserve"> </w:t>
            </w:r>
            <w:proofErr w:type="spellStart"/>
            <w:r>
              <w:rPr>
                <w:sz w:val="24"/>
              </w:rPr>
              <w:t>jPsA</w:t>
            </w:r>
            <w:proofErr w:type="spellEnd"/>
            <w:r>
              <w:rPr>
                <w:spacing w:val="80"/>
                <w:sz w:val="24"/>
              </w:rPr>
              <w:t xml:space="preserve"> </w:t>
            </w:r>
            <w:r>
              <w:rPr>
                <w:sz w:val="24"/>
              </w:rPr>
              <w:t>added.</w:t>
            </w:r>
            <w:r>
              <w:rPr>
                <w:spacing w:val="71"/>
                <w:sz w:val="24"/>
              </w:rPr>
              <w:t xml:space="preserve"> </w:t>
            </w:r>
            <w:r>
              <w:rPr>
                <w:sz w:val="24"/>
              </w:rPr>
              <w:t>Reformatted</w:t>
            </w:r>
            <w:r>
              <w:rPr>
                <w:spacing w:val="72"/>
                <w:sz w:val="24"/>
              </w:rPr>
              <w:t xml:space="preserve"> </w:t>
            </w:r>
            <w:r>
              <w:rPr>
                <w:sz w:val="24"/>
              </w:rPr>
              <w:t>to</w:t>
            </w:r>
            <w:r>
              <w:rPr>
                <w:spacing w:val="80"/>
                <w:sz w:val="24"/>
              </w:rPr>
              <w:t xml:space="preserve"> </w:t>
            </w:r>
            <w:r>
              <w:rPr>
                <w:sz w:val="24"/>
              </w:rPr>
              <w:t>include</w:t>
            </w:r>
            <w:r>
              <w:rPr>
                <w:spacing w:val="80"/>
                <w:sz w:val="24"/>
              </w:rPr>
              <w:t xml:space="preserve"> </w:t>
            </w:r>
            <w:r>
              <w:rPr>
                <w:sz w:val="24"/>
              </w:rPr>
              <w:t>a subsection for</w:t>
            </w:r>
            <w:r>
              <w:rPr>
                <w:spacing w:val="-5"/>
                <w:sz w:val="24"/>
              </w:rPr>
              <w:t xml:space="preserve"> </w:t>
            </w:r>
            <w:r>
              <w:rPr>
                <w:sz w:val="24"/>
              </w:rPr>
              <w:t>Dosage adjustment and consolidated the</w:t>
            </w:r>
            <w:r>
              <w:rPr>
                <w:spacing w:val="-1"/>
                <w:sz w:val="24"/>
              </w:rPr>
              <w:t xml:space="preserve"> </w:t>
            </w:r>
            <w:r>
              <w:rPr>
                <w:sz w:val="24"/>
              </w:rPr>
              <w:t>information.</w:t>
            </w:r>
          </w:p>
        </w:tc>
      </w:tr>
      <w:tr w:rsidR="001825E2" w14:paraId="326D2AC3" w14:textId="77777777">
        <w:trPr>
          <w:trHeight w:val="390"/>
        </w:trPr>
        <w:tc>
          <w:tcPr>
            <w:tcW w:w="1950" w:type="dxa"/>
          </w:tcPr>
          <w:p w14:paraId="0AF736DD" w14:textId="77777777" w:rsidR="001825E2" w:rsidRDefault="000839A5" w:rsidP="00CB00A7">
            <w:pPr>
              <w:pStyle w:val="TableParagraph"/>
              <w:spacing w:before="61"/>
              <w:ind w:left="74" w:right="44"/>
              <w:jc w:val="left"/>
              <w:rPr>
                <w:sz w:val="24"/>
              </w:rPr>
            </w:pPr>
            <w:r>
              <w:rPr>
                <w:spacing w:val="-5"/>
                <w:sz w:val="24"/>
              </w:rPr>
              <w:t>4.4</w:t>
            </w:r>
          </w:p>
        </w:tc>
        <w:tc>
          <w:tcPr>
            <w:tcW w:w="7230" w:type="dxa"/>
          </w:tcPr>
          <w:p w14:paraId="49007AA0" w14:textId="77777777" w:rsidR="001825E2" w:rsidRDefault="000839A5" w:rsidP="00CB00A7">
            <w:pPr>
              <w:pStyle w:val="TableParagraph"/>
              <w:spacing w:before="61"/>
              <w:jc w:val="left"/>
              <w:rPr>
                <w:sz w:val="24"/>
              </w:rPr>
            </w:pPr>
            <w:r>
              <w:rPr>
                <w:sz w:val="24"/>
              </w:rPr>
              <w:t>Information</w:t>
            </w:r>
            <w:r>
              <w:rPr>
                <w:spacing w:val="-11"/>
                <w:sz w:val="24"/>
              </w:rPr>
              <w:t xml:space="preserve"> </w:t>
            </w:r>
            <w:r>
              <w:rPr>
                <w:sz w:val="24"/>
              </w:rPr>
              <w:t>from</w:t>
            </w:r>
            <w:r>
              <w:rPr>
                <w:spacing w:val="14"/>
                <w:sz w:val="24"/>
              </w:rPr>
              <w:t xml:space="preserve"> </w:t>
            </w:r>
            <w:r>
              <w:rPr>
                <w:sz w:val="24"/>
              </w:rPr>
              <w:t>AS</w:t>
            </w:r>
            <w:r>
              <w:rPr>
                <w:spacing w:val="-10"/>
                <w:sz w:val="24"/>
              </w:rPr>
              <w:t xml:space="preserve"> </w:t>
            </w:r>
            <w:r>
              <w:rPr>
                <w:sz w:val="24"/>
              </w:rPr>
              <w:t>and</w:t>
            </w:r>
            <w:r>
              <w:rPr>
                <w:spacing w:val="5"/>
                <w:sz w:val="24"/>
              </w:rPr>
              <w:t xml:space="preserve"> </w:t>
            </w:r>
            <w:proofErr w:type="spellStart"/>
            <w:r>
              <w:rPr>
                <w:sz w:val="24"/>
              </w:rPr>
              <w:t>pcJIA</w:t>
            </w:r>
            <w:proofErr w:type="spellEnd"/>
            <w:r>
              <w:rPr>
                <w:spacing w:val="-4"/>
                <w:sz w:val="24"/>
              </w:rPr>
              <w:t xml:space="preserve"> </w:t>
            </w:r>
            <w:r>
              <w:rPr>
                <w:sz w:val="24"/>
              </w:rPr>
              <w:t>studies</w:t>
            </w:r>
            <w:r>
              <w:rPr>
                <w:spacing w:val="1"/>
                <w:sz w:val="24"/>
              </w:rPr>
              <w:t xml:space="preserve"> </w:t>
            </w:r>
            <w:r>
              <w:rPr>
                <w:spacing w:val="-2"/>
                <w:sz w:val="24"/>
              </w:rPr>
              <w:t>added.</w:t>
            </w:r>
          </w:p>
        </w:tc>
      </w:tr>
      <w:tr w:rsidR="001825E2" w14:paraId="49A0FE67" w14:textId="77777777">
        <w:trPr>
          <w:trHeight w:val="390"/>
        </w:trPr>
        <w:tc>
          <w:tcPr>
            <w:tcW w:w="1950" w:type="dxa"/>
          </w:tcPr>
          <w:p w14:paraId="210E3E21" w14:textId="77777777" w:rsidR="001825E2" w:rsidRDefault="000839A5" w:rsidP="00CB00A7">
            <w:pPr>
              <w:pStyle w:val="TableParagraph"/>
              <w:spacing w:before="61"/>
              <w:ind w:left="74" w:right="44"/>
              <w:jc w:val="left"/>
              <w:rPr>
                <w:sz w:val="24"/>
              </w:rPr>
            </w:pPr>
            <w:r>
              <w:rPr>
                <w:spacing w:val="-5"/>
                <w:sz w:val="24"/>
              </w:rPr>
              <w:t>4.5</w:t>
            </w:r>
          </w:p>
        </w:tc>
        <w:tc>
          <w:tcPr>
            <w:tcW w:w="7230" w:type="dxa"/>
          </w:tcPr>
          <w:p w14:paraId="3A722FCF" w14:textId="77777777" w:rsidR="001825E2" w:rsidRDefault="000839A5" w:rsidP="00CB00A7">
            <w:pPr>
              <w:pStyle w:val="TableParagraph"/>
              <w:spacing w:before="61"/>
              <w:jc w:val="left"/>
              <w:rPr>
                <w:sz w:val="24"/>
              </w:rPr>
            </w:pPr>
            <w:r>
              <w:rPr>
                <w:sz w:val="24"/>
              </w:rPr>
              <w:t>Reference</w:t>
            </w:r>
            <w:r>
              <w:rPr>
                <w:spacing w:val="1"/>
                <w:sz w:val="24"/>
              </w:rPr>
              <w:t xml:space="preserve"> </w:t>
            </w:r>
            <w:r>
              <w:rPr>
                <w:sz w:val="24"/>
              </w:rPr>
              <w:t>to</w:t>
            </w:r>
            <w:r>
              <w:rPr>
                <w:spacing w:val="-12"/>
                <w:sz w:val="24"/>
              </w:rPr>
              <w:t xml:space="preserve"> </w:t>
            </w:r>
            <w:r>
              <w:rPr>
                <w:sz w:val="24"/>
              </w:rPr>
              <w:t>AS</w:t>
            </w:r>
            <w:r>
              <w:rPr>
                <w:spacing w:val="5"/>
                <w:sz w:val="24"/>
              </w:rPr>
              <w:t xml:space="preserve"> </w:t>
            </w:r>
            <w:r>
              <w:rPr>
                <w:sz w:val="24"/>
              </w:rPr>
              <w:t>and</w:t>
            </w:r>
            <w:r>
              <w:rPr>
                <w:spacing w:val="3"/>
                <w:sz w:val="24"/>
              </w:rPr>
              <w:t xml:space="preserve"> </w:t>
            </w:r>
            <w:proofErr w:type="spellStart"/>
            <w:r>
              <w:rPr>
                <w:sz w:val="24"/>
              </w:rPr>
              <w:t>pcJIA</w:t>
            </w:r>
            <w:proofErr w:type="spellEnd"/>
            <w:r>
              <w:rPr>
                <w:spacing w:val="-5"/>
                <w:sz w:val="24"/>
              </w:rPr>
              <w:t xml:space="preserve"> </w:t>
            </w:r>
            <w:r>
              <w:rPr>
                <w:spacing w:val="-2"/>
                <w:sz w:val="24"/>
              </w:rPr>
              <w:t>added.</w:t>
            </w:r>
          </w:p>
        </w:tc>
      </w:tr>
      <w:tr w:rsidR="001825E2" w14:paraId="7A06BEBE" w14:textId="77777777">
        <w:trPr>
          <w:trHeight w:val="735"/>
        </w:trPr>
        <w:tc>
          <w:tcPr>
            <w:tcW w:w="1950" w:type="dxa"/>
          </w:tcPr>
          <w:p w14:paraId="404C85F7" w14:textId="77777777" w:rsidR="001825E2" w:rsidRDefault="000839A5" w:rsidP="00CB00A7">
            <w:pPr>
              <w:pStyle w:val="TableParagraph"/>
              <w:spacing w:before="61"/>
              <w:ind w:left="74" w:right="44"/>
              <w:jc w:val="left"/>
              <w:rPr>
                <w:sz w:val="24"/>
              </w:rPr>
            </w:pPr>
            <w:r>
              <w:rPr>
                <w:spacing w:val="-5"/>
                <w:sz w:val="24"/>
              </w:rPr>
              <w:t>4.8</w:t>
            </w:r>
          </w:p>
        </w:tc>
        <w:tc>
          <w:tcPr>
            <w:tcW w:w="7230" w:type="dxa"/>
          </w:tcPr>
          <w:p w14:paraId="52BC38AF" w14:textId="77777777" w:rsidR="001825E2" w:rsidRDefault="000839A5" w:rsidP="00CB00A7">
            <w:pPr>
              <w:pStyle w:val="TableParagraph"/>
              <w:spacing w:before="61"/>
              <w:jc w:val="left"/>
              <w:rPr>
                <w:sz w:val="24"/>
              </w:rPr>
            </w:pPr>
            <w:r>
              <w:rPr>
                <w:sz w:val="24"/>
              </w:rPr>
              <w:t>Adverse</w:t>
            </w:r>
            <w:r>
              <w:rPr>
                <w:spacing w:val="-13"/>
                <w:sz w:val="24"/>
              </w:rPr>
              <w:t xml:space="preserve"> </w:t>
            </w:r>
            <w:r>
              <w:rPr>
                <w:sz w:val="24"/>
              </w:rPr>
              <w:t>events</w:t>
            </w:r>
            <w:r>
              <w:rPr>
                <w:spacing w:val="2"/>
                <w:sz w:val="24"/>
              </w:rPr>
              <w:t xml:space="preserve"> </w:t>
            </w:r>
            <w:r>
              <w:rPr>
                <w:sz w:val="24"/>
              </w:rPr>
              <w:t>from</w:t>
            </w:r>
            <w:r>
              <w:rPr>
                <w:spacing w:val="-2"/>
                <w:sz w:val="24"/>
              </w:rPr>
              <w:t xml:space="preserve"> </w:t>
            </w:r>
            <w:r>
              <w:rPr>
                <w:sz w:val="24"/>
              </w:rPr>
              <w:t>the</w:t>
            </w:r>
            <w:r>
              <w:rPr>
                <w:spacing w:val="4"/>
                <w:sz w:val="24"/>
              </w:rPr>
              <w:t xml:space="preserve"> </w:t>
            </w:r>
            <w:r>
              <w:rPr>
                <w:sz w:val="24"/>
              </w:rPr>
              <w:t>AS</w:t>
            </w:r>
            <w:r>
              <w:rPr>
                <w:spacing w:val="-9"/>
                <w:sz w:val="24"/>
              </w:rPr>
              <w:t xml:space="preserve"> </w:t>
            </w:r>
            <w:r>
              <w:rPr>
                <w:sz w:val="24"/>
              </w:rPr>
              <w:t>and</w:t>
            </w:r>
            <w:r>
              <w:rPr>
                <w:spacing w:val="6"/>
                <w:sz w:val="24"/>
              </w:rPr>
              <w:t xml:space="preserve"> </w:t>
            </w:r>
            <w:proofErr w:type="spellStart"/>
            <w:r>
              <w:rPr>
                <w:sz w:val="24"/>
              </w:rPr>
              <w:t>pcJIA</w:t>
            </w:r>
            <w:proofErr w:type="spellEnd"/>
            <w:r>
              <w:rPr>
                <w:spacing w:val="12"/>
                <w:sz w:val="24"/>
              </w:rPr>
              <w:t xml:space="preserve"> </w:t>
            </w:r>
            <w:r>
              <w:rPr>
                <w:sz w:val="24"/>
              </w:rPr>
              <w:t>studies</w:t>
            </w:r>
            <w:r>
              <w:rPr>
                <w:spacing w:val="-14"/>
                <w:sz w:val="24"/>
              </w:rPr>
              <w:t xml:space="preserve"> </w:t>
            </w:r>
            <w:r>
              <w:rPr>
                <w:spacing w:val="-2"/>
                <w:sz w:val="24"/>
              </w:rPr>
              <w:t>added.</w:t>
            </w:r>
          </w:p>
          <w:p w14:paraId="19D77741" w14:textId="77777777" w:rsidR="001825E2" w:rsidRDefault="000839A5" w:rsidP="00CB00A7">
            <w:pPr>
              <w:pStyle w:val="TableParagraph"/>
              <w:spacing w:before="54"/>
              <w:jc w:val="left"/>
              <w:rPr>
                <w:sz w:val="24"/>
              </w:rPr>
            </w:pPr>
            <w:r>
              <w:rPr>
                <w:sz w:val="24"/>
              </w:rPr>
              <w:t>Information</w:t>
            </w:r>
            <w:r>
              <w:rPr>
                <w:spacing w:val="-15"/>
                <w:sz w:val="24"/>
              </w:rPr>
              <w:t xml:space="preserve"> </w:t>
            </w:r>
            <w:r>
              <w:rPr>
                <w:sz w:val="24"/>
              </w:rPr>
              <w:t>from</w:t>
            </w:r>
            <w:r>
              <w:rPr>
                <w:spacing w:val="1"/>
                <w:sz w:val="24"/>
              </w:rPr>
              <w:t xml:space="preserve"> </w:t>
            </w:r>
            <w:r>
              <w:rPr>
                <w:sz w:val="24"/>
              </w:rPr>
              <w:t>a</w:t>
            </w:r>
            <w:r>
              <w:rPr>
                <w:spacing w:val="-6"/>
                <w:sz w:val="24"/>
              </w:rPr>
              <w:t xml:space="preserve"> </w:t>
            </w:r>
            <w:r>
              <w:rPr>
                <w:sz w:val="24"/>
              </w:rPr>
              <w:t>biomarker</w:t>
            </w:r>
            <w:r>
              <w:rPr>
                <w:spacing w:val="6"/>
                <w:sz w:val="24"/>
              </w:rPr>
              <w:t xml:space="preserve"> </w:t>
            </w:r>
            <w:r>
              <w:rPr>
                <w:sz w:val="24"/>
              </w:rPr>
              <w:t>analysis</w:t>
            </w:r>
            <w:r>
              <w:rPr>
                <w:spacing w:val="21"/>
                <w:sz w:val="24"/>
              </w:rPr>
              <w:t xml:space="preserve"> </w:t>
            </w:r>
            <w:r>
              <w:rPr>
                <w:sz w:val="24"/>
              </w:rPr>
              <w:t>in</w:t>
            </w:r>
            <w:r>
              <w:rPr>
                <w:spacing w:val="-4"/>
                <w:sz w:val="24"/>
              </w:rPr>
              <w:t xml:space="preserve"> </w:t>
            </w:r>
            <w:r>
              <w:rPr>
                <w:sz w:val="24"/>
              </w:rPr>
              <w:t>RA</w:t>
            </w:r>
            <w:r>
              <w:rPr>
                <w:spacing w:val="2"/>
                <w:sz w:val="24"/>
              </w:rPr>
              <w:t xml:space="preserve"> </w:t>
            </w:r>
            <w:r>
              <w:rPr>
                <w:sz w:val="24"/>
              </w:rPr>
              <w:t>patients</w:t>
            </w:r>
            <w:r>
              <w:rPr>
                <w:spacing w:val="-7"/>
                <w:sz w:val="24"/>
              </w:rPr>
              <w:t xml:space="preserve"> </w:t>
            </w:r>
            <w:r>
              <w:rPr>
                <w:spacing w:val="-2"/>
                <w:sz w:val="24"/>
              </w:rPr>
              <w:t>added.</w:t>
            </w:r>
          </w:p>
        </w:tc>
      </w:tr>
      <w:tr w:rsidR="001825E2" w14:paraId="0EF2727D" w14:textId="77777777">
        <w:trPr>
          <w:trHeight w:val="390"/>
        </w:trPr>
        <w:tc>
          <w:tcPr>
            <w:tcW w:w="1950" w:type="dxa"/>
          </w:tcPr>
          <w:p w14:paraId="6FD07FD3" w14:textId="77777777" w:rsidR="001825E2" w:rsidRDefault="000839A5" w:rsidP="00CB00A7">
            <w:pPr>
              <w:pStyle w:val="TableParagraph"/>
              <w:spacing w:before="46"/>
              <w:ind w:left="74" w:right="44"/>
              <w:jc w:val="left"/>
              <w:rPr>
                <w:sz w:val="24"/>
              </w:rPr>
            </w:pPr>
            <w:r>
              <w:rPr>
                <w:spacing w:val="-5"/>
                <w:sz w:val="24"/>
              </w:rPr>
              <w:t>5.1</w:t>
            </w:r>
          </w:p>
        </w:tc>
        <w:tc>
          <w:tcPr>
            <w:tcW w:w="7230" w:type="dxa"/>
          </w:tcPr>
          <w:p w14:paraId="2CC4A4C9" w14:textId="77777777" w:rsidR="001825E2" w:rsidRDefault="000839A5" w:rsidP="00CB00A7">
            <w:pPr>
              <w:pStyle w:val="TableParagraph"/>
              <w:spacing w:before="46"/>
              <w:jc w:val="left"/>
              <w:rPr>
                <w:sz w:val="24"/>
              </w:rPr>
            </w:pPr>
            <w:r>
              <w:rPr>
                <w:sz w:val="24"/>
              </w:rPr>
              <w:t>Studies</w:t>
            </w:r>
            <w:r>
              <w:rPr>
                <w:spacing w:val="-19"/>
                <w:sz w:val="24"/>
              </w:rPr>
              <w:t xml:space="preserve"> </w:t>
            </w:r>
            <w:r>
              <w:rPr>
                <w:sz w:val="24"/>
              </w:rPr>
              <w:t>in</w:t>
            </w:r>
            <w:r>
              <w:rPr>
                <w:spacing w:val="13"/>
                <w:sz w:val="24"/>
              </w:rPr>
              <w:t xml:space="preserve"> </w:t>
            </w:r>
            <w:r>
              <w:rPr>
                <w:sz w:val="24"/>
              </w:rPr>
              <w:t>AS</w:t>
            </w:r>
            <w:r>
              <w:rPr>
                <w:spacing w:val="-14"/>
                <w:sz w:val="24"/>
              </w:rPr>
              <w:t xml:space="preserve"> </w:t>
            </w:r>
            <w:r>
              <w:rPr>
                <w:sz w:val="24"/>
              </w:rPr>
              <w:t>and</w:t>
            </w:r>
            <w:r>
              <w:rPr>
                <w:spacing w:val="-1"/>
                <w:sz w:val="24"/>
              </w:rPr>
              <w:t xml:space="preserve"> </w:t>
            </w:r>
            <w:proofErr w:type="spellStart"/>
            <w:r>
              <w:rPr>
                <w:sz w:val="24"/>
              </w:rPr>
              <w:t>pcJIA</w:t>
            </w:r>
            <w:proofErr w:type="spellEnd"/>
            <w:r>
              <w:rPr>
                <w:spacing w:val="-9"/>
                <w:sz w:val="24"/>
              </w:rPr>
              <w:t xml:space="preserve"> </w:t>
            </w:r>
            <w:r>
              <w:rPr>
                <w:sz w:val="24"/>
              </w:rPr>
              <w:t>added</w:t>
            </w:r>
            <w:r>
              <w:rPr>
                <w:spacing w:val="-1"/>
                <w:sz w:val="24"/>
              </w:rPr>
              <w:t xml:space="preserve"> </w:t>
            </w:r>
            <w:r>
              <w:rPr>
                <w:sz w:val="24"/>
              </w:rPr>
              <w:t>to</w:t>
            </w:r>
            <w:r>
              <w:rPr>
                <w:spacing w:val="-15"/>
                <w:sz w:val="24"/>
              </w:rPr>
              <w:t xml:space="preserve"> </w:t>
            </w:r>
            <w:r>
              <w:rPr>
                <w:sz w:val="24"/>
              </w:rPr>
              <w:t>Clinical</w:t>
            </w:r>
            <w:r>
              <w:rPr>
                <w:spacing w:val="7"/>
                <w:sz w:val="24"/>
              </w:rPr>
              <w:t xml:space="preserve"> </w:t>
            </w:r>
            <w:r>
              <w:rPr>
                <w:sz w:val="24"/>
              </w:rPr>
              <w:t>Trials</w:t>
            </w:r>
            <w:r>
              <w:rPr>
                <w:spacing w:val="26"/>
                <w:sz w:val="24"/>
              </w:rPr>
              <w:t xml:space="preserve"> </w:t>
            </w:r>
            <w:r>
              <w:rPr>
                <w:spacing w:val="-2"/>
                <w:sz w:val="24"/>
              </w:rPr>
              <w:t>section.</w:t>
            </w:r>
          </w:p>
        </w:tc>
      </w:tr>
      <w:tr w:rsidR="001825E2" w14:paraId="7F5B9485" w14:textId="77777777">
        <w:trPr>
          <w:trHeight w:val="390"/>
        </w:trPr>
        <w:tc>
          <w:tcPr>
            <w:tcW w:w="1950" w:type="dxa"/>
          </w:tcPr>
          <w:p w14:paraId="061ED31F" w14:textId="77777777" w:rsidR="001825E2" w:rsidRDefault="000839A5" w:rsidP="00CB00A7">
            <w:pPr>
              <w:pStyle w:val="TableParagraph"/>
              <w:spacing w:before="46"/>
              <w:ind w:left="74" w:right="44"/>
              <w:jc w:val="left"/>
              <w:rPr>
                <w:sz w:val="24"/>
              </w:rPr>
            </w:pPr>
            <w:r>
              <w:rPr>
                <w:spacing w:val="-5"/>
                <w:sz w:val="24"/>
              </w:rPr>
              <w:t>5.2</w:t>
            </w:r>
          </w:p>
        </w:tc>
        <w:tc>
          <w:tcPr>
            <w:tcW w:w="7230" w:type="dxa"/>
          </w:tcPr>
          <w:p w14:paraId="6795F818" w14:textId="77777777" w:rsidR="001825E2" w:rsidRDefault="000839A5" w:rsidP="00CB00A7">
            <w:pPr>
              <w:pStyle w:val="TableParagraph"/>
              <w:spacing w:before="46"/>
              <w:jc w:val="left"/>
              <w:rPr>
                <w:sz w:val="24"/>
              </w:rPr>
            </w:pPr>
            <w:r>
              <w:rPr>
                <w:sz w:val="24"/>
              </w:rPr>
              <w:t>Pharmacokinetics</w:t>
            </w:r>
            <w:r>
              <w:rPr>
                <w:spacing w:val="17"/>
                <w:sz w:val="24"/>
              </w:rPr>
              <w:t xml:space="preserve"> </w:t>
            </w:r>
            <w:r>
              <w:rPr>
                <w:sz w:val="24"/>
              </w:rPr>
              <w:t>in</w:t>
            </w:r>
            <w:r>
              <w:rPr>
                <w:spacing w:val="-6"/>
                <w:sz w:val="24"/>
              </w:rPr>
              <w:t xml:space="preserve"> </w:t>
            </w:r>
            <w:proofErr w:type="spellStart"/>
            <w:r>
              <w:rPr>
                <w:sz w:val="24"/>
              </w:rPr>
              <w:t>pcJIA</w:t>
            </w:r>
            <w:proofErr w:type="spellEnd"/>
            <w:r>
              <w:rPr>
                <w:spacing w:val="-14"/>
                <w:sz w:val="24"/>
              </w:rPr>
              <w:t xml:space="preserve"> </w:t>
            </w:r>
            <w:r>
              <w:rPr>
                <w:sz w:val="24"/>
              </w:rPr>
              <w:t>patients</w:t>
            </w:r>
            <w:r>
              <w:rPr>
                <w:spacing w:val="-9"/>
                <w:sz w:val="24"/>
              </w:rPr>
              <w:t xml:space="preserve"> </w:t>
            </w:r>
            <w:r>
              <w:rPr>
                <w:spacing w:val="-4"/>
                <w:sz w:val="24"/>
              </w:rPr>
              <w:t>added</w:t>
            </w:r>
          </w:p>
        </w:tc>
      </w:tr>
      <w:tr w:rsidR="001825E2" w14:paraId="75BC334E" w14:textId="77777777">
        <w:trPr>
          <w:trHeight w:val="390"/>
        </w:trPr>
        <w:tc>
          <w:tcPr>
            <w:tcW w:w="1950" w:type="dxa"/>
          </w:tcPr>
          <w:p w14:paraId="775DB06B" w14:textId="77777777" w:rsidR="001825E2" w:rsidRDefault="000839A5" w:rsidP="00CB00A7">
            <w:pPr>
              <w:pStyle w:val="TableParagraph"/>
              <w:spacing w:before="61"/>
              <w:ind w:left="74" w:right="44"/>
              <w:jc w:val="left"/>
              <w:rPr>
                <w:sz w:val="24"/>
              </w:rPr>
            </w:pPr>
            <w:r>
              <w:rPr>
                <w:spacing w:val="-5"/>
                <w:sz w:val="24"/>
              </w:rPr>
              <w:t>6.1</w:t>
            </w:r>
          </w:p>
        </w:tc>
        <w:tc>
          <w:tcPr>
            <w:tcW w:w="7230" w:type="dxa"/>
          </w:tcPr>
          <w:p w14:paraId="6045EDAF" w14:textId="77777777" w:rsidR="001825E2" w:rsidRDefault="000839A5" w:rsidP="00CB00A7">
            <w:pPr>
              <w:pStyle w:val="TableParagraph"/>
              <w:spacing w:before="61"/>
              <w:jc w:val="left"/>
              <w:rPr>
                <w:sz w:val="24"/>
              </w:rPr>
            </w:pPr>
            <w:r>
              <w:rPr>
                <w:sz w:val="24"/>
              </w:rPr>
              <w:t>Excipients</w:t>
            </w:r>
            <w:r>
              <w:rPr>
                <w:spacing w:val="11"/>
                <w:sz w:val="24"/>
              </w:rPr>
              <w:t xml:space="preserve"> </w:t>
            </w:r>
            <w:r>
              <w:rPr>
                <w:sz w:val="24"/>
              </w:rPr>
              <w:t>in XELJANZ</w:t>
            </w:r>
            <w:r>
              <w:rPr>
                <w:spacing w:val="-12"/>
                <w:sz w:val="24"/>
              </w:rPr>
              <w:t xml:space="preserve"> </w:t>
            </w:r>
            <w:r>
              <w:rPr>
                <w:sz w:val="24"/>
              </w:rPr>
              <w:t>Oral</w:t>
            </w:r>
            <w:r>
              <w:rPr>
                <w:spacing w:val="-7"/>
                <w:sz w:val="24"/>
              </w:rPr>
              <w:t xml:space="preserve"> </w:t>
            </w:r>
            <w:r>
              <w:rPr>
                <w:sz w:val="24"/>
              </w:rPr>
              <w:t xml:space="preserve">Solution </w:t>
            </w:r>
            <w:r>
              <w:rPr>
                <w:spacing w:val="-2"/>
                <w:sz w:val="24"/>
              </w:rPr>
              <w:t>added.</w:t>
            </w:r>
          </w:p>
        </w:tc>
      </w:tr>
      <w:tr w:rsidR="001825E2" w14:paraId="685D7C10" w14:textId="77777777">
        <w:trPr>
          <w:trHeight w:val="390"/>
        </w:trPr>
        <w:tc>
          <w:tcPr>
            <w:tcW w:w="1950" w:type="dxa"/>
          </w:tcPr>
          <w:p w14:paraId="50092448" w14:textId="77777777" w:rsidR="001825E2" w:rsidRDefault="000839A5" w:rsidP="00CB00A7">
            <w:pPr>
              <w:pStyle w:val="TableParagraph"/>
              <w:spacing w:before="61"/>
              <w:ind w:left="74" w:right="44"/>
              <w:jc w:val="left"/>
              <w:rPr>
                <w:sz w:val="24"/>
              </w:rPr>
            </w:pPr>
            <w:r>
              <w:rPr>
                <w:spacing w:val="-5"/>
                <w:sz w:val="24"/>
              </w:rPr>
              <w:t>6.4</w:t>
            </w:r>
          </w:p>
        </w:tc>
        <w:tc>
          <w:tcPr>
            <w:tcW w:w="7230" w:type="dxa"/>
          </w:tcPr>
          <w:p w14:paraId="09C1BC32" w14:textId="77777777" w:rsidR="001825E2" w:rsidRDefault="000839A5" w:rsidP="00CB00A7">
            <w:pPr>
              <w:pStyle w:val="TableParagraph"/>
              <w:spacing w:before="61"/>
              <w:jc w:val="left"/>
              <w:rPr>
                <w:sz w:val="24"/>
              </w:rPr>
            </w:pPr>
            <w:r>
              <w:rPr>
                <w:sz w:val="24"/>
              </w:rPr>
              <w:t>Storage</w:t>
            </w:r>
            <w:r>
              <w:rPr>
                <w:spacing w:val="4"/>
                <w:sz w:val="24"/>
              </w:rPr>
              <w:t xml:space="preserve"> </w:t>
            </w:r>
            <w:r>
              <w:rPr>
                <w:sz w:val="24"/>
              </w:rPr>
              <w:t>conditions</w:t>
            </w:r>
            <w:r>
              <w:rPr>
                <w:spacing w:val="1"/>
                <w:sz w:val="24"/>
              </w:rPr>
              <w:t xml:space="preserve"> </w:t>
            </w:r>
            <w:r>
              <w:rPr>
                <w:sz w:val="24"/>
              </w:rPr>
              <w:t>for</w:t>
            </w:r>
            <w:r>
              <w:rPr>
                <w:spacing w:val="-15"/>
                <w:sz w:val="24"/>
              </w:rPr>
              <w:t xml:space="preserve"> </w:t>
            </w:r>
            <w:r>
              <w:rPr>
                <w:sz w:val="24"/>
              </w:rPr>
              <w:t>XELJANZ</w:t>
            </w:r>
            <w:r>
              <w:rPr>
                <w:spacing w:val="-7"/>
                <w:sz w:val="24"/>
              </w:rPr>
              <w:t xml:space="preserve"> </w:t>
            </w:r>
            <w:r>
              <w:rPr>
                <w:sz w:val="24"/>
              </w:rPr>
              <w:t>Oral</w:t>
            </w:r>
            <w:r>
              <w:rPr>
                <w:spacing w:val="-2"/>
                <w:sz w:val="24"/>
              </w:rPr>
              <w:t xml:space="preserve"> </w:t>
            </w:r>
            <w:r>
              <w:rPr>
                <w:sz w:val="24"/>
              </w:rPr>
              <w:t>Solution</w:t>
            </w:r>
            <w:r>
              <w:rPr>
                <w:spacing w:val="7"/>
                <w:sz w:val="24"/>
              </w:rPr>
              <w:t xml:space="preserve"> </w:t>
            </w:r>
            <w:r>
              <w:rPr>
                <w:spacing w:val="-2"/>
                <w:sz w:val="24"/>
              </w:rPr>
              <w:t>added</w:t>
            </w:r>
          </w:p>
        </w:tc>
      </w:tr>
      <w:tr w:rsidR="001825E2" w14:paraId="63123B8B" w14:textId="77777777">
        <w:trPr>
          <w:trHeight w:val="390"/>
        </w:trPr>
        <w:tc>
          <w:tcPr>
            <w:tcW w:w="1950" w:type="dxa"/>
          </w:tcPr>
          <w:p w14:paraId="656D70F7" w14:textId="77777777" w:rsidR="001825E2" w:rsidRDefault="000839A5" w:rsidP="00CB00A7">
            <w:pPr>
              <w:pStyle w:val="TableParagraph"/>
              <w:spacing w:before="61"/>
              <w:ind w:left="74" w:right="44"/>
              <w:jc w:val="left"/>
              <w:rPr>
                <w:sz w:val="24"/>
              </w:rPr>
            </w:pPr>
            <w:r>
              <w:rPr>
                <w:spacing w:val="-5"/>
                <w:sz w:val="24"/>
              </w:rPr>
              <w:t>6.5</w:t>
            </w:r>
          </w:p>
        </w:tc>
        <w:tc>
          <w:tcPr>
            <w:tcW w:w="7230" w:type="dxa"/>
          </w:tcPr>
          <w:p w14:paraId="329396F0" w14:textId="77777777" w:rsidR="001825E2" w:rsidRDefault="000839A5" w:rsidP="00CB00A7">
            <w:pPr>
              <w:pStyle w:val="TableParagraph"/>
              <w:spacing w:before="61"/>
              <w:jc w:val="left"/>
              <w:rPr>
                <w:sz w:val="24"/>
              </w:rPr>
            </w:pPr>
            <w:r>
              <w:rPr>
                <w:sz w:val="24"/>
              </w:rPr>
              <w:t>Container</w:t>
            </w:r>
            <w:r>
              <w:rPr>
                <w:spacing w:val="-1"/>
                <w:sz w:val="24"/>
              </w:rPr>
              <w:t xml:space="preserve"> </w:t>
            </w:r>
            <w:r>
              <w:rPr>
                <w:sz w:val="24"/>
              </w:rPr>
              <w:t>for XELJANZ</w:t>
            </w:r>
            <w:r>
              <w:rPr>
                <w:spacing w:val="-7"/>
                <w:sz w:val="24"/>
              </w:rPr>
              <w:t xml:space="preserve"> </w:t>
            </w:r>
            <w:r>
              <w:rPr>
                <w:sz w:val="24"/>
              </w:rPr>
              <w:t>Oral</w:t>
            </w:r>
            <w:r>
              <w:rPr>
                <w:spacing w:val="-19"/>
                <w:sz w:val="24"/>
              </w:rPr>
              <w:t xml:space="preserve"> </w:t>
            </w:r>
            <w:r>
              <w:rPr>
                <w:sz w:val="24"/>
              </w:rPr>
              <w:t>Solution</w:t>
            </w:r>
            <w:r>
              <w:rPr>
                <w:spacing w:val="22"/>
                <w:sz w:val="24"/>
              </w:rPr>
              <w:t xml:space="preserve"> </w:t>
            </w:r>
            <w:r>
              <w:rPr>
                <w:spacing w:val="-2"/>
                <w:sz w:val="24"/>
              </w:rPr>
              <w:t>added.</w:t>
            </w:r>
          </w:p>
        </w:tc>
      </w:tr>
    </w:tbl>
    <w:p w14:paraId="4D8332D7" w14:textId="77777777" w:rsidR="000839A5" w:rsidRDefault="000839A5" w:rsidP="00CB00A7"/>
    <w:sectPr w:rsidR="00000000">
      <w:pgSz w:w="11910" w:h="16850"/>
      <w:pgMar w:top="1360" w:right="700" w:bottom="980" w:left="1220" w:header="0" w:footer="7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9CA75" w14:textId="77777777" w:rsidR="000839A5" w:rsidRDefault="000839A5">
      <w:r>
        <w:separator/>
      </w:r>
    </w:p>
  </w:endnote>
  <w:endnote w:type="continuationSeparator" w:id="0">
    <w:p w14:paraId="462B55DA" w14:textId="77777777" w:rsidR="000839A5" w:rsidRDefault="00083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5C3B" w14:textId="77777777" w:rsidR="001825E2" w:rsidRDefault="000839A5">
    <w:pPr>
      <w:pStyle w:val="BodyText"/>
      <w:spacing w:line="14" w:lineRule="auto"/>
      <w:jc w:val="left"/>
      <w:rPr>
        <w:sz w:val="20"/>
      </w:rPr>
    </w:pPr>
    <w:r>
      <w:rPr>
        <w:noProof/>
      </w:rPr>
      <mc:AlternateContent>
        <mc:Choice Requires="wps">
          <w:drawing>
            <wp:anchor distT="0" distB="0" distL="0" distR="0" simplePos="0" relativeHeight="484332544" behindDoc="1" locked="0" layoutInCell="1" allowOverlap="1" wp14:anchorId="4A3BCF5A" wp14:editId="738E906D">
              <wp:simplePos x="0" y="0"/>
              <wp:positionH relativeFrom="page">
                <wp:posOffset>895350</wp:posOffset>
              </wp:positionH>
              <wp:positionV relativeFrom="page">
                <wp:posOffset>10020287</wp:posOffset>
              </wp:positionV>
              <wp:extent cx="5772150" cy="1016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2150" cy="10160"/>
                      </a:xfrm>
                      <a:custGeom>
                        <a:avLst/>
                        <a:gdLst/>
                        <a:ahLst/>
                        <a:cxnLst/>
                        <a:rect l="l" t="t" r="r" b="b"/>
                        <a:pathLst>
                          <a:path w="5772150" h="10160">
                            <a:moveTo>
                              <a:pt x="5772150" y="0"/>
                            </a:moveTo>
                            <a:lnTo>
                              <a:pt x="0" y="0"/>
                            </a:lnTo>
                            <a:lnTo>
                              <a:pt x="0" y="9537"/>
                            </a:lnTo>
                            <a:lnTo>
                              <a:pt x="5772150" y="9537"/>
                            </a:lnTo>
                            <a:lnTo>
                              <a:pt x="57721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BEAAE1" id="Graphic 1" o:spid="_x0000_s1026" style="position:absolute;margin-left:70.5pt;margin-top:789pt;width:454.5pt;height:.8pt;z-index:-18983936;visibility:visible;mso-wrap-style:square;mso-wrap-distance-left:0;mso-wrap-distance-top:0;mso-wrap-distance-right:0;mso-wrap-distance-bottom:0;mso-position-horizontal:absolute;mso-position-horizontal-relative:page;mso-position-vertical:absolute;mso-position-vertical-relative:page;v-text-anchor:top" coordsize="577215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" path="m5772150,l,,,9537r5772150,l5772150,xe" fillcolor="black" stroked="f">
              <v:path arrowok="t"/>
              <w10:wrap anchorx="page" anchory="page"/>
            </v:shape>
          </w:pict>
        </mc:Fallback>
      </mc:AlternateContent>
    </w:r>
    <w:r>
      <w:rPr>
        <w:noProof/>
      </w:rPr>
      <mc:AlternateContent>
        <mc:Choice Requires="wps">
          <w:drawing>
            <wp:anchor distT="0" distB="0" distL="0" distR="0" simplePos="0" relativeHeight="484333056" behindDoc="1" locked="0" layoutInCell="1" allowOverlap="1" wp14:anchorId="3F47928B" wp14:editId="37CDBC88">
              <wp:simplePos x="0" y="0"/>
              <wp:positionH relativeFrom="page">
                <wp:posOffset>901700</wp:posOffset>
              </wp:positionH>
              <wp:positionV relativeFrom="page">
                <wp:posOffset>10030607</wp:posOffset>
              </wp:positionV>
              <wp:extent cx="1876425" cy="1625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162560"/>
                      </a:xfrm>
                      <a:prstGeom prst="rect">
                        <a:avLst/>
                      </a:prstGeom>
                    </wps:spPr>
                    <wps:txbx>
                      <w:txbxContent>
                        <w:p w14:paraId="3C7A1F00" w14:textId="77777777" w:rsidR="001825E2" w:rsidRDefault="000839A5">
                          <w:pPr>
                            <w:spacing w:before="16"/>
                            <w:ind w:left="20"/>
                            <w:rPr>
                              <w:sz w:val="19"/>
                            </w:rPr>
                          </w:pPr>
                          <w:r>
                            <w:rPr>
                              <w:sz w:val="19"/>
                            </w:rPr>
                            <w:t>Version:</w:t>
                          </w:r>
                          <w:r>
                            <w:rPr>
                              <w:spacing w:val="22"/>
                              <w:sz w:val="19"/>
                            </w:rPr>
                            <w:t xml:space="preserve"> </w:t>
                          </w:r>
                          <w:proofErr w:type="spellStart"/>
                          <w:r>
                            <w:rPr>
                              <w:sz w:val="19"/>
                            </w:rPr>
                            <w:t>pfpxelja</w:t>
                          </w:r>
                          <w:proofErr w:type="spellEnd"/>
                          <w:r>
                            <w:rPr>
                              <w:spacing w:val="38"/>
                              <w:sz w:val="19"/>
                            </w:rPr>
                            <w:t xml:space="preserve"> </w:t>
                          </w:r>
                          <w:r>
                            <w:rPr>
                              <w:sz w:val="19"/>
                            </w:rPr>
                            <w:t>(11</w:t>
                          </w:r>
                          <w:r>
                            <w:rPr>
                              <w:spacing w:val="25"/>
                              <w:sz w:val="19"/>
                            </w:rPr>
                            <w:t xml:space="preserve"> </w:t>
                          </w:r>
                          <w:r>
                            <w:rPr>
                              <w:sz w:val="19"/>
                            </w:rPr>
                            <w:t>January</w:t>
                          </w:r>
                          <w:r>
                            <w:rPr>
                              <w:spacing w:val="25"/>
                              <w:sz w:val="19"/>
                            </w:rPr>
                            <w:t xml:space="preserve"> </w:t>
                          </w:r>
                          <w:r>
                            <w:rPr>
                              <w:spacing w:val="-2"/>
                              <w:sz w:val="19"/>
                            </w:rPr>
                            <w:t>2023)</w:t>
                          </w:r>
                        </w:p>
                      </w:txbxContent>
                    </wps:txbx>
                    <wps:bodyPr wrap="square" lIns="0" tIns="0" rIns="0" bIns="0" rtlCol="0">
                      <a:noAutofit/>
                    </wps:bodyPr>
                  </wps:wsp>
                </a:graphicData>
              </a:graphic>
            </wp:anchor>
          </w:drawing>
        </mc:Choice>
        <mc:Fallback>
          <w:pict>
            <v:shapetype w14:anchorId="3F47928B" id="_x0000_t202" coordsize="21600,21600" o:spt="202" path="m,l,21600r21600,l21600,xe">
              <v:stroke joinstyle="miter"/>
              <v:path gradientshapeok="t" o:connecttype="rect"/>
            </v:shapetype>
            <v:shape id="Textbox 2" o:spid="_x0000_s1064" type="#_x0000_t202" style="position:absolute;margin-left:71pt;margin-top:789.8pt;width:147.75pt;height:12.8pt;z-index:-1898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" filled="f" stroked="f">
              <v:textbox inset="0,0,0,0">
                <w:txbxContent>
                  <w:p w14:paraId="3C7A1F00" w14:textId="77777777" w:rsidR="001825E2" w:rsidRDefault="000839A5">
                    <w:pPr>
                      <w:spacing w:before="16"/>
                      <w:ind w:left="20"/>
                      <w:rPr>
                        <w:sz w:val="19"/>
                      </w:rPr>
                    </w:pPr>
                    <w:r>
                      <w:rPr>
                        <w:sz w:val="19"/>
                      </w:rPr>
                      <w:t>Version:</w:t>
                    </w:r>
                    <w:r>
                      <w:rPr>
                        <w:spacing w:val="22"/>
                        <w:sz w:val="19"/>
                      </w:rPr>
                      <w:t xml:space="preserve"> </w:t>
                    </w:r>
                    <w:proofErr w:type="spellStart"/>
                    <w:r>
                      <w:rPr>
                        <w:sz w:val="19"/>
                      </w:rPr>
                      <w:t>pfpxelja</w:t>
                    </w:r>
                    <w:proofErr w:type="spellEnd"/>
                    <w:r>
                      <w:rPr>
                        <w:spacing w:val="38"/>
                        <w:sz w:val="19"/>
                      </w:rPr>
                      <w:t xml:space="preserve"> </w:t>
                    </w:r>
                    <w:r>
                      <w:rPr>
                        <w:sz w:val="19"/>
                      </w:rPr>
                      <w:t>(11</w:t>
                    </w:r>
                    <w:r>
                      <w:rPr>
                        <w:spacing w:val="25"/>
                        <w:sz w:val="19"/>
                      </w:rPr>
                      <w:t xml:space="preserve"> </w:t>
                    </w:r>
                    <w:r>
                      <w:rPr>
                        <w:sz w:val="19"/>
                      </w:rPr>
                      <w:t>January</w:t>
                    </w:r>
                    <w:r>
                      <w:rPr>
                        <w:spacing w:val="25"/>
                        <w:sz w:val="19"/>
                      </w:rPr>
                      <w:t xml:space="preserve"> </w:t>
                    </w:r>
                    <w:r>
                      <w:rPr>
                        <w:spacing w:val="-2"/>
                        <w:sz w:val="19"/>
                      </w:rPr>
                      <w:t>2023)</w:t>
                    </w:r>
                  </w:p>
                </w:txbxContent>
              </v:textbox>
              <w10:wrap anchorx="page" anchory="page"/>
            </v:shape>
          </w:pict>
        </mc:Fallback>
      </mc:AlternateContent>
    </w:r>
    <w:r>
      <w:rPr>
        <w:noProof/>
      </w:rPr>
      <mc:AlternateContent>
        <mc:Choice Requires="wps">
          <w:drawing>
            <wp:anchor distT="0" distB="0" distL="0" distR="0" simplePos="0" relativeHeight="484333568" behindDoc="1" locked="0" layoutInCell="1" allowOverlap="1" wp14:anchorId="6AC685AB" wp14:editId="5D02F046">
              <wp:simplePos x="0" y="0"/>
              <wp:positionH relativeFrom="page">
                <wp:posOffset>5254643</wp:posOffset>
              </wp:positionH>
              <wp:positionV relativeFrom="page">
                <wp:posOffset>10030607</wp:posOffset>
              </wp:positionV>
              <wp:extent cx="1402080" cy="3054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2080" cy="305435"/>
                      </a:xfrm>
                      <a:prstGeom prst="rect">
                        <a:avLst/>
                      </a:prstGeom>
                    </wps:spPr>
                    <wps:txbx>
                      <w:txbxContent>
                        <w:p w14:paraId="1CEA34BF" w14:textId="77777777" w:rsidR="001825E2" w:rsidRDefault="000839A5">
                          <w:pPr>
                            <w:spacing w:before="16"/>
                            <w:ind w:right="18"/>
                            <w:jc w:val="right"/>
                            <w:rPr>
                              <w:sz w:val="19"/>
                            </w:rPr>
                          </w:pPr>
                          <w:r>
                            <w:rPr>
                              <w:sz w:val="19"/>
                            </w:rPr>
                            <w:t>Supersedes:</w:t>
                          </w:r>
                          <w:r>
                            <w:rPr>
                              <w:spacing w:val="40"/>
                              <w:sz w:val="19"/>
                            </w:rPr>
                            <w:t xml:space="preserve"> </w:t>
                          </w:r>
                          <w:r>
                            <w:rPr>
                              <w:spacing w:val="-2"/>
                              <w:sz w:val="19"/>
                            </w:rPr>
                            <w:t>pfpxeljt10123</w:t>
                          </w:r>
                        </w:p>
                        <w:p w14:paraId="5FF63BCE" w14:textId="77777777" w:rsidR="001825E2" w:rsidRDefault="000839A5">
                          <w:pPr>
                            <w:spacing w:before="7"/>
                            <w:ind w:right="18"/>
                            <w:jc w:val="right"/>
                            <w:rPr>
                              <w:sz w:val="19"/>
                            </w:rPr>
                          </w:pPr>
                          <w:r>
                            <w:rPr>
                              <w:sz w:val="19"/>
                            </w:rPr>
                            <w:t>Page</w:t>
                          </w:r>
                          <w:r>
                            <w:rPr>
                              <w:spacing w:val="10"/>
                              <w:sz w:val="19"/>
                            </w:rPr>
                            <w:t xml:space="preserve"> </w:t>
                          </w:r>
                          <w:r>
                            <w:rPr>
                              <w:sz w:val="19"/>
                            </w:rPr>
                            <w:fldChar w:fldCharType="begin"/>
                          </w:r>
                          <w:r>
                            <w:rPr>
                              <w:sz w:val="19"/>
                            </w:rPr>
                            <w:instrText xml:space="preserve"> PAGE </w:instrText>
                          </w:r>
                          <w:r>
                            <w:rPr>
                              <w:sz w:val="19"/>
                            </w:rPr>
                            <w:fldChar w:fldCharType="separate"/>
                          </w:r>
                          <w:r>
                            <w:rPr>
                              <w:sz w:val="19"/>
                            </w:rPr>
                            <w:t>10</w:t>
                          </w:r>
                          <w:r>
                            <w:rPr>
                              <w:sz w:val="19"/>
                            </w:rPr>
                            <w:fldChar w:fldCharType="end"/>
                          </w:r>
                          <w:r>
                            <w:rPr>
                              <w:spacing w:val="15"/>
                              <w:sz w:val="19"/>
                            </w:rPr>
                            <w:t xml:space="preserve"> </w:t>
                          </w:r>
                          <w:r>
                            <w:rPr>
                              <w:sz w:val="19"/>
                            </w:rPr>
                            <w:t xml:space="preserve">of </w:t>
                          </w:r>
                          <w:r>
                            <w:rPr>
                              <w:spacing w:val="-5"/>
                              <w:sz w:val="19"/>
                            </w:rPr>
                            <w:fldChar w:fldCharType="begin"/>
                          </w:r>
                          <w:r>
                            <w:rPr>
                              <w:spacing w:val="-5"/>
                              <w:sz w:val="19"/>
                            </w:rPr>
                            <w:instrText xml:space="preserve"> NUMPAGES </w:instrText>
                          </w:r>
                          <w:r>
                            <w:rPr>
                              <w:spacing w:val="-5"/>
                              <w:sz w:val="19"/>
                            </w:rPr>
                            <w:fldChar w:fldCharType="separate"/>
                          </w:r>
                          <w:r>
                            <w:rPr>
                              <w:spacing w:val="-5"/>
                              <w:sz w:val="19"/>
                            </w:rPr>
                            <w:t>79</w:t>
                          </w:r>
                          <w:r>
                            <w:rPr>
                              <w:spacing w:val="-5"/>
                              <w:sz w:val="19"/>
                            </w:rPr>
                            <w:fldChar w:fldCharType="end"/>
                          </w:r>
                        </w:p>
                      </w:txbxContent>
                    </wps:txbx>
                    <wps:bodyPr wrap="square" lIns="0" tIns="0" rIns="0" bIns="0" rtlCol="0">
                      <a:noAutofit/>
                    </wps:bodyPr>
                  </wps:wsp>
                </a:graphicData>
              </a:graphic>
            </wp:anchor>
          </w:drawing>
        </mc:Choice>
        <mc:Fallback>
          <w:pict>
            <v:shape w14:anchorId="6AC685AB" id="Textbox 3" o:spid="_x0000_s1065" type="#_x0000_t202" style="position:absolute;margin-left:413.75pt;margin-top:789.8pt;width:110.4pt;height:24.05pt;z-index:-1898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" filled="f" stroked="f">
              <v:textbox inset="0,0,0,0">
                <w:txbxContent>
                  <w:p w14:paraId="1CEA34BF" w14:textId="77777777" w:rsidR="001825E2" w:rsidRDefault="000839A5">
                    <w:pPr>
                      <w:spacing w:before="16"/>
                      <w:ind w:right="18"/>
                      <w:jc w:val="right"/>
                      <w:rPr>
                        <w:sz w:val="19"/>
                      </w:rPr>
                    </w:pPr>
                    <w:r>
                      <w:rPr>
                        <w:sz w:val="19"/>
                      </w:rPr>
                      <w:t>Supersedes:</w:t>
                    </w:r>
                    <w:r>
                      <w:rPr>
                        <w:spacing w:val="40"/>
                        <w:sz w:val="19"/>
                      </w:rPr>
                      <w:t xml:space="preserve"> </w:t>
                    </w:r>
                    <w:r>
                      <w:rPr>
                        <w:spacing w:val="-2"/>
                        <w:sz w:val="19"/>
                      </w:rPr>
                      <w:t>pfpxeljt10123</w:t>
                    </w:r>
                  </w:p>
                  <w:p w14:paraId="5FF63BCE" w14:textId="77777777" w:rsidR="001825E2" w:rsidRDefault="000839A5">
                    <w:pPr>
                      <w:spacing w:before="7"/>
                      <w:ind w:right="18"/>
                      <w:jc w:val="right"/>
                      <w:rPr>
                        <w:sz w:val="19"/>
                      </w:rPr>
                    </w:pPr>
                    <w:r>
                      <w:rPr>
                        <w:sz w:val="19"/>
                      </w:rPr>
                      <w:t>Page</w:t>
                    </w:r>
                    <w:r>
                      <w:rPr>
                        <w:spacing w:val="10"/>
                        <w:sz w:val="19"/>
                      </w:rPr>
                      <w:t xml:space="preserve"> </w:t>
                    </w:r>
                    <w:r>
                      <w:rPr>
                        <w:sz w:val="19"/>
                      </w:rPr>
                      <w:fldChar w:fldCharType="begin"/>
                    </w:r>
                    <w:r>
                      <w:rPr>
                        <w:sz w:val="19"/>
                      </w:rPr>
                      <w:instrText xml:space="preserve"> PAGE </w:instrText>
                    </w:r>
                    <w:r>
                      <w:rPr>
                        <w:sz w:val="19"/>
                      </w:rPr>
                      <w:fldChar w:fldCharType="separate"/>
                    </w:r>
                    <w:r>
                      <w:rPr>
                        <w:sz w:val="19"/>
                      </w:rPr>
                      <w:t>10</w:t>
                    </w:r>
                    <w:r>
                      <w:rPr>
                        <w:sz w:val="19"/>
                      </w:rPr>
                      <w:fldChar w:fldCharType="end"/>
                    </w:r>
                    <w:r>
                      <w:rPr>
                        <w:spacing w:val="15"/>
                        <w:sz w:val="19"/>
                      </w:rPr>
                      <w:t xml:space="preserve"> </w:t>
                    </w:r>
                    <w:r>
                      <w:rPr>
                        <w:sz w:val="19"/>
                      </w:rPr>
                      <w:t xml:space="preserve">of </w:t>
                    </w:r>
                    <w:r>
                      <w:rPr>
                        <w:spacing w:val="-5"/>
                        <w:sz w:val="19"/>
                      </w:rPr>
                      <w:fldChar w:fldCharType="begin"/>
                    </w:r>
                    <w:r>
                      <w:rPr>
                        <w:spacing w:val="-5"/>
                        <w:sz w:val="19"/>
                      </w:rPr>
                      <w:instrText xml:space="preserve"> NUMPAGES </w:instrText>
                    </w:r>
                    <w:r>
                      <w:rPr>
                        <w:spacing w:val="-5"/>
                        <w:sz w:val="19"/>
                      </w:rPr>
                      <w:fldChar w:fldCharType="separate"/>
                    </w:r>
                    <w:r>
                      <w:rPr>
                        <w:spacing w:val="-5"/>
                        <w:sz w:val="19"/>
                      </w:rPr>
                      <w:t>79</w:t>
                    </w:r>
                    <w:r>
                      <w:rPr>
                        <w:spacing w:val="-5"/>
                        <w:sz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BCECB" w14:textId="77777777" w:rsidR="001825E2" w:rsidRDefault="000839A5">
    <w:pPr>
      <w:pStyle w:val="BodyText"/>
      <w:spacing w:line="14" w:lineRule="auto"/>
      <w:jc w:val="left"/>
      <w:rPr>
        <w:sz w:val="20"/>
      </w:rPr>
    </w:pPr>
    <w:r>
      <w:rPr>
        <w:noProof/>
      </w:rPr>
      <mc:AlternateContent>
        <mc:Choice Requires="wps">
          <w:drawing>
            <wp:anchor distT="0" distB="0" distL="0" distR="0" simplePos="0" relativeHeight="484334080" behindDoc="1" locked="0" layoutInCell="1" allowOverlap="1" wp14:anchorId="54C890B5" wp14:editId="2D646372">
              <wp:simplePos x="0" y="0"/>
              <wp:positionH relativeFrom="page">
                <wp:posOffset>901700</wp:posOffset>
              </wp:positionH>
              <wp:positionV relativeFrom="page">
                <wp:posOffset>6906407</wp:posOffset>
              </wp:positionV>
              <wp:extent cx="1876425" cy="16256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162560"/>
                      </a:xfrm>
                      <a:prstGeom prst="rect">
                        <a:avLst/>
                      </a:prstGeom>
                    </wps:spPr>
                    <wps:txbx>
                      <w:txbxContent>
                        <w:p w14:paraId="22B1162E" w14:textId="77777777" w:rsidR="001825E2" w:rsidRDefault="000839A5">
                          <w:pPr>
                            <w:spacing w:before="16"/>
                            <w:ind w:left="20"/>
                            <w:rPr>
                              <w:sz w:val="19"/>
                            </w:rPr>
                          </w:pPr>
                          <w:r>
                            <w:rPr>
                              <w:sz w:val="19"/>
                            </w:rPr>
                            <w:t>Version:</w:t>
                          </w:r>
                          <w:r>
                            <w:rPr>
                              <w:spacing w:val="22"/>
                              <w:sz w:val="19"/>
                            </w:rPr>
                            <w:t xml:space="preserve"> </w:t>
                          </w:r>
                          <w:proofErr w:type="spellStart"/>
                          <w:r>
                            <w:rPr>
                              <w:sz w:val="19"/>
                            </w:rPr>
                            <w:t>pfpxelja</w:t>
                          </w:r>
                          <w:proofErr w:type="spellEnd"/>
                          <w:r>
                            <w:rPr>
                              <w:spacing w:val="38"/>
                              <w:sz w:val="19"/>
                            </w:rPr>
                            <w:t xml:space="preserve"> </w:t>
                          </w:r>
                          <w:r>
                            <w:rPr>
                              <w:sz w:val="19"/>
                            </w:rPr>
                            <w:t>(11</w:t>
                          </w:r>
                          <w:r>
                            <w:rPr>
                              <w:spacing w:val="25"/>
                              <w:sz w:val="19"/>
                            </w:rPr>
                            <w:t xml:space="preserve"> </w:t>
                          </w:r>
                          <w:r>
                            <w:rPr>
                              <w:sz w:val="19"/>
                            </w:rPr>
                            <w:t>January</w:t>
                          </w:r>
                          <w:r>
                            <w:rPr>
                              <w:spacing w:val="25"/>
                              <w:sz w:val="19"/>
                            </w:rPr>
                            <w:t xml:space="preserve"> </w:t>
                          </w:r>
                          <w:r>
                            <w:rPr>
                              <w:spacing w:val="-2"/>
                              <w:sz w:val="19"/>
                            </w:rPr>
                            <w:t>2023)</w:t>
                          </w:r>
                        </w:p>
                      </w:txbxContent>
                    </wps:txbx>
                    <wps:bodyPr wrap="square" lIns="0" tIns="0" rIns="0" bIns="0" rtlCol="0">
                      <a:noAutofit/>
                    </wps:bodyPr>
                  </wps:wsp>
                </a:graphicData>
              </a:graphic>
            </wp:anchor>
          </w:drawing>
        </mc:Choice>
        <mc:Fallback>
          <w:pict>
            <v:shapetype w14:anchorId="54C890B5" id="_x0000_t202" coordsize="21600,21600" o:spt="202" path="m,l,21600r21600,l21600,xe">
              <v:stroke joinstyle="miter"/>
              <v:path gradientshapeok="t" o:connecttype="rect"/>
            </v:shapetype>
            <v:shape id="Textbox 87" o:spid="_x0000_s1066" type="#_x0000_t202" style="position:absolute;margin-left:71pt;margin-top:543.8pt;width:147.75pt;height:12.8pt;z-index:-1898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" filled="f" stroked="f">
              <v:textbox inset="0,0,0,0">
                <w:txbxContent>
                  <w:p w14:paraId="22B1162E" w14:textId="77777777" w:rsidR="001825E2" w:rsidRDefault="000839A5">
                    <w:pPr>
                      <w:spacing w:before="16"/>
                      <w:ind w:left="20"/>
                      <w:rPr>
                        <w:sz w:val="19"/>
                      </w:rPr>
                    </w:pPr>
                    <w:r>
                      <w:rPr>
                        <w:sz w:val="19"/>
                      </w:rPr>
                      <w:t>Version:</w:t>
                    </w:r>
                    <w:r>
                      <w:rPr>
                        <w:spacing w:val="22"/>
                        <w:sz w:val="19"/>
                      </w:rPr>
                      <w:t xml:space="preserve"> </w:t>
                    </w:r>
                    <w:proofErr w:type="spellStart"/>
                    <w:r>
                      <w:rPr>
                        <w:sz w:val="19"/>
                      </w:rPr>
                      <w:t>pfpxelja</w:t>
                    </w:r>
                    <w:proofErr w:type="spellEnd"/>
                    <w:r>
                      <w:rPr>
                        <w:spacing w:val="38"/>
                        <w:sz w:val="19"/>
                      </w:rPr>
                      <w:t xml:space="preserve"> </w:t>
                    </w:r>
                    <w:r>
                      <w:rPr>
                        <w:sz w:val="19"/>
                      </w:rPr>
                      <w:t>(11</w:t>
                    </w:r>
                    <w:r>
                      <w:rPr>
                        <w:spacing w:val="25"/>
                        <w:sz w:val="19"/>
                      </w:rPr>
                      <w:t xml:space="preserve"> </w:t>
                    </w:r>
                    <w:r>
                      <w:rPr>
                        <w:sz w:val="19"/>
                      </w:rPr>
                      <w:t>January</w:t>
                    </w:r>
                    <w:r>
                      <w:rPr>
                        <w:spacing w:val="25"/>
                        <w:sz w:val="19"/>
                      </w:rPr>
                      <w:t xml:space="preserve"> </w:t>
                    </w:r>
                    <w:r>
                      <w:rPr>
                        <w:spacing w:val="-2"/>
                        <w:sz w:val="19"/>
                      </w:rPr>
                      <w:t>2023)</w:t>
                    </w:r>
                  </w:p>
                </w:txbxContent>
              </v:textbox>
              <w10:wrap anchorx="page" anchory="page"/>
            </v:shape>
          </w:pict>
        </mc:Fallback>
      </mc:AlternateContent>
    </w:r>
    <w:r>
      <w:rPr>
        <w:noProof/>
      </w:rPr>
      <mc:AlternateContent>
        <mc:Choice Requires="wps">
          <w:drawing>
            <wp:anchor distT="0" distB="0" distL="0" distR="0" simplePos="0" relativeHeight="484334592" behindDoc="1" locked="0" layoutInCell="1" allowOverlap="1" wp14:anchorId="7F47D145" wp14:editId="01344180">
              <wp:simplePos x="0" y="0"/>
              <wp:positionH relativeFrom="page">
                <wp:posOffset>8378749</wp:posOffset>
              </wp:positionH>
              <wp:positionV relativeFrom="page">
                <wp:posOffset>6906407</wp:posOffset>
              </wp:positionV>
              <wp:extent cx="1411605" cy="305435"/>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1605" cy="305435"/>
                      </a:xfrm>
                      <a:prstGeom prst="rect">
                        <a:avLst/>
                      </a:prstGeom>
                    </wps:spPr>
                    <wps:txbx>
                      <w:txbxContent>
                        <w:p w14:paraId="40018A7A" w14:textId="77777777" w:rsidR="001825E2" w:rsidRDefault="000839A5">
                          <w:pPr>
                            <w:spacing w:before="16"/>
                            <w:ind w:right="33"/>
                            <w:jc w:val="right"/>
                            <w:rPr>
                              <w:sz w:val="19"/>
                            </w:rPr>
                          </w:pPr>
                          <w:r>
                            <w:rPr>
                              <w:sz w:val="19"/>
                            </w:rPr>
                            <w:t>Supersedes:</w:t>
                          </w:r>
                          <w:r>
                            <w:rPr>
                              <w:spacing w:val="40"/>
                              <w:sz w:val="19"/>
                            </w:rPr>
                            <w:t xml:space="preserve"> </w:t>
                          </w:r>
                          <w:r>
                            <w:rPr>
                              <w:spacing w:val="-2"/>
                              <w:sz w:val="19"/>
                            </w:rPr>
                            <w:t>pfpxeljt10123</w:t>
                          </w:r>
                        </w:p>
                        <w:p w14:paraId="162A4B81" w14:textId="77777777" w:rsidR="001825E2" w:rsidRDefault="000839A5">
                          <w:pPr>
                            <w:spacing w:before="7"/>
                            <w:ind w:right="18"/>
                            <w:jc w:val="right"/>
                            <w:rPr>
                              <w:sz w:val="19"/>
                            </w:rPr>
                          </w:pPr>
                          <w:r>
                            <w:rPr>
                              <w:sz w:val="19"/>
                            </w:rPr>
                            <w:t>Page</w:t>
                          </w:r>
                          <w:r>
                            <w:rPr>
                              <w:spacing w:val="12"/>
                              <w:sz w:val="19"/>
                            </w:rPr>
                            <w:t xml:space="preserve"> </w:t>
                          </w:r>
                          <w:r>
                            <w:rPr>
                              <w:sz w:val="19"/>
                            </w:rPr>
                            <w:t>52</w:t>
                          </w:r>
                          <w:r>
                            <w:rPr>
                              <w:spacing w:val="18"/>
                              <w:sz w:val="19"/>
                            </w:rPr>
                            <w:t xml:space="preserve"> </w:t>
                          </w:r>
                          <w:r>
                            <w:rPr>
                              <w:sz w:val="19"/>
                            </w:rPr>
                            <w:t>of</w:t>
                          </w:r>
                          <w:r>
                            <w:rPr>
                              <w:spacing w:val="2"/>
                              <w:sz w:val="19"/>
                            </w:rPr>
                            <w:t xml:space="preserve"> </w:t>
                          </w:r>
                          <w:r>
                            <w:rPr>
                              <w:spacing w:val="-5"/>
                              <w:sz w:val="19"/>
                            </w:rPr>
                            <w:t>79</w:t>
                          </w:r>
                        </w:p>
                      </w:txbxContent>
                    </wps:txbx>
                    <wps:bodyPr wrap="square" lIns="0" tIns="0" rIns="0" bIns="0" rtlCol="0">
                      <a:noAutofit/>
                    </wps:bodyPr>
                  </wps:wsp>
                </a:graphicData>
              </a:graphic>
            </wp:anchor>
          </w:drawing>
        </mc:Choice>
        <mc:Fallback>
          <w:pict>
            <v:shape w14:anchorId="7F47D145" id="Textbox 88" o:spid="_x0000_s1067" type="#_x0000_t202" style="position:absolute;margin-left:659.75pt;margin-top:543.8pt;width:111.15pt;height:24.05pt;z-index:-1898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" filled="f" stroked="f">
              <v:textbox inset="0,0,0,0">
                <w:txbxContent>
                  <w:p w14:paraId="40018A7A" w14:textId="77777777" w:rsidR="001825E2" w:rsidRDefault="000839A5">
                    <w:pPr>
                      <w:spacing w:before="16"/>
                      <w:ind w:right="33"/>
                      <w:jc w:val="right"/>
                      <w:rPr>
                        <w:sz w:val="19"/>
                      </w:rPr>
                    </w:pPr>
                    <w:r>
                      <w:rPr>
                        <w:sz w:val="19"/>
                      </w:rPr>
                      <w:t>Supersedes:</w:t>
                    </w:r>
                    <w:r>
                      <w:rPr>
                        <w:spacing w:val="40"/>
                        <w:sz w:val="19"/>
                      </w:rPr>
                      <w:t xml:space="preserve"> </w:t>
                    </w:r>
                    <w:r>
                      <w:rPr>
                        <w:spacing w:val="-2"/>
                        <w:sz w:val="19"/>
                      </w:rPr>
                      <w:t>pfpxeljt10123</w:t>
                    </w:r>
                  </w:p>
                  <w:p w14:paraId="162A4B81" w14:textId="77777777" w:rsidR="001825E2" w:rsidRDefault="000839A5">
                    <w:pPr>
                      <w:spacing w:before="7"/>
                      <w:ind w:right="18"/>
                      <w:jc w:val="right"/>
                      <w:rPr>
                        <w:sz w:val="19"/>
                      </w:rPr>
                    </w:pPr>
                    <w:r>
                      <w:rPr>
                        <w:sz w:val="19"/>
                      </w:rPr>
                      <w:t>Page</w:t>
                    </w:r>
                    <w:r>
                      <w:rPr>
                        <w:spacing w:val="12"/>
                        <w:sz w:val="19"/>
                      </w:rPr>
                      <w:t xml:space="preserve"> </w:t>
                    </w:r>
                    <w:r>
                      <w:rPr>
                        <w:sz w:val="19"/>
                      </w:rPr>
                      <w:t>52</w:t>
                    </w:r>
                    <w:r>
                      <w:rPr>
                        <w:spacing w:val="18"/>
                        <w:sz w:val="19"/>
                      </w:rPr>
                      <w:t xml:space="preserve"> </w:t>
                    </w:r>
                    <w:r>
                      <w:rPr>
                        <w:sz w:val="19"/>
                      </w:rPr>
                      <w:t>of</w:t>
                    </w:r>
                    <w:r>
                      <w:rPr>
                        <w:spacing w:val="2"/>
                        <w:sz w:val="19"/>
                      </w:rPr>
                      <w:t xml:space="preserve"> </w:t>
                    </w:r>
                    <w:r>
                      <w:rPr>
                        <w:spacing w:val="-5"/>
                        <w:sz w:val="19"/>
                      </w:rPr>
                      <w:t>79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A0C91" w14:textId="77777777" w:rsidR="001825E2" w:rsidRDefault="000839A5">
    <w:pPr>
      <w:pStyle w:val="BodyText"/>
      <w:spacing w:line="14" w:lineRule="auto"/>
      <w:jc w:val="left"/>
      <w:rPr>
        <w:sz w:val="20"/>
      </w:rPr>
    </w:pPr>
    <w:r>
      <w:rPr>
        <w:noProof/>
      </w:rPr>
      <mc:AlternateContent>
        <mc:Choice Requires="wps">
          <w:drawing>
            <wp:anchor distT="0" distB="0" distL="0" distR="0" simplePos="0" relativeHeight="484335104" behindDoc="1" locked="0" layoutInCell="1" allowOverlap="1" wp14:anchorId="4CC181AC" wp14:editId="369889D7">
              <wp:simplePos x="0" y="0"/>
              <wp:positionH relativeFrom="page">
                <wp:posOffset>895350</wp:posOffset>
              </wp:positionH>
              <wp:positionV relativeFrom="page">
                <wp:posOffset>10020287</wp:posOffset>
              </wp:positionV>
              <wp:extent cx="5772150" cy="10160"/>
              <wp:effectExtent l="0" t="0" r="0" b="0"/>
              <wp:wrapNone/>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2150" cy="10160"/>
                      </a:xfrm>
                      <a:custGeom>
                        <a:avLst/>
                        <a:gdLst/>
                        <a:ahLst/>
                        <a:cxnLst/>
                        <a:rect l="l" t="t" r="r" b="b"/>
                        <a:pathLst>
                          <a:path w="5772150" h="10160">
                            <a:moveTo>
                              <a:pt x="5772150" y="0"/>
                            </a:moveTo>
                            <a:lnTo>
                              <a:pt x="0" y="0"/>
                            </a:lnTo>
                            <a:lnTo>
                              <a:pt x="0" y="9537"/>
                            </a:lnTo>
                            <a:lnTo>
                              <a:pt x="5772150" y="9537"/>
                            </a:lnTo>
                            <a:lnTo>
                              <a:pt x="57721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76908D" id="Graphic 90" o:spid="_x0000_s1026" style="position:absolute;margin-left:70.5pt;margin-top:789pt;width:454.5pt;height:.8pt;z-index:-18981376;visibility:visible;mso-wrap-style:square;mso-wrap-distance-left:0;mso-wrap-distance-top:0;mso-wrap-distance-right:0;mso-wrap-distance-bottom:0;mso-position-horizontal:absolute;mso-position-horizontal-relative:page;mso-position-vertical:absolute;mso-position-vertical-relative:page;v-text-anchor:top" coordsize="577215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" path="m5772150,l,,,9537r5772150,l5772150,xe" fillcolor="black" stroked="f">
              <v:path arrowok="t"/>
              <w10:wrap anchorx="page" anchory="page"/>
            </v:shape>
          </w:pict>
        </mc:Fallback>
      </mc:AlternateContent>
    </w:r>
    <w:r>
      <w:rPr>
        <w:noProof/>
      </w:rPr>
      <mc:AlternateContent>
        <mc:Choice Requires="wps">
          <w:drawing>
            <wp:anchor distT="0" distB="0" distL="0" distR="0" simplePos="0" relativeHeight="484335616" behindDoc="1" locked="0" layoutInCell="1" allowOverlap="1" wp14:anchorId="14ECC0B2" wp14:editId="59A919FF">
              <wp:simplePos x="0" y="0"/>
              <wp:positionH relativeFrom="page">
                <wp:posOffset>901700</wp:posOffset>
              </wp:positionH>
              <wp:positionV relativeFrom="page">
                <wp:posOffset>10030607</wp:posOffset>
              </wp:positionV>
              <wp:extent cx="1876425" cy="162560"/>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162560"/>
                      </a:xfrm>
                      <a:prstGeom prst="rect">
                        <a:avLst/>
                      </a:prstGeom>
                    </wps:spPr>
                    <wps:txbx>
                      <w:txbxContent>
                        <w:p w14:paraId="4FE1DF59" w14:textId="77777777" w:rsidR="001825E2" w:rsidRDefault="000839A5">
                          <w:pPr>
                            <w:spacing w:before="16"/>
                            <w:ind w:left="20"/>
                            <w:rPr>
                              <w:sz w:val="19"/>
                            </w:rPr>
                          </w:pPr>
                          <w:r>
                            <w:rPr>
                              <w:sz w:val="19"/>
                            </w:rPr>
                            <w:t>Version:</w:t>
                          </w:r>
                          <w:r>
                            <w:rPr>
                              <w:spacing w:val="16"/>
                              <w:sz w:val="19"/>
                            </w:rPr>
                            <w:t xml:space="preserve"> </w:t>
                          </w:r>
                          <w:proofErr w:type="spellStart"/>
                          <w:r>
                            <w:rPr>
                              <w:sz w:val="19"/>
                            </w:rPr>
                            <w:t>pfpxelja</w:t>
                          </w:r>
                          <w:proofErr w:type="spellEnd"/>
                          <w:r>
                            <w:rPr>
                              <w:spacing w:val="32"/>
                              <w:sz w:val="19"/>
                            </w:rPr>
                            <w:t xml:space="preserve"> </w:t>
                          </w:r>
                          <w:r>
                            <w:rPr>
                              <w:sz w:val="19"/>
                            </w:rPr>
                            <w:t>(11</w:t>
                          </w:r>
                          <w:r>
                            <w:rPr>
                              <w:spacing w:val="20"/>
                              <w:sz w:val="19"/>
                            </w:rPr>
                            <w:t xml:space="preserve"> </w:t>
                          </w:r>
                          <w:proofErr w:type="spellStart"/>
                          <w:r>
                            <w:rPr>
                              <w:sz w:val="19"/>
                            </w:rPr>
                            <w:t>Janua</w:t>
                          </w:r>
                          <w:proofErr w:type="spellEnd"/>
                          <w:r>
                            <w:rPr>
                              <w:spacing w:val="-24"/>
                              <w:sz w:val="19"/>
                            </w:rPr>
                            <w:t xml:space="preserve"> </w:t>
                          </w:r>
                          <w:proofErr w:type="spellStart"/>
                          <w:r>
                            <w:rPr>
                              <w:sz w:val="19"/>
                            </w:rPr>
                            <w:t>ry</w:t>
                          </w:r>
                          <w:proofErr w:type="spellEnd"/>
                          <w:r>
                            <w:rPr>
                              <w:spacing w:val="18"/>
                              <w:sz w:val="19"/>
                            </w:rPr>
                            <w:t xml:space="preserve"> </w:t>
                          </w:r>
                          <w:r>
                            <w:rPr>
                              <w:spacing w:val="-2"/>
                              <w:sz w:val="19"/>
                            </w:rPr>
                            <w:t>2023)</w:t>
                          </w:r>
                        </w:p>
                      </w:txbxContent>
                    </wps:txbx>
                    <wps:bodyPr wrap="square" lIns="0" tIns="0" rIns="0" bIns="0" rtlCol="0">
                      <a:noAutofit/>
                    </wps:bodyPr>
                  </wps:wsp>
                </a:graphicData>
              </a:graphic>
            </wp:anchor>
          </w:drawing>
        </mc:Choice>
        <mc:Fallback>
          <w:pict>
            <v:shapetype w14:anchorId="14ECC0B2" id="_x0000_t202" coordsize="21600,21600" o:spt="202" path="m,l,21600r21600,l21600,xe">
              <v:stroke joinstyle="miter"/>
              <v:path gradientshapeok="t" o:connecttype="rect"/>
            </v:shapetype>
            <v:shape id="Textbox 91" o:spid="_x0000_s1068" type="#_x0000_t202" style="position:absolute;margin-left:71pt;margin-top:789.8pt;width:147.75pt;height:12.8pt;z-index:-1898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" filled="f" stroked="f">
              <v:textbox inset="0,0,0,0">
                <w:txbxContent>
                  <w:p w14:paraId="4FE1DF59" w14:textId="77777777" w:rsidR="001825E2" w:rsidRDefault="000839A5">
                    <w:pPr>
                      <w:spacing w:before="16"/>
                      <w:ind w:left="20"/>
                      <w:rPr>
                        <w:sz w:val="19"/>
                      </w:rPr>
                    </w:pPr>
                    <w:r>
                      <w:rPr>
                        <w:sz w:val="19"/>
                      </w:rPr>
                      <w:t>Version:</w:t>
                    </w:r>
                    <w:r>
                      <w:rPr>
                        <w:spacing w:val="16"/>
                        <w:sz w:val="19"/>
                      </w:rPr>
                      <w:t xml:space="preserve"> </w:t>
                    </w:r>
                    <w:proofErr w:type="spellStart"/>
                    <w:r>
                      <w:rPr>
                        <w:sz w:val="19"/>
                      </w:rPr>
                      <w:t>pfpxelja</w:t>
                    </w:r>
                    <w:proofErr w:type="spellEnd"/>
                    <w:r>
                      <w:rPr>
                        <w:spacing w:val="32"/>
                        <w:sz w:val="19"/>
                      </w:rPr>
                      <w:t xml:space="preserve"> </w:t>
                    </w:r>
                    <w:r>
                      <w:rPr>
                        <w:sz w:val="19"/>
                      </w:rPr>
                      <w:t>(11</w:t>
                    </w:r>
                    <w:r>
                      <w:rPr>
                        <w:spacing w:val="20"/>
                        <w:sz w:val="19"/>
                      </w:rPr>
                      <w:t xml:space="preserve"> </w:t>
                    </w:r>
                    <w:proofErr w:type="spellStart"/>
                    <w:r>
                      <w:rPr>
                        <w:sz w:val="19"/>
                      </w:rPr>
                      <w:t>Janua</w:t>
                    </w:r>
                    <w:proofErr w:type="spellEnd"/>
                    <w:r>
                      <w:rPr>
                        <w:spacing w:val="-24"/>
                        <w:sz w:val="19"/>
                      </w:rPr>
                      <w:t xml:space="preserve"> </w:t>
                    </w:r>
                    <w:proofErr w:type="spellStart"/>
                    <w:r>
                      <w:rPr>
                        <w:sz w:val="19"/>
                      </w:rPr>
                      <w:t>ry</w:t>
                    </w:r>
                    <w:proofErr w:type="spellEnd"/>
                    <w:r>
                      <w:rPr>
                        <w:spacing w:val="18"/>
                        <w:sz w:val="19"/>
                      </w:rPr>
                      <w:t xml:space="preserve"> </w:t>
                    </w:r>
                    <w:r>
                      <w:rPr>
                        <w:spacing w:val="-2"/>
                        <w:sz w:val="19"/>
                      </w:rPr>
                      <w:t>2023)</w:t>
                    </w:r>
                  </w:p>
                </w:txbxContent>
              </v:textbox>
              <w10:wrap anchorx="page" anchory="page"/>
            </v:shape>
          </w:pict>
        </mc:Fallback>
      </mc:AlternateContent>
    </w:r>
    <w:r>
      <w:rPr>
        <w:noProof/>
      </w:rPr>
      <mc:AlternateContent>
        <mc:Choice Requires="wps">
          <w:drawing>
            <wp:anchor distT="0" distB="0" distL="0" distR="0" simplePos="0" relativeHeight="484336128" behindDoc="1" locked="0" layoutInCell="1" allowOverlap="1" wp14:anchorId="4757215B" wp14:editId="74A7721A">
              <wp:simplePos x="0" y="0"/>
              <wp:positionH relativeFrom="page">
                <wp:posOffset>5254520</wp:posOffset>
              </wp:positionH>
              <wp:positionV relativeFrom="page">
                <wp:posOffset>10030607</wp:posOffset>
              </wp:positionV>
              <wp:extent cx="1402080" cy="305435"/>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2080" cy="305435"/>
                      </a:xfrm>
                      <a:prstGeom prst="rect">
                        <a:avLst/>
                      </a:prstGeom>
                    </wps:spPr>
                    <wps:txbx>
                      <w:txbxContent>
                        <w:p w14:paraId="3577C534" w14:textId="77777777" w:rsidR="001825E2" w:rsidRDefault="000839A5">
                          <w:pPr>
                            <w:spacing w:before="16"/>
                            <w:ind w:right="18"/>
                            <w:jc w:val="right"/>
                            <w:rPr>
                              <w:sz w:val="19"/>
                            </w:rPr>
                          </w:pPr>
                          <w:r>
                            <w:rPr>
                              <w:sz w:val="19"/>
                            </w:rPr>
                            <w:t>Supersedes:</w:t>
                          </w:r>
                          <w:r>
                            <w:rPr>
                              <w:spacing w:val="40"/>
                              <w:sz w:val="19"/>
                            </w:rPr>
                            <w:t xml:space="preserve"> </w:t>
                          </w:r>
                          <w:r>
                            <w:rPr>
                              <w:spacing w:val="-2"/>
                              <w:sz w:val="19"/>
                            </w:rPr>
                            <w:t>pfpxeljt10123</w:t>
                          </w:r>
                        </w:p>
                        <w:p w14:paraId="4ED531AF" w14:textId="77777777" w:rsidR="001825E2" w:rsidRDefault="000839A5">
                          <w:pPr>
                            <w:spacing w:before="7"/>
                            <w:ind w:right="18"/>
                            <w:jc w:val="right"/>
                            <w:rPr>
                              <w:sz w:val="19"/>
                            </w:rPr>
                          </w:pPr>
                          <w:r>
                            <w:rPr>
                              <w:sz w:val="19"/>
                            </w:rPr>
                            <w:t>Page</w:t>
                          </w:r>
                          <w:r>
                            <w:rPr>
                              <w:spacing w:val="10"/>
                              <w:sz w:val="19"/>
                            </w:rPr>
                            <w:t xml:space="preserve"> </w:t>
                          </w:r>
                          <w:r>
                            <w:rPr>
                              <w:sz w:val="19"/>
                            </w:rPr>
                            <w:fldChar w:fldCharType="begin"/>
                          </w:r>
                          <w:r>
                            <w:rPr>
                              <w:sz w:val="19"/>
                            </w:rPr>
                            <w:instrText xml:space="preserve"> PAGE </w:instrText>
                          </w:r>
                          <w:r>
                            <w:rPr>
                              <w:sz w:val="19"/>
                            </w:rPr>
                            <w:fldChar w:fldCharType="separate"/>
                          </w:r>
                          <w:r>
                            <w:rPr>
                              <w:sz w:val="19"/>
                            </w:rPr>
                            <w:t>53</w:t>
                          </w:r>
                          <w:r>
                            <w:rPr>
                              <w:sz w:val="19"/>
                            </w:rPr>
                            <w:fldChar w:fldCharType="end"/>
                          </w:r>
                          <w:r>
                            <w:rPr>
                              <w:spacing w:val="15"/>
                              <w:sz w:val="19"/>
                            </w:rPr>
                            <w:t xml:space="preserve"> </w:t>
                          </w:r>
                          <w:r>
                            <w:rPr>
                              <w:sz w:val="19"/>
                            </w:rPr>
                            <w:t xml:space="preserve">of </w:t>
                          </w:r>
                          <w:r>
                            <w:rPr>
                              <w:spacing w:val="-5"/>
                              <w:sz w:val="19"/>
                            </w:rPr>
                            <w:fldChar w:fldCharType="begin"/>
                          </w:r>
                          <w:r>
                            <w:rPr>
                              <w:spacing w:val="-5"/>
                              <w:sz w:val="19"/>
                            </w:rPr>
                            <w:instrText xml:space="preserve"> NUMPAGES </w:instrText>
                          </w:r>
                          <w:r>
                            <w:rPr>
                              <w:spacing w:val="-5"/>
                              <w:sz w:val="19"/>
                            </w:rPr>
                            <w:fldChar w:fldCharType="separate"/>
                          </w:r>
                          <w:r>
                            <w:rPr>
                              <w:spacing w:val="-5"/>
                              <w:sz w:val="19"/>
                            </w:rPr>
                            <w:t>79</w:t>
                          </w:r>
                          <w:r>
                            <w:rPr>
                              <w:spacing w:val="-5"/>
                              <w:sz w:val="19"/>
                            </w:rPr>
                            <w:fldChar w:fldCharType="end"/>
                          </w:r>
                        </w:p>
                      </w:txbxContent>
                    </wps:txbx>
                    <wps:bodyPr wrap="square" lIns="0" tIns="0" rIns="0" bIns="0" rtlCol="0">
                      <a:noAutofit/>
                    </wps:bodyPr>
                  </wps:wsp>
                </a:graphicData>
              </a:graphic>
            </wp:anchor>
          </w:drawing>
        </mc:Choice>
        <mc:Fallback>
          <w:pict>
            <v:shape w14:anchorId="4757215B" id="Textbox 92" o:spid="_x0000_s1069" type="#_x0000_t202" style="position:absolute;margin-left:413.75pt;margin-top:789.8pt;width:110.4pt;height:24.05pt;z-index:-1898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" filled="f" stroked="f">
              <v:textbox inset="0,0,0,0">
                <w:txbxContent>
                  <w:p w14:paraId="3577C534" w14:textId="77777777" w:rsidR="001825E2" w:rsidRDefault="000839A5">
                    <w:pPr>
                      <w:spacing w:before="16"/>
                      <w:ind w:right="18"/>
                      <w:jc w:val="right"/>
                      <w:rPr>
                        <w:sz w:val="19"/>
                      </w:rPr>
                    </w:pPr>
                    <w:r>
                      <w:rPr>
                        <w:sz w:val="19"/>
                      </w:rPr>
                      <w:t>Supersedes:</w:t>
                    </w:r>
                    <w:r>
                      <w:rPr>
                        <w:spacing w:val="40"/>
                        <w:sz w:val="19"/>
                      </w:rPr>
                      <w:t xml:space="preserve"> </w:t>
                    </w:r>
                    <w:r>
                      <w:rPr>
                        <w:spacing w:val="-2"/>
                        <w:sz w:val="19"/>
                      </w:rPr>
                      <w:t>pfpxeljt10123</w:t>
                    </w:r>
                  </w:p>
                  <w:p w14:paraId="4ED531AF" w14:textId="77777777" w:rsidR="001825E2" w:rsidRDefault="000839A5">
                    <w:pPr>
                      <w:spacing w:before="7"/>
                      <w:ind w:right="18"/>
                      <w:jc w:val="right"/>
                      <w:rPr>
                        <w:sz w:val="19"/>
                      </w:rPr>
                    </w:pPr>
                    <w:r>
                      <w:rPr>
                        <w:sz w:val="19"/>
                      </w:rPr>
                      <w:t>Page</w:t>
                    </w:r>
                    <w:r>
                      <w:rPr>
                        <w:spacing w:val="10"/>
                        <w:sz w:val="19"/>
                      </w:rPr>
                      <w:t xml:space="preserve"> </w:t>
                    </w:r>
                    <w:r>
                      <w:rPr>
                        <w:sz w:val="19"/>
                      </w:rPr>
                      <w:fldChar w:fldCharType="begin"/>
                    </w:r>
                    <w:r>
                      <w:rPr>
                        <w:sz w:val="19"/>
                      </w:rPr>
                      <w:instrText xml:space="preserve"> PAGE </w:instrText>
                    </w:r>
                    <w:r>
                      <w:rPr>
                        <w:sz w:val="19"/>
                      </w:rPr>
                      <w:fldChar w:fldCharType="separate"/>
                    </w:r>
                    <w:r>
                      <w:rPr>
                        <w:sz w:val="19"/>
                      </w:rPr>
                      <w:t>53</w:t>
                    </w:r>
                    <w:r>
                      <w:rPr>
                        <w:sz w:val="19"/>
                      </w:rPr>
                      <w:fldChar w:fldCharType="end"/>
                    </w:r>
                    <w:r>
                      <w:rPr>
                        <w:spacing w:val="15"/>
                        <w:sz w:val="19"/>
                      </w:rPr>
                      <w:t xml:space="preserve"> </w:t>
                    </w:r>
                    <w:r>
                      <w:rPr>
                        <w:sz w:val="19"/>
                      </w:rPr>
                      <w:t xml:space="preserve">of </w:t>
                    </w:r>
                    <w:r>
                      <w:rPr>
                        <w:spacing w:val="-5"/>
                        <w:sz w:val="19"/>
                      </w:rPr>
                      <w:fldChar w:fldCharType="begin"/>
                    </w:r>
                    <w:r>
                      <w:rPr>
                        <w:spacing w:val="-5"/>
                        <w:sz w:val="19"/>
                      </w:rPr>
                      <w:instrText xml:space="preserve"> NUMPAGES </w:instrText>
                    </w:r>
                    <w:r>
                      <w:rPr>
                        <w:spacing w:val="-5"/>
                        <w:sz w:val="19"/>
                      </w:rPr>
                      <w:fldChar w:fldCharType="separate"/>
                    </w:r>
                    <w:r>
                      <w:rPr>
                        <w:spacing w:val="-5"/>
                        <w:sz w:val="19"/>
                      </w:rPr>
                      <w:t>79</w:t>
                    </w:r>
                    <w:r>
                      <w:rPr>
                        <w:spacing w:val="-5"/>
                        <w:sz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8937F" w14:textId="77777777" w:rsidR="000839A5" w:rsidRDefault="000839A5">
      <w:r>
        <w:separator/>
      </w:r>
    </w:p>
  </w:footnote>
  <w:footnote w:type="continuationSeparator" w:id="0">
    <w:p w14:paraId="7A894F53" w14:textId="77777777" w:rsidR="000839A5" w:rsidRDefault="00083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CA95" w14:textId="77777777" w:rsidR="00CB00A7" w:rsidRPr="00CB00A7" w:rsidRDefault="00CB00A7">
    <w:pPr>
      <w:pStyle w:val="Header"/>
      <w:rPr>
        <w:sz w:val="16"/>
        <w:szCs w:val="16"/>
        <w:vertAlign w:val="subscript"/>
      </w:rPr>
    </w:pPr>
  </w:p>
  <w:tbl>
    <w:tblPr>
      <w:tblStyle w:val="TableGrid"/>
      <w:tblW w:w="0" w:type="auto"/>
      <w:shd w:val="clear" w:color="auto" w:fill="E4F2E0"/>
      <w:tblLook w:val="04A0" w:firstRow="1" w:lastRow="0" w:firstColumn="1" w:lastColumn="0" w:noHBand="0" w:noVBand="1"/>
    </w:tblPr>
    <w:tblGrid>
      <w:gridCol w:w="9180"/>
    </w:tblGrid>
    <w:tr w:rsidR="00CB00A7" w:rsidRPr="000B2145" w14:paraId="0DAF4B84" w14:textId="77777777" w:rsidTr="00704B1B">
      <w:trPr>
        <w:trHeight w:val="1012"/>
      </w:trPr>
      <w:tc>
        <w:tcPr>
          <w:tcW w:w="9180" w:type="dxa"/>
          <w:shd w:val="clear" w:color="auto" w:fill="E4F2E0"/>
        </w:tcPr>
        <w:p w14:paraId="2A6C0958" w14:textId="77777777" w:rsidR="00CB00A7" w:rsidRPr="00CB00A7" w:rsidRDefault="00CB00A7" w:rsidP="00CB00A7">
          <w:pPr>
            <w:pStyle w:val="Footer"/>
            <w:rPr>
              <w:rFonts w:asciiTheme="majorHAnsi" w:hAnsiTheme="majorHAnsi"/>
              <w:b/>
              <w:sz w:val="18"/>
              <w:szCs w:val="18"/>
            </w:rPr>
          </w:pPr>
          <w:bookmarkStart w:id="3" w:name="_Hlk109054010"/>
          <w:r w:rsidRPr="00CB00A7">
            <w:rPr>
              <w:rFonts w:asciiTheme="majorHAnsi" w:hAnsiTheme="majorHAnsi"/>
              <w:b/>
              <w:sz w:val="18"/>
              <w:szCs w:val="18"/>
            </w:rPr>
            <w:t xml:space="preserve">AusPAR - Xeljanz - tofacitinib - </w:t>
          </w:r>
          <w:bookmarkStart w:id="4" w:name="_Hlk176245182"/>
          <w:r w:rsidRPr="00CB00A7">
            <w:rPr>
              <w:rFonts w:asciiTheme="majorHAnsi" w:hAnsiTheme="majorHAnsi"/>
              <w:b/>
              <w:sz w:val="18"/>
              <w:szCs w:val="18"/>
            </w:rPr>
            <w:t xml:space="preserve">Pfizer Australia Pty Ltd </w:t>
          </w:r>
          <w:bookmarkEnd w:id="4"/>
          <w:r w:rsidRPr="00CB00A7">
            <w:rPr>
              <w:rFonts w:asciiTheme="majorHAnsi" w:hAnsiTheme="majorHAnsi"/>
              <w:b/>
              <w:sz w:val="18"/>
              <w:szCs w:val="18"/>
            </w:rPr>
            <w:t xml:space="preserve">- Type C - PM-2021-04843-1-3 Date of </w:t>
          </w:r>
          <w:proofErr w:type="spellStart"/>
          <w:r w:rsidRPr="00CB00A7">
            <w:rPr>
              <w:rFonts w:asciiTheme="majorHAnsi" w:hAnsiTheme="majorHAnsi"/>
              <w:b/>
              <w:sz w:val="18"/>
              <w:szCs w:val="18"/>
            </w:rPr>
            <w:t>Finalisation</w:t>
          </w:r>
          <w:proofErr w:type="spellEnd"/>
          <w:r w:rsidRPr="00CB00A7">
            <w:rPr>
              <w:rFonts w:asciiTheme="majorHAnsi" w:hAnsiTheme="majorHAnsi"/>
              <w:b/>
              <w:sz w:val="18"/>
              <w:szCs w:val="18"/>
            </w:rPr>
            <w:t>: 28 August 2024. This is the Product Information that was approved with the submission described in this AusPAR. It may have been superseded. For the most recent PI, please refer to the TGA website at &lt;</w:t>
          </w:r>
          <w:hyperlink r:id="rId1" w:history="1">
            <w:r w:rsidRPr="00CB00A7">
              <w:rPr>
                <w:rStyle w:val="Hyperlink"/>
                <w:rFonts w:asciiTheme="majorHAnsi" w:hAnsiTheme="majorHAnsi"/>
                <w:b/>
                <w:sz w:val="18"/>
                <w:szCs w:val="18"/>
              </w:rPr>
              <w:t>https://www.tga.gov.au/product-information-pi</w:t>
            </w:r>
          </w:hyperlink>
          <w:r w:rsidRPr="00CB00A7">
            <w:rPr>
              <w:rFonts w:asciiTheme="majorHAnsi" w:hAnsiTheme="majorHAnsi"/>
              <w:b/>
              <w:sz w:val="18"/>
              <w:szCs w:val="18"/>
              <w:u w:val="single"/>
            </w:rPr>
            <w:t>&gt;</w:t>
          </w:r>
        </w:p>
      </w:tc>
    </w:tr>
    <w:bookmarkEnd w:id="3"/>
  </w:tbl>
  <w:p w14:paraId="2DC34C99" w14:textId="77777777" w:rsidR="00CB00A7" w:rsidRPr="00CB00A7" w:rsidRDefault="00CB00A7">
    <w:pPr>
      <w:pStyle w:val="Header"/>
      <w:rPr>
        <w:sz w:val="16"/>
        <w:szCs w:val="16"/>
        <w:vertAlign w:val="sub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5F7F"/>
    <w:multiLevelType w:val="hybridMultilevel"/>
    <w:tmpl w:val="BD7489D8"/>
    <w:lvl w:ilvl="0" w:tplc="A0683648">
      <w:numFmt w:val="bullet"/>
      <w:lvlText w:val="&gt;"/>
      <w:lvlJc w:val="left"/>
      <w:pPr>
        <w:ind w:left="211" w:hanging="195"/>
      </w:pPr>
      <w:rPr>
        <w:rFonts w:ascii="Times New Roman" w:eastAsia="Times New Roman" w:hAnsi="Times New Roman" w:cs="Times New Roman" w:hint="default"/>
        <w:b w:val="0"/>
        <w:bCs w:val="0"/>
        <w:i w:val="0"/>
        <w:iCs w:val="0"/>
        <w:spacing w:val="0"/>
        <w:w w:val="100"/>
        <w:sz w:val="24"/>
        <w:szCs w:val="24"/>
        <w:lang w:val="en-US" w:eastAsia="en-US" w:bidi="ar-SA"/>
      </w:rPr>
    </w:lvl>
    <w:lvl w:ilvl="1" w:tplc="F1D8911E">
      <w:numFmt w:val="bullet"/>
      <w:lvlText w:val="•"/>
      <w:lvlJc w:val="left"/>
      <w:pPr>
        <w:ind w:left="1197" w:hanging="195"/>
      </w:pPr>
      <w:rPr>
        <w:rFonts w:hint="default"/>
        <w:lang w:val="en-US" w:eastAsia="en-US" w:bidi="ar-SA"/>
      </w:rPr>
    </w:lvl>
    <w:lvl w:ilvl="2" w:tplc="BC7EAC1C">
      <w:numFmt w:val="bullet"/>
      <w:lvlText w:val="•"/>
      <w:lvlJc w:val="left"/>
      <w:pPr>
        <w:ind w:left="2174" w:hanging="195"/>
      </w:pPr>
      <w:rPr>
        <w:rFonts w:hint="default"/>
        <w:lang w:val="en-US" w:eastAsia="en-US" w:bidi="ar-SA"/>
      </w:rPr>
    </w:lvl>
    <w:lvl w:ilvl="3" w:tplc="206E6B86">
      <w:numFmt w:val="bullet"/>
      <w:lvlText w:val="•"/>
      <w:lvlJc w:val="left"/>
      <w:pPr>
        <w:ind w:left="3151" w:hanging="195"/>
      </w:pPr>
      <w:rPr>
        <w:rFonts w:hint="default"/>
        <w:lang w:val="en-US" w:eastAsia="en-US" w:bidi="ar-SA"/>
      </w:rPr>
    </w:lvl>
    <w:lvl w:ilvl="4" w:tplc="59D0FAD4">
      <w:numFmt w:val="bullet"/>
      <w:lvlText w:val="•"/>
      <w:lvlJc w:val="left"/>
      <w:pPr>
        <w:ind w:left="4128" w:hanging="195"/>
      </w:pPr>
      <w:rPr>
        <w:rFonts w:hint="default"/>
        <w:lang w:val="en-US" w:eastAsia="en-US" w:bidi="ar-SA"/>
      </w:rPr>
    </w:lvl>
    <w:lvl w:ilvl="5" w:tplc="2620F06E">
      <w:numFmt w:val="bullet"/>
      <w:lvlText w:val="•"/>
      <w:lvlJc w:val="left"/>
      <w:pPr>
        <w:ind w:left="5105" w:hanging="195"/>
      </w:pPr>
      <w:rPr>
        <w:rFonts w:hint="default"/>
        <w:lang w:val="en-US" w:eastAsia="en-US" w:bidi="ar-SA"/>
      </w:rPr>
    </w:lvl>
    <w:lvl w:ilvl="6" w:tplc="70F61A4C">
      <w:numFmt w:val="bullet"/>
      <w:lvlText w:val="•"/>
      <w:lvlJc w:val="left"/>
      <w:pPr>
        <w:ind w:left="6082" w:hanging="195"/>
      </w:pPr>
      <w:rPr>
        <w:rFonts w:hint="default"/>
        <w:lang w:val="en-US" w:eastAsia="en-US" w:bidi="ar-SA"/>
      </w:rPr>
    </w:lvl>
    <w:lvl w:ilvl="7" w:tplc="4D3EC0B6">
      <w:numFmt w:val="bullet"/>
      <w:lvlText w:val="•"/>
      <w:lvlJc w:val="left"/>
      <w:pPr>
        <w:ind w:left="7059" w:hanging="195"/>
      </w:pPr>
      <w:rPr>
        <w:rFonts w:hint="default"/>
        <w:lang w:val="en-US" w:eastAsia="en-US" w:bidi="ar-SA"/>
      </w:rPr>
    </w:lvl>
    <w:lvl w:ilvl="8" w:tplc="AE84A414">
      <w:numFmt w:val="bullet"/>
      <w:lvlText w:val="•"/>
      <w:lvlJc w:val="left"/>
      <w:pPr>
        <w:ind w:left="8036" w:hanging="195"/>
      </w:pPr>
      <w:rPr>
        <w:rFonts w:hint="default"/>
        <w:lang w:val="en-US" w:eastAsia="en-US" w:bidi="ar-SA"/>
      </w:rPr>
    </w:lvl>
  </w:abstractNum>
  <w:abstractNum w:abstractNumId="1" w15:restartNumberingAfterBreak="0">
    <w:nsid w:val="04D06168"/>
    <w:multiLevelType w:val="hybridMultilevel"/>
    <w:tmpl w:val="21A06AF2"/>
    <w:lvl w:ilvl="0" w:tplc="30AC8E5C">
      <w:numFmt w:val="bullet"/>
      <w:lvlText w:val="&gt;"/>
      <w:lvlJc w:val="left"/>
      <w:pPr>
        <w:ind w:left="519" w:hanging="165"/>
      </w:pPr>
      <w:rPr>
        <w:rFonts w:ascii="Times New Roman" w:eastAsia="Times New Roman" w:hAnsi="Times New Roman" w:cs="Times New Roman" w:hint="default"/>
        <w:b w:val="0"/>
        <w:bCs w:val="0"/>
        <w:i w:val="0"/>
        <w:iCs w:val="0"/>
        <w:spacing w:val="0"/>
        <w:w w:val="102"/>
        <w:sz w:val="19"/>
        <w:szCs w:val="19"/>
        <w:lang w:val="en-US" w:eastAsia="en-US" w:bidi="ar-SA"/>
      </w:rPr>
    </w:lvl>
    <w:lvl w:ilvl="1" w:tplc="ED54482E">
      <w:numFmt w:val="bullet"/>
      <w:lvlText w:val="•"/>
      <w:lvlJc w:val="left"/>
      <w:pPr>
        <w:ind w:left="1467" w:hanging="165"/>
      </w:pPr>
      <w:rPr>
        <w:rFonts w:hint="default"/>
        <w:lang w:val="en-US" w:eastAsia="en-US" w:bidi="ar-SA"/>
      </w:rPr>
    </w:lvl>
    <w:lvl w:ilvl="2" w:tplc="9DA8CEE2">
      <w:numFmt w:val="bullet"/>
      <w:lvlText w:val="•"/>
      <w:lvlJc w:val="left"/>
      <w:pPr>
        <w:ind w:left="2414" w:hanging="165"/>
      </w:pPr>
      <w:rPr>
        <w:rFonts w:hint="default"/>
        <w:lang w:val="en-US" w:eastAsia="en-US" w:bidi="ar-SA"/>
      </w:rPr>
    </w:lvl>
    <w:lvl w:ilvl="3" w:tplc="5EA43F4A">
      <w:numFmt w:val="bullet"/>
      <w:lvlText w:val="•"/>
      <w:lvlJc w:val="left"/>
      <w:pPr>
        <w:ind w:left="3361" w:hanging="165"/>
      </w:pPr>
      <w:rPr>
        <w:rFonts w:hint="default"/>
        <w:lang w:val="en-US" w:eastAsia="en-US" w:bidi="ar-SA"/>
      </w:rPr>
    </w:lvl>
    <w:lvl w:ilvl="4" w:tplc="49E659FA">
      <w:numFmt w:val="bullet"/>
      <w:lvlText w:val="•"/>
      <w:lvlJc w:val="left"/>
      <w:pPr>
        <w:ind w:left="4308" w:hanging="165"/>
      </w:pPr>
      <w:rPr>
        <w:rFonts w:hint="default"/>
        <w:lang w:val="en-US" w:eastAsia="en-US" w:bidi="ar-SA"/>
      </w:rPr>
    </w:lvl>
    <w:lvl w:ilvl="5" w:tplc="5672CEB4">
      <w:numFmt w:val="bullet"/>
      <w:lvlText w:val="•"/>
      <w:lvlJc w:val="left"/>
      <w:pPr>
        <w:ind w:left="5255" w:hanging="165"/>
      </w:pPr>
      <w:rPr>
        <w:rFonts w:hint="default"/>
        <w:lang w:val="en-US" w:eastAsia="en-US" w:bidi="ar-SA"/>
      </w:rPr>
    </w:lvl>
    <w:lvl w:ilvl="6" w:tplc="8CBEDA32">
      <w:numFmt w:val="bullet"/>
      <w:lvlText w:val="•"/>
      <w:lvlJc w:val="left"/>
      <w:pPr>
        <w:ind w:left="6202" w:hanging="165"/>
      </w:pPr>
      <w:rPr>
        <w:rFonts w:hint="default"/>
        <w:lang w:val="en-US" w:eastAsia="en-US" w:bidi="ar-SA"/>
      </w:rPr>
    </w:lvl>
    <w:lvl w:ilvl="7" w:tplc="51E8B576">
      <w:numFmt w:val="bullet"/>
      <w:lvlText w:val="•"/>
      <w:lvlJc w:val="left"/>
      <w:pPr>
        <w:ind w:left="7149" w:hanging="165"/>
      </w:pPr>
      <w:rPr>
        <w:rFonts w:hint="default"/>
        <w:lang w:val="en-US" w:eastAsia="en-US" w:bidi="ar-SA"/>
      </w:rPr>
    </w:lvl>
    <w:lvl w:ilvl="8" w:tplc="E6A62F4E">
      <w:numFmt w:val="bullet"/>
      <w:lvlText w:val="•"/>
      <w:lvlJc w:val="left"/>
      <w:pPr>
        <w:ind w:left="8096" w:hanging="165"/>
      </w:pPr>
      <w:rPr>
        <w:rFonts w:hint="default"/>
        <w:lang w:val="en-US" w:eastAsia="en-US" w:bidi="ar-SA"/>
      </w:rPr>
    </w:lvl>
  </w:abstractNum>
  <w:abstractNum w:abstractNumId="2" w15:restartNumberingAfterBreak="0">
    <w:nsid w:val="08F370D6"/>
    <w:multiLevelType w:val="hybridMultilevel"/>
    <w:tmpl w:val="0EBA657E"/>
    <w:lvl w:ilvl="0" w:tplc="18B8923C">
      <w:numFmt w:val="bullet"/>
      <w:lvlText w:val=""/>
      <w:lvlJc w:val="left"/>
      <w:pPr>
        <w:ind w:left="276" w:hanging="165"/>
      </w:pPr>
      <w:rPr>
        <w:rFonts w:ascii="Symbol" w:eastAsia="Symbol" w:hAnsi="Symbol" w:cs="Symbol" w:hint="default"/>
        <w:b w:val="0"/>
        <w:bCs w:val="0"/>
        <w:i w:val="0"/>
        <w:iCs w:val="0"/>
        <w:spacing w:val="0"/>
        <w:w w:val="100"/>
        <w:sz w:val="24"/>
        <w:szCs w:val="24"/>
        <w:lang w:val="en-US" w:eastAsia="en-US" w:bidi="ar-SA"/>
      </w:rPr>
    </w:lvl>
    <w:lvl w:ilvl="1" w:tplc="71D0C08A">
      <w:numFmt w:val="bullet"/>
      <w:lvlText w:val="•"/>
      <w:lvlJc w:val="left"/>
      <w:pPr>
        <w:ind w:left="735" w:hanging="165"/>
      </w:pPr>
      <w:rPr>
        <w:rFonts w:hint="default"/>
        <w:lang w:val="en-US" w:eastAsia="en-US" w:bidi="ar-SA"/>
      </w:rPr>
    </w:lvl>
    <w:lvl w:ilvl="2" w:tplc="102E24A0">
      <w:numFmt w:val="bullet"/>
      <w:lvlText w:val="•"/>
      <w:lvlJc w:val="left"/>
      <w:pPr>
        <w:ind w:left="1190" w:hanging="165"/>
      </w:pPr>
      <w:rPr>
        <w:rFonts w:hint="default"/>
        <w:lang w:val="en-US" w:eastAsia="en-US" w:bidi="ar-SA"/>
      </w:rPr>
    </w:lvl>
    <w:lvl w:ilvl="3" w:tplc="8632D65E">
      <w:numFmt w:val="bullet"/>
      <w:lvlText w:val="•"/>
      <w:lvlJc w:val="left"/>
      <w:pPr>
        <w:ind w:left="1645" w:hanging="165"/>
      </w:pPr>
      <w:rPr>
        <w:rFonts w:hint="default"/>
        <w:lang w:val="en-US" w:eastAsia="en-US" w:bidi="ar-SA"/>
      </w:rPr>
    </w:lvl>
    <w:lvl w:ilvl="4" w:tplc="5C7463EC">
      <w:numFmt w:val="bullet"/>
      <w:lvlText w:val="•"/>
      <w:lvlJc w:val="left"/>
      <w:pPr>
        <w:ind w:left="2100" w:hanging="165"/>
      </w:pPr>
      <w:rPr>
        <w:rFonts w:hint="default"/>
        <w:lang w:val="en-US" w:eastAsia="en-US" w:bidi="ar-SA"/>
      </w:rPr>
    </w:lvl>
    <w:lvl w:ilvl="5" w:tplc="BDB8CE44">
      <w:numFmt w:val="bullet"/>
      <w:lvlText w:val="•"/>
      <w:lvlJc w:val="left"/>
      <w:pPr>
        <w:ind w:left="2555" w:hanging="165"/>
      </w:pPr>
      <w:rPr>
        <w:rFonts w:hint="default"/>
        <w:lang w:val="en-US" w:eastAsia="en-US" w:bidi="ar-SA"/>
      </w:rPr>
    </w:lvl>
    <w:lvl w:ilvl="6" w:tplc="C352B6CA">
      <w:numFmt w:val="bullet"/>
      <w:lvlText w:val="•"/>
      <w:lvlJc w:val="left"/>
      <w:pPr>
        <w:ind w:left="3010" w:hanging="165"/>
      </w:pPr>
      <w:rPr>
        <w:rFonts w:hint="default"/>
        <w:lang w:val="en-US" w:eastAsia="en-US" w:bidi="ar-SA"/>
      </w:rPr>
    </w:lvl>
    <w:lvl w:ilvl="7" w:tplc="178A73C2">
      <w:numFmt w:val="bullet"/>
      <w:lvlText w:val="•"/>
      <w:lvlJc w:val="left"/>
      <w:pPr>
        <w:ind w:left="3465" w:hanging="165"/>
      </w:pPr>
      <w:rPr>
        <w:rFonts w:hint="default"/>
        <w:lang w:val="en-US" w:eastAsia="en-US" w:bidi="ar-SA"/>
      </w:rPr>
    </w:lvl>
    <w:lvl w:ilvl="8" w:tplc="3F482A14">
      <w:numFmt w:val="bullet"/>
      <w:lvlText w:val="•"/>
      <w:lvlJc w:val="left"/>
      <w:pPr>
        <w:ind w:left="3920" w:hanging="165"/>
      </w:pPr>
      <w:rPr>
        <w:rFonts w:hint="default"/>
        <w:lang w:val="en-US" w:eastAsia="en-US" w:bidi="ar-SA"/>
      </w:rPr>
    </w:lvl>
  </w:abstractNum>
  <w:abstractNum w:abstractNumId="3" w15:restartNumberingAfterBreak="0">
    <w:nsid w:val="30112EC9"/>
    <w:multiLevelType w:val="hybridMultilevel"/>
    <w:tmpl w:val="FCE0B27E"/>
    <w:lvl w:ilvl="0" w:tplc="3FA87E06">
      <w:numFmt w:val="bullet"/>
      <w:lvlText w:val="•"/>
      <w:lvlJc w:val="left"/>
      <w:pPr>
        <w:ind w:left="640" w:hanging="420"/>
      </w:pPr>
      <w:rPr>
        <w:rFonts w:ascii="Garamond" w:eastAsia="Garamond" w:hAnsi="Garamond" w:cs="Garamond" w:hint="default"/>
        <w:b w:val="0"/>
        <w:bCs w:val="0"/>
        <w:i/>
        <w:iCs/>
        <w:spacing w:val="0"/>
        <w:w w:val="119"/>
        <w:sz w:val="24"/>
        <w:szCs w:val="24"/>
        <w:lang w:val="en-US" w:eastAsia="en-US" w:bidi="ar-SA"/>
      </w:rPr>
    </w:lvl>
    <w:lvl w:ilvl="1" w:tplc="2206C58E">
      <w:numFmt w:val="bullet"/>
      <w:lvlText w:val="•"/>
      <w:lvlJc w:val="left"/>
      <w:pPr>
        <w:ind w:left="1523" w:hanging="420"/>
      </w:pPr>
      <w:rPr>
        <w:rFonts w:hint="default"/>
        <w:lang w:val="en-US" w:eastAsia="en-US" w:bidi="ar-SA"/>
      </w:rPr>
    </w:lvl>
    <w:lvl w:ilvl="2" w:tplc="697E9E5A">
      <w:numFmt w:val="bullet"/>
      <w:lvlText w:val="•"/>
      <w:lvlJc w:val="left"/>
      <w:pPr>
        <w:ind w:left="2406" w:hanging="420"/>
      </w:pPr>
      <w:rPr>
        <w:rFonts w:hint="default"/>
        <w:lang w:val="en-US" w:eastAsia="en-US" w:bidi="ar-SA"/>
      </w:rPr>
    </w:lvl>
    <w:lvl w:ilvl="3" w:tplc="4CB297D4">
      <w:numFmt w:val="bullet"/>
      <w:lvlText w:val="•"/>
      <w:lvlJc w:val="left"/>
      <w:pPr>
        <w:ind w:left="3289" w:hanging="420"/>
      </w:pPr>
      <w:rPr>
        <w:rFonts w:hint="default"/>
        <w:lang w:val="en-US" w:eastAsia="en-US" w:bidi="ar-SA"/>
      </w:rPr>
    </w:lvl>
    <w:lvl w:ilvl="4" w:tplc="4A1EDAEA">
      <w:numFmt w:val="bullet"/>
      <w:lvlText w:val="•"/>
      <w:lvlJc w:val="left"/>
      <w:pPr>
        <w:ind w:left="4172" w:hanging="420"/>
      </w:pPr>
      <w:rPr>
        <w:rFonts w:hint="default"/>
        <w:lang w:val="en-US" w:eastAsia="en-US" w:bidi="ar-SA"/>
      </w:rPr>
    </w:lvl>
    <w:lvl w:ilvl="5" w:tplc="ECAE7D0A">
      <w:numFmt w:val="bullet"/>
      <w:lvlText w:val="•"/>
      <w:lvlJc w:val="left"/>
      <w:pPr>
        <w:ind w:left="5055" w:hanging="420"/>
      </w:pPr>
      <w:rPr>
        <w:rFonts w:hint="default"/>
        <w:lang w:val="en-US" w:eastAsia="en-US" w:bidi="ar-SA"/>
      </w:rPr>
    </w:lvl>
    <w:lvl w:ilvl="6" w:tplc="6D1092B8">
      <w:numFmt w:val="bullet"/>
      <w:lvlText w:val="•"/>
      <w:lvlJc w:val="left"/>
      <w:pPr>
        <w:ind w:left="5938" w:hanging="420"/>
      </w:pPr>
      <w:rPr>
        <w:rFonts w:hint="default"/>
        <w:lang w:val="en-US" w:eastAsia="en-US" w:bidi="ar-SA"/>
      </w:rPr>
    </w:lvl>
    <w:lvl w:ilvl="7" w:tplc="40289B64">
      <w:numFmt w:val="bullet"/>
      <w:lvlText w:val="•"/>
      <w:lvlJc w:val="left"/>
      <w:pPr>
        <w:ind w:left="6821" w:hanging="420"/>
      </w:pPr>
      <w:rPr>
        <w:rFonts w:hint="default"/>
        <w:lang w:val="en-US" w:eastAsia="en-US" w:bidi="ar-SA"/>
      </w:rPr>
    </w:lvl>
    <w:lvl w:ilvl="8" w:tplc="F8848128">
      <w:numFmt w:val="bullet"/>
      <w:lvlText w:val="•"/>
      <w:lvlJc w:val="left"/>
      <w:pPr>
        <w:ind w:left="7704" w:hanging="420"/>
      </w:pPr>
      <w:rPr>
        <w:rFonts w:hint="default"/>
        <w:lang w:val="en-US" w:eastAsia="en-US" w:bidi="ar-SA"/>
      </w:rPr>
    </w:lvl>
  </w:abstractNum>
  <w:abstractNum w:abstractNumId="4" w15:restartNumberingAfterBreak="0">
    <w:nsid w:val="351350DD"/>
    <w:multiLevelType w:val="multilevel"/>
    <w:tmpl w:val="F7DC33D2"/>
    <w:lvl w:ilvl="0">
      <w:start w:val="1"/>
      <w:numFmt w:val="decimal"/>
      <w:lvlText w:val="%1"/>
      <w:lvlJc w:val="left"/>
      <w:pPr>
        <w:ind w:left="939" w:hanging="720"/>
        <w:jc w:val="left"/>
      </w:pPr>
      <w:rPr>
        <w:rFonts w:ascii="Times New Roman" w:eastAsia="Times New Roman" w:hAnsi="Times New Roman" w:cs="Times New Roman" w:hint="default"/>
        <w:b/>
        <w:bCs/>
        <w:i w:val="0"/>
        <w:iCs w:val="0"/>
        <w:spacing w:val="0"/>
        <w:w w:val="101"/>
        <w:sz w:val="28"/>
        <w:szCs w:val="28"/>
        <w:lang w:val="en-US" w:eastAsia="en-US" w:bidi="ar-SA"/>
      </w:rPr>
    </w:lvl>
    <w:lvl w:ilvl="1">
      <w:start w:val="1"/>
      <w:numFmt w:val="decimal"/>
      <w:lvlText w:val="%1.%2"/>
      <w:lvlJc w:val="left"/>
      <w:pPr>
        <w:ind w:left="640" w:hanging="421"/>
        <w:jc w:val="left"/>
      </w:pPr>
      <w:rPr>
        <w:rFonts w:ascii="Times New Roman" w:eastAsia="Times New Roman" w:hAnsi="Times New Roman" w:cs="Times New Roman" w:hint="default"/>
        <w:b/>
        <w:bCs/>
        <w:i w:val="0"/>
        <w:iCs w:val="0"/>
        <w:spacing w:val="0"/>
        <w:w w:val="101"/>
        <w:sz w:val="28"/>
        <w:szCs w:val="28"/>
        <w:lang w:val="en-US" w:eastAsia="en-US" w:bidi="ar-SA"/>
      </w:rPr>
    </w:lvl>
    <w:lvl w:ilvl="2">
      <w:numFmt w:val="bullet"/>
      <w:lvlText w:val=""/>
      <w:lvlJc w:val="left"/>
      <w:pPr>
        <w:ind w:left="638" w:hanging="42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835" w:hanging="420"/>
      </w:pPr>
      <w:rPr>
        <w:rFonts w:hint="default"/>
        <w:lang w:val="en-US" w:eastAsia="en-US" w:bidi="ar-SA"/>
      </w:rPr>
    </w:lvl>
    <w:lvl w:ilvl="4">
      <w:numFmt w:val="bullet"/>
      <w:lvlText w:val="•"/>
      <w:lvlJc w:val="left"/>
      <w:pPr>
        <w:ind w:left="3783" w:hanging="420"/>
      </w:pPr>
      <w:rPr>
        <w:rFonts w:hint="default"/>
        <w:lang w:val="en-US" w:eastAsia="en-US" w:bidi="ar-SA"/>
      </w:rPr>
    </w:lvl>
    <w:lvl w:ilvl="5">
      <w:numFmt w:val="bullet"/>
      <w:lvlText w:val="•"/>
      <w:lvlJc w:val="left"/>
      <w:pPr>
        <w:ind w:left="4731" w:hanging="420"/>
      </w:pPr>
      <w:rPr>
        <w:rFonts w:hint="default"/>
        <w:lang w:val="en-US" w:eastAsia="en-US" w:bidi="ar-SA"/>
      </w:rPr>
    </w:lvl>
    <w:lvl w:ilvl="6">
      <w:numFmt w:val="bullet"/>
      <w:lvlText w:val="•"/>
      <w:lvlJc w:val="left"/>
      <w:pPr>
        <w:ind w:left="5678" w:hanging="420"/>
      </w:pPr>
      <w:rPr>
        <w:rFonts w:hint="default"/>
        <w:lang w:val="en-US" w:eastAsia="en-US" w:bidi="ar-SA"/>
      </w:rPr>
    </w:lvl>
    <w:lvl w:ilvl="7">
      <w:numFmt w:val="bullet"/>
      <w:lvlText w:val="•"/>
      <w:lvlJc w:val="left"/>
      <w:pPr>
        <w:ind w:left="6626" w:hanging="420"/>
      </w:pPr>
      <w:rPr>
        <w:rFonts w:hint="default"/>
        <w:lang w:val="en-US" w:eastAsia="en-US" w:bidi="ar-SA"/>
      </w:rPr>
    </w:lvl>
    <w:lvl w:ilvl="8">
      <w:numFmt w:val="bullet"/>
      <w:lvlText w:val="•"/>
      <w:lvlJc w:val="left"/>
      <w:pPr>
        <w:ind w:left="7574" w:hanging="420"/>
      </w:pPr>
      <w:rPr>
        <w:rFonts w:hint="default"/>
        <w:lang w:val="en-US" w:eastAsia="en-US" w:bidi="ar-SA"/>
      </w:rPr>
    </w:lvl>
  </w:abstractNum>
  <w:abstractNum w:abstractNumId="5" w15:restartNumberingAfterBreak="0">
    <w:nsid w:val="3B3053DB"/>
    <w:multiLevelType w:val="hybridMultilevel"/>
    <w:tmpl w:val="69D0C854"/>
    <w:lvl w:ilvl="0" w:tplc="B7DC1152">
      <w:start w:val="1"/>
      <w:numFmt w:val="decimal"/>
      <w:lvlText w:val="%1."/>
      <w:lvlJc w:val="left"/>
      <w:pPr>
        <w:ind w:left="565" w:hanging="345"/>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33C5E4A">
      <w:numFmt w:val="bullet"/>
      <w:lvlText w:val="•"/>
      <w:lvlJc w:val="left"/>
      <w:pPr>
        <w:ind w:left="1451" w:hanging="345"/>
      </w:pPr>
      <w:rPr>
        <w:rFonts w:hint="default"/>
        <w:lang w:val="en-US" w:eastAsia="en-US" w:bidi="ar-SA"/>
      </w:rPr>
    </w:lvl>
    <w:lvl w:ilvl="2" w:tplc="C7246718">
      <w:numFmt w:val="bullet"/>
      <w:lvlText w:val="•"/>
      <w:lvlJc w:val="left"/>
      <w:pPr>
        <w:ind w:left="2342" w:hanging="345"/>
      </w:pPr>
      <w:rPr>
        <w:rFonts w:hint="default"/>
        <w:lang w:val="en-US" w:eastAsia="en-US" w:bidi="ar-SA"/>
      </w:rPr>
    </w:lvl>
    <w:lvl w:ilvl="3" w:tplc="6CEE8164">
      <w:numFmt w:val="bullet"/>
      <w:lvlText w:val="•"/>
      <w:lvlJc w:val="left"/>
      <w:pPr>
        <w:ind w:left="3233" w:hanging="345"/>
      </w:pPr>
      <w:rPr>
        <w:rFonts w:hint="default"/>
        <w:lang w:val="en-US" w:eastAsia="en-US" w:bidi="ar-SA"/>
      </w:rPr>
    </w:lvl>
    <w:lvl w:ilvl="4" w:tplc="5CC8BB86">
      <w:numFmt w:val="bullet"/>
      <w:lvlText w:val="•"/>
      <w:lvlJc w:val="left"/>
      <w:pPr>
        <w:ind w:left="4124" w:hanging="345"/>
      </w:pPr>
      <w:rPr>
        <w:rFonts w:hint="default"/>
        <w:lang w:val="en-US" w:eastAsia="en-US" w:bidi="ar-SA"/>
      </w:rPr>
    </w:lvl>
    <w:lvl w:ilvl="5" w:tplc="B9FA2752">
      <w:numFmt w:val="bullet"/>
      <w:lvlText w:val="•"/>
      <w:lvlJc w:val="left"/>
      <w:pPr>
        <w:ind w:left="5015" w:hanging="345"/>
      </w:pPr>
      <w:rPr>
        <w:rFonts w:hint="default"/>
        <w:lang w:val="en-US" w:eastAsia="en-US" w:bidi="ar-SA"/>
      </w:rPr>
    </w:lvl>
    <w:lvl w:ilvl="6" w:tplc="E9C23518">
      <w:numFmt w:val="bullet"/>
      <w:lvlText w:val="•"/>
      <w:lvlJc w:val="left"/>
      <w:pPr>
        <w:ind w:left="5906" w:hanging="345"/>
      </w:pPr>
      <w:rPr>
        <w:rFonts w:hint="default"/>
        <w:lang w:val="en-US" w:eastAsia="en-US" w:bidi="ar-SA"/>
      </w:rPr>
    </w:lvl>
    <w:lvl w:ilvl="7" w:tplc="266EC0C2">
      <w:numFmt w:val="bullet"/>
      <w:lvlText w:val="•"/>
      <w:lvlJc w:val="left"/>
      <w:pPr>
        <w:ind w:left="6797" w:hanging="345"/>
      </w:pPr>
      <w:rPr>
        <w:rFonts w:hint="default"/>
        <w:lang w:val="en-US" w:eastAsia="en-US" w:bidi="ar-SA"/>
      </w:rPr>
    </w:lvl>
    <w:lvl w:ilvl="8" w:tplc="5F0851B6">
      <w:numFmt w:val="bullet"/>
      <w:lvlText w:val="•"/>
      <w:lvlJc w:val="left"/>
      <w:pPr>
        <w:ind w:left="7688" w:hanging="345"/>
      </w:pPr>
      <w:rPr>
        <w:rFonts w:hint="default"/>
        <w:lang w:val="en-US" w:eastAsia="en-US" w:bidi="ar-SA"/>
      </w:rPr>
    </w:lvl>
  </w:abstractNum>
  <w:abstractNum w:abstractNumId="6" w15:restartNumberingAfterBreak="0">
    <w:nsid w:val="4D2C448E"/>
    <w:multiLevelType w:val="hybridMultilevel"/>
    <w:tmpl w:val="94EA37E4"/>
    <w:lvl w:ilvl="0" w:tplc="AC98EDC6">
      <w:numFmt w:val="bullet"/>
      <w:lvlText w:val="•"/>
      <w:lvlJc w:val="left"/>
      <w:pPr>
        <w:ind w:left="638" w:hanging="420"/>
      </w:pPr>
      <w:rPr>
        <w:rFonts w:ascii="Garamond" w:eastAsia="Garamond" w:hAnsi="Garamond" w:cs="Garamond" w:hint="default"/>
        <w:b w:val="0"/>
        <w:bCs w:val="0"/>
        <w:i/>
        <w:iCs/>
        <w:spacing w:val="0"/>
        <w:w w:val="119"/>
        <w:sz w:val="24"/>
        <w:szCs w:val="24"/>
        <w:lang w:val="en-US" w:eastAsia="en-US" w:bidi="ar-SA"/>
      </w:rPr>
    </w:lvl>
    <w:lvl w:ilvl="1" w:tplc="61F2DC56">
      <w:numFmt w:val="bullet"/>
      <w:lvlText w:val="•"/>
      <w:lvlJc w:val="left"/>
      <w:pPr>
        <w:ind w:left="1523" w:hanging="420"/>
      </w:pPr>
      <w:rPr>
        <w:rFonts w:hint="default"/>
        <w:lang w:val="en-US" w:eastAsia="en-US" w:bidi="ar-SA"/>
      </w:rPr>
    </w:lvl>
    <w:lvl w:ilvl="2" w:tplc="6442B2F8">
      <w:numFmt w:val="bullet"/>
      <w:lvlText w:val="•"/>
      <w:lvlJc w:val="left"/>
      <w:pPr>
        <w:ind w:left="2406" w:hanging="420"/>
      </w:pPr>
      <w:rPr>
        <w:rFonts w:hint="default"/>
        <w:lang w:val="en-US" w:eastAsia="en-US" w:bidi="ar-SA"/>
      </w:rPr>
    </w:lvl>
    <w:lvl w:ilvl="3" w:tplc="5C663308">
      <w:numFmt w:val="bullet"/>
      <w:lvlText w:val="•"/>
      <w:lvlJc w:val="left"/>
      <w:pPr>
        <w:ind w:left="3289" w:hanging="420"/>
      </w:pPr>
      <w:rPr>
        <w:rFonts w:hint="default"/>
        <w:lang w:val="en-US" w:eastAsia="en-US" w:bidi="ar-SA"/>
      </w:rPr>
    </w:lvl>
    <w:lvl w:ilvl="4" w:tplc="2592D4EE">
      <w:numFmt w:val="bullet"/>
      <w:lvlText w:val="•"/>
      <w:lvlJc w:val="left"/>
      <w:pPr>
        <w:ind w:left="4172" w:hanging="420"/>
      </w:pPr>
      <w:rPr>
        <w:rFonts w:hint="default"/>
        <w:lang w:val="en-US" w:eastAsia="en-US" w:bidi="ar-SA"/>
      </w:rPr>
    </w:lvl>
    <w:lvl w:ilvl="5" w:tplc="24BCB878">
      <w:numFmt w:val="bullet"/>
      <w:lvlText w:val="•"/>
      <w:lvlJc w:val="left"/>
      <w:pPr>
        <w:ind w:left="5055" w:hanging="420"/>
      </w:pPr>
      <w:rPr>
        <w:rFonts w:hint="default"/>
        <w:lang w:val="en-US" w:eastAsia="en-US" w:bidi="ar-SA"/>
      </w:rPr>
    </w:lvl>
    <w:lvl w:ilvl="6" w:tplc="50BC9A78">
      <w:numFmt w:val="bullet"/>
      <w:lvlText w:val="•"/>
      <w:lvlJc w:val="left"/>
      <w:pPr>
        <w:ind w:left="5938" w:hanging="420"/>
      </w:pPr>
      <w:rPr>
        <w:rFonts w:hint="default"/>
        <w:lang w:val="en-US" w:eastAsia="en-US" w:bidi="ar-SA"/>
      </w:rPr>
    </w:lvl>
    <w:lvl w:ilvl="7" w:tplc="78EC7D96">
      <w:numFmt w:val="bullet"/>
      <w:lvlText w:val="•"/>
      <w:lvlJc w:val="left"/>
      <w:pPr>
        <w:ind w:left="6821" w:hanging="420"/>
      </w:pPr>
      <w:rPr>
        <w:rFonts w:hint="default"/>
        <w:lang w:val="en-US" w:eastAsia="en-US" w:bidi="ar-SA"/>
      </w:rPr>
    </w:lvl>
    <w:lvl w:ilvl="8" w:tplc="412C9D86">
      <w:numFmt w:val="bullet"/>
      <w:lvlText w:val="•"/>
      <w:lvlJc w:val="left"/>
      <w:pPr>
        <w:ind w:left="7704" w:hanging="420"/>
      </w:pPr>
      <w:rPr>
        <w:rFonts w:hint="default"/>
        <w:lang w:val="en-US" w:eastAsia="en-US" w:bidi="ar-SA"/>
      </w:rPr>
    </w:lvl>
  </w:abstractNum>
  <w:abstractNum w:abstractNumId="7" w15:restartNumberingAfterBreak="0">
    <w:nsid w:val="4F890E72"/>
    <w:multiLevelType w:val="hybridMultilevel"/>
    <w:tmpl w:val="ACD6FCC2"/>
    <w:lvl w:ilvl="0" w:tplc="3D7E8DBA">
      <w:numFmt w:val="bullet"/>
      <w:lvlText w:val="•"/>
      <w:lvlJc w:val="left"/>
      <w:pPr>
        <w:ind w:left="639" w:hanging="420"/>
      </w:pPr>
      <w:rPr>
        <w:rFonts w:ascii="Garamond" w:eastAsia="Garamond" w:hAnsi="Garamond" w:cs="Garamond" w:hint="default"/>
        <w:b w:val="0"/>
        <w:bCs w:val="0"/>
        <w:i/>
        <w:iCs/>
        <w:spacing w:val="0"/>
        <w:w w:val="119"/>
        <w:sz w:val="24"/>
        <w:szCs w:val="24"/>
        <w:lang w:val="en-US" w:eastAsia="en-US" w:bidi="ar-SA"/>
      </w:rPr>
    </w:lvl>
    <w:lvl w:ilvl="1" w:tplc="AE0A403E">
      <w:numFmt w:val="bullet"/>
      <w:lvlText w:val="•"/>
      <w:lvlJc w:val="left"/>
      <w:pPr>
        <w:ind w:left="1523" w:hanging="420"/>
      </w:pPr>
      <w:rPr>
        <w:rFonts w:hint="default"/>
        <w:lang w:val="en-US" w:eastAsia="en-US" w:bidi="ar-SA"/>
      </w:rPr>
    </w:lvl>
    <w:lvl w:ilvl="2" w:tplc="DC64633C">
      <w:numFmt w:val="bullet"/>
      <w:lvlText w:val="•"/>
      <w:lvlJc w:val="left"/>
      <w:pPr>
        <w:ind w:left="2406" w:hanging="420"/>
      </w:pPr>
      <w:rPr>
        <w:rFonts w:hint="default"/>
        <w:lang w:val="en-US" w:eastAsia="en-US" w:bidi="ar-SA"/>
      </w:rPr>
    </w:lvl>
    <w:lvl w:ilvl="3" w:tplc="51768434">
      <w:numFmt w:val="bullet"/>
      <w:lvlText w:val="•"/>
      <w:lvlJc w:val="left"/>
      <w:pPr>
        <w:ind w:left="3289" w:hanging="420"/>
      </w:pPr>
      <w:rPr>
        <w:rFonts w:hint="default"/>
        <w:lang w:val="en-US" w:eastAsia="en-US" w:bidi="ar-SA"/>
      </w:rPr>
    </w:lvl>
    <w:lvl w:ilvl="4" w:tplc="52923FB8">
      <w:numFmt w:val="bullet"/>
      <w:lvlText w:val="•"/>
      <w:lvlJc w:val="left"/>
      <w:pPr>
        <w:ind w:left="4172" w:hanging="420"/>
      </w:pPr>
      <w:rPr>
        <w:rFonts w:hint="default"/>
        <w:lang w:val="en-US" w:eastAsia="en-US" w:bidi="ar-SA"/>
      </w:rPr>
    </w:lvl>
    <w:lvl w:ilvl="5" w:tplc="D3529656">
      <w:numFmt w:val="bullet"/>
      <w:lvlText w:val="•"/>
      <w:lvlJc w:val="left"/>
      <w:pPr>
        <w:ind w:left="5055" w:hanging="420"/>
      </w:pPr>
      <w:rPr>
        <w:rFonts w:hint="default"/>
        <w:lang w:val="en-US" w:eastAsia="en-US" w:bidi="ar-SA"/>
      </w:rPr>
    </w:lvl>
    <w:lvl w:ilvl="6" w:tplc="D7BCDAB0">
      <w:numFmt w:val="bullet"/>
      <w:lvlText w:val="•"/>
      <w:lvlJc w:val="left"/>
      <w:pPr>
        <w:ind w:left="5938" w:hanging="420"/>
      </w:pPr>
      <w:rPr>
        <w:rFonts w:hint="default"/>
        <w:lang w:val="en-US" w:eastAsia="en-US" w:bidi="ar-SA"/>
      </w:rPr>
    </w:lvl>
    <w:lvl w:ilvl="7" w:tplc="30708442">
      <w:numFmt w:val="bullet"/>
      <w:lvlText w:val="•"/>
      <w:lvlJc w:val="left"/>
      <w:pPr>
        <w:ind w:left="6821" w:hanging="420"/>
      </w:pPr>
      <w:rPr>
        <w:rFonts w:hint="default"/>
        <w:lang w:val="en-US" w:eastAsia="en-US" w:bidi="ar-SA"/>
      </w:rPr>
    </w:lvl>
    <w:lvl w:ilvl="8" w:tplc="404E6F26">
      <w:numFmt w:val="bullet"/>
      <w:lvlText w:val="•"/>
      <w:lvlJc w:val="left"/>
      <w:pPr>
        <w:ind w:left="7704" w:hanging="420"/>
      </w:pPr>
      <w:rPr>
        <w:rFonts w:hint="default"/>
        <w:lang w:val="en-US" w:eastAsia="en-US" w:bidi="ar-SA"/>
      </w:rPr>
    </w:lvl>
  </w:abstractNum>
  <w:abstractNum w:abstractNumId="8" w15:restartNumberingAfterBreak="0">
    <w:nsid w:val="61AE0F26"/>
    <w:multiLevelType w:val="hybridMultilevel"/>
    <w:tmpl w:val="C2408C2A"/>
    <w:lvl w:ilvl="0" w:tplc="A1769C96">
      <w:numFmt w:val="bullet"/>
      <w:lvlText w:val="•"/>
      <w:lvlJc w:val="left"/>
      <w:pPr>
        <w:ind w:left="794" w:hanging="276"/>
      </w:pPr>
      <w:rPr>
        <w:rFonts w:ascii="Arial" w:eastAsia="Arial" w:hAnsi="Arial" w:cs="Arial" w:hint="default"/>
        <w:b w:val="0"/>
        <w:bCs w:val="0"/>
        <w:i w:val="0"/>
        <w:iCs w:val="0"/>
        <w:spacing w:val="0"/>
        <w:w w:val="104"/>
        <w:position w:val="8"/>
        <w:sz w:val="18"/>
        <w:szCs w:val="18"/>
        <w:lang w:val="en-US" w:eastAsia="en-US" w:bidi="ar-SA"/>
      </w:rPr>
    </w:lvl>
    <w:lvl w:ilvl="1" w:tplc="8FD69FE4">
      <w:numFmt w:val="bullet"/>
      <w:lvlText w:val="•"/>
      <w:lvlJc w:val="left"/>
      <w:pPr>
        <w:ind w:left="849" w:hanging="276"/>
      </w:pPr>
      <w:rPr>
        <w:rFonts w:hint="default"/>
        <w:lang w:val="en-US" w:eastAsia="en-US" w:bidi="ar-SA"/>
      </w:rPr>
    </w:lvl>
    <w:lvl w:ilvl="2" w:tplc="7D06EBB4">
      <w:numFmt w:val="bullet"/>
      <w:lvlText w:val="•"/>
      <w:lvlJc w:val="left"/>
      <w:pPr>
        <w:ind w:left="898" w:hanging="276"/>
      </w:pPr>
      <w:rPr>
        <w:rFonts w:hint="default"/>
        <w:lang w:val="en-US" w:eastAsia="en-US" w:bidi="ar-SA"/>
      </w:rPr>
    </w:lvl>
    <w:lvl w:ilvl="3" w:tplc="FC6ECB4C">
      <w:numFmt w:val="bullet"/>
      <w:lvlText w:val="•"/>
      <w:lvlJc w:val="left"/>
      <w:pPr>
        <w:ind w:left="947" w:hanging="276"/>
      </w:pPr>
      <w:rPr>
        <w:rFonts w:hint="default"/>
        <w:lang w:val="en-US" w:eastAsia="en-US" w:bidi="ar-SA"/>
      </w:rPr>
    </w:lvl>
    <w:lvl w:ilvl="4" w:tplc="C0AAF4AC">
      <w:numFmt w:val="bullet"/>
      <w:lvlText w:val="•"/>
      <w:lvlJc w:val="left"/>
      <w:pPr>
        <w:ind w:left="996" w:hanging="276"/>
      </w:pPr>
      <w:rPr>
        <w:rFonts w:hint="default"/>
        <w:lang w:val="en-US" w:eastAsia="en-US" w:bidi="ar-SA"/>
      </w:rPr>
    </w:lvl>
    <w:lvl w:ilvl="5" w:tplc="EFB69ECE">
      <w:numFmt w:val="bullet"/>
      <w:lvlText w:val="•"/>
      <w:lvlJc w:val="left"/>
      <w:pPr>
        <w:ind w:left="1046" w:hanging="276"/>
      </w:pPr>
      <w:rPr>
        <w:rFonts w:hint="default"/>
        <w:lang w:val="en-US" w:eastAsia="en-US" w:bidi="ar-SA"/>
      </w:rPr>
    </w:lvl>
    <w:lvl w:ilvl="6" w:tplc="D6646A86">
      <w:numFmt w:val="bullet"/>
      <w:lvlText w:val="•"/>
      <w:lvlJc w:val="left"/>
      <w:pPr>
        <w:ind w:left="1095" w:hanging="276"/>
      </w:pPr>
      <w:rPr>
        <w:rFonts w:hint="default"/>
        <w:lang w:val="en-US" w:eastAsia="en-US" w:bidi="ar-SA"/>
      </w:rPr>
    </w:lvl>
    <w:lvl w:ilvl="7" w:tplc="FBF6BB08">
      <w:numFmt w:val="bullet"/>
      <w:lvlText w:val="•"/>
      <w:lvlJc w:val="left"/>
      <w:pPr>
        <w:ind w:left="1144" w:hanging="276"/>
      </w:pPr>
      <w:rPr>
        <w:rFonts w:hint="default"/>
        <w:lang w:val="en-US" w:eastAsia="en-US" w:bidi="ar-SA"/>
      </w:rPr>
    </w:lvl>
    <w:lvl w:ilvl="8" w:tplc="D3E69910">
      <w:numFmt w:val="bullet"/>
      <w:lvlText w:val="•"/>
      <w:lvlJc w:val="left"/>
      <w:pPr>
        <w:ind w:left="1193" w:hanging="276"/>
      </w:pPr>
      <w:rPr>
        <w:rFonts w:hint="default"/>
        <w:lang w:val="en-US" w:eastAsia="en-US" w:bidi="ar-SA"/>
      </w:rPr>
    </w:lvl>
  </w:abstractNum>
  <w:abstractNum w:abstractNumId="9" w15:restartNumberingAfterBreak="0">
    <w:nsid w:val="6A592ECE"/>
    <w:multiLevelType w:val="hybridMultilevel"/>
    <w:tmpl w:val="C6D8F210"/>
    <w:lvl w:ilvl="0" w:tplc="064C04C0">
      <w:numFmt w:val="bullet"/>
      <w:lvlText w:val="•"/>
      <w:lvlJc w:val="left"/>
      <w:pPr>
        <w:ind w:left="635" w:hanging="420"/>
      </w:pPr>
      <w:rPr>
        <w:rFonts w:ascii="Garamond" w:eastAsia="Garamond" w:hAnsi="Garamond" w:cs="Garamond" w:hint="default"/>
        <w:b w:val="0"/>
        <w:bCs w:val="0"/>
        <w:i/>
        <w:iCs/>
        <w:spacing w:val="0"/>
        <w:w w:val="119"/>
        <w:sz w:val="24"/>
        <w:szCs w:val="24"/>
        <w:lang w:val="en-US" w:eastAsia="en-US" w:bidi="ar-SA"/>
      </w:rPr>
    </w:lvl>
    <w:lvl w:ilvl="1" w:tplc="897276FA">
      <w:numFmt w:val="bullet"/>
      <w:lvlText w:val="•"/>
      <w:lvlJc w:val="left"/>
      <w:pPr>
        <w:ind w:left="1523" w:hanging="420"/>
      </w:pPr>
      <w:rPr>
        <w:rFonts w:hint="default"/>
        <w:lang w:val="en-US" w:eastAsia="en-US" w:bidi="ar-SA"/>
      </w:rPr>
    </w:lvl>
    <w:lvl w:ilvl="2" w:tplc="E410FFB0">
      <w:numFmt w:val="bullet"/>
      <w:lvlText w:val="•"/>
      <w:lvlJc w:val="left"/>
      <w:pPr>
        <w:ind w:left="2406" w:hanging="420"/>
      </w:pPr>
      <w:rPr>
        <w:rFonts w:hint="default"/>
        <w:lang w:val="en-US" w:eastAsia="en-US" w:bidi="ar-SA"/>
      </w:rPr>
    </w:lvl>
    <w:lvl w:ilvl="3" w:tplc="ADCCE3E8">
      <w:numFmt w:val="bullet"/>
      <w:lvlText w:val="•"/>
      <w:lvlJc w:val="left"/>
      <w:pPr>
        <w:ind w:left="3289" w:hanging="420"/>
      </w:pPr>
      <w:rPr>
        <w:rFonts w:hint="default"/>
        <w:lang w:val="en-US" w:eastAsia="en-US" w:bidi="ar-SA"/>
      </w:rPr>
    </w:lvl>
    <w:lvl w:ilvl="4" w:tplc="ED1A81DA">
      <w:numFmt w:val="bullet"/>
      <w:lvlText w:val="•"/>
      <w:lvlJc w:val="left"/>
      <w:pPr>
        <w:ind w:left="4172" w:hanging="420"/>
      </w:pPr>
      <w:rPr>
        <w:rFonts w:hint="default"/>
        <w:lang w:val="en-US" w:eastAsia="en-US" w:bidi="ar-SA"/>
      </w:rPr>
    </w:lvl>
    <w:lvl w:ilvl="5" w:tplc="EF3436E6">
      <w:numFmt w:val="bullet"/>
      <w:lvlText w:val="•"/>
      <w:lvlJc w:val="left"/>
      <w:pPr>
        <w:ind w:left="5055" w:hanging="420"/>
      </w:pPr>
      <w:rPr>
        <w:rFonts w:hint="default"/>
        <w:lang w:val="en-US" w:eastAsia="en-US" w:bidi="ar-SA"/>
      </w:rPr>
    </w:lvl>
    <w:lvl w:ilvl="6" w:tplc="7E12FBA0">
      <w:numFmt w:val="bullet"/>
      <w:lvlText w:val="•"/>
      <w:lvlJc w:val="left"/>
      <w:pPr>
        <w:ind w:left="5938" w:hanging="420"/>
      </w:pPr>
      <w:rPr>
        <w:rFonts w:hint="default"/>
        <w:lang w:val="en-US" w:eastAsia="en-US" w:bidi="ar-SA"/>
      </w:rPr>
    </w:lvl>
    <w:lvl w:ilvl="7" w:tplc="D4D8EF92">
      <w:numFmt w:val="bullet"/>
      <w:lvlText w:val="•"/>
      <w:lvlJc w:val="left"/>
      <w:pPr>
        <w:ind w:left="6821" w:hanging="420"/>
      </w:pPr>
      <w:rPr>
        <w:rFonts w:hint="default"/>
        <w:lang w:val="en-US" w:eastAsia="en-US" w:bidi="ar-SA"/>
      </w:rPr>
    </w:lvl>
    <w:lvl w:ilvl="8" w:tplc="3A6CBA4E">
      <w:numFmt w:val="bullet"/>
      <w:lvlText w:val="•"/>
      <w:lvlJc w:val="left"/>
      <w:pPr>
        <w:ind w:left="7704" w:hanging="420"/>
      </w:pPr>
      <w:rPr>
        <w:rFonts w:hint="default"/>
        <w:lang w:val="en-US" w:eastAsia="en-US" w:bidi="ar-SA"/>
      </w:rPr>
    </w:lvl>
  </w:abstractNum>
  <w:abstractNum w:abstractNumId="10" w15:restartNumberingAfterBreak="0">
    <w:nsid w:val="6E202045"/>
    <w:multiLevelType w:val="hybridMultilevel"/>
    <w:tmpl w:val="59BAA708"/>
    <w:lvl w:ilvl="0" w:tplc="565EE6B4">
      <w:numFmt w:val="bullet"/>
      <w:lvlText w:val=""/>
      <w:lvlJc w:val="left"/>
      <w:pPr>
        <w:ind w:left="640" w:hanging="420"/>
      </w:pPr>
      <w:rPr>
        <w:rFonts w:ascii="Symbol" w:eastAsia="Symbol" w:hAnsi="Symbol" w:cs="Symbol" w:hint="default"/>
        <w:b w:val="0"/>
        <w:bCs w:val="0"/>
        <w:i w:val="0"/>
        <w:iCs w:val="0"/>
        <w:spacing w:val="0"/>
        <w:w w:val="100"/>
        <w:sz w:val="24"/>
        <w:szCs w:val="24"/>
        <w:lang w:val="en-US" w:eastAsia="en-US" w:bidi="ar-SA"/>
      </w:rPr>
    </w:lvl>
    <w:lvl w:ilvl="1" w:tplc="17EC3D78">
      <w:numFmt w:val="bullet"/>
      <w:lvlText w:val="•"/>
      <w:lvlJc w:val="left"/>
      <w:pPr>
        <w:ind w:left="1523" w:hanging="420"/>
      </w:pPr>
      <w:rPr>
        <w:rFonts w:hint="default"/>
        <w:lang w:val="en-US" w:eastAsia="en-US" w:bidi="ar-SA"/>
      </w:rPr>
    </w:lvl>
    <w:lvl w:ilvl="2" w:tplc="7D189394">
      <w:numFmt w:val="bullet"/>
      <w:lvlText w:val="•"/>
      <w:lvlJc w:val="left"/>
      <w:pPr>
        <w:ind w:left="2406" w:hanging="420"/>
      </w:pPr>
      <w:rPr>
        <w:rFonts w:hint="default"/>
        <w:lang w:val="en-US" w:eastAsia="en-US" w:bidi="ar-SA"/>
      </w:rPr>
    </w:lvl>
    <w:lvl w:ilvl="3" w:tplc="20805AA2">
      <w:numFmt w:val="bullet"/>
      <w:lvlText w:val="•"/>
      <w:lvlJc w:val="left"/>
      <w:pPr>
        <w:ind w:left="3289" w:hanging="420"/>
      </w:pPr>
      <w:rPr>
        <w:rFonts w:hint="default"/>
        <w:lang w:val="en-US" w:eastAsia="en-US" w:bidi="ar-SA"/>
      </w:rPr>
    </w:lvl>
    <w:lvl w:ilvl="4" w:tplc="755CE982">
      <w:numFmt w:val="bullet"/>
      <w:lvlText w:val="•"/>
      <w:lvlJc w:val="left"/>
      <w:pPr>
        <w:ind w:left="4172" w:hanging="420"/>
      </w:pPr>
      <w:rPr>
        <w:rFonts w:hint="default"/>
        <w:lang w:val="en-US" w:eastAsia="en-US" w:bidi="ar-SA"/>
      </w:rPr>
    </w:lvl>
    <w:lvl w:ilvl="5" w:tplc="B2DE8CC6">
      <w:numFmt w:val="bullet"/>
      <w:lvlText w:val="•"/>
      <w:lvlJc w:val="left"/>
      <w:pPr>
        <w:ind w:left="5055" w:hanging="420"/>
      </w:pPr>
      <w:rPr>
        <w:rFonts w:hint="default"/>
        <w:lang w:val="en-US" w:eastAsia="en-US" w:bidi="ar-SA"/>
      </w:rPr>
    </w:lvl>
    <w:lvl w:ilvl="6" w:tplc="1CA41110">
      <w:numFmt w:val="bullet"/>
      <w:lvlText w:val="•"/>
      <w:lvlJc w:val="left"/>
      <w:pPr>
        <w:ind w:left="5938" w:hanging="420"/>
      </w:pPr>
      <w:rPr>
        <w:rFonts w:hint="default"/>
        <w:lang w:val="en-US" w:eastAsia="en-US" w:bidi="ar-SA"/>
      </w:rPr>
    </w:lvl>
    <w:lvl w:ilvl="7" w:tplc="E158A574">
      <w:numFmt w:val="bullet"/>
      <w:lvlText w:val="•"/>
      <w:lvlJc w:val="left"/>
      <w:pPr>
        <w:ind w:left="6821" w:hanging="420"/>
      </w:pPr>
      <w:rPr>
        <w:rFonts w:hint="default"/>
        <w:lang w:val="en-US" w:eastAsia="en-US" w:bidi="ar-SA"/>
      </w:rPr>
    </w:lvl>
    <w:lvl w:ilvl="8" w:tplc="F224DAE8">
      <w:numFmt w:val="bullet"/>
      <w:lvlText w:val="•"/>
      <w:lvlJc w:val="left"/>
      <w:pPr>
        <w:ind w:left="7704" w:hanging="420"/>
      </w:pPr>
      <w:rPr>
        <w:rFonts w:hint="default"/>
        <w:lang w:val="en-US" w:eastAsia="en-US" w:bidi="ar-SA"/>
      </w:rPr>
    </w:lvl>
  </w:abstractNum>
  <w:num w:numId="1" w16cid:durableId="394284130">
    <w:abstractNumId w:val="8"/>
  </w:num>
  <w:num w:numId="2" w16cid:durableId="1680041992">
    <w:abstractNumId w:val="1"/>
  </w:num>
  <w:num w:numId="3" w16cid:durableId="915171060">
    <w:abstractNumId w:val="0"/>
  </w:num>
  <w:num w:numId="4" w16cid:durableId="9525455">
    <w:abstractNumId w:val="7"/>
  </w:num>
  <w:num w:numId="5" w16cid:durableId="1913546024">
    <w:abstractNumId w:val="3"/>
  </w:num>
  <w:num w:numId="6" w16cid:durableId="1561287684">
    <w:abstractNumId w:val="6"/>
  </w:num>
  <w:num w:numId="7" w16cid:durableId="1115949983">
    <w:abstractNumId w:val="9"/>
  </w:num>
  <w:num w:numId="8" w16cid:durableId="886987676">
    <w:abstractNumId w:val="10"/>
  </w:num>
  <w:num w:numId="9" w16cid:durableId="1124152825">
    <w:abstractNumId w:val="2"/>
  </w:num>
  <w:num w:numId="10" w16cid:durableId="217322233">
    <w:abstractNumId w:val="5"/>
  </w:num>
  <w:num w:numId="11" w16cid:durableId="3621697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825E2"/>
    <w:rsid w:val="000839A5"/>
    <w:rsid w:val="001825E2"/>
    <w:rsid w:val="00CB00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5FB70"/>
  <w15:docId w15:val="{B3AEDA33-4B09-41D5-8C2A-2C4A2CFB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39" w:hanging="719"/>
      <w:outlineLvl w:val="0"/>
    </w:pPr>
    <w:rPr>
      <w:b/>
      <w:bCs/>
      <w:sz w:val="28"/>
      <w:szCs w:val="28"/>
    </w:rPr>
  </w:style>
  <w:style w:type="paragraph" w:styleId="Heading2">
    <w:name w:val="heading 2"/>
    <w:basedOn w:val="Normal"/>
    <w:uiPriority w:val="9"/>
    <w:unhideWhenUsed/>
    <w:qFormat/>
    <w:pPr>
      <w:spacing w:before="227"/>
      <w:ind w:left="638" w:hanging="418"/>
      <w:outlineLvl w:val="1"/>
    </w:pPr>
    <w:rPr>
      <w:b/>
      <w:bCs/>
      <w:sz w:val="28"/>
      <w:szCs w:val="28"/>
    </w:rPr>
  </w:style>
  <w:style w:type="paragraph" w:styleId="Heading3">
    <w:name w:val="heading 3"/>
    <w:basedOn w:val="Normal"/>
    <w:uiPriority w:val="9"/>
    <w:unhideWhenUsed/>
    <w:qFormat/>
    <w:pPr>
      <w:spacing w:before="76"/>
      <w:ind w:left="220"/>
      <w:outlineLvl w:val="2"/>
    </w:pPr>
    <w:rPr>
      <w:b/>
      <w:bCs/>
      <w:sz w:val="24"/>
      <w:szCs w:val="24"/>
    </w:rPr>
  </w:style>
  <w:style w:type="paragraph" w:styleId="Heading4">
    <w:name w:val="heading 4"/>
    <w:basedOn w:val="Normal"/>
    <w:uiPriority w:val="9"/>
    <w:unhideWhenUsed/>
    <w:qFormat/>
    <w:pPr>
      <w:spacing w:before="249"/>
      <w:ind w:left="220"/>
      <w:jc w:val="both"/>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Title">
    <w:name w:val="Title"/>
    <w:basedOn w:val="Normal"/>
    <w:uiPriority w:val="10"/>
    <w:qFormat/>
    <w:pPr>
      <w:spacing w:before="231"/>
      <w:ind w:left="220"/>
      <w:jc w:val="both"/>
    </w:pPr>
    <w:rPr>
      <w:b/>
      <w:bCs/>
      <w:sz w:val="40"/>
      <w:szCs w:val="40"/>
    </w:rPr>
  </w:style>
  <w:style w:type="paragraph" w:styleId="ListParagraph">
    <w:name w:val="List Paragraph"/>
    <w:basedOn w:val="Normal"/>
    <w:uiPriority w:val="1"/>
    <w:qFormat/>
    <w:pPr>
      <w:ind w:left="638" w:hanging="420"/>
      <w:jc w:val="both"/>
    </w:pPr>
  </w:style>
  <w:style w:type="paragraph" w:customStyle="1" w:styleId="TableParagraph">
    <w:name w:val="Table Paragraph"/>
    <w:basedOn w:val="Normal"/>
    <w:uiPriority w:val="1"/>
    <w:qFormat/>
    <w:pPr>
      <w:ind w:left="112"/>
      <w:jc w:val="center"/>
    </w:pPr>
  </w:style>
  <w:style w:type="paragraph" w:styleId="Header">
    <w:name w:val="header"/>
    <w:basedOn w:val="Normal"/>
    <w:link w:val="HeaderChar"/>
    <w:uiPriority w:val="99"/>
    <w:unhideWhenUsed/>
    <w:rsid w:val="00CB00A7"/>
    <w:pPr>
      <w:tabs>
        <w:tab w:val="center" w:pos="4513"/>
        <w:tab w:val="right" w:pos="9026"/>
      </w:tabs>
    </w:pPr>
  </w:style>
  <w:style w:type="character" w:customStyle="1" w:styleId="HeaderChar">
    <w:name w:val="Header Char"/>
    <w:basedOn w:val="DefaultParagraphFont"/>
    <w:link w:val="Header"/>
    <w:uiPriority w:val="99"/>
    <w:rsid w:val="00CB00A7"/>
    <w:rPr>
      <w:rFonts w:ascii="Times New Roman" w:eastAsia="Times New Roman" w:hAnsi="Times New Roman" w:cs="Times New Roman"/>
    </w:rPr>
  </w:style>
  <w:style w:type="paragraph" w:styleId="Footer">
    <w:name w:val="footer"/>
    <w:basedOn w:val="Normal"/>
    <w:link w:val="FooterChar"/>
    <w:unhideWhenUsed/>
    <w:rsid w:val="00CB00A7"/>
    <w:pPr>
      <w:tabs>
        <w:tab w:val="center" w:pos="4513"/>
        <w:tab w:val="right" w:pos="9026"/>
      </w:tabs>
    </w:pPr>
  </w:style>
  <w:style w:type="character" w:customStyle="1" w:styleId="FooterChar">
    <w:name w:val="Footer Char"/>
    <w:basedOn w:val="DefaultParagraphFont"/>
    <w:link w:val="Footer"/>
    <w:rsid w:val="00CB00A7"/>
    <w:rPr>
      <w:rFonts w:ascii="Times New Roman" w:eastAsia="Times New Roman" w:hAnsi="Times New Roman" w:cs="Times New Roman"/>
    </w:rPr>
  </w:style>
  <w:style w:type="character" w:styleId="Hyperlink">
    <w:name w:val="Hyperlink"/>
    <w:basedOn w:val="DefaultParagraphFont"/>
    <w:uiPriority w:val="99"/>
    <w:unhideWhenUsed/>
    <w:rsid w:val="00CB00A7"/>
    <w:rPr>
      <w:color w:val="0000FF"/>
      <w:u w:val="single"/>
    </w:rPr>
  </w:style>
  <w:style w:type="table" w:styleId="TableGrid">
    <w:name w:val="Table Grid"/>
    <w:basedOn w:val="TableNormal"/>
    <w:uiPriority w:val="59"/>
    <w:rsid w:val="00CB00A7"/>
    <w:pPr>
      <w:widowControl/>
      <w:autoSpaceDE/>
      <w:autoSpaceDN/>
    </w:pPr>
    <w:rPr>
      <w:rFonts w:ascii="Times New Roman" w:hAnsi="Times New Roman" w:cs="Times New Roman"/>
      <w:sz w:val="20"/>
      <w:szCs w:val="20"/>
      <w:lang w:val="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7.png"/><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30.png"/><Relationship Id="rId47" Type="http://schemas.openxmlformats.org/officeDocument/2006/relationships/image" Target="media/image35.png"/><Relationship Id="rId50" Type="http://schemas.openxmlformats.org/officeDocument/2006/relationships/image" Target="media/image38.png"/><Relationship Id="rId55" Type="http://schemas.openxmlformats.org/officeDocument/2006/relationships/image" Target="media/image43.png"/><Relationship Id="rId63" Type="http://schemas.openxmlformats.org/officeDocument/2006/relationships/theme" Target="theme/theme1.xml"/><Relationship Id="rId7" Type="http://schemas.openxmlformats.org/officeDocument/2006/relationships/hyperlink" Target="http://www.tga.gov.au/reporting-problems"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image" Target="media/image29.png"/><Relationship Id="rId54" Type="http://schemas.openxmlformats.org/officeDocument/2006/relationships/image" Target="media/image42.png"/><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ga.gov.au/reporting-problems"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image" Target="media/image41.png"/><Relationship Id="rId58" Type="http://schemas.openxmlformats.org/officeDocument/2006/relationships/image" Target="media/image46.png"/><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image" Target="media/image37.png"/><Relationship Id="rId57" Type="http://schemas.openxmlformats.org/officeDocument/2006/relationships/image" Target="media/image45.png"/><Relationship Id="rId61" Type="http://schemas.openxmlformats.org/officeDocument/2006/relationships/hyperlink" Target="http://www.pfizermedinfo.com.au/" TargetMode="External"/><Relationship Id="rId10" Type="http://schemas.openxmlformats.org/officeDocument/2006/relationships/image" Target="media/image1.jpeg"/><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image" Target="media/image32.png"/><Relationship Id="rId52" Type="http://schemas.openxmlformats.org/officeDocument/2006/relationships/image" Target="media/image40.png"/><Relationship Id="rId60" Type="http://schemas.openxmlformats.org/officeDocument/2006/relationships/image" Target="media/image48.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image" Target="media/image36.png"/><Relationship Id="rId56" Type="http://schemas.openxmlformats.org/officeDocument/2006/relationships/image" Target="media/image44.png"/><Relationship Id="rId8" Type="http://schemas.openxmlformats.org/officeDocument/2006/relationships/header" Target="header1.xml"/><Relationship Id="rId51" Type="http://schemas.openxmlformats.org/officeDocument/2006/relationships/image" Target="media/image39.png"/><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59" Type="http://schemas.openxmlformats.org/officeDocument/2006/relationships/image" Target="media/image47.png"/></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79</Pages>
  <Words>29648</Words>
  <Characters>169000</Characters>
  <Application>Microsoft Office Word</Application>
  <DocSecurity>0</DocSecurity>
  <Lines>1408</Lines>
  <Paragraphs>396</Paragraphs>
  <ScaleCrop>false</ScaleCrop>
  <Company/>
  <LinksUpToDate>false</LinksUpToDate>
  <CharactersWithSpaces>198252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LACK, Janet</cp:lastModifiedBy>
  <cp:revision>3</cp:revision>
  <cp:lastPrinted>2024-09-03T01:49:00Z</cp:lastPrinted>
  <dcterms:created xsi:type="dcterms:W3CDTF">2024-09-03T01:46:00Z</dcterms:created>
  <dcterms:modified xsi:type="dcterms:W3CDTF">2024-09-03T01:52:00Z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LastSaved">
    <vt:filetime>2024-08-28T00:00:00Z</vt:filetime>
  </property>
  <property fmtid="{D5CDD505-2E9C-101B-9397-08002B2CF9AE}" pid="4" name="Producer">
    <vt:lpwstr>PDFTron PDFNet, V6.86671
</vt:lpwstr>
  </property>
</Properties>
</file>