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5576408A" w:rsidR="00F02AEC" w:rsidRPr="00215D48" w:rsidRDefault="00457050" w:rsidP="002B29B2">
            <w:pPr>
              <w:pStyle w:val="Title"/>
            </w:pPr>
            <w:r>
              <w:t>Notice of final decisions to amend (or not amend) the current Poisons Standard</w:t>
            </w:r>
            <w:r w:rsidR="00176743">
              <w:br/>
            </w:r>
          </w:p>
        </w:tc>
      </w:tr>
      <w:tr w:rsidR="00F02AEC" w:rsidRPr="00215D48" w14:paraId="5819680E" w14:textId="77777777" w:rsidTr="002B29B2">
        <w:trPr>
          <w:trHeight w:val="1916"/>
        </w:trPr>
        <w:tc>
          <w:tcPr>
            <w:tcW w:w="8720" w:type="dxa"/>
          </w:tcPr>
          <w:p w14:paraId="54DDB299" w14:textId="113DFD7A" w:rsidR="00F02AEC" w:rsidRPr="00215D48" w:rsidRDefault="00E05866" w:rsidP="00D1612F">
            <w:pPr>
              <w:pStyle w:val="Subtitle"/>
              <w:ind w:left="0"/>
            </w:pPr>
            <w:r>
              <w:t>27</w:t>
            </w:r>
            <w:r w:rsidR="00771812">
              <w:t xml:space="preserve"> September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4A129D">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F29BA" w:rsidRDefault="00F02AEC" w:rsidP="00DE78C9">
      <w:pPr>
        <w:rPr>
          <w:b/>
          <w:bCs/>
          <w:sz w:val="16"/>
          <w:szCs w:val="16"/>
        </w:rPr>
      </w:pPr>
      <w:r w:rsidRPr="00DF29BA">
        <w:rPr>
          <w:b/>
          <w:bCs/>
          <w:sz w:val="16"/>
          <w:szCs w:val="16"/>
        </w:rPr>
        <w:lastRenderedPageBreak/>
        <w:t>Copyright</w:t>
      </w:r>
    </w:p>
    <w:p w14:paraId="5671087C" w14:textId="29DCCB99" w:rsidR="00175CD8" w:rsidRPr="00D911C8" w:rsidRDefault="00F02AEC" w:rsidP="00DE78C9">
      <w:pPr>
        <w:rPr>
          <w:sz w:val="16"/>
          <w:szCs w:val="16"/>
        </w:rPr>
      </w:pPr>
      <w:r w:rsidRPr="00D911C8">
        <w:rPr>
          <w:sz w:val="16"/>
          <w:szCs w:val="16"/>
        </w:rPr>
        <w:t>© Commonwealth of Australia 202</w:t>
      </w:r>
      <w:r w:rsidR="007B13FF" w:rsidRPr="00D911C8">
        <w:rPr>
          <w:sz w:val="16"/>
          <w:szCs w:val="16"/>
        </w:rPr>
        <w:t>4</w:t>
      </w:r>
      <w:r w:rsidRPr="00D911C8">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911C8">
        <w:rPr>
          <w:i/>
          <w:sz w:val="16"/>
          <w:szCs w:val="16"/>
        </w:rPr>
        <w:t>Copyright Act 1968</w:t>
      </w:r>
      <w:r w:rsidRPr="00D911C8">
        <w:rPr>
          <w:sz w:val="16"/>
          <w:szCs w:val="16"/>
        </w:rPr>
        <w:t xml:space="preserve"> or allowed by this copyright notice, all other rights are </w:t>
      </w:r>
      <w:proofErr w:type="gramStart"/>
      <w:r w:rsidRPr="00D911C8">
        <w:rPr>
          <w:sz w:val="16"/>
          <w:szCs w:val="16"/>
        </w:rPr>
        <w:t>reserved</w:t>
      </w:r>
      <w:proofErr w:type="gramEnd"/>
      <w:r w:rsidRPr="00D911C8">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911C8">
          <w:rPr>
            <w:rStyle w:val="Hyperlink"/>
            <w:rFonts w:cs="Arial"/>
            <w:sz w:val="16"/>
            <w:szCs w:val="16"/>
          </w:rPr>
          <w:t>tga.copyright@tga.gov.au</w:t>
        </w:r>
      </w:hyperlink>
      <w:r w:rsidRPr="00D911C8">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p>
        <w:p w14:paraId="5855160A" w14:textId="3716B21F" w:rsidR="00A00C05" w:rsidRDefault="00F02AEC">
          <w:pPr>
            <w:pStyle w:val="TOC1"/>
            <w:rPr>
              <w:rFonts w:asciiTheme="minorHAnsi" w:eastAsiaTheme="minorEastAsia" w:hAnsiTheme="minorHAnsi" w:cstheme="minorBidi"/>
              <w:b w:val="0"/>
              <w:noProof/>
              <w:color w:val="auto"/>
              <w:kern w:val="2"/>
              <w:sz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0120983" w:history="1">
            <w:r w:rsidR="00A00C05" w:rsidRPr="00400A05">
              <w:rPr>
                <w:rStyle w:val="Hyperlink"/>
                <w:noProof/>
              </w:rPr>
              <w:t>Notice of final decisions to amend (or not amend) the current Poisons Standard</w:t>
            </w:r>
            <w:r w:rsidR="00A00C05">
              <w:rPr>
                <w:noProof/>
                <w:webHidden/>
              </w:rPr>
              <w:tab/>
            </w:r>
            <w:r w:rsidR="00A00C05">
              <w:rPr>
                <w:noProof/>
                <w:webHidden/>
              </w:rPr>
              <w:fldChar w:fldCharType="begin"/>
            </w:r>
            <w:r w:rsidR="00A00C05">
              <w:rPr>
                <w:noProof/>
                <w:webHidden/>
              </w:rPr>
              <w:instrText xml:space="preserve"> PAGEREF _Toc170120983 \h </w:instrText>
            </w:r>
            <w:r w:rsidR="00A00C05">
              <w:rPr>
                <w:noProof/>
                <w:webHidden/>
              </w:rPr>
            </w:r>
            <w:r w:rsidR="00A00C05">
              <w:rPr>
                <w:noProof/>
                <w:webHidden/>
              </w:rPr>
              <w:fldChar w:fldCharType="separate"/>
            </w:r>
            <w:r w:rsidR="00A00C05">
              <w:rPr>
                <w:noProof/>
                <w:webHidden/>
              </w:rPr>
              <w:t>4</w:t>
            </w:r>
            <w:r w:rsidR="00A00C05">
              <w:rPr>
                <w:noProof/>
                <w:webHidden/>
              </w:rPr>
              <w:fldChar w:fldCharType="end"/>
            </w:r>
          </w:hyperlink>
        </w:p>
        <w:p w14:paraId="533B5A65" w14:textId="603BE999" w:rsidR="00A00C05" w:rsidRDefault="00F04479">
          <w:pPr>
            <w:pStyle w:val="TOC1"/>
            <w:rPr>
              <w:rFonts w:asciiTheme="minorHAnsi" w:eastAsiaTheme="minorEastAsia" w:hAnsiTheme="minorHAnsi" w:cstheme="minorBidi"/>
              <w:b w:val="0"/>
              <w:noProof/>
              <w:color w:val="auto"/>
              <w:kern w:val="2"/>
              <w:sz w:val="22"/>
              <w:lang w:eastAsia="en-AU"/>
              <w14:ligatures w14:val="standardContextual"/>
            </w:rPr>
          </w:pPr>
          <w:hyperlink w:anchor="_Toc170120984" w:history="1">
            <w:r w:rsidR="00A00C05" w:rsidRPr="00400A05">
              <w:rPr>
                <w:rStyle w:val="Hyperlink"/>
                <w:noProof/>
              </w:rPr>
              <w:t>Final decisions on proposed amendments referred to the Advisory Committee on Medicines Scheduling (ACMS #43, November 2023)</w:t>
            </w:r>
            <w:r w:rsidR="00A00C05">
              <w:rPr>
                <w:noProof/>
                <w:webHidden/>
              </w:rPr>
              <w:tab/>
            </w:r>
            <w:r w:rsidR="00A00C05">
              <w:rPr>
                <w:noProof/>
                <w:webHidden/>
              </w:rPr>
              <w:fldChar w:fldCharType="begin"/>
            </w:r>
            <w:r w:rsidR="00A00C05">
              <w:rPr>
                <w:noProof/>
                <w:webHidden/>
              </w:rPr>
              <w:instrText xml:space="preserve"> PAGEREF _Toc170120984 \h </w:instrText>
            </w:r>
            <w:r w:rsidR="00A00C05">
              <w:rPr>
                <w:noProof/>
                <w:webHidden/>
              </w:rPr>
            </w:r>
            <w:r w:rsidR="00A00C05">
              <w:rPr>
                <w:noProof/>
                <w:webHidden/>
              </w:rPr>
              <w:fldChar w:fldCharType="separate"/>
            </w:r>
            <w:r w:rsidR="00A00C05">
              <w:rPr>
                <w:noProof/>
                <w:webHidden/>
              </w:rPr>
              <w:t>5</w:t>
            </w:r>
            <w:r w:rsidR="00A00C05">
              <w:rPr>
                <w:noProof/>
                <w:webHidden/>
              </w:rPr>
              <w:fldChar w:fldCharType="end"/>
            </w:r>
          </w:hyperlink>
        </w:p>
        <w:p w14:paraId="2707A996" w14:textId="0D813EB3" w:rsidR="00A00C05" w:rsidRDefault="00F04479">
          <w:pPr>
            <w:pStyle w:val="TOC2"/>
            <w:rPr>
              <w:rFonts w:asciiTheme="minorHAnsi" w:eastAsiaTheme="minorEastAsia" w:hAnsiTheme="minorHAnsi" w:cstheme="minorBidi"/>
              <w:b w:val="0"/>
              <w:noProof/>
              <w:color w:val="auto"/>
              <w:kern w:val="2"/>
              <w:sz w:val="22"/>
              <w:lang w:eastAsia="en-AU"/>
              <w14:ligatures w14:val="standardContextual"/>
            </w:rPr>
          </w:pPr>
          <w:hyperlink w:anchor="_Toc170120985" w:history="1">
            <w:r w:rsidR="00A00C05" w:rsidRPr="00400A05">
              <w:rPr>
                <w:rStyle w:val="Hyperlink"/>
                <w:noProof/>
              </w:rPr>
              <w:t>Final decision in relation to glycopyrronium</w:t>
            </w:r>
            <w:r w:rsidR="00A00C05">
              <w:rPr>
                <w:noProof/>
                <w:webHidden/>
              </w:rPr>
              <w:tab/>
            </w:r>
            <w:r w:rsidR="00A00C05">
              <w:rPr>
                <w:noProof/>
                <w:webHidden/>
              </w:rPr>
              <w:fldChar w:fldCharType="begin"/>
            </w:r>
            <w:r w:rsidR="00A00C05">
              <w:rPr>
                <w:noProof/>
                <w:webHidden/>
              </w:rPr>
              <w:instrText xml:space="preserve"> PAGEREF _Toc170120985 \h </w:instrText>
            </w:r>
            <w:r w:rsidR="00A00C05">
              <w:rPr>
                <w:noProof/>
                <w:webHidden/>
              </w:rPr>
            </w:r>
            <w:r w:rsidR="00A00C05">
              <w:rPr>
                <w:noProof/>
                <w:webHidden/>
              </w:rPr>
              <w:fldChar w:fldCharType="separate"/>
            </w:r>
            <w:r w:rsidR="00A00C05">
              <w:rPr>
                <w:noProof/>
                <w:webHidden/>
              </w:rPr>
              <w:t>5</w:t>
            </w:r>
            <w:r w:rsidR="00A00C05">
              <w:rPr>
                <w:noProof/>
                <w:webHidden/>
              </w:rPr>
              <w:fldChar w:fldCharType="end"/>
            </w:r>
          </w:hyperlink>
        </w:p>
        <w:p w14:paraId="6C01B19C" w14:textId="3C03E6B8" w:rsidR="00A00C05" w:rsidRDefault="00F04479">
          <w:pPr>
            <w:pStyle w:val="TOC1"/>
            <w:rPr>
              <w:rFonts w:asciiTheme="minorHAnsi" w:eastAsiaTheme="minorEastAsia" w:hAnsiTheme="minorHAnsi" w:cstheme="minorBidi"/>
              <w:b w:val="0"/>
              <w:noProof/>
              <w:color w:val="auto"/>
              <w:kern w:val="2"/>
              <w:sz w:val="22"/>
              <w:lang w:eastAsia="en-AU"/>
              <w14:ligatures w14:val="standardContextual"/>
            </w:rPr>
          </w:pPr>
          <w:hyperlink w:anchor="_Toc170120986" w:history="1">
            <w:r w:rsidR="00A00C05" w:rsidRPr="00400A05">
              <w:rPr>
                <w:rStyle w:val="Hyperlink"/>
                <w:noProof/>
              </w:rPr>
              <w:t>Final decisions on proposed amendments referred to the Advisory Committee on Medicines and Chemicals Scheduling in joint session (Joint ACMS-ACCS #35, November 2023)</w:t>
            </w:r>
            <w:r w:rsidR="00A00C05">
              <w:rPr>
                <w:noProof/>
                <w:webHidden/>
              </w:rPr>
              <w:tab/>
            </w:r>
            <w:r w:rsidR="00A00C05">
              <w:rPr>
                <w:noProof/>
                <w:webHidden/>
              </w:rPr>
              <w:fldChar w:fldCharType="begin"/>
            </w:r>
            <w:r w:rsidR="00A00C05">
              <w:rPr>
                <w:noProof/>
                <w:webHidden/>
              </w:rPr>
              <w:instrText xml:space="preserve"> PAGEREF _Toc170120986 \h </w:instrText>
            </w:r>
            <w:r w:rsidR="00A00C05">
              <w:rPr>
                <w:noProof/>
                <w:webHidden/>
              </w:rPr>
            </w:r>
            <w:r w:rsidR="00A00C05">
              <w:rPr>
                <w:noProof/>
                <w:webHidden/>
              </w:rPr>
              <w:fldChar w:fldCharType="separate"/>
            </w:r>
            <w:r w:rsidR="00A00C05">
              <w:rPr>
                <w:noProof/>
                <w:webHidden/>
              </w:rPr>
              <w:t>7</w:t>
            </w:r>
            <w:r w:rsidR="00A00C05">
              <w:rPr>
                <w:noProof/>
                <w:webHidden/>
              </w:rPr>
              <w:fldChar w:fldCharType="end"/>
            </w:r>
          </w:hyperlink>
        </w:p>
        <w:p w14:paraId="1807B0E0" w14:textId="543B981C" w:rsidR="00A00C05" w:rsidRDefault="00F04479">
          <w:pPr>
            <w:pStyle w:val="TOC2"/>
            <w:rPr>
              <w:rFonts w:asciiTheme="minorHAnsi" w:eastAsiaTheme="minorEastAsia" w:hAnsiTheme="minorHAnsi" w:cstheme="minorBidi"/>
              <w:b w:val="0"/>
              <w:noProof/>
              <w:color w:val="auto"/>
              <w:kern w:val="2"/>
              <w:sz w:val="22"/>
              <w:lang w:eastAsia="en-AU"/>
              <w14:ligatures w14:val="standardContextual"/>
            </w:rPr>
          </w:pPr>
          <w:hyperlink w:anchor="_Toc170120987" w:history="1">
            <w:r w:rsidR="00A00C05" w:rsidRPr="00400A05">
              <w:rPr>
                <w:rStyle w:val="Hyperlink"/>
                <w:noProof/>
              </w:rPr>
              <w:t>Final decision in relation to palmitoylethanolamide (PEA)</w:t>
            </w:r>
            <w:r w:rsidR="00A00C05">
              <w:rPr>
                <w:noProof/>
                <w:webHidden/>
              </w:rPr>
              <w:tab/>
            </w:r>
            <w:r w:rsidR="00A00C05">
              <w:rPr>
                <w:noProof/>
                <w:webHidden/>
              </w:rPr>
              <w:fldChar w:fldCharType="begin"/>
            </w:r>
            <w:r w:rsidR="00A00C05">
              <w:rPr>
                <w:noProof/>
                <w:webHidden/>
              </w:rPr>
              <w:instrText xml:space="preserve"> PAGEREF _Toc170120987 \h </w:instrText>
            </w:r>
            <w:r w:rsidR="00A00C05">
              <w:rPr>
                <w:noProof/>
                <w:webHidden/>
              </w:rPr>
            </w:r>
            <w:r w:rsidR="00A00C05">
              <w:rPr>
                <w:noProof/>
                <w:webHidden/>
              </w:rPr>
              <w:fldChar w:fldCharType="separate"/>
            </w:r>
            <w:r w:rsidR="00A00C05">
              <w:rPr>
                <w:noProof/>
                <w:webHidden/>
              </w:rPr>
              <w:t>7</w:t>
            </w:r>
            <w:r w:rsidR="00A00C05">
              <w:rPr>
                <w:noProof/>
                <w:webHidden/>
              </w:rPr>
              <w:fldChar w:fldCharType="end"/>
            </w:r>
          </w:hyperlink>
        </w:p>
        <w:p w14:paraId="09B05728" w14:textId="7A1936F2"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77777777" w:rsidR="00457050" w:rsidRPr="00D318D9" w:rsidRDefault="00457050" w:rsidP="00967490">
      <w:pPr>
        <w:pStyle w:val="Heading2"/>
      </w:pPr>
      <w:bookmarkStart w:id="0" w:name="_Toc97640261"/>
      <w:bookmarkStart w:id="1" w:name="_Toc170120983"/>
      <w:r w:rsidRPr="00597B50">
        <w:lastRenderedPageBreak/>
        <w:t xml:space="preserve">Notice of final decisions to amend (or not amend) </w:t>
      </w:r>
      <w:r w:rsidRPr="00D318D9">
        <w:t>the current Poisons Standard</w:t>
      </w:r>
      <w:bookmarkEnd w:id="0"/>
      <w:bookmarkEnd w:id="1"/>
      <w:r w:rsidRPr="00D318D9">
        <w:t xml:space="preserve"> </w:t>
      </w:r>
    </w:p>
    <w:p w14:paraId="2FB850E1" w14:textId="169ABD98" w:rsidR="00457050" w:rsidRPr="00D318D9" w:rsidRDefault="00457050" w:rsidP="00967490">
      <w:r w:rsidRPr="00D318D9">
        <w:t xml:space="preserve">This web publication constitutes a notice for the purposes of regulation 42ZCZS of the </w:t>
      </w:r>
      <w:r w:rsidRPr="00D318D9">
        <w:rPr>
          <w:i/>
        </w:rPr>
        <w:t xml:space="preserve">Therapeutic Goods Regulations 1990 </w:t>
      </w:r>
      <w:r w:rsidRPr="00D318D9">
        <w:t xml:space="preserve">(the </w:t>
      </w:r>
      <w:r w:rsidRPr="00D318D9">
        <w:rPr>
          <w:b/>
        </w:rPr>
        <w:t>Regulations</w:t>
      </w:r>
      <w:r w:rsidRPr="00D318D9">
        <w:t>). In accordance with regulations</w:t>
      </w:r>
      <w:r w:rsidR="00D1655D" w:rsidRPr="00D318D9">
        <w:t xml:space="preserve"> </w:t>
      </w:r>
      <w:r w:rsidRPr="00D318D9">
        <w:t xml:space="preserve">42ZCZS, this notice </w:t>
      </w:r>
      <w:r w:rsidR="00B1089E">
        <w:t>comprises</w:t>
      </w:r>
      <w:r w:rsidRPr="00D318D9">
        <w:t>:</w:t>
      </w:r>
    </w:p>
    <w:p w14:paraId="4D038242" w14:textId="5C21A0A9" w:rsidR="00457050" w:rsidRPr="002B6996" w:rsidRDefault="00457050" w:rsidP="00F01041">
      <w:pPr>
        <w:pStyle w:val="ListBullet"/>
        <w:numPr>
          <w:ilvl w:val="0"/>
          <w:numId w:val="16"/>
        </w:numPr>
        <w:rPr>
          <w:b w:val="0"/>
          <w:bCs w:val="0"/>
          <w:i w:val="0"/>
          <w:iCs w:val="0"/>
        </w:rPr>
      </w:pPr>
      <w:r w:rsidRPr="002B6996">
        <w:rPr>
          <w:b w:val="0"/>
          <w:bCs w:val="0"/>
          <w:i w:val="0"/>
          <w:iCs w:val="0"/>
        </w:rPr>
        <w:t>the decisions made by a delegate</w:t>
      </w:r>
      <w:r w:rsidRPr="002B6996">
        <w:rPr>
          <w:rStyle w:val="FootnoteReference"/>
          <w:b w:val="0"/>
          <w:bCs w:val="0"/>
          <w:i w:val="0"/>
          <w:iCs w:val="0"/>
        </w:rPr>
        <w:footnoteReference w:id="1"/>
      </w:r>
      <w:r w:rsidRPr="002B6996">
        <w:rPr>
          <w:b w:val="0"/>
          <w:bCs w:val="0"/>
          <w:i w:val="0"/>
          <w:iCs w:val="0"/>
        </w:rPr>
        <w:t xml:space="preserve"> of the Secretary of the Department of Health and Aged Care (the Delegate) pursuant to regulations 42</w:t>
      </w:r>
      <w:r w:rsidR="00043EA3">
        <w:rPr>
          <w:b w:val="0"/>
          <w:bCs w:val="0"/>
          <w:i w:val="0"/>
          <w:iCs w:val="0"/>
        </w:rPr>
        <w:t>Z</w:t>
      </w:r>
      <w:r w:rsidRPr="002B6996">
        <w:rPr>
          <w:b w:val="0"/>
          <w:bCs w:val="0"/>
          <w:i w:val="0"/>
          <w:iCs w:val="0"/>
        </w:rPr>
        <w:t>CZR</w:t>
      </w:r>
    </w:p>
    <w:p w14:paraId="1AA8F280" w14:textId="49620A8B" w:rsidR="00457050" w:rsidRPr="002B6996" w:rsidRDefault="00457050" w:rsidP="00F01041">
      <w:pPr>
        <w:pStyle w:val="ListBullet"/>
        <w:numPr>
          <w:ilvl w:val="0"/>
          <w:numId w:val="16"/>
        </w:numPr>
        <w:rPr>
          <w:b w:val="0"/>
          <w:bCs w:val="0"/>
          <w:i w:val="0"/>
          <w:iCs w:val="0"/>
        </w:rPr>
      </w:pPr>
      <w:r w:rsidRPr="002B6996">
        <w:rPr>
          <w:b w:val="0"/>
          <w:bCs w:val="0"/>
          <w:i w:val="0"/>
          <w:iCs w:val="0"/>
        </w:rPr>
        <w:t>the reasons for those final decisions</w:t>
      </w:r>
      <w:r w:rsidR="00D443A2" w:rsidRPr="002B6996">
        <w:rPr>
          <w:b w:val="0"/>
          <w:bCs w:val="0"/>
          <w:i w:val="0"/>
          <w:iCs w:val="0"/>
        </w:rPr>
        <w:t>,</w:t>
      </w:r>
      <w:r w:rsidRPr="002B6996">
        <w:rPr>
          <w:b w:val="0"/>
          <w:bCs w:val="0"/>
          <w:i w:val="0"/>
          <w:iCs w:val="0"/>
        </w:rPr>
        <w:t xml:space="preserve"> and </w:t>
      </w:r>
    </w:p>
    <w:p w14:paraId="5E6BC7C7" w14:textId="3E9D0040" w:rsidR="00457050" w:rsidRPr="002B6996" w:rsidRDefault="00457050" w:rsidP="00F01041">
      <w:pPr>
        <w:pStyle w:val="ListBullet"/>
        <w:numPr>
          <w:ilvl w:val="0"/>
          <w:numId w:val="16"/>
        </w:numPr>
        <w:rPr>
          <w:b w:val="0"/>
          <w:bCs w:val="0"/>
          <w:i w:val="0"/>
          <w:iCs w:val="0"/>
        </w:rPr>
      </w:pPr>
      <w:r w:rsidRPr="002B6996">
        <w:rPr>
          <w:b w:val="0"/>
          <w:bCs w:val="0"/>
          <w:i w:val="0"/>
          <w:iCs w:val="0"/>
        </w:rPr>
        <w:t>the date of effect of those decisions.</w:t>
      </w:r>
    </w:p>
    <w:p w14:paraId="67DC0EBB" w14:textId="6242BB51" w:rsidR="00457050" w:rsidRPr="00B1089E" w:rsidRDefault="00831B56" w:rsidP="00B1089E">
      <w:pPr>
        <w:rPr>
          <w:b/>
          <w:bCs/>
        </w:rPr>
      </w:pPr>
      <w:r w:rsidRPr="00B1089E">
        <w:rPr>
          <w:b/>
          <w:bCs/>
        </w:rPr>
        <w:t>Defined terms</w:t>
      </w:r>
    </w:p>
    <w:p w14:paraId="3518FC9A" w14:textId="39B18FB7" w:rsidR="00831B56" w:rsidRPr="002B6996" w:rsidRDefault="00831B56" w:rsidP="007A62B9">
      <w:r w:rsidRPr="002B6996">
        <w:t>In this notice the following defined terms are used in addition to those above:</w:t>
      </w:r>
    </w:p>
    <w:p w14:paraId="6BE33439" w14:textId="29031A03" w:rsidR="00831B56" w:rsidRPr="002B6996" w:rsidRDefault="00831B56" w:rsidP="00F01041">
      <w:pPr>
        <w:pStyle w:val="ListBullet"/>
        <w:numPr>
          <w:ilvl w:val="0"/>
          <w:numId w:val="17"/>
        </w:numPr>
        <w:rPr>
          <w:b w:val="0"/>
          <w:bCs w:val="0"/>
          <w:i w:val="0"/>
          <w:iCs w:val="0"/>
        </w:rPr>
      </w:pPr>
      <w:r w:rsidRPr="002B6996">
        <w:rPr>
          <w:b w:val="0"/>
          <w:bCs w:val="0"/>
          <w:i w:val="0"/>
          <w:iCs w:val="0"/>
        </w:rPr>
        <w:t>the Therapeutic Goods Act 1989 (</w:t>
      </w:r>
      <w:proofErr w:type="spellStart"/>
      <w:r w:rsidRPr="002B6996">
        <w:rPr>
          <w:b w:val="0"/>
          <w:bCs w:val="0"/>
          <w:i w:val="0"/>
          <w:iCs w:val="0"/>
        </w:rPr>
        <w:t>Cth</w:t>
      </w:r>
      <w:proofErr w:type="spellEnd"/>
      <w:r w:rsidRPr="002B6996">
        <w:rPr>
          <w:b w:val="0"/>
          <w:bCs w:val="0"/>
          <w:i w:val="0"/>
          <w:iCs w:val="0"/>
        </w:rPr>
        <w:t>) (the Act)</w:t>
      </w:r>
    </w:p>
    <w:p w14:paraId="6550B5E6" w14:textId="5EBA37FF" w:rsidR="00831B56" w:rsidRPr="002B6996" w:rsidRDefault="00831B56" w:rsidP="00F01041">
      <w:pPr>
        <w:pStyle w:val="ListBullet"/>
        <w:numPr>
          <w:ilvl w:val="0"/>
          <w:numId w:val="17"/>
        </w:numPr>
        <w:rPr>
          <w:b w:val="0"/>
          <w:bCs w:val="0"/>
          <w:i w:val="0"/>
          <w:iCs w:val="0"/>
        </w:rPr>
      </w:pPr>
      <w:r w:rsidRPr="002B6996">
        <w:rPr>
          <w:b w:val="0"/>
          <w:bCs w:val="0"/>
          <w:i w:val="0"/>
          <w:iCs w:val="0"/>
        </w:rPr>
        <w:t xml:space="preserve">the </w:t>
      </w:r>
      <w:hyperlink r:id="rId12" w:history="1">
        <w:r w:rsidRPr="002B6996">
          <w:rPr>
            <w:rStyle w:val="Hyperlink"/>
            <w:b w:val="0"/>
            <w:bCs w:val="0"/>
            <w:i w:val="0"/>
            <w:iCs w:val="0"/>
          </w:rPr>
          <w:t>Scheduling Policy Framework</w:t>
        </w:r>
      </w:hyperlink>
      <w:r w:rsidRPr="002B6996">
        <w:rPr>
          <w:rStyle w:val="Hyperlink"/>
          <w:b w:val="0"/>
          <w:bCs w:val="0"/>
          <w:i w:val="0"/>
          <w:iCs w:val="0"/>
        </w:rPr>
        <w:t xml:space="preserve"> </w:t>
      </w:r>
      <w:r w:rsidRPr="002B6996">
        <w:rPr>
          <w:b w:val="0"/>
          <w:bCs w:val="0"/>
          <w:i w:val="0"/>
          <w:iCs w:val="0"/>
        </w:rPr>
        <w:t>2018 (the SPF)</w:t>
      </w:r>
    </w:p>
    <w:p w14:paraId="4CDC567B" w14:textId="46FFCF22" w:rsidR="00831B56" w:rsidRPr="002B6996" w:rsidRDefault="00831B56" w:rsidP="00F01041">
      <w:pPr>
        <w:pStyle w:val="ListBullet"/>
        <w:numPr>
          <w:ilvl w:val="0"/>
          <w:numId w:val="17"/>
        </w:numPr>
        <w:rPr>
          <w:b w:val="0"/>
          <w:bCs w:val="0"/>
          <w:i w:val="0"/>
          <w:iCs w:val="0"/>
        </w:rPr>
      </w:pPr>
      <w:r w:rsidRPr="002B6996">
        <w:rPr>
          <w:b w:val="0"/>
          <w:bCs w:val="0"/>
          <w:i w:val="0"/>
          <w:iCs w:val="0"/>
        </w:rPr>
        <w:t>the Scheduling handbook</w:t>
      </w:r>
      <w:r w:rsidR="00FC1EB4" w:rsidRPr="002B6996">
        <w:rPr>
          <w:b w:val="0"/>
          <w:bCs w:val="0"/>
          <w:i w:val="0"/>
          <w:iCs w:val="0"/>
        </w:rPr>
        <w:t>,</w:t>
      </w:r>
      <w:r w:rsidRPr="002B6996">
        <w:rPr>
          <w:b w:val="0"/>
          <w:bCs w:val="0"/>
          <w:i w:val="0"/>
          <w:iCs w:val="0"/>
        </w:rPr>
        <w:t xml:space="preserve"> </w:t>
      </w:r>
      <w:hyperlink r:id="rId13" w:history="1">
        <w:r w:rsidRPr="002B6996">
          <w:rPr>
            <w:rStyle w:val="Hyperlink"/>
            <w:b w:val="0"/>
            <w:bCs w:val="0"/>
            <w:i w:val="0"/>
            <w:iCs w:val="0"/>
          </w:rPr>
          <w:t>Guidance for amending the Poisons Standard</w:t>
        </w:r>
      </w:hyperlink>
      <w:r w:rsidRPr="002B6996">
        <w:rPr>
          <w:b w:val="0"/>
          <w:bCs w:val="0"/>
          <w:i w:val="0"/>
          <w:iCs w:val="0"/>
        </w:rPr>
        <w:t xml:space="preserve"> (the Handbook) and</w:t>
      </w:r>
    </w:p>
    <w:p w14:paraId="78D91CCD" w14:textId="3DC73865" w:rsidR="00831B56" w:rsidRPr="002B6996" w:rsidRDefault="00831B56" w:rsidP="00F01041">
      <w:pPr>
        <w:pStyle w:val="ListBullet"/>
        <w:numPr>
          <w:ilvl w:val="0"/>
          <w:numId w:val="17"/>
        </w:numPr>
        <w:rPr>
          <w:b w:val="0"/>
          <w:bCs w:val="0"/>
          <w:i w:val="0"/>
          <w:iCs w:val="0"/>
        </w:rPr>
      </w:pPr>
      <w:r w:rsidRPr="002B6996">
        <w:rPr>
          <w:b w:val="0"/>
          <w:bCs w:val="0"/>
          <w:i w:val="0"/>
          <w:iCs w:val="0"/>
        </w:rPr>
        <w:t>the Therapeutic Goods Administration (the TGA).</w:t>
      </w:r>
    </w:p>
    <w:p w14:paraId="1ECB50B6" w14:textId="479B8507" w:rsidR="007A62B9" w:rsidRPr="00176743" w:rsidRDefault="00831B56" w:rsidP="007A62B9">
      <w:pPr>
        <w:rPr>
          <w:sz w:val="18"/>
          <w:szCs w:val="18"/>
        </w:rPr>
      </w:pPr>
      <w:r w:rsidRPr="00176743">
        <w:rPr>
          <w:sz w:val="18"/>
          <w:szCs w:val="18"/>
        </w:rPr>
        <w:t>Note: additional terms are also defined for individual decisions.</w:t>
      </w:r>
    </w:p>
    <w:p w14:paraId="344B3A4E" w14:textId="77777777" w:rsidR="007A62B9" w:rsidRDefault="007A62B9">
      <w:pPr>
        <w:rPr>
          <w:rFonts w:eastAsia="Cambria" w:cstheme="minorHAnsi"/>
        </w:rPr>
      </w:pPr>
      <w:r>
        <w:br w:type="page"/>
      </w:r>
    </w:p>
    <w:p w14:paraId="002E1C4A" w14:textId="1F4D8AAC" w:rsidR="00457050" w:rsidRPr="00FA029A" w:rsidRDefault="00457050" w:rsidP="00967490">
      <w:pPr>
        <w:pStyle w:val="Heading2"/>
      </w:pPr>
      <w:bookmarkStart w:id="2" w:name="_Toc97640263"/>
      <w:bookmarkStart w:id="3" w:name="_Toc170120984"/>
      <w:r>
        <w:lastRenderedPageBreak/>
        <w:t>Final</w:t>
      </w:r>
      <w:r w:rsidRPr="00FA029A">
        <w:t xml:space="preserve"> decisions on proposed amendments referred to the Advisory Committee o</w:t>
      </w:r>
      <w:r>
        <w:t>n Medicines Scheduling (ACMS #</w:t>
      </w:r>
      <w:r w:rsidR="00E4571C">
        <w:t>43</w:t>
      </w:r>
      <w:r>
        <w:t xml:space="preserve">, </w:t>
      </w:r>
      <w:r w:rsidR="00E4571C">
        <w:t>November</w:t>
      </w:r>
      <w:r>
        <w:t xml:space="preserve"> 20</w:t>
      </w:r>
      <w:r w:rsidR="00E4571C">
        <w:t>23</w:t>
      </w:r>
      <w:r w:rsidRPr="00FA029A">
        <w:t>)</w:t>
      </w:r>
      <w:bookmarkEnd w:id="2"/>
      <w:bookmarkEnd w:id="3"/>
    </w:p>
    <w:p w14:paraId="1A33BE4D" w14:textId="49C9AEB8" w:rsidR="00D409DA" w:rsidRDefault="00D409DA" w:rsidP="00D409DA">
      <w:pPr>
        <w:pStyle w:val="Heading3"/>
      </w:pPr>
      <w:bookmarkStart w:id="4" w:name="_Toc46325255"/>
      <w:bookmarkStart w:id="5" w:name="_Toc46325611"/>
      <w:bookmarkStart w:id="6" w:name="_Toc46327427"/>
      <w:bookmarkStart w:id="7" w:name="_Toc46412213"/>
      <w:bookmarkStart w:id="8" w:name="_Final_decision_in"/>
      <w:bookmarkStart w:id="9" w:name="_Toc46325256"/>
      <w:bookmarkStart w:id="10" w:name="_Toc46325612"/>
      <w:bookmarkStart w:id="11" w:name="_Toc46327428"/>
      <w:bookmarkStart w:id="12" w:name="_Toc46412214"/>
      <w:bookmarkStart w:id="13" w:name="_Toc46325257"/>
      <w:bookmarkStart w:id="14" w:name="_Toc46325613"/>
      <w:bookmarkStart w:id="15" w:name="_Toc46327429"/>
      <w:bookmarkStart w:id="16" w:name="_Toc46412215"/>
      <w:bookmarkStart w:id="17" w:name="_Toc46325258"/>
      <w:bookmarkStart w:id="18" w:name="_Toc46325614"/>
      <w:bookmarkStart w:id="19" w:name="_Toc46327430"/>
      <w:bookmarkStart w:id="20" w:name="_Toc46412216"/>
      <w:bookmarkStart w:id="21" w:name="_Toc46325259"/>
      <w:bookmarkStart w:id="22" w:name="_Toc46325615"/>
      <w:bookmarkStart w:id="23" w:name="_Toc46327431"/>
      <w:bookmarkStart w:id="24" w:name="_Toc46412217"/>
      <w:bookmarkStart w:id="25" w:name="_Final_decision_in_1"/>
      <w:bookmarkStart w:id="26" w:name="_Toc17012098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 xml:space="preserve">Final decision in relation to </w:t>
      </w:r>
      <w:proofErr w:type="spellStart"/>
      <w:r w:rsidR="00802DDD">
        <w:t>glycopyrronium</w:t>
      </w:r>
      <w:bookmarkEnd w:id="26"/>
      <w:proofErr w:type="spellEnd"/>
    </w:p>
    <w:p w14:paraId="4E185954" w14:textId="77777777" w:rsidR="00D409DA" w:rsidRPr="00967490" w:rsidRDefault="00D409DA" w:rsidP="00D409DA">
      <w:pPr>
        <w:spacing w:before="240"/>
        <w:rPr>
          <w:b/>
          <w:bCs/>
          <w:i/>
          <w:iCs/>
        </w:rPr>
      </w:pPr>
      <w:r w:rsidRPr="00967490">
        <w:rPr>
          <w:b/>
          <w:bCs/>
          <w:i/>
          <w:iCs/>
        </w:rPr>
        <w:t>Proposal</w:t>
      </w:r>
    </w:p>
    <w:p w14:paraId="1727BEB0" w14:textId="6505943B" w:rsidR="00D409DA" w:rsidRPr="00E951D8" w:rsidRDefault="00C90AA1" w:rsidP="00D409DA">
      <w:pPr>
        <w:rPr>
          <w:b/>
          <w:bCs/>
          <w:i/>
        </w:rPr>
      </w:pPr>
      <w:r w:rsidRPr="00C72DAB">
        <w:t xml:space="preserve">The applicant proposed </w:t>
      </w:r>
      <w:r w:rsidR="00BB4D5D">
        <w:t>the</w:t>
      </w:r>
      <w:r>
        <w:t xml:space="preserve"> creat</w:t>
      </w:r>
      <w:r w:rsidR="00BB4D5D">
        <w:t>ion of</w:t>
      </w:r>
      <w:r>
        <w:t xml:space="preserve"> an Appendix H entry for </w:t>
      </w:r>
      <w:proofErr w:type="spellStart"/>
      <w:r>
        <w:t>glycopyrronium</w:t>
      </w:r>
      <w:proofErr w:type="spellEnd"/>
      <w:r>
        <w:t xml:space="preserve"> to allow advertising of </w:t>
      </w:r>
      <w:r w:rsidR="00AE2994">
        <w:t>Pharmacist only medicine (</w:t>
      </w:r>
      <w:r>
        <w:t>Schedule 3</w:t>
      </w:r>
      <w:r w:rsidR="00AE2994">
        <w:t>)</w:t>
      </w:r>
      <w:r>
        <w:t xml:space="preserve"> </w:t>
      </w:r>
      <w:proofErr w:type="spellStart"/>
      <w:r>
        <w:t>glycopyrronium</w:t>
      </w:r>
      <w:proofErr w:type="spellEnd"/>
      <w:r>
        <w:t xml:space="preserve"> preparations. </w:t>
      </w:r>
      <w:proofErr w:type="spellStart"/>
      <w:r>
        <w:t>Glycopyrronium</w:t>
      </w:r>
      <w:proofErr w:type="spellEnd"/>
      <w:r>
        <w:t xml:space="preserve"> is currently </w:t>
      </w:r>
      <w:r w:rsidR="00AE2994">
        <w:t>Prescription only medicine (</w:t>
      </w:r>
      <w:r>
        <w:t>Schedule 4</w:t>
      </w:r>
      <w:r w:rsidR="00AE2994">
        <w:t>)</w:t>
      </w:r>
      <w:r>
        <w:t xml:space="preserve"> when in preparations for injections, and </w:t>
      </w:r>
      <w:r w:rsidR="00AE2994">
        <w:t>Pharmacist only medicine (</w:t>
      </w:r>
      <w:r>
        <w:t>Schedule 3</w:t>
      </w:r>
      <w:r w:rsidR="00AE2994">
        <w:t>)</w:t>
      </w:r>
      <w:r>
        <w:t xml:space="preserve"> for all other preparations. The proposal aims to allow advertising of a topical </w:t>
      </w:r>
      <w:proofErr w:type="spellStart"/>
      <w:r>
        <w:t>glycopyrronium</w:t>
      </w:r>
      <w:proofErr w:type="spellEnd"/>
      <w:r>
        <w:t xml:space="preserve"> preparation which would be classified as a Schedule 3 medicine under the current schedulin</w:t>
      </w:r>
      <w:r w:rsidR="00B5650A">
        <w:t>g</w:t>
      </w:r>
      <w:r w:rsidR="00D409DA">
        <w:t>.</w:t>
      </w:r>
    </w:p>
    <w:p w14:paraId="6ACB313D" w14:textId="2DB703E6" w:rsidR="00D409DA" w:rsidRPr="00967490" w:rsidRDefault="00D409DA" w:rsidP="00D409DA">
      <w:pPr>
        <w:rPr>
          <w:b/>
          <w:bCs/>
          <w:i/>
          <w:iCs/>
        </w:rPr>
      </w:pPr>
      <w:r w:rsidRPr="00967490">
        <w:rPr>
          <w:b/>
          <w:bCs/>
          <w:i/>
          <w:iCs/>
        </w:rPr>
        <w:t>Final decision</w:t>
      </w:r>
    </w:p>
    <w:p w14:paraId="102CE00F" w14:textId="6810B61E" w:rsidR="00D409DA" w:rsidRDefault="00D409DA" w:rsidP="00D409DA">
      <w:r w:rsidRPr="00967490">
        <w:t xml:space="preserve">Pursuant to regulation 42ZCZR of the Regulations, the Delegate has made a final </w:t>
      </w:r>
      <w:r w:rsidRPr="00C90AA1">
        <w:t>decision to confirm</w:t>
      </w:r>
      <w:r w:rsidRPr="00967490">
        <w:t xml:space="preserve"> the interim </w:t>
      </w:r>
      <w:r w:rsidRPr="00E70A38">
        <w:t xml:space="preserve">decision and amend the current Poisons Standard in relation to </w:t>
      </w:r>
      <w:proofErr w:type="spellStart"/>
      <w:r w:rsidR="00C90AA1" w:rsidRPr="00E70A38">
        <w:t>glycopyrronium</w:t>
      </w:r>
      <w:proofErr w:type="spellEnd"/>
      <w:r w:rsidRPr="00E70A38">
        <w:t xml:space="preserve"> as follows:</w:t>
      </w:r>
      <w:r w:rsidR="001C003B">
        <w:rPr>
          <w:rStyle w:val="FootnoteReference"/>
        </w:rPr>
        <w:footnoteReference w:id="2"/>
      </w:r>
    </w:p>
    <w:p w14:paraId="0B70BB9D" w14:textId="77777777" w:rsidR="00AC108E" w:rsidRDefault="00AC108E" w:rsidP="009738FC">
      <w:pPr>
        <w:spacing w:line="240" w:lineRule="atLeast"/>
        <w:ind w:left="425"/>
        <w:rPr>
          <w:rFonts w:eastAsia="Cambria" w:cstheme="minorHAnsi"/>
          <w:b/>
        </w:rPr>
      </w:pPr>
      <w:r w:rsidRPr="002008D8">
        <w:rPr>
          <w:rFonts w:eastAsia="Cambria" w:cstheme="minorHAnsi"/>
          <w:b/>
        </w:rPr>
        <w:t>Schedule</w:t>
      </w:r>
      <w:r>
        <w:rPr>
          <w:rFonts w:eastAsia="Cambria" w:cstheme="minorHAnsi"/>
          <w:b/>
        </w:rPr>
        <w:t xml:space="preserve"> 4</w:t>
      </w:r>
      <w:r w:rsidRPr="002008D8">
        <w:rPr>
          <w:rFonts w:eastAsia="Cambria" w:cstheme="minorHAnsi"/>
          <w:b/>
        </w:rPr>
        <w:t xml:space="preserve"> –</w:t>
      </w:r>
      <w:r>
        <w:rPr>
          <w:rFonts w:eastAsia="Cambria" w:cstheme="minorHAnsi"/>
          <w:b/>
        </w:rPr>
        <w:t xml:space="preserve"> </w:t>
      </w:r>
      <w:r w:rsidRPr="002008D8">
        <w:rPr>
          <w:rFonts w:eastAsia="Cambria" w:cstheme="minorHAnsi"/>
          <w:b/>
        </w:rPr>
        <w:t>Amend</w:t>
      </w:r>
      <w:r>
        <w:rPr>
          <w:rFonts w:eastAsia="Cambria" w:cstheme="minorHAnsi"/>
          <w:b/>
        </w:rPr>
        <w:t xml:space="preserve"> Entry</w:t>
      </w:r>
    </w:p>
    <w:p w14:paraId="7EDA3F63" w14:textId="77777777" w:rsidR="00AC108E" w:rsidRPr="00A76C5D" w:rsidRDefault="00AC108E" w:rsidP="009738FC">
      <w:pPr>
        <w:spacing w:line="240" w:lineRule="atLeast"/>
        <w:ind w:left="709"/>
        <w:rPr>
          <w:rFonts w:eastAsia="Cambria" w:cstheme="minorHAnsi"/>
          <w:b/>
        </w:rPr>
      </w:pPr>
      <w:r w:rsidRPr="00D3329A">
        <w:rPr>
          <w:bCs/>
        </w:rPr>
        <w:t xml:space="preserve">GLYCOPYRRONIUM </w:t>
      </w:r>
      <w:r w:rsidRPr="00C21576">
        <w:rPr>
          <w:bCs/>
          <w:strike/>
          <w:color w:val="FF0000"/>
        </w:rPr>
        <w:t>in preparations for injection</w:t>
      </w:r>
      <w:r w:rsidRPr="00D3329A">
        <w:rPr>
          <w:bCs/>
        </w:rPr>
        <w:t>.</w:t>
      </w:r>
    </w:p>
    <w:p w14:paraId="15BEB280" w14:textId="77777777" w:rsidR="00AC108E" w:rsidRPr="002008D8" w:rsidRDefault="00AC108E" w:rsidP="00734C03">
      <w:pPr>
        <w:spacing w:line="240" w:lineRule="atLeast"/>
        <w:ind w:left="425"/>
        <w:rPr>
          <w:rFonts w:eastAsia="Cambria" w:cstheme="minorHAnsi"/>
          <w:b/>
        </w:rPr>
      </w:pPr>
      <w:r w:rsidRPr="002008D8">
        <w:rPr>
          <w:rFonts w:eastAsia="Cambria" w:cstheme="minorHAnsi"/>
          <w:b/>
        </w:rPr>
        <w:t>Schedule</w:t>
      </w:r>
      <w:r>
        <w:rPr>
          <w:rFonts w:eastAsia="Cambria" w:cstheme="minorHAnsi"/>
          <w:b/>
        </w:rPr>
        <w:t xml:space="preserve"> 3</w:t>
      </w:r>
      <w:r w:rsidRPr="002008D8">
        <w:rPr>
          <w:rFonts w:eastAsia="Cambria" w:cstheme="minorHAnsi"/>
          <w:b/>
        </w:rPr>
        <w:t xml:space="preserve"> – Delete </w:t>
      </w:r>
      <w:r>
        <w:rPr>
          <w:rFonts w:eastAsia="Cambria" w:cstheme="minorHAnsi"/>
          <w:b/>
        </w:rPr>
        <w:t>E</w:t>
      </w:r>
      <w:r w:rsidRPr="002008D8">
        <w:rPr>
          <w:rFonts w:eastAsia="Cambria" w:cstheme="minorHAnsi"/>
          <w:b/>
        </w:rPr>
        <w:t>ntry</w:t>
      </w:r>
    </w:p>
    <w:p w14:paraId="02654C83" w14:textId="0F533B77" w:rsidR="00C90AA1" w:rsidRDefault="00AC108E" w:rsidP="0051778A">
      <w:pPr>
        <w:spacing w:line="240" w:lineRule="atLeast"/>
        <w:ind w:left="709"/>
        <w:rPr>
          <w:rFonts w:eastAsia="Cambria" w:cstheme="minorHAnsi"/>
          <w:bCs/>
          <w:strike/>
          <w:color w:val="FF0000"/>
        </w:rPr>
      </w:pPr>
      <w:r w:rsidRPr="00C21576">
        <w:rPr>
          <w:rFonts w:eastAsia="Cambria" w:cstheme="minorHAnsi"/>
          <w:bCs/>
          <w:strike/>
          <w:color w:val="FF0000"/>
        </w:rPr>
        <w:t>GLYCOPYRRONIUM except when included in Schedule 4.</w:t>
      </w:r>
    </w:p>
    <w:p w14:paraId="2651C3D1" w14:textId="77777777" w:rsidR="00E70A38" w:rsidRPr="002008D8" w:rsidRDefault="00E70A38" w:rsidP="00734C03">
      <w:pPr>
        <w:spacing w:line="240" w:lineRule="atLeast"/>
        <w:ind w:left="425"/>
        <w:rPr>
          <w:rFonts w:eastAsia="Cambria" w:cstheme="minorHAnsi"/>
          <w:b/>
        </w:rPr>
      </w:pPr>
      <w:r w:rsidRPr="002008D8">
        <w:rPr>
          <w:rFonts w:eastAsia="Cambria" w:cstheme="minorHAnsi"/>
          <w:b/>
        </w:rPr>
        <w:t xml:space="preserve">Index – </w:t>
      </w:r>
      <w:r>
        <w:rPr>
          <w:rFonts w:eastAsia="Cambria" w:cstheme="minorHAnsi"/>
          <w:b/>
        </w:rPr>
        <w:t>Amend Entry</w:t>
      </w:r>
    </w:p>
    <w:p w14:paraId="29D1FECC" w14:textId="77777777" w:rsidR="00E70A38" w:rsidRDefault="00E70A38" w:rsidP="00734C03">
      <w:pPr>
        <w:pStyle w:val="paragraph"/>
        <w:spacing w:before="0" w:beforeAutospacing="0" w:after="12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GLYCOPYRRONIU</w:t>
      </w:r>
      <w:r>
        <w:rPr>
          <w:rFonts w:asciiTheme="minorHAnsi" w:eastAsia="Cambria" w:hAnsiTheme="minorHAnsi" w:cstheme="minorHAnsi"/>
          <w:b/>
          <w:bCs/>
          <w:sz w:val="22"/>
          <w:szCs w:val="22"/>
        </w:rPr>
        <w:t>M</w:t>
      </w:r>
    </w:p>
    <w:p w14:paraId="2AD77289" w14:textId="0F2C4A45" w:rsidR="00E70A38" w:rsidRPr="00E70A38" w:rsidRDefault="00E70A38" w:rsidP="00734C03">
      <w:pPr>
        <w:pStyle w:val="paragraph"/>
        <w:spacing w:before="0" w:beforeAutospacing="0" w:after="12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sz w:val="22"/>
          <w:szCs w:val="22"/>
        </w:rPr>
        <w:t>Schedule 4</w:t>
      </w:r>
      <w:r>
        <w:rPr>
          <w:rFonts w:asciiTheme="minorHAnsi" w:eastAsia="Cambria" w:hAnsiTheme="minorHAnsi" w:cstheme="minorHAnsi"/>
          <w:b/>
          <w:bCs/>
          <w:sz w:val="22"/>
          <w:szCs w:val="22"/>
        </w:rPr>
        <w:br/>
      </w:r>
      <w:r w:rsidRPr="00C21576">
        <w:rPr>
          <w:rFonts w:asciiTheme="minorHAnsi" w:eastAsia="Cambria" w:hAnsiTheme="minorHAnsi" w:cstheme="minorHAnsi"/>
          <w:strike/>
          <w:color w:val="FF0000"/>
          <w:sz w:val="22"/>
          <w:szCs w:val="22"/>
        </w:rPr>
        <w:t>Schedule 3</w:t>
      </w:r>
    </w:p>
    <w:p w14:paraId="59B27172" w14:textId="77777777" w:rsidR="004A129D" w:rsidRDefault="004A129D">
      <w:pPr>
        <w:rPr>
          <w:b/>
          <w:bCs/>
          <w:i/>
          <w:iCs/>
        </w:rPr>
      </w:pPr>
      <w:r>
        <w:rPr>
          <w:b/>
          <w:bCs/>
          <w:i/>
          <w:iCs/>
        </w:rPr>
        <w:br w:type="page"/>
      </w:r>
    </w:p>
    <w:p w14:paraId="249C4C55" w14:textId="64277B4F" w:rsidR="00D409DA" w:rsidRPr="00967490" w:rsidRDefault="00D409DA" w:rsidP="00D409DA">
      <w:pPr>
        <w:rPr>
          <w:b/>
          <w:bCs/>
          <w:i/>
          <w:iCs/>
        </w:rPr>
      </w:pPr>
      <w:r w:rsidRPr="00967490">
        <w:rPr>
          <w:b/>
          <w:bCs/>
          <w:i/>
          <w:iCs/>
        </w:rPr>
        <w:lastRenderedPageBreak/>
        <w:t xml:space="preserve">Materials considered </w:t>
      </w:r>
    </w:p>
    <w:p w14:paraId="1B292B27" w14:textId="77777777" w:rsidR="00D409DA" w:rsidRDefault="00D409DA" w:rsidP="00D409DA">
      <w:r>
        <w:t>In making this final decision, the Delegate considered the following material:</w:t>
      </w:r>
    </w:p>
    <w:p w14:paraId="15693B95" w14:textId="5EB0C021"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the </w:t>
      </w:r>
      <w:hyperlink r:id="rId14" w:history="1">
        <w:r w:rsidRPr="002B6996">
          <w:rPr>
            <w:rStyle w:val="Hyperlink"/>
            <w:b w:val="0"/>
            <w:bCs w:val="0"/>
            <w:i w:val="0"/>
            <w:iCs w:val="0"/>
          </w:rPr>
          <w:t>application</w:t>
        </w:r>
      </w:hyperlink>
      <w:r w:rsidRPr="002B6996">
        <w:rPr>
          <w:b w:val="0"/>
          <w:bCs w:val="0"/>
          <w:i w:val="0"/>
          <w:iCs w:val="0"/>
        </w:rPr>
        <w:t xml:space="preserve"> to amend the current Poisons Standard with respect to </w:t>
      </w:r>
      <w:proofErr w:type="spellStart"/>
      <w:r w:rsidR="007A62B9" w:rsidRPr="002B6996">
        <w:rPr>
          <w:b w:val="0"/>
          <w:bCs w:val="0"/>
          <w:i w:val="0"/>
          <w:iCs w:val="0"/>
        </w:rPr>
        <w:t>glycopyrronium</w:t>
      </w:r>
      <w:proofErr w:type="spellEnd"/>
      <w:r w:rsidRPr="002B6996">
        <w:rPr>
          <w:b w:val="0"/>
          <w:bCs w:val="0"/>
          <w:i w:val="0"/>
          <w:iCs w:val="0"/>
        </w:rPr>
        <w:t xml:space="preserve"> (the Application)</w:t>
      </w:r>
    </w:p>
    <w:p w14:paraId="011F7064" w14:textId="240AEAE4"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the </w:t>
      </w:r>
      <w:r w:rsidR="00795CB1" w:rsidRPr="002B6996">
        <w:rPr>
          <w:b w:val="0"/>
          <w:bCs w:val="0"/>
          <w:i w:val="0"/>
          <w:iCs w:val="0"/>
        </w:rPr>
        <w:t>28</w:t>
      </w:r>
      <w:r w:rsidRPr="002B6996">
        <w:rPr>
          <w:b w:val="0"/>
          <w:bCs w:val="0"/>
          <w:i w:val="0"/>
          <w:iCs w:val="0"/>
        </w:rPr>
        <w:t xml:space="preserve"> </w:t>
      </w:r>
      <w:hyperlink r:id="rId15"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16"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2E2754B7" w14:textId="77777777" w:rsidR="00D409DA" w:rsidRPr="002B6996" w:rsidRDefault="00D409DA" w:rsidP="00F01041">
      <w:pPr>
        <w:pStyle w:val="ListBullet"/>
        <w:numPr>
          <w:ilvl w:val="0"/>
          <w:numId w:val="21"/>
        </w:numPr>
        <w:rPr>
          <w:b w:val="0"/>
          <w:bCs w:val="0"/>
          <w:i w:val="0"/>
          <w:iCs w:val="0"/>
        </w:rPr>
      </w:pPr>
      <w:r w:rsidRPr="002B6996">
        <w:rPr>
          <w:b w:val="0"/>
          <w:bCs w:val="0"/>
          <w:i w:val="0"/>
          <w:iCs w:val="0"/>
        </w:rPr>
        <w:t>the advice received from the 43</w:t>
      </w:r>
      <w:r w:rsidRPr="002B6996">
        <w:rPr>
          <w:b w:val="0"/>
          <w:bCs w:val="0"/>
          <w:i w:val="0"/>
          <w:iCs w:val="0"/>
          <w:vertAlign w:val="superscript"/>
        </w:rPr>
        <w:t>rd</w:t>
      </w:r>
      <w:r w:rsidRPr="002B6996">
        <w:rPr>
          <w:b w:val="0"/>
          <w:bCs w:val="0"/>
          <w:i w:val="0"/>
          <w:iCs w:val="0"/>
        </w:rPr>
        <w:t xml:space="preserve"> meeting of the Advisory Committee on Medicines Scheduling (the Committee)</w:t>
      </w:r>
      <w:r w:rsidRPr="002B6996">
        <w:rPr>
          <w:rStyle w:val="FootnoteReference"/>
          <w:b w:val="0"/>
          <w:bCs w:val="0"/>
          <w:i w:val="0"/>
          <w:iCs w:val="0"/>
        </w:rPr>
        <w:footnoteReference w:id="3"/>
      </w:r>
    </w:p>
    <w:p w14:paraId="35E9C6A6" w14:textId="520A4A5D"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the </w:t>
      </w:r>
      <w:hyperlink r:id="rId17" w:history="1">
        <w:r w:rsidRPr="002B6996">
          <w:rPr>
            <w:rStyle w:val="Hyperlink"/>
            <w:b w:val="0"/>
            <w:bCs w:val="0"/>
            <w:i w:val="0"/>
            <w:iCs w:val="0"/>
          </w:rPr>
          <w:t>interim decision</w:t>
        </w:r>
      </w:hyperlink>
      <w:r w:rsidRPr="002B6996">
        <w:rPr>
          <w:b w:val="0"/>
          <w:bCs w:val="0"/>
          <w:i w:val="0"/>
          <w:iCs w:val="0"/>
        </w:rPr>
        <w:t xml:space="preserve"> relating </w:t>
      </w:r>
      <w:proofErr w:type="spellStart"/>
      <w:r w:rsidR="00186440" w:rsidRPr="002B6996">
        <w:rPr>
          <w:b w:val="0"/>
          <w:bCs w:val="0"/>
          <w:i w:val="0"/>
          <w:iCs w:val="0"/>
        </w:rPr>
        <w:t>glycopyrronium</w:t>
      </w:r>
      <w:proofErr w:type="spellEnd"/>
      <w:r w:rsidRPr="002B6996">
        <w:rPr>
          <w:b w:val="0"/>
          <w:bCs w:val="0"/>
          <w:i w:val="0"/>
          <w:iCs w:val="0"/>
        </w:rPr>
        <w:t xml:space="preserve"> and the materials considered as part of the interim decision, as published on </w:t>
      </w:r>
      <w:r w:rsidR="00186440" w:rsidRPr="002B6996">
        <w:rPr>
          <w:b w:val="0"/>
          <w:bCs w:val="0"/>
          <w:i w:val="0"/>
          <w:iCs w:val="0"/>
        </w:rPr>
        <w:t xml:space="preserve">3 April </w:t>
      </w:r>
      <w:r w:rsidRPr="002B6996">
        <w:rPr>
          <w:b w:val="0"/>
          <w:bCs w:val="0"/>
          <w:i w:val="0"/>
          <w:iCs w:val="0"/>
        </w:rPr>
        <w:t>2024</w:t>
      </w:r>
    </w:p>
    <w:p w14:paraId="6476AF4C" w14:textId="7F98563B"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the </w:t>
      </w:r>
      <w:r w:rsidR="005C51F9" w:rsidRPr="002B6996">
        <w:rPr>
          <w:b w:val="0"/>
          <w:bCs w:val="0"/>
          <w:i w:val="0"/>
          <w:iCs w:val="0"/>
        </w:rPr>
        <w:t>2</w:t>
      </w:r>
      <w:r w:rsidRPr="002B6996">
        <w:rPr>
          <w:b w:val="0"/>
          <w:bCs w:val="0"/>
          <w:i w:val="0"/>
          <w:iCs w:val="0"/>
        </w:rPr>
        <w:t xml:space="preserve"> public submissions received in response to the </w:t>
      </w:r>
      <w:hyperlink r:id="rId18"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w:t>
      </w:r>
      <w:r w:rsidR="009738FC" w:rsidRPr="002B6996">
        <w:rPr>
          <w:b w:val="0"/>
          <w:bCs w:val="0"/>
          <w:i w:val="0"/>
          <w:iCs w:val="0"/>
        </w:rPr>
        <w:t xml:space="preserve"> (the Submissions)</w:t>
      </w:r>
    </w:p>
    <w:p w14:paraId="382FE8CD" w14:textId="60A05EA5"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subsection 52E(1) of the </w:t>
      </w:r>
      <w:r w:rsidR="009738FC" w:rsidRPr="002B6996">
        <w:rPr>
          <w:b w:val="0"/>
          <w:bCs w:val="0"/>
          <w:i w:val="0"/>
          <w:iCs w:val="0"/>
        </w:rPr>
        <w:t>Therapeutic Goods Act 1989</w:t>
      </w:r>
      <w:r w:rsidRPr="002B6996">
        <w:rPr>
          <w:b w:val="0"/>
          <w:bCs w:val="0"/>
          <w:i w:val="0"/>
          <w:iCs w:val="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102D36C" w14:textId="77777777" w:rsidR="00D409DA" w:rsidRPr="002B6996" w:rsidRDefault="00D409DA" w:rsidP="00F01041">
      <w:pPr>
        <w:pStyle w:val="ListBullet"/>
        <w:numPr>
          <w:ilvl w:val="0"/>
          <w:numId w:val="21"/>
        </w:numPr>
        <w:rPr>
          <w:b w:val="0"/>
          <w:bCs w:val="0"/>
          <w:i w:val="0"/>
          <w:iCs w:val="0"/>
        </w:rPr>
      </w:pPr>
      <w:r w:rsidRPr="002B6996">
        <w:rPr>
          <w:b w:val="0"/>
          <w:bCs w:val="0"/>
          <w:i w:val="0"/>
          <w:iCs w:val="0"/>
        </w:rPr>
        <w:t>pursuant to paragraph 52E(2)(a) of the Act, the SPF, and</w:t>
      </w:r>
    </w:p>
    <w:p w14:paraId="04758CA3" w14:textId="3D8BB34F" w:rsidR="00D409DA" w:rsidRPr="002B6996" w:rsidRDefault="00D409DA" w:rsidP="00F01041">
      <w:pPr>
        <w:pStyle w:val="ListBullet"/>
        <w:numPr>
          <w:ilvl w:val="0"/>
          <w:numId w:val="21"/>
        </w:numPr>
        <w:rPr>
          <w:b w:val="0"/>
          <w:bCs w:val="0"/>
          <w:i w:val="0"/>
          <w:iCs w:val="0"/>
        </w:rPr>
      </w:pPr>
      <w:r w:rsidRPr="002B6996">
        <w:rPr>
          <w:b w:val="0"/>
          <w:bCs w:val="0"/>
          <w:i w:val="0"/>
          <w:iCs w:val="0"/>
        </w:rPr>
        <w:t>the Handbook.</w:t>
      </w:r>
      <w:r w:rsidR="00537917">
        <w:rPr>
          <w:rStyle w:val="FootnoteReference"/>
          <w:b w:val="0"/>
          <w:bCs w:val="0"/>
          <w:i w:val="0"/>
          <w:iCs w:val="0"/>
        </w:rPr>
        <w:footnoteReference w:id="4"/>
      </w:r>
    </w:p>
    <w:p w14:paraId="364D2C82" w14:textId="77777777" w:rsidR="00D409DA" w:rsidRPr="004D06D7" w:rsidRDefault="00D409DA" w:rsidP="00D409DA">
      <w:pPr>
        <w:rPr>
          <w:b/>
          <w:bCs/>
          <w:i/>
          <w:iCs/>
        </w:rPr>
      </w:pPr>
      <w:r w:rsidRPr="004D06D7">
        <w:rPr>
          <w:b/>
          <w:bCs/>
          <w:i/>
          <w:iCs/>
        </w:rPr>
        <w:t>Reasons for the final decision (including findings on material questions of fact)</w:t>
      </w:r>
    </w:p>
    <w:p w14:paraId="49B15410" w14:textId="36210C28" w:rsidR="00D409DA" w:rsidRPr="001E2840" w:rsidRDefault="00D409DA" w:rsidP="00EB1AB3">
      <w:pPr>
        <w:spacing w:before="180" w:after="180" w:line="240" w:lineRule="atLeast"/>
        <w:rPr>
          <w:rFonts w:cs="Arial"/>
          <w:szCs w:val="20"/>
        </w:rPr>
      </w:pPr>
      <w:r w:rsidRPr="001E2840">
        <w:rPr>
          <w:rFonts w:cs="Arial"/>
          <w:szCs w:val="20"/>
        </w:rPr>
        <w:t xml:space="preserve">I have made a final decision to confirm my interim decision to amend the current Poisons Standard with respect to </w:t>
      </w:r>
      <w:proofErr w:type="spellStart"/>
      <w:r w:rsidR="00BA375C" w:rsidRPr="001E2840">
        <w:rPr>
          <w:rFonts w:cs="Arial"/>
          <w:szCs w:val="20"/>
        </w:rPr>
        <w:t>glycopyrronium</w:t>
      </w:r>
      <w:proofErr w:type="spellEnd"/>
      <w:r w:rsidRPr="001E2840">
        <w:rPr>
          <w:rFonts w:cs="Arial"/>
          <w:szCs w:val="20"/>
        </w:rPr>
        <w:t>. My reasons for making the final decision are</w:t>
      </w:r>
      <w:r w:rsidR="00382F56">
        <w:rPr>
          <w:rFonts w:cs="Arial"/>
          <w:szCs w:val="20"/>
        </w:rPr>
        <w:t xml:space="preserve"> in alignment with</w:t>
      </w:r>
      <w:r w:rsidR="00782B07" w:rsidRPr="001E2840">
        <w:rPr>
          <w:rFonts w:cs="Arial"/>
          <w:szCs w:val="20"/>
        </w:rPr>
        <w:t xml:space="preserve"> </w:t>
      </w:r>
      <w:r w:rsidRPr="001E2840">
        <w:rPr>
          <w:rFonts w:cs="Arial"/>
          <w:szCs w:val="20"/>
        </w:rPr>
        <w:t xml:space="preserve">those set out in the interim decision. In making my final decision, I have </w:t>
      </w:r>
      <w:r w:rsidR="009B6D9F" w:rsidRPr="001E2840">
        <w:rPr>
          <w:rFonts w:cs="Arial"/>
          <w:szCs w:val="20"/>
        </w:rPr>
        <w:t>considered</w:t>
      </w:r>
      <w:r w:rsidRPr="001E2840">
        <w:rPr>
          <w:rFonts w:cs="Arial"/>
          <w:szCs w:val="20"/>
        </w:rPr>
        <w:t xml:space="preserve"> the material in the interim decision and the </w:t>
      </w:r>
      <w:r w:rsidR="005C51F9" w:rsidRPr="001E2840">
        <w:rPr>
          <w:rFonts w:cs="Arial"/>
          <w:szCs w:val="20"/>
        </w:rPr>
        <w:t xml:space="preserve">2 </w:t>
      </w:r>
      <w:r w:rsidRPr="001E2840">
        <w:rPr>
          <w:rFonts w:cs="Arial"/>
          <w:szCs w:val="20"/>
        </w:rPr>
        <w:t xml:space="preserve">public submissions </w:t>
      </w:r>
      <w:r w:rsidR="00AC083F" w:rsidRPr="001E2840">
        <w:rPr>
          <w:rFonts w:cs="Arial"/>
          <w:szCs w:val="20"/>
        </w:rPr>
        <w:t>that</w:t>
      </w:r>
      <w:r w:rsidRPr="001E2840">
        <w:rPr>
          <w:rFonts w:cs="Arial"/>
          <w:szCs w:val="20"/>
        </w:rPr>
        <w:t xml:space="preserve"> were received in response to the interim decision consultation.</w:t>
      </w:r>
      <w:r w:rsidR="00C00ED7" w:rsidRPr="001E2840">
        <w:rPr>
          <w:rFonts w:cs="Arial"/>
          <w:szCs w:val="20"/>
        </w:rPr>
        <w:t xml:space="preserve"> </w:t>
      </w:r>
      <w:r w:rsidR="00C00ED7" w:rsidRPr="001E2840">
        <w:rPr>
          <w:rFonts w:eastAsia="Times New Roman" w:cs="Arial"/>
          <w:color w:val="000000"/>
          <w:szCs w:val="20"/>
          <w:lang w:eastAsia="en-AU"/>
        </w:rPr>
        <w:t xml:space="preserve">Both submissions </w:t>
      </w:r>
      <w:r w:rsidR="00382F56">
        <w:rPr>
          <w:rFonts w:eastAsia="Times New Roman" w:cs="Arial"/>
          <w:color w:val="000000"/>
          <w:szCs w:val="20"/>
          <w:lang w:eastAsia="en-AU"/>
        </w:rPr>
        <w:t>were no</w:t>
      </w:r>
      <w:r w:rsidR="00AE2994">
        <w:rPr>
          <w:rFonts w:eastAsia="Times New Roman" w:cs="Arial"/>
          <w:color w:val="000000"/>
          <w:szCs w:val="20"/>
          <w:lang w:eastAsia="en-AU"/>
        </w:rPr>
        <w:t>t</w:t>
      </w:r>
      <w:r w:rsidR="00382F56">
        <w:rPr>
          <w:rFonts w:eastAsia="Times New Roman" w:cs="Arial"/>
          <w:color w:val="000000"/>
          <w:szCs w:val="20"/>
          <w:lang w:eastAsia="en-AU"/>
        </w:rPr>
        <w:t xml:space="preserve"> in </w:t>
      </w:r>
      <w:r w:rsidR="00C00ED7" w:rsidRPr="001E2840">
        <w:rPr>
          <w:rFonts w:eastAsia="Times New Roman" w:cs="Arial"/>
          <w:color w:val="000000"/>
          <w:szCs w:val="20"/>
          <w:lang w:eastAsia="en-AU"/>
        </w:rPr>
        <w:t xml:space="preserve">support </w:t>
      </w:r>
      <w:r w:rsidR="00382F56">
        <w:rPr>
          <w:rFonts w:eastAsia="Times New Roman" w:cs="Arial"/>
          <w:color w:val="000000"/>
          <w:szCs w:val="20"/>
          <w:lang w:eastAsia="en-AU"/>
        </w:rPr>
        <w:t xml:space="preserve">of </w:t>
      </w:r>
      <w:r w:rsidR="00C00ED7" w:rsidRPr="001E2840">
        <w:rPr>
          <w:rFonts w:eastAsia="Times New Roman" w:cs="Arial"/>
          <w:color w:val="000000"/>
          <w:szCs w:val="20"/>
          <w:lang w:eastAsia="en-AU"/>
        </w:rPr>
        <w:t>the interim decision.</w:t>
      </w:r>
    </w:p>
    <w:p w14:paraId="0004BD45" w14:textId="6A147A22" w:rsidR="00C00ED7" w:rsidRPr="001E2840" w:rsidRDefault="00635A63" w:rsidP="00EB1AB3">
      <w:pPr>
        <w:spacing w:before="180" w:after="180" w:line="240" w:lineRule="atLeast"/>
        <w:rPr>
          <w:rFonts w:eastAsia="Times New Roman" w:cs="Arial"/>
          <w:color w:val="000000"/>
          <w:szCs w:val="20"/>
          <w:lang w:eastAsia="en-AU"/>
        </w:rPr>
      </w:pPr>
      <w:r w:rsidRPr="001E2840">
        <w:rPr>
          <w:rFonts w:eastAsia="Times New Roman" w:cs="Arial"/>
          <w:color w:val="000000"/>
          <w:szCs w:val="20"/>
          <w:lang w:eastAsia="en-AU"/>
        </w:rPr>
        <w:t xml:space="preserve">The reasons set out in the interim decision </w:t>
      </w:r>
      <w:r w:rsidR="00866B85" w:rsidRPr="001E2840">
        <w:rPr>
          <w:rFonts w:eastAsia="Times New Roman" w:cs="Arial"/>
          <w:color w:val="000000"/>
          <w:szCs w:val="20"/>
          <w:lang w:eastAsia="en-AU"/>
        </w:rPr>
        <w:t>address</w:t>
      </w:r>
      <w:r w:rsidRPr="001E2840">
        <w:rPr>
          <w:rFonts w:eastAsia="Times New Roman" w:cs="Arial"/>
          <w:color w:val="000000"/>
          <w:szCs w:val="20"/>
          <w:lang w:eastAsia="en-AU"/>
        </w:rPr>
        <w:t xml:space="preserve"> the proposal to permit advertising of </w:t>
      </w:r>
      <w:proofErr w:type="spellStart"/>
      <w:r w:rsidRPr="001E2840">
        <w:rPr>
          <w:rFonts w:eastAsia="Times New Roman" w:cs="Arial"/>
          <w:color w:val="000000"/>
          <w:szCs w:val="20"/>
          <w:lang w:eastAsia="en-AU"/>
        </w:rPr>
        <w:t>glycopyrronium</w:t>
      </w:r>
      <w:proofErr w:type="spellEnd"/>
      <w:r w:rsidRPr="001E2840">
        <w:rPr>
          <w:rFonts w:eastAsia="Times New Roman" w:cs="Arial"/>
          <w:color w:val="000000"/>
          <w:szCs w:val="20"/>
          <w:lang w:eastAsia="en-AU"/>
        </w:rPr>
        <w:t xml:space="preserve"> under the current scheduling. Th</w:t>
      </w:r>
      <w:r w:rsidR="006A4036" w:rsidRPr="001E2840">
        <w:rPr>
          <w:rFonts w:eastAsia="Times New Roman" w:cs="Arial"/>
          <w:color w:val="000000"/>
          <w:szCs w:val="20"/>
          <w:lang w:eastAsia="en-AU"/>
        </w:rPr>
        <w:t xml:space="preserve">e proposal </w:t>
      </w:r>
      <w:r w:rsidRPr="001E2840">
        <w:rPr>
          <w:rFonts w:eastAsia="Times New Roman" w:cs="Arial"/>
          <w:color w:val="000000"/>
          <w:szCs w:val="20"/>
          <w:lang w:eastAsia="en-AU"/>
        </w:rPr>
        <w:t xml:space="preserve">would </w:t>
      </w:r>
      <w:r w:rsidR="001629C1" w:rsidRPr="001E2840">
        <w:rPr>
          <w:rFonts w:eastAsia="Times New Roman" w:cs="Arial"/>
          <w:color w:val="000000"/>
          <w:szCs w:val="20"/>
          <w:lang w:eastAsia="en-AU"/>
        </w:rPr>
        <w:t>permit</w:t>
      </w:r>
      <w:r w:rsidRPr="001E2840">
        <w:rPr>
          <w:rFonts w:eastAsia="Times New Roman" w:cs="Arial"/>
          <w:color w:val="000000"/>
          <w:szCs w:val="20"/>
          <w:lang w:eastAsia="en-AU"/>
        </w:rPr>
        <w:t xml:space="preserve"> </w:t>
      </w:r>
      <w:proofErr w:type="spellStart"/>
      <w:r w:rsidRPr="001E2840">
        <w:rPr>
          <w:rFonts w:eastAsia="Times New Roman" w:cs="Arial"/>
          <w:color w:val="000000"/>
          <w:szCs w:val="20"/>
          <w:lang w:eastAsia="en-AU"/>
        </w:rPr>
        <w:t>glycopyrronium</w:t>
      </w:r>
      <w:proofErr w:type="spellEnd"/>
      <w:r w:rsidRPr="001E2840">
        <w:rPr>
          <w:rFonts w:eastAsia="Times New Roman" w:cs="Arial"/>
          <w:color w:val="000000"/>
          <w:szCs w:val="20"/>
          <w:lang w:eastAsia="en-AU"/>
        </w:rPr>
        <w:t xml:space="preserve"> in all preparations, except those for injection</w:t>
      </w:r>
      <w:r w:rsidR="007F689A" w:rsidRPr="001E2840">
        <w:rPr>
          <w:rFonts w:eastAsia="Times New Roman" w:cs="Arial"/>
          <w:color w:val="000000"/>
          <w:szCs w:val="20"/>
          <w:lang w:eastAsia="en-AU"/>
        </w:rPr>
        <w:t>, to be advertised regardless of indication</w:t>
      </w:r>
      <w:r w:rsidRPr="001E2840">
        <w:rPr>
          <w:rFonts w:eastAsia="Times New Roman" w:cs="Arial"/>
          <w:color w:val="000000"/>
          <w:szCs w:val="20"/>
          <w:lang w:eastAsia="en-AU"/>
        </w:rPr>
        <w:t xml:space="preserve">. </w:t>
      </w:r>
      <w:r w:rsidR="00C00ED7" w:rsidRPr="001E2840">
        <w:rPr>
          <w:rFonts w:eastAsia="Times New Roman" w:cs="Arial"/>
          <w:color w:val="000000"/>
          <w:szCs w:val="20"/>
          <w:lang w:eastAsia="en-AU"/>
        </w:rPr>
        <w:t>I have considered the request in the submissions in response to the interim decision to confine the Schedule 3 entry and Appendix H entry to topical preparation</w:t>
      </w:r>
      <w:r w:rsidR="004A129D" w:rsidRPr="001E2840">
        <w:rPr>
          <w:rFonts w:eastAsia="Times New Roman" w:cs="Arial"/>
          <w:color w:val="000000"/>
          <w:szCs w:val="20"/>
          <w:lang w:eastAsia="en-AU"/>
        </w:rPr>
        <w:t>s</w:t>
      </w:r>
      <w:r w:rsidR="00C00ED7" w:rsidRPr="001E2840">
        <w:rPr>
          <w:rFonts w:eastAsia="Times New Roman" w:cs="Arial"/>
          <w:color w:val="000000"/>
          <w:szCs w:val="20"/>
          <w:lang w:eastAsia="en-AU"/>
        </w:rPr>
        <w:t xml:space="preserve"> of </w:t>
      </w:r>
      <w:proofErr w:type="spellStart"/>
      <w:r w:rsidR="00C00ED7" w:rsidRPr="001E2840">
        <w:rPr>
          <w:rFonts w:eastAsia="Times New Roman" w:cs="Arial"/>
          <w:color w:val="000000"/>
          <w:szCs w:val="20"/>
          <w:lang w:eastAsia="en-AU"/>
        </w:rPr>
        <w:t>glycopyrronium</w:t>
      </w:r>
      <w:proofErr w:type="spellEnd"/>
      <w:r w:rsidR="00C00ED7" w:rsidRPr="001E2840">
        <w:rPr>
          <w:rFonts w:eastAsia="Times New Roman" w:cs="Arial"/>
          <w:color w:val="000000"/>
          <w:szCs w:val="20"/>
          <w:lang w:eastAsia="en-AU"/>
        </w:rPr>
        <w:t>.</w:t>
      </w:r>
      <w:r w:rsidR="00162B5F" w:rsidRPr="001E2840">
        <w:rPr>
          <w:rFonts w:eastAsia="Times New Roman" w:cs="Arial"/>
          <w:color w:val="000000"/>
          <w:szCs w:val="20"/>
          <w:lang w:eastAsia="en-AU"/>
        </w:rPr>
        <w:t xml:space="preserve"> </w:t>
      </w:r>
    </w:p>
    <w:p w14:paraId="713497B4" w14:textId="4ECDB699" w:rsidR="004F78FD" w:rsidRPr="001E2840" w:rsidRDefault="007B6BE8" w:rsidP="00EB1AB3">
      <w:pPr>
        <w:spacing w:before="180" w:after="180" w:line="240" w:lineRule="atLeast"/>
        <w:rPr>
          <w:rFonts w:eastAsia="Times New Roman" w:cs="Arial"/>
          <w:color w:val="000000"/>
          <w:szCs w:val="20"/>
          <w:lang w:eastAsia="en-AU"/>
        </w:rPr>
      </w:pPr>
      <w:r w:rsidRPr="001E2840">
        <w:rPr>
          <w:rFonts w:eastAsia="Times New Roman" w:cs="Arial"/>
          <w:color w:val="000000"/>
          <w:szCs w:val="20"/>
          <w:lang w:eastAsia="en-AU"/>
        </w:rPr>
        <w:t xml:space="preserve">I note </w:t>
      </w:r>
      <w:r w:rsidR="00181626" w:rsidRPr="001E2840">
        <w:rPr>
          <w:rFonts w:eastAsia="Times New Roman" w:cs="Arial"/>
          <w:color w:val="000000"/>
          <w:szCs w:val="20"/>
          <w:lang w:eastAsia="en-AU"/>
        </w:rPr>
        <w:t>one</w:t>
      </w:r>
      <w:r w:rsidR="00D83732" w:rsidRPr="001E2840">
        <w:rPr>
          <w:rFonts w:eastAsia="Times New Roman" w:cs="Arial"/>
          <w:color w:val="000000"/>
          <w:szCs w:val="20"/>
          <w:lang w:eastAsia="en-AU"/>
        </w:rPr>
        <w:t xml:space="preserve"> of the</w:t>
      </w:r>
      <w:r w:rsidRPr="001E2840">
        <w:rPr>
          <w:rFonts w:eastAsia="Times New Roman" w:cs="Arial"/>
          <w:color w:val="000000"/>
          <w:szCs w:val="20"/>
          <w:lang w:eastAsia="en-AU"/>
        </w:rPr>
        <w:t xml:space="preserve"> submissions </w:t>
      </w:r>
      <w:r w:rsidR="0045258F" w:rsidRPr="001E2840">
        <w:rPr>
          <w:rFonts w:eastAsia="Times New Roman" w:cs="Arial"/>
          <w:color w:val="000000"/>
          <w:szCs w:val="20"/>
          <w:lang w:eastAsia="en-AU"/>
        </w:rPr>
        <w:t>argued</w:t>
      </w:r>
      <w:r w:rsidR="00856EC2" w:rsidRPr="001E2840">
        <w:rPr>
          <w:rFonts w:eastAsia="Times New Roman" w:cs="Arial"/>
          <w:color w:val="000000"/>
          <w:szCs w:val="20"/>
          <w:lang w:eastAsia="en-AU"/>
        </w:rPr>
        <w:t xml:space="preserve"> </w:t>
      </w:r>
      <w:r w:rsidR="00D60CAD">
        <w:rPr>
          <w:rFonts w:eastAsia="Times New Roman" w:cs="Arial"/>
          <w:color w:val="000000"/>
          <w:szCs w:val="20"/>
          <w:lang w:eastAsia="en-AU"/>
        </w:rPr>
        <w:t xml:space="preserve">that </w:t>
      </w:r>
      <w:r w:rsidR="00856EC2" w:rsidRPr="001E2840">
        <w:rPr>
          <w:rFonts w:eastAsia="Times New Roman" w:cs="Arial"/>
          <w:color w:val="000000"/>
          <w:szCs w:val="20"/>
          <w:lang w:eastAsia="en-AU"/>
        </w:rPr>
        <w:t>symptoms of</w:t>
      </w:r>
      <w:r w:rsidR="0047489D" w:rsidRPr="001E2840">
        <w:rPr>
          <w:rFonts w:eastAsia="Times New Roman" w:cs="Arial"/>
          <w:color w:val="000000"/>
          <w:szCs w:val="20"/>
          <w:lang w:eastAsia="en-AU"/>
        </w:rPr>
        <w:t xml:space="preserve"> primary axillary hyper</w:t>
      </w:r>
      <w:r w:rsidR="004E645C" w:rsidRPr="001E2840">
        <w:rPr>
          <w:rFonts w:eastAsia="Times New Roman" w:cs="Arial"/>
          <w:color w:val="000000"/>
          <w:szCs w:val="20"/>
          <w:lang w:eastAsia="en-AU"/>
        </w:rPr>
        <w:t>h</w:t>
      </w:r>
      <w:r w:rsidR="0047489D" w:rsidRPr="001E2840">
        <w:rPr>
          <w:rFonts w:eastAsia="Times New Roman" w:cs="Arial"/>
          <w:color w:val="000000"/>
          <w:szCs w:val="20"/>
          <w:lang w:eastAsia="en-AU"/>
        </w:rPr>
        <w:t>idrosis</w:t>
      </w:r>
      <w:r w:rsidR="00516592">
        <w:rPr>
          <w:rFonts w:eastAsia="Times New Roman" w:cs="Arial"/>
          <w:color w:val="000000"/>
          <w:szCs w:val="20"/>
          <w:lang w:eastAsia="en-AU"/>
        </w:rPr>
        <w:t>, a condition that involves excessive sweating,</w:t>
      </w:r>
      <w:r w:rsidR="0047489D" w:rsidRPr="001E2840">
        <w:rPr>
          <w:rFonts w:eastAsia="Times New Roman" w:cs="Arial"/>
          <w:color w:val="000000"/>
          <w:szCs w:val="20"/>
          <w:lang w:eastAsia="en-AU"/>
        </w:rPr>
        <w:t xml:space="preserve"> can </w:t>
      </w:r>
      <w:r w:rsidR="00856EC2" w:rsidRPr="001E2840">
        <w:rPr>
          <w:rFonts w:eastAsia="Times New Roman" w:cs="Arial"/>
          <w:color w:val="000000"/>
          <w:szCs w:val="20"/>
          <w:lang w:eastAsia="en-AU"/>
        </w:rPr>
        <w:t xml:space="preserve">be </w:t>
      </w:r>
      <w:r w:rsidR="0047489D" w:rsidRPr="001E2840">
        <w:rPr>
          <w:rFonts w:eastAsia="Times New Roman" w:cs="Arial"/>
          <w:color w:val="000000"/>
          <w:szCs w:val="20"/>
          <w:lang w:eastAsia="en-AU"/>
        </w:rPr>
        <w:t>manage</w:t>
      </w:r>
      <w:r w:rsidR="00856EC2" w:rsidRPr="001E2840">
        <w:rPr>
          <w:rFonts w:eastAsia="Times New Roman" w:cs="Arial"/>
          <w:color w:val="000000"/>
          <w:szCs w:val="20"/>
          <w:lang w:eastAsia="en-AU"/>
        </w:rPr>
        <w:t>d by patients</w:t>
      </w:r>
      <w:r w:rsidR="0047489D" w:rsidRPr="001E2840">
        <w:rPr>
          <w:rFonts w:eastAsia="Times New Roman" w:cs="Arial"/>
          <w:color w:val="000000"/>
          <w:szCs w:val="20"/>
          <w:lang w:eastAsia="en-AU"/>
        </w:rPr>
        <w:t xml:space="preserve"> </w:t>
      </w:r>
      <w:r w:rsidR="00B834B0" w:rsidRPr="001E2840">
        <w:rPr>
          <w:rFonts w:eastAsia="Times New Roman" w:cs="Arial"/>
          <w:color w:val="000000"/>
          <w:szCs w:val="20"/>
          <w:lang w:eastAsia="en-AU"/>
        </w:rPr>
        <w:t>without close medical supervision</w:t>
      </w:r>
      <w:r w:rsidR="003776E0" w:rsidRPr="001E2840">
        <w:rPr>
          <w:rFonts w:eastAsia="Times New Roman" w:cs="Arial"/>
          <w:color w:val="000000"/>
          <w:szCs w:val="20"/>
          <w:lang w:eastAsia="en-AU"/>
        </w:rPr>
        <w:t xml:space="preserve"> after diagnosis</w:t>
      </w:r>
      <w:r w:rsidRPr="001E2840">
        <w:rPr>
          <w:rFonts w:eastAsia="Times New Roman" w:cs="Arial"/>
          <w:color w:val="000000"/>
          <w:szCs w:val="20"/>
          <w:lang w:eastAsia="en-AU"/>
        </w:rPr>
        <w:t>.</w:t>
      </w:r>
      <w:r w:rsidR="00A6623B" w:rsidRPr="001E2840">
        <w:rPr>
          <w:rFonts w:eastAsia="Times New Roman" w:cs="Arial"/>
          <w:color w:val="000000"/>
          <w:szCs w:val="20"/>
          <w:lang w:eastAsia="en-AU"/>
        </w:rPr>
        <w:t xml:space="preserve"> However, </w:t>
      </w:r>
      <w:r w:rsidR="00786E43" w:rsidRPr="001E2840">
        <w:rPr>
          <w:rFonts w:eastAsia="Times New Roman" w:cs="Arial"/>
          <w:color w:val="000000"/>
          <w:szCs w:val="20"/>
          <w:lang w:eastAsia="en-AU"/>
        </w:rPr>
        <w:t xml:space="preserve">it is specified in the </w:t>
      </w:r>
      <w:r w:rsidR="00A6623B" w:rsidRPr="001E2840">
        <w:rPr>
          <w:rFonts w:eastAsia="Times New Roman" w:cs="Arial"/>
          <w:color w:val="000000"/>
          <w:szCs w:val="20"/>
          <w:lang w:eastAsia="en-AU"/>
        </w:rPr>
        <w:t xml:space="preserve">Therapeutic Guidelines </w:t>
      </w:r>
      <w:r w:rsidR="00786E43" w:rsidRPr="001E2840">
        <w:rPr>
          <w:rFonts w:eastAsia="Times New Roman" w:cs="Arial"/>
          <w:color w:val="000000"/>
          <w:szCs w:val="20"/>
          <w:lang w:eastAsia="en-AU"/>
        </w:rPr>
        <w:t xml:space="preserve">that </w:t>
      </w:r>
      <w:r w:rsidR="005C7529" w:rsidRPr="001E2840">
        <w:rPr>
          <w:rFonts w:eastAsia="Times New Roman" w:cs="Arial"/>
          <w:color w:val="000000"/>
          <w:szCs w:val="20"/>
          <w:lang w:eastAsia="en-AU"/>
        </w:rPr>
        <w:t xml:space="preserve">management </w:t>
      </w:r>
      <w:r w:rsidR="007F5490" w:rsidRPr="001E2840">
        <w:rPr>
          <w:rFonts w:eastAsia="Times New Roman" w:cs="Arial"/>
          <w:color w:val="000000"/>
          <w:szCs w:val="20"/>
          <w:lang w:eastAsia="en-AU"/>
        </w:rPr>
        <w:t xml:space="preserve">of primary hyperhidrosis </w:t>
      </w:r>
      <w:r w:rsidR="005C7529" w:rsidRPr="001E2840">
        <w:rPr>
          <w:rFonts w:eastAsia="Times New Roman" w:cs="Arial"/>
          <w:color w:val="000000"/>
          <w:szCs w:val="20"/>
          <w:lang w:eastAsia="en-AU"/>
        </w:rPr>
        <w:t>may involve referral to a specialist, such as a dermatologist or neurologist with expertise in sweating disorders.</w:t>
      </w:r>
      <w:r w:rsidR="005C7529" w:rsidRPr="001E2840">
        <w:rPr>
          <w:rStyle w:val="FootnoteReference"/>
          <w:rFonts w:eastAsia="Times New Roman" w:cs="Arial"/>
          <w:color w:val="000000"/>
          <w:szCs w:val="20"/>
          <w:lang w:eastAsia="en-AU"/>
        </w:rPr>
        <w:footnoteReference w:id="5"/>
      </w:r>
      <w:r w:rsidR="00786E43" w:rsidRPr="001E2840">
        <w:rPr>
          <w:rFonts w:eastAsia="Times New Roman" w:cs="Arial"/>
          <w:color w:val="000000"/>
          <w:szCs w:val="20"/>
          <w:lang w:eastAsia="en-AU"/>
        </w:rPr>
        <w:t xml:space="preserve"> </w:t>
      </w:r>
      <w:r w:rsidR="00804426" w:rsidRPr="001E2840">
        <w:rPr>
          <w:rFonts w:eastAsia="Times New Roman" w:cs="Arial"/>
          <w:color w:val="000000"/>
          <w:szCs w:val="20"/>
          <w:lang w:eastAsia="en-AU"/>
        </w:rPr>
        <w:t>It is common for</w:t>
      </w:r>
      <w:r w:rsidR="004F78FD" w:rsidRPr="001E2840">
        <w:rPr>
          <w:rFonts w:eastAsia="Times New Roman" w:cs="Arial"/>
          <w:color w:val="000000"/>
          <w:szCs w:val="20"/>
          <w:lang w:eastAsia="en-AU"/>
        </w:rPr>
        <w:t xml:space="preserve"> those with primary axillary hyperhidrosis </w:t>
      </w:r>
      <w:r w:rsidR="00804426" w:rsidRPr="001E2840">
        <w:rPr>
          <w:rFonts w:eastAsia="Times New Roman" w:cs="Arial"/>
          <w:color w:val="000000"/>
          <w:szCs w:val="20"/>
          <w:lang w:eastAsia="en-AU"/>
        </w:rPr>
        <w:t xml:space="preserve">to </w:t>
      </w:r>
      <w:r w:rsidR="00E0134C" w:rsidRPr="001E2840">
        <w:rPr>
          <w:rFonts w:eastAsia="Times New Roman" w:cs="Arial"/>
          <w:color w:val="000000"/>
          <w:szCs w:val="20"/>
          <w:lang w:eastAsia="en-AU"/>
        </w:rPr>
        <w:t xml:space="preserve">have severe sweating or </w:t>
      </w:r>
      <w:r w:rsidR="004F78FD" w:rsidRPr="001E2840">
        <w:rPr>
          <w:rFonts w:eastAsia="Times New Roman" w:cs="Arial"/>
          <w:color w:val="000000"/>
          <w:szCs w:val="20"/>
          <w:lang w:eastAsia="en-AU"/>
        </w:rPr>
        <w:t xml:space="preserve">experience </w:t>
      </w:r>
      <w:r w:rsidR="003613A3" w:rsidRPr="001E2840">
        <w:rPr>
          <w:rFonts w:eastAsia="Times New Roman" w:cs="Arial"/>
          <w:color w:val="000000"/>
          <w:szCs w:val="20"/>
          <w:lang w:eastAsia="en-AU"/>
        </w:rPr>
        <w:t>excessive sweating</w:t>
      </w:r>
      <w:r w:rsidR="004F78FD" w:rsidRPr="001E2840">
        <w:rPr>
          <w:rFonts w:eastAsia="Times New Roman" w:cs="Arial"/>
          <w:color w:val="000000"/>
          <w:szCs w:val="20"/>
          <w:lang w:eastAsia="en-AU"/>
        </w:rPr>
        <w:t xml:space="preserve"> in other areas including the head and face.</w:t>
      </w:r>
      <w:r w:rsidR="004F78FD" w:rsidRPr="001E2840">
        <w:rPr>
          <w:rStyle w:val="FootnoteReference"/>
          <w:rFonts w:eastAsia="Times New Roman" w:cs="Arial"/>
          <w:color w:val="000000"/>
          <w:szCs w:val="20"/>
          <w:lang w:eastAsia="en-AU"/>
        </w:rPr>
        <w:footnoteReference w:id="6"/>
      </w:r>
      <w:r w:rsidR="004F78FD" w:rsidRPr="001E2840">
        <w:rPr>
          <w:rFonts w:eastAsia="Times New Roman" w:cs="Arial"/>
          <w:color w:val="000000"/>
          <w:szCs w:val="20"/>
          <w:vertAlign w:val="superscript"/>
          <w:lang w:eastAsia="en-AU"/>
        </w:rPr>
        <w:t>,</w:t>
      </w:r>
      <w:r w:rsidR="004F78FD" w:rsidRPr="001E2840">
        <w:rPr>
          <w:rStyle w:val="FootnoteReference"/>
          <w:rFonts w:eastAsia="Times New Roman" w:cs="Arial"/>
          <w:color w:val="000000"/>
          <w:szCs w:val="20"/>
          <w:lang w:eastAsia="en-AU"/>
        </w:rPr>
        <w:footnoteReference w:id="7"/>
      </w:r>
      <w:r w:rsidR="004F78FD" w:rsidRPr="001E2840">
        <w:rPr>
          <w:rFonts w:eastAsia="Times New Roman" w:cs="Arial"/>
          <w:color w:val="000000"/>
          <w:szCs w:val="20"/>
          <w:vertAlign w:val="superscript"/>
          <w:lang w:eastAsia="en-AU"/>
        </w:rPr>
        <w:t xml:space="preserve"> </w:t>
      </w:r>
      <w:r w:rsidR="00DA53F4" w:rsidRPr="001E2840">
        <w:rPr>
          <w:rFonts w:eastAsia="Times New Roman" w:cs="Arial"/>
          <w:color w:val="000000"/>
          <w:szCs w:val="20"/>
          <w:lang w:eastAsia="en-AU"/>
        </w:rPr>
        <w:t xml:space="preserve">These factors </w:t>
      </w:r>
      <w:r w:rsidR="003518B7" w:rsidRPr="001E2840">
        <w:rPr>
          <w:rFonts w:eastAsia="Times New Roman" w:cs="Arial"/>
          <w:color w:val="000000"/>
          <w:szCs w:val="20"/>
          <w:lang w:eastAsia="en-AU"/>
        </w:rPr>
        <w:t>can</w:t>
      </w:r>
      <w:r w:rsidR="00DA53F4" w:rsidRPr="001E2840">
        <w:rPr>
          <w:rFonts w:eastAsia="Times New Roman" w:cs="Arial"/>
          <w:color w:val="000000"/>
          <w:szCs w:val="20"/>
          <w:lang w:eastAsia="en-AU"/>
        </w:rPr>
        <w:t xml:space="preserve"> </w:t>
      </w:r>
      <w:r w:rsidR="00480456" w:rsidRPr="001E2840">
        <w:rPr>
          <w:rFonts w:eastAsia="Times New Roman" w:cs="Arial"/>
          <w:color w:val="000000"/>
          <w:szCs w:val="20"/>
          <w:lang w:eastAsia="en-AU"/>
        </w:rPr>
        <w:t xml:space="preserve">make </w:t>
      </w:r>
      <w:r w:rsidR="0024638F" w:rsidRPr="001E2840">
        <w:rPr>
          <w:rFonts w:eastAsia="Times New Roman" w:cs="Arial"/>
          <w:color w:val="000000"/>
          <w:szCs w:val="20"/>
          <w:lang w:eastAsia="en-AU"/>
        </w:rPr>
        <w:t xml:space="preserve">medical assessment, </w:t>
      </w:r>
      <w:r w:rsidR="00480456" w:rsidRPr="001E2840">
        <w:rPr>
          <w:rFonts w:eastAsia="Times New Roman" w:cs="Arial"/>
          <w:color w:val="000000"/>
          <w:szCs w:val="20"/>
          <w:lang w:eastAsia="en-AU"/>
        </w:rPr>
        <w:t>treatment and management more complex</w:t>
      </w:r>
      <w:r w:rsidR="001570FF" w:rsidRPr="001E2840">
        <w:rPr>
          <w:rFonts w:eastAsia="Times New Roman" w:cs="Arial"/>
          <w:color w:val="000000"/>
          <w:szCs w:val="20"/>
          <w:lang w:eastAsia="en-AU"/>
        </w:rPr>
        <w:t xml:space="preserve">, which </w:t>
      </w:r>
      <w:r w:rsidR="00E2400D" w:rsidRPr="001E2840">
        <w:rPr>
          <w:rFonts w:eastAsia="Times New Roman" w:cs="Arial"/>
          <w:color w:val="000000"/>
          <w:szCs w:val="20"/>
          <w:lang w:eastAsia="en-AU"/>
        </w:rPr>
        <w:t xml:space="preserve">support my view that Schedule 4 </w:t>
      </w:r>
      <w:r w:rsidR="00253460" w:rsidRPr="001E2840">
        <w:rPr>
          <w:rFonts w:eastAsia="Times New Roman" w:cs="Arial"/>
          <w:color w:val="000000"/>
          <w:szCs w:val="20"/>
          <w:lang w:eastAsia="en-AU"/>
        </w:rPr>
        <w:t xml:space="preserve">is most appropriate. </w:t>
      </w:r>
    </w:p>
    <w:p w14:paraId="50DD9F29" w14:textId="44E2F7DA" w:rsidR="00C00ED7" w:rsidRPr="001E2840" w:rsidRDefault="00C00ED7" w:rsidP="00EB1AB3">
      <w:pPr>
        <w:spacing w:before="180" w:after="180" w:line="240" w:lineRule="atLeast"/>
        <w:rPr>
          <w:rFonts w:eastAsia="Times New Roman" w:cs="Arial"/>
          <w:color w:val="000000"/>
          <w:szCs w:val="20"/>
          <w:lang w:eastAsia="en-AU"/>
        </w:rPr>
      </w:pPr>
      <w:r w:rsidRPr="001E2840">
        <w:rPr>
          <w:rFonts w:eastAsia="Times New Roman" w:cs="Arial"/>
          <w:color w:val="000000"/>
          <w:szCs w:val="20"/>
          <w:lang w:eastAsia="en-AU"/>
        </w:rPr>
        <w:t>I acknowledge that</w:t>
      </w:r>
      <w:r w:rsidR="00B73D9C" w:rsidRPr="001E2840">
        <w:rPr>
          <w:rFonts w:eastAsia="Times New Roman" w:cs="Arial"/>
          <w:color w:val="000000"/>
          <w:szCs w:val="20"/>
          <w:lang w:eastAsia="en-AU"/>
        </w:rPr>
        <w:t xml:space="preserve"> due to the localised</w:t>
      </w:r>
      <w:r w:rsidR="00B735BA" w:rsidRPr="001E2840">
        <w:rPr>
          <w:rFonts w:eastAsia="Times New Roman" w:cs="Arial"/>
          <w:color w:val="000000"/>
          <w:szCs w:val="20"/>
          <w:lang w:eastAsia="en-AU"/>
        </w:rPr>
        <w:t xml:space="preserve"> application and reduced systemic</w:t>
      </w:r>
      <w:r w:rsidR="00B73D9C" w:rsidRPr="001E2840">
        <w:rPr>
          <w:rFonts w:eastAsia="Times New Roman" w:cs="Arial"/>
          <w:color w:val="000000"/>
          <w:szCs w:val="20"/>
          <w:lang w:eastAsia="en-AU"/>
        </w:rPr>
        <w:t xml:space="preserve"> drug exposure,</w:t>
      </w:r>
      <w:r w:rsidRPr="001E2840">
        <w:rPr>
          <w:rFonts w:eastAsia="Times New Roman" w:cs="Arial"/>
          <w:color w:val="000000"/>
          <w:szCs w:val="20"/>
          <w:lang w:eastAsia="en-AU"/>
        </w:rPr>
        <w:t xml:space="preserve"> </w:t>
      </w:r>
      <w:r w:rsidR="00760F3C" w:rsidRPr="001E2840">
        <w:rPr>
          <w:rFonts w:eastAsia="Times New Roman" w:cs="Arial"/>
          <w:color w:val="000000"/>
          <w:szCs w:val="20"/>
          <w:lang w:eastAsia="en-AU"/>
        </w:rPr>
        <w:t>topical preparation</w:t>
      </w:r>
      <w:r w:rsidR="00B73D9C" w:rsidRPr="001E2840">
        <w:rPr>
          <w:rFonts w:eastAsia="Times New Roman" w:cs="Arial"/>
          <w:color w:val="000000"/>
          <w:szCs w:val="20"/>
          <w:lang w:eastAsia="en-AU"/>
        </w:rPr>
        <w:t>s</w:t>
      </w:r>
      <w:r w:rsidR="00760F3C" w:rsidRPr="001E2840">
        <w:rPr>
          <w:rFonts w:eastAsia="Times New Roman" w:cs="Arial"/>
          <w:color w:val="000000"/>
          <w:szCs w:val="20"/>
          <w:lang w:eastAsia="en-AU"/>
        </w:rPr>
        <w:t xml:space="preserve"> of </w:t>
      </w:r>
      <w:proofErr w:type="spellStart"/>
      <w:r w:rsidRPr="001E2840">
        <w:rPr>
          <w:rFonts w:eastAsia="Times New Roman" w:cs="Arial"/>
          <w:color w:val="000000"/>
          <w:szCs w:val="20"/>
          <w:lang w:eastAsia="en-AU"/>
        </w:rPr>
        <w:t>glycopyrronium</w:t>
      </w:r>
      <w:proofErr w:type="spellEnd"/>
      <w:r w:rsidRPr="001E2840">
        <w:rPr>
          <w:rFonts w:eastAsia="Times New Roman" w:cs="Arial"/>
          <w:color w:val="000000"/>
          <w:szCs w:val="20"/>
          <w:lang w:eastAsia="en-AU"/>
        </w:rPr>
        <w:t xml:space="preserve"> </w:t>
      </w:r>
      <w:r w:rsidR="00B73D9C" w:rsidRPr="001E2840">
        <w:rPr>
          <w:rFonts w:eastAsia="Times New Roman" w:cs="Arial"/>
          <w:color w:val="000000"/>
          <w:szCs w:val="20"/>
          <w:lang w:eastAsia="en-AU"/>
        </w:rPr>
        <w:t xml:space="preserve">are </w:t>
      </w:r>
      <w:r w:rsidR="00760F3C" w:rsidRPr="001E2840">
        <w:rPr>
          <w:rFonts w:eastAsia="Times New Roman" w:cs="Arial"/>
          <w:color w:val="000000"/>
          <w:szCs w:val="20"/>
          <w:lang w:eastAsia="en-AU"/>
        </w:rPr>
        <w:t xml:space="preserve">likely to be better </w:t>
      </w:r>
      <w:r w:rsidRPr="001E2840">
        <w:rPr>
          <w:rFonts w:eastAsia="Times New Roman" w:cs="Arial"/>
          <w:color w:val="000000"/>
          <w:szCs w:val="20"/>
          <w:lang w:eastAsia="en-AU"/>
        </w:rPr>
        <w:t xml:space="preserve">tolerated </w:t>
      </w:r>
      <w:r w:rsidR="00760F3C" w:rsidRPr="001E2840">
        <w:rPr>
          <w:rFonts w:eastAsia="Times New Roman" w:cs="Arial"/>
          <w:color w:val="000000"/>
          <w:szCs w:val="20"/>
          <w:lang w:eastAsia="en-AU"/>
        </w:rPr>
        <w:t xml:space="preserve">when </w:t>
      </w:r>
      <w:r w:rsidRPr="001E2840">
        <w:rPr>
          <w:rFonts w:eastAsia="Times New Roman" w:cs="Arial"/>
          <w:color w:val="000000"/>
          <w:szCs w:val="20"/>
          <w:lang w:eastAsia="en-AU"/>
        </w:rPr>
        <w:t xml:space="preserve">compared to other </w:t>
      </w:r>
      <w:proofErr w:type="spellStart"/>
      <w:r w:rsidRPr="001E2840">
        <w:rPr>
          <w:rFonts w:eastAsia="Times New Roman" w:cs="Arial"/>
          <w:color w:val="000000"/>
          <w:szCs w:val="20"/>
          <w:lang w:eastAsia="en-AU"/>
        </w:rPr>
        <w:t>glycopyrronium</w:t>
      </w:r>
      <w:proofErr w:type="spellEnd"/>
      <w:r w:rsidRPr="001E2840">
        <w:rPr>
          <w:rFonts w:eastAsia="Times New Roman" w:cs="Arial"/>
          <w:color w:val="000000"/>
          <w:szCs w:val="20"/>
          <w:lang w:eastAsia="en-AU"/>
        </w:rPr>
        <w:t xml:space="preserve"> preparations</w:t>
      </w:r>
      <w:r w:rsidR="00760F3C" w:rsidRPr="001E2840">
        <w:rPr>
          <w:rFonts w:eastAsia="Times New Roman" w:cs="Arial"/>
          <w:color w:val="000000"/>
          <w:szCs w:val="20"/>
          <w:lang w:eastAsia="en-AU"/>
        </w:rPr>
        <w:t>, such as oral preparations</w:t>
      </w:r>
      <w:r w:rsidR="00B73D9C" w:rsidRPr="001E2840">
        <w:rPr>
          <w:rFonts w:eastAsia="Times New Roman" w:cs="Arial"/>
          <w:color w:val="000000"/>
          <w:szCs w:val="20"/>
          <w:lang w:eastAsia="en-AU"/>
        </w:rPr>
        <w:t>. H</w:t>
      </w:r>
      <w:r w:rsidRPr="001E2840">
        <w:rPr>
          <w:rFonts w:eastAsia="Times New Roman" w:cs="Arial"/>
          <w:color w:val="000000"/>
          <w:szCs w:val="20"/>
          <w:lang w:eastAsia="en-AU"/>
        </w:rPr>
        <w:t>owever</w:t>
      </w:r>
      <w:r w:rsidR="004A129D" w:rsidRPr="001E2840">
        <w:rPr>
          <w:rFonts w:eastAsia="Times New Roman" w:cs="Arial"/>
          <w:color w:val="000000"/>
          <w:szCs w:val="20"/>
          <w:lang w:eastAsia="en-AU"/>
        </w:rPr>
        <w:t>,</w:t>
      </w:r>
      <w:r w:rsidRPr="001E2840">
        <w:rPr>
          <w:rFonts w:eastAsia="Times New Roman" w:cs="Arial"/>
          <w:color w:val="000000"/>
          <w:szCs w:val="20"/>
          <w:lang w:eastAsia="en-AU"/>
        </w:rPr>
        <w:t xml:space="preserve"> </w:t>
      </w:r>
      <w:r w:rsidR="00B73D9C" w:rsidRPr="001E2840">
        <w:rPr>
          <w:rFonts w:eastAsia="Times New Roman" w:cs="Arial"/>
          <w:color w:val="000000"/>
          <w:szCs w:val="20"/>
          <w:lang w:eastAsia="en-AU"/>
        </w:rPr>
        <w:t>the use of topical preparations of</w:t>
      </w:r>
      <w:r w:rsidR="00B73D9C">
        <w:rPr>
          <w:rFonts w:eastAsia="Times New Roman" w:cs="Arial"/>
          <w:color w:val="000000"/>
          <w:szCs w:val="20"/>
          <w:lang w:eastAsia="en-AU"/>
        </w:rPr>
        <w:t xml:space="preserve"> </w:t>
      </w:r>
      <w:proofErr w:type="spellStart"/>
      <w:r w:rsidR="00B73D9C" w:rsidRPr="001E2840">
        <w:rPr>
          <w:rFonts w:eastAsia="Times New Roman" w:cs="Arial"/>
          <w:color w:val="000000"/>
          <w:szCs w:val="20"/>
          <w:lang w:eastAsia="en-AU"/>
        </w:rPr>
        <w:lastRenderedPageBreak/>
        <w:t>glycopyrronium</w:t>
      </w:r>
      <w:proofErr w:type="spellEnd"/>
      <w:r w:rsidRPr="001E2840">
        <w:rPr>
          <w:rFonts w:eastAsia="Times New Roman" w:cs="Arial"/>
          <w:color w:val="000000"/>
          <w:szCs w:val="20"/>
          <w:lang w:eastAsia="en-AU"/>
        </w:rPr>
        <w:t xml:space="preserve"> is not without potential risk of adverse </w:t>
      </w:r>
      <w:r w:rsidR="00757F82" w:rsidRPr="001E2840">
        <w:rPr>
          <w:rFonts w:eastAsia="Times New Roman" w:cs="Arial"/>
          <w:color w:val="000000"/>
          <w:szCs w:val="20"/>
          <w:lang w:eastAsia="en-AU"/>
        </w:rPr>
        <w:t>effects.</w:t>
      </w:r>
      <w:r w:rsidR="00757F82">
        <w:rPr>
          <w:rFonts w:eastAsia="Times New Roman" w:cs="Arial"/>
          <w:color w:val="000000"/>
          <w:szCs w:val="20"/>
          <w:lang w:eastAsia="en-AU"/>
        </w:rPr>
        <w:t xml:space="preserve"> </w:t>
      </w:r>
      <w:r w:rsidR="00757F82" w:rsidRPr="001E2840">
        <w:rPr>
          <w:rFonts w:eastAsia="Times New Roman" w:cs="Arial"/>
          <w:color w:val="000000"/>
          <w:szCs w:val="20"/>
          <w:lang w:eastAsia="en-AU"/>
        </w:rPr>
        <w:t>Topical</w:t>
      </w:r>
      <w:r w:rsidR="00D62A47" w:rsidRPr="001E2840">
        <w:rPr>
          <w:rFonts w:eastAsia="Times New Roman" w:cs="Arial"/>
          <w:color w:val="000000"/>
          <w:szCs w:val="20"/>
          <w:lang w:eastAsia="en-AU"/>
        </w:rPr>
        <w:t xml:space="preserve"> </w:t>
      </w:r>
      <w:proofErr w:type="spellStart"/>
      <w:r w:rsidR="00757F82">
        <w:rPr>
          <w:rFonts w:eastAsia="Times New Roman" w:cs="Arial"/>
          <w:color w:val="000000"/>
          <w:szCs w:val="20"/>
          <w:lang w:eastAsia="en-AU"/>
        </w:rPr>
        <w:t>g</w:t>
      </w:r>
      <w:r w:rsidR="00757F82" w:rsidRPr="001E2840">
        <w:rPr>
          <w:rFonts w:eastAsia="Times New Roman" w:cs="Arial"/>
          <w:color w:val="000000"/>
          <w:szCs w:val="20"/>
          <w:lang w:eastAsia="en-AU"/>
        </w:rPr>
        <w:t>lycopyrronium</w:t>
      </w:r>
      <w:proofErr w:type="spellEnd"/>
      <w:r w:rsidR="00757F82" w:rsidRPr="001E2840">
        <w:rPr>
          <w:rFonts w:eastAsia="Times New Roman" w:cs="Arial"/>
          <w:color w:val="000000"/>
          <w:szCs w:val="20"/>
          <w:lang w:eastAsia="en-AU"/>
        </w:rPr>
        <w:t xml:space="preserve"> </w:t>
      </w:r>
      <w:r w:rsidR="00D62A47" w:rsidRPr="001E2840">
        <w:rPr>
          <w:rFonts w:eastAsia="Times New Roman" w:cs="Arial"/>
          <w:color w:val="000000"/>
          <w:szCs w:val="20"/>
          <w:lang w:eastAsia="en-AU"/>
        </w:rPr>
        <w:t xml:space="preserve">preparations have never been available in Australia, and, therefore, there is a lack of experience and </w:t>
      </w:r>
      <w:r w:rsidR="00D4534C" w:rsidRPr="001E2840">
        <w:rPr>
          <w:rFonts w:eastAsia="Times New Roman" w:cs="Arial"/>
          <w:color w:val="000000"/>
          <w:szCs w:val="20"/>
          <w:lang w:eastAsia="en-AU"/>
        </w:rPr>
        <w:t xml:space="preserve">real-world </w:t>
      </w:r>
      <w:r w:rsidR="00D62A47" w:rsidRPr="001E2840">
        <w:rPr>
          <w:rFonts w:eastAsia="Times New Roman" w:cs="Arial"/>
          <w:color w:val="000000"/>
          <w:szCs w:val="20"/>
          <w:lang w:eastAsia="en-AU"/>
        </w:rPr>
        <w:t xml:space="preserve">data regarding topical </w:t>
      </w:r>
      <w:proofErr w:type="spellStart"/>
      <w:r w:rsidR="00D62A47" w:rsidRPr="001E2840">
        <w:rPr>
          <w:rFonts w:eastAsia="Times New Roman" w:cs="Arial"/>
          <w:color w:val="000000"/>
          <w:szCs w:val="20"/>
          <w:lang w:eastAsia="en-AU"/>
        </w:rPr>
        <w:t>glycopyrronium</w:t>
      </w:r>
      <w:proofErr w:type="spellEnd"/>
      <w:r w:rsidR="00D62A47" w:rsidRPr="001E2840">
        <w:rPr>
          <w:rFonts w:eastAsia="Times New Roman" w:cs="Arial"/>
          <w:color w:val="000000"/>
          <w:szCs w:val="20"/>
          <w:lang w:eastAsia="en-AU"/>
        </w:rPr>
        <w:t xml:space="preserve"> use in Australia. T</w:t>
      </w:r>
      <w:r w:rsidR="00271567">
        <w:rPr>
          <w:rFonts w:eastAsia="Times New Roman" w:cs="Arial"/>
          <w:color w:val="000000"/>
          <w:szCs w:val="20"/>
          <w:lang w:eastAsia="en-AU"/>
        </w:rPr>
        <w:t>hese elements</w:t>
      </w:r>
      <w:r w:rsidR="000D4410" w:rsidRPr="001E2840">
        <w:rPr>
          <w:rFonts w:eastAsia="Times New Roman" w:cs="Arial"/>
          <w:color w:val="000000"/>
          <w:szCs w:val="20"/>
          <w:lang w:eastAsia="en-AU"/>
        </w:rPr>
        <w:t xml:space="preserve"> </w:t>
      </w:r>
      <w:r w:rsidR="00271567">
        <w:rPr>
          <w:rFonts w:eastAsia="Times New Roman" w:cs="Arial"/>
          <w:color w:val="000000"/>
          <w:szCs w:val="20"/>
          <w:lang w:eastAsia="en-AU"/>
        </w:rPr>
        <w:t xml:space="preserve">are </w:t>
      </w:r>
      <w:r w:rsidR="00150AEC" w:rsidRPr="001E2840">
        <w:rPr>
          <w:rFonts w:eastAsia="Times New Roman" w:cs="Arial"/>
          <w:color w:val="000000"/>
          <w:szCs w:val="20"/>
          <w:lang w:eastAsia="en-AU"/>
        </w:rPr>
        <w:t xml:space="preserve">consistent with </w:t>
      </w:r>
      <w:r w:rsidR="00271567" w:rsidRPr="00271567">
        <w:rPr>
          <w:rFonts w:eastAsia="Times New Roman" w:cs="Arial"/>
          <w:color w:val="000000"/>
          <w:szCs w:val="20"/>
          <w:lang w:eastAsia="en-AU"/>
        </w:rPr>
        <w:t>the factors for prescription medicines (Schedule 4, facto</w:t>
      </w:r>
      <w:r w:rsidR="00271567">
        <w:rPr>
          <w:rFonts w:eastAsia="Times New Roman" w:cs="Arial"/>
          <w:color w:val="000000"/>
          <w:szCs w:val="20"/>
          <w:lang w:eastAsia="en-AU"/>
        </w:rPr>
        <w:t>r 8</w:t>
      </w:r>
      <w:r w:rsidR="00271567" w:rsidRPr="00271567">
        <w:rPr>
          <w:rFonts w:eastAsia="Times New Roman" w:cs="Arial"/>
          <w:color w:val="000000"/>
          <w:szCs w:val="20"/>
          <w:lang w:eastAsia="en-AU"/>
        </w:rPr>
        <w:t>).</w:t>
      </w:r>
    </w:p>
    <w:p w14:paraId="106DEDEA" w14:textId="4EF5DCFC" w:rsidR="00AE2994" w:rsidRDefault="00C00ED7" w:rsidP="00EB1AB3">
      <w:pPr>
        <w:spacing w:before="180" w:after="180" w:line="240" w:lineRule="atLeast"/>
        <w:rPr>
          <w:rFonts w:eastAsia="Times New Roman" w:cs="Arial"/>
          <w:color w:val="000000"/>
          <w:szCs w:val="20"/>
          <w:lang w:eastAsia="en-AU"/>
        </w:rPr>
      </w:pPr>
      <w:r w:rsidRPr="001E2840">
        <w:rPr>
          <w:rFonts w:eastAsia="Times New Roman" w:cs="Arial"/>
          <w:color w:val="000000"/>
          <w:szCs w:val="20"/>
          <w:lang w:eastAsia="en-AU"/>
        </w:rPr>
        <w:t xml:space="preserve">I note that topical </w:t>
      </w:r>
      <w:proofErr w:type="spellStart"/>
      <w:r w:rsidRPr="001E2840">
        <w:rPr>
          <w:rFonts w:eastAsia="Times New Roman" w:cs="Arial"/>
          <w:color w:val="000000"/>
          <w:szCs w:val="20"/>
          <w:lang w:eastAsia="en-AU"/>
        </w:rPr>
        <w:t>glycopyrronium</w:t>
      </w:r>
      <w:proofErr w:type="spellEnd"/>
      <w:r w:rsidR="00CF550C" w:rsidRPr="001E2840">
        <w:rPr>
          <w:rFonts w:eastAsia="Times New Roman" w:cs="Arial"/>
          <w:color w:val="000000"/>
          <w:szCs w:val="20"/>
          <w:lang w:eastAsia="en-AU"/>
        </w:rPr>
        <w:t xml:space="preserve"> </w:t>
      </w:r>
      <w:r w:rsidR="00D60CAD">
        <w:rPr>
          <w:rFonts w:eastAsia="Times New Roman" w:cs="Arial"/>
          <w:color w:val="000000"/>
          <w:szCs w:val="20"/>
          <w:lang w:eastAsia="en-AU"/>
        </w:rPr>
        <w:t xml:space="preserve">has </w:t>
      </w:r>
      <w:r w:rsidR="00D60CAD" w:rsidRPr="001E2840">
        <w:rPr>
          <w:rFonts w:eastAsia="Times New Roman" w:cs="Arial"/>
          <w:color w:val="000000"/>
          <w:szCs w:val="20"/>
          <w:lang w:eastAsia="en-AU"/>
        </w:rPr>
        <w:t>been</w:t>
      </w:r>
      <w:r w:rsidRPr="001E2840">
        <w:rPr>
          <w:rFonts w:eastAsia="Times New Roman" w:cs="Arial"/>
          <w:color w:val="000000"/>
          <w:szCs w:val="20"/>
          <w:lang w:eastAsia="en-AU"/>
        </w:rPr>
        <w:t xml:space="preserve"> registered with the US FDA as</w:t>
      </w:r>
      <w:r w:rsidR="005E2B15">
        <w:rPr>
          <w:rFonts w:eastAsia="Times New Roman" w:cs="Arial"/>
          <w:color w:val="000000"/>
          <w:szCs w:val="20"/>
          <w:lang w:eastAsia="en-AU"/>
        </w:rPr>
        <w:t xml:space="preserve"> a</w:t>
      </w:r>
      <w:r w:rsidRPr="001E2840">
        <w:rPr>
          <w:rFonts w:eastAsia="Times New Roman" w:cs="Arial"/>
          <w:color w:val="000000"/>
          <w:szCs w:val="20"/>
          <w:lang w:eastAsia="en-AU"/>
        </w:rPr>
        <w:t xml:space="preserve"> prescription medicine</w:t>
      </w:r>
      <w:r w:rsidR="00991905" w:rsidRPr="001E2840">
        <w:rPr>
          <w:rFonts w:eastAsia="Times New Roman" w:cs="Arial"/>
          <w:color w:val="000000"/>
          <w:szCs w:val="20"/>
          <w:lang w:eastAsia="en-AU"/>
        </w:rPr>
        <w:t xml:space="preserve">. </w:t>
      </w:r>
      <w:proofErr w:type="spellStart"/>
      <w:r w:rsidR="009A3196" w:rsidRPr="001E2840">
        <w:rPr>
          <w:rFonts w:eastAsia="Times New Roman" w:cs="Arial"/>
          <w:color w:val="000000"/>
          <w:szCs w:val="20"/>
          <w:lang w:eastAsia="en-AU"/>
        </w:rPr>
        <w:t>Qbrexza</w:t>
      </w:r>
      <w:proofErr w:type="spellEnd"/>
      <w:r w:rsidR="009A3196" w:rsidRPr="001E2840">
        <w:rPr>
          <w:rFonts w:eastAsia="Times New Roman" w:cs="Arial"/>
          <w:color w:val="000000"/>
          <w:szCs w:val="20"/>
          <w:lang w:eastAsia="en-AU"/>
        </w:rPr>
        <w:t>®, a</w:t>
      </w:r>
      <w:r w:rsidR="0046127B" w:rsidRPr="001E2840">
        <w:rPr>
          <w:rFonts w:eastAsia="Times New Roman" w:cs="Arial"/>
          <w:color w:val="000000"/>
          <w:szCs w:val="20"/>
          <w:lang w:eastAsia="en-AU"/>
        </w:rPr>
        <w:t xml:space="preserve"> </w:t>
      </w:r>
      <w:proofErr w:type="spellStart"/>
      <w:r w:rsidR="0046127B" w:rsidRPr="001E2840">
        <w:rPr>
          <w:rFonts w:eastAsia="Times New Roman" w:cs="Arial"/>
          <w:color w:val="000000"/>
          <w:szCs w:val="20"/>
          <w:lang w:eastAsia="en-AU"/>
        </w:rPr>
        <w:t>glycopyrronium</w:t>
      </w:r>
      <w:proofErr w:type="spellEnd"/>
      <w:r w:rsidR="0046127B" w:rsidRPr="001E2840">
        <w:rPr>
          <w:rFonts w:eastAsia="Times New Roman" w:cs="Arial"/>
          <w:color w:val="000000"/>
          <w:szCs w:val="20"/>
          <w:lang w:eastAsia="en-AU"/>
        </w:rPr>
        <w:t xml:space="preserve"> preparation in cloth form</w:t>
      </w:r>
      <w:r w:rsidR="009A3196" w:rsidRPr="001E2840">
        <w:rPr>
          <w:rFonts w:eastAsia="Times New Roman" w:cs="Arial"/>
          <w:color w:val="000000"/>
          <w:szCs w:val="20"/>
          <w:lang w:eastAsia="en-AU"/>
        </w:rPr>
        <w:t xml:space="preserve"> was registered</w:t>
      </w:r>
      <w:r w:rsidRPr="001E2840">
        <w:rPr>
          <w:rFonts w:eastAsia="Times New Roman" w:cs="Arial"/>
          <w:color w:val="000000"/>
          <w:szCs w:val="20"/>
          <w:lang w:eastAsia="en-AU"/>
        </w:rPr>
        <w:t xml:space="preserve"> </w:t>
      </w:r>
      <w:r w:rsidR="004A129D" w:rsidRPr="001E2840">
        <w:rPr>
          <w:rFonts w:eastAsia="Times New Roman" w:cs="Arial"/>
          <w:color w:val="000000"/>
          <w:szCs w:val="20"/>
          <w:lang w:eastAsia="en-AU"/>
        </w:rPr>
        <w:t>in</w:t>
      </w:r>
      <w:r w:rsidRPr="001E2840">
        <w:rPr>
          <w:rFonts w:eastAsia="Times New Roman" w:cs="Arial"/>
          <w:color w:val="000000"/>
          <w:szCs w:val="20"/>
          <w:lang w:eastAsia="en-AU"/>
        </w:rPr>
        <w:t xml:space="preserve"> 2018. Based on the </w:t>
      </w:r>
      <w:r w:rsidRPr="001E2840">
        <w:rPr>
          <w:rFonts w:cs="Arial"/>
          <w:szCs w:val="20"/>
          <w:lang w:eastAsia="en-AU"/>
        </w:rPr>
        <w:t>FDA Adverse Events Reporting System (FAERS)</w:t>
      </w:r>
      <w:r w:rsidR="00157DD0" w:rsidRPr="001E2840">
        <w:rPr>
          <w:rStyle w:val="FootnoteReference"/>
          <w:rFonts w:eastAsia="Times New Roman" w:cs="Arial"/>
          <w:color w:val="auto"/>
          <w:szCs w:val="20"/>
          <w:lang w:eastAsia="en-AU"/>
        </w:rPr>
        <w:footnoteReference w:id="8"/>
      </w:r>
      <w:r w:rsidRPr="001E2840">
        <w:rPr>
          <w:rFonts w:eastAsia="Times New Roman" w:cs="Arial"/>
          <w:color w:val="000000"/>
          <w:szCs w:val="20"/>
          <w:lang w:eastAsia="en-AU"/>
        </w:rPr>
        <w:t xml:space="preserve">, as of </w:t>
      </w:r>
      <w:r w:rsidR="00157DD0" w:rsidRPr="001E2840">
        <w:rPr>
          <w:rFonts w:eastAsia="Times New Roman" w:cs="Arial"/>
          <w:color w:val="000000"/>
          <w:szCs w:val="20"/>
          <w:lang w:eastAsia="en-AU"/>
        </w:rPr>
        <w:t>May</w:t>
      </w:r>
      <w:r w:rsidRPr="001E2840">
        <w:rPr>
          <w:rFonts w:eastAsia="Times New Roman" w:cs="Arial"/>
          <w:color w:val="000000"/>
          <w:szCs w:val="20"/>
          <w:lang w:eastAsia="en-AU"/>
        </w:rPr>
        <w:t xml:space="preserve"> 2024, there were over 73</w:t>
      </w:r>
      <w:r w:rsidR="00157DD0" w:rsidRPr="001E2840">
        <w:rPr>
          <w:rFonts w:eastAsia="Times New Roman" w:cs="Arial"/>
          <w:color w:val="000000"/>
          <w:szCs w:val="20"/>
          <w:lang w:eastAsia="en-AU"/>
        </w:rPr>
        <w:t>5</w:t>
      </w:r>
      <w:r w:rsidRPr="001E2840">
        <w:rPr>
          <w:rFonts w:eastAsia="Times New Roman" w:cs="Arial"/>
          <w:color w:val="000000"/>
          <w:szCs w:val="20"/>
          <w:lang w:eastAsia="en-AU"/>
        </w:rPr>
        <w:t xml:space="preserve"> cases of adverse events associated with the use of </w:t>
      </w:r>
      <w:proofErr w:type="spellStart"/>
      <w:r w:rsidRPr="001E2840">
        <w:rPr>
          <w:rFonts w:eastAsia="Times New Roman" w:cs="Arial"/>
          <w:color w:val="000000"/>
          <w:szCs w:val="20"/>
          <w:lang w:eastAsia="en-AU"/>
        </w:rPr>
        <w:t>Qbrexza</w:t>
      </w:r>
      <w:proofErr w:type="spellEnd"/>
      <w:r w:rsidRPr="001E2840">
        <w:rPr>
          <w:rFonts w:eastAsia="Times New Roman" w:cs="Arial"/>
          <w:color w:val="000000"/>
          <w:szCs w:val="20"/>
          <w:lang w:eastAsia="en-AU"/>
        </w:rPr>
        <w:t>®, where 7</w:t>
      </w:r>
      <w:r w:rsidR="00157DD0" w:rsidRPr="001E2840">
        <w:rPr>
          <w:rFonts w:eastAsia="Times New Roman" w:cs="Arial"/>
          <w:color w:val="000000"/>
          <w:szCs w:val="20"/>
          <w:lang w:eastAsia="en-AU"/>
        </w:rPr>
        <w:t>7</w:t>
      </w:r>
      <w:r w:rsidRPr="001E2840">
        <w:rPr>
          <w:rFonts w:eastAsia="Times New Roman" w:cs="Arial"/>
          <w:color w:val="000000"/>
          <w:szCs w:val="20"/>
          <w:lang w:eastAsia="en-AU"/>
        </w:rPr>
        <w:t xml:space="preserve"> of them were reported to be serious cases.</w:t>
      </w:r>
      <w:r w:rsidR="002D0DB9" w:rsidRPr="001E2840">
        <w:rPr>
          <w:rFonts w:eastAsia="Times New Roman" w:cs="Arial"/>
          <w:color w:val="000000"/>
          <w:szCs w:val="20"/>
          <w:lang w:eastAsia="en-AU"/>
        </w:rPr>
        <w:t xml:space="preserve"> </w:t>
      </w:r>
      <w:r w:rsidR="005E2B15">
        <w:rPr>
          <w:rFonts w:eastAsia="Times New Roman" w:cs="Arial"/>
          <w:color w:val="000000"/>
          <w:szCs w:val="20"/>
          <w:lang w:eastAsia="en-AU"/>
        </w:rPr>
        <w:br/>
      </w:r>
      <w:r w:rsidR="005E2B15">
        <w:rPr>
          <w:rFonts w:eastAsia="Times New Roman" w:cs="Arial"/>
          <w:color w:val="000000"/>
          <w:szCs w:val="20"/>
          <w:lang w:eastAsia="en-AU"/>
        </w:rPr>
        <w:br/>
      </w:r>
      <w:r w:rsidR="005E2B15" w:rsidRPr="00757F82">
        <w:rPr>
          <w:rFonts w:eastAsia="Times New Roman" w:cs="Arial"/>
          <w:color w:val="000000"/>
          <w:szCs w:val="20"/>
          <w:lang w:eastAsia="en-AU"/>
        </w:rPr>
        <w:t xml:space="preserve">More recently </w:t>
      </w:r>
      <w:proofErr w:type="spellStart"/>
      <w:r w:rsidR="005E2B15" w:rsidRPr="00757F82">
        <w:rPr>
          <w:rFonts w:eastAsia="Times New Roman" w:cs="Arial"/>
          <w:color w:val="000000"/>
          <w:szCs w:val="20"/>
          <w:lang w:eastAsia="en-AU"/>
        </w:rPr>
        <w:t>sofpironium</w:t>
      </w:r>
      <w:proofErr w:type="spellEnd"/>
      <w:r w:rsidR="005E2B15" w:rsidRPr="00757F82">
        <w:rPr>
          <w:rFonts w:eastAsia="Times New Roman" w:cs="Arial"/>
          <w:color w:val="000000"/>
          <w:szCs w:val="20"/>
          <w:lang w:eastAsia="en-AU"/>
        </w:rPr>
        <w:t xml:space="preserve">, </w:t>
      </w:r>
      <w:r w:rsidR="00AE2994" w:rsidRPr="00AE2994">
        <w:rPr>
          <w:rFonts w:eastAsia="Times New Roman" w:cs="Arial"/>
          <w:color w:val="000000"/>
          <w:szCs w:val="20"/>
          <w:lang w:eastAsia="en-AU"/>
        </w:rPr>
        <w:t>a muscarinic acetylcholine, M3 receptor ligand that</w:t>
      </w:r>
      <w:r w:rsidR="00AE2994">
        <w:rPr>
          <w:rFonts w:eastAsia="Times New Roman" w:cs="Arial"/>
          <w:color w:val="000000"/>
          <w:szCs w:val="20"/>
          <w:lang w:eastAsia="en-AU"/>
        </w:rPr>
        <w:t xml:space="preserve"> closely</w:t>
      </w:r>
      <w:r w:rsidR="00AE2994" w:rsidRPr="00AE2994">
        <w:rPr>
          <w:rFonts w:eastAsia="Times New Roman" w:cs="Arial"/>
          <w:color w:val="000000"/>
          <w:szCs w:val="20"/>
          <w:lang w:eastAsia="en-AU"/>
        </w:rPr>
        <w:t xml:space="preserve"> resembles </w:t>
      </w:r>
      <w:proofErr w:type="spellStart"/>
      <w:r w:rsidR="00AE2994" w:rsidRPr="00AE2994">
        <w:rPr>
          <w:rFonts w:eastAsia="Times New Roman" w:cs="Arial"/>
          <w:color w:val="000000"/>
          <w:szCs w:val="20"/>
          <w:lang w:eastAsia="en-AU"/>
        </w:rPr>
        <w:t>glycopyrronium</w:t>
      </w:r>
      <w:proofErr w:type="spellEnd"/>
      <w:r w:rsidR="00AE2994" w:rsidRPr="00AE2994">
        <w:rPr>
          <w:rFonts w:eastAsia="Times New Roman" w:cs="Arial"/>
          <w:color w:val="000000"/>
          <w:szCs w:val="20"/>
          <w:lang w:eastAsia="en-AU"/>
        </w:rPr>
        <w:t xml:space="preserve"> in chemical structure</w:t>
      </w:r>
      <w:r w:rsidR="005E2B15" w:rsidRPr="00757F82">
        <w:rPr>
          <w:rFonts w:eastAsia="Times New Roman" w:cs="Arial"/>
          <w:color w:val="000000"/>
          <w:szCs w:val="20"/>
          <w:lang w:eastAsia="en-AU"/>
        </w:rPr>
        <w:t>, ha</w:t>
      </w:r>
      <w:r w:rsidR="00AE2994">
        <w:rPr>
          <w:rFonts w:eastAsia="Times New Roman" w:cs="Arial"/>
          <w:color w:val="000000"/>
          <w:szCs w:val="20"/>
          <w:lang w:eastAsia="en-AU"/>
        </w:rPr>
        <w:t>s</w:t>
      </w:r>
      <w:r w:rsidR="005E2B15" w:rsidRPr="00757F82">
        <w:rPr>
          <w:rFonts w:eastAsia="Times New Roman" w:cs="Arial"/>
          <w:color w:val="000000"/>
          <w:szCs w:val="20"/>
          <w:lang w:eastAsia="en-AU"/>
        </w:rPr>
        <w:t xml:space="preserve"> been registered with the </w:t>
      </w:r>
      <w:r w:rsidR="00AE2994" w:rsidRPr="00757F82">
        <w:rPr>
          <w:rFonts w:eastAsia="Times New Roman" w:cs="Arial"/>
          <w:color w:val="000000"/>
          <w:szCs w:val="20"/>
          <w:lang w:eastAsia="en-AU"/>
        </w:rPr>
        <w:t>US</w:t>
      </w:r>
      <w:r w:rsidR="00AE2994">
        <w:rPr>
          <w:rFonts w:eastAsia="Times New Roman" w:cs="Arial"/>
          <w:color w:val="000000"/>
          <w:szCs w:val="20"/>
          <w:lang w:eastAsia="en-AU"/>
        </w:rPr>
        <w:t> </w:t>
      </w:r>
      <w:r w:rsidR="005E2B15" w:rsidRPr="00757F82">
        <w:rPr>
          <w:rFonts w:eastAsia="Times New Roman" w:cs="Arial"/>
          <w:color w:val="000000"/>
          <w:szCs w:val="20"/>
          <w:lang w:eastAsia="en-AU"/>
        </w:rPr>
        <w:t>FDA as prescription medicine (</w:t>
      </w:r>
      <w:proofErr w:type="spellStart"/>
      <w:r w:rsidR="005E2B15" w:rsidRPr="00757F82">
        <w:rPr>
          <w:rFonts w:eastAsia="Times New Roman" w:cs="Arial"/>
          <w:color w:val="000000"/>
          <w:szCs w:val="20"/>
          <w:lang w:eastAsia="en-AU"/>
        </w:rPr>
        <w:t>Sofdra</w:t>
      </w:r>
      <w:r w:rsidR="005E2B15" w:rsidRPr="00757F82">
        <w:rPr>
          <w:rFonts w:eastAsia="Times New Roman" w:cs="Arial"/>
          <w:color w:val="000000"/>
          <w:szCs w:val="20"/>
          <w:vertAlign w:val="superscript"/>
          <w:lang w:eastAsia="en-AU"/>
        </w:rPr>
        <w:t>TM</w:t>
      </w:r>
      <w:proofErr w:type="spellEnd"/>
      <w:r w:rsidR="007B022C" w:rsidRPr="007B022C">
        <w:rPr>
          <w:rFonts w:eastAsia="Times New Roman" w:cs="Arial"/>
          <w:color w:val="000000"/>
          <w:szCs w:val="20"/>
          <w:lang w:eastAsia="en-AU"/>
        </w:rPr>
        <w:t>)</w:t>
      </w:r>
      <w:r w:rsidR="00AE2994">
        <w:rPr>
          <w:rFonts w:eastAsia="Times New Roman" w:cs="Arial"/>
          <w:color w:val="000000"/>
          <w:szCs w:val="20"/>
          <w:lang w:eastAsia="en-AU"/>
        </w:rPr>
        <w:t xml:space="preserve">. It </w:t>
      </w:r>
      <w:r w:rsidR="005E2B15" w:rsidRPr="00757F82">
        <w:rPr>
          <w:rFonts w:eastAsia="Times New Roman" w:cs="Arial"/>
          <w:color w:val="000000"/>
          <w:szCs w:val="20"/>
          <w:lang w:eastAsia="en-AU"/>
        </w:rPr>
        <w:t xml:space="preserve">is </w:t>
      </w:r>
      <w:r w:rsidR="0063499E" w:rsidRPr="00757F82">
        <w:rPr>
          <w:rFonts w:eastAsia="Times New Roman" w:cs="Arial"/>
          <w:color w:val="000000"/>
          <w:szCs w:val="20"/>
          <w:lang w:eastAsia="en-AU"/>
        </w:rPr>
        <w:t>a</w:t>
      </w:r>
      <w:r w:rsidR="00F1599E" w:rsidRPr="00757F82">
        <w:rPr>
          <w:rFonts w:eastAsia="Times New Roman" w:cs="Arial"/>
          <w:color w:val="000000"/>
          <w:szCs w:val="20"/>
          <w:lang w:eastAsia="en-AU"/>
        </w:rPr>
        <w:t xml:space="preserve"> topical gel containing </w:t>
      </w:r>
      <w:proofErr w:type="spellStart"/>
      <w:proofErr w:type="gramStart"/>
      <w:r w:rsidR="00F1599E" w:rsidRPr="00757F82">
        <w:rPr>
          <w:rFonts w:eastAsia="Times New Roman" w:cs="Arial"/>
          <w:color w:val="000000"/>
          <w:szCs w:val="20"/>
          <w:lang w:eastAsia="en-AU"/>
        </w:rPr>
        <w:t>sofpironium</w:t>
      </w:r>
      <w:proofErr w:type="spellEnd"/>
      <w:r w:rsidR="00F1599E" w:rsidRPr="00757F82">
        <w:rPr>
          <w:rFonts w:eastAsia="Times New Roman" w:cs="Arial"/>
          <w:color w:val="000000"/>
          <w:szCs w:val="20"/>
          <w:lang w:eastAsia="en-AU"/>
        </w:rPr>
        <w:t>,</w:t>
      </w:r>
      <w:r w:rsidR="0023141A" w:rsidRPr="00757F82">
        <w:rPr>
          <w:rFonts w:eastAsia="Times New Roman" w:cs="Arial"/>
          <w:color w:val="000000"/>
          <w:szCs w:val="20"/>
          <w:lang w:eastAsia="en-AU"/>
        </w:rPr>
        <w:t xml:space="preserve"> </w:t>
      </w:r>
      <w:r w:rsidR="00AE2994">
        <w:rPr>
          <w:rFonts w:eastAsia="Times New Roman" w:cs="Arial"/>
          <w:color w:val="000000"/>
          <w:szCs w:val="20"/>
          <w:lang w:eastAsia="en-AU"/>
        </w:rPr>
        <w:t>and</w:t>
      </w:r>
      <w:proofErr w:type="gramEnd"/>
      <w:r w:rsidR="00AE2994">
        <w:rPr>
          <w:rFonts w:eastAsia="Times New Roman" w:cs="Arial"/>
          <w:color w:val="000000"/>
          <w:szCs w:val="20"/>
          <w:lang w:eastAsia="en-AU"/>
        </w:rPr>
        <w:t xml:space="preserve"> </w:t>
      </w:r>
      <w:r w:rsidR="005E2B15" w:rsidRPr="00757F82">
        <w:rPr>
          <w:rFonts w:eastAsia="Times New Roman" w:cs="Arial"/>
          <w:color w:val="000000"/>
          <w:szCs w:val="20"/>
          <w:lang w:eastAsia="en-AU"/>
        </w:rPr>
        <w:t xml:space="preserve">was approved by the FDA </w:t>
      </w:r>
      <w:r w:rsidR="00F1599E" w:rsidRPr="00757F82">
        <w:rPr>
          <w:rFonts w:eastAsia="Times New Roman" w:cs="Arial"/>
          <w:color w:val="000000"/>
          <w:szCs w:val="20"/>
          <w:lang w:eastAsia="en-AU"/>
        </w:rPr>
        <w:t>to treat primary axillary hyperhidrosis (excessive underarm sweating)</w:t>
      </w:r>
      <w:r w:rsidR="0093515F" w:rsidRPr="00757F82">
        <w:rPr>
          <w:rFonts w:eastAsia="Times New Roman" w:cs="Arial"/>
          <w:color w:val="000000"/>
          <w:szCs w:val="20"/>
          <w:lang w:eastAsia="en-AU"/>
        </w:rPr>
        <w:t xml:space="preserve"> </w:t>
      </w:r>
      <w:r w:rsidR="00CB7071" w:rsidRPr="00757F82">
        <w:rPr>
          <w:rFonts w:eastAsia="Times New Roman" w:cs="Arial"/>
          <w:color w:val="000000"/>
          <w:szCs w:val="20"/>
          <w:lang w:eastAsia="en-AU"/>
        </w:rPr>
        <w:t>in June 2024</w:t>
      </w:r>
      <w:r w:rsidR="007F7F9B" w:rsidRPr="00757F82">
        <w:rPr>
          <w:rFonts w:eastAsia="Times New Roman" w:cs="Arial"/>
          <w:color w:val="000000"/>
          <w:szCs w:val="20"/>
          <w:lang w:eastAsia="en-AU"/>
        </w:rPr>
        <w:t>.</w:t>
      </w:r>
      <w:r w:rsidR="002D0DB9" w:rsidRPr="00757F82">
        <w:rPr>
          <w:rStyle w:val="FootnoteReference"/>
          <w:rFonts w:eastAsia="Times New Roman" w:cs="Arial"/>
          <w:color w:val="000000"/>
          <w:szCs w:val="20"/>
          <w:lang w:eastAsia="en-AU"/>
        </w:rPr>
        <w:footnoteReference w:id="9"/>
      </w:r>
    </w:p>
    <w:p w14:paraId="6C7A31DE" w14:textId="492B83D7" w:rsidR="007F0C05" w:rsidRPr="00757F82" w:rsidRDefault="00C00ED7" w:rsidP="00EB1AB3">
      <w:pPr>
        <w:spacing w:before="180" w:after="180" w:line="240" w:lineRule="atLeast"/>
        <w:rPr>
          <w:rFonts w:cs="Arial"/>
          <w:szCs w:val="20"/>
          <w:lang w:eastAsia="en-AU"/>
        </w:rPr>
      </w:pPr>
      <w:r w:rsidRPr="00757F82">
        <w:rPr>
          <w:rFonts w:cs="Arial"/>
          <w:szCs w:val="20"/>
          <w:lang w:eastAsia="en-AU"/>
        </w:rPr>
        <w:t>I retain concerns that Schedule 3 availability of such preparation</w:t>
      </w:r>
      <w:r w:rsidR="002E212A" w:rsidRPr="00757F82">
        <w:rPr>
          <w:rFonts w:cs="Arial"/>
          <w:szCs w:val="20"/>
          <w:lang w:eastAsia="en-AU"/>
        </w:rPr>
        <w:t>s</w:t>
      </w:r>
      <w:r w:rsidR="00715858" w:rsidRPr="00757F82">
        <w:rPr>
          <w:rFonts w:cs="Arial"/>
          <w:szCs w:val="20"/>
          <w:lang w:eastAsia="en-AU"/>
        </w:rPr>
        <w:t xml:space="preserve"> </w:t>
      </w:r>
      <w:r w:rsidR="005E2B15" w:rsidRPr="00757F82">
        <w:rPr>
          <w:rFonts w:cs="Arial"/>
          <w:szCs w:val="20"/>
          <w:lang w:eastAsia="en-AU"/>
        </w:rPr>
        <w:t>circumvents</w:t>
      </w:r>
      <w:r w:rsidR="00151891" w:rsidRPr="00757F82">
        <w:rPr>
          <w:rFonts w:cs="Arial"/>
          <w:szCs w:val="20"/>
          <w:lang w:eastAsia="en-AU"/>
        </w:rPr>
        <w:t xml:space="preserve"> </w:t>
      </w:r>
      <w:r w:rsidR="00715858" w:rsidRPr="00757F82">
        <w:rPr>
          <w:rFonts w:cs="Arial"/>
          <w:szCs w:val="20"/>
          <w:lang w:eastAsia="en-AU"/>
        </w:rPr>
        <w:t xml:space="preserve">the need for </w:t>
      </w:r>
      <w:r w:rsidR="00546112" w:rsidRPr="00757F82">
        <w:rPr>
          <w:rFonts w:cs="Arial"/>
          <w:szCs w:val="20"/>
          <w:lang w:eastAsia="en-AU"/>
        </w:rPr>
        <w:t xml:space="preserve">medical diagnosis </w:t>
      </w:r>
      <w:r w:rsidR="006579DA" w:rsidRPr="00757F82">
        <w:rPr>
          <w:rFonts w:cs="Arial"/>
          <w:szCs w:val="20"/>
          <w:lang w:eastAsia="en-AU"/>
        </w:rPr>
        <w:t>of</w:t>
      </w:r>
      <w:r w:rsidR="00A97D7C" w:rsidRPr="00757F82">
        <w:rPr>
          <w:rFonts w:cs="Arial"/>
          <w:szCs w:val="20"/>
          <w:lang w:eastAsia="en-AU"/>
        </w:rPr>
        <w:t xml:space="preserve"> hyperhidrosis and</w:t>
      </w:r>
      <w:r w:rsidR="005E2B15" w:rsidRPr="00757F82">
        <w:rPr>
          <w:rFonts w:cs="Arial"/>
          <w:szCs w:val="20"/>
          <w:lang w:eastAsia="en-AU"/>
        </w:rPr>
        <w:t xml:space="preserve"> identification of </w:t>
      </w:r>
      <w:r w:rsidR="00A97D7C" w:rsidRPr="00757F82">
        <w:rPr>
          <w:rFonts w:cs="Arial"/>
          <w:szCs w:val="20"/>
          <w:lang w:eastAsia="en-AU"/>
        </w:rPr>
        <w:t>any</w:t>
      </w:r>
      <w:r w:rsidR="006579DA" w:rsidRPr="00757F82">
        <w:rPr>
          <w:rFonts w:cs="Arial"/>
          <w:szCs w:val="20"/>
          <w:lang w:eastAsia="en-AU"/>
        </w:rPr>
        <w:t xml:space="preserve"> </w:t>
      </w:r>
      <w:r w:rsidR="00715858" w:rsidRPr="00757F82">
        <w:rPr>
          <w:rFonts w:cs="Arial"/>
          <w:szCs w:val="20"/>
          <w:lang w:eastAsia="en-AU"/>
        </w:rPr>
        <w:t>underlying caus</w:t>
      </w:r>
      <w:r w:rsidR="004640AD" w:rsidRPr="00757F82">
        <w:rPr>
          <w:rFonts w:cs="Arial"/>
          <w:szCs w:val="20"/>
          <w:lang w:eastAsia="en-AU"/>
        </w:rPr>
        <w:t xml:space="preserve">es. </w:t>
      </w:r>
      <w:r w:rsidR="00715858" w:rsidRPr="00757F82">
        <w:rPr>
          <w:rFonts w:cs="Arial"/>
          <w:szCs w:val="20"/>
          <w:lang w:eastAsia="en-AU"/>
        </w:rPr>
        <w:t>I</w:t>
      </w:r>
      <w:r w:rsidR="00546112" w:rsidRPr="00757F82">
        <w:rPr>
          <w:rFonts w:cs="Arial"/>
          <w:szCs w:val="20"/>
          <w:lang w:eastAsia="en-AU"/>
        </w:rPr>
        <w:t xml:space="preserve">nappropriate use of </w:t>
      </w:r>
      <w:proofErr w:type="spellStart"/>
      <w:r w:rsidR="00546112" w:rsidRPr="00757F82">
        <w:rPr>
          <w:rFonts w:cs="Arial"/>
          <w:szCs w:val="20"/>
          <w:lang w:eastAsia="en-AU"/>
        </w:rPr>
        <w:t>glycopyrronium</w:t>
      </w:r>
      <w:proofErr w:type="spellEnd"/>
      <w:r w:rsidR="00546112" w:rsidRPr="00757F82">
        <w:rPr>
          <w:rFonts w:cs="Arial"/>
          <w:szCs w:val="20"/>
        </w:rPr>
        <w:t xml:space="preserve"> may mask symptoms, delay</w:t>
      </w:r>
      <w:r w:rsidR="00715858" w:rsidRPr="00757F82">
        <w:rPr>
          <w:rFonts w:cs="Arial"/>
          <w:szCs w:val="20"/>
        </w:rPr>
        <w:t xml:space="preserve"> </w:t>
      </w:r>
      <w:r w:rsidR="00546112" w:rsidRPr="00757F82">
        <w:rPr>
          <w:rFonts w:cs="Arial"/>
          <w:szCs w:val="20"/>
        </w:rPr>
        <w:t xml:space="preserve">diagnosis and treatment of underlying conditions, </w:t>
      </w:r>
      <w:r w:rsidR="00715858" w:rsidRPr="00757F82">
        <w:rPr>
          <w:rFonts w:cs="Arial"/>
          <w:szCs w:val="20"/>
        </w:rPr>
        <w:t>which</w:t>
      </w:r>
      <w:r w:rsidR="00546112" w:rsidRPr="00757F82">
        <w:rPr>
          <w:rFonts w:cs="Arial"/>
          <w:szCs w:val="20"/>
        </w:rPr>
        <w:t xml:space="preserve"> </w:t>
      </w:r>
      <w:r w:rsidR="00715858" w:rsidRPr="00757F82">
        <w:rPr>
          <w:rFonts w:cs="Arial"/>
          <w:szCs w:val="20"/>
        </w:rPr>
        <w:t xml:space="preserve">could </w:t>
      </w:r>
      <w:r w:rsidR="00546112" w:rsidRPr="00757F82">
        <w:rPr>
          <w:rFonts w:cs="Arial"/>
          <w:szCs w:val="20"/>
        </w:rPr>
        <w:t>lead to serious health outcomes.</w:t>
      </w:r>
      <w:r w:rsidR="00C25E6B" w:rsidRPr="00757F82">
        <w:rPr>
          <w:rFonts w:cs="Arial"/>
          <w:szCs w:val="20"/>
          <w:lang w:eastAsia="en-AU"/>
        </w:rPr>
        <w:t xml:space="preserve"> </w:t>
      </w:r>
      <w:r w:rsidR="00546112" w:rsidRPr="00757F82">
        <w:rPr>
          <w:rFonts w:cs="Arial"/>
          <w:szCs w:val="20"/>
          <w:lang w:eastAsia="en-AU"/>
        </w:rPr>
        <w:t>The</w:t>
      </w:r>
      <w:r w:rsidR="005E2B15" w:rsidRPr="00757F82">
        <w:rPr>
          <w:rFonts w:cs="Arial"/>
          <w:szCs w:val="20"/>
          <w:lang w:eastAsia="en-AU"/>
        </w:rPr>
        <w:t xml:space="preserve"> risk of inappropriate use </w:t>
      </w:r>
      <w:r w:rsidRPr="00757F82">
        <w:rPr>
          <w:rFonts w:cs="Arial"/>
          <w:szCs w:val="20"/>
          <w:lang w:eastAsia="en-AU"/>
        </w:rPr>
        <w:t>c</w:t>
      </w:r>
      <w:r w:rsidR="005E2B15" w:rsidRPr="00757F82">
        <w:rPr>
          <w:rFonts w:cs="Arial"/>
          <w:szCs w:val="20"/>
          <w:lang w:eastAsia="en-AU"/>
        </w:rPr>
        <w:t>ould</w:t>
      </w:r>
      <w:r w:rsidRPr="00757F82">
        <w:rPr>
          <w:rFonts w:cs="Arial"/>
          <w:szCs w:val="20"/>
          <w:lang w:eastAsia="en-AU"/>
        </w:rPr>
        <w:t xml:space="preserve"> be exacerbated by advertising</w:t>
      </w:r>
      <w:r w:rsidR="00546112" w:rsidRPr="00757F82">
        <w:rPr>
          <w:rFonts w:cs="Arial"/>
          <w:szCs w:val="20"/>
          <w:lang w:eastAsia="en-AU"/>
        </w:rPr>
        <w:t xml:space="preserve"> of topical </w:t>
      </w:r>
      <w:proofErr w:type="spellStart"/>
      <w:r w:rsidR="00546112" w:rsidRPr="00757F82">
        <w:rPr>
          <w:rFonts w:cs="Arial"/>
          <w:szCs w:val="20"/>
          <w:lang w:eastAsia="en-AU"/>
        </w:rPr>
        <w:t>glycopyrronium</w:t>
      </w:r>
      <w:proofErr w:type="spellEnd"/>
      <w:r w:rsidR="00546112" w:rsidRPr="00757F82">
        <w:rPr>
          <w:rFonts w:cs="Arial"/>
          <w:szCs w:val="20"/>
          <w:lang w:eastAsia="en-AU"/>
        </w:rPr>
        <w:t xml:space="preserve"> preparations</w:t>
      </w:r>
      <w:r w:rsidRPr="00757F82">
        <w:rPr>
          <w:rFonts w:cs="Arial"/>
          <w:szCs w:val="20"/>
          <w:lang w:eastAsia="en-AU"/>
        </w:rPr>
        <w:t xml:space="preserve">. Consumers may form their own opinion about the </w:t>
      </w:r>
      <w:r w:rsidR="00715858" w:rsidRPr="00757F82">
        <w:rPr>
          <w:rFonts w:cs="Arial"/>
          <w:szCs w:val="20"/>
          <w:lang w:eastAsia="en-AU"/>
        </w:rPr>
        <w:t xml:space="preserve">suitability of the </w:t>
      </w:r>
      <w:r w:rsidRPr="00757F82">
        <w:rPr>
          <w:rFonts w:cs="Arial"/>
          <w:szCs w:val="20"/>
          <w:lang w:eastAsia="en-AU"/>
        </w:rPr>
        <w:t xml:space="preserve">preparation </w:t>
      </w:r>
      <w:r w:rsidR="00715858" w:rsidRPr="00757F82">
        <w:rPr>
          <w:rFonts w:cs="Arial"/>
          <w:szCs w:val="20"/>
          <w:lang w:eastAsia="en-AU"/>
        </w:rPr>
        <w:t xml:space="preserve">based on product marketing </w:t>
      </w:r>
      <w:r w:rsidRPr="00757F82">
        <w:rPr>
          <w:rFonts w:cs="Arial"/>
          <w:szCs w:val="20"/>
          <w:lang w:eastAsia="en-AU"/>
        </w:rPr>
        <w:t xml:space="preserve">prior to consulting </w:t>
      </w:r>
      <w:r w:rsidR="00757F82" w:rsidRPr="00757F82">
        <w:rPr>
          <w:rFonts w:cs="Arial"/>
          <w:szCs w:val="20"/>
          <w:lang w:eastAsia="en-AU"/>
        </w:rPr>
        <w:t xml:space="preserve">with </w:t>
      </w:r>
      <w:r w:rsidRPr="00757F82">
        <w:rPr>
          <w:rFonts w:cs="Arial"/>
          <w:szCs w:val="20"/>
          <w:lang w:eastAsia="en-AU"/>
        </w:rPr>
        <w:t>a health professional</w:t>
      </w:r>
      <w:r w:rsidR="00715858" w:rsidRPr="00757F82">
        <w:rPr>
          <w:rFonts w:cs="Arial"/>
          <w:szCs w:val="20"/>
          <w:lang w:eastAsia="en-AU"/>
        </w:rPr>
        <w:t xml:space="preserve">. This </w:t>
      </w:r>
      <w:r w:rsidRPr="00757F82">
        <w:rPr>
          <w:rFonts w:cs="Arial"/>
          <w:szCs w:val="20"/>
          <w:lang w:eastAsia="en-AU"/>
        </w:rPr>
        <w:t xml:space="preserve">may negatively impact </w:t>
      </w:r>
      <w:r w:rsidR="00715858" w:rsidRPr="00757F82">
        <w:rPr>
          <w:rFonts w:cs="Arial"/>
          <w:szCs w:val="20"/>
          <w:lang w:eastAsia="en-AU"/>
        </w:rPr>
        <w:t xml:space="preserve">a </w:t>
      </w:r>
      <w:r w:rsidRPr="00757F82">
        <w:rPr>
          <w:rFonts w:cs="Arial"/>
          <w:szCs w:val="20"/>
          <w:lang w:eastAsia="en-AU"/>
        </w:rPr>
        <w:t xml:space="preserve">health </w:t>
      </w:r>
      <w:r w:rsidR="006579DA" w:rsidRPr="00757F82">
        <w:rPr>
          <w:rFonts w:cs="Arial"/>
          <w:szCs w:val="20"/>
          <w:lang w:eastAsia="en-AU"/>
        </w:rPr>
        <w:t>professionals’</w:t>
      </w:r>
      <w:r w:rsidRPr="00757F82">
        <w:rPr>
          <w:rFonts w:cs="Arial"/>
          <w:szCs w:val="20"/>
          <w:lang w:eastAsia="en-AU"/>
        </w:rPr>
        <w:t xml:space="preserve"> </w:t>
      </w:r>
      <w:r w:rsidR="00715858" w:rsidRPr="00757F82">
        <w:rPr>
          <w:rFonts w:cs="Arial"/>
          <w:szCs w:val="20"/>
          <w:lang w:eastAsia="en-AU"/>
        </w:rPr>
        <w:t xml:space="preserve">ability to </w:t>
      </w:r>
      <w:r w:rsidR="006579DA" w:rsidRPr="00757F82">
        <w:rPr>
          <w:rFonts w:cs="Arial"/>
          <w:szCs w:val="20"/>
          <w:lang w:eastAsia="en-AU"/>
        </w:rPr>
        <w:t xml:space="preserve">determine </w:t>
      </w:r>
      <w:r w:rsidR="001E2840" w:rsidRPr="00757F82">
        <w:rPr>
          <w:rFonts w:cs="Arial"/>
          <w:szCs w:val="20"/>
          <w:lang w:eastAsia="en-AU"/>
        </w:rPr>
        <w:t>genuine</w:t>
      </w:r>
      <w:r w:rsidRPr="00757F82">
        <w:rPr>
          <w:rFonts w:cs="Arial"/>
          <w:szCs w:val="20"/>
          <w:lang w:eastAsia="en-AU"/>
        </w:rPr>
        <w:t xml:space="preserve"> therapeutic need </w:t>
      </w:r>
      <w:r w:rsidR="006579DA" w:rsidRPr="00757F82">
        <w:rPr>
          <w:rFonts w:cs="Arial"/>
          <w:szCs w:val="20"/>
          <w:lang w:eastAsia="en-AU"/>
        </w:rPr>
        <w:t>for</w:t>
      </w:r>
      <w:r w:rsidRPr="00757F82">
        <w:rPr>
          <w:rFonts w:cs="Arial"/>
          <w:szCs w:val="20"/>
          <w:lang w:eastAsia="en-AU"/>
        </w:rPr>
        <w:t xml:space="preserve"> </w:t>
      </w:r>
      <w:r w:rsidR="00421AC3" w:rsidRPr="00757F82">
        <w:rPr>
          <w:rFonts w:cs="Arial"/>
          <w:szCs w:val="20"/>
          <w:lang w:eastAsia="en-AU"/>
        </w:rPr>
        <w:t>patients</w:t>
      </w:r>
      <w:r w:rsidRPr="00757F82">
        <w:rPr>
          <w:rFonts w:cs="Arial"/>
          <w:szCs w:val="20"/>
          <w:lang w:eastAsia="en-AU"/>
        </w:rPr>
        <w:t xml:space="preserve">. </w:t>
      </w:r>
    </w:p>
    <w:p w14:paraId="1754A62B" w14:textId="2A78A3A0" w:rsidR="004B150D" w:rsidRPr="00757F82" w:rsidRDefault="004B150D" w:rsidP="00EB1AB3">
      <w:pPr>
        <w:spacing w:before="180" w:after="180" w:line="240" w:lineRule="atLeast"/>
        <w:rPr>
          <w:rFonts w:cs="Arial"/>
          <w:szCs w:val="20"/>
          <w:lang w:eastAsia="en-AU"/>
        </w:rPr>
      </w:pPr>
      <w:r w:rsidRPr="00757F82">
        <w:rPr>
          <w:rFonts w:eastAsia="Times New Roman" w:cs="Arial"/>
          <w:color w:val="000000"/>
          <w:szCs w:val="20"/>
          <w:lang w:eastAsia="en-AU"/>
        </w:rPr>
        <w:t xml:space="preserve">Having </w:t>
      </w:r>
      <w:r w:rsidR="00F379AB" w:rsidRPr="00757F82">
        <w:rPr>
          <w:rFonts w:eastAsia="Times New Roman" w:cs="Arial"/>
          <w:color w:val="000000"/>
          <w:szCs w:val="20"/>
          <w:lang w:eastAsia="en-AU"/>
        </w:rPr>
        <w:t xml:space="preserve">considered </w:t>
      </w:r>
      <w:r w:rsidR="00043EA3">
        <w:rPr>
          <w:rFonts w:eastAsia="Times New Roman" w:cs="Arial"/>
          <w:color w:val="000000"/>
          <w:szCs w:val="20"/>
          <w:lang w:eastAsia="en-AU"/>
        </w:rPr>
        <w:t>one of the</w:t>
      </w:r>
      <w:r w:rsidRPr="00757F82">
        <w:rPr>
          <w:rFonts w:eastAsia="Times New Roman" w:cs="Arial"/>
          <w:color w:val="000000"/>
          <w:szCs w:val="20"/>
          <w:lang w:eastAsia="en-AU"/>
        </w:rPr>
        <w:t xml:space="preserve"> submission</w:t>
      </w:r>
      <w:r w:rsidR="00043EA3">
        <w:rPr>
          <w:rFonts w:eastAsia="Times New Roman" w:cs="Arial"/>
          <w:color w:val="000000"/>
          <w:szCs w:val="20"/>
          <w:lang w:eastAsia="en-AU"/>
        </w:rPr>
        <w:t>’</w:t>
      </w:r>
      <w:r w:rsidRPr="00757F82">
        <w:rPr>
          <w:rFonts w:eastAsia="Times New Roman" w:cs="Arial"/>
          <w:color w:val="000000"/>
          <w:szCs w:val="20"/>
          <w:lang w:eastAsia="en-AU"/>
        </w:rPr>
        <w:t xml:space="preserve">s </w:t>
      </w:r>
      <w:r w:rsidR="00043EA3">
        <w:rPr>
          <w:rFonts w:eastAsia="Times New Roman" w:cs="Arial"/>
          <w:color w:val="000000"/>
          <w:szCs w:val="20"/>
          <w:lang w:eastAsia="en-AU"/>
        </w:rPr>
        <w:t>(</w:t>
      </w:r>
      <w:r w:rsidRPr="00757F82">
        <w:rPr>
          <w:rFonts w:eastAsia="Times New Roman" w:cs="Arial"/>
          <w:color w:val="000000"/>
          <w:szCs w:val="20"/>
          <w:lang w:eastAsia="en-AU"/>
        </w:rPr>
        <w:t xml:space="preserve">in response to the interim </w:t>
      </w:r>
      <w:r w:rsidR="00D60CAD" w:rsidRPr="00757F82">
        <w:rPr>
          <w:rFonts w:eastAsia="Times New Roman" w:cs="Arial"/>
          <w:color w:val="000000"/>
          <w:szCs w:val="20"/>
          <w:lang w:eastAsia="en-AU"/>
        </w:rPr>
        <w:t>decision</w:t>
      </w:r>
      <w:r w:rsidR="00043EA3">
        <w:rPr>
          <w:rFonts w:eastAsia="Times New Roman" w:cs="Arial"/>
          <w:color w:val="000000"/>
          <w:szCs w:val="20"/>
          <w:lang w:eastAsia="en-AU"/>
        </w:rPr>
        <w:t>) approach to addressing the scheduling factors,</w:t>
      </w:r>
      <w:r w:rsidR="00D60CAD">
        <w:rPr>
          <w:rFonts w:eastAsia="Times New Roman" w:cs="Arial"/>
          <w:color w:val="000000"/>
          <w:szCs w:val="20"/>
          <w:lang w:eastAsia="en-AU"/>
        </w:rPr>
        <w:t xml:space="preserve"> I</w:t>
      </w:r>
      <w:r w:rsidRPr="00757F82">
        <w:rPr>
          <w:rFonts w:eastAsia="Times New Roman" w:cs="Arial"/>
          <w:color w:val="000000"/>
          <w:szCs w:val="20"/>
          <w:lang w:eastAsia="en-AU"/>
        </w:rPr>
        <w:t xml:space="preserve"> find it important to note scheduling decisions </w:t>
      </w:r>
      <w:r w:rsidR="00BF45C5" w:rsidRPr="00757F82">
        <w:rPr>
          <w:rFonts w:eastAsia="Times New Roman" w:cs="Arial"/>
          <w:color w:val="000000"/>
          <w:szCs w:val="20"/>
          <w:lang w:eastAsia="en-AU"/>
        </w:rPr>
        <w:t>follow the</w:t>
      </w:r>
      <w:r w:rsidRPr="00757F82">
        <w:rPr>
          <w:rFonts w:eastAsia="Times New Roman" w:cs="Arial"/>
          <w:color w:val="000000"/>
          <w:szCs w:val="20"/>
          <w:lang w:eastAsia="en-AU"/>
        </w:rPr>
        <w:t xml:space="preserve"> cascading principle</w:t>
      </w:r>
      <w:r w:rsidR="00AE2994">
        <w:rPr>
          <w:rFonts w:cs="Arial"/>
          <w:szCs w:val="20"/>
        </w:rPr>
        <w:t>, where more restrictive schedules are considered first,</w:t>
      </w:r>
      <w:r w:rsidR="007E1352" w:rsidRPr="00757F82">
        <w:rPr>
          <w:rFonts w:cs="Arial"/>
          <w:szCs w:val="20"/>
        </w:rPr>
        <w:t xml:space="preserve"> as a</w:t>
      </w:r>
      <w:r w:rsidRPr="00757F82">
        <w:rPr>
          <w:rFonts w:cs="Arial"/>
          <w:szCs w:val="20"/>
        </w:rPr>
        <w:t xml:space="preserve"> precautionary principle for </w:t>
      </w:r>
      <w:r w:rsidR="00AE2994">
        <w:rPr>
          <w:rFonts w:cs="Arial"/>
          <w:szCs w:val="20"/>
        </w:rPr>
        <w:t xml:space="preserve">protecting </w:t>
      </w:r>
      <w:r w:rsidRPr="00757F82">
        <w:rPr>
          <w:rFonts w:cs="Arial"/>
          <w:szCs w:val="20"/>
        </w:rPr>
        <w:t>public health</w:t>
      </w:r>
      <w:r w:rsidR="009E61D7" w:rsidRPr="00757F82">
        <w:rPr>
          <w:rFonts w:cs="Arial"/>
          <w:szCs w:val="20"/>
        </w:rPr>
        <w:t xml:space="preserve">. </w:t>
      </w:r>
      <w:r w:rsidR="001D5577" w:rsidRPr="00757F82">
        <w:rPr>
          <w:rFonts w:cs="Arial"/>
          <w:szCs w:val="20"/>
        </w:rPr>
        <w:t xml:space="preserve">As </w:t>
      </w:r>
      <w:r w:rsidRPr="00757F82">
        <w:rPr>
          <w:rFonts w:cs="Arial"/>
          <w:szCs w:val="20"/>
        </w:rPr>
        <w:t>a systematic approach</w:t>
      </w:r>
      <w:r w:rsidR="009E61D7" w:rsidRPr="00757F82">
        <w:rPr>
          <w:rFonts w:cs="Arial"/>
          <w:szCs w:val="20"/>
        </w:rPr>
        <w:t>, it</w:t>
      </w:r>
      <w:r w:rsidR="007444B0" w:rsidRPr="00757F82">
        <w:rPr>
          <w:rFonts w:cs="Arial"/>
          <w:szCs w:val="20"/>
        </w:rPr>
        <w:t xml:space="preserve"> is also used to</w:t>
      </w:r>
      <w:r w:rsidR="009E61D7" w:rsidRPr="00757F82">
        <w:rPr>
          <w:rFonts w:cs="Arial"/>
          <w:szCs w:val="20"/>
        </w:rPr>
        <w:t xml:space="preserve"> </w:t>
      </w:r>
      <w:r w:rsidRPr="00757F82">
        <w:rPr>
          <w:rFonts w:cs="Arial"/>
          <w:szCs w:val="20"/>
        </w:rPr>
        <w:t>facilitate the reclassification process when an application for rescheduling is received.</w:t>
      </w:r>
    </w:p>
    <w:p w14:paraId="1DD330B1" w14:textId="0B00F744" w:rsidR="00757F82" w:rsidRPr="00757F82" w:rsidRDefault="00C00ED7" w:rsidP="00757F82">
      <w:pPr>
        <w:rPr>
          <w:rFonts w:cs="Arial"/>
          <w:szCs w:val="20"/>
        </w:rPr>
      </w:pPr>
      <w:r w:rsidRPr="00757F82">
        <w:rPr>
          <w:rFonts w:cs="Arial"/>
          <w:szCs w:val="20"/>
          <w:lang w:eastAsia="en-AU"/>
        </w:rPr>
        <w:t>I remain of the opinion that</w:t>
      </w:r>
      <w:r w:rsidR="00A21FAD" w:rsidRPr="00757F82">
        <w:rPr>
          <w:rFonts w:cs="Arial"/>
          <w:szCs w:val="20"/>
          <w:lang w:eastAsia="en-AU"/>
        </w:rPr>
        <w:t xml:space="preserve"> the current scheduling of</w:t>
      </w:r>
      <w:r w:rsidRPr="00757F82">
        <w:rPr>
          <w:rFonts w:cs="Arial"/>
          <w:szCs w:val="20"/>
          <w:lang w:eastAsia="en-AU"/>
        </w:rPr>
        <w:t xml:space="preserve"> topical </w:t>
      </w:r>
      <w:proofErr w:type="spellStart"/>
      <w:r w:rsidRPr="00757F82">
        <w:rPr>
          <w:rFonts w:cs="Arial"/>
          <w:szCs w:val="20"/>
          <w:lang w:eastAsia="en-AU"/>
        </w:rPr>
        <w:t>glycopyrronium</w:t>
      </w:r>
      <w:proofErr w:type="spellEnd"/>
      <w:r w:rsidRPr="00757F82">
        <w:rPr>
          <w:rFonts w:cs="Arial"/>
          <w:szCs w:val="20"/>
          <w:lang w:eastAsia="en-AU"/>
        </w:rPr>
        <w:t xml:space="preserve"> preparation</w:t>
      </w:r>
      <w:r w:rsidR="00754982" w:rsidRPr="00757F82">
        <w:rPr>
          <w:rFonts w:cs="Arial"/>
          <w:szCs w:val="20"/>
          <w:lang w:eastAsia="en-AU"/>
        </w:rPr>
        <w:t>s</w:t>
      </w:r>
      <w:r w:rsidR="00A21FAD" w:rsidRPr="00757F82">
        <w:rPr>
          <w:rFonts w:cs="Arial"/>
          <w:szCs w:val="20"/>
          <w:lang w:eastAsia="en-AU"/>
        </w:rPr>
        <w:t xml:space="preserve"> </w:t>
      </w:r>
      <w:r w:rsidR="0086591A" w:rsidRPr="00757F82">
        <w:rPr>
          <w:rFonts w:cs="Arial"/>
          <w:szCs w:val="20"/>
          <w:lang w:eastAsia="en-AU"/>
        </w:rPr>
        <w:t>is</w:t>
      </w:r>
      <w:r w:rsidR="00A21FAD" w:rsidRPr="00757F82">
        <w:rPr>
          <w:rFonts w:cs="Arial"/>
          <w:szCs w:val="20"/>
          <w:lang w:eastAsia="en-AU"/>
        </w:rPr>
        <w:t xml:space="preserve"> not appropriate and</w:t>
      </w:r>
      <w:r w:rsidRPr="00757F82">
        <w:rPr>
          <w:rFonts w:cs="Arial"/>
          <w:szCs w:val="20"/>
          <w:lang w:eastAsia="en-AU"/>
        </w:rPr>
        <w:t xml:space="preserve"> should not be supplie</w:t>
      </w:r>
      <w:r w:rsidR="00754982" w:rsidRPr="00757F82">
        <w:rPr>
          <w:rFonts w:cs="Arial"/>
          <w:szCs w:val="20"/>
          <w:lang w:eastAsia="en-AU"/>
        </w:rPr>
        <w:t>d</w:t>
      </w:r>
      <w:r w:rsidRPr="00757F82">
        <w:rPr>
          <w:rFonts w:cs="Arial"/>
          <w:szCs w:val="20"/>
          <w:lang w:eastAsia="en-AU"/>
        </w:rPr>
        <w:t xml:space="preserve"> as a </w:t>
      </w:r>
      <w:proofErr w:type="gramStart"/>
      <w:r w:rsidR="00AE2994">
        <w:rPr>
          <w:rFonts w:cs="Arial"/>
          <w:szCs w:val="20"/>
          <w:lang w:eastAsia="en-AU"/>
        </w:rPr>
        <w:t>P</w:t>
      </w:r>
      <w:r w:rsidRPr="00757F82">
        <w:rPr>
          <w:rFonts w:cs="Arial"/>
          <w:szCs w:val="20"/>
          <w:lang w:eastAsia="en-AU"/>
        </w:rPr>
        <w:t>harmacist</w:t>
      </w:r>
      <w:proofErr w:type="gramEnd"/>
      <w:r w:rsidRPr="00757F82">
        <w:rPr>
          <w:rFonts w:cs="Arial"/>
          <w:szCs w:val="20"/>
          <w:lang w:eastAsia="en-AU"/>
        </w:rPr>
        <w:t xml:space="preserve"> only medicine </w:t>
      </w:r>
      <w:r w:rsidR="00AE2994">
        <w:rPr>
          <w:rFonts w:cs="Arial"/>
          <w:szCs w:val="20"/>
          <w:lang w:eastAsia="en-AU"/>
        </w:rPr>
        <w:t xml:space="preserve">(Schedule 3) </w:t>
      </w:r>
      <w:r w:rsidRPr="00757F82">
        <w:rPr>
          <w:rFonts w:cs="Arial"/>
          <w:szCs w:val="20"/>
          <w:lang w:eastAsia="en-AU"/>
        </w:rPr>
        <w:t>at this stage.</w:t>
      </w:r>
      <w:r w:rsidR="00757F82" w:rsidRPr="00757F82">
        <w:rPr>
          <w:rFonts w:cs="Arial"/>
          <w:szCs w:val="20"/>
          <w:lang w:eastAsia="en-AU"/>
        </w:rPr>
        <w:t xml:space="preserve"> Concurring with my interim decision and reasoning, </w:t>
      </w:r>
      <w:r w:rsidR="00757F82" w:rsidRPr="00757F82">
        <w:rPr>
          <w:rFonts w:cs="Arial"/>
          <w:szCs w:val="20"/>
        </w:rPr>
        <w:t xml:space="preserve">I have decided on an implementation date of </w:t>
      </w:r>
      <w:r w:rsidR="00757F82" w:rsidRPr="00757F82">
        <w:rPr>
          <w:rFonts w:cs="Arial"/>
          <w:szCs w:val="20"/>
        </w:rPr>
        <w:br/>
        <w:t xml:space="preserve">1 October 2024. As there are no </w:t>
      </w:r>
      <w:proofErr w:type="spellStart"/>
      <w:r w:rsidR="00757F82" w:rsidRPr="00757F82">
        <w:rPr>
          <w:rFonts w:cs="Arial"/>
          <w:szCs w:val="20"/>
        </w:rPr>
        <w:t>glycopyrronium</w:t>
      </w:r>
      <w:proofErr w:type="spellEnd"/>
      <w:r w:rsidR="00757F82" w:rsidRPr="00757F82">
        <w:rPr>
          <w:rFonts w:cs="Arial"/>
          <w:szCs w:val="20"/>
        </w:rPr>
        <w:t xml:space="preserve"> products currently marketed in Australia</w:t>
      </w:r>
      <w:r w:rsidR="00AE2994">
        <w:rPr>
          <w:rFonts w:cs="Arial"/>
          <w:szCs w:val="20"/>
        </w:rPr>
        <w:t xml:space="preserve"> under Schedule 3</w:t>
      </w:r>
      <w:r w:rsidR="00757F82" w:rsidRPr="00757F82">
        <w:rPr>
          <w:rFonts w:cs="Arial"/>
          <w:szCs w:val="20"/>
        </w:rPr>
        <w:t>, no products w</w:t>
      </w:r>
      <w:r w:rsidR="00813FA2">
        <w:rPr>
          <w:rFonts w:cs="Arial"/>
          <w:szCs w:val="20"/>
        </w:rPr>
        <w:t>ill</w:t>
      </w:r>
      <w:r w:rsidR="00757F82" w:rsidRPr="00757F82">
        <w:rPr>
          <w:rFonts w:cs="Arial"/>
          <w:szCs w:val="20"/>
        </w:rPr>
        <w:t xml:space="preserve"> be affected by the changes to the scheduling of </w:t>
      </w:r>
      <w:proofErr w:type="spellStart"/>
      <w:r w:rsidR="00757F82" w:rsidRPr="00757F82">
        <w:rPr>
          <w:rFonts w:cs="Arial"/>
          <w:szCs w:val="20"/>
        </w:rPr>
        <w:t>glycopyrronium</w:t>
      </w:r>
      <w:proofErr w:type="spellEnd"/>
      <w:r w:rsidR="00AE2994">
        <w:rPr>
          <w:rFonts w:cs="Arial"/>
          <w:szCs w:val="20"/>
        </w:rPr>
        <w:t xml:space="preserve">. This </w:t>
      </w:r>
      <w:r w:rsidR="00757F82" w:rsidRPr="00757F82">
        <w:rPr>
          <w:rFonts w:cs="Arial"/>
          <w:szCs w:val="20"/>
        </w:rPr>
        <w:t xml:space="preserve">decision will not impact consumers in accessing existing </w:t>
      </w:r>
      <w:proofErr w:type="spellStart"/>
      <w:r w:rsidR="00757F82" w:rsidRPr="00757F82">
        <w:rPr>
          <w:rFonts w:cs="Arial"/>
          <w:szCs w:val="20"/>
        </w:rPr>
        <w:t>glycopyrronium</w:t>
      </w:r>
      <w:proofErr w:type="spellEnd"/>
      <w:r w:rsidR="00757F82" w:rsidRPr="00757F82">
        <w:rPr>
          <w:rFonts w:cs="Arial"/>
          <w:szCs w:val="20"/>
        </w:rPr>
        <w:t xml:space="preserve"> medicines.</w:t>
      </w:r>
    </w:p>
    <w:p w14:paraId="79B5DEC2" w14:textId="49FFBBD5" w:rsidR="00D409DA" w:rsidRPr="00B10568" w:rsidRDefault="00D409DA" w:rsidP="00EB1AB3">
      <w:pPr>
        <w:spacing w:before="180" w:after="180" w:line="240" w:lineRule="atLeast"/>
        <w:rPr>
          <w:rFonts w:cs="Arial"/>
          <w:highlight w:val="yellow"/>
        </w:rPr>
      </w:pPr>
    </w:p>
    <w:p w14:paraId="512FAB6B" w14:textId="77777777" w:rsidR="00D409DA" w:rsidRPr="00E42057" w:rsidRDefault="00D409DA" w:rsidP="00D409DA">
      <w:pPr>
        <w:rPr>
          <w:b/>
          <w:bCs/>
          <w:i/>
          <w:iCs/>
        </w:rPr>
      </w:pPr>
      <w:r w:rsidRPr="00E42057">
        <w:rPr>
          <w:b/>
          <w:bCs/>
          <w:i/>
          <w:iCs/>
        </w:rPr>
        <w:t>Implementation date</w:t>
      </w:r>
    </w:p>
    <w:p w14:paraId="2CCFFF50" w14:textId="278339B2" w:rsidR="00D409DA" w:rsidRPr="00301791" w:rsidRDefault="00D409DA" w:rsidP="00D409DA">
      <w:pPr>
        <w:rPr>
          <w:color w:val="auto"/>
        </w:rPr>
      </w:pPr>
      <w:r w:rsidRPr="00301791">
        <w:rPr>
          <w:color w:val="auto"/>
        </w:rPr>
        <w:t xml:space="preserve">1 </w:t>
      </w:r>
      <w:r w:rsidR="00B10568" w:rsidRPr="00301791">
        <w:rPr>
          <w:color w:val="auto"/>
        </w:rPr>
        <w:t xml:space="preserve">October </w:t>
      </w:r>
      <w:r w:rsidRPr="00301791">
        <w:rPr>
          <w:color w:val="auto"/>
        </w:rPr>
        <w:t>2024</w:t>
      </w:r>
    </w:p>
    <w:p w14:paraId="2C0FB5D6" w14:textId="77777777" w:rsidR="00AE2994" w:rsidRDefault="00AE2994">
      <w:pPr>
        <w:rPr>
          <w:rFonts w:eastAsia="Times New Roman" w:cs="Times New Roman"/>
          <w:b/>
          <w:bCs/>
          <w:color w:val="001871"/>
          <w:sz w:val="38"/>
          <w:szCs w:val="38"/>
        </w:rPr>
      </w:pPr>
      <w:bookmarkStart w:id="27" w:name="_Toc97640265"/>
      <w:bookmarkStart w:id="28" w:name="_Toc170120986"/>
      <w:r>
        <w:br w:type="page"/>
      </w:r>
    </w:p>
    <w:p w14:paraId="3952C828" w14:textId="439E542A" w:rsidR="00457050" w:rsidRPr="00F41DCE" w:rsidRDefault="00457050" w:rsidP="00967490">
      <w:pPr>
        <w:pStyle w:val="Heading2"/>
      </w:pPr>
      <w:r>
        <w:lastRenderedPageBreak/>
        <w:t>Final</w:t>
      </w:r>
      <w:r w:rsidRPr="00FA029A">
        <w:t xml:space="preserve"> decisions on proposed amendments referred to the </w:t>
      </w:r>
      <w:r w:rsidRPr="00F41DCE">
        <w:t>Advisory Committee on Medicines and Chemicals Scheduling in jo</w:t>
      </w:r>
      <w:r>
        <w:t>int session (Joint ACMS-ACCS #</w:t>
      </w:r>
      <w:r w:rsidR="009A0947">
        <w:t>35</w:t>
      </w:r>
      <w:r>
        <w:t xml:space="preserve">, </w:t>
      </w:r>
      <w:r w:rsidR="009A0947">
        <w:t>November</w:t>
      </w:r>
      <w:r>
        <w:t xml:space="preserve"> 20</w:t>
      </w:r>
      <w:r w:rsidR="009A0947">
        <w:t>23</w:t>
      </w:r>
      <w:r w:rsidRPr="00F41DCE">
        <w:t>)</w:t>
      </w:r>
      <w:bookmarkEnd w:id="27"/>
      <w:bookmarkEnd w:id="28"/>
    </w:p>
    <w:p w14:paraId="61C43205" w14:textId="77777777" w:rsidR="00C96941" w:rsidRDefault="00C96941" w:rsidP="00C96941">
      <w:pPr>
        <w:pStyle w:val="Heading3"/>
      </w:pPr>
      <w:bookmarkStart w:id="29" w:name="_Toc166666948"/>
      <w:bookmarkStart w:id="30" w:name="_Toc170120987"/>
      <w:r>
        <w:t xml:space="preserve">Final decision in relation to </w:t>
      </w:r>
      <w:proofErr w:type="spellStart"/>
      <w:r>
        <w:t>palmitoylethanolamide</w:t>
      </w:r>
      <w:proofErr w:type="spellEnd"/>
      <w:r>
        <w:t xml:space="preserve"> (PEA)</w:t>
      </w:r>
      <w:bookmarkEnd w:id="29"/>
      <w:bookmarkEnd w:id="30"/>
    </w:p>
    <w:p w14:paraId="3EBFC4B4" w14:textId="77777777" w:rsidR="00C96941" w:rsidRPr="00BB34CD" w:rsidRDefault="00C96941" w:rsidP="00C96941">
      <w:pPr>
        <w:rPr>
          <w:b/>
          <w:bCs/>
          <w:i/>
          <w:iCs/>
        </w:rPr>
      </w:pPr>
      <w:r w:rsidRPr="00BB34CD">
        <w:rPr>
          <w:b/>
          <w:bCs/>
          <w:i/>
          <w:iCs/>
        </w:rPr>
        <w:t>Proposal</w:t>
      </w:r>
    </w:p>
    <w:p w14:paraId="5DEA13E4" w14:textId="5B736E98" w:rsidR="00C96941" w:rsidRPr="00E951D8" w:rsidRDefault="00C96941" w:rsidP="00C96941">
      <w:pPr>
        <w:rPr>
          <w:b/>
          <w:bCs/>
          <w:i/>
        </w:rPr>
      </w:pPr>
      <w:r w:rsidRPr="00E97A7E">
        <w:t xml:space="preserve">The applicant has proposed a new </w:t>
      </w:r>
      <w:r w:rsidR="00AE2994">
        <w:t>Poisons (</w:t>
      </w:r>
      <w:r w:rsidRPr="00E97A7E">
        <w:t>Schedule 6</w:t>
      </w:r>
      <w:r w:rsidR="00AE2994">
        <w:t>)</w:t>
      </w:r>
      <w:r w:rsidRPr="00E97A7E">
        <w:t xml:space="preserve"> entry for </w:t>
      </w:r>
      <w:proofErr w:type="spellStart"/>
      <w:r w:rsidRPr="00E97A7E">
        <w:t>palmitoylethanolamide</w:t>
      </w:r>
      <w:proofErr w:type="spellEnd"/>
      <w:r w:rsidRPr="00E97A7E">
        <w:t xml:space="preserve"> </w:t>
      </w:r>
      <w:r>
        <w:t xml:space="preserve">(PEA) with an </w:t>
      </w:r>
      <w:r w:rsidRPr="00E97A7E">
        <w:t>ex</w:t>
      </w:r>
      <w:r>
        <w:t>emption</w:t>
      </w:r>
      <w:r w:rsidRPr="00E97A7E">
        <w:t xml:space="preserve"> for </w:t>
      </w:r>
      <w:r>
        <w:t xml:space="preserve">use in </w:t>
      </w:r>
      <w:r w:rsidRPr="00E97A7E">
        <w:t xml:space="preserve">listed human medicines. The proposal would require </w:t>
      </w:r>
      <w:r>
        <w:t xml:space="preserve">products containing PEA that are not listed as human medicines, such as veterinary products, </w:t>
      </w:r>
      <w:r w:rsidRPr="00E97A7E">
        <w:rPr>
          <w:color w:val="000000"/>
          <w:shd w:val="clear" w:color="auto" w:fill="FFFFFF"/>
        </w:rPr>
        <w:t xml:space="preserve">to </w:t>
      </w:r>
      <w:r>
        <w:rPr>
          <w:color w:val="000000"/>
          <w:shd w:val="clear" w:color="auto" w:fill="FFFFFF"/>
        </w:rPr>
        <w:t>have</w:t>
      </w:r>
      <w:r w:rsidRPr="00E97A7E">
        <w:rPr>
          <w:color w:val="000000"/>
          <w:shd w:val="clear" w:color="auto" w:fill="FFFFFF"/>
        </w:rPr>
        <w:t xml:space="preserve"> distinctive packaging with strong warnings and safety directions on the label</w:t>
      </w:r>
      <w:r>
        <w:t>.</w:t>
      </w:r>
    </w:p>
    <w:p w14:paraId="7809FE3F" w14:textId="77777777" w:rsidR="00C96941" w:rsidRPr="00BB34CD" w:rsidRDefault="00C96941" w:rsidP="00C96941">
      <w:pPr>
        <w:rPr>
          <w:b/>
          <w:bCs/>
          <w:i/>
          <w:iCs/>
        </w:rPr>
      </w:pPr>
      <w:r w:rsidRPr="00BB34CD">
        <w:rPr>
          <w:b/>
          <w:bCs/>
          <w:i/>
          <w:iCs/>
        </w:rPr>
        <w:t xml:space="preserve">Final decision </w:t>
      </w:r>
    </w:p>
    <w:p w14:paraId="326BB0B9" w14:textId="44183ED7" w:rsidR="00C96941" w:rsidRDefault="00C96941" w:rsidP="00C96941">
      <w:r>
        <w:t xml:space="preserve">Pursuant to regulation 42ZCZR of the Regulations, the Delegate has made a final </w:t>
      </w:r>
      <w:r w:rsidRPr="000F3AE8">
        <w:t xml:space="preserve">decision to </w:t>
      </w:r>
      <w:r w:rsidR="00301791">
        <w:t>vary</w:t>
      </w:r>
      <w:r w:rsidRPr="000F3AE8">
        <w:t xml:space="preserve"> the interim decision and amend the current Poisons Standard in relation to </w:t>
      </w:r>
      <w:proofErr w:type="spellStart"/>
      <w:r w:rsidRPr="00E97A7E">
        <w:t>palmitoylethanolamide</w:t>
      </w:r>
      <w:proofErr w:type="spellEnd"/>
      <w:r w:rsidRPr="00E97A7E">
        <w:t xml:space="preserve"> </w:t>
      </w:r>
      <w:r>
        <w:t>(PEA)</w:t>
      </w:r>
      <w:r w:rsidRPr="000F3AE8">
        <w:t xml:space="preserve"> as follows:</w:t>
      </w:r>
      <w:r w:rsidRPr="00554374">
        <w:rPr>
          <w:rStyle w:val="FootnoteReference"/>
        </w:rPr>
        <w:t xml:space="preserve"> </w:t>
      </w:r>
      <w:r>
        <w:rPr>
          <w:rStyle w:val="FootnoteReference"/>
        </w:rPr>
        <w:footnoteReference w:id="10"/>
      </w:r>
    </w:p>
    <w:p w14:paraId="68676A2B" w14:textId="77777777" w:rsidR="00C96941" w:rsidRDefault="00C96941" w:rsidP="00C96941">
      <w:pPr>
        <w:ind w:left="425"/>
        <w:rPr>
          <w:b/>
          <w:bCs/>
          <w:lang w:eastAsia="en-AU"/>
        </w:rPr>
      </w:pPr>
      <w:r w:rsidRPr="625F5560">
        <w:rPr>
          <w:b/>
          <w:bCs/>
        </w:rPr>
        <w:t xml:space="preserve">Schedule </w:t>
      </w:r>
      <w:r>
        <w:rPr>
          <w:b/>
          <w:bCs/>
        </w:rPr>
        <w:t>6 – New entry</w:t>
      </w:r>
    </w:p>
    <w:p w14:paraId="2DAA9ECE" w14:textId="77777777" w:rsidR="009F4396" w:rsidRDefault="00C96941" w:rsidP="00C96941">
      <w:pPr>
        <w:ind w:left="709"/>
        <w:rPr>
          <w:b/>
          <w:bCs/>
          <w:color w:val="00B050"/>
          <w:u w:val="single"/>
        </w:rPr>
      </w:pPr>
      <w:r w:rsidRPr="00760E92">
        <w:rPr>
          <w:color w:val="00B050"/>
          <w:u w:val="single"/>
        </w:rPr>
        <w:t xml:space="preserve">PALMITOYLETHANOLAMIDE </w:t>
      </w:r>
      <w:r>
        <w:rPr>
          <w:color w:val="00B050"/>
          <w:u w:val="single"/>
        </w:rPr>
        <w:t xml:space="preserve">(excluding derivatives) </w:t>
      </w:r>
      <w:r w:rsidRPr="00760E92">
        <w:rPr>
          <w:b/>
          <w:bCs/>
          <w:color w:val="00B050"/>
          <w:u w:val="single"/>
        </w:rPr>
        <w:t>except</w:t>
      </w:r>
      <w:r w:rsidR="009F4396">
        <w:rPr>
          <w:b/>
          <w:bCs/>
          <w:color w:val="00B050"/>
          <w:u w:val="single"/>
        </w:rPr>
        <w:t>:</w:t>
      </w:r>
    </w:p>
    <w:p w14:paraId="3287B0D7" w14:textId="18D3BAF7" w:rsidR="009F4396" w:rsidRPr="00B10568" w:rsidRDefault="00C96941" w:rsidP="009F4396">
      <w:pPr>
        <w:pStyle w:val="AlphaList"/>
        <w:rPr>
          <w:color w:val="00B050"/>
          <w:u w:val="single"/>
        </w:rPr>
      </w:pPr>
      <w:r w:rsidRPr="00043EA3">
        <w:rPr>
          <w:color w:val="00B050"/>
          <w:u w:val="single"/>
        </w:rPr>
        <w:t>in preparations for therapeutic use</w:t>
      </w:r>
      <w:r w:rsidR="009F4396" w:rsidRPr="00B10568">
        <w:rPr>
          <w:color w:val="00B050"/>
          <w:u w:val="single"/>
        </w:rPr>
        <w:t>; or</w:t>
      </w:r>
    </w:p>
    <w:p w14:paraId="6260DFF7" w14:textId="72505BB3" w:rsidR="00C96941" w:rsidRPr="00B10568" w:rsidRDefault="009F4396" w:rsidP="00B10568">
      <w:pPr>
        <w:pStyle w:val="AlphaList"/>
        <w:rPr>
          <w:color w:val="00B050"/>
          <w:u w:val="single"/>
        </w:rPr>
      </w:pPr>
      <w:r w:rsidRPr="00B10568">
        <w:rPr>
          <w:color w:val="00B050"/>
          <w:u w:val="single"/>
        </w:rPr>
        <w:t xml:space="preserve">in preparations for </w:t>
      </w:r>
      <w:r w:rsidR="00C52F95">
        <w:rPr>
          <w:color w:val="00B050"/>
          <w:u w:val="single"/>
        </w:rPr>
        <w:t xml:space="preserve">dermal </w:t>
      </w:r>
      <w:r w:rsidRPr="00B10568">
        <w:rPr>
          <w:color w:val="00B050"/>
          <w:u w:val="single"/>
        </w:rPr>
        <w:t xml:space="preserve">cosmetic use containing 1% or less of </w:t>
      </w:r>
      <w:proofErr w:type="spellStart"/>
      <w:r w:rsidRPr="00B10568">
        <w:rPr>
          <w:color w:val="00B050"/>
          <w:u w:val="single"/>
        </w:rPr>
        <w:t>palmitoylethanolamide</w:t>
      </w:r>
      <w:proofErr w:type="spellEnd"/>
      <w:r w:rsidRPr="00B10568">
        <w:rPr>
          <w:color w:val="00B050"/>
          <w:u w:val="single"/>
        </w:rPr>
        <w:t xml:space="preserve">. </w:t>
      </w:r>
      <w:r w:rsidR="00043EA3">
        <w:rPr>
          <w:color w:val="00B050"/>
          <w:u w:val="single"/>
        </w:rPr>
        <w:br/>
      </w:r>
    </w:p>
    <w:p w14:paraId="397CF999" w14:textId="77777777" w:rsidR="00C96941" w:rsidRDefault="00C96941" w:rsidP="00C96941">
      <w:pPr>
        <w:ind w:left="425"/>
        <w:rPr>
          <w:b/>
          <w:bCs/>
        </w:rPr>
      </w:pPr>
      <w:r>
        <w:rPr>
          <w:b/>
          <w:bCs/>
        </w:rPr>
        <w:t>Index – New entry</w:t>
      </w:r>
    </w:p>
    <w:p w14:paraId="0A802785" w14:textId="77777777" w:rsidR="00C96941" w:rsidRPr="00760E92" w:rsidRDefault="00C96941" w:rsidP="00C96941">
      <w:pPr>
        <w:ind w:left="709"/>
        <w:rPr>
          <w:color w:val="00B050"/>
          <w:u w:val="single"/>
        </w:rPr>
      </w:pPr>
      <w:r w:rsidRPr="00760E92">
        <w:rPr>
          <w:b/>
          <w:bCs/>
          <w:color w:val="00B050"/>
          <w:u w:val="single"/>
        </w:rPr>
        <w:t>PALMITOYLETHANOLAMIDE</w:t>
      </w:r>
      <w:r w:rsidRPr="00760E92">
        <w:rPr>
          <w:color w:val="00B050"/>
          <w:u w:val="single"/>
        </w:rPr>
        <w:br/>
        <w:t>cross reference: PALMIDROL</w:t>
      </w:r>
    </w:p>
    <w:p w14:paraId="7178D0FC" w14:textId="77777777" w:rsidR="00C96941" w:rsidRPr="000E6912" w:rsidRDefault="00C96941" w:rsidP="00C96941">
      <w:pPr>
        <w:ind w:left="709"/>
        <w:rPr>
          <w:rFonts w:eastAsia="Cambria" w:cstheme="minorHAnsi"/>
          <w:strike/>
          <w:color w:val="auto"/>
        </w:rPr>
      </w:pPr>
      <w:r w:rsidRPr="00760E92">
        <w:rPr>
          <w:color w:val="00B050"/>
          <w:u w:val="single"/>
        </w:rPr>
        <w:t>Schedule 6</w:t>
      </w:r>
    </w:p>
    <w:p w14:paraId="66EA6B9D" w14:textId="77777777" w:rsidR="00C96941" w:rsidRPr="00BB34CD" w:rsidRDefault="00C96941" w:rsidP="00C96941">
      <w:pPr>
        <w:rPr>
          <w:b/>
          <w:bCs/>
          <w:i/>
          <w:iCs/>
        </w:rPr>
      </w:pPr>
      <w:r w:rsidRPr="00BB34CD">
        <w:rPr>
          <w:b/>
          <w:bCs/>
          <w:i/>
          <w:iCs/>
        </w:rPr>
        <w:t xml:space="preserve">Materials considered </w:t>
      </w:r>
    </w:p>
    <w:p w14:paraId="4A2F58AD" w14:textId="77777777" w:rsidR="00C96941" w:rsidRDefault="00C96941" w:rsidP="00C96941">
      <w:r>
        <w:t>In making this final decision, the Delegate considered the following material:</w:t>
      </w:r>
    </w:p>
    <w:p w14:paraId="1569BB3E" w14:textId="77777777" w:rsidR="00C96941" w:rsidRPr="002B6996" w:rsidRDefault="00C96941" w:rsidP="00C96941">
      <w:pPr>
        <w:pStyle w:val="ListBullet"/>
        <w:numPr>
          <w:ilvl w:val="0"/>
          <w:numId w:val="30"/>
        </w:numPr>
        <w:rPr>
          <w:b w:val="0"/>
          <w:bCs w:val="0"/>
          <w:i w:val="0"/>
          <w:iCs w:val="0"/>
        </w:rPr>
      </w:pPr>
      <w:r w:rsidRPr="002B6996">
        <w:rPr>
          <w:b w:val="0"/>
          <w:bCs w:val="0"/>
          <w:i w:val="0"/>
          <w:iCs w:val="0"/>
        </w:rPr>
        <w:t xml:space="preserve">the </w:t>
      </w:r>
      <w:hyperlink r:id="rId19" w:history="1">
        <w:r w:rsidRPr="002B6996">
          <w:rPr>
            <w:rStyle w:val="Hyperlink"/>
            <w:b w:val="0"/>
            <w:bCs w:val="0"/>
            <w:i w:val="0"/>
            <w:iCs w:val="0"/>
          </w:rPr>
          <w:t>application</w:t>
        </w:r>
      </w:hyperlink>
      <w:r w:rsidRPr="002B6996">
        <w:rPr>
          <w:rStyle w:val="Hyperlink"/>
          <w:b w:val="0"/>
          <w:bCs w:val="0"/>
          <w:i w:val="0"/>
          <w:iCs w:val="0"/>
        </w:rPr>
        <w:t xml:space="preserve"> </w:t>
      </w:r>
      <w:r w:rsidRPr="002B6996">
        <w:rPr>
          <w:b w:val="0"/>
          <w:bCs w:val="0"/>
          <w:i w:val="0"/>
          <w:iCs w:val="0"/>
        </w:rPr>
        <w:t>to amend the current Poisons Standard with respect to PEA (the Application)</w:t>
      </w:r>
    </w:p>
    <w:p w14:paraId="1440FD90" w14:textId="38671E4F" w:rsidR="00C96941" w:rsidRPr="002B6996" w:rsidRDefault="00C96941" w:rsidP="00C96941">
      <w:pPr>
        <w:pStyle w:val="ListBullet"/>
        <w:numPr>
          <w:ilvl w:val="0"/>
          <w:numId w:val="30"/>
        </w:numPr>
        <w:rPr>
          <w:b w:val="0"/>
          <w:bCs w:val="0"/>
          <w:i w:val="0"/>
          <w:iCs w:val="0"/>
        </w:rPr>
      </w:pPr>
      <w:r w:rsidRPr="002B6996">
        <w:rPr>
          <w:b w:val="0"/>
          <w:bCs w:val="0"/>
          <w:i w:val="0"/>
          <w:iCs w:val="0"/>
        </w:rPr>
        <w:t xml:space="preserve">the 19 </w:t>
      </w:r>
      <w:hyperlink r:id="rId20" w:history="1">
        <w:r w:rsidRPr="002B6996">
          <w:rPr>
            <w:rStyle w:val="Hyperlink"/>
            <w:b w:val="0"/>
            <w:bCs w:val="0"/>
            <w:i w:val="0"/>
            <w:iCs w:val="0"/>
          </w:rPr>
          <w:t>public submissions</w:t>
        </w:r>
      </w:hyperlink>
      <w:r w:rsidRPr="002B6996">
        <w:rPr>
          <w:b w:val="0"/>
          <w:bCs w:val="0"/>
          <w:i w:val="0"/>
          <w:iCs w:val="0"/>
        </w:rPr>
        <w:t xml:space="preserve"> received in response to the </w:t>
      </w:r>
      <w:hyperlink r:id="rId21" w:history="1">
        <w:r w:rsidRPr="002B6996">
          <w:rPr>
            <w:rStyle w:val="Hyperlink"/>
            <w:b w:val="0"/>
            <w:bCs w:val="0"/>
            <w:i w:val="0"/>
            <w:iCs w:val="0"/>
          </w:rPr>
          <w:t>pre-meeting consultation</w:t>
        </w:r>
      </w:hyperlink>
      <w:r w:rsidRPr="002B6996">
        <w:rPr>
          <w:b w:val="0"/>
          <w:bCs w:val="0"/>
          <w:i w:val="0"/>
          <w:iCs w:val="0"/>
        </w:rPr>
        <w:t xml:space="preserve"> under regulation 42ZCZK of the Regulations</w:t>
      </w:r>
    </w:p>
    <w:p w14:paraId="1C4C2E18" w14:textId="77777777" w:rsidR="00C96941" w:rsidRPr="002B6996" w:rsidRDefault="00C96941" w:rsidP="00C96941">
      <w:pPr>
        <w:pStyle w:val="ListBullet"/>
        <w:numPr>
          <w:ilvl w:val="0"/>
          <w:numId w:val="30"/>
        </w:numPr>
        <w:rPr>
          <w:b w:val="0"/>
          <w:bCs w:val="0"/>
          <w:i w:val="0"/>
          <w:iCs w:val="0"/>
        </w:rPr>
      </w:pPr>
      <w:r w:rsidRPr="002B6996">
        <w:rPr>
          <w:b w:val="0"/>
          <w:bCs w:val="0"/>
          <w:i w:val="0"/>
          <w:iCs w:val="0"/>
        </w:rPr>
        <w:t>the advice received from the 35</w:t>
      </w:r>
      <w:r w:rsidRPr="002B6996">
        <w:rPr>
          <w:b w:val="0"/>
          <w:bCs w:val="0"/>
          <w:i w:val="0"/>
          <w:iCs w:val="0"/>
          <w:vertAlign w:val="superscript"/>
        </w:rPr>
        <w:t>th</w:t>
      </w:r>
      <w:r w:rsidRPr="002B6996">
        <w:rPr>
          <w:b w:val="0"/>
          <w:bCs w:val="0"/>
          <w:i w:val="0"/>
          <w:iCs w:val="0"/>
        </w:rPr>
        <w:t xml:space="preserve"> meeting of the Advisory Committees on Medicines and Chemicals Scheduling in joint session (the Committee)</w:t>
      </w:r>
    </w:p>
    <w:p w14:paraId="31910BB6" w14:textId="77777777" w:rsidR="00C96941" w:rsidRPr="002B6996" w:rsidRDefault="00C96941" w:rsidP="00C96941">
      <w:pPr>
        <w:pStyle w:val="ListBullet"/>
        <w:numPr>
          <w:ilvl w:val="0"/>
          <w:numId w:val="30"/>
        </w:numPr>
        <w:rPr>
          <w:b w:val="0"/>
          <w:bCs w:val="0"/>
          <w:i w:val="0"/>
          <w:iCs w:val="0"/>
        </w:rPr>
      </w:pPr>
      <w:r w:rsidRPr="002B6996">
        <w:rPr>
          <w:b w:val="0"/>
          <w:bCs w:val="0"/>
          <w:i w:val="0"/>
          <w:iCs w:val="0"/>
        </w:rPr>
        <w:t xml:space="preserve">the </w:t>
      </w:r>
      <w:hyperlink r:id="rId22" w:history="1">
        <w:r w:rsidRPr="002B6996">
          <w:rPr>
            <w:rStyle w:val="Hyperlink"/>
            <w:b w:val="0"/>
            <w:bCs w:val="0"/>
            <w:i w:val="0"/>
            <w:iCs w:val="0"/>
          </w:rPr>
          <w:t>interim decision</w:t>
        </w:r>
      </w:hyperlink>
      <w:r w:rsidRPr="002B6996">
        <w:rPr>
          <w:b w:val="0"/>
          <w:bCs w:val="0"/>
          <w:i w:val="0"/>
          <w:iCs w:val="0"/>
        </w:rPr>
        <w:t xml:space="preserve"> relating to </w:t>
      </w:r>
      <w:proofErr w:type="spellStart"/>
      <w:r w:rsidRPr="002B6996">
        <w:rPr>
          <w:b w:val="0"/>
          <w:bCs w:val="0"/>
          <w:i w:val="0"/>
          <w:iCs w:val="0"/>
        </w:rPr>
        <w:t>palmitoylethanolamide</w:t>
      </w:r>
      <w:proofErr w:type="spellEnd"/>
      <w:r w:rsidRPr="002B6996">
        <w:rPr>
          <w:b w:val="0"/>
          <w:bCs w:val="0"/>
          <w:i w:val="0"/>
          <w:iCs w:val="0"/>
        </w:rPr>
        <w:t xml:space="preserve"> and the materials considered as part of the interim decision, as published on 3 April 2024</w:t>
      </w:r>
    </w:p>
    <w:p w14:paraId="247B196A" w14:textId="77777777" w:rsidR="00C96941" w:rsidRPr="002B6996" w:rsidRDefault="00C96941" w:rsidP="00C96941">
      <w:pPr>
        <w:pStyle w:val="ListBullet"/>
        <w:numPr>
          <w:ilvl w:val="0"/>
          <w:numId w:val="30"/>
        </w:numPr>
        <w:rPr>
          <w:b w:val="0"/>
          <w:bCs w:val="0"/>
          <w:i w:val="0"/>
          <w:iCs w:val="0"/>
        </w:rPr>
      </w:pPr>
      <w:r w:rsidRPr="002B6996">
        <w:rPr>
          <w:b w:val="0"/>
          <w:bCs w:val="0"/>
          <w:i w:val="0"/>
          <w:iCs w:val="0"/>
        </w:rPr>
        <w:t xml:space="preserve">the 2 public submissions received in response to the </w:t>
      </w:r>
      <w:hyperlink r:id="rId23" w:history="1">
        <w:r w:rsidRPr="002B6996">
          <w:rPr>
            <w:rStyle w:val="Hyperlink"/>
            <w:b w:val="0"/>
            <w:bCs w:val="0"/>
            <w:i w:val="0"/>
            <w:iCs w:val="0"/>
          </w:rPr>
          <w:t>interim decision consultation</w:t>
        </w:r>
      </w:hyperlink>
      <w:r w:rsidRPr="002B6996">
        <w:rPr>
          <w:b w:val="0"/>
          <w:bCs w:val="0"/>
          <w:i w:val="0"/>
          <w:iCs w:val="0"/>
        </w:rPr>
        <w:t xml:space="preserve"> under regulation 42ZCZP of the Regulations (the Submissions)</w:t>
      </w:r>
    </w:p>
    <w:p w14:paraId="218AB83F" w14:textId="77777777" w:rsidR="00C96941" w:rsidRDefault="00C96941" w:rsidP="00C96941">
      <w:pPr>
        <w:pStyle w:val="ListBullet"/>
        <w:numPr>
          <w:ilvl w:val="0"/>
          <w:numId w:val="30"/>
        </w:numPr>
        <w:rPr>
          <w:b w:val="0"/>
          <w:bCs w:val="0"/>
          <w:i w:val="0"/>
          <w:iCs w:val="0"/>
        </w:rPr>
      </w:pPr>
      <w:r w:rsidRPr="002B6996">
        <w:rPr>
          <w:b w:val="0"/>
          <w:bCs w:val="0"/>
          <w:i w:val="0"/>
          <w:iCs w:val="0"/>
        </w:rPr>
        <w:t xml:space="preserve">subsection 52E(1) of the Therapeutic Goods Act 1989, in particular (a) the risks and benefits of the use of a substance; (b) the purposes for which a substance is to be used and the extent of use of a substance; (c) the toxicity of a substance; (d) the dosage, formulation, labelling, packaging </w:t>
      </w:r>
      <w:r w:rsidRPr="002B6996">
        <w:rPr>
          <w:b w:val="0"/>
          <w:bCs w:val="0"/>
          <w:i w:val="0"/>
          <w:iCs w:val="0"/>
        </w:rPr>
        <w:lastRenderedPageBreak/>
        <w:t>and presentation of a substance; and (f) any other matters considered necessary to protect public health.</w:t>
      </w:r>
    </w:p>
    <w:p w14:paraId="218C531C" w14:textId="6A785410" w:rsidR="007B022C" w:rsidRDefault="007B022C" w:rsidP="007B022C">
      <w:pPr>
        <w:pStyle w:val="ListBullet"/>
        <w:numPr>
          <w:ilvl w:val="0"/>
          <w:numId w:val="30"/>
        </w:numPr>
        <w:rPr>
          <w:b w:val="0"/>
          <w:bCs w:val="0"/>
          <w:i w:val="0"/>
          <w:iCs w:val="0"/>
        </w:rPr>
      </w:pPr>
      <w:r w:rsidRPr="007B022C">
        <w:rPr>
          <w:b w:val="0"/>
          <w:bCs w:val="0"/>
          <w:i w:val="0"/>
          <w:iCs w:val="0"/>
        </w:rPr>
        <w:t xml:space="preserve">Safety Assessment of </w:t>
      </w:r>
      <w:proofErr w:type="spellStart"/>
      <w:r w:rsidRPr="007B022C">
        <w:rPr>
          <w:b w:val="0"/>
          <w:bCs w:val="0"/>
          <w:i w:val="0"/>
          <w:iCs w:val="0"/>
        </w:rPr>
        <w:t>Ethanolamides</w:t>
      </w:r>
      <w:proofErr w:type="spellEnd"/>
      <w:r>
        <w:rPr>
          <w:b w:val="0"/>
          <w:bCs w:val="0"/>
          <w:i w:val="0"/>
          <w:iCs w:val="0"/>
        </w:rPr>
        <w:t xml:space="preserve"> </w:t>
      </w:r>
      <w:r w:rsidRPr="007B022C">
        <w:rPr>
          <w:b w:val="0"/>
          <w:bCs w:val="0"/>
          <w:i w:val="0"/>
          <w:iCs w:val="0"/>
        </w:rPr>
        <w:t>as Used in Cosmetics</w:t>
      </w:r>
      <w:r>
        <w:rPr>
          <w:b w:val="0"/>
          <w:bCs w:val="0"/>
          <w:i w:val="0"/>
          <w:iCs w:val="0"/>
        </w:rPr>
        <w:t xml:space="preserve"> - </w:t>
      </w:r>
      <w:r w:rsidRPr="007B022C">
        <w:rPr>
          <w:b w:val="0"/>
          <w:bCs w:val="0"/>
          <w:i w:val="0"/>
          <w:iCs w:val="0"/>
        </w:rPr>
        <w:t>International Journal of Toxicology</w:t>
      </w:r>
    </w:p>
    <w:p w14:paraId="350B0510" w14:textId="68B5D05A" w:rsidR="007B022C" w:rsidRDefault="007B022C" w:rsidP="007B022C">
      <w:pPr>
        <w:pStyle w:val="ListBullet"/>
        <w:numPr>
          <w:ilvl w:val="0"/>
          <w:numId w:val="30"/>
        </w:numPr>
        <w:rPr>
          <w:b w:val="0"/>
          <w:bCs w:val="0"/>
          <w:i w:val="0"/>
          <w:iCs w:val="0"/>
        </w:rPr>
      </w:pPr>
      <w:proofErr w:type="spellStart"/>
      <w:r w:rsidRPr="007B022C">
        <w:rPr>
          <w:b w:val="0"/>
          <w:bCs w:val="0"/>
          <w:i w:val="0"/>
          <w:iCs w:val="0"/>
        </w:rPr>
        <w:t>Palmitoylethanolamide</w:t>
      </w:r>
      <w:proofErr w:type="spellEnd"/>
      <w:r w:rsidRPr="007B022C">
        <w:rPr>
          <w:b w:val="0"/>
          <w:bCs w:val="0"/>
          <w:i w:val="0"/>
          <w:iCs w:val="0"/>
        </w:rPr>
        <w:t xml:space="preserve"> in the Treatment of Chronic Pain: A</w:t>
      </w:r>
      <w:r>
        <w:rPr>
          <w:b w:val="0"/>
          <w:bCs w:val="0"/>
          <w:i w:val="0"/>
          <w:iCs w:val="0"/>
        </w:rPr>
        <w:t xml:space="preserve"> </w:t>
      </w:r>
      <w:r w:rsidRPr="007B022C">
        <w:rPr>
          <w:b w:val="0"/>
          <w:bCs w:val="0"/>
          <w:i w:val="0"/>
          <w:iCs w:val="0"/>
        </w:rPr>
        <w:t>Systematic Review and Meta-Analysis of Double-Blind</w:t>
      </w:r>
      <w:r>
        <w:rPr>
          <w:b w:val="0"/>
          <w:bCs w:val="0"/>
          <w:i w:val="0"/>
          <w:iCs w:val="0"/>
        </w:rPr>
        <w:t xml:space="preserve"> </w:t>
      </w:r>
      <w:r w:rsidRPr="007B022C">
        <w:rPr>
          <w:b w:val="0"/>
          <w:bCs w:val="0"/>
          <w:i w:val="0"/>
          <w:iCs w:val="0"/>
        </w:rPr>
        <w:t>Randomized Controlled Trials</w:t>
      </w:r>
      <w:r>
        <w:rPr>
          <w:b w:val="0"/>
          <w:bCs w:val="0"/>
          <w:i w:val="0"/>
          <w:iCs w:val="0"/>
        </w:rPr>
        <w:t xml:space="preserve"> – </w:t>
      </w:r>
      <w:r w:rsidRPr="007B022C">
        <w:rPr>
          <w:b w:val="0"/>
          <w:bCs w:val="0"/>
          <w:i w:val="0"/>
          <w:iCs w:val="0"/>
        </w:rPr>
        <w:t>Nutrients</w:t>
      </w:r>
    </w:p>
    <w:p w14:paraId="1973BD06" w14:textId="3BC644E8" w:rsidR="007B022C" w:rsidRPr="007B022C" w:rsidRDefault="007B022C" w:rsidP="007B022C">
      <w:pPr>
        <w:pStyle w:val="ListBullet"/>
        <w:numPr>
          <w:ilvl w:val="0"/>
          <w:numId w:val="30"/>
        </w:numPr>
        <w:rPr>
          <w:b w:val="0"/>
          <w:bCs w:val="0"/>
          <w:i w:val="0"/>
          <w:iCs w:val="0"/>
        </w:rPr>
      </w:pPr>
      <w:proofErr w:type="spellStart"/>
      <w:r w:rsidRPr="007B022C">
        <w:rPr>
          <w:b w:val="0"/>
          <w:bCs w:val="0"/>
          <w:i w:val="0"/>
          <w:iCs w:val="0"/>
        </w:rPr>
        <w:t>Palmitoylethanolamide</w:t>
      </w:r>
      <w:proofErr w:type="spellEnd"/>
      <w:r w:rsidRPr="007B022C">
        <w:rPr>
          <w:b w:val="0"/>
          <w:bCs w:val="0"/>
          <w:i w:val="0"/>
          <w:iCs w:val="0"/>
        </w:rPr>
        <w:t>: A Natural Compound for</w:t>
      </w:r>
      <w:r>
        <w:rPr>
          <w:b w:val="0"/>
          <w:bCs w:val="0"/>
          <w:i w:val="0"/>
          <w:iCs w:val="0"/>
        </w:rPr>
        <w:t xml:space="preserve"> </w:t>
      </w:r>
      <w:r w:rsidRPr="007B022C">
        <w:rPr>
          <w:b w:val="0"/>
          <w:bCs w:val="0"/>
          <w:i w:val="0"/>
          <w:iCs w:val="0"/>
        </w:rPr>
        <w:t>Health Management</w:t>
      </w:r>
      <w:r>
        <w:rPr>
          <w:b w:val="0"/>
          <w:bCs w:val="0"/>
          <w:i w:val="0"/>
          <w:iCs w:val="0"/>
        </w:rPr>
        <w:t xml:space="preserve"> </w:t>
      </w:r>
      <w:r w:rsidR="00B02F4C">
        <w:rPr>
          <w:b w:val="0"/>
          <w:bCs w:val="0"/>
          <w:i w:val="0"/>
          <w:iCs w:val="0"/>
        </w:rPr>
        <w:t>–</w:t>
      </w:r>
      <w:r>
        <w:rPr>
          <w:b w:val="0"/>
          <w:bCs w:val="0"/>
          <w:i w:val="0"/>
          <w:iCs w:val="0"/>
        </w:rPr>
        <w:t xml:space="preserve"> </w:t>
      </w:r>
      <w:r w:rsidR="00B02F4C">
        <w:rPr>
          <w:b w:val="0"/>
          <w:bCs w:val="0"/>
          <w:i w:val="0"/>
          <w:iCs w:val="0"/>
        </w:rPr>
        <w:t xml:space="preserve">International Journal of Molecular sciences. </w:t>
      </w:r>
    </w:p>
    <w:p w14:paraId="61CB2054" w14:textId="77777777" w:rsidR="00C96941" w:rsidRPr="002B6996" w:rsidRDefault="00C96941" w:rsidP="00C96941">
      <w:pPr>
        <w:pStyle w:val="ListBullet"/>
        <w:numPr>
          <w:ilvl w:val="0"/>
          <w:numId w:val="30"/>
        </w:numPr>
        <w:rPr>
          <w:b w:val="0"/>
          <w:bCs w:val="0"/>
          <w:i w:val="0"/>
          <w:iCs w:val="0"/>
        </w:rPr>
      </w:pPr>
      <w:r w:rsidRPr="002B6996">
        <w:rPr>
          <w:b w:val="0"/>
          <w:bCs w:val="0"/>
          <w:i w:val="0"/>
          <w:iCs w:val="0"/>
        </w:rPr>
        <w:t>pursuant to paragraph 52E(2)(a) of the Act, the SPF, and</w:t>
      </w:r>
    </w:p>
    <w:p w14:paraId="2A793A5C" w14:textId="2AADF7AE" w:rsidR="00EC1CE2" w:rsidRPr="00771812" w:rsidRDefault="00C96941" w:rsidP="00771812">
      <w:pPr>
        <w:pStyle w:val="ListBullet"/>
        <w:numPr>
          <w:ilvl w:val="0"/>
          <w:numId w:val="30"/>
        </w:numPr>
        <w:rPr>
          <w:b w:val="0"/>
          <w:bCs w:val="0"/>
          <w:i w:val="0"/>
          <w:iCs w:val="0"/>
        </w:rPr>
      </w:pPr>
      <w:r w:rsidRPr="002B6996">
        <w:rPr>
          <w:b w:val="0"/>
          <w:bCs w:val="0"/>
          <w:i w:val="0"/>
          <w:iCs w:val="0"/>
        </w:rPr>
        <w:t>the Handbook.</w:t>
      </w:r>
    </w:p>
    <w:p w14:paraId="77992CB5" w14:textId="77777777" w:rsidR="00C96941" w:rsidRPr="00BB34CD" w:rsidRDefault="00C96941" w:rsidP="00C96941">
      <w:pPr>
        <w:rPr>
          <w:b/>
          <w:bCs/>
          <w:i/>
          <w:iCs/>
        </w:rPr>
      </w:pPr>
      <w:r w:rsidRPr="00BB34CD">
        <w:rPr>
          <w:b/>
          <w:bCs/>
          <w:i/>
          <w:iCs/>
        </w:rPr>
        <w:t>Reasons for the final decision (including findings on material questions of fact)</w:t>
      </w:r>
    </w:p>
    <w:p w14:paraId="24A95A28" w14:textId="2D2E0F16" w:rsidR="005F316C" w:rsidRDefault="00C96941" w:rsidP="00C96941">
      <w:r w:rsidRPr="00E32B41">
        <w:t xml:space="preserve">I have made a final decision to </w:t>
      </w:r>
      <w:r w:rsidR="005F316C">
        <w:t>vary</w:t>
      </w:r>
      <w:r w:rsidRPr="00E32B41">
        <w:t xml:space="preserve"> my interim decision to amend the current Poisons Standard with respect to </w:t>
      </w:r>
      <w:proofErr w:type="spellStart"/>
      <w:r w:rsidRPr="00E32B41">
        <w:t>palmitoylethanolamide</w:t>
      </w:r>
      <w:proofErr w:type="spellEnd"/>
      <w:r w:rsidR="005F316C">
        <w:t xml:space="preserve"> (PEA)</w:t>
      </w:r>
      <w:r w:rsidRPr="00E32B41">
        <w:t xml:space="preserve">. </w:t>
      </w:r>
      <w:r w:rsidR="005F316C">
        <w:t>I have decided t</w:t>
      </w:r>
      <w:r w:rsidR="0054310E">
        <w:t>hat</w:t>
      </w:r>
      <w:r w:rsidR="005F316C">
        <w:t xml:space="preserve"> </w:t>
      </w:r>
      <w:r w:rsidR="005F316C" w:rsidRPr="00043EA3">
        <w:rPr>
          <w:color w:val="auto"/>
        </w:rPr>
        <w:t xml:space="preserve">PEA </w:t>
      </w:r>
      <w:r w:rsidR="00516592">
        <w:rPr>
          <w:color w:val="auto"/>
        </w:rPr>
        <w:t xml:space="preserve">will not be included in any Schedule to the Poisons Standard </w:t>
      </w:r>
      <w:r w:rsidR="005F316C" w:rsidRPr="00043EA3">
        <w:rPr>
          <w:color w:val="auto"/>
        </w:rPr>
        <w:t xml:space="preserve">when in preparations for dermal cosmetic use containing 1% or less of PEA. </w:t>
      </w:r>
      <w:r w:rsidRPr="00043EA3">
        <w:rPr>
          <w:color w:val="auto"/>
        </w:rPr>
        <w:t xml:space="preserve">My </w:t>
      </w:r>
      <w:r w:rsidRPr="00E32B41">
        <w:t xml:space="preserve">reasons for making the final decision are </w:t>
      </w:r>
      <w:r w:rsidR="00D60CAD">
        <w:t>in alignment</w:t>
      </w:r>
      <w:r w:rsidR="005F316C">
        <w:t xml:space="preserve"> </w:t>
      </w:r>
      <w:r w:rsidRPr="00E32B41">
        <w:t>those set out in the interim decision</w:t>
      </w:r>
      <w:r w:rsidR="005F316C">
        <w:t xml:space="preserve"> and the reasons for exempting certain dermal cosmetic preparations are set out below</w:t>
      </w:r>
      <w:r w:rsidRPr="00E32B41">
        <w:t xml:space="preserve">. In making my final decision, I have </w:t>
      </w:r>
      <w:proofErr w:type="gramStart"/>
      <w:r w:rsidRPr="00E32B41">
        <w:t>taken into account</w:t>
      </w:r>
      <w:proofErr w:type="gramEnd"/>
      <w:r w:rsidRPr="00E32B41">
        <w:t xml:space="preserve"> the </w:t>
      </w:r>
      <w:r w:rsidR="000C7A03">
        <w:t>3</w:t>
      </w:r>
      <w:r w:rsidRPr="00E32B41">
        <w:t xml:space="preserve"> public submissions which were received in response to the interim decision,</w:t>
      </w:r>
      <w:r w:rsidR="00CD7F8A">
        <w:t xml:space="preserve"> of which</w:t>
      </w:r>
      <w:r w:rsidRPr="00E32B41">
        <w:t xml:space="preserve"> </w:t>
      </w:r>
      <w:r w:rsidR="000C7A03">
        <w:t>2</w:t>
      </w:r>
      <w:r w:rsidRPr="00E32B41">
        <w:t xml:space="preserve"> were supportive</w:t>
      </w:r>
      <w:r w:rsidR="000C7A03">
        <w:t xml:space="preserve"> and one did not support</w:t>
      </w:r>
      <w:r w:rsidRPr="00E32B41">
        <w:t xml:space="preserve"> the interim decision.</w:t>
      </w:r>
      <w:r w:rsidR="00223A98">
        <w:t xml:space="preserve"> </w:t>
      </w:r>
      <w:r w:rsidR="005F316C">
        <w:t xml:space="preserve">The submission that did not support the interim decision provided </w:t>
      </w:r>
      <w:r w:rsidR="00223A98">
        <w:t xml:space="preserve">information on the use of PEA </w:t>
      </w:r>
      <w:r w:rsidR="00D60CAD">
        <w:t xml:space="preserve">within </w:t>
      </w:r>
      <w:r w:rsidR="00223A98">
        <w:t>product</w:t>
      </w:r>
      <w:r w:rsidR="00D60CAD">
        <w:t>s</w:t>
      </w:r>
      <w:r w:rsidR="00223A98">
        <w:t xml:space="preserve"> for dermal cosmetic use in Australia and relevant safety data. </w:t>
      </w:r>
    </w:p>
    <w:p w14:paraId="3A9B8F07" w14:textId="15CF7D94" w:rsidR="00C642EE" w:rsidRDefault="00C642EE" w:rsidP="00C642EE">
      <w:r>
        <w:t xml:space="preserve">In considering 52E(a)(b) and (d) of the Act, I have reviewed the use of PEA in cosmetics </w:t>
      </w:r>
      <w:r w:rsidR="0012102D">
        <w:t xml:space="preserve">applied dermally </w:t>
      </w:r>
      <w:r>
        <w:t xml:space="preserve">and its risk profile in these types of formulations. PEA </w:t>
      </w:r>
      <w:r w:rsidR="00A936C5">
        <w:t xml:space="preserve">is alternatively </w:t>
      </w:r>
      <w:r>
        <w:t xml:space="preserve">referred to as </w:t>
      </w:r>
      <w:proofErr w:type="spellStart"/>
      <w:r>
        <w:t>palmitamide</w:t>
      </w:r>
      <w:proofErr w:type="spellEnd"/>
      <w:r>
        <w:t xml:space="preserve"> MEA in cosmetic products. It is used</w:t>
      </w:r>
      <w:r w:rsidR="00A936C5">
        <w:t xml:space="preserve"> in dermal cosmetic preparations</w:t>
      </w:r>
      <w:r>
        <w:t xml:space="preserve"> for its properties as a skin conditioning agent, foam boosting surfactant and to increase </w:t>
      </w:r>
      <w:r w:rsidR="00A936C5">
        <w:t xml:space="preserve">formulation </w:t>
      </w:r>
      <w:r>
        <w:t xml:space="preserve">viscosity. </w:t>
      </w:r>
      <w:r w:rsidR="00223A98">
        <w:t xml:space="preserve">A </w:t>
      </w:r>
      <w:r>
        <w:t xml:space="preserve">submission in response to the interim decision reported PEA </w:t>
      </w:r>
      <w:r w:rsidR="00A936C5">
        <w:t xml:space="preserve">to be present in </w:t>
      </w:r>
      <w:r>
        <w:t xml:space="preserve">concentrations </w:t>
      </w:r>
      <w:r w:rsidR="00A936C5">
        <w:t xml:space="preserve">varying </w:t>
      </w:r>
      <w:r>
        <w:t>from 0.3% to 1.0% in dermal cosmetic products.</w:t>
      </w:r>
      <w:r>
        <w:br/>
      </w:r>
      <w:r>
        <w:br/>
        <w:t xml:space="preserve">I have reviewed the safety assessment of </w:t>
      </w:r>
      <w:proofErr w:type="spellStart"/>
      <w:r>
        <w:t>ethanolamides</w:t>
      </w:r>
      <w:proofErr w:type="spellEnd"/>
      <w:r>
        <w:t>, a class of compounds that include PEA, by the Cosmetic Ingredient Review (CIR) Expert Panel, in accordance with 52E(c) of the Act.</w:t>
      </w:r>
      <w:r>
        <w:rPr>
          <w:rStyle w:val="FootnoteReference"/>
        </w:rPr>
        <w:footnoteReference w:id="11"/>
      </w:r>
      <w:r>
        <w:t xml:space="preserve"> There were minimal to no adverse effects reported in repeat dose</w:t>
      </w:r>
      <w:r w:rsidR="001D1E48">
        <w:t xml:space="preserve"> toxicity</w:t>
      </w:r>
      <w:r>
        <w:t xml:space="preserve"> studies of related </w:t>
      </w:r>
      <w:proofErr w:type="spellStart"/>
      <w:r>
        <w:t>ethanolamides</w:t>
      </w:r>
      <w:proofErr w:type="spellEnd"/>
      <w:r>
        <w:t xml:space="preserve"> applied dermally. I find this to be consistent with the post market adverse event data of a dermal cosmetic product containing 0.3% PEA. The post market adverse event data indicates local toxicity is very rare.</w:t>
      </w:r>
      <w:r w:rsidR="00B04F24">
        <w:rPr>
          <w:rStyle w:val="FootnoteReference"/>
        </w:rPr>
        <w:footnoteReference w:id="12"/>
      </w:r>
      <w:r>
        <w:t xml:space="preserve"> </w:t>
      </w:r>
    </w:p>
    <w:p w14:paraId="7CCAC9CB" w14:textId="43AF33CA" w:rsidR="00C642EE" w:rsidRDefault="00C642EE" w:rsidP="00A936C5">
      <w:r>
        <w:t xml:space="preserve">Based on the available safety data, I have concluded that dermal cosmetic preparations that do not exceed 1% PEA should be exempt from scheduling as there is an acceptable margin of safety. This </w:t>
      </w:r>
      <w:r w:rsidR="000C7A03">
        <w:t xml:space="preserve">means </w:t>
      </w:r>
      <w:r w:rsidR="00B10568">
        <w:t>a</w:t>
      </w:r>
      <w:r w:rsidR="000C7A03">
        <w:t xml:space="preserve">ccess to </w:t>
      </w:r>
      <w:r w:rsidR="00A936C5">
        <w:t>dermal cosmetic products that contain</w:t>
      </w:r>
      <w:r w:rsidR="00A936C5" w:rsidRPr="00A936C5">
        <w:t xml:space="preserve"> 1% or less of </w:t>
      </w:r>
      <w:r w:rsidR="00B10568">
        <w:t>PEA</w:t>
      </w:r>
      <w:r w:rsidR="00A936C5">
        <w:t xml:space="preserve"> will remain unimpacted, as they will not be captured by the new Schedule 6 entry for PEA.</w:t>
      </w:r>
      <w:r w:rsidR="00B10568">
        <w:t xml:space="preserve"> </w:t>
      </w:r>
      <w:r w:rsidR="00043EA3">
        <w:t xml:space="preserve">Following </w:t>
      </w:r>
      <w:r w:rsidR="00286388">
        <w:t>2</w:t>
      </w:r>
      <w:r w:rsidR="00043EA3">
        <w:t xml:space="preserve"> rounds of consultation, I have not been made aware of any </w:t>
      </w:r>
      <w:r w:rsidR="00286388">
        <w:t xml:space="preserve">dermal </w:t>
      </w:r>
      <w:r w:rsidR="00B10568">
        <w:t xml:space="preserve">cosmetic preparations </w:t>
      </w:r>
      <w:r w:rsidR="00286388">
        <w:t>with</w:t>
      </w:r>
      <w:r w:rsidR="00B10568">
        <w:t xml:space="preserve"> concentrations greater than </w:t>
      </w:r>
      <w:r w:rsidR="00B10568" w:rsidRPr="00B10568">
        <w:t xml:space="preserve">1% of </w:t>
      </w:r>
      <w:r w:rsidR="00B10568">
        <w:t xml:space="preserve">PEA </w:t>
      </w:r>
      <w:r w:rsidR="00286388">
        <w:t xml:space="preserve">in the market. I have formed the view the cosmetic industry is unlikely to be impacted by this change and </w:t>
      </w:r>
      <w:r w:rsidR="00A936C5">
        <w:t>have</w:t>
      </w:r>
      <w:r w:rsidR="00286388">
        <w:t xml:space="preserve"> therefore </w:t>
      </w:r>
      <w:r w:rsidR="00A936C5">
        <w:t>decided on an</w:t>
      </w:r>
      <w:r w:rsidR="00286388">
        <w:t xml:space="preserve"> early</w:t>
      </w:r>
      <w:r w:rsidR="00A936C5">
        <w:t xml:space="preserve"> implementation date of 1 October 2024.</w:t>
      </w:r>
    </w:p>
    <w:p w14:paraId="56EC3C3F" w14:textId="77777777" w:rsidR="00C642EE" w:rsidRPr="00E32B41" w:rsidRDefault="00C642EE" w:rsidP="00C96941"/>
    <w:p w14:paraId="3D60A049" w14:textId="77777777" w:rsidR="00C96941" w:rsidRPr="00BB34CD" w:rsidRDefault="00C96941" w:rsidP="00C96941">
      <w:pPr>
        <w:rPr>
          <w:b/>
          <w:bCs/>
          <w:i/>
          <w:iCs/>
        </w:rPr>
      </w:pPr>
      <w:r w:rsidRPr="00BB34CD">
        <w:rPr>
          <w:b/>
          <w:bCs/>
          <w:i/>
          <w:iCs/>
        </w:rPr>
        <w:t>Implementation date</w:t>
      </w:r>
    </w:p>
    <w:p w14:paraId="3EF1F453" w14:textId="6CF3E192" w:rsidR="00C96941" w:rsidRPr="00301791" w:rsidRDefault="00C96941" w:rsidP="00C96941">
      <w:r w:rsidRPr="00301791">
        <w:t xml:space="preserve">1 </w:t>
      </w:r>
      <w:r w:rsidR="00C642EE" w:rsidRPr="00301791">
        <w:t>October</w:t>
      </w:r>
      <w:r w:rsidRPr="00301791">
        <w:t xml:space="preserve"> 2024 </w:t>
      </w:r>
    </w:p>
    <w:p w14:paraId="1C7DEDBF" w14:textId="62D6CBD5" w:rsidR="000D7942" w:rsidRPr="00AE2994" w:rsidRDefault="000D7942" w:rsidP="00967490">
      <w:pPr>
        <w:sectPr w:rsidR="000D7942" w:rsidRPr="00AE2994" w:rsidSect="00AE7C6A">
          <w:headerReference w:type="default" r:id="rId24"/>
          <w:footerReference w:type="default" r:id="rId2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26"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4479" w:rsidP="00300CBB">
            <w:pPr>
              <w:pStyle w:val="Address"/>
              <w:jc w:val="center"/>
              <w:rPr>
                <w:rStyle w:val="Hyperlink"/>
                <w:b/>
                <w:color w:val="auto"/>
                <w:sz w:val="22"/>
              </w:rPr>
            </w:pPr>
            <w:hyperlink r:id="rId27"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15628B" w:rsidRDefault="0015628B" w:rsidP="00967490"/>
    <w:sectPr w:rsidR="0015628B" w:rsidSect="00AE7C6A">
      <w:headerReference w:type="first" r:id="rId28"/>
      <w:footerReference w:type="first" r:id="rId2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62AEA" w14:textId="77777777" w:rsidR="008B0BAE" w:rsidRDefault="008B0BAE" w:rsidP="00967490">
      <w:r>
        <w:separator/>
      </w:r>
    </w:p>
    <w:p w14:paraId="035921FC" w14:textId="77777777" w:rsidR="008B0BAE" w:rsidRDefault="008B0BAE" w:rsidP="00967490"/>
    <w:p w14:paraId="0D798542" w14:textId="77777777" w:rsidR="008B0BAE" w:rsidRDefault="008B0BAE" w:rsidP="00967490"/>
  </w:endnote>
  <w:endnote w:type="continuationSeparator" w:id="0">
    <w:p w14:paraId="56963670" w14:textId="77777777" w:rsidR="008B0BAE" w:rsidRDefault="008B0BAE" w:rsidP="00967490">
      <w:r>
        <w:continuationSeparator/>
      </w:r>
    </w:p>
    <w:p w14:paraId="5BB33E5A" w14:textId="77777777" w:rsidR="008B0BAE" w:rsidRDefault="008B0BAE" w:rsidP="00967490"/>
    <w:p w14:paraId="066BF078" w14:textId="77777777" w:rsidR="008B0BAE" w:rsidRDefault="008B0BAE"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218AE23F" w:rsidR="00F02AEC" w:rsidRPr="00D911C8" w:rsidRDefault="00AC6716" w:rsidP="00DE78C9">
          <w:pPr>
            <w:ind w:left="-110"/>
            <w:rPr>
              <w:rFonts w:cs="Arial"/>
              <w:sz w:val="16"/>
              <w:szCs w:val="16"/>
            </w:rPr>
          </w:pPr>
          <w:r w:rsidRPr="00D911C8">
            <w:rPr>
              <w:rFonts w:cs="Arial"/>
              <w:sz w:val="16"/>
              <w:szCs w:val="16"/>
            </w:rPr>
            <w:t>Notice of final decisions to amend (or not amend) the current Poisons Standard (November 2023)</w:t>
          </w:r>
          <w:r w:rsidR="00F02AEC" w:rsidRPr="00D911C8">
            <w:rPr>
              <w:rFonts w:cs="Arial"/>
              <w:sz w:val="16"/>
              <w:szCs w:val="16"/>
            </w:rPr>
            <w:t xml:space="preserve"> </w:t>
          </w:r>
          <w:r w:rsidR="00F02AEC" w:rsidRPr="00D911C8">
            <w:rPr>
              <w:rFonts w:cs="Arial"/>
              <w:sz w:val="16"/>
              <w:szCs w:val="16"/>
            </w:rPr>
            <w:br/>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EBDA" w14:textId="77777777" w:rsidR="0015628B" w:rsidRPr="008E3C43" w:rsidRDefault="0015628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3D6E" w14:textId="77777777" w:rsidR="008B0BAE" w:rsidRDefault="008B0BAE" w:rsidP="00967490">
      <w:r>
        <w:separator/>
      </w:r>
    </w:p>
  </w:footnote>
  <w:footnote w:type="continuationSeparator" w:id="0">
    <w:p w14:paraId="4562C539" w14:textId="77777777" w:rsidR="008B0BAE" w:rsidRDefault="008B0BAE" w:rsidP="00967490">
      <w:r>
        <w:continuationSeparator/>
      </w:r>
    </w:p>
    <w:p w14:paraId="793508A6" w14:textId="77777777" w:rsidR="008B0BAE" w:rsidRDefault="008B0BAE" w:rsidP="00967490"/>
    <w:p w14:paraId="0299CC8F" w14:textId="77777777" w:rsidR="008B0BAE" w:rsidRDefault="008B0BAE"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w:t>
      </w:r>
      <w:r w:rsidRPr="00734C03">
        <w:rPr>
          <w:rFonts w:cs="Arial"/>
          <w:sz w:val="16"/>
          <w:szCs w:val="16"/>
        </w:rPr>
        <w:t xml:space="preserve">For the purposes of s 52D of the </w:t>
      </w:r>
      <w:r w:rsidRPr="00734C03">
        <w:rPr>
          <w:rFonts w:cs="Arial"/>
          <w:i/>
          <w:iCs/>
          <w:sz w:val="16"/>
          <w:szCs w:val="16"/>
        </w:rPr>
        <w:t>Therapeutic Goods Act 1989</w:t>
      </w:r>
      <w:r w:rsidRPr="00734C03">
        <w:rPr>
          <w:rFonts w:cs="Arial"/>
          <w:sz w:val="16"/>
          <w:szCs w:val="16"/>
        </w:rPr>
        <w:t xml:space="preserve"> (</w:t>
      </w:r>
      <w:proofErr w:type="spellStart"/>
      <w:r w:rsidRPr="00734C03">
        <w:rPr>
          <w:rFonts w:cs="Arial"/>
          <w:sz w:val="16"/>
          <w:szCs w:val="16"/>
        </w:rPr>
        <w:t>Cth</w:t>
      </w:r>
      <w:proofErr w:type="spellEnd"/>
      <w:r w:rsidRPr="00734C03">
        <w:rPr>
          <w:rFonts w:cs="Arial"/>
          <w:sz w:val="16"/>
          <w:szCs w:val="16"/>
        </w:rPr>
        <w:t>).</w:t>
      </w:r>
      <w:r w:rsidRPr="006119D9">
        <w:rPr>
          <w:rFonts w:asciiTheme="minorHAnsi" w:hAnsiTheme="minorHAnsi" w:cstheme="minorHAnsi"/>
          <w:sz w:val="18"/>
          <w:szCs w:val="18"/>
        </w:rPr>
        <w:t xml:space="preserve"> </w:t>
      </w:r>
    </w:p>
  </w:footnote>
  <w:footnote w:id="2">
    <w:p w14:paraId="6370CCC9" w14:textId="77777777" w:rsidR="001C003B" w:rsidRPr="00734C03" w:rsidRDefault="001C003B" w:rsidP="001C003B">
      <w:pPr>
        <w:pStyle w:val="FootnoteText"/>
        <w:rPr>
          <w:rFonts w:cs="Arial"/>
          <w:sz w:val="16"/>
          <w:szCs w:val="16"/>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734C03">
        <w:rPr>
          <w:rFonts w:cs="Arial"/>
          <w:color w:val="000000" w:themeColor="text1"/>
          <w:sz w:val="16"/>
          <w:szCs w:val="16"/>
        </w:rPr>
        <w:t>Proposed additions are shown in green underlined font, proposed deletions are shown in red strikethrough font, and text without this formatting represents the current text in the Poisons Standard.</w:t>
      </w:r>
    </w:p>
  </w:footnote>
  <w:footnote w:id="3">
    <w:p w14:paraId="6E1AD57D" w14:textId="5DCC249C" w:rsidR="00D409DA" w:rsidRPr="00462F02" w:rsidRDefault="00D409DA" w:rsidP="00757F82">
      <w:pPr>
        <w:spacing w:after="0" w:line="240" w:lineRule="atLeast"/>
        <w:contextualSpacing/>
        <w:rPr>
          <w:rFonts w:cs="Arial"/>
          <w:sz w:val="16"/>
          <w:szCs w:val="16"/>
        </w:rPr>
      </w:pPr>
      <w:r w:rsidRPr="00757F82">
        <w:rPr>
          <w:rStyle w:val="FootnoteReference"/>
          <w:rFonts w:cs="Arial"/>
          <w:sz w:val="16"/>
          <w:szCs w:val="16"/>
        </w:rPr>
        <w:footnoteRef/>
      </w:r>
      <w:r w:rsidRPr="00757F82">
        <w:rPr>
          <w:rFonts w:cs="Arial"/>
          <w:sz w:val="16"/>
          <w:szCs w:val="16"/>
        </w:rPr>
        <w:t xml:space="preserve"> </w:t>
      </w:r>
      <w:r w:rsidRPr="00462F02">
        <w:rPr>
          <w:rFonts w:cs="Arial"/>
          <w:sz w:val="16"/>
          <w:szCs w:val="16"/>
        </w:rPr>
        <w:t xml:space="preserve">Established under sections 52B and 52C of the </w:t>
      </w:r>
      <w:r w:rsidRPr="00462F02">
        <w:rPr>
          <w:rFonts w:cs="Arial"/>
          <w:i/>
          <w:iCs/>
          <w:sz w:val="16"/>
          <w:szCs w:val="16"/>
        </w:rPr>
        <w:t>Therapeutic Goods Act 1989</w:t>
      </w:r>
      <w:r w:rsidRPr="00462F02">
        <w:rPr>
          <w:rFonts w:cs="Arial"/>
          <w:sz w:val="16"/>
          <w:szCs w:val="16"/>
        </w:rPr>
        <w:t xml:space="preserve"> (</w:t>
      </w:r>
      <w:proofErr w:type="spellStart"/>
      <w:r w:rsidRPr="00462F02">
        <w:rPr>
          <w:rFonts w:cs="Arial"/>
          <w:sz w:val="16"/>
          <w:szCs w:val="16"/>
        </w:rPr>
        <w:t>Cth</w:t>
      </w:r>
      <w:proofErr w:type="spellEnd"/>
      <w:r w:rsidRPr="00462F02">
        <w:rPr>
          <w:rFonts w:cs="Arial"/>
          <w:sz w:val="16"/>
          <w:szCs w:val="16"/>
        </w:rPr>
        <w:t>)</w:t>
      </w:r>
    </w:p>
  </w:footnote>
  <w:footnote w:id="4">
    <w:p w14:paraId="0F7EF66D" w14:textId="0BA5C3B2" w:rsidR="00B37686" w:rsidRPr="00757F82" w:rsidRDefault="00537917" w:rsidP="005570DC">
      <w:pPr>
        <w:pStyle w:val="FootnoteText"/>
        <w:contextualSpacing/>
        <w:rPr>
          <w:rFonts w:cs="Arial"/>
          <w:sz w:val="16"/>
          <w:szCs w:val="16"/>
        </w:rPr>
      </w:pPr>
      <w:r w:rsidRPr="00757F82">
        <w:rPr>
          <w:rStyle w:val="FootnoteReference"/>
          <w:rFonts w:cs="Arial"/>
          <w:sz w:val="16"/>
          <w:szCs w:val="16"/>
        </w:rPr>
        <w:footnoteRef/>
      </w:r>
      <w:r w:rsidRPr="00757F82">
        <w:rPr>
          <w:rFonts w:cs="Arial"/>
          <w:sz w:val="16"/>
          <w:szCs w:val="16"/>
        </w:rPr>
        <w:t xml:space="preserve"> </w:t>
      </w:r>
      <w:hyperlink r:id="rId1" w:history="1">
        <w:r w:rsidR="00B37686" w:rsidRPr="00C07C9B">
          <w:rPr>
            <w:rStyle w:val="Hyperlink"/>
            <w:rFonts w:cs="Arial"/>
            <w:sz w:val="16"/>
            <w:szCs w:val="16"/>
          </w:rPr>
          <w:t>https://www.tga.gov.au/sites/default/files/scheduling-handbook-guidance-amending-poisons-standard.pdf</w:t>
        </w:r>
      </w:hyperlink>
    </w:p>
  </w:footnote>
  <w:footnote w:id="5">
    <w:p w14:paraId="5466CA1E" w14:textId="40D96BF1" w:rsidR="00B37686" w:rsidRPr="00757F82" w:rsidRDefault="005C7529" w:rsidP="005C7529">
      <w:pPr>
        <w:pStyle w:val="FootnoteText"/>
        <w:rPr>
          <w:rFonts w:cs="Arial"/>
          <w:sz w:val="16"/>
          <w:szCs w:val="16"/>
        </w:rPr>
      </w:pPr>
      <w:r w:rsidRPr="00757F82">
        <w:rPr>
          <w:rStyle w:val="FootnoteReference"/>
          <w:rFonts w:cs="Arial"/>
          <w:sz w:val="16"/>
          <w:szCs w:val="16"/>
        </w:rPr>
        <w:footnoteRef/>
      </w:r>
      <w:r w:rsidRPr="00757F82">
        <w:rPr>
          <w:rFonts w:cs="Arial"/>
          <w:sz w:val="16"/>
          <w:szCs w:val="16"/>
        </w:rPr>
        <w:t xml:space="preserve"> </w:t>
      </w:r>
      <w:hyperlink r:id="rId2" w:history="1">
        <w:r w:rsidR="00B37686" w:rsidRPr="00C07C9B">
          <w:rPr>
            <w:rStyle w:val="Hyperlink"/>
            <w:rFonts w:cs="Arial"/>
            <w:sz w:val="16"/>
            <w:szCs w:val="16"/>
          </w:rPr>
          <w:t>https://www.tg.org.au/</w:t>
        </w:r>
      </w:hyperlink>
    </w:p>
  </w:footnote>
  <w:footnote w:id="6">
    <w:p w14:paraId="016C4CB9" w14:textId="2C7AE9C0" w:rsidR="00B37686" w:rsidRPr="00462F02" w:rsidRDefault="004F78FD" w:rsidP="004F78FD">
      <w:pPr>
        <w:pStyle w:val="FootnoteText"/>
        <w:rPr>
          <w:rFonts w:cs="Arial"/>
          <w:sz w:val="16"/>
          <w:szCs w:val="16"/>
        </w:rPr>
      </w:pPr>
      <w:r w:rsidRPr="00462F02">
        <w:rPr>
          <w:rStyle w:val="FootnoteReference"/>
          <w:rFonts w:cs="Arial"/>
          <w:sz w:val="16"/>
          <w:szCs w:val="16"/>
        </w:rPr>
        <w:footnoteRef/>
      </w:r>
      <w:r w:rsidRPr="00462F02">
        <w:rPr>
          <w:rFonts w:cs="Arial"/>
          <w:sz w:val="16"/>
          <w:szCs w:val="16"/>
        </w:rPr>
        <w:t xml:space="preserve"> </w:t>
      </w:r>
      <w:hyperlink r:id="rId3" w:history="1">
        <w:r w:rsidR="00B37686" w:rsidRPr="00C07C9B">
          <w:rPr>
            <w:rStyle w:val="Hyperlink"/>
            <w:rFonts w:cs="Arial"/>
            <w:sz w:val="16"/>
            <w:szCs w:val="16"/>
          </w:rPr>
          <w:t>https://www.sweathelp.org/pdf/IHHS%20-%20Prevalence.pdf</w:t>
        </w:r>
      </w:hyperlink>
    </w:p>
  </w:footnote>
  <w:footnote w:id="7">
    <w:p w14:paraId="5915AE45" w14:textId="073CCDF8" w:rsidR="004F78FD" w:rsidRPr="00462F02" w:rsidRDefault="004F78FD" w:rsidP="004F78FD">
      <w:pPr>
        <w:pStyle w:val="FootnoteText"/>
        <w:rPr>
          <w:rFonts w:cs="Arial"/>
          <w:sz w:val="16"/>
          <w:szCs w:val="16"/>
        </w:rPr>
      </w:pPr>
      <w:r w:rsidRPr="00462F02">
        <w:rPr>
          <w:rStyle w:val="FootnoteReference"/>
          <w:rFonts w:cs="Arial"/>
          <w:sz w:val="16"/>
          <w:szCs w:val="16"/>
        </w:rPr>
        <w:footnoteRef/>
      </w:r>
      <w:r w:rsidRPr="00462F02">
        <w:rPr>
          <w:rFonts w:cs="Arial"/>
          <w:sz w:val="16"/>
          <w:szCs w:val="16"/>
        </w:rPr>
        <w:t xml:space="preserve"> </w:t>
      </w:r>
      <w:r w:rsidR="003343FE" w:rsidRPr="00462F02">
        <w:rPr>
          <w:rStyle w:val="Hyperlink"/>
          <w:rFonts w:cs="Arial"/>
          <w:sz w:val="16"/>
          <w:szCs w:val="16"/>
        </w:rPr>
        <w:t>https://onlinelibrary.wiley.com/doi/full/10.1111/1346-8138.16908</w:t>
      </w:r>
    </w:p>
  </w:footnote>
  <w:footnote w:id="8">
    <w:p w14:paraId="012E6387" w14:textId="600BD8C2" w:rsidR="00157DD0" w:rsidRPr="00E60EF2" w:rsidRDefault="00157DD0">
      <w:pPr>
        <w:pStyle w:val="FootnoteText"/>
        <w:rPr>
          <w:rFonts w:cs="Arial"/>
          <w:sz w:val="16"/>
          <w:szCs w:val="16"/>
        </w:rPr>
      </w:pPr>
      <w:r w:rsidRPr="00E60EF2">
        <w:rPr>
          <w:rStyle w:val="FootnoteReference"/>
          <w:rFonts w:cs="Arial"/>
          <w:sz w:val="16"/>
          <w:szCs w:val="16"/>
        </w:rPr>
        <w:footnoteRef/>
      </w:r>
      <w:r w:rsidRPr="00E60EF2">
        <w:rPr>
          <w:rFonts w:cs="Arial"/>
          <w:sz w:val="16"/>
          <w:szCs w:val="16"/>
        </w:rPr>
        <w:t xml:space="preserve"> </w:t>
      </w:r>
      <w:hyperlink r:id="rId4" w:history="1">
        <w:r w:rsidRPr="00E60EF2">
          <w:rPr>
            <w:rStyle w:val="Hyperlink"/>
            <w:rFonts w:cs="Arial"/>
            <w:sz w:val="16"/>
            <w:szCs w:val="16"/>
          </w:rPr>
          <w:t>https://www.fda.gov/drugs/drug-approvals-and-databases/fda-adverse-event-reporting-system-faers</w:t>
        </w:r>
      </w:hyperlink>
      <w:r w:rsidRPr="00E60EF2">
        <w:rPr>
          <w:rFonts w:cs="Arial"/>
          <w:sz w:val="16"/>
          <w:szCs w:val="16"/>
        </w:rPr>
        <w:t xml:space="preserve"> </w:t>
      </w:r>
    </w:p>
  </w:footnote>
  <w:footnote w:id="9">
    <w:p w14:paraId="26206086" w14:textId="3C7B8427" w:rsidR="00B37686" w:rsidRPr="00B10568" w:rsidRDefault="002D0DB9">
      <w:pPr>
        <w:pStyle w:val="FootnoteText"/>
        <w:rPr>
          <w:rFonts w:cs="Arial"/>
          <w:sz w:val="16"/>
          <w:szCs w:val="16"/>
        </w:rPr>
      </w:pPr>
      <w:r w:rsidRPr="00B10568">
        <w:rPr>
          <w:rStyle w:val="FootnoteReference"/>
          <w:rFonts w:cs="Arial"/>
          <w:sz w:val="16"/>
          <w:szCs w:val="16"/>
        </w:rPr>
        <w:footnoteRef/>
      </w:r>
      <w:r w:rsidRPr="00B10568">
        <w:rPr>
          <w:rFonts w:cs="Arial"/>
          <w:sz w:val="16"/>
          <w:szCs w:val="16"/>
        </w:rPr>
        <w:t xml:space="preserve"> </w:t>
      </w:r>
      <w:hyperlink r:id="rId5" w:history="1">
        <w:r w:rsidR="00B37686" w:rsidRPr="00C07C9B">
          <w:rPr>
            <w:rStyle w:val="Hyperlink"/>
            <w:rFonts w:cs="Arial"/>
            <w:sz w:val="16"/>
            <w:szCs w:val="16"/>
          </w:rPr>
          <w:t>https://www.fda.gov/drugs/novel-drug-approvals-fda/novel-drug-approvals-2024</w:t>
        </w:r>
      </w:hyperlink>
    </w:p>
  </w:footnote>
  <w:footnote w:id="10">
    <w:p w14:paraId="40785A5E" w14:textId="77777777" w:rsidR="00C96941" w:rsidRDefault="00C96941" w:rsidP="00C96941">
      <w:pPr>
        <w:pStyle w:val="FootnoteText"/>
      </w:pPr>
      <w:r w:rsidRPr="00B10568">
        <w:rPr>
          <w:rStyle w:val="FootnoteReference"/>
          <w:rFonts w:cs="Arial"/>
          <w:color w:val="000000" w:themeColor="text1"/>
          <w:sz w:val="16"/>
          <w:szCs w:val="16"/>
        </w:rPr>
        <w:footnoteRef/>
      </w:r>
      <w:r w:rsidRPr="00B10568">
        <w:rPr>
          <w:rFonts w:cs="Arial"/>
          <w:color w:val="000000" w:themeColor="text1"/>
          <w:sz w:val="16"/>
          <w:szCs w:val="16"/>
        </w:rPr>
        <w:t xml:space="preserve"> Proposed additions are shown in green underlined font, proposed deletions are shown in red strikethrough font, and text without this formatting represents the current text in the Poisons Standard.</w:t>
      </w:r>
    </w:p>
  </w:footnote>
  <w:footnote w:id="11">
    <w:p w14:paraId="611CC79D" w14:textId="34262B41" w:rsidR="00B37686" w:rsidRPr="006E3BA3" w:rsidRDefault="00C642EE" w:rsidP="00C642EE">
      <w:pPr>
        <w:pStyle w:val="FootnoteText"/>
        <w:rPr>
          <w:sz w:val="16"/>
          <w:szCs w:val="16"/>
        </w:rPr>
      </w:pPr>
      <w:r w:rsidRPr="006E3BA3">
        <w:rPr>
          <w:rStyle w:val="FootnoteReference"/>
          <w:sz w:val="16"/>
          <w:szCs w:val="16"/>
        </w:rPr>
        <w:footnoteRef/>
      </w:r>
      <w:r w:rsidRPr="006E3BA3">
        <w:rPr>
          <w:sz w:val="16"/>
          <w:szCs w:val="16"/>
        </w:rPr>
        <w:t xml:space="preserve"> </w:t>
      </w:r>
      <w:r w:rsidR="0088443C">
        <w:rPr>
          <w:sz w:val="16"/>
          <w:szCs w:val="16"/>
        </w:rPr>
        <w:t xml:space="preserve">Fiume MM et al, </w:t>
      </w:r>
      <w:r w:rsidR="00BC2ED3">
        <w:rPr>
          <w:sz w:val="16"/>
          <w:szCs w:val="16"/>
        </w:rPr>
        <w:t xml:space="preserve">2015. </w:t>
      </w:r>
      <w:r w:rsidR="00502950">
        <w:rPr>
          <w:sz w:val="16"/>
          <w:szCs w:val="16"/>
        </w:rPr>
        <w:t xml:space="preserve">Safety assessment of </w:t>
      </w:r>
      <w:proofErr w:type="spellStart"/>
      <w:r w:rsidR="00502950">
        <w:rPr>
          <w:sz w:val="16"/>
          <w:szCs w:val="16"/>
        </w:rPr>
        <w:t>ethanolamides</w:t>
      </w:r>
      <w:proofErr w:type="spellEnd"/>
      <w:r w:rsidR="00502950">
        <w:rPr>
          <w:sz w:val="16"/>
          <w:szCs w:val="16"/>
        </w:rPr>
        <w:t xml:space="preserve"> as used in cosmetics. </w:t>
      </w:r>
      <w:r w:rsidR="00BC2ED3" w:rsidRPr="00B04F24">
        <w:rPr>
          <w:i/>
          <w:iCs/>
          <w:sz w:val="16"/>
          <w:szCs w:val="16"/>
        </w:rPr>
        <w:t>Int J Toxicology</w:t>
      </w:r>
      <w:r w:rsidR="00BC2ED3">
        <w:rPr>
          <w:sz w:val="16"/>
          <w:szCs w:val="16"/>
        </w:rPr>
        <w:t xml:space="preserve"> 34(Suppl 1): 18S-34S</w:t>
      </w:r>
      <w:r w:rsidR="00502950">
        <w:rPr>
          <w:sz w:val="16"/>
          <w:szCs w:val="16"/>
        </w:rPr>
        <w:t xml:space="preserve">. </w:t>
      </w:r>
      <w:hyperlink r:id="rId6" w:history="1">
        <w:r w:rsidR="00502950" w:rsidRPr="00502950">
          <w:rPr>
            <w:rStyle w:val="Hyperlink"/>
            <w:sz w:val="16"/>
            <w:szCs w:val="16"/>
          </w:rPr>
          <w:t>https://journals.sagepub.com/doi/full/10.1177/1091581815586599</w:t>
        </w:r>
      </w:hyperlink>
    </w:p>
  </w:footnote>
  <w:footnote w:id="12">
    <w:p w14:paraId="54115FD2" w14:textId="0AF1F354" w:rsidR="00B04F24" w:rsidRDefault="00B04F24">
      <w:pPr>
        <w:pStyle w:val="FootnoteText"/>
      </w:pPr>
      <w:r>
        <w:rPr>
          <w:rStyle w:val="FootnoteReference"/>
        </w:rPr>
        <w:footnoteRef/>
      </w:r>
      <w:r>
        <w:t xml:space="preserve"> </w:t>
      </w:r>
      <w:r w:rsidR="0065633F">
        <w:rPr>
          <w:sz w:val="16"/>
          <w:szCs w:val="16"/>
        </w:rPr>
        <w:t>Based on post market adverse event data on a low concentration PEA product provided by a public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D080" w14:textId="77777777" w:rsidR="0015628B" w:rsidRPr="00FE501F" w:rsidRDefault="0015628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A78"/>
    <w:multiLevelType w:val="hybridMultilevel"/>
    <w:tmpl w:val="547CB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2840C24"/>
    <w:multiLevelType w:val="hybridMultilevel"/>
    <w:tmpl w:val="21D659AC"/>
    <w:lvl w:ilvl="0" w:tplc="729E865C">
      <w:start w:val="1"/>
      <w:numFmt w:val="lowerLetter"/>
      <w:pStyle w:val="ListParagraph"/>
      <w:lvlText w:val="(%1)"/>
      <w:lvlJc w:val="left"/>
      <w:pPr>
        <w:ind w:left="1648" w:hanging="360"/>
      </w:pPr>
      <w:rPr>
        <w:rFonts w:ascii="Arial" w:eastAsiaTheme="minorHAnsi" w:hAnsi="Arial" w:cs="Arial" w:hint="default"/>
      </w:rPr>
    </w:lvl>
    <w:lvl w:ilvl="1" w:tplc="0C090019">
      <w:start w:val="1"/>
      <w:numFmt w:val="lowerLetter"/>
      <w:lvlText w:val="%2."/>
      <w:lvlJc w:val="left"/>
      <w:pPr>
        <w:ind w:left="2368" w:hanging="360"/>
      </w:pPr>
    </w:lvl>
    <w:lvl w:ilvl="2" w:tplc="0C09001B" w:tentative="1">
      <w:start w:val="1"/>
      <w:numFmt w:val="lowerRoman"/>
      <w:lvlText w:val="%3."/>
      <w:lvlJc w:val="right"/>
      <w:pPr>
        <w:ind w:left="3088" w:hanging="180"/>
      </w:pPr>
    </w:lvl>
    <w:lvl w:ilvl="3" w:tplc="0C09000F" w:tentative="1">
      <w:start w:val="1"/>
      <w:numFmt w:val="decimal"/>
      <w:lvlText w:val="%4."/>
      <w:lvlJc w:val="left"/>
      <w:pPr>
        <w:ind w:left="3808" w:hanging="360"/>
      </w:pPr>
    </w:lvl>
    <w:lvl w:ilvl="4" w:tplc="0C090019" w:tentative="1">
      <w:start w:val="1"/>
      <w:numFmt w:val="lowerLetter"/>
      <w:lvlText w:val="%5."/>
      <w:lvlJc w:val="left"/>
      <w:pPr>
        <w:ind w:left="4528" w:hanging="360"/>
      </w:pPr>
    </w:lvl>
    <w:lvl w:ilvl="5" w:tplc="0C09001B" w:tentative="1">
      <w:start w:val="1"/>
      <w:numFmt w:val="lowerRoman"/>
      <w:lvlText w:val="%6."/>
      <w:lvlJc w:val="right"/>
      <w:pPr>
        <w:ind w:left="5248" w:hanging="180"/>
      </w:pPr>
    </w:lvl>
    <w:lvl w:ilvl="6" w:tplc="0C09000F" w:tentative="1">
      <w:start w:val="1"/>
      <w:numFmt w:val="decimal"/>
      <w:lvlText w:val="%7."/>
      <w:lvlJc w:val="left"/>
      <w:pPr>
        <w:ind w:left="5968" w:hanging="360"/>
      </w:pPr>
    </w:lvl>
    <w:lvl w:ilvl="7" w:tplc="0C090019" w:tentative="1">
      <w:start w:val="1"/>
      <w:numFmt w:val="lowerLetter"/>
      <w:lvlText w:val="%8."/>
      <w:lvlJc w:val="left"/>
      <w:pPr>
        <w:ind w:left="6688" w:hanging="360"/>
      </w:pPr>
    </w:lvl>
    <w:lvl w:ilvl="8" w:tplc="0C09001B" w:tentative="1">
      <w:start w:val="1"/>
      <w:numFmt w:val="lowerRoman"/>
      <w:lvlText w:val="%9."/>
      <w:lvlJc w:val="right"/>
      <w:pPr>
        <w:ind w:left="7408" w:hanging="180"/>
      </w:pPr>
    </w:lvl>
  </w:abstractNum>
  <w:abstractNum w:abstractNumId="3" w15:restartNumberingAfterBreak="0">
    <w:nsid w:val="13BE0E28"/>
    <w:multiLevelType w:val="hybridMultilevel"/>
    <w:tmpl w:val="8BBC1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6364D0"/>
    <w:multiLevelType w:val="hybridMultilevel"/>
    <w:tmpl w:val="B8564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pStyle w:val="ListBullet-dotick"/>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4093658"/>
    <w:multiLevelType w:val="hybridMultilevel"/>
    <w:tmpl w:val="2B7EC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FE63F8"/>
    <w:multiLevelType w:val="hybridMultilevel"/>
    <w:tmpl w:val="3A8C9884"/>
    <w:lvl w:ilvl="0" w:tplc="FFFFFFFF">
      <w:start w:val="1"/>
      <w:numFmt w:val="lowerLetter"/>
      <w:lvlText w:val="(%1)"/>
      <w:lvlJc w:val="left"/>
      <w:pPr>
        <w:ind w:left="720" w:hanging="360"/>
      </w:pPr>
      <w:rPr>
        <w:rFonts w:hint="default"/>
        <w:strike w:val="0"/>
        <w:color w:val="00B05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55DBD"/>
    <w:multiLevelType w:val="hybridMultilevel"/>
    <w:tmpl w:val="BB869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953D05"/>
    <w:multiLevelType w:val="hybridMultilevel"/>
    <w:tmpl w:val="34144056"/>
    <w:lvl w:ilvl="0" w:tplc="8CD66FBE">
      <w:start w:val="1"/>
      <w:numFmt w:val="lowerLetter"/>
      <w:pStyle w:val="AlphaList"/>
      <w:lvlText w:val="%1)"/>
      <w:lvlJc w:val="left"/>
      <w:pPr>
        <w:ind w:left="4571" w:hanging="360"/>
      </w:pPr>
    </w:lvl>
    <w:lvl w:ilvl="1" w:tplc="0FD483CA">
      <w:start w:val="1"/>
      <w:numFmt w:val="lowerRoman"/>
      <w:lvlText w:val="%2)"/>
      <w:lvlJc w:val="left"/>
      <w:pPr>
        <w:ind w:left="5291" w:hanging="360"/>
      </w:pPr>
      <w:rPr>
        <w:rFonts w:hint="default"/>
      </w:rPr>
    </w:lvl>
    <w:lvl w:ilvl="2" w:tplc="0C09001B" w:tentative="1">
      <w:start w:val="1"/>
      <w:numFmt w:val="lowerRoman"/>
      <w:lvlText w:val="%3."/>
      <w:lvlJc w:val="right"/>
      <w:pPr>
        <w:ind w:left="6011" w:hanging="180"/>
      </w:pPr>
    </w:lvl>
    <w:lvl w:ilvl="3" w:tplc="0C09000F" w:tentative="1">
      <w:start w:val="1"/>
      <w:numFmt w:val="decimal"/>
      <w:lvlText w:val="%4."/>
      <w:lvlJc w:val="left"/>
      <w:pPr>
        <w:ind w:left="6731" w:hanging="360"/>
      </w:pPr>
    </w:lvl>
    <w:lvl w:ilvl="4" w:tplc="0C090019" w:tentative="1">
      <w:start w:val="1"/>
      <w:numFmt w:val="lowerLetter"/>
      <w:lvlText w:val="%5."/>
      <w:lvlJc w:val="left"/>
      <w:pPr>
        <w:ind w:left="7451" w:hanging="360"/>
      </w:pPr>
    </w:lvl>
    <w:lvl w:ilvl="5" w:tplc="0C09001B" w:tentative="1">
      <w:start w:val="1"/>
      <w:numFmt w:val="lowerRoman"/>
      <w:lvlText w:val="%6."/>
      <w:lvlJc w:val="right"/>
      <w:pPr>
        <w:ind w:left="8171" w:hanging="180"/>
      </w:pPr>
    </w:lvl>
    <w:lvl w:ilvl="6" w:tplc="0C09000F" w:tentative="1">
      <w:start w:val="1"/>
      <w:numFmt w:val="decimal"/>
      <w:lvlText w:val="%7."/>
      <w:lvlJc w:val="left"/>
      <w:pPr>
        <w:ind w:left="8891" w:hanging="360"/>
      </w:pPr>
    </w:lvl>
    <w:lvl w:ilvl="7" w:tplc="0C090019" w:tentative="1">
      <w:start w:val="1"/>
      <w:numFmt w:val="lowerLetter"/>
      <w:lvlText w:val="%8."/>
      <w:lvlJc w:val="left"/>
      <w:pPr>
        <w:ind w:left="9611" w:hanging="360"/>
      </w:pPr>
    </w:lvl>
    <w:lvl w:ilvl="8" w:tplc="0C09001B" w:tentative="1">
      <w:start w:val="1"/>
      <w:numFmt w:val="lowerRoman"/>
      <w:lvlText w:val="%9."/>
      <w:lvlJc w:val="right"/>
      <w:pPr>
        <w:ind w:left="10331" w:hanging="180"/>
      </w:pPr>
    </w:lvl>
  </w:abstractNum>
  <w:abstractNum w:abstractNumId="13"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95421E"/>
    <w:multiLevelType w:val="hybridMultilevel"/>
    <w:tmpl w:val="590A5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955271"/>
    <w:multiLevelType w:val="hybridMultilevel"/>
    <w:tmpl w:val="0C3EE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366D37"/>
    <w:multiLevelType w:val="hybridMultilevel"/>
    <w:tmpl w:val="5C686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E34E51"/>
    <w:multiLevelType w:val="hybridMultilevel"/>
    <w:tmpl w:val="815E6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C6F85"/>
    <w:multiLevelType w:val="hybridMultilevel"/>
    <w:tmpl w:val="2C7E4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2578A4"/>
    <w:multiLevelType w:val="hybridMultilevel"/>
    <w:tmpl w:val="D914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6E5E35"/>
    <w:multiLevelType w:val="hybridMultilevel"/>
    <w:tmpl w:val="C2F6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pStyle w:val="ListBullet-donotcross"/>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BB388E"/>
    <w:multiLevelType w:val="hybridMultilevel"/>
    <w:tmpl w:val="7F0EC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A049FA"/>
    <w:multiLevelType w:val="hybridMultilevel"/>
    <w:tmpl w:val="95486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EFC17EA"/>
    <w:multiLevelType w:val="hybridMultilevel"/>
    <w:tmpl w:val="3404F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E25F19"/>
    <w:multiLevelType w:val="hybridMultilevel"/>
    <w:tmpl w:val="3DBE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1575018">
    <w:abstractNumId w:val="5"/>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1"/>
  </w:num>
  <w:num w:numId="3" w16cid:durableId="1248614696">
    <w:abstractNumId w:val="4"/>
  </w:num>
  <w:num w:numId="4" w16cid:durableId="297951965">
    <w:abstractNumId w:val="23"/>
  </w:num>
  <w:num w:numId="5" w16cid:durableId="1535191726">
    <w:abstractNumId w:val="8"/>
  </w:num>
  <w:num w:numId="6" w16cid:durableId="224069918">
    <w:abstractNumId w:val="22"/>
  </w:num>
  <w:num w:numId="7" w16cid:durableId="91820601">
    <w:abstractNumId w:val="5"/>
  </w:num>
  <w:num w:numId="8" w16cid:durableId="191186244">
    <w:abstractNumId w:val="7"/>
  </w:num>
  <w:num w:numId="9" w16cid:durableId="622883931">
    <w:abstractNumId w:val="10"/>
  </w:num>
  <w:num w:numId="10" w16cid:durableId="922223776">
    <w:abstractNumId w:val="2"/>
  </w:num>
  <w:num w:numId="11" w16cid:durableId="80493006">
    <w:abstractNumId w:val="14"/>
  </w:num>
  <w:num w:numId="12" w16cid:durableId="1395471182">
    <w:abstractNumId w:val="13"/>
  </w:num>
  <w:num w:numId="13" w16cid:durableId="1252934627">
    <w:abstractNumId w:val="12"/>
  </w:num>
  <w:num w:numId="14" w16cid:durableId="174081671">
    <w:abstractNumId w:val="28"/>
  </w:num>
  <w:num w:numId="15" w16cid:durableId="142041547">
    <w:abstractNumId w:val="25"/>
  </w:num>
  <w:num w:numId="16" w16cid:durableId="1852796690">
    <w:abstractNumId w:val="24"/>
  </w:num>
  <w:num w:numId="17" w16cid:durableId="1718820688">
    <w:abstractNumId w:val="27"/>
  </w:num>
  <w:num w:numId="18" w16cid:durableId="2113935528">
    <w:abstractNumId w:val="6"/>
  </w:num>
  <w:num w:numId="19" w16cid:durableId="1652636213">
    <w:abstractNumId w:val="15"/>
  </w:num>
  <w:num w:numId="20" w16cid:durableId="1481338835">
    <w:abstractNumId w:val="17"/>
  </w:num>
  <w:num w:numId="21" w16cid:durableId="1239025592">
    <w:abstractNumId w:val="18"/>
  </w:num>
  <w:num w:numId="22" w16cid:durableId="515273927">
    <w:abstractNumId w:val="16"/>
  </w:num>
  <w:num w:numId="23" w16cid:durableId="2079939296">
    <w:abstractNumId w:val="0"/>
  </w:num>
  <w:num w:numId="24" w16cid:durableId="2023433308">
    <w:abstractNumId w:val="3"/>
  </w:num>
  <w:num w:numId="25" w16cid:durableId="1025132434">
    <w:abstractNumId w:val="26"/>
  </w:num>
  <w:num w:numId="26" w16cid:durableId="72899852">
    <w:abstractNumId w:val="21"/>
  </w:num>
  <w:num w:numId="27" w16cid:durableId="549415901">
    <w:abstractNumId w:val="20"/>
  </w:num>
  <w:num w:numId="28" w16cid:durableId="1736852955">
    <w:abstractNumId w:val="11"/>
  </w:num>
  <w:num w:numId="29" w16cid:durableId="1236210419">
    <w:abstractNumId w:val="9"/>
  </w:num>
  <w:num w:numId="30" w16cid:durableId="70336071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7A50"/>
    <w:rsid w:val="00010BB2"/>
    <w:rsid w:val="00015FFA"/>
    <w:rsid w:val="0001612B"/>
    <w:rsid w:val="000200A9"/>
    <w:rsid w:val="00025359"/>
    <w:rsid w:val="00027839"/>
    <w:rsid w:val="00035B96"/>
    <w:rsid w:val="00042A25"/>
    <w:rsid w:val="00043EA3"/>
    <w:rsid w:val="0004645C"/>
    <w:rsid w:val="000502CA"/>
    <w:rsid w:val="00052055"/>
    <w:rsid w:val="000602CA"/>
    <w:rsid w:val="0006082B"/>
    <w:rsid w:val="00063193"/>
    <w:rsid w:val="00065407"/>
    <w:rsid w:val="00065C3B"/>
    <w:rsid w:val="000733F2"/>
    <w:rsid w:val="00075CD6"/>
    <w:rsid w:val="00082143"/>
    <w:rsid w:val="00094B81"/>
    <w:rsid w:val="00095E25"/>
    <w:rsid w:val="00096611"/>
    <w:rsid w:val="000A567A"/>
    <w:rsid w:val="000A7B6A"/>
    <w:rsid w:val="000B4574"/>
    <w:rsid w:val="000B640D"/>
    <w:rsid w:val="000C105A"/>
    <w:rsid w:val="000C5EB1"/>
    <w:rsid w:val="000C68A1"/>
    <w:rsid w:val="000C7A03"/>
    <w:rsid w:val="000D2A9D"/>
    <w:rsid w:val="000D4410"/>
    <w:rsid w:val="000D4925"/>
    <w:rsid w:val="000D7942"/>
    <w:rsid w:val="000E6912"/>
    <w:rsid w:val="000F1A52"/>
    <w:rsid w:val="000F30A2"/>
    <w:rsid w:val="000F3AE8"/>
    <w:rsid w:val="000F6F9C"/>
    <w:rsid w:val="000F7C51"/>
    <w:rsid w:val="0010426B"/>
    <w:rsid w:val="00105AE9"/>
    <w:rsid w:val="00113AF4"/>
    <w:rsid w:val="00114DE1"/>
    <w:rsid w:val="00117F77"/>
    <w:rsid w:val="0012102D"/>
    <w:rsid w:val="0012473C"/>
    <w:rsid w:val="0013296D"/>
    <w:rsid w:val="00134815"/>
    <w:rsid w:val="00143EFF"/>
    <w:rsid w:val="00144134"/>
    <w:rsid w:val="0014548E"/>
    <w:rsid w:val="00147015"/>
    <w:rsid w:val="001501F1"/>
    <w:rsid w:val="00150AEC"/>
    <w:rsid w:val="00151891"/>
    <w:rsid w:val="00155C46"/>
    <w:rsid w:val="0015628B"/>
    <w:rsid w:val="001570FF"/>
    <w:rsid w:val="00157DD0"/>
    <w:rsid w:val="00160D3C"/>
    <w:rsid w:val="00161E58"/>
    <w:rsid w:val="00161FCB"/>
    <w:rsid w:val="001629C1"/>
    <w:rsid w:val="00162B5F"/>
    <w:rsid w:val="001677E7"/>
    <w:rsid w:val="00173A1F"/>
    <w:rsid w:val="0017507D"/>
    <w:rsid w:val="00175CD8"/>
    <w:rsid w:val="00176743"/>
    <w:rsid w:val="00181626"/>
    <w:rsid w:val="001826A7"/>
    <w:rsid w:val="00185F27"/>
    <w:rsid w:val="00186440"/>
    <w:rsid w:val="00186985"/>
    <w:rsid w:val="00186AC1"/>
    <w:rsid w:val="00186B82"/>
    <w:rsid w:val="00187B23"/>
    <w:rsid w:val="00192BFE"/>
    <w:rsid w:val="00195C63"/>
    <w:rsid w:val="001A1897"/>
    <w:rsid w:val="001A6848"/>
    <w:rsid w:val="001A68A0"/>
    <w:rsid w:val="001B0599"/>
    <w:rsid w:val="001B15E5"/>
    <w:rsid w:val="001B5B0C"/>
    <w:rsid w:val="001C003B"/>
    <w:rsid w:val="001C1920"/>
    <w:rsid w:val="001C6495"/>
    <w:rsid w:val="001C763A"/>
    <w:rsid w:val="001D1E48"/>
    <w:rsid w:val="001D5577"/>
    <w:rsid w:val="001E2687"/>
    <w:rsid w:val="001E2840"/>
    <w:rsid w:val="001F2EE3"/>
    <w:rsid w:val="001F5299"/>
    <w:rsid w:val="001F7533"/>
    <w:rsid w:val="001F798D"/>
    <w:rsid w:val="002022E3"/>
    <w:rsid w:val="002026EC"/>
    <w:rsid w:val="00206C83"/>
    <w:rsid w:val="002137D1"/>
    <w:rsid w:val="002146F1"/>
    <w:rsid w:val="00215035"/>
    <w:rsid w:val="002177DF"/>
    <w:rsid w:val="00220B1E"/>
    <w:rsid w:val="0022290D"/>
    <w:rsid w:val="00223A98"/>
    <w:rsid w:val="00225E39"/>
    <w:rsid w:val="002272BF"/>
    <w:rsid w:val="00230CEB"/>
    <w:rsid w:val="0023141A"/>
    <w:rsid w:val="00232F73"/>
    <w:rsid w:val="00233DD0"/>
    <w:rsid w:val="0023539D"/>
    <w:rsid w:val="00235802"/>
    <w:rsid w:val="002358E2"/>
    <w:rsid w:val="00242031"/>
    <w:rsid w:val="00244FA3"/>
    <w:rsid w:val="0024638F"/>
    <w:rsid w:val="002512A3"/>
    <w:rsid w:val="00253460"/>
    <w:rsid w:val="00253671"/>
    <w:rsid w:val="00255CE7"/>
    <w:rsid w:val="002565C4"/>
    <w:rsid w:val="002612C8"/>
    <w:rsid w:val="00262389"/>
    <w:rsid w:val="002656D7"/>
    <w:rsid w:val="00266BE0"/>
    <w:rsid w:val="00271567"/>
    <w:rsid w:val="00277D22"/>
    <w:rsid w:val="00280DC6"/>
    <w:rsid w:val="00283D94"/>
    <w:rsid w:val="00286388"/>
    <w:rsid w:val="00291064"/>
    <w:rsid w:val="0029325D"/>
    <w:rsid w:val="0029649D"/>
    <w:rsid w:val="002A4CEC"/>
    <w:rsid w:val="002B3AD7"/>
    <w:rsid w:val="002B66D4"/>
    <w:rsid w:val="002B6996"/>
    <w:rsid w:val="002C0143"/>
    <w:rsid w:val="002C15C0"/>
    <w:rsid w:val="002C5C1C"/>
    <w:rsid w:val="002D0DB9"/>
    <w:rsid w:val="002D14E3"/>
    <w:rsid w:val="002D5F8A"/>
    <w:rsid w:val="002D653B"/>
    <w:rsid w:val="002E1B81"/>
    <w:rsid w:val="002E1DB5"/>
    <w:rsid w:val="002E212A"/>
    <w:rsid w:val="002F0702"/>
    <w:rsid w:val="002F1999"/>
    <w:rsid w:val="002F25B6"/>
    <w:rsid w:val="002F32EC"/>
    <w:rsid w:val="002F46FA"/>
    <w:rsid w:val="002F6DCE"/>
    <w:rsid w:val="002F72E6"/>
    <w:rsid w:val="002F7EC4"/>
    <w:rsid w:val="00300345"/>
    <w:rsid w:val="003008D8"/>
    <w:rsid w:val="00300CBB"/>
    <w:rsid w:val="00301791"/>
    <w:rsid w:val="00304CE6"/>
    <w:rsid w:val="00313C70"/>
    <w:rsid w:val="00320908"/>
    <w:rsid w:val="00321A41"/>
    <w:rsid w:val="00321B93"/>
    <w:rsid w:val="00321D6A"/>
    <w:rsid w:val="0032434B"/>
    <w:rsid w:val="00325FBD"/>
    <w:rsid w:val="00330402"/>
    <w:rsid w:val="00330CB9"/>
    <w:rsid w:val="003343FE"/>
    <w:rsid w:val="00334E2B"/>
    <w:rsid w:val="00344F40"/>
    <w:rsid w:val="0034751E"/>
    <w:rsid w:val="003518B7"/>
    <w:rsid w:val="003530B6"/>
    <w:rsid w:val="0035444D"/>
    <w:rsid w:val="00355CAC"/>
    <w:rsid w:val="00357744"/>
    <w:rsid w:val="003613A3"/>
    <w:rsid w:val="00363D71"/>
    <w:rsid w:val="0037347D"/>
    <w:rsid w:val="00375062"/>
    <w:rsid w:val="003776E0"/>
    <w:rsid w:val="00381572"/>
    <w:rsid w:val="00382F56"/>
    <w:rsid w:val="003834B3"/>
    <w:rsid w:val="003936B4"/>
    <w:rsid w:val="0039776F"/>
    <w:rsid w:val="003A3AC5"/>
    <w:rsid w:val="003A768E"/>
    <w:rsid w:val="003B1BB6"/>
    <w:rsid w:val="003B331B"/>
    <w:rsid w:val="003B3FD5"/>
    <w:rsid w:val="003B6006"/>
    <w:rsid w:val="003C3AF1"/>
    <w:rsid w:val="003C7F45"/>
    <w:rsid w:val="003D2187"/>
    <w:rsid w:val="003D3484"/>
    <w:rsid w:val="003D3D01"/>
    <w:rsid w:val="003D74C8"/>
    <w:rsid w:val="003E013E"/>
    <w:rsid w:val="003E2018"/>
    <w:rsid w:val="003E3729"/>
    <w:rsid w:val="003E470C"/>
    <w:rsid w:val="003F2A17"/>
    <w:rsid w:val="003F50BC"/>
    <w:rsid w:val="003F5E43"/>
    <w:rsid w:val="003F7AA5"/>
    <w:rsid w:val="00404D9A"/>
    <w:rsid w:val="00405A47"/>
    <w:rsid w:val="004109FA"/>
    <w:rsid w:val="004113D9"/>
    <w:rsid w:val="004115D2"/>
    <w:rsid w:val="00415AF7"/>
    <w:rsid w:val="00421AC3"/>
    <w:rsid w:val="00423F55"/>
    <w:rsid w:val="004246B8"/>
    <w:rsid w:val="00425286"/>
    <w:rsid w:val="00430B20"/>
    <w:rsid w:val="00431BAD"/>
    <w:rsid w:val="0043665F"/>
    <w:rsid w:val="00440CDE"/>
    <w:rsid w:val="00443950"/>
    <w:rsid w:val="00444ED3"/>
    <w:rsid w:val="0045258F"/>
    <w:rsid w:val="00454AE8"/>
    <w:rsid w:val="00457050"/>
    <w:rsid w:val="0046127B"/>
    <w:rsid w:val="00461318"/>
    <w:rsid w:val="00462F02"/>
    <w:rsid w:val="00463B4F"/>
    <w:rsid w:val="004640AD"/>
    <w:rsid w:val="00472C41"/>
    <w:rsid w:val="0047416F"/>
    <w:rsid w:val="0047489D"/>
    <w:rsid w:val="004751F3"/>
    <w:rsid w:val="00480456"/>
    <w:rsid w:val="00482773"/>
    <w:rsid w:val="00482AFF"/>
    <w:rsid w:val="00484710"/>
    <w:rsid w:val="00485F50"/>
    <w:rsid w:val="00487DD2"/>
    <w:rsid w:val="00495BCA"/>
    <w:rsid w:val="00495D4A"/>
    <w:rsid w:val="00495E46"/>
    <w:rsid w:val="004A129D"/>
    <w:rsid w:val="004A175C"/>
    <w:rsid w:val="004A483E"/>
    <w:rsid w:val="004A59E6"/>
    <w:rsid w:val="004A605F"/>
    <w:rsid w:val="004A6252"/>
    <w:rsid w:val="004A7265"/>
    <w:rsid w:val="004B150D"/>
    <w:rsid w:val="004B5B4B"/>
    <w:rsid w:val="004B7FF6"/>
    <w:rsid w:val="004C0837"/>
    <w:rsid w:val="004C0F84"/>
    <w:rsid w:val="004C1505"/>
    <w:rsid w:val="004C57AD"/>
    <w:rsid w:val="004D06D7"/>
    <w:rsid w:val="004D4308"/>
    <w:rsid w:val="004E16E1"/>
    <w:rsid w:val="004E1E2B"/>
    <w:rsid w:val="004E2FD1"/>
    <w:rsid w:val="004E34A3"/>
    <w:rsid w:val="004E5E56"/>
    <w:rsid w:val="004E645C"/>
    <w:rsid w:val="004F44A3"/>
    <w:rsid w:val="004F78FD"/>
    <w:rsid w:val="00502950"/>
    <w:rsid w:val="00502C94"/>
    <w:rsid w:val="00505A78"/>
    <w:rsid w:val="00507404"/>
    <w:rsid w:val="00510E11"/>
    <w:rsid w:val="00510FCC"/>
    <w:rsid w:val="0051180F"/>
    <w:rsid w:val="0051276E"/>
    <w:rsid w:val="00512FD9"/>
    <w:rsid w:val="00516592"/>
    <w:rsid w:val="00517568"/>
    <w:rsid w:val="0051778A"/>
    <w:rsid w:val="0052036D"/>
    <w:rsid w:val="0052280B"/>
    <w:rsid w:val="00534E90"/>
    <w:rsid w:val="00536735"/>
    <w:rsid w:val="00537917"/>
    <w:rsid w:val="00541E72"/>
    <w:rsid w:val="005424D1"/>
    <w:rsid w:val="0054310E"/>
    <w:rsid w:val="00546112"/>
    <w:rsid w:val="005502CD"/>
    <w:rsid w:val="0055080B"/>
    <w:rsid w:val="005530C3"/>
    <w:rsid w:val="00554374"/>
    <w:rsid w:val="00554D76"/>
    <w:rsid w:val="005570DC"/>
    <w:rsid w:val="0056391D"/>
    <w:rsid w:val="0056542C"/>
    <w:rsid w:val="0057234F"/>
    <w:rsid w:val="00574C08"/>
    <w:rsid w:val="0058575E"/>
    <w:rsid w:val="005A3E5D"/>
    <w:rsid w:val="005A5749"/>
    <w:rsid w:val="005B31FC"/>
    <w:rsid w:val="005B7044"/>
    <w:rsid w:val="005B74CE"/>
    <w:rsid w:val="005C51F9"/>
    <w:rsid w:val="005C6279"/>
    <w:rsid w:val="005C65E7"/>
    <w:rsid w:val="005C7529"/>
    <w:rsid w:val="005D197F"/>
    <w:rsid w:val="005E2B15"/>
    <w:rsid w:val="005E3E9A"/>
    <w:rsid w:val="005E6C98"/>
    <w:rsid w:val="005E6E29"/>
    <w:rsid w:val="005F316C"/>
    <w:rsid w:val="006039BD"/>
    <w:rsid w:val="00603F4F"/>
    <w:rsid w:val="006119D9"/>
    <w:rsid w:val="0061212B"/>
    <w:rsid w:val="00614A1D"/>
    <w:rsid w:val="00622A4E"/>
    <w:rsid w:val="00622E2C"/>
    <w:rsid w:val="00626B2C"/>
    <w:rsid w:val="0062779D"/>
    <w:rsid w:val="0063395A"/>
    <w:rsid w:val="0063499E"/>
    <w:rsid w:val="00635A63"/>
    <w:rsid w:val="006374A8"/>
    <w:rsid w:val="006375D5"/>
    <w:rsid w:val="0065037B"/>
    <w:rsid w:val="0065197F"/>
    <w:rsid w:val="0065633F"/>
    <w:rsid w:val="00656B44"/>
    <w:rsid w:val="006579DA"/>
    <w:rsid w:val="00660378"/>
    <w:rsid w:val="006619FC"/>
    <w:rsid w:val="00665F60"/>
    <w:rsid w:val="006665A4"/>
    <w:rsid w:val="0066700F"/>
    <w:rsid w:val="00676DFF"/>
    <w:rsid w:val="00676F5B"/>
    <w:rsid w:val="006833D2"/>
    <w:rsid w:val="00683EB9"/>
    <w:rsid w:val="00684288"/>
    <w:rsid w:val="00685403"/>
    <w:rsid w:val="00690552"/>
    <w:rsid w:val="00695B0F"/>
    <w:rsid w:val="006A0B0A"/>
    <w:rsid w:val="006A1F0B"/>
    <w:rsid w:val="006A4036"/>
    <w:rsid w:val="006A4ED0"/>
    <w:rsid w:val="006A6EE0"/>
    <w:rsid w:val="006A715E"/>
    <w:rsid w:val="006B12B5"/>
    <w:rsid w:val="006B2A3B"/>
    <w:rsid w:val="006B3E37"/>
    <w:rsid w:val="006B7C4E"/>
    <w:rsid w:val="006D1142"/>
    <w:rsid w:val="006D51AD"/>
    <w:rsid w:val="006E18A4"/>
    <w:rsid w:val="006E3BA3"/>
    <w:rsid w:val="006E5507"/>
    <w:rsid w:val="006F623C"/>
    <w:rsid w:val="006F6A34"/>
    <w:rsid w:val="006F7516"/>
    <w:rsid w:val="00700297"/>
    <w:rsid w:val="007005FB"/>
    <w:rsid w:val="00701260"/>
    <w:rsid w:val="00702FE0"/>
    <w:rsid w:val="00703AC5"/>
    <w:rsid w:val="00703FA3"/>
    <w:rsid w:val="00711BD4"/>
    <w:rsid w:val="0071213C"/>
    <w:rsid w:val="00715858"/>
    <w:rsid w:val="007161ED"/>
    <w:rsid w:val="007238FD"/>
    <w:rsid w:val="00726008"/>
    <w:rsid w:val="0072636F"/>
    <w:rsid w:val="007278DE"/>
    <w:rsid w:val="00731917"/>
    <w:rsid w:val="00734C03"/>
    <w:rsid w:val="007426F3"/>
    <w:rsid w:val="0074346F"/>
    <w:rsid w:val="00743ABF"/>
    <w:rsid w:val="007444B0"/>
    <w:rsid w:val="00746990"/>
    <w:rsid w:val="0075008A"/>
    <w:rsid w:val="007518B8"/>
    <w:rsid w:val="00754982"/>
    <w:rsid w:val="00757775"/>
    <w:rsid w:val="00757E6A"/>
    <w:rsid w:val="00757F82"/>
    <w:rsid w:val="00760346"/>
    <w:rsid w:val="00760DB8"/>
    <w:rsid w:val="00760F3C"/>
    <w:rsid w:val="00764066"/>
    <w:rsid w:val="00766150"/>
    <w:rsid w:val="00770F8C"/>
    <w:rsid w:val="00771812"/>
    <w:rsid w:val="0077725A"/>
    <w:rsid w:val="00780D1F"/>
    <w:rsid w:val="00782B07"/>
    <w:rsid w:val="00786E43"/>
    <w:rsid w:val="00793BB8"/>
    <w:rsid w:val="00795CB1"/>
    <w:rsid w:val="00795D02"/>
    <w:rsid w:val="007A5D47"/>
    <w:rsid w:val="007A62B9"/>
    <w:rsid w:val="007B00EF"/>
    <w:rsid w:val="007B022C"/>
    <w:rsid w:val="007B13FF"/>
    <w:rsid w:val="007B2B0A"/>
    <w:rsid w:val="007B3B45"/>
    <w:rsid w:val="007B5012"/>
    <w:rsid w:val="007B5806"/>
    <w:rsid w:val="007B5CF8"/>
    <w:rsid w:val="007B6BE8"/>
    <w:rsid w:val="007C1FD2"/>
    <w:rsid w:val="007C254E"/>
    <w:rsid w:val="007D243A"/>
    <w:rsid w:val="007E1352"/>
    <w:rsid w:val="007E39FF"/>
    <w:rsid w:val="007E3B7B"/>
    <w:rsid w:val="007E64DB"/>
    <w:rsid w:val="007F0A77"/>
    <w:rsid w:val="007F0C05"/>
    <w:rsid w:val="007F1049"/>
    <w:rsid w:val="007F21C6"/>
    <w:rsid w:val="007F5490"/>
    <w:rsid w:val="007F689A"/>
    <w:rsid w:val="007F7F9B"/>
    <w:rsid w:val="00800E72"/>
    <w:rsid w:val="00802DDD"/>
    <w:rsid w:val="00804426"/>
    <w:rsid w:val="00804B73"/>
    <w:rsid w:val="00806A9C"/>
    <w:rsid w:val="008079CE"/>
    <w:rsid w:val="00813FA2"/>
    <w:rsid w:val="008148E1"/>
    <w:rsid w:val="00815742"/>
    <w:rsid w:val="00822F69"/>
    <w:rsid w:val="008237DA"/>
    <w:rsid w:val="0082443C"/>
    <w:rsid w:val="008248DA"/>
    <w:rsid w:val="00831B56"/>
    <w:rsid w:val="008329DB"/>
    <w:rsid w:val="00833401"/>
    <w:rsid w:val="00835342"/>
    <w:rsid w:val="00840486"/>
    <w:rsid w:val="00840C6F"/>
    <w:rsid w:val="00845589"/>
    <w:rsid w:val="00853612"/>
    <w:rsid w:val="00856EC2"/>
    <w:rsid w:val="008637D9"/>
    <w:rsid w:val="0086591A"/>
    <w:rsid w:val="00866B85"/>
    <w:rsid w:val="008713EF"/>
    <w:rsid w:val="008725EC"/>
    <w:rsid w:val="00882FA4"/>
    <w:rsid w:val="008840C5"/>
    <w:rsid w:val="0088443C"/>
    <w:rsid w:val="008850FA"/>
    <w:rsid w:val="00893261"/>
    <w:rsid w:val="0089492A"/>
    <w:rsid w:val="00896C2F"/>
    <w:rsid w:val="008A1108"/>
    <w:rsid w:val="008A4278"/>
    <w:rsid w:val="008B0BAE"/>
    <w:rsid w:val="008B75B6"/>
    <w:rsid w:val="008C4FB7"/>
    <w:rsid w:val="008C5AA1"/>
    <w:rsid w:val="008C7489"/>
    <w:rsid w:val="008D3A23"/>
    <w:rsid w:val="008E0D11"/>
    <w:rsid w:val="008E70DF"/>
    <w:rsid w:val="008E7578"/>
    <w:rsid w:val="008F20BB"/>
    <w:rsid w:val="008F4217"/>
    <w:rsid w:val="008F642E"/>
    <w:rsid w:val="008F6B7C"/>
    <w:rsid w:val="008F6CA0"/>
    <w:rsid w:val="00911449"/>
    <w:rsid w:val="0091187D"/>
    <w:rsid w:val="00913DC1"/>
    <w:rsid w:val="00915DD5"/>
    <w:rsid w:val="00920F77"/>
    <w:rsid w:val="00922467"/>
    <w:rsid w:val="0092716C"/>
    <w:rsid w:val="00927AFD"/>
    <w:rsid w:val="00930C47"/>
    <w:rsid w:val="00930D58"/>
    <w:rsid w:val="0093515F"/>
    <w:rsid w:val="0094662D"/>
    <w:rsid w:val="00947DA4"/>
    <w:rsid w:val="009502AD"/>
    <w:rsid w:val="00951F7A"/>
    <w:rsid w:val="009560C5"/>
    <w:rsid w:val="0096531D"/>
    <w:rsid w:val="00967490"/>
    <w:rsid w:val="0096770C"/>
    <w:rsid w:val="00967C2B"/>
    <w:rsid w:val="00967F88"/>
    <w:rsid w:val="009705C8"/>
    <w:rsid w:val="009738FC"/>
    <w:rsid w:val="009872E0"/>
    <w:rsid w:val="00990061"/>
    <w:rsid w:val="00991905"/>
    <w:rsid w:val="00995D32"/>
    <w:rsid w:val="009A0947"/>
    <w:rsid w:val="009A0C91"/>
    <w:rsid w:val="009A271C"/>
    <w:rsid w:val="009A2F15"/>
    <w:rsid w:val="009A3196"/>
    <w:rsid w:val="009A4603"/>
    <w:rsid w:val="009A4833"/>
    <w:rsid w:val="009A62A2"/>
    <w:rsid w:val="009A73DB"/>
    <w:rsid w:val="009A7F59"/>
    <w:rsid w:val="009B16F8"/>
    <w:rsid w:val="009B1D25"/>
    <w:rsid w:val="009B29A3"/>
    <w:rsid w:val="009B6D9F"/>
    <w:rsid w:val="009D6FED"/>
    <w:rsid w:val="009E05CF"/>
    <w:rsid w:val="009E2B4C"/>
    <w:rsid w:val="009E5421"/>
    <w:rsid w:val="009E61D7"/>
    <w:rsid w:val="009E671F"/>
    <w:rsid w:val="009E7BF6"/>
    <w:rsid w:val="009E7E17"/>
    <w:rsid w:val="009F16E7"/>
    <w:rsid w:val="009F38EB"/>
    <w:rsid w:val="009F4396"/>
    <w:rsid w:val="009F617A"/>
    <w:rsid w:val="009F7132"/>
    <w:rsid w:val="00A00C05"/>
    <w:rsid w:val="00A01C80"/>
    <w:rsid w:val="00A07F38"/>
    <w:rsid w:val="00A130A9"/>
    <w:rsid w:val="00A174F5"/>
    <w:rsid w:val="00A209DB"/>
    <w:rsid w:val="00A21FAD"/>
    <w:rsid w:val="00A25603"/>
    <w:rsid w:val="00A36924"/>
    <w:rsid w:val="00A426C5"/>
    <w:rsid w:val="00A51241"/>
    <w:rsid w:val="00A52A67"/>
    <w:rsid w:val="00A54898"/>
    <w:rsid w:val="00A560F0"/>
    <w:rsid w:val="00A6623B"/>
    <w:rsid w:val="00A67AC3"/>
    <w:rsid w:val="00A75358"/>
    <w:rsid w:val="00A7776A"/>
    <w:rsid w:val="00A90C64"/>
    <w:rsid w:val="00A936C5"/>
    <w:rsid w:val="00A93C7F"/>
    <w:rsid w:val="00A97D7C"/>
    <w:rsid w:val="00AA12EC"/>
    <w:rsid w:val="00AA3EF2"/>
    <w:rsid w:val="00AA4EC1"/>
    <w:rsid w:val="00AB7CBF"/>
    <w:rsid w:val="00AB7D8A"/>
    <w:rsid w:val="00AC083F"/>
    <w:rsid w:val="00AC108E"/>
    <w:rsid w:val="00AC3575"/>
    <w:rsid w:val="00AC36EA"/>
    <w:rsid w:val="00AC5490"/>
    <w:rsid w:val="00AC6716"/>
    <w:rsid w:val="00AD0376"/>
    <w:rsid w:val="00AD1B71"/>
    <w:rsid w:val="00AD3B6A"/>
    <w:rsid w:val="00AD677A"/>
    <w:rsid w:val="00AD79BF"/>
    <w:rsid w:val="00AE154D"/>
    <w:rsid w:val="00AE2500"/>
    <w:rsid w:val="00AE2994"/>
    <w:rsid w:val="00AE5ED4"/>
    <w:rsid w:val="00AF350F"/>
    <w:rsid w:val="00B02F4C"/>
    <w:rsid w:val="00B04A58"/>
    <w:rsid w:val="00B04F24"/>
    <w:rsid w:val="00B07163"/>
    <w:rsid w:val="00B10568"/>
    <w:rsid w:val="00B1089E"/>
    <w:rsid w:val="00B159E2"/>
    <w:rsid w:val="00B167C2"/>
    <w:rsid w:val="00B20CC5"/>
    <w:rsid w:val="00B22BD0"/>
    <w:rsid w:val="00B22DE3"/>
    <w:rsid w:val="00B33D6B"/>
    <w:rsid w:val="00B37686"/>
    <w:rsid w:val="00B42819"/>
    <w:rsid w:val="00B46BC0"/>
    <w:rsid w:val="00B474C4"/>
    <w:rsid w:val="00B475AA"/>
    <w:rsid w:val="00B5650A"/>
    <w:rsid w:val="00B60325"/>
    <w:rsid w:val="00B60658"/>
    <w:rsid w:val="00B63BEE"/>
    <w:rsid w:val="00B735BA"/>
    <w:rsid w:val="00B73D9C"/>
    <w:rsid w:val="00B76E09"/>
    <w:rsid w:val="00B834B0"/>
    <w:rsid w:val="00B83C07"/>
    <w:rsid w:val="00B93CBB"/>
    <w:rsid w:val="00BA32F4"/>
    <w:rsid w:val="00BA375C"/>
    <w:rsid w:val="00BA6432"/>
    <w:rsid w:val="00BB0A7A"/>
    <w:rsid w:val="00BB1472"/>
    <w:rsid w:val="00BB34CD"/>
    <w:rsid w:val="00BB4D5D"/>
    <w:rsid w:val="00BC1ABE"/>
    <w:rsid w:val="00BC2ED3"/>
    <w:rsid w:val="00BD3EBB"/>
    <w:rsid w:val="00BD5064"/>
    <w:rsid w:val="00BE0386"/>
    <w:rsid w:val="00BE71F1"/>
    <w:rsid w:val="00BE7D75"/>
    <w:rsid w:val="00BF1B89"/>
    <w:rsid w:val="00BF45C5"/>
    <w:rsid w:val="00C00ED7"/>
    <w:rsid w:val="00C01003"/>
    <w:rsid w:val="00C04F30"/>
    <w:rsid w:val="00C07C15"/>
    <w:rsid w:val="00C101FC"/>
    <w:rsid w:val="00C20CAF"/>
    <w:rsid w:val="00C21FC5"/>
    <w:rsid w:val="00C25942"/>
    <w:rsid w:val="00C25E6B"/>
    <w:rsid w:val="00C30D5F"/>
    <w:rsid w:val="00C313A9"/>
    <w:rsid w:val="00C3144B"/>
    <w:rsid w:val="00C32E40"/>
    <w:rsid w:val="00C41616"/>
    <w:rsid w:val="00C521AA"/>
    <w:rsid w:val="00C52F95"/>
    <w:rsid w:val="00C6409A"/>
    <w:rsid w:val="00C642EE"/>
    <w:rsid w:val="00C66897"/>
    <w:rsid w:val="00C751AF"/>
    <w:rsid w:val="00C82016"/>
    <w:rsid w:val="00C83B4B"/>
    <w:rsid w:val="00C83D16"/>
    <w:rsid w:val="00C85A6E"/>
    <w:rsid w:val="00C90AA1"/>
    <w:rsid w:val="00C93568"/>
    <w:rsid w:val="00C94A84"/>
    <w:rsid w:val="00C96941"/>
    <w:rsid w:val="00C96EA4"/>
    <w:rsid w:val="00CA09E8"/>
    <w:rsid w:val="00CA21D8"/>
    <w:rsid w:val="00CB04A1"/>
    <w:rsid w:val="00CB0550"/>
    <w:rsid w:val="00CB7071"/>
    <w:rsid w:val="00CC4131"/>
    <w:rsid w:val="00CC4A72"/>
    <w:rsid w:val="00CD1C8C"/>
    <w:rsid w:val="00CD1DA3"/>
    <w:rsid w:val="00CD3998"/>
    <w:rsid w:val="00CD7F8A"/>
    <w:rsid w:val="00CE02C8"/>
    <w:rsid w:val="00CE2D9A"/>
    <w:rsid w:val="00CF4842"/>
    <w:rsid w:val="00CF550C"/>
    <w:rsid w:val="00CF768E"/>
    <w:rsid w:val="00CF7BB1"/>
    <w:rsid w:val="00D00BE6"/>
    <w:rsid w:val="00D03CF7"/>
    <w:rsid w:val="00D07359"/>
    <w:rsid w:val="00D07796"/>
    <w:rsid w:val="00D078BE"/>
    <w:rsid w:val="00D079E6"/>
    <w:rsid w:val="00D13F8A"/>
    <w:rsid w:val="00D15E47"/>
    <w:rsid w:val="00D1612F"/>
    <w:rsid w:val="00D1655D"/>
    <w:rsid w:val="00D16F7E"/>
    <w:rsid w:val="00D23512"/>
    <w:rsid w:val="00D239DB"/>
    <w:rsid w:val="00D242CB"/>
    <w:rsid w:val="00D318D9"/>
    <w:rsid w:val="00D36B41"/>
    <w:rsid w:val="00D36D5D"/>
    <w:rsid w:val="00D409DA"/>
    <w:rsid w:val="00D42712"/>
    <w:rsid w:val="00D443A2"/>
    <w:rsid w:val="00D4534C"/>
    <w:rsid w:val="00D47102"/>
    <w:rsid w:val="00D47DFE"/>
    <w:rsid w:val="00D535F6"/>
    <w:rsid w:val="00D537CB"/>
    <w:rsid w:val="00D53F63"/>
    <w:rsid w:val="00D6032A"/>
    <w:rsid w:val="00D60CAD"/>
    <w:rsid w:val="00D62A47"/>
    <w:rsid w:val="00D66DD3"/>
    <w:rsid w:val="00D6772C"/>
    <w:rsid w:val="00D70215"/>
    <w:rsid w:val="00D7689F"/>
    <w:rsid w:val="00D7704D"/>
    <w:rsid w:val="00D83732"/>
    <w:rsid w:val="00D85518"/>
    <w:rsid w:val="00D87047"/>
    <w:rsid w:val="00D87BEC"/>
    <w:rsid w:val="00D90336"/>
    <w:rsid w:val="00D911C8"/>
    <w:rsid w:val="00D918D5"/>
    <w:rsid w:val="00D93F95"/>
    <w:rsid w:val="00D968B3"/>
    <w:rsid w:val="00DA53F4"/>
    <w:rsid w:val="00DB0D5C"/>
    <w:rsid w:val="00DB1C08"/>
    <w:rsid w:val="00DB1C26"/>
    <w:rsid w:val="00DC19AE"/>
    <w:rsid w:val="00DD28E1"/>
    <w:rsid w:val="00DD333D"/>
    <w:rsid w:val="00DE334F"/>
    <w:rsid w:val="00DE78C9"/>
    <w:rsid w:val="00DE7E0D"/>
    <w:rsid w:val="00DF0AD9"/>
    <w:rsid w:val="00DF1F30"/>
    <w:rsid w:val="00DF29BA"/>
    <w:rsid w:val="00DF428A"/>
    <w:rsid w:val="00E00801"/>
    <w:rsid w:val="00E0134C"/>
    <w:rsid w:val="00E02968"/>
    <w:rsid w:val="00E05328"/>
    <w:rsid w:val="00E05866"/>
    <w:rsid w:val="00E06B0E"/>
    <w:rsid w:val="00E23F35"/>
    <w:rsid w:val="00E2400D"/>
    <w:rsid w:val="00E245C8"/>
    <w:rsid w:val="00E260B4"/>
    <w:rsid w:val="00E317F0"/>
    <w:rsid w:val="00E32B41"/>
    <w:rsid w:val="00E33325"/>
    <w:rsid w:val="00E4089A"/>
    <w:rsid w:val="00E42057"/>
    <w:rsid w:val="00E4571C"/>
    <w:rsid w:val="00E471AF"/>
    <w:rsid w:val="00E53D3F"/>
    <w:rsid w:val="00E54976"/>
    <w:rsid w:val="00E54AA7"/>
    <w:rsid w:val="00E550AF"/>
    <w:rsid w:val="00E55A65"/>
    <w:rsid w:val="00E5638E"/>
    <w:rsid w:val="00E56F45"/>
    <w:rsid w:val="00E60EF2"/>
    <w:rsid w:val="00E62378"/>
    <w:rsid w:val="00E64CB0"/>
    <w:rsid w:val="00E70A38"/>
    <w:rsid w:val="00E711F1"/>
    <w:rsid w:val="00E71D49"/>
    <w:rsid w:val="00E7335C"/>
    <w:rsid w:val="00E76F97"/>
    <w:rsid w:val="00E800C8"/>
    <w:rsid w:val="00E865BF"/>
    <w:rsid w:val="00E91E4D"/>
    <w:rsid w:val="00E963AF"/>
    <w:rsid w:val="00E975DE"/>
    <w:rsid w:val="00EA1051"/>
    <w:rsid w:val="00EA1803"/>
    <w:rsid w:val="00EA18E2"/>
    <w:rsid w:val="00EA33DA"/>
    <w:rsid w:val="00EA5E6A"/>
    <w:rsid w:val="00EA673F"/>
    <w:rsid w:val="00EB1673"/>
    <w:rsid w:val="00EB1AB3"/>
    <w:rsid w:val="00EC1CE2"/>
    <w:rsid w:val="00ED2038"/>
    <w:rsid w:val="00ED2350"/>
    <w:rsid w:val="00EE31CD"/>
    <w:rsid w:val="00EE54F5"/>
    <w:rsid w:val="00EF1EF4"/>
    <w:rsid w:val="00EF2A26"/>
    <w:rsid w:val="00F01041"/>
    <w:rsid w:val="00F02AEC"/>
    <w:rsid w:val="00F04479"/>
    <w:rsid w:val="00F12123"/>
    <w:rsid w:val="00F1599E"/>
    <w:rsid w:val="00F233CD"/>
    <w:rsid w:val="00F2503C"/>
    <w:rsid w:val="00F26C22"/>
    <w:rsid w:val="00F27D1A"/>
    <w:rsid w:val="00F379AB"/>
    <w:rsid w:val="00F418D6"/>
    <w:rsid w:val="00F43BE0"/>
    <w:rsid w:val="00F44A12"/>
    <w:rsid w:val="00F45230"/>
    <w:rsid w:val="00F50D10"/>
    <w:rsid w:val="00F52DB0"/>
    <w:rsid w:val="00F57246"/>
    <w:rsid w:val="00F77A19"/>
    <w:rsid w:val="00F81AEA"/>
    <w:rsid w:val="00F83829"/>
    <w:rsid w:val="00F855BB"/>
    <w:rsid w:val="00F9005C"/>
    <w:rsid w:val="00F92AAF"/>
    <w:rsid w:val="00F95C38"/>
    <w:rsid w:val="00FA49C3"/>
    <w:rsid w:val="00FA5EE3"/>
    <w:rsid w:val="00FA70E4"/>
    <w:rsid w:val="00FB0B51"/>
    <w:rsid w:val="00FC1EB4"/>
    <w:rsid w:val="00FC235A"/>
    <w:rsid w:val="00FC64EF"/>
    <w:rsid w:val="00FD7C00"/>
    <w:rsid w:val="00FE084C"/>
    <w:rsid w:val="00FE1EF7"/>
    <w:rsid w:val="00FF0D73"/>
    <w:rsid w:val="00FF51B9"/>
    <w:rsid w:val="00FF5742"/>
    <w:rsid w:val="00FF7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15"/>
    <w:rPr>
      <w:rFonts w:ascii="Arial" w:hAnsi="Arial"/>
      <w:color w:val="000000" w:themeColor="text1"/>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SmartHyperlink"/>
    <w:uiPriority w:val="99"/>
    <w:unhideWhenUsed/>
    <w:qFormat/>
    <w:rsid w:val="00147015"/>
    <w:rPr>
      <w:rFonts w:ascii="Arial" w:hAnsi="Arial"/>
      <w:color w:val="0000FF"/>
      <w:sz w:val="20"/>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4A129D"/>
    <w:pPr>
      <w:spacing w:before="180" w:after="180" w:line="240" w:lineRule="atLeast"/>
    </w:pPr>
    <w:rPr>
      <w:rFonts w:eastAsia="Cambria" w:cstheme="minorHAnsi"/>
      <w:b/>
      <w:bCs/>
      <w:i/>
      <w:iCs/>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7"/>
      </w:numPr>
    </w:pPr>
  </w:style>
  <w:style w:type="paragraph" w:customStyle="1" w:styleId="Numberbullet0">
    <w:name w:val="Number bullet"/>
    <w:basedOn w:val="ListBullet"/>
    <w:autoRedefine/>
    <w:uiPriority w:val="3"/>
    <w:qFormat/>
    <w:rsid w:val="00B46BC0"/>
    <w:pPr>
      <w:ind w:left="851" w:hanging="426"/>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9F4396"/>
    <w:pPr>
      <w:numPr>
        <w:numId w:val="10"/>
      </w:numPr>
      <w:spacing w:before="120" w:after="0" w:line="240" w:lineRule="atLeast"/>
      <w:ind w:left="993" w:hanging="357"/>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E64CB0"/>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paragraph">
    <w:name w:val="paragraph"/>
    <w:basedOn w:val="Normal"/>
    <w:rsid w:val="00E70A3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1">
    <w:name w:val="Table TGA blue1"/>
    <w:basedOn w:val="TableTGAblue"/>
    <w:uiPriority w:val="99"/>
    <w:qFormat/>
    <w:rsid w:val="003C3AF1"/>
    <w:pPr>
      <w:spacing w:after="0" w:line="240" w:lineRule="auto"/>
    </w:pPr>
    <w:rPr>
      <w:rFonts w:ascii="Arial" w:hAnsi="Arial" w:cs="Times New Roman"/>
      <w:color w:val="000000"/>
      <w:sz w:val="20"/>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AlphaList">
    <w:name w:val="Alpha List"/>
    <w:basedOn w:val="ListParagraph"/>
    <w:link w:val="AlphaListChar"/>
    <w:qFormat/>
    <w:rsid w:val="00320908"/>
    <w:pPr>
      <w:numPr>
        <w:numId w:val="13"/>
      </w:numPr>
      <w:ind w:left="1134"/>
    </w:pPr>
  </w:style>
  <w:style w:type="character" w:customStyle="1" w:styleId="eop">
    <w:name w:val="eop"/>
    <w:basedOn w:val="DefaultParagraphFont"/>
    <w:rsid w:val="00E54AA7"/>
  </w:style>
  <w:style w:type="character" w:styleId="SmartHyperlink">
    <w:name w:val="Smart Hyperlink"/>
    <w:basedOn w:val="DefaultParagraphFont"/>
    <w:uiPriority w:val="99"/>
    <w:semiHidden/>
    <w:unhideWhenUsed/>
    <w:rsid w:val="00266BE0"/>
    <w:rPr>
      <w:u w:val="dotted"/>
    </w:rPr>
  </w:style>
  <w:style w:type="character" w:customStyle="1" w:styleId="ListParagraphChar">
    <w:name w:val="List Paragraph Char"/>
    <w:basedOn w:val="DefaultParagraphFont"/>
    <w:link w:val="ListParagraph"/>
    <w:uiPriority w:val="34"/>
    <w:rsid w:val="009F4396"/>
    <w:rPr>
      <w:rFonts w:ascii="Arial" w:hAnsi="Arial"/>
      <w:color w:val="000000" w:themeColor="text1"/>
      <w:szCs w:val="22"/>
    </w:rPr>
  </w:style>
  <w:style w:type="character" w:customStyle="1" w:styleId="AlphaListChar">
    <w:name w:val="Alpha List Char"/>
    <w:basedOn w:val="ListParagraphChar"/>
    <w:link w:val="AlphaList"/>
    <w:rsid w:val="00320908"/>
    <w:rPr>
      <w:rFonts w:ascii="Arial" w:hAnsi="Arial"/>
      <w:color w:val="000000" w:themeColor="text1"/>
      <w:szCs w:val="22"/>
    </w:rPr>
  </w:style>
  <w:style w:type="character" w:styleId="FollowedHyperlink">
    <w:name w:val="FollowedHyperlink"/>
    <w:basedOn w:val="DefaultParagraphFont"/>
    <w:uiPriority w:val="99"/>
    <w:semiHidden/>
    <w:unhideWhenUsed/>
    <w:rsid w:val="00042A25"/>
    <w:rPr>
      <w:color w:val="954F72" w:themeColor="followedHyperlink"/>
      <w:u w:val="single"/>
    </w:rPr>
  </w:style>
  <w:style w:type="paragraph" w:styleId="Revision">
    <w:name w:val="Revision"/>
    <w:hidden/>
    <w:uiPriority w:val="99"/>
    <w:semiHidden/>
    <w:rsid w:val="008840C5"/>
    <w:pPr>
      <w:spacing w:after="0" w:line="240" w:lineRule="auto"/>
    </w:pPr>
    <w:rPr>
      <w:rFonts w:ascii="Arial" w:hAnsi="Arial"/>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31966">
      <w:bodyDiv w:val="1"/>
      <w:marLeft w:val="0"/>
      <w:marRight w:val="0"/>
      <w:marTop w:val="0"/>
      <w:marBottom w:val="0"/>
      <w:divBdr>
        <w:top w:val="none" w:sz="0" w:space="0" w:color="auto"/>
        <w:left w:val="none" w:sz="0" w:space="0" w:color="auto"/>
        <w:bottom w:val="none" w:sz="0" w:space="0" w:color="auto"/>
        <w:right w:val="none" w:sz="0" w:space="0" w:color="auto"/>
      </w:divBdr>
    </w:div>
    <w:div w:id="1515266408">
      <w:bodyDiv w:val="1"/>
      <w:marLeft w:val="0"/>
      <w:marRight w:val="0"/>
      <w:marTop w:val="0"/>
      <w:marBottom w:val="0"/>
      <w:divBdr>
        <w:top w:val="none" w:sz="0" w:space="0" w:color="auto"/>
        <w:left w:val="none" w:sz="0" w:space="0" w:color="auto"/>
        <w:bottom w:val="none" w:sz="0" w:space="0" w:color="auto"/>
        <w:right w:val="none" w:sz="0" w:space="0" w:color="auto"/>
      </w:divBdr>
    </w:div>
    <w:div w:id="1517308451">
      <w:bodyDiv w:val="1"/>
      <w:marLeft w:val="0"/>
      <w:marRight w:val="0"/>
      <w:marTop w:val="0"/>
      <w:marBottom w:val="0"/>
      <w:divBdr>
        <w:top w:val="none" w:sz="0" w:space="0" w:color="auto"/>
        <w:left w:val="none" w:sz="0" w:space="0" w:color="auto"/>
        <w:bottom w:val="none" w:sz="0" w:space="0" w:color="auto"/>
        <w:right w:val="none" w:sz="0" w:space="0" w:color="auto"/>
      </w:divBdr>
    </w:div>
    <w:div w:id="1782146909">
      <w:bodyDiv w:val="1"/>
      <w:marLeft w:val="0"/>
      <w:marRight w:val="0"/>
      <w:marTop w:val="0"/>
      <w:marBottom w:val="0"/>
      <w:divBdr>
        <w:top w:val="none" w:sz="0" w:space="0" w:color="auto"/>
        <w:left w:val="none" w:sz="0" w:space="0" w:color="auto"/>
        <w:bottom w:val="none" w:sz="0" w:space="0" w:color="auto"/>
        <w:right w:val="none" w:sz="0" w:space="0" w:color="auto"/>
      </w:divBdr>
    </w:div>
    <w:div w:id="1784114245">
      <w:bodyDiv w:val="1"/>
      <w:marLeft w:val="0"/>
      <w:marRight w:val="0"/>
      <w:marTop w:val="0"/>
      <w:marBottom w:val="0"/>
      <w:divBdr>
        <w:top w:val="none" w:sz="0" w:space="0" w:color="auto"/>
        <w:left w:val="none" w:sz="0" w:space="0" w:color="auto"/>
        <w:bottom w:val="none" w:sz="0" w:space="0" w:color="auto"/>
        <w:right w:val="none" w:sz="0" w:space="0" w:color="auto"/>
      </w:divBdr>
    </w:div>
    <w:div w:id="1809280300">
      <w:bodyDiv w:val="1"/>
      <w:marLeft w:val="0"/>
      <w:marRight w:val="0"/>
      <w:marTop w:val="0"/>
      <w:marBottom w:val="0"/>
      <w:divBdr>
        <w:top w:val="none" w:sz="0" w:space="0" w:color="auto"/>
        <w:left w:val="none" w:sz="0" w:space="0" w:color="auto"/>
        <w:bottom w:val="none" w:sz="0" w:space="0" w:color="auto"/>
        <w:right w:val="none" w:sz="0" w:space="0" w:color="auto"/>
      </w:divBdr>
    </w:div>
    <w:div w:id="20536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tga/scheduling-interim-decision-november-2023/"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resources/consultation/consultation-proposed-amendments-poisons-standard-acms-accs-and-joint-acms-accs-meetings-november-2023" TargetMode="Externa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resources/publication/scheduling-decisions-interim/notice-interim-decisions-proposed-amendments-poisons-standard-acms-43-accs-37-and-joint-acms-accs-35-november-202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resources/consultation/consultation-proposed-amendments-poisons-standard-acms-accs-and-joint-acms-accs-meetings-november-2023" TargetMode="External"/><Relationship Id="rId20" Type="http://schemas.openxmlformats.org/officeDocument/2006/relationships/hyperlink" Target="https://consultations.tga.gov.au/tga/scheduling-pre-meeting-november-202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nsultations.tga.gov.au/tga/scheduling-pre-meeting-november-2023/" TargetMode="External"/><Relationship Id="rId23" Type="http://schemas.openxmlformats.org/officeDocument/2006/relationships/hyperlink" Target="https://consultations.tga.gov.au/tga/scheduling-interim-decision-november-2023/"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consultations.tga.gov.au/tga/scheduling-pre-meeting-november-2023/user_uploads/d23-2475485-v2---pre-meeting-public-notice-acms-43--accs--37---joint--35-november-2023-3--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november-2023/user_uploads/d23-2475485-v2---pre-meeting-public-notice-acms-43--accs--37---joint--35-november-2023-3--1.pdf" TargetMode="External"/><Relationship Id="rId22" Type="http://schemas.openxmlformats.org/officeDocument/2006/relationships/hyperlink" Target="https://www.tga.gov.au/resources/publication/scheduling-decisions-interim/notice-interim-decisions-proposed-amendments-poisons-standard-acms-43-accs-37-and-joint-acms-accs-35-november-2023" TargetMode="External"/><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weathelp.org/pdf/IHHS%20-%20Prevalence.pdf" TargetMode="External"/><Relationship Id="rId2" Type="http://schemas.openxmlformats.org/officeDocument/2006/relationships/hyperlink" Target="https://www.tg.org.au/" TargetMode="External"/><Relationship Id="rId1" Type="http://schemas.openxmlformats.org/officeDocument/2006/relationships/hyperlink" Target="https://www.tga.gov.au/sites/default/files/scheduling-handbook-guidance-amending-poisons-standard.pdf" TargetMode="External"/><Relationship Id="rId6" Type="http://schemas.openxmlformats.org/officeDocument/2006/relationships/hyperlink" Target="https://journals.sagepub.com/doi/full/10.1177/1091581815586599" TargetMode="External"/><Relationship Id="rId5" Type="http://schemas.openxmlformats.org/officeDocument/2006/relationships/hyperlink" Target="https://www.fda.gov/drugs/novel-drug-approvals-fda/novel-drug-approvals-2024" TargetMode="External"/><Relationship Id="rId4" Type="http://schemas.openxmlformats.org/officeDocument/2006/relationships/hyperlink" Target="https://www.fda.gov/drugs/drug-approvals-and-databases/fda-adverse-event-reporting-system-fa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799</TotalTime>
  <Pages>10</Pages>
  <Words>2297</Words>
  <Characters>12912</Characters>
  <Application>Microsoft Office Word</Application>
  <DocSecurity>0</DocSecurity>
  <Lines>233</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
  <dc:creator>Therapeutic Goods Administration</dc:creator>
  <cp:keywords/>
  <dc:description/>
  <cp:lastModifiedBy>PITKIN, Brendan</cp:lastModifiedBy>
  <cp:revision>32</cp:revision>
  <dcterms:created xsi:type="dcterms:W3CDTF">2024-08-01T03:48:00Z</dcterms:created>
  <dcterms:modified xsi:type="dcterms:W3CDTF">2024-09-27T05:24:00Z</dcterms:modified>
</cp:coreProperties>
</file>