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BD1B" w14:textId="77777777" w:rsidR="00692401" w:rsidRDefault="00692401" w:rsidP="00B03B68"/>
    <w:p w14:paraId="4A5C76AC" w14:textId="77777777" w:rsidR="00692401" w:rsidRDefault="00692401" w:rsidP="0095170C">
      <w:pPr>
        <w:pStyle w:val="Title"/>
      </w:pPr>
      <w:r w:rsidRPr="00692401">
        <w:t>Notice of interim decisions to amend (or not amend) the current Poisons Standard</w:t>
      </w:r>
    </w:p>
    <w:p w14:paraId="4E6717D2" w14:textId="77777777" w:rsidR="00692401" w:rsidRDefault="00C83880" w:rsidP="0095170C">
      <w:pPr>
        <w:pStyle w:val="Subtitle"/>
        <w:ind w:left="0"/>
      </w:pPr>
      <w:r>
        <w:t>19</w:t>
      </w:r>
      <w:r w:rsidR="00692401" w:rsidRPr="00074990">
        <w:t xml:space="preserve"> </w:t>
      </w:r>
      <w:r w:rsidR="007004FB">
        <w:t>September</w:t>
      </w:r>
      <w:r w:rsidR="007004FB" w:rsidRPr="00074990">
        <w:t xml:space="preserve"> </w:t>
      </w:r>
      <w:r w:rsidR="00692401" w:rsidRPr="00074990">
        <w:t>20</w:t>
      </w:r>
      <w:r w:rsidR="00074990" w:rsidRPr="00074990">
        <w:t>24</w:t>
      </w:r>
    </w:p>
    <w:p w14:paraId="09A742A0" w14:textId="77777777" w:rsidR="00C83880" w:rsidRDefault="00C83880" w:rsidP="00C83880"/>
    <w:p w14:paraId="5841715C" w14:textId="5BE5FA13" w:rsidR="00C83880" w:rsidRPr="00B03B68" w:rsidRDefault="00C83880" w:rsidP="00C83880">
      <w:pPr>
        <w:sectPr w:rsidR="00C83880" w:rsidRPr="00B03B6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61A6BE32" w14:textId="77777777" w:rsidR="00F02AEC" w:rsidRPr="00CC381E" w:rsidRDefault="00F02AEC" w:rsidP="00CC381E">
      <w:pPr>
        <w:pStyle w:val="LegalSubheading"/>
        <w:rPr>
          <w:b/>
          <w:bCs/>
        </w:rPr>
      </w:pPr>
      <w:r w:rsidRPr="00CC381E">
        <w:rPr>
          <w:b/>
          <w:bCs/>
        </w:rPr>
        <w:lastRenderedPageBreak/>
        <w:t>Copyright</w:t>
      </w:r>
    </w:p>
    <w:p w14:paraId="54DB73F5" w14:textId="77777777" w:rsidR="00930D58" w:rsidRPr="00CC381E" w:rsidRDefault="00F02AEC" w:rsidP="00CC381E">
      <w:pPr>
        <w:pStyle w:val="LegalSubheading"/>
      </w:pPr>
      <w:r w:rsidRPr="00CC381E">
        <w:t>© Commonwealth of Australia 202</w:t>
      </w:r>
      <w:r w:rsidR="0095170C" w:rsidRPr="00074990">
        <w:t>4</w:t>
      </w:r>
      <w:r w:rsidRPr="00CC381E">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Copyright Act 1968 or allowed by this copyright notice, all other rights are </w:t>
      </w:r>
      <w:proofErr w:type="gramStart"/>
      <w:r w:rsidRPr="00CC381E">
        <w:t>reserved</w:t>
      </w:r>
      <w:proofErr w:type="gramEnd"/>
      <w:r w:rsidRPr="00CC381E">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2" w:history="1">
        <w:r w:rsidR="00074990" w:rsidRPr="004062D3">
          <w:rPr>
            <w:rStyle w:val="Hyperlink"/>
          </w:rPr>
          <w:t>tga.copyright@tga.gov.au</w:t>
        </w:r>
      </w:hyperlink>
      <w:r w:rsidRPr="00CC381E">
        <w:t>.</w:t>
      </w:r>
    </w:p>
    <w:p w14:paraId="01FC5826" w14:textId="77777777" w:rsidR="0090744F" w:rsidRPr="00CC381E" w:rsidRDefault="0090744F" w:rsidP="00CC381E">
      <w:pPr>
        <w:pStyle w:val="LegalSubheading"/>
        <w:rPr>
          <w:b/>
          <w:bCs/>
        </w:rPr>
      </w:pPr>
      <w:r w:rsidRPr="00CC381E">
        <w:rPr>
          <w:b/>
          <w:bCs/>
        </w:rPr>
        <w:t>Confidentiality</w:t>
      </w:r>
    </w:p>
    <w:p w14:paraId="48CE4AA0" w14:textId="77777777" w:rsidR="00CC381E" w:rsidRDefault="0090744F" w:rsidP="00751544">
      <w:pPr>
        <w:pStyle w:val="LegalSubheading"/>
      </w:pPr>
      <w:r w:rsidRPr="00CC381E">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sdt>
      <w:sdtPr>
        <w:rPr>
          <w:rFonts w:eastAsiaTheme="minorHAnsi" w:cstheme="minorBidi"/>
          <w:b w:val="0"/>
          <w:color w:val="auto"/>
          <w:sz w:val="20"/>
        </w:rPr>
        <w:id w:val="21514769"/>
        <w:docPartObj>
          <w:docPartGallery w:val="Table of Contents"/>
          <w:docPartUnique/>
        </w:docPartObj>
      </w:sdtPr>
      <w:sdtEndPr/>
      <w:sdtContent>
        <w:p w14:paraId="2D11A509" w14:textId="77777777" w:rsidR="00F02AEC" w:rsidRPr="00B03B68" w:rsidRDefault="00F02AEC" w:rsidP="000579C9">
          <w:pPr>
            <w:pStyle w:val="NonTOCheading2"/>
          </w:pPr>
          <w:r w:rsidRPr="00B03B68">
            <w:t>Contents</w:t>
          </w:r>
        </w:p>
        <w:p w14:paraId="02C0225A" w14:textId="3D1FD674" w:rsidR="00C83880" w:rsidRDefault="00F02AEC">
          <w:pPr>
            <w:pStyle w:val="TOC1"/>
            <w:rPr>
              <w:rFonts w:asciiTheme="minorHAnsi" w:eastAsiaTheme="minorEastAsia" w:hAnsiTheme="minorHAnsi" w:cstheme="minorBidi"/>
              <w:b w:val="0"/>
              <w:noProof/>
              <w:color w:val="auto"/>
              <w:kern w:val="2"/>
              <w:sz w:val="22"/>
              <w:szCs w:val="22"/>
              <w:lang w:eastAsia="en-AU"/>
              <w14:ligatures w14:val="standardContextual"/>
            </w:rPr>
          </w:pPr>
          <w:r w:rsidRPr="00B03B68">
            <w:fldChar w:fldCharType="begin"/>
          </w:r>
          <w:r w:rsidRPr="00B03B68">
            <w:instrText xml:space="preserve"> TOC \h \z \u \t "Heading 2,1,Heading 3,2,Heading 4,3" </w:instrText>
          </w:r>
          <w:r w:rsidRPr="00B03B68">
            <w:fldChar w:fldCharType="separate"/>
          </w:r>
          <w:hyperlink w:anchor="_Toc177645042" w:history="1">
            <w:r w:rsidR="00C83880" w:rsidRPr="002F4847">
              <w:rPr>
                <w:rStyle w:val="Hyperlink"/>
                <w:noProof/>
              </w:rPr>
              <w:t xml:space="preserve">Notice of interim decisions made under Regulation 42ZCZN of the </w:t>
            </w:r>
            <w:r w:rsidR="00C83880" w:rsidRPr="002F4847">
              <w:rPr>
                <w:rStyle w:val="Hyperlink"/>
                <w:i/>
                <w:iCs/>
                <w:noProof/>
              </w:rPr>
              <w:t>Therapeutic Goods Regulations 1990</w:t>
            </w:r>
            <w:r w:rsidR="00C83880">
              <w:rPr>
                <w:noProof/>
                <w:webHidden/>
              </w:rPr>
              <w:tab/>
            </w:r>
            <w:r w:rsidR="00C83880">
              <w:rPr>
                <w:noProof/>
                <w:webHidden/>
              </w:rPr>
              <w:fldChar w:fldCharType="begin"/>
            </w:r>
            <w:r w:rsidR="00C83880">
              <w:rPr>
                <w:noProof/>
                <w:webHidden/>
              </w:rPr>
              <w:instrText xml:space="preserve"> PAGEREF _Toc177645042 \h </w:instrText>
            </w:r>
            <w:r w:rsidR="00C83880">
              <w:rPr>
                <w:noProof/>
                <w:webHidden/>
              </w:rPr>
            </w:r>
            <w:r w:rsidR="00C83880">
              <w:rPr>
                <w:noProof/>
                <w:webHidden/>
              </w:rPr>
              <w:fldChar w:fldCharType="separate"/>
            </w:r>
            <w:r w:rsidR="00C83880">
              <w:rPr>
                <w:noProof/>
                <w:webHidden/>
              </w:rPr>
              <w:t>5</w:t>
            </w:r>
            <w:r w:rsidR="00C83880">
              <w:rPr>
                <w:noProof/>
                <w:webHidden/>
              </w:rPr>
              <w:fldChar w:fldCharType="end"/>
            </w:r>
          </w:hyperlink>
        </w:p>
        <w:p w14:paraId="1FF29137" w14:textId="5450EED0" w:rsidR="00C83880" w:rsidRDefault="00C83880">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7645043" w:history="1">
            <w:r w:rsidRPr="002F4847">
              <w:rPr>
                <w:rStyle w:val="Hyperlink"/>
                <w:noProof/>
              </w:rPr>
              <w:t>Interim decision on proposed amendments referred to the Advisory Committee on Medicines Scheduling (ACMS #45, June 2024)</w:t>
            </w:r>
            <w:r>
              <w:rPr>
                <w:noProof/>
                <w:webHidden/>
              </w:rPr>
              <w:tab/>
            </w:r>
            <w:r>
              <w:rPr>
                <w:noProof/>
                <w:webHidden/>
              </w:rPr>
              <w:fldChar w:fldCharType="begin"/>
            </w:r>
            <w:r>
              <w:rPr>
                <w:noProof/>
                <w:webHidden/>
              </w:rPr>
              <w:instrText xml:space="preserve"> PAGEREF _Toc177645043 \h </w:instrText>
            </w:r>
            <w:r>
              <w:rPr>
                <w:noProof/>
                <w:webHidden/>
              </w:rPr>
            </w:r>
            <w:r>
              <w:rPr>
                <w:noProof/>
                <w:webHidden/>
              </w:rPr>
              <w:fldChar w:fldCharType="separate"/>
            </w:r>
            <w:r>
              <w:rPr>
                <w:noProof/>
                <w:webHidden/>
              </w:rPr>
              <w:t>6</w:t>
            </w:r>
            <w:r>
              <w:rPr>
                <w:noProof/>
                <w:webHidden/>
              </w:rPr>
              <w:fldChar w:fldCharType="end"/>
            </w:r>
          </w:hyperlink>
        </w:p>
        <w:p w14:paraId="37B9BF81" w14:textId="0686B714" w:rsidR="00C83880" w:rsidRDefault="00C83880">
          <w:pPr>
            <w:pStyle w:val="TOC2"/>
            <w:rPr>
              <w:rFonts w:asciiTheme="minorHAnsi" w:eastAsiaTheme="minorEastAsia" w:hAnsiTheme="minorHAnsi" w:cstheme="minorBidi"/>
              <w:noProof/>
              <w:color w:val="auto"/>
              <w:kern w:val="2"/>
              <w:sz w:val="22"/>
              <w:szCs w:val="22"/>
              <w:lang w:eastAsia="en-AU"/>
              <w14:ligatures w14:val="standardContextual"/>
            </w:rPr>
          </w:pPr>
          <w:hyperlink w:anchor="_Toc177645044" w:history="1">
            <w:r w:rsidRPr="002F4847">
              <w:rPr>
                <w:rStyle w:val="Hyperlink"/>
                <w:noProof/>
              </w:rPr>
              <w:t>Interim decision in relation to sildenafil</w:t>
            </w:r>
            <w:r>
              <w:rPr>
                <w:noProof/>
                <w:webHidden/>
              </w:rPr>
              <w:tab/>
            </w:r>
            <w:r>
              <w:rPr>
                <w:noProof/>
                <w:webHidden/>
              </w:rPr>
              <w:fldChar w:fldCharType="begin"/>
            </w:r>
            <w:r>
              <w:rPr>
                <w:noProof/>
                <w:webHidden/>
              </w:rPr>
              <w:instrText xml:space="preserve"> PAGEREF _Toc177645044 \h </w:instrText>
            </w:r>
            <w:r>
              <w:rPr>
                <w:noProof/>
                <w:webHidden/>
              </w:rPr>
            </w:r>
            <w:r>
              <w:rPr>
                <w:noProof/>
                <w:webHidden/>
              </w:rPr>
              <w:fldChar w:fldCharType="separate"/>
            </w:r>
            <w:r>
              <w:rPr>
                <w:noProof/>
                <w:webHidden/>
              </w:rPr>
              <w:t>6</w:t>
            </w:r>
            <w:r>
              <w:rPr>
                <w:noProof/>
                <w:webHidden/>
              </w:rPr>
              <w:fldChar w:fldCharType="end"/>
            </w:r>
          </w:hyperlink>
        </w:p>
        <w:p w14:paraId="6BF47E25" w14:textId="0FBBC8A8"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45" w:history="1">
            <w:r w:rsidRPr="002F4847">
              <w:rPr>
                <w:rStyle w:val="Hyperlink"/>
                <w:noProof/>
              </w:rPr>
              <w:t>Proposal</w:t>
            </w:r>
            <w:r>
              <w:rPr>
                <w:noProof/>
                <w:webHidden/>
              </w:rPr>
              <w:tab/>
            </w:r>
            <w:r>
              <w:rPr>
                <w:noProof/>
                <w:webHidden/>
              </w:rPr>
              <w:fldChar w:fldCharType="begin"/>
            </w:r>
            <w:r>
              <w:rPr>
                <w:noProof/>
                <w:webHidden/>
              </w:rPr>
              <w:instrText xml:space="preserve"> PAGEREF _Toc177645045 \h </w:instrText>
            </w:r>
            <w:r>
              <w:rPr>
                <w:noProof/>
                <w:webHidden/>
              </w:rPr>
            </w:r>
            <w:r>
              <w:rPr>
                <w:noProof/>
                <w:webHidden/>
              </w:rPr>
              <w:fldChar w:fldCharType="separate"/>
            </w:r>
            <w:r>
              <w:rPr>
                <w:noProof/>
                <w:webHidden/>
              </w:rPr>
              <w:t>6</w:t>
            </w:r>
            <w:r>
              <w:rPr>
                <w:noProof/>
                <w:webHidden/>
              </w:rPr>
              <w:fldChar w:fldCharType="end"/>
            </w:r>
          </w:hyperlink>
        </w:p>
        <w:p w14:paraId="1D9839D2" w14:textId="440F09DF"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46" w:history="1">
            <w:r w:rsidRPr="002F4847">
              <w:rPr>
                <w:rStyle w:val="Hyperlink"/>
                <w:noProof/>
              </w:rPr>
              <w:t>Interim decision</w:t>
            </w:r>
            <w:r>
              <w:rPr>
                <w:noProof/>
                <w:webHidden/>
              </w:rPr>
              <w:tab/>
            </w:r>
            <w:r>
              <w:rPr>
                <w:noProof/>
                <w:webHidden/>
              </w:rPr>
              <w:fldChar w:fldCharType="begin"/>
            </w:r>
            <w:r>
              <w:rPr>
                <w:noProof/>
                <w:webHidden/>
              </w:rPr>
              <w:instrText xml:space="preserve"> PAGEREF _Toc177645046 \h </w:instrText>
            </w:r>
            <w:r>
              <w:rPr>
                <w:noProof/>
                <w:webHidden/>
              </w:rPr>
            </w:r>
            <w:r>
              <w:rPr>
                <w:noProof/>
                <w:webHidden/>
              </w:rPr>
              <w:fldChar w:fldCharType="separate"/>
            </w:r>
            <w:r>
              <w:rPr>
                <w:noProof/>
                <w:webHidden/>
              </w:rPr>
              <w:t>6</w:t>
            </w:r>
            <w:r>
              <w:rPr>
                <w:noProof/>
                <w:webHidden/>
              </w:rPr>
              <w:fldChar w:fldCharType="end"/>
            </w:r>
          </w:hyperlink>
        </w:p>
        <w:p w14:paraId="73EEE1D0" w14:textId="67A67E97"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47" w:history="1">
            <w:r w:rsidRPr="002F4847">
              <w:rPr>
                <w:rStyle w:val="Hyperlink"/>
                <w:noProof/>
              </w:rPr>
              <w:t>Materials considered</w:t>
            </w:r>
            <w:r>
              <w:rPr>
                <w:noProof/>
                <w:webHidden/>
              </w:rPr>
              <w:tab/>
            </w:r>
            <w:r>
              <w:rPr>
                <w:noProof/>
                <w:webHidden/>
              </w:rPr>
              <w:fldChar w:fldCharType="begin"/>
            </w:r>
            <w:r>
              <w:rPr>
                <w:noProof/>
                <w:webHidden/>
              </w:rPr>
              <w:instrText xml:space="preserve"> PAGEREF _Toc177645047 \h </w:instrText>
            </w:r>
            <w:r>
              <w:rPr>
                <w:noProof/>
                <w:webHidden/>
              </w:rPr>
            </w:r>
            <w:r>
              <w:rPr>
                <w:noProof/>
                <w:webHidden/>
              </w:rPr>
              <w:fldChar w:fldCharType="separate"/>
            </w:r>
            <w:r>
              <w:rPr>
                <w:noProof/>
                <w:webHidden/>
              </w:rPr>
              <w:t>6</w:t>
            </w:r>
            <w:r>
              <w:rPr>
                <w:noProof/>
                <w:webHidden/>
              </w:rPr>
              <w:fldChar w:fldCharType="end"/>
            </w:r>
          </w:hyperlink>
        </w:p>
        <w:p w14:paraId="2E59CF11" w14:textId="6D0BCF79"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48" w:history="1">
            <w:r w:rsidRPr="002F4847">
              <w:rPr>
                <w:rStyle w:val="Hyperlink"/>
                <w:noProof/>
              </w:rPr>
              <w:t>Summary of Committee advice to the Delegate</w:t>
            </w:r>
            <w:r>
              <w:rPr>
                <w:noProof/>
                <w:webHidden/>
              </w:rPr>
              <w:tab/>
            </w:r>
            <w:r>
              <w:rPr>
                <w:noProof/>
                <w:webHidden/>
              </w:rPr>
              <w:fldChar w:fldCharType="begin"/>
            </w:r>
            <w:r>
              <w:rPr>
                <w:noProof/>
                <w:webHidden/>
              </w:rPr>
              <w:instrText xml:space="preserve"> PAGEREF _Toc177645048 \h </w:instrText>
            </w:r>
            <w:r>
              <w:rPr>
                <w:noProof/>
                <w:webHidden/>
              </w:rPr>
            </w:r>
            <w:r>
              <w:rPr>
                <w:noProof/>
                <w:webHidden/>
              </w:rPr>
              <w:fldChar w:fldCharType="separate"/>
            </w:r>
            <w:r>
              <w:rPr>
                <w:noProof/>
                <w:webHidden/>
              </w:rPr>
              <w:t>6</w:t>
            </w:r>
            <w:r>
              <w:rPr>
                <w:noProof/>
                <w:webHidden/>
              </w:rPr>
              <w:fldChar w:fldCharType="end"/>
            </w:r>
          </w:hyperlink>
        </w:p>
        <w:p w14:paraId="4669853C" w14:textId="3995417E"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49" w:history="1">
            <w:r w:rsidRPr="002F4847">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_Toc177645049 \h </w:instrText>
            </w:r>
            <w:r>
              <w:rPr>
                <w:noProof/>
                <w:webHidden/>
              </w:rPr>
            </w:r>
            <w:r>
              <w:rPr>
                <w:noProof/>
                <w:webHidden/>
              </w:rPr>
              <w:fldChar w:fldCharType="separate"/>
            </w:r>
            <w:r>
              <w:rPr>
                <w:noProof/>
                <w:webHidden/>
              </w:rPr>
              <w:t>8</w:t>
            </w:r>
            <w:r>
              <w:rPr>
                <w:noProof/>
                <w:webHidden/>
              </w:rPr>
              <w:fldChar w:fldCharType="end"/>
            </w:r>
          </w:hyperlink>
        </w:p>
        <w:p w14:paraId="59292244" w14:textId="156A0101" w:rsidR="00C83880" w:rsidRDefault="00C83880">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7645050" w:history="1">
            <w:r w:rsidRPr="002F4847">
              <w:rPr>
                <w:rStyle w:val="Hyperlink"/>
                <w:noProof/>
              </w:rPr>
              <w:t>Interim decisions on proposed amendments referred to the Advisory Committee on Chemicals Scheduling (ACCS #39, June 2024)</w:t>
            </w:r>
            <w:r>
              <w:rPr>
                <w:noProof/>
                <w:webHidden/>
              </w:rPr>
              <w:tab/>
            </w:r>
            <w:r>
              <w:rPr>
                <w:noProof/>
                <w:webHidden/>
              </w:rPr>
              <w:fldChar w:fldCharType="begin"/>
            </w:r>
            <w:r>
              <w:rPr>
                <w:noProof/>
                <w:webHidden/>
              </w:rPr>
              <w:instrText xml:space="preserve"> PAGEREF _Toc177645050 \h </w:instrText>
            </w:r>
            <w:r>
              <w:rPr>
                <w:noProof/>
                <w:webHidden/>
              </w:rPr>
            </w:r>
            <w:r>
              <w:rPr>
                <w:noProof/>
                <w:webHidden/>
              </w:rPr>
              <w:fldChar w:fldCharType="separate"/>
            </w:r>
            <w:r>
              <w:rPr>
                <w:noProof/>
                <w:webHidden/>
              </w:rPr>
              <w:t>11</w:t>
            </w:r>
            <w:r>
              <w:rPr>
                <w:noProof/>
                <w:webHidden/>
              </w:rPr>
              <w:fldChar w:fldCharType="end"/>
            </w:r>
          </w:hyperlink>
        </w:p>
        <w:p w14:paraId="1A1471E2" w14:textId="03D2D8F2" w:rsidR="00C83880" w:rsidRDefault="00C83880">
          <w:pPr>
            <w:pStyle w:val="TOC2"/>
            <w:rPr>
              <w:rFonts w:asciiTheme="minorHAnsi" w:eastAsiaTheme="minorEastAsia" w:hAnsiTheme="minorHAnsi" w:cstheme="minorBidi"/>
              <w:noProof/>
              <w:color w:val="auto"/>
              <w:kern w:val="2"/>
              <w:sz w:val="22"/>
              <w:szCs w:val="22"/>
              <w:lang w:eastAsia="en-AU"/>
              <w14:ligatures w14:val="standardContextual"/>
            </w:rPr>
          </w:pPr>
          <w:hyperlink w:anchor="_Toc177645051" w:history="1">
            <w:r w:rsidRPr="002F4847">
              <w:rPr>
                <w:rStyle w:val="Hyperlink"/>
                <w:noProof/>
              </w:rPr>
              <w:t>Interim decision in relation to allyl esters</w:t>
            </w:r>
            <w:r>
              <w:rPr>
                <w:noProof/>
                <w:webHidden/>
              </w:rPr>
              <w:tab/>
            </w:r>
            <w:r>
              <w:rPr>
                <w:noProof/>
                <w:webHidden/>
              </w:rPr>
              <w:fldChar w:fldCharType="begin"/>
            </w:r>
            <w:r>
              <w:rPr>
                <w:noProof/>
                <w:webHidden/>
              </w:rPr>
              <w:instrText xml:space="preserve"> PAGEREF _Toc177645051 \h </w:instrText>
            </w:r>
            <w:r>
              <w:rPr>
                <w:noProof/>
                <w:webHidden/>
              </w:rPr>
            </w:r>
            <w:r>
              <w:rPr>
                <w:noProof/>
                <w:webHidden/>
              </w:rPr>
              <w:fldChar w:fldCharType="separate"/>
            </w:r>
            <w:r>
              <w:rPr>
                <w:noProof/>
                <w:webHidden/>
              </w:rPr>
              <w:t>11</w:t>
            </w:r>
            <w:r>
              <w:rPr>
                <w:noProof/>
                <w:webHidden/>
              </w:rPr>
              <w:fldChar w:fldCharType="end"/>
            </w:r>
          </w:hyperlink>
        </w:p>
        <w:p w14:paraId="1D61A326" w14:textId="292EB49A"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52" w:history="1">
            <w:r w:rsidRPr="002F4847">
              <w:rPr>
                <w:rStyle w:val="Hyperlink"/>
                <w:noProof/>
              </w:rPr>
              <w:t>Proposal</w:t>
            </w:r>
            <w:r>
              <w:rPr>
                <w:noProof/>
                <w:webHidden/>
              </w:rPr>
              <w:tab/>
            </w:r>
            <w:r>
              <w:rPr>
                <w:noProof/>
                <w:webHidden/>
              </w:rPr>
              <w:fldChar w:fldCharType="begin"/>
            </w:r>
            <w:r>
              <w:rPr>
                <w:noProof/>
                <w:webHidden/>
              </w:rPr>
              <w:instrText xml:space="preserve"> PAGEREF _Toc177645052 \h </w:instrText>
            </w:r>
            <w:r>
              <w:rPr>
                <w:noProof/>
                <w:webHidden/>
              </w:rPr>
            </w:r>
            <w:r>
              <w:rPr>
                <w:noProof/>
                <w:webHidden/>
              </w:rPr>
              <w:fldChar w:fldCharType="separate"/>
            </w:r>
            <w:r>
              <w:rPr>
                <w:noProof/>
                <w:webHidden/>
              </w:rPr>
              <w:t>11</w:t>
            </w:r>
            <w:r>
              <w:rPr>
                <w:noProof/>
                <w:webHidden/>
              </w:rPr>
              <w:fldChar w:fldCharType="end"/>
            </w:r>
          </w:hyperlink>
        </w:p>
        <w:p w14:paraId="45BCBD8C" w14:textId="20BAD2A7"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53" w:history="1">
            <w:r w:rsidRPr="002F4847">
              <w:rPr>
                <w:rStyle w:val="Hyperlink"/>
                <w:noProof/>
              </w:rPr>
              <w:t>Interim decision</w:t>
            </w:r>
            <w:r>
              <w:rPr>
                <w:noProof/>
                <w:webHidden/>
              </w:rPr>
              <w:tab/>
            </w:r>
            <w:r>
              <w:rPr>
                <w:noProof/>
                <w:webHidden/>
              </w:rPr>
              <w:fldChar w:fldCharType="begin"/>
            </w:r>
            <w:r>
              <w:rPr>
                <w:noProof/>
                <w:webHidden/>
              </w:rPr>
              <w:instrText xml:space="preserve"> PAGEREF _Toc177645053 \h </w:instrText>
            </w:r>
            <w:r>
              <w:rPr>
                <w:noProof/>
                <w:webHidden/>
              </w:rPr>
            </w:r>
            <w:r>
              <w:rPr>
                <w:noProof/>
                <w:webHidden/>
              </w:rPr>
              <w:fldChar w:fldCharType="separate"/>
            </w:r>
            <w:r>
              <w:rPr>
                <w:noProof/>
                <w:webHidden/>
              </w:rPr>
              <w:t>11</w:t>
            </w:r>
            <w:r>
              <w:rPr>
                <w:noProof/>
                <w:webHidden/>
              </w:rPr>
              <w:fldChar w:fldCharType="end"/>
            </w:r>
          </w:hyperlink>
        </w:p>
        <w:p w14:paraId="74C08E68" w14:textId="0638ABBA"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54" w:history="1">
            <w:r w:rsidRPr="002F4847">
              <w:rPr>
                <w:rStyle w:val="Hyperlink"/>
                <w:noProof/>
              </w:rPr>
              <w:t>Materials considered</w:t>
            </w:r>
            <w:r>
              <w:rPr>
                <w:noProof/>
                <w:webHidden/>
              </w:rPr>
              <w:tab/>
            </w:r>
            <w:r>
              <w:rPr>
                <w:noProof/>
                <w:webHidden/>
              </w:rPr>
              <w:fldChar w:fldCharType="begin"/>
            </w:r>
            <w:r>
              <w:rPr>
                <w:noProof/>
                <w:webHidden/>
              </w:rPr>
              <w:instrText xml:space="preserve"> PAGEREF _Toc177645054 \h </w:instrText>
            </w:r>
            <w:r>
              <w:rPr>
                <w:noProof/>
                <w:webHidden/>
              </w:rPr>
            </w:r>
            <w:r>
              <w:rPr>
                <w:noProof/>
                <w:webHidden/>
              </w:rPr>
              <w:fldChar w:fldCharType="separate"/>
            </w:r>
            <w:r>
              <w:rPr>
                <w:noProof/>
                <w:webHidden/>
              </w:rPr>
              <w:t>12</w:t>
            </w:r>
            <w:r>
              <w:rPr>
                <w:noProof/>
                <w:webHidden/>
              </w:rPr>
              <w:fldChar w:fldCharType="end"/>
            </w:r>
          </w:hyperlink>
        </w:p>
        <w:p w14:paraId="1A2410DD" w14:textId="5165D73B"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55" w:history="1">
            <w:r w:rsidRPr="002F4847">
              <w:rPr>
                <w:rStyle w:val="Hyperlink"/>
                <w:noProof/>
              </w:rPr>
              <w:t>Summary of Committee advice to the Delegate</w:t>
            </w:r>
            <w:r>
              <w:rPr>
                <w:noProof/>
                <w:webHidden/>
              </w:rPr>
              <w:tab/>
            </w:r>
            <w:r>
              <w:rPr>
                <w:noProof/>
                <w:webHidden/>
              </w:rPr>
              <w:fldChar w:fldCharType="begin"/>
            </w:r>
            <w:r>
              <w:rPr>
                <w:noProof/>
                <w:webHidden/>
              </w:rPr>
              <w:instrText xml:space="preserve"> PAGEREF _Toc177645055 \h </w:instrText>
            </w:r>
            <w:r>
              <w:rPr>
                <w:noProof/>
                <w:webHidden/>
              </w:rPr>
            </w:r>
            <w:r>
              <w:rPr>
                <w:noProof/>
                <w:webHidden/>
              </w:rPr>
              <w:fldChar w:fldCharType="separate"/>
            </w:r>
            <w:r>
              <w:rPr>
                <w:noProof/>
                <w:webHidden/>
              </w:rPr>
              <w:t>12</w:t>
            </w:r>
            <w:r>
              <w:rPr>
                <w:noProof/>
                <w:webHidden/>
              </w:rPr>
              <w:fldChar w:fldCharType="end"/>
            </w:r>
          </w:hyperlink>
        </w:p>
        <w:p w14:paraId="74A7A31B" w14:textId="01977779"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56" w:history="1">
            <w:r w:rsidRPr="002F4847">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_Toc177645056 \h </w:instrText>
            </w:r>
            <w:r>
              <w:rPr>
                <w:noProof/>
                <w:webHidden/>
              </w:rPr>
            </w:r>
            <w:r>
              <w:rPr>
                <w:noProof/>
                <w:webHidden/>
              </w:rPr>
              <w:fldChar w:fldCharType="separate"/>
            </w:r>
            <w:r>
              <w:rPr>
                <w:noProof/>
                <w:webHidden/>
              </w:rPr>
              <w:t>13</w:t>
            </w:r>
            <w:r>
              <w:rPr>
                <w:noProof/>
                <w:webHidden/>
              </w:rPr>
              <w:fldChar w:fldCharType="end"/>
            </w:r>
          </w:hyperlink>
        </w:p>
        <w:p w14:paraId="5E29452F" w14:textId="15B725B1"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57" w:history="1">
            <w:r w:rsidRPr="002F4847">
              <w:rPr>
                <w:rStyle w:val="Hyperlink"/>
                <w:noProof/>
              </w:rPr>
              <w:t>Implementation date</w:t>
            </w:r>
            <w:r>
              <w:rPr>
                <w:noProof/>
                <w:webHidden/>
              </w:rPr>
              <w:tab/>
            </w:r>
            <w:r>
              <w:rPr>
                <w:noProof/>
                <w:webHidden/>
              </w:rPr>
              <w:fldChar w:fldCharType="begin"/>
            </w:r>
            <w:r>
              <w:rPr>
                <w:noProof/>
                <w:webHidden/>
              </w:rPr>
              <w:instrText xml:space="preserve"> PAGEREF _Toc177645057 \h </w:instrText>
            </w:r>
            <w:r>
              <w:rPr>
                <w:noProof/>
                <w:webHidden/>
              </w:rPr>
            </w:r>
            <w:r>
              <w:rPr>
                <w:noProof/>
                <w:webHidden/>
              </w:rPr>
              <w:fldChar w:fldCharType="separate"/>
            </w:r>
            <w:r>
              <w:rPr>
                <w:noProof/>
                <w:webHidden/>
              </w:rPr>
              <w:t>14</w:t>
            </w:r>
            <w:r>
              <w:rPr>
                <w:noProof/>
                <w:webHidden/>
              </w:rPr>
              <w:fldChar w:fldCharType="end"/>
            </w:r>
          </w:hyperlink>
        </w:p>
        <w:p w14:paraId="704FF802" w14:textId="687B3B6D" w:rsidR="00C83880" w:rsidRDefault="00C83880">
          <w:pPr>
            <w:pStyle w:val="TOC2"/>
            <w:rPr>
              <w:rFonts w:asciiTheme="minorHAnsi" w:eastAsiaTheme="minorEastAsia" w:hAnsiTheme="minorHAnsi" w:cstheme="minorBidi"/>
              <w:noProof/>
              <w:color w:val="auto"/>
              <w:kern w:val="2"/>
              <w:sz w:val="22"/>
              <w:szCs w:val="22"/>
              <w:lang w:eastAsia="en-AU"/>
              <w14:ligatures w14:val="standardContextual"/>
            </w:rPr>
          </w:pPr>
          <w:hyperlink w:anchor="_Toc177645058" w:history="1">
            <w:r w:rsidRPr="002F4847">
              <w:rPr>
                <w:rStyle w:val="Hyperlink"/>
                <w:noProof/>
              </w:rPr>
              <w:t>Interim decision in relation to glyoxylic acid</w:t>
            </w:r>
            <w:r>
              <w:rPr>
                <w:noProof/>
                <w:webHidden/>
              </w:rPr>
              <w:tab/>
            </w:r>
            <w:r>
              <w:rPr>
                <w:noProof/>
                <w:webHidden/>
              </w:rPr>
              <w:fldChar w:fldCharType="begin"/>
            </w:r>
            <w:r>
              <w:rPr>
                <w:noProof/>
                <w:webHidden/>
              </w:rPr>
              <w:instrText xml:space="preserve"> PAGEREF _Toc177645058 \h </w:instrText>
            </w:r>
            <w:r>
              <w:rPr>
                <w:noProof/>
                <w:webHidden/>
              </w:rPr>
            </w:r>
            <w:r>
              <w:rPr>
                <w:noProof/>
                <w:webHidden/>
              </w:rPr>
              <w:fldChar w:fldCharType="separate"/>
            </w:r>
            <w:r>
              <w:rPr>
                <w:noProof/>
                <w:webHidden/>
              </w:rPr>
              <w:t>15</w:t>
            </w:r>
            <w:r>
              <w:rPr>
                <w:noProof/>
                <w:webHidden/>
              </w:rPr>
              <w:fldChar w:fldCharType="end"/>
            </w:r>
          </w:hyperlink>
        </w:p>
        <w:p w14:paraId="46EA600F" w14:textId="50BF5843"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59" w:history="1">
            <w:r w:rsidRPr="002F4847">
              <w:rPr>
                <w:rStyle w:val="Hyperlink"/>
                <w:noProof/>
              </w:rPr>
              <w:t>Proposal</w:t>
            </w:r>
            <w:r>
              <w:rPr>
                <w:noProof/>
                <w:webHidden/>
              </w:rPr>
              <w:tab/>
            </w:r>
            <w:r>
              <w:rPr>
                <w:noProof/>
                <w:webHidden/>
              </w:rPr>
              <w:fldChar w:fldCharType="begin"/>
            </w:r>
            <w:r>
              <w:rPr>
                <w:noProof/>
                <w:webHidden/>
              </w:rPr>
              <w:instrText xml:space="preserve"> PAGEREF _Toc177645059 \h </w:instrText>
            </w:r>
            <w:r>
              <w:rPr>
                <w:noProof/>
                <w:webHidden/>
              </w:rPr>
            </w:r>
            <w:r>
              <w:rPr>
                <w:noProof/>
                <w:webHidden/>
              </w:rPr>
              <w:fldChar w:fldCharType="separate"/>
            </w:r>
            <w:r>
              <w:rPr>
                <w:noProof/>
                <w:webHidden/>
              </w:rPr>
              <w:t>15</w:t>
            </w:r>
            <w:r>
              <w:rPr>
                <w:noProof/>
                <w:webHidden/>
              </w:rPr>
              <w:fldChar w:fldCharType="end"/>
            </w:r>
          </w:hyperlink>
        </w:p>
        <w:p w14:paraId="2873F8B1" w14:textId="6D8A7920"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60" w:history="1">
            <w:r w:rsidRPr="002F4847">
              <w:rPr>
                <w:rStyle w:val="Hyperlink"/>
                <w:noProof/>
              </w:rPr>
              <w:t>Interim decision</w:t>
            </w:r>
            <w:r>
              <w:rPr>
                <w:noProof/>
                <w:webHidden/>
              </w:rPr>
              <w:tab/>
            </w:r>
            <w:r>
              <w:rPr>
                <w:noProof/>
                <w:webHidden/>
              </w:rPr>
              <w:fldChar w:fldCharType="begin"/>
            </w:r>
            <w:r>
              <w:rPr>
                <w:noProof/>
                <w:webHidden/>
              </w:rPr>
              <w:instrText xml:space="preserve"> PAGEREF _Toc177645060 \h </w:instrText>
            </w:r>
            <w:r>
              <w:rPr>
                <w:noProof/>
                <w:webHidden/>
              </w:rPr>
            </w:r>
            <w:r>
              <w:rPr>
                <w:noProof/>
                <w:webHidden/>
              </w:rPr>
              <w:fldChar w:fldCharType="separate"/>
            </w:r>
            <w:r>
              <w:rPr>
                <w:noProof/>
                <w:webHidden/>
              </w:rPr>
              <w:t>15</w:t>
            </w:r>
            <w:r>
              <w:rPr>
                <w:noProof/>
                <w:webHidden/>
              </w:rPr>
              <w:fldChar w:fldCharType="end"/>
            </w:r>
          </w:hyperlink>
        </w:p>
        <w:p w14:paraId="04185E98" w14:textId="343E70EC"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61" w:history="1">
            <w:r w:rsidRPr="002F4847">
              <w:rPr>
                <w:rStyle w:val="Hyperlink"/>
                <w:noProof/>
              </w:rPr>
              <w:t>Materials considered</w:t>
            </w:r>
            <w:r>
              <w:rPr>
                <w:noProof/>
                <w:webHidden/>
              </w:rPr>
              <w:tab/>
            </w:r>
            <w:r>
              <w:rPr>
                <w:noProof/>
                <w:webHidden/>
              </w:rPr>
              <w:fldChar w:fldCharType="begin"/>
            </w:r>
            <w:r>
              <w:rPr>
                <w:noProof/>
                <w:webHidden/>
              </w:rPr>
              <w:instrText xml:space="preserve"> PAGEREF _Toc177645061 \h </w:instrText>
            </w:r>
            <w:r>
              <w:rPr>
                <w:noProof/>
                <w:webHidden/>
              </w:rPr>
            </w:r>
            <w:r>
              <w:rPr>
                <w:noProof/>
                <w:webHidden/>
              </w:rPr>
              <w:fldChar w:fldCharType="separate"/>
            </w:r>
            <w:r>
              <w:rPr>
                <w:noProof/>
                <w:webHidden/>
              </w:rPr>
              <w:t>16</w:t>
            </w:r>
            <w:r>
              <w:rPr>
                <w:noProof/>
                <w:webHidden/>
              </w:rPr>
              <w:fldChar w:fldCharType="end"/>
            </w:r>
          </w:hyperlink>
        </w:p>
        <w:p w14:paraId="35F19ADA" w14:textId="7948915D"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62" w:history="1">
            <w:r w:rsidRPr="002F4847">
              <w:rPr>
                <w:rStyle w:val="Hyperlink"/>
                <w:noProof/>
              </w:rPr>
              <w:t>Summary of Committee advice to the Delegate</w:t>
            </w:r>
            <w:r>
              <w:rPr>
                <w:noProof/>
                <w:webHidden/>
              </w:rPr>
              <w:tab/>
            </w:r>
            <w:r>
              <w:rPr>
                <w:noProof/>
                <w:webHidden/>
              </w:rPr>
              <w:fldChar w:fldCharType="begin"/>
            </w:r>
            <w:r>
              <w:rPr>
                <w:noProof/>
                <w:webHidden/>
              </w:rPr>
              <w:instrText xml:space="preserve"> PAGEREF _Toc177645062 \h </w:instrText>
            </w:r>
            <w:r>
              <w:rPr>
                <w:noProof/>
                <w:webHidden/>
              </w:rPr>
            </w:r>
            <w:r>
              <w:rPr>
                <w:noProof/>
                <w:webHidden/>
              </w:rPr>
              <w:fldChar w:fldCharType="separate"/>
            </w:r>
            <w:r>
              <w:rPr>
                <w:noProof/>
                <w:webHidden/>
              </w:rPr>
              <w:t>16</w:t>
            </w:r>
            <w:r>
              <w:rPr>
                <w:noProof/>
                <w:webHidden/>
              </w:rPr>
              <w:fldChar w:fldCharType="end"/>
            </w:r>
          </w:hyperlink>
        </w:p>
        <w:p w14:paraId="10CE686D" w14:textId="16AD7ACF"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63" w:history="1">
            <w:r w:rsidRPr="002F4847">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_Toc177645063 \h </w:instrText>
            </w:r>
            <w:r>
              <w:rPr>
                <w:noProof/>
                <w:webHidden/>
              </w:rPr>
            </w:r>
            <w:r>
              <w:rPr>
                <w:noProof/>
                <w:webHidden/>
              </w:rPr>
              <w:fldChar w:fldCharType="separate"/>
            </w:r>
            <w:r>
              <w:rPr>
                <w:noProof/>
                <w:webHidden/>
              </w:rPr>
              <w:t>17</w:t>
            </w:r>
            <w:r>
              <w:rPr>
                <w:noProof/>
                <w:webHidden/>
              </w:rPr>
              <w:fldChar w:fldCharType="end"/>
            </w:r>
          </w:hyperlink>
        </w:p>
        <w:p w14:paraId="5988DF29" w14:textId="4C6E801E"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64" w:history="1">
            <w:r w:rsidRPr="002F4847">
              <w:rPr>
                <w:rStyle w:val="Hyperlink"/>
                <w:noProof/>
              </w:rPr>
              <w:t>Implementation date</w:t>
            </w:r>
            <w:r>
              <w:rPr>
                <w:noProof/>
                <w:webHidden/>
              </w:rPr>
              <w:tab/>
            </w:r>
            <w:r>
              <w:rPr>
                <w:noProof/>
                <w:webHidden/>
              </w:rPr>
              <w:fldChar w:fldCharType="begin"/>
            </w:r>
            <w:r>
              <w:rPr>
                <w:noProof/>
                <w:webHidden/>
              </w:rPr>
              <w:instrText xml:space="preserve"> PAGEREF _Toc177645064 \h </w:instrText>
            </w:r>
            <w:r>
              <w:rPr>
                <w:noProof/>
                <w:webHidden/>
              </w:rPr>
            </w:r>
            <w:r>
              <w:rPr>
                <w:noProof/>
                <w:webHidden/>
              </w:rPr>
              <w:fldChar w:fldCharType="separate"/>
            </w:r>
            <w:r>
              <w:rPr>
                <w:noProof/>
                <w:webHidden/>
              </w:rPr>
              <w:t>18</w:t>
            </w:r>
            <w:r>
              <w:rPr>
                <w:noProof/>
                <w:webHidden/>
              </w:rPr>
              <w:fldChar w:fldCharType="end"/>
            </w:r>
          </w:hyperlink>
        </w:p>
        <w:p w14:paraId="72E5FF42" w14:textId="19739740" w:rsidR="00C83880" w:rsidRDefault="00C83880">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7645065" w:history="1">
            <w:r w:rsidRPr="002F4847">
              <w:rPr>
                <w:rStyle w:val="Hyperlink"/>
                <w:noProof/>
              </w:rPr>
              <w:t>Interim decisions on proposed amendments referred to the Advisory Committees on Medicines and Chemicals Scheduling in joint session (ACMS-ACCS #37, June 2024)</w:t>
            </w:r>
            <w:r>
              <w:rPr>
                <w:noProof/>
                <w:webHidden/>
              </w:rPr>
              <w:tab/>
            </w:r>
            <w:r>
              <w:rPr>
                <w:noProof/>
                <w:webHidden/>
              </w:rPr>
              <w:fldChar w:fldCharType="begin"/>
            </w:r>
            <w:r>
              <w:rPr>
                <w:noProof/>
                <w:webHidden/>
              </w:rPr>
              <w:instrText xml:space="preserve"> PAGEREF _Toc177645065 \h </w:instrText>
            </w:r>
            <w:r>
              <w:rPr>
                <w:noProof/>
                <w:webHidden/>
              </w:rPr>
            </w:r>
            <w:r>
              <w:rPr>
                <w:noProof/>
                <w:webHidden/>
              </w:rPr>
              <w:fldChar w:fldCharType="separate"/>
            </w:r>
            <w:r>
              <w:rPr>
                <w:noProof/>
                <w:webHidden/>
              </w:rPr>
              <w:t>19</w:t>
            </w:r>
            <w:r>
              <w:rPr>
                <w:noProof/>
                <w:webHidden/>
              </w:rPr>
              <w:fldChar w:fldCharType="end"/>
            </w:r>
          </w:hyperlink>
        </w:p>
        <w:p w14:paraId="7C7E7F3C" w14:textId="771C99CB" w:rsidR="00C83880" w:rsidRDefault="00C83880">
          <w:pPr>
            <w:pStyle w:val="TOC2"/>
            <w:rPr>
              <w:rFonts w:asciiTheme="minorHAnsi" w:eastAsiaTheme="minorEastAsia" w:hAnsiTheme="minorHAnsi" w:cstheme="minorBidi"/>
              <w:noProof/>
              <w:color w:val="auto"/>
              <w:kern w:val="2"/>
              <w:sz w:val="22"/>
              <w:szCs w:val="22"/>
              <w:lang w:eastAsia="en-AU"/>
              <w14:ligatures w14:val="standardContextual"/>
            </w:rPr>
          </w:pPr>
          <w:hyperlink w:anchor="_Toc177645066" w:history="1">
            <w:r w:rsidRPr="002F4847">
              <w:rPr>
                <w:rStyle w:val="Hyperlink"/>
                <w:noProof/>
              </w:rPr>
              <w:t>Interim decision in relation to sulfonamides</w:t>
            </w:r>
            <w:r>
              <w:rPr>
                <w:noProof/>
                <w:webHidden/>
              </w:rPr>
              <w:tab/>
            </w:r>
            <w:r>
              <w:rPr>
                <w:noProof/>
                <w:webHidden/>
              </w:rPr>
              <w:fldChar w:fldCharType="begin"/>
            </w:r>
            <w:r>
              <w:rPr>
                <w:noProof/>
                <w:webHidden/>
              </w:rPr>
              <w:instrText xml:space="preserve"> PAGEREF _Toc177645066 \h </w:instrText>
            </w:r>
            <w:r>
              <w:rPr>
                <w:noProof/>
                <w:webHidden/>
              </w:rPr>
            </w:r>
            <w:r>
              <w:rPr>
                <w:noProof/>
                <w:webHidden/>
              </w:rPr>
              <w:fldChar w:fldCharType="separate"/>
            </w:r>
            <w:r>
              <w:rPr>
                <w:noProof/>
                <w:webHidden/>
              </w:rPr>
              <w:t>19</w:t>
            </w:r>
            <w:r>
              <w:rPr>
                <w:noProof/>
                <w:webHidden/>
              </w:rPr>
              <w:fldChar w:fldCharType="end"/>
            </w:r>
          </w:hyperlink>
        </w:p>
        <w:p w14:paraId="1BE40F2B" w14:textId="76396D49"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67" w:history="1">
            <w:r w:rsidRPr="002F4847">
              <w:rPr>
                <w:rStyle w:val="Hyperlink"/>
                <w:noProof/>
              </w:rPr>
              <w:t>Proposal</w:t>
            </w:r>
            <w:r>
              <w:rPr>
                <w:noProof/>
                <w:webHidden/>
              </w:rPr>
              <w:tab/>
            </w:r>
            <w:r>
              <w:rPr>
                <w:noProof/>
                <w:webHidden/>
              </w:rPr>
              <w:fldChar w:fldCharType="begin"/>
            </w:r>
            <w:r>
              <w:rPr>
                <w:noProof/>
                <w:webHidden/>
              </w:rPr>
              <w:instrText xml:space="preserve"> PAGEREF _Toc177645067 \h </w:instrText>
            </w:r>
            <w:r>
              <w:rPr>
                <w:noProof/>
                <w:webHidden/>
              </w:rPr>
            </w:r>
            <w:r>
              <w:rPr>
                <w:noProof/>
                <w:webHidden/>
              </w:rPr>
              <w:fldChar w:fldCharType="separate"/>
            </w:r>
            <w:r>
              <w:rPr>
                <w:noProof/>
                <w:webHidden/>
              </w:rPr>
              <w:t>19</w:t>
            </w:r>
            <w:r>
              <w:rPr>
                <w:noProof/>
                <w:webHidden/>
              </w:rPr>
              <w:fldChar w:fldCharType="end"/>
            </w:r>
          </w:hyperlink>
        </w:p>
        <w:p w14:paraId="1726AD87" w14:textId="6EEA8CB7"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68" w:history="1">
            <w:r w:rsidRPr="002F4847">
              <w:rPr>
                <w:rStyle w:val="Hyperlink"/>
                <w:noProof/>
              </w:rPr>
              <w:t>Interim decision</w:t>
            </w:r>
            <w:r>
              <w:rPr>
                <w:noProof/>
                <w:webHidden/>
              </w:rPr>
              <w:tab/>
            </w:r>
            <w:r>
              <w:rPr>
                <w:noProof/>
                <w:webHidden/>
              </w:rPr>
              <w:fldChar w:fldCharType="begin"/>
            </w:r>
            <w:r>
              <w:rPr>
                <w:noProof/>
                <w:webHidden/>
              </w:rPr>
              <w:instrText xml:space="preserve"> PAGEREF _Toc177645068 \h </w:instrText>
            </w:r>
            <w:r>
              <w:rPr>
                <w:noProof/>
                <w:webHidden/>
              </w:rPr>
            </w:r>
            <w:r>
              <w:rPr>
                <w:noProof/>
                <w:webHidden/>
              </w:rPr>
              <w:fldChar w:fldCharType="separate"/>
            </w:r>
            <w:r>
              <w:rPr>
                <w:noProof/>
                <w:webHidden/>
              </w:rPr>
              <w:t>19</w:t>
            </w:r>
            <w:r>
              <w:rPr>
                <w:noProof/>
                <w:webHidden/>
              </w:rPr>
              <w:fldChar w:fldCharType="end"/>
            </w:r>
          </w:hyperlink>
        </w:p>
        <w:p w14:paraId="41DBE3C4" w14:textId="75D6DFB4"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69" w:history="1">
            <w:r w:rsidRPr="002F4847">
              <w:rPr>
                <w:rStyle w:val="Hyperlink"/>
                <w:noProof/>
              </w:rPr>
              <w:t>Materials considered</w:t>
            </w:r>
            <w:r>
              <w:rPr>
                <w:noProof/>
                <w:webHidden/>
              </w:rPr>
              <w:tab/>
            </w:r>
            <w:r>
              <w:rPr>
                <w:noProof/>
                <w:webHidden/>
              </w:rPr>
              <w:fldChar w:fldCharType="begin"/>
            </w:r>
            <w:r>
              <w:rPr>
                <w:noProof/>
                <w:webHidden/>
              </w:rPr>
              <w:instrText xml:space="preserve"> PAGEREF _Toc177645069 \h </w:instrText>
            </w:r>
            <w:r>
              <w:rPr>
                <w:noProof/>
                <w:webHidden/>
              </w:rPr>
            </w:r>
            <w:r>
              <w:rPr>
                <w:noProof/>
                <w:webHidden/>
              </w:rPr>
              <w:fldChar w:fldCharType="separate"/>
            </w:r>
            <w:r>
              <w:rPr>
                <w:noProof/>
                <w:webHidden/>
              </w:rPr>
              <w:t>19</w:t>
            </w:r>
            <w:r>
              <w:rPr>
                <w:noProof/>
                <w:webHidden/>
              </w:rPr>
              <w:fldChar w:fldCharType="end"/>
            </w:r>
          </w:hyperlink>
        </w:p>
        <w:p w14:paraId="2BBDBA3C" w14:textId="30DECBDF"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70" w:history="1">
            <w:r w:rsidRPr="002F4847">
              <w:rPr>
                <w:rStyle w:val="Hyperlink"/>
                <w:noProof/>
              </w:rPr>
              <w:t>Summary of Committee advice to the Delegate</w:t>
            </w:r>
            <w:r>
              <w:rPr>
                <w:noProof/>
                <w:webHidden/>
              </w:rPr>
              <w:tab/>
            </w:r>
            <w:r>
              <w:rPr>
                <w:noProof/>
                <w:webHidden/>
              </w:rPr>
              <w:fldChar w:fldCharType="begin"/>
            </w:r>
            <w:r>
              <w:rPr>
                <w:noProof/>
                <w:webHidden/>
              </w:rPr>
              <w:instrText xml:space="preserve"> PAGEREF _Toc177645070 \h </w:instrText>
            </w:r>
            <w:r>
              <w:rPr>
                <w:noProof/>
                <w:webHidden/>
              </w:rPr>
            </w:r>
            <w:r>
              <w:rPr>
                <w:noProof/>
                <w:webHidden/>
              </w:rPr>
              <w:fldChar w:fldCharType="separate"/>
            </w:r>
            <w:r>
              <w:rPr>
                <w:noProof/>
                <w:webHidden/>
              </w:rPr>
              <w:t>20</w:t>
            </w:r>
            <w:r>
              <w:rPr>
                <w:noProof/>
                <w:webHidden/>
              </w:rPr>
              <w:fldChar w:fldCharType="end"/>
            </w:r>
          </w:hyperlink>
        </w:p>
        <w:p w14:paraId="289E5615" w14:textId="2392CB0F"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71" w:history="1">
            <w:r w:rsidRPr="002F4847">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_Toc177645071 \h </w:instrText>
            </w:r>
            <w:r>
              <w:rPr>
                <w:noProof/>
                <w:webHidden/>
              </w:rPr>
            </w:r>
            <w:r>
              <w:rPr>
                <w:noProof/>
                <w:webHidden/>
              </w:rPr>
              <w:fldChar w:fldCharType="separate"/>
            </w:r>
            <w:r>
              <w:rPr>
                <w:noProof/>
                <w:webHidden/>
              </w:rPr>
              <w:t>21</w:t>
            </w:r>
            <w:r>
              <w:rPr>
                <w:noProof/>
                <w:webHidden/>
              </w:rPr>
              <w:fldChar w:fldCharType="end"/>
            </w:r>
          </w:hyperlink>
        </w:p>
        <w:p w14:paraId="5D5925A4" w14:textId="6053F8F1" w:rsidR="00C83880" w:rsidRDefault="00C83880">
          <w:pPr>
            <w:pStyle w:val="TOC3"/>
            <w:rPr>
              <w:rFonts w:asciiTheme="minorHAnsi" w:eastAsiaTheme="minorEastAsia" w:hAnsiTheme="minorHAnsi" w:cstheme="minorBidi"/>
              <w:noProof/>
              <w:color w:val="auto"/>
              <w:kern w:val="2"/>
              <w:szCs w:val="22"/>
              <w:lang w:eastAsia="en-AU"/>
              <w14:ligatures w14:val="standardContextual"/>
            </w:rPr>
          </w:pPr>
          <w:hyperlink w:anchor="_Toc177645072" w:history="1">
            <w:r w:rsidRPr="002F4847">
              <w:rPr>
                <w:rStyle w:val="Hyperlink"/>
                <w:noProof/>
              </w:rPr>
              <w:t>Implementation date</w:t>
            </w:r>
            <w:r>
              <w:rPr>
                <w:noProof/>
                <w:webHidden/>
              </w:rPr>
              <w:tab/>
            </w:r>
            <w:r>
              <w:rPr>
                <w:noProof/>
                <w:webHidden/>
              </w:rPr>
              <w:fldChar w:fldCharType="begin"/>
            </w:r>
            <w:r>
              <w:rPr>
                <w:noProof/>
                <w:webHidden/>
              </w:rPr>
              <w:instrText xml:space="preserve"> PAGEREF _Toc177645072 \h </w:instrText>
            </w:r>
            <w:r>
              <w:rPr>
                <w:noProof/>
                <w:webHidden/>
              </w:rPr>
            </w:r>
            <w:r>
              <w:rPr>
                <w:noProof/>
                <w:webHidden/>
              </w:rPr>
              <w:fldChar w:fldCharType="separate"/>
            </w:r>
            <w:r>
              <w:rPr>
                <w:noProof/>
                <w:webHidden/>
              </w:rPr>
              <w:t>22</w:t>
            </w:r>
            <w:r>
              <w:rPr>
                <w:noProof/>
                <w:webHidden/>
              </w:rPr>
              <w:fldChar w:fldCharType="end"/>
            </w:r>
          </w:hyperlink>
        </w:p>
        <w:p w14:paraId="48848E63" w14:textId="4005DF64" w:rsidR="00F02AEC" w:rsidRPr="00B03B68" w:rsidRDefault="00F02AEC" w:rsidP="00B03B68">
          <w:r w:rsidRPr="00B03B68">
            <w:fldChar w:fldCharType="end"/>
          </w:r>
        </w:p>
      </w:sdtContent>
    </w:sdt>
    <w:p w14:paraId="205758C3" w14:textId="77777777" w:rsidR="00F02AEC" w:rsidRPr="00B03B68" w:rsidRDefault="00F02AEC" w:rsidP="00B03B68">
      <w:r w:rsidRPr="00B03B68">
        <w:br w:type="page"/>
      </w:r>
    </w:p>
    <w:p w14:paraId="51F500CA" w14:textId="77777777" w:rsidR="00F02AEC" w:rsidRPr="0062702A" w:rsidRDefault="00522B11" w:rsidP="0095170C">
      <w:pPr>
        <w:pStyle w:val="Heading2"/>
        <w:rPr>
          <w:i/>
          <w:iCs/>
        </w:rPr>
      </w:pPr>
      <w:bookmarkStart w:id="0" w:name="_Toc177645042"/>
      <w:r w:rsidRPr="00B03B68">
        <w:lastRenderedPageBreak/>
        <w:t xml:space="preserve">Notice of interim decisions made under Regulation 42ZCZN of the </w:t>
      </w:r>
      <w:r w:rsidRPr="0062702A">
        <w:rPr>
          <w:i/>
          <w:iCs/>
        </w:rPr>
        <w:t>Therapeutic Goods Regulations 1990</w:t>
      </w:r>
      <w:bookmarkEnd w:id="0"/>
    </w:p>
    <w:p w14:paraId="3F2C17F4" w14:textId="515E456C" w:rsidR="00522B11" w:rsidRPr="00BE0D83" w:rsidRDefault="00522B11" w:rsidP="00CC381E">
      <w:pPr>
        <w:rPr>
          <w:rFonts w:cs="Arial"/>
        </w:rPr>
      </w:pPr>
      <w:r w:rsidRPr="00BE0D83">
        <w:rPr>
          <w:rFonts w:cs="Arial"/>
        </w:rPr>
        <w:t xml:space="preserve">This publication constitutes a notice for the purposes of regulation 42ZCZP of the </w:t>
      </w:r>
      <w:r w:rsidRPr="00BE0D83">
        <w:rPr>
          <w:rFonts w:cs="Arial"/>
          <w:i/>
          <w:iCs/>
        </w:rPr>
        <w:t>Therapeutic Goods Regulations 1990</w:t>
      </w:r>
      <w:r w:rsidRPr="00BE0D83">
        <w:rPr>
          <w:rFonts w:cs="Arial"/>
        </w:rPr>
        <w:t xml:space="preserve"> (the </w:t>
      </w:r>
      <w:r w:rsidRPr="00BE0D83">
        <w:rPr>
          <w:rFonts w:cs="Arial"/>
          <w:b/>
          <w:bCs/>
        </w:rPr>
        <w:t>Regulations</w:t>
      </w:r>
      <w:r w:rsidRPr="00BE0D83">
        <w:rPr>
          <w:rFonts w:cs="Arial"/>
        </w:rPr>
        <w:t>). In accordance with regulation 42ZCZP, this notice sets out:</w:t>
      </w:r>
    </w:p>
    <w:p w14:paraId="199FCBED" w14:textId="289A180D" w:rsidR="00522B11" w:rsidRPr="00BE0D83" w:rsidRDefault="00522B11" w:rsidP="000A4597">
      <w:pPr>
        <w:pStyle w:val="ListBullet"/>
        <w:rPr>
          <w:rFonts w:cs="Arial"/>
        </w:rPr>
      </w:pPr>
      <w:r w:rsidRPr="00BE0D83">
        <w:rPr>
          <w:rFonts w:cs="Arial"/>
        </w:rPr>
        <w:t>the interim decision</w:t>
      </w:r>
      <w:r w:rsidR="00AB4A25" w:rsidRPr="00BE0D83">
        <w:rPr>
          <w:rFonts w:cs="Arial"/>
        </w:rPr>
        <w:t>s</w:t>
      </w:r>
      <w:r w:rsidRPr="00BE0D83">
        <w:rPr>
          <w:rFonts w:cs="Arial"/>
        </w:rPr>
        <w:t xml:space="preserve"> made by a delegate of the Secretary under regulation 42ZCZN in relation to</w:t>
      </w:r>
      <w:r w:rsidR="00AB4A25" w:rsidRPr="00BE0D83">
        <w:rPr>
          <w:rFonts w:cs="Arial"/>
        </w:rPr>
        <w:t xml:space="preserve"> </w:t>
      </w:r>
      <w:r w:rsidRPr="00BE0D83">
        <w:rPr>
          <w:rFonts w:cs="Arial"/>
        </w:rPr>
        <w:t>proposed amendment</w:t>
      </w:r>
      <w:r w:rsidR="00AB4A25" w:rsidRPr="00BE0D83">
        <w:rPr>
          <w:rFonts w:cs="Arial"/>
        </w:rPr>
        <w:t>s</w:t>
      </w:r>
      <w:r w:rsidRPr="00BE0D83">
        <w:rPr>
          <w:rFonts w:cs="Arial"/>
        </w:rPr>
        <w:t xml:space="preserve"> to the current Poisons Standard which</w:t>
      </w:r>
      <w:r w:rsidR="00AB4A25" w:rsidRPr="00BE0D83">
        <w:rPr>
          <w:rFonts w:cs="Arial"/>
        </w:rPr>
        <w:t xml:space="preserve"> </w:t>
      </w:r>
      <w:r w:rsidRPr="00BE0D83">
        <w:rPr>
          <w:rFonts w:cs="Arial"/>
        </w:rPr>
        <w:t>were referred to an expert advisory committee</w:t>
      </w:r>
      <w:r w:rsidR="006A0122" w:rsidRPr="00BE0D83">
        <w:rPr>
          <w:rStyle w:val="FootnoteReference"/>
          <w:rFonts w:cs="Arial"/>
        </w:rPr>
        <w:footnoteReference w:id="1"/>
      </w:r>
      <w:r w:rsidRPr="00BE0D83">
        <w:rPr>
          <w:rFonts w:cs="Arial"/>
        </w:rPr>
        <w:t xml:space="preserve"> under subdivision 3D.2 of the Regulations in </w:t>
      </w:r>
      <w:r w:rsidR="00AB4A25" w:rsidRPr="00BE0D83">
        <w:rPr>
          <w:rFonts w:cs="Arial"/>
        </w:rPr>
        <w:t>June</w:t>
      </w:r>
      <w:r w:rsidRPr="00BE0D83">
        <w:rPr>
          <w:rFonts w:cs="Arial"/>
        </w:rPr>
        <w:t xml:space="preserve"> 20</w:t>
      </w:r>
      <w:r w:rsidR="00AB4A25" w:rsidRPr="00BE0D83">
        <w:rPr>
          <w:rFonts w:cs="Arial"/>
        </w:rPr>
        <w:t>24</w:t>
      </w:r>
      <w:r w:rsidR="00166FF4">
        <w:rPr>
          <w:rFonts w:cs="Arial"/>
        </w:rPr>
        <w:t>.</w:t>
      </w:r>
    </w:p>
    <w:p w14:paraId="225F063C" w14:textId="13875F23" w:rsidR="00522B11" w:rsidRPr="00BE0D83" w:rsidRDefault="00522B11" w:rsidP="000A4597">
      <w:pPr>
        <w:pStyle w:val="ListBullet"/>
        <w:rPr>
          <w:rFonts w:cs="Arial"/>
        </w:rPr>
      </w:pPr>
      <w:r w:rsidRPr="00BE0D83">
        <w:rPr>
          <w:rFonts w:cs="Arial"/>
        </w:rPr>
        <w:t>the proposed date of effect of the proposed amendment</w:t>
      </w:r>
      <w:r w:rsidR="00AB4A25" w:rsidRPr="00BE0D83">
        <w:rPr>
          <w:rFonts w:cs="Arial"/>
        </w:rPr>
        <w:t>s</w:t>
      </w:r>
      <w:r w:rsidRPr="00BE0D83">
        <w:rPr>
          <w:rFonts w:cs="Arial"/>
        </w:rPr>
        <w:t xml:space="preserve"> (in circumstances where the interim decision proposes an amendment to the current Poisons Standard).</w:t>
      </w:r>
    </w:p>
    <w:p w14:paraId="327EFC0C" w14:textId="21657E46" w:rsidR="00522B11" w:rsidRPr="00BE0D83" w:rsidRDefault="00522B11" w:rsidP="00CC381E">
      <w:pPr>
        <w:rPr>
          <w:rFonts w:cs="Arial"/>
        </w:rPr>
      </w:pPr>
      <w:r w:rsidRPr="00BE0D83">
        <w:rPr>
          <w:rFonts w:cs="Arial"/>
        </w:rPr>
        <w:t>In accordance with regulation 42ZCZP, interested persons (including the applicant requesting the amendment) are invited to make submissions to the Secretary in relation to these interim decision</w:t>
      </w:r>
      <w:r w:rsidR="00AB4A25" w:rsidRPr="00BE0D83">
        <w:rPr>
          <w:rFonts w:cs="Arial"/>
        </w:rPr>
        <w:t>s</w:t>
      </w:r>
      <w:r w:rsidRPr="00BE0D83">
        <w:rPr>
          <w:rFonts w:cs="Arial"/>
        </w:rPr>
        <w:t xml:space="preserve"> on or before </w:t>
      </w:r>
      <w:r w:rsidR="00F55DD1">
        <w:rPr>
          <w:rFonts w:cs="Arial"/>
        </w:rPr>
        <w:t>18</w:t>
      </w:r>
      <w:r w:rsidRPr="00F55DD1">
        <w:rPr>
          <w:rFonts w:cs="Arial"/>
        </w:rPr>
        <w:t xml:space="preserve"> </w:t>
      </w:r>
      <w:r w:rsidR="00F55DD1" w:rsidRPr="00F55DD1">
        <w:rPr>
          <w:rFonts w:cs="Arial"/>
        </w:rPr>
        <w:t>October</w:t>
      </w:r>
      <w:r w:rsidRPr="00F55DD1">
        <w:rPr>
          <w:rFonts w:cs="Arial"/>
        </w:rPr>
        <w:t xml:space="preserve"> 20</w:t>
      </w:r>
      <w:r w:rsidR="00F55DD1" w:rsidRPr="00F55DD1">
        <w:rPr>
          <w:rFonts w:cs="Arial"/>
        </w:rPr>
        <w:t>24</w:t>
      </w:r>
      <w:r w:rsidRPr="00BE0D83">
        <w:rPr>
          <w:rFonts w:cs="Arial"/>
        </w:rPr>
        <w:t>.</w:t>
      </w:r>
    </w:p>
    <w:p w14:paraId="4C982071" w14:textId="77777777" w:rsidR="00522B11" w:rsidRPr="00BE0D83" w:rsidRDefault="00522B11" w:rsidP="00CC381E">
      <w:pPr>
        <w:rPr>
          <w:rFonts w:cs="Arial"/>
        </w:rPr>
      </w:pPr>
      <w:r w:rsidRPr="00BE0D83">
        <w:rPr>
          <w:rFonts w:cs="Arial"/>
        </w:rPr>
        <w:t xml:space="preserve">Submissions should be provided through our </w:t>
      </w:r>
      <w:hyperlink r:id="rId13" w:tgtFrame="_blank" w:history="1">
        <w:r w:rsidRPr="00BE0D83">
          <w:rPr>
            <w:rStyle w:val="Hyperlink"/>
            <w:rFonts w:cs="Arial"/>
          </w:rPr>
          <w:t>consultation hub</w:t>
        </w:r>
      </w:hyperlink>
      <w:r w:rsidRPr="00BE0D83">
        <w:rPr>
          <w:rFonts w:cs="Arial"/>
        </w:rPr>
        <w:t>. Submissions will be considered by the Delegate in making the final decision.</w:t>
      </w:r>
    </w:p>
    <w:p w14:paraId="03215EDA" w14:textId="77777777" w:rsidR="00522B11" w:rsidRPr="00BE0D83" w:rsidRDefault="00522B11" w:rsidP="00CC381E">
      <w:pPr>
        <w:rPr>
          <w:rFonts w:cs="Arial"/>
        </w:rPr>
      </w:pPr>
      <w:r w:rsidRPr="00BE0D83">
        <w:rPr>
          <w:rFonts w:cs="Arial"/>
        </w:rPr>
        <w:t xml:space="preserve">Please note that in accordance with </w:t>
      </w:r>
      <w:proofErr w:type="spellStart"/>
      <w:r w:rsidRPr="00BE0D83">
        <w:rPr>
          <w:rFonts w:cs="Arial"/>
        </w:rPr>
        <w:t>subregulation</w:t>
      </w:r>
      <w:proofErr w:type="spellEnd"/>
      <w:r w:rsidRPr="00BE0D83">
        <w:rPr>
          <w:rFonts w:cs="Arial"/>
        </w:rPr>
        <w:t xml:space="preserve"> 42</w:t>
      </w:r>
      <w:proofErr w:type="gramStart"/>
      <w:r w:rsidRPr="00BE0D83">
        <w:rPr>
          <w:rFonts w:cs="Arial"/>
        </w:rPr>
        <w:t>ZCZQ(</w:t>
      </w:r>
      <w:proofErr w:type="gramEnd"/>
      <w:r w:rsidRPr="00BE0D83">
        <w:rPr>
          <w:rFonts w:cs="Arial"/>
        </w:rPr>
        <w:t>4) of the Regulations, the Secretary must publish all relevant submissions received, unless the Secretary considers the information to be confidential information.</w:t>
      </w:r>
    </w:p>
    <w:p w14:paraId="324095D5" w14:textId="77777777" w:rsidR="00522B11" w:rsidRPr="00BE0D83" w:rsidRDefault="00522B11" w:rsidP="00CC381E">
      <w:pPr>
        <w:rPr>
          <w:rFonts w:cs="Arial"/>
          <w:b/>
          <w:bCs/>
        </w:rPr>
      </w:pPr>
      <w:r w:rsidRPr="00BE0D83">
        <w:rPr>
          <w:rFonts w:cs="Arial"/>
          <w:b/>
          <w:bCs/>
        </w:rPr>
        <w:t>Defined terms</w:t>
      </w:r>
    </w:p>
    <w:p w14:paraId="72C0CE8A" w14:textId="77777777" w:rsidR="00522B11" w:rsidRPr="00BE0D83" w:rsidRDefault="00522B11" w:rsidP="00CC381E">
      <w:pPr>
        <w:rPr>
          <w:rFonts w:cs="Arial"/>
        </w:rPr>
      </w:pPr>
      <w:r w:rsidRPr="00BE0D83">
        <w:rPr>
          <w:rFonts w:cs="Arial"/>
        </w:rPr>
        <w:t>In this notice the following defined terms are used in addition to those above:</w:t>
      </w:r>
    </w:p>
    <w:p w14:paraId="69C083E2" w14:textId="77777777" w:rsidR="00522B11" w:rsidRPr="00BE0D83" w:rsidRDefault="00522B11" w:rsidP="000A4597">
      <w:pPr>
        <w:pStyle w:val="ListBullet"/>
        <w:rPr>
          <w:rFonts w:cs="Arial"/>
        </w:rPr>
      </w:pPr>
      <w:r w:rsidRPr="00BE0D83">
        <w:rPr>
          <w:rFonts w:cs="Arial"/>
        </w:rPr>
        <w:t xml:space="preserve">the </w:t>
      </w:r>
      <w:r w:rsidRPr="000718BF">
        <w:rPr>
          <w:rFonts w:cs="Arial"/>
          <w:i/>
          <w:iCs/>
        </w:rPr>
        <w:t>Therapeutic Goods Act 1989</w:t>
      </w:r>
      <w:r w:rsidRPr="00BE0D83">
        <w:rPr>
          <w:rFonts w:cs="Arial"/>
        </w:rPr>
        <w:t xml:space="preserve"> (</w:t>
      </w:r>
      <w:proofErr w:type="spellStart"/>
      <w:r w:rsidRPr="00BE0D83">
        <w:rPr>
          <w:rFonts w:cs="Arial"/>
        </w:rPr>
        <w:t>Cth</w:t>
      </w:r>
      <w:proofErr w:type="spellEnd"/>
      <w:r w:rsidRPr="00BE0D83">
        <w:rPr>
          <w:rFonts w:cs="Arial"/>
        </w:rPr>
        <w:t>) (the Act)</w:t>
      </w:r>
    </w:p>
    <w:p w14:paraId="199069C5" w14:textId="77777777" w:rsidR="00522B11" w:rsidRPr="00BE0D83" w:rsidRDefault="00522B11" w:rsidP="000A4597">
      <w:pPr>
        <w:pStyle w:val="ListBullet"/>
        <w:rPr>
          <w:rFonts w:cs="Arial"/>
        </w:rPr>
      </w:pPr>
      <w:r w:rsidRPr="00BE0D83">
        <w:rPr>
          <w:rFonts w:cs="Arial"/>
        </w:rPr>
        <w:t>the Scheduling Policy Framework 2018 (the SPF)</w:t>
      </w:r>
    </w:p>
    <w:p w14:paraId="543656EC" w14:textId="77777777" w:rsidR="00522B11" w:rsidRPr="00BE0D83" w:rsidRDefault="00522B11" w:rsidP="000A4597">
      <w:pPr>
        <w:pStyle w:val="ListBullet"/>
        <w:rPr>
          <w:rFonts w:cs="Arial"/>
        </w:rPr>
      </w:pPr>
      <w:r w:rsidRPr="00BE0D83">
        <w:rPr>
          <w:rFonts w:cs="Arial"/>
        </w:rPr>
        <w:t>the Scheduling handbook: Guidance for amending the Poisons Standard (the Handbook)</w:t>
      </w:r>
      <w:r w:rsidR="00CC381E" w:rsidRPr="00BE0D83">
        <w:rPr>
          <w:rFonts w:cs="Arial"/>
        </w:rPr>
        <w:t xml:space="preserve">, </w:t>
      </w:r>
      <w:r w:rsidRPr="00BE0D83">
        <w:rPr>
          <w:rFonts w:cs="Arial"/>
        </w:rPr>
        <w:t>and</w:t>
      </w:r>
    </w:p>
    <w:p w14:paraId="43B189F4" w14:textId="77777777" w:rsidR="00522B11" w:rsidRPr="00BE0D83" w:rsidRDefault="00522B11" w:rsidP="000A4597">
      <w:pPr>
        <w:pStyle w:val="ListBullet"/>
        <w:rPr>
          <w:rFonts w:cs="Arial"/>
        </w:rPr>
      </w:pPr>
      <w:r w:rsidRPr="00BE0D83">
        <w:rPr>
          <w:rFonts w:cs="Arial"/>
        </w:rPr>
        <w:t>the Therapeutic Goods Administration (the TGA).</w:t>
      </w:r>
    </w:p>
    <w:p w14:paraId="1F48F29E" w14:textId="77777777" w:rsidR="00C83880" w:rsidRDefault="00522B11" w:rsidP="00B03B68">
      <w:pPr>
        <w:rPr>
          <w:rFonts w:cs="Arial"/>
        </w:rPr>
      </w:pPr>
      <w:r w:rsidRPr="00BE0D83">
        <w:rPr>
          <w:rFonts w:cs="Arial"/>
        </w:rPr>
        <w:t>Note: additional terms are also be defined for individual decisions.</w:t>
      </w:r>
    </w:p>
    <w:p w14:paraId="0D0636E7" w14:textId="6782C83E" w:rsidR="009421DD" w:rsidRPr="00B03B68" w:rsidRDefault="009421DD" w:rsidP="00B03B68">
      <w:r w:rsidRPr="00B03B68">
        <w:br w:type="page"/>
      </w:r>
    </w:p>
    <w:p w14:paraId="4274E68D" w14:textId="7D261D1D" w:rsidR="00F02AEC" w:rsidRPr="00B03B68" w:rsidRDefault="009421DD" w:rsidP="00CC381E">
      <w:pPr>
        <w:pStyle w:val="Heading2"/>
      </w:pPr>
      <w:bookmarkStart w:id="1" w:name="_Toc177645043"/>
      <w:r w:rsidRPr="00B03B68">
        <w:lastRenderedPageBreak/>
        <w:t>Interim decision on proposed amendments referred to the Advisory Committee on Medicines Scheduling (ACMS</w:t>
      </w:r>
      <w:r w:rsidR="005212A2" w:rsidRPr="00B03B68">
        <w:t> </w:t>
      </w:r>
      <w:r w:rsidRPr="00B03B68">
        <w:t>#</w:t>
      </w:r>
      <w:r w:rsidR="00AB4A25">
        <w:t>45</w:t>
      </w:r>
      <w:r w:rsidRPr="00B03B68">
        <w:t>,</w:t>
      </w:r>
      <w:r w:rsidR="005212A2" w:rsidRPr="00B03B68">
        <w:t> </w:t>
      </w:r>
      <w:r w:rsidR="00AB4A25">
        <w:t>June</w:t>
      </w:r>
      <w:r w:rsidR="005212A2" w:rsidRPr="00B03B68">
        <w:t> </w:t>
      </w:r>
      <w:r w:rsidRPr="00B03B68">
        <w:t>20</w:t>
      </w:r>
      <w:r w:rsidR="00AB4A25">
        <w:t>24</w:t>
      </w:r>
      <w:r w:rsidRPr="00B03B68">
        <w:t>)</w:t>
      </w:r>
      <w:bookmarkEnd w:id="1"/>
    </w:p>
    <w:p w14:paraId="19BD96A0" w14:textId="589FEBA2" w:rsidR="00F02AEC" w:rsidRPr="00B03B68" w:rsidRDefault="009421DD" w:rsidP="00CC381E">
      <w:pPr>
        <w:pStyle w:val="Heading3"/>
      </w:pPr>
      <w:bookmarkStart w:id="2" w:name="_Toc177645044"/>
      <w:r w:rsidRPr="00B03B68">
        <w:t xml:space="preserve">Interim decision in relation to </w:t>
      </w:r>
      <w:r w:rsidR="00AB4A25">
        <w:t>sildenafil</w:t>
      </w:r>
      <w:bookmarkEnd w:id="2"/>
    </w:p>
    <w:p w14:paraId="19484514" w14:textId="77777777" w:rsidR="009421DD" w:rsidRPr="00B03B68" w:rsidRDefault="00BF6B60" w:rsidP="00531034">
      <w:pPr>
        <w:pStyle w:val="Heading4"/>
      </w:pPr>
      <w:bookmarkStart w:id="3" w:name="_Toc323739592"/>
      <w:bookmarkStart w:id="4" w:name="_Toc356305219"/>
      <w:bookmarkStart w:id="5" w:name="_Toc177645045"/>
      <w:r w:rsidRPr="00B03B68">
        <w:t>Proposal</w:t>
      </w:r>
      <w:bookmarkEnd w:id="5"/>
    </w:p>
    <w:p w14:paraId="3A1B4813" w14:textId="3A74D871" w:rsidR="000871F7" w:rsidRPr="00B03B68" w:rsidRDefault="000871F7" w:rsidP="00B03B68">
      <w:r w:rsidRPr="000871F7">
        <w:t>The applicant proposed to create a new Pharmacist onl</w:t>
      </w:r>
      <w:r w:rsidR="00334E7E">
        <w:t>y (</w:t>
      </w:r>
      <w:r w:rsidR="00334E7E" w:rsidRPr="00334E7E">
        <w:t>Schedule 3</w:t>
      </w:r>
      <w:r w:rsidR="00334E7E">
        <w:t xml:space="preserve">) </w:t>
      </w:r>
      <w:r w:rsidRPr="000871F7">
        <w:t xml:space="preserve">entry for sildenafil. The proposed amendment would include divided preparations containing 50 mg of sildenafil for oral use, in packs of 4 or fewer dosage units, in Schedule 3 and a new entry for sildenafil in Appendix H to permit advertising of Schedule 3 preparations. Sildenafil is currently included in </w:t>
      </w:r>
      <w:r w:rsidR="00255228">
        <w:t>Prescription Only medicines (</w:t>
      </w:r>
      <w:r w:rsidRPr="000871F7">
        <w:t>Schedule 4).</w:t>
      </w:r>
    </w:p>
    <w:p w14:paraId="771A1D9C" w14:textId="77777777" w:rsidR="00BF6B60" w:rsidRPr="00B03B68" w:rsidRDefault="002008D8" w:rsidP="00531034">
      <w:pPr>
        <w:pStyle w:val="Heading4"/>
      </w:pPr>
      <w:bookmarkStart w:id="6" w:name="_Toc177645046"/>
      <w:r w:rsidRPr="00B03B68">
        <w:t>Interim decision</w:t>
      </w:r>
      <w:bookmarkEnd w:id="6"/>
    </w:p>
    <w:p w14:paraId="02C4EE7C" w14:textId="14847380" w:rsidR="002008D8" w:rsidRPr="00B03B68" w:rsidRDefault="002008D8" w:rsidP="000871F7">
      <w:r w:rsidRPr="00B03B68">
        <w:t>Pursuant to regulation 42ZCZN of the Regulations, the Delegate has, in relation to the proposed amendment, ma</w:t>
      </w:r>
      <w:r w:rsidRPr="000871F7">
        <w:t>de an interim decision to not amend the current Poisons Standard in relation to</w:t>
      </w:r>
      <w:r w:rsidR="000871F7" w:rsidRPr="000871F7">
        <w:t xml:space="preserve"> sildenafil.</w:t>
      </w:r>
    </w:p>
    <w:p w14:paraId="57FDB754" w14:textId="77777777" w:rsidR="00205945" w:rsidRPr="00B03B68" w:rsidRDefault="00205945" w:rsidP="00531034">
      <w:pPr>
        <w:pStyle w:val="Heading4"/>
      </w:pPr>
      <w:bookmarkStart w:id="7" w:name="_Toc177645047"/>
      <w:r w:rsidRPr="00B03B68">
        <w:t xml:space="preserve">Materials </w:t>
      </w:r>
      <w:proofErr w:type="gramStart"/>
      <w:r w:rsidRPr="00B03B68">
        <w:t>considered</w:t>
      </w:r>
      <w:bookmarkEnd w:id="7"/>
      <w:proofErr w:type="gramEnd"/>
    </w:p>
    <w:p w14:paraId="3B6EF8C5" w14:textId="77777777" w:rsidR="005A34E2" w:rsidRPr="00B03B68" w:rsidRDefault="00205945" w:rsidP="00B03B68">
      <w:r w:rsidRPr="00B03B68">
        <w:t>In making this interim decision, the Delegate considered the following material:</w:t>
      </w:r>
    </w:p>
    <w:p w14:paraId="2B4A7396" w14:textId="616F97C2" w:rsidR="00205945" w:rsidRPr="00B03B68" w:rsidRDefault="00205945" w:rsidP="000A4597">
      <w:pPr>
        <w:pStyle w:val="ListBullet"/>
      </w:pPr>
      <w:r w:rsidRPr="00B03B68">
        <w:t>The</w:t>
      </w:r>
      <w:sdt>
        <w:sdtPr>
          <w:alias w:val="Hyperlink to TGA website"/>
          <w:tag w:val="Hyperlink to TGA website"/>
          <w:id w:val="41648376"/>
          <w:placeholder>
            <w:docPart w:val="532A9E03ECEC433AA6E045A4E64425B9"/>
          </w:placeholder>
        </w:sdtPr>
        <w:sdtEndPr/>
        <w:sdtContent>
          <w:r w:rsidRPr="00B03B68">
            <w:t xml:space="preserve"> application</w:t>
          </w:r>
        </w:sdtContent>
      </w:sdt>
      <w:r w:rsidRPr="00B03B68">
        <w:t xml:space="preserve"> to amend the current Poisons Standard with respect to </w:t>
      </w:r>
      <w:sdt>
        <w:sdtPr>
          <w:id w:val="-1679116484"/>
          <w:placeholder>
            <w:docPart w:val="D80D56FA0CCD4133BE6F49CE6DBBFEC2"/>
          </w:placeholder>
        </w:sdtPr>
        <w:sdtEndPr/>
        <w:sdtContent>
          <w:r w:rsidR="000871F7" w:rsidRPr="000871F7">
            <w:t>sildenafil</w:t>
          </w:r>
        </w:sdtContent>
      </w:sdt>
      <w:r w:rsidRPr="00B03B68">
        <w:t xml:space="preserve"> (the Application)</w:t>
      </w:r>
    </w:p>
    <w:p w14:paraId="6241090C" w14:textId="7C0CAEDB" w:rsidR="005A34E2" w:rsidRPr="00B03B68" w:rsidRDefault="00205945" w:rsidP="000A4597">
      <w:pPr>
        <w:pStyle w:val="ListBullet"/>
      </w:pPr>
      <w:r w:rsidRPr="00B03B68">
        <w:t>T</w:t>
      </w:r>
      <w:bookmarkStart w:id="8" w:name="_Hlk175322996"/>
      <w:sdt>
        <w:sdtPr>
          <w:id w:val="-189071562"/>
          <w:placeholder>
            <w:docPart w:val="6B6F4762B5AC40A69811CE1A9520DE0B"/>
          </w:placeholder>
        </w:sdtPr>
        <w:sdtEndPr/>
        <w:sdtContent>
          <w:r w:rsidRPr="00B03B68">
            <w:t xml:space="preserve">he </w:t>
          </w:r>
          <w:r w:rsidR="00434B48">
            <w:t>4</w:t>
          </w:r>
          <w:r w:rsidRPr="00B03B68">
            <w:t xml:space="preserve"> </w:t>
          </w:r>
          <w:hyperlink r:id="rId14" w:history="1">
            <w:r w:rsidRPr="00931EFB">
              <w:rPr>
                <w:rStyle w:val="Hyperlink"/>
              </w:rPr>
              <w:t>public submissions</w:t>
            </w:r>
          </w:hyperlink>
          <w:r w:rsidRPr="00B03B68">
            <w:t xml:space="preserve">, with </w:t>
          </w:r>
          <w:r w:rsidR="00434B48">
            <w:t>4</w:t>
          </w:r>
          <w:r w:rsidRPr="00B03B68">
            <w:t xml:space="preserve"> including a written component, received in response to the </w:t>
          </w:r>
          <w:r w:rsidR="00931EFB">
            <w:br/>
          </w:r>
          <w:hyperlink r:id="rId15" w:history="1">
            <w:r w:rsidRPr="00434B48">
              <w:rPr>
                <w:rStyle w:val="Hyperlink"/>
              </w:rPr>
              <w:t>pre-meeting consultation</w:t>
            </w:r>
          </w:hyperlink>
          <w:r w:rsidRPr="00B03B68">
            <w:t xml:space="preserve"> under regulation 42ZCZK of the Regulations</w:t>
          </w:r>
        </w:sdtContent>
      </w:sdt>
      <w:r w:rsidRPr="00B03B68">
        <w:t xml:space="preserve"> (the Submissions)</w:t>
      </w:r>
      <w:bookmarkEnd w:id="8"/>
    </w:p>
    <w:p w14:paraId="7404FD1A" w14:textId="4FFE9710" w:rsidR="00205945" w:rsidRPr="00B03B68" w:rsidRDefault="00205945" w:rsidP="000A4597">
      <w:pPr>
        <w:pStyle w:val="ListBullet"/>
      </w:pPr>
      <w:r w:rsidRPr="009803BB">
        <w:t>T</w:t>
      </w:r>
      <w:sdt>
        <w:sdtPr>
          <w:id w:val="-1404066247"/>
          <w:placeholder>
            <w:docPart w:val="D80D56FA0CCD4133BE6F49CE6DBBFEC2"/>
          </w:placeholder>
        </w:sdtPr>
        <w:sdtEndPr/>
        <w:sdtContent>
          <w:proofErr w:type="gramStart"/>
          <w:r w:rsidRPr="009803BB">
            <w:t>he</w:t>
          </w:r>
          <w:proofErr w:type="gramEnd"/>
          <w:r w:rsidRPr="009803BB">
            <w:t xml:space="preserve"> advice received from the </w:t>
          </w:r>
          <w:r w:rsidR="009803BB" w:rsidRPr="009803BB">
            <w:t>45th</w:t>
          </w:r>
          <w:r w:rsidRPr="009803BB">
            <w:t xml:space="preserve"> meeting of the Advisory Committee on Medicines Scheduling</w:t>
          </w:r>
        </w:sdtContent>
      </w:sdt>
      <w:r w:rsidRPr="00B03B68">
        <w:t xml:space="preserve"> (the Committee)</w:t>
      </w:r>
    </w:p>
    <w:p w14:paraId="7E6ED649" w14:textId="77777777" w:rsidR="00205945" w:rsidRDefault="00205945" w:rsidP="000A4597">
      <w:pPr>
        <w:pStyle w:val="ListBullet"/>
      </w:pPr>
      <w:r w:rsidRPr="00B03B68">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54EB8E3A" w14:textId="53779876" w:rsidR="009803BB" w:rsidRDefault="009803BB" w:rsidP="000A4597">
      <w:pPr>
        <w:pStyle w:val="ListBullet"/>
      </w:pPr>
      <w:r>
        <w:t>The Therapeutic Guidelines</w:t>
      </w:r>
    </w:p>
    <w:p w14:paraId="3942F4CA" w14:textId="1AEB41F8" w:rsidR="009803BB" w:rsidRPr="00B03B68" w:rsidRDefault="009803BB" w:rsidP="000A4597">
      <w:pPr>
        <w:pStyle w:val="ListBullet"/>
      </w:pPr>
      <w:r>
        <w:t>The Australian Medicines Handbook</w:t>
      </w:r>
    </w:p>
    <w:p w14:paraId="7D1FBADB" w14:textId="77777777" w:rsidR="00205945" w:rsidRPr="00B03B68" w:rsidRDefault="00205945" w:rsidP="000A4597">
      <w:pPr>
        <w:pStyle w:val="ListBullet"/>
      </w:pPr>
      <w:r w:rsidRPr="00B03B68">
        <w:t>The SPF</w:t>
      </w:r>
      <w:r w:rsidR="004667F5" w:rsidRPr="00B03B68">
        <w:t>,</w:t>
      </w:r>
      <w:r w:rsidRPr="00B03B68">
        <w:t xml:space="preserve"> and</w:t>
      </w:r>
    </w:p>
    <w:p w14:paraId="45506C01" w14:textId="77777777" w:rsidR="00205945" w:rsidRPr="00B03B68" w:rsidRDefault="00205945" w:rsidP="000A4597">
      <w:pPr>
        <w:pStyle w:val="ListBullet"/>
      </w:pPr>
      <w:r w:rsidRPr="00B03B68">
        <w:t>The</w:t>
      </w:r>
      <w:r w:rsidR="009031DD" w:rsidRPr="00B03B68">
        <w:t xml:space="preserve"> Handbook</w:t>
      </w:r>
      <w:r w:rsidRPr="00B03B68">
        <w:t>.</w:t>
      </w:r>
    </w:p>
    <w:p w14:paraId="394C335D" w14:textId="77777777" w:rsidR="009031DD" w:rsidRPr="00B03B68" w:rsidRDefault="009031DD" w:rsidP="00531034">
      <w:pPr>
        <w:pStyle w:val="Heading4"/>
      </w:pPr>
      <w:bookmarkStart w:id="9" w:name="_Toc177645048"/>
      <w:r w:rsidRPr="00B03B68">
        <w:t>Summary of Committee advice to the Delegate</w:t>
      </w:r>
      <w:bookmarkEnd w:id="9"/>
    </w:p>
    <w:p w14:paraId="3B5B37D3" w14:textId="2BA5A155" w:rsidR="009031DD" w:rsidRPr="00B03B68" w:rsidRDefault="009031DD" w:rsidP="00B03B68">
      <w:r w:rsidRPr="00B03B68">
        <w:t>The Committe</w:t>
      </w:r>
      <w:r w:rsidRPr="00434B48">
        <w:t xml:space="preserve">e recommended that the current Poisons Standard entry for </w:t>
      </w:r>
      <w:r w:rsidR="00434B48" w:rsidRPr="00434B48">
        <w:t>sildenafil</w:t>
      </w:r>
      <w:r w:rsidRPr="00434B48">
        <w:t xml:space="preserve"> remains appropriate</w:t>
      </w:r>
      <w:r w:rsidR="00434B48" w:rsidRPr="00434B48">
        <w:t>.</w:t>
      </w:r>
    </w:p>
    <w:p w14:paraId="0D6210B1" w14:textId="09D0728B" w:rsidR="002008D8" w:rsidRPr="00B03B68" w:rsidRDefault="009031DD" w:rsidP="00B03B68">
      <w:r w:rsidRPr="00B03B68">
        <w:t xml:space="preserve">Members agreed that the relevant matters under subsection 52E(1) of the Act included: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 </w:t>
      </w:r>
    </w:p>
    <w:p w14:paraId="06271B9D" w14:textId="77777777" w:rsidR="00915A60" w:rsidRPr="00B03B68" w:rsidRDefault="00915A60" w:rsidP="00B03B68">
      <w:r w:rsidRPr="00B03B68">
        <w:lastRenderedPageBreak/>
        <w:t>The reasons for the advice included:</w:t>
      </w:r>
    </w:p>
    <w:p w14:paraId="255B0A30" w14:textId="77777777" w:rsidR="00915A60" w:rsidRDefault="00915A60" w:rsidP="00A95C7E">
      <w:pPr>
        <w:pStyle w:val="Heading5"/>
      </w:pPr>
      <w:r w:rsidRPr="00B03B68">
        <w:t>the risks and benefits of the use of a substance</w:t>
      </w:r>
    </w:p>
    <w:p w14:paraId="30A29719" w14:textId="77777777" w:rsidR="00915A60" w:rsidRDefault="00915A60" w:rsidP="00594004">
      <w:pPr>
        <w:pStyle w:val="Heading6"/>
      </w:pPr>
      <w:r w:rsidRPr="00B03B68">
        <w:t>Risks:</w:t>
      </w:r>
    </w:p>
    <w:p w14:paraId="688B74BE" w14:textId="4DE29F36" w:rsidR="001330F6" w:rsidRDefault="0092029F" w:rsidP="00A95C7E">
      <w:pPr>
        <w:pStyle w:val="ListBullet2"/>
        <w:ind w:left="924" w:hanging="357"/>
      </w:pPr>
      <w:bookmarkStart w:id="10" w:name="_Hlk166666329"/>
      <w:r w:rsidRPr="0092029F">
        <w:t>Potential risk of use in someone with high risk, particularly in undiagnosed cardiovascular disease (CVD)</w:t>
      </w:r>
    </w:p>
    <w:p w14:paraId="6D166C8D" w14:textId="2FA0320E" w:rsidR="0092029F" w:rsidRDefault="0092029F" w:rsidP="00A95C7E">
      <w:pPr>
        <w:pStyle w:val="ListBullet2"/>
        <w:ind w:left="924" w:hanging="357"/>
      </w:pPr>
      <w:r w:rsidRPr="0092029F">
        <w:t xml:space="preserve">Adverse events </w:t>
      </w:r>
      <w:r w:rsidR="00255228">
        <w:t>–</w:t>
      </w:r>
      <w:r w:rsidRPr="0092029F">
        <w:t xml:space="preserve"> the most serious of which are non-</w:t>
      </w:r>
      <w:proofErr w:type="spellStart"/>
      <w:r w:rsidRPr="0092029F">
        <w:t>arteritic</w:t>
      </w:r>
      <w:proofErr w:type="spellEnd"/>
      <w:r w:rsidRPr="0092029F">
        <w:t xml:space="preserve"> ischaemic optic neuropathy (NAION), priapism and interactions with nitrates and other drugs.</w:t>
      </w:r>
    </w:p>
    <w:p w14:paraId="490A94FC" w14:textId="1E35ED8A" w:rsidR="001330F6" w:rsidRPr="001330F6" w:rsidRDefault="0092029F" w:rsidP="00A95C7E">
      <w:pPr>
        <w:pStyle w:val="ListBullet2"/>
        <w:ind w:left="924" w:hanging="357"/>
      </w:pPr>
      <w:r w:rsidRPr="0092029F">
        <w:t>Risk</w:t>
      </w:r>
      <w:r w:rsidR="00255228">
        <w:t>s</w:t>
      </w:r>
      <w:r w:rsidRPr="0092029F">
        <w:t xml:space="preserve"> of </w:t>
      </w:r>
      <w:r w:rsidR="00255228">
        <w:t xml:space="preserve">a </w:t>
      </w:r>
      <w:r w:rsidRPr="0092029F">
        <w:t>lack of ongoing medical monitoring under the Schedule 3 model</w:t>
      </w:r>
      <w:r>
        <w:t>.</w:t>
      </w:r>
      <w:bookmarkEnd w:id="10"/>
    </w:p>
    <w:p w14:paraId="360259F8" w14:textId="77777777" w:rsidR="00915A60" w:rsidRDefault="00915A60" w:rsidP="00594004">
      <w:pPr>
        <w:pStyle w:val="Heading6"/>
      </w:pPr>
      <w:r w:rsidRPr="00B03B68">
        <w:t>Benefits:</w:t>
      </w:r>
    </w:p>
    <w:p w14:paraId="13425171" w14:textId="409D2115" w:rsidR="001330F6" w:rsidRDefault="0092029F" w:rsidP="00A95C7E">
      <w:pPr>
        <w:pStyle w:val="ListBullet2"/>
        <w:ind w:left="924" w:hanging="357"/>
      </w:pPr>
      <w:r w:rsidRPr="0092029F">
        <w:t>Effective in treatment of erectile dysfunction</w:t>
      </w:r>
      <w:r w:rsidR="00166FF4">
        <w:t xml:space="preserve"> (ED)</w:t>
      </w:r>
    </w:p>
    <w:p w14:paraId="62647675" w14:textId="77777777" w:rsidR="00915A60" w:rsidRPr="00B03B68" w:rsidRDefault="00915A60" w:rsidP="00A95C7E">
      <w:pPr>
        <w:pStyle w:val="Heading5"/>
      </w:pPr>
      <w:r w:rsidRPr="00B03B68">
        <w:t xml:space="preserve">the purposes for which a substance is to be used and the extent of use of a </w:t>
      </w:r>
      <w:proofErr w:type="gramStart"/>
      <w:r w:rsidRPr="00B03B68">
        <w:t>substance</w:t>
      </w:r>
      <w:proofErr w:type="gramEnd"/>
    </w:p>
    <w:p w14:paraId="43215C11" w14:textId="7EB44383" w:rsidR="001330F6" w:rsidRDefault="002F04E2" w:rsidP="00A95C7E">
      <w:pPr>
        <w:pStyle w:val="ListBullet2"/>
        <w:ind w:left="924" w:hanging="357"/>
      </w:pPr>
      <w:r w:rsidRPr="002F04E2">
        <w:t>Used to increase ability to gain and maintain an acceptable erection for sexual activity, in men over 18 years of age.</w:t>
      </w:r>
    </w:p>
    <w:p w14:paraId="593694BC" w14:textId="72FA78BF" w:rsidR="002F04E2" w:rsidRDefault="002F04E2" w:rsidP="00A95C7E">
      <w:pPr>
        <w:pStyle w:val="ListBullet2"/>
        <w:ind w:left="924" w:hanging="357"/>
      </w:pPr>
      <w:r w:rsidRPr="002F04E2">
        <w:t>Extent of use is likely to be common, especially in younger and older populations due to higher desire/need for ED treatment.</w:t>
      </w:r>
    </w:p>
    <w:p w14:paraId="5FD490E9" w14:textId="6382A1E9" w:rsidR="002F04E2" w:rsidRDefault="002F04E2" w:rsidP="00A95C7E">
      <w:pPr>
        <w:pStyle w:val="ListBullet2"/>
        <w:ind w:left="924" w:hanging="357"/>
      </w:pPr>
      <w:r w:rsidRPr="002F04E2">
        <w:t>Likely frequent use, as ED affects up to 50% of men aged 40 to 70 years.</w:t>
      </w:r>
    </w:p>
    <w:p w14:paraId="32DE1584" w14:textId="77777777" w:rsidR="00915A60" w:rsidRPr="00B03B68" w:rsidRDefault="00915A60" w:rsidP="00A95C7E">
      <w:pPr>
        <w:pStyle w:val="Heading5"/>
      </w:pPr>
      <w:r w:rsidRPr="00B03B68">
        <w:t>the toxicity of a substance</w:t>
      </w:r>
    </w:p>
    <w:p w14:paraId="0CEC286C" w14:textId="40080DEE" w:rsidR="00B96678" w:rsidRDefault="002F04E2" w:rsidP="00A95C7E">
      <w:pPr>
        <w:pStyle w:val="ListBullet2"/>
        <w:ind w:left="924" w:hanging="357"/>
      </w:pPr>
      <w:proofErr w:type="gramStart"/>
      <w:r w:rsidRPr="002F04E2">
        <w:t>Well</w:t>
      </w:r>
      <w:proofErr w:type="gramEnd"/>
      <w:r w:rsidRPr="002F04E2">
        <w:t xml:space="preserve"> established. Sildenafil has a wide therapeutic index.</w:t>
      </w:r>
    </w:p>
    <w:p w14:paraId="05059DF7" w14:textId="7F79B5B4" w:rsidR="002F04E2" w:rsidRDefault="002F04E2" w:rsidP="00A95C7E">
      <w:pPr>
        <w:pStyle w:val="ListBullet2"/>
        <w:ind w:left="924" w:hanging="357"/>
      </w:pPr>
      <w:r w:rsidRPr="002F04E2">
        <w:t>Minimal risk of toxicity at therapeutic doses</w:t>
      </w:r>
      <w:r w:rsidR="00255228">
        <w:t>.</w:t>
      </w:r>
    </w:p>
    <w:p w14:paraId="144843C0" w14:textId="77777777" w:rsidR="00915A60" w:rsidRPr="00B03B68" w:rsidRDefault="00915A60" w:rsidP="00A95C7E">
      <w:pPr>
        <w:pStyle w:val="Heading5"/>
      </w:pPr>
      <w:r w:rsidRPr="00B03B68">
        <w:t xml:space="preserve">the dosage, formulation, labelling, </w:t>
      </w:r>
      <w:proofErr w:type="gramStart"/>
      <w:r w:rsidRPr="00B03B68">
        <w:t>packaging</w:t>
      </w:r>
      <w:proofErr w:type="gramEnd"/>
      <w:r w:rsidRPr="00B03B68">
        <w:t xml:space="preserve"> and presentation of a substance</w:t>
      </w:r>
    </w:p>
    <w:p w14:paraId="335BDA31" w14:textId="6E6C6711" w:rsidR="00B96678" w:rsidRDefault="002F04E2" w:rsidP="00417551">
      <w:pPr>
        <w:pStyle w:val="ListBullet2"/>
        <w:ind w:left="924" w:hanging="357"/>
      </w:pPr>
      <w:r w:rsidRPr="002F04E2">
        <w:t>Proposal suggested a supply of 4 x 50</w:t>
      </w:r>
      <w:r w:rsidR="00166FF4">
        <w:t xml:space="preserve"> </w:t>
      </w:r>
      <w:r w:rsidRPr="002F04E2">
        <w:t>mg over-the-counter tablets. Product Information will contain information addressing risks. For example, priapism and advice to those who are not fit for sex.</w:t>
      </w:r>
    </w:p>
    <w:p w14:paraId="4B543753" w14:textId="69E61221" w:rsidR="002F04E2" w:rsidRDefault="002F04E2" w:rsidP="00417551">
      <w:pPr>
        <w:pStyle w:val="ListBullet2"/>
        <w:ind w:left="924" w:hanging="357"/>
      </w:pPr>
      <w:r w:rsidRPr="002F04E2">
        <w:t>Dosage proposed is minimal recommended and at minimum quantity in commercially available packages.</w:t>
      </w:r>
    </w:p>
    <w:p w14:paraId="07DDE7B6" w14:textId="4939C1C5" w:rsidR="002F04E2" w:rsidRDefault="002F04E2" w:rsidP="00417551">
      <w:pPr>
        <w:pStyle w:val="ListBullet2"/>
        <w:ind w:left="924" w:hanging="357"/>
      </w:pPr>
      <w:r w:rsidRPr="002F04E2">
        <w:t>Labelling and packaging alone not likely to address primary risks of mis/underdiagnosed disease.</w:t>
      </w:r>
    </w:p>
    <w:p w14:paraId="3980DFDF" w14:textId="77777777" w:rsidR="00915A60" w:rsidRPr="00B03B68" w:rsidRDefault="00915A60" w:rsidP="00417551">
      <w:pPr>
        <w:pStyle w:val="Heading5"/>
      </w:pPr>
      <w:r w:rsidRPr="00B03B68">
        <w:t>the potential for abuse of a substance</w:t>
      </w:r>
    </w:p>
    <w:p w14:paraId="201947B4" w14:textId="1A297F87" w:rsidR="00B96678" w:rsidRDefault="002F04E2" w:rsidP="00417551">
      <w:pPr>
        <w:pStyle w:val="ListBullet2"/>
        <w:ind w:left="924" w:hanging="357"/>
      </w:pPr>
      <w:r w:rsidRPr="002F04E2">
        <w:t>Evidence of misuse including high risk of concurrent misuse with recreational drugs</w:t>
      </w:r>
      <w:r w:rsidR="001565A8">
        <w:rPr>
          <w:rStyle w:val="FootnoteReference"/>
        </w:rPr>
        <w:footnoteReference w:id="2"/>
      </w:r>
      <w:r w:rsidRPr="002F04E2">
        <w:t xml:space="preserve"> </w:t>
      </w:r>
    </w:p>
    <w:p w14:paraId="2ACA6A21" w14:textId="77777777" w:rsidR="002F04E2" w:rsidRDefault="002F04E2" w:rsidP="00417551">
      <w:pPr>
        <w:pStyle w:val="ListBullet2"/>
        <w:ind w:left="924" w:hanging="357"/>
      </w:pPr>
      <w:r>
        <w:t>Moderate risk for excessive use</w:t>
      </w:r>
    </w:p>
    <w:p w14:paraId="6AC1A295" w14:textId="15D5166F" w:rsidR="002F04E2" w:rsidRDefault="002F04E2" w:rsidP="00417551">
      <w:pPr>
        <w:pStyle w:val="ListBullet2"/>
        <w:ind w:left="924" w:hanging="357"/>
      </w:pPr>
      <w:r>
        <w:t>Evidence of off label or inappropriate use</w:t>
      </w:r>
    </w:p>
    <w:p w14:paraId="5ED95F2F" w14:textId="3378F540" w:rsidR="002F04E2" w:rsidRDefault="002F04E2" w:rsidP="00417551">
      <w:pPr>
        <w:pStyle w:val="ListBullet2"/>
        <w:ind w:left="924" w:hanging="357"/>
      </w:pPr>
      <w:r>
        <w:t>Limited potential for dependency</w:t>
      </w:r>
    </w:p>
    <w:p w14:paraId="34D31542" w14:textId="77777777" w:rsidR="00915A60" w:rsidRDefault="00915A60" w:rsidP="00417551">
      <w:pPr>
        <w:pStyle w:val="Heading5"/>
      </w:pPr>
      <w:r w:rsidRPr="00B03B68">
        <w:lastRenderedPageBreak/>
        <w:t xml:space="preserve">any other matters that the Secretary considers necessary to protect public </w:t>
      </w:r>
      <w:proofErr w:type="gramStart"/>
      <w:r w:rsidRPr="00B03B68">
        <w:t>health</w:t>
      </w:r>
      <w:proofErr w:type="gramEnd"/>
    </w:p>
    <w:p w14:paraId="20E35274" w14:textId="48C16E4C" w:rsidR="00B96678" w:rsidRDefault="001565A8" w:rsidP="00417551">
      <w:pPr>
        <w:pStyle w:val="ListBullet2"/>
        <w:ind w:left="924" w:hanging="357"/>
      </w:pPr>
      <w:r w:rsidRPr="001565A8">
        <w:t>Unregulated importation is a concern.</w:t>
      </w:r>
    </w:p>
    <w:p w14:paraId="4FE0C332" w14:textId="77777777" w:rsidR="001565A8" w:rsidRDefault="001565A8" w:rsidP="00417551">
      <w:pPr>
        <w:pStyle w:val="ListBullet2"/>
        <w:ind w:left="924" w:hanging="357"/>
      </w:pPr>
      <w:r>
        <w:t>High rates of seizures of imports</w:t>
      </w:r>
    </w:p>
    <w:p w14:paraId="7CAD39A4" w14:textId="0827A50C" w:rsidR="001565A8" w:rsidRDefault="001565A8" w:rsidP="00417551">
      <w:pPr>
        <w:pStyle w:val="ListBullet2"/>
        <w:ind w:left="924" w:hanging="357"/>
      </w:pPr>
      <w:r>
        <w:t>Limited information on adequacy of current access pathways in respect to recent changes to telehealth models of care and expanded pharmacist scope to deal with Schedule 4 medicines in some States and Territories.</w:t>
      </w:r>
    </w:p>
    <w:p w14:paraId="1C8938AC" w14:textId="72AA311B" w:rsidR="001565A8" w:rsidRDefault="001565A8" w:rsidP="00417551">
      <w:pPr>
        <w:pStyle w:val="ListBullet2"/>
        <w:ind w:left="924" w:hanging="357"/>
      </w:pPr>
      <w:r>
        <w:t>ED may be a symptom of more serious underlying conditions, which require ongoing medical monitoring (in addition to medical diagnosis).</w:t>
      </w:r>
    </w:p>
    <w:p w14:paraId="574FEE22" w14:textId="314202F7" w:rsidR="001565A8" w:rsidRDefault="001565A8" w:rsidP="00417551">
      <w:pPr>
        <w:pStyle w:val="ListBullet2"/>
        <w:ind w:left="924" w:hanging="357"/>
      </w:pPr>
      <w:r>
        <w:t>Sildenafil meets Schedule 4 factors, requiring medical intervention for monitoring of the condition.</w:t>
      </w:r>
    </w:p>
    <w:p w14:paraId="306F6B6A" w14:textId="15E697E9" w:rsidR="001565A8" w:rsidRDefault="001565A8" w:rsidP="00417551">
      <w:pPr>
        <w:pStyle w:val="ListBullet2"/>
        <w:ind w:left="924" w:hanging="357"/>
      </w:pPr>
      <w:r>
        <w:t>Insufficient evidence has not been presented to support down</w:t>
      </w:r>
      <w:r w:rsidR="00255228">
        <w:t>-</w:t>
      </w:r>
      <w:r>
        <w:t>scheduling.</w:t>
      </w:r>
    </w:p>
    <w:p w14:paraId="3D788BE9" w14:textId="0054FE02" w:rsidR="001565A8" w:rsidRDefault="001565A8" w:rsidP="00417551">
      <w:pPr>
        <w:pStyle w:val="ListBullet2"/>
        <w:ind w:left="924" w:hanging="357"/>
      </w:pPr>
      <w:r>
        <w:t>Risks from non-prescribed access relate to diagnosis and management of CVD</w:t>
      </w:r>
      <w:r w:rsidR="00660A72">
        <w:t xml:space="preserve"> and or </w:t>
      </w:r>
      <w:r w:rsidR="00660A72" w:rsidRPr="00660A72">
        <w:t>diabetes mellitus</w:t>
      </w:r>
      <w:r w:rsidR="00660A72">
        <w:t xml:space="preserve"> (</w:t>
      </w:r>
      <w:r>
        <w:t>DM</w:t>
      </w:r>
      <w:r w:rsidR="00660A72">
        <w:t>)</w:t>
      </w:r>
      <w:r>
        <w:t>.</w:t>
      </w:r>
    </w:p>
    <w:p w14:paraId="0E7998A6" w14:textId="14851B71" w:rsidR="001565A8" w:rsidRDefault="001565A8" w:rsidP="00417551">
      <w:pPr>
        <w:pStyle w:val="ListBullet2"/>
        <w:ind w:left="924" w:hanging="357"/>
      </w:pPr>
      <w:r>
        <w:t>Medication is not always the most effective ED treatment. Other options may be more effective for certain individuals, which are more appropriately determined by a medical practitioner</w:t>
      </w:r>
      <w:r w:rsidR="00255228">
        <w:t>.</w:t>
      </w:r>
    </w:p>
    <w:p w14:paraId="44E70C03" w14:textId="77777777" w:rsidR="00915A60" w:rsidRPr="00B03B68" w:rsidRDefault="00915A60" w:rsidP="00531034">
      <w:pPr>
        <w:pStyle w:val="Heading4"/>
      </w:pPr>
      <w:bookmarkStart w:id="11" w:name="_Toc177645049"/>
      <w:r w:rsidRPr="00B03B68">
        <w:t>Reasons for the interim decision (including findings on material questions of fact)</w:t>
      </w:r>
      <w:bookmarkEnd w:id="11"/>
    </w:p>
    <w:p w14:paraId="6A93E9C4" w14:textId="77777777" w:rsidR="000871F7" w:rsidRDefault="000871F7" w:rsidP="000871F7">
      <w:pPr>
        <w:rPr>
          <w:rFonts w:cs="Arial"/>
        </w:rPr>
      </w:pPr>
      <w:r w:rsidRPr="000871F7">
        <w:rPr>
          <w:rFonts w:cs="Arial"/>
        </w:rPr>
        <w:t xml:space="preserve">I agree with the Committee's findings on the relevant provisions of section 52E of the Act. </w:t>
      </w:r>
    </w:p>
    <w:p w14:paraId="3F961AFD" w14:textId="40E59083" w:rsidR="000871F7" w:rsidRPr="000871F7" w:rsidRDefault="000871F7" w:rsidP="000871F7">
      <w:pPr>
        <w:rPr>
          <w:rFonts w:cs="Arial"/>
        </w:rPr>
      </w:pPr>
      <w:r w:rsidRPr="000871F7">
        <w:rPr>
          <w:rFonts w:cs="Arial"/>
        </w:rPr>
        <w:t xml:space="preserve">I have made an interim decision not to amend the Poisons Standard with regards to sildenafil. In making this decision I have balanced the potential benefits of increasing access </w:t>
      </w:r>
      <w:r w:rsidR="009803BB">
        <w:rPr>
          <w:rFonts w:cs="Arial"/>
        </w:rPr>
        <w:t>to</w:t>
      </w:r>
      <w:r w:rsidRPr="000871F7">
        <w:rPr>
          <w:rFonts w:cs="Arial"/>
        </w:rPr>
        <w:t xml:space="preserve"> sildenafil for the treatment of erectile dysfunction (ED) against the potential risks, notably those associated with underlying disease of which ED is a symptom.</w:t>
      </w:r>
    </w:p>
    <w:p w14:paraId="7954F762" w14:textId="18E9DF1D" w:rsidR="000871F7" w:rsidRPr="000871F7" w:rsidRDefault="000871F7" w:rsidP="000871F7">
      <w:pPr>
        <w:rPr>
          <w:rFonts w:cs="Arial"/>
        </w:rPr>
      </w:pPr>
      <w:r w:rsidRPr="000871F7">
        <w:rPr>
          <w:rFonts w:cs="Arial"/>
        </w:rPr>
        <w:t>I have considered the 4 public submissions received during the pre-meeting consultation period. The Pharmacy Guild of Australia (PGA) supported, the Pharmaceutical Society of Australia (PSA) partially supported, and the Australian Medical Association (AMA) and a private submission opposed the proposal. All public submissions provided a written component. The PSA and the PGA regarded sildenafil to be generally safe and well tolerated with pharmacist intervention. However, the PSA did not support the aspect of the proposal that would permit the advertis</w:t>
      </w:r>
      <w:r w:rsidR="00166FF4">
        <w:rPr>
          <w:rFonts w:cs="Arial"/>
        </w:rPr>
        <w:t>ing</w:t>
      </w:r>
      <w:r w:rsidRPr="000871F7">
        <w:rPr>
          <w:rFonts w:cs="Arial"/>
        </w:rPr>
        <w:t xml:space="preserve"> of sildenafil. The AMA expressed concern in relation to down</w:t>
      </w:r>
      <w:r w:rsidR="007004FB">
        <w:rPr>
          <w:rFonts w:cs="Arial"/>
        </w:rPr>
        <w:t>-</w:t>
      </w:r>
      <w:r w:rsidRPr="000871F7">
        <w:rPr>
          <w:rFonts w:cs="Arial"/>
        </w:rPr>
        <w:t>scheduling of sildenafil due to the need to diagnose and manage underlying health conditions associated with ED and because of the potential for adverse events</w:t>
      </w:r>
      <w:r w:rsidR="00255228">
        <w:rPr>
          <w:rFonts w:cs="Arial"/>
        </w:rPr>
        <w:t>,</w:t>
      </w:r>
      <w:r w:rsidRPr="000871F7">
        <w:rPr>
          <w:rFonts w:cs="Arial"/>
        </w:rPr>
        <w:t xml:space="preserve"> including drug interactions. </w:t>
      </w:r>
    </w:p>
    <w:p w14:paraId="288AA495" w14:textId="3CBCF462" w:rsidR="000871F7" w:rsidRPr="000871F7" w:rsidRDefault="000871F7" w:rsidP="000871F7">
      <w:pPr>
        <w:rPr>
          <w:color w:val="000000"/>
          <w:shd w:val="clear" w:color="auto" w:fill="FFFFFF"/>
        </w:rPr>
      </w:pPr>
      <w:r w:rsidRPr="000871F7">
        <w:rPr>
          <w:rFonts w:cs="Arial"/>
        </w:rPr>
        <w:t>In relation to s 52E(b) of the Act, sildenafil is an approved treatment of erectile dysfunction in adult males, which is highly prevalent in Australia.</w:t>
      </w:r>
      <w:r w:rsidRPr="000871F7">
        <w:rPr>
          <w:rFonts w:cs="Arial"/>
          <w:vertAlign w:val="superscript"/>
        </w:rPr>
        <w:footnoteReference w:id="3"/>
      </w:r>
      <w:r w:rsidRPr="000871F7">
        <w:rPr>
          <w:rFonts w:cs="Arial"/>
          <w:vertAlign w:val="superscript"/>
        </w:rPr>
        <w:t>,</w:t>
      </w:r>
      <w:r w:rsidRPr="000871F7">
        <w:rPr>
          <w:rFonts w:cs="Arial"/>
          <w:vertAlign w:val="superscript"/>
        </w:rPr>
        <w:footnoteReference w:id="4"/>
      </w:r>
      <w:r w:rsidRPr="000871F7">
        <w:rPr>
          <w:rFonts w:cs="Arial"/>
        </w:rPr>
        <w:t xml:space="preserve"> There are various causes of</w:t>
      </w:r>
      <w:r w:rsidRPr="000871F7">
        <w:rPr>
          <w:color w:val="000000"/>
          <w:shd w:val="clear" w:color="auto" w:fill="FFFFFF"/>
        </w:rPr>
        <w:t xml:space="preserve"> ED including organic, psychogenic, and mixed factors, but is mainly associated with neurovascular disease, diabetes, or </w:t>
      </w:r>
      <w:r w:rsidR="00E75D64" w:rsidRPr="00E75D64">
        <w:rPr>
          <w:color w:val="000000"/>
          <w:shd w:val="clear" w:color="auto" w:fill="FFFFFF"/>
        </w:rPr>
        <w:t>as an adverse effect from certain medications</w:t>
      </w:r>
      <w:r w:rsidR="00E75D64">
        <w:rPr>
          <w:color w:val="000000"/>
          <w:shd w:val="clear" w:color="auto" w:fill="FFFFFF"/>
        </w:rPr>
        <w:t>.</w:t>
      </w:r>
      <w:r w:rsidRPr="000871F7">
        <w:rPr>
          <w:color w:val="000000"/>
          <w:shd w:val="clear" w:color="auto" w:fill="FFFFFF"/>
        </w:rPr>
        <w:fldChar w:fldCharType="begin"/>
      </w:r>
      <w:r w:rsidRPr="000871F7">
        <w:rPr>
          <w:color w:val="000000"/>
          <w:shd w:val="clear" w:color="auto" w:fill="FFFFFF"/>
        </w:rPr>
        <w:instrText xml:space="preserve"> NOTEREF _Ref170741978 \f \h </w:instrText>
      </w:r>
      <w:r w:rsidRPr="000871F7">
        <w:rPr>
          <w:color w:val="000000"/>
          <w:shd w:val="clear" w:color="auto" w:fill="FFFFFF"/>
        </w:rPr>
      </w:r>
      <w:r w:rsidRPr="000871F7">
        <w:rPr>
          <w:color w:val="000000"/>
          <w:shd w:val="clear" w:color="auto" w:fill="FFFFFF"/>
        </w:rPr>
        <w:fldChar w:fldCharType="separate"/>
      </w:r>
      <w:r w:rsidRPr="000871F7">
        <w:rPr>
          <w:vertAlign w:val="superscript"/>
        </w:rPr>
        <w:t>3</w:t>
      </w:r>
      <w:r w:rsidRPr="000871F7">
        <w:rPr>
          <w:color w:val="000000"/>
          <w:shd w:val="clear" w:color="auto" w:fill="FFFFFF"/>
        </w:rPr>
        <w:fldChar w:fldCharType="end"/>
      </w:r>
      <w:r w:rsidRPr="000871F7">
        <w:rPr>
          <w:color w:val="000000"/>
          <w:shd w:val="clear" w:color="auto" w:fill="FFFFFF"/>
        </w:rPr>
        <w:t xml:space="preserve"> As coexisting conditions are highly likely </w:t>
      </w:r>
      <w:r w:rsidR="001565A8">
        <w:rPr>
          <w:color w:val="000000"/>
          <w:shd w:val="clear" w:color="auto" w:fill="FFFFFF"/>
        </w:rPr>
        <w:t xml:space="preserve">to exist in the presence of </w:t>
      </w:r>
      <w:r w:rsidRPr="000871F7">
        <w:rPr>
          <w:color w:val="000000"/>
          <w:shd w:val="clear" w:color="auto" w:fill="FFFFFF"/>
        </w:rPr>
        <w:t>ED, the Therapeutic Guidelines specify a need for medical evaluation.</w:t>
      </w:r>
      <w:bookmarkStart w:id="12" w:name="_Ref170741978"/>
      <w:r w:rsidRPr="000871F7">
        <w:rPr>
          <w:color w:val="000000"/>
          <w:shd w:val="clear" w:color="auto" w:fill="FFFFFF"/>
          <w:vertAlign w:val="superscript"/>
        </w:rPr>
        <w:footnoteReference w:id="5"/>
      </w:r>
      <w:bookmarkEnd w:id="12"/>
      <w:r w:rsidRPr="000871F7">
        <w:rPr>
          <w:color w:val="000000"/>
          <w:shd w:val="clear" w:color="auto" w:fill="FFFFFF"/>
        </w:rPr>
        <w:t xml:space="preserve"> This is consistent with scheduling factor 1 of Schedule 4, where ailments or symptoms that the substance is used for require medical intervention. I concur with the Committee’s findings that there is an </w:t>
      </w:r>
      <w:r w:rsidRPr="000871F7">
        <w:t xml:space="preserve">established </w:t>
      </w:r>
      <w:r w:rsidRPr="000871F7">
        <w:lastRenderedPageBreak/>
        <w:t xml:space="preserve">diagnostic process to identify underlying causes of erectile dysfunction in medical practice </w:t>
      </w:r>
      <w:r w:rsidR="009803BB">
        <w:t>and t</w:t>
      </w:r>
      <w:r w:rsidRPr="000871F7">
        <w:t xml:space="preserve">here is </w:t>
      </w:r>
      <w:r w:rsidR="00166FF4">
        <w:t xml:space="preserve">a </w:t>
      </w:r>
      <w:r w:rsidRPr="000871F7">
        <w:t>regular need for ongoing monitoring</w:t>
      </w:r>
      <w:r w:rsidR="009803BB">
        <w:t xml:space="preserve"> or management. </w:t>
      </w:r>
    </w:p>
    <w:p w14:paraId="69D89EE6" w14:textId="2F69A4E8" w:rsidR="000871F7" w:rsidRPr="000871F7" w:rsidRDefault="000871F7" w:rsidP="000871F7">
      <w:r w:rsidRPr="000871F7">
        <w:rPr>
          <w:color w:val="000000"/>
          <w:shd w:val="clear" w:color="auto" w:fill="FFFFFF"/>
        </w:rPr>
        <w:t>In relation to s 52E(a)(b) and (c) of the Act, sildenafil is generally well tolerated, safe and effective but has contraindications and can cause severe adverse effects.</w:t>
      </w:r>
      <w:r w:rsidRPr="000871F7">
        <w:rPr>
          <w:color w:val="000000"/>
          <w:shd w:val="clear" w:color="auto" w:fill="FFFFFF"/>
          <w:vertAlign w:val="superscript"/>
        </w:rPr>
        <w:footnoteReference w:id="6"/>
      </w:r>
      <w:r w:rsidRPr="000871F7">
        <w:rPr>
          <w:color w:val="000000"/>
          <w:shd w:val="clear" w:color="auto" w:fill="FFFFFF"/>
        </w:rPr>
        <w:t xml:space="preserve"> </w:t>
      </w:r>
      <w:r w:rsidRPr="000871F7">
        <w:t>While the safety concerns of sildenafil are well established and common side effects are mild and transient, there are rare but serious adverse events including non-</w:t>
      </w:r>
      <w:proofErr w:type="spellStart"/>
      <w:r w:rsidRPr="000871F7">
        <w:t>arteritic</w:t>
      </w:r>
      <w:proofErr w:type="spellEnd"/>
      <w:r w:rsidRPr="000871F7">
        <w:t xml:space="preserve"> ischaemic optic neuropathy (NAION) and priapism.</w:t>
      </w:r>
      <w:r w:rsidR="009803BB">
        <w:rPr>
          <w:rStyle w:val="FootnoteReference"/>
        </w:rPr>
        <w:footnoteReference w:id="7"/>
      </w:r>
      <w:r w:rsidRPr="000871F7">
        <w:t xml:space="preserve"> I note sildenafil also has several contraindications, one of which is men for whom sexual intercourse is inadvisable due to certain cardiovascular risk factors. </w:t>
      </w:r>
    </w:p>
    <w:p w14:paraId="687BF62E" w14:textId="46811EE5" w:rsidR="002C7C3B" w:rsidRPr="00417551" w:rsidRDefault="000871F7" w:rsidP="000871F7">
      <w:r w:rsidRPr="000871F7">
        <w:rPr>
          <w:color w:val="000000"/>
          <w:shd w:val="clear" w:color="auto" w:fill="FFFFFF"/>
        </w:rPr>
        <w:t>Additionally, I have</w:t>
      </w:r>
      <w:r w:rsidRPr="000871F7">
        <w:t xml:space="preserve"> considered the potential for drug interactions with sildenafil. Several medicines that interact with sildenafil are used in groups of people that have higher rates of ED. These include medicines like nitrates commonly used for angina, which can cause profound hypotension when used concomitantly with sildenafil. Sildenafil also has the potential to interact with some recreational drugs and combined use has been shown to be highly prevalent in certain population groups.</w:t>
      </w:r>
      <w:r w:rsidRPr="000871F7">
        <w:rPr>
          <w:vertAlign w:val="superscript"/>
        </w:rPr>
        <w:footnoteReference w:id="8"/>
      </w:r>
      <w:r w:rsidRPr="000871F7">
        <w:t xml:space="preserve"> </w:t>
      </w:r>
    </w:p>
    <w:p w14:paraId="36D8268D" w14:textId="3B99FFEE" w:rsidR="000871F7" w:rsidRPr="000871F7" w:rsidRDefault="009803BB" w:rsidP="000871F7">
      <w:r>
        <w:t xml:space="preserve">The applicant provided </w:t>
      </w:r>
      <w:r w:rsidR="000871F7" w:rsidRPr="000871F7">
        <w:t>new post market studies</w:t>
      </w:r>
      <w:bookmarkStart w:id="13" w:name="_Ref170830592"/>
      <w:r w:rsidR="000871F7" w:rsidRPr="000871F7">
        <w:rPr>
          <w:vertAlign w:val="superscript"/>
        </w:rPr>
        <w:footnoteReference w:id="9"/>
      </w:r>
      <w:bookmarkEnd w:id="13"/>
      <w:r w:rsidR="000871F7" w:rsidRPr="000871F7">
        <w:rPr>
          <w:vertAlign w:val="superscript"/>
        </w:rPr>
        <w:t xml:space="preserve">, </w:t>
      </w:r>
      <w:r w:rsidR="000871F7" w:rsidRPr="000871F7">
        <w:rPr>
          <w:vertAlign w:val="superscript"/>
        </w:rPr>
        <w:footnoteReference w:id="10"/>
      </w:r>
      <w:r w:rsidR="000871F7" w:rsidRPr="000871F7">
        <w:t xml:space="preserve"> from the United Kingdom where sildenafil has been made available without a prescription. </w:t>
      </w:r>
      <w:r w:rsidR="00166FF4">
        <w:t>I note b</w:t>
      </w:r>
      <w:r w:rsidR="000871F7" w:rsidRPr="000871F7">
        <w:t xml:space="preserve">oth studies were funded by Pfizer, which is a pharmaceutical sponsor of sildenafil products. </w:t>
      </w:r>
      <w:r w:rsidR="007004FB">
        <w:t>T</w:t>
      </w:r>
      <w:r w:rsidR="00406E89">
        <w:t>he first, a</w:t>
      </w:r>
      <w:r w:rsidR="000871F7" w:rsidRPr="000871F7">
        <w:t xml:space="preserve"> prospective real-world observational study showed a modest increase in seeing a medical practitioner among patients who used sildenafil that was made available as a pharmacy medicine. In the </w:t>
      </w:r>
      <w:r w:rsidR="00406E89">
        <w:t xml:space="preserve">second, a </w:t>
      </w:r>
      <w:r w:rsidR="000871F7" w:rsidRPr="000871F7">
        <w:t>web-based survey, I found a small cohort of community pharmacist’s perceptions were used to determine the effectiveness of additional risk minimisation measures (</w:t>
      </w:r>
      <w:proofErr w:type="spellStart"/>
      <w:r w:rsidR="000871F7" w:rsidRPr="000871F7">
        <w:t>aRMM</w:t>
      </w:r>
      <w:proofErr w:type="spellEnd"/>
      <w:r w:rsidR="000871F7" w:rsidRPr="000871F7">
        <w:t>) when providing sildenafil without a prescription.</w:t>
      </w:r>
      <w:r w:rsidR="000871F7" w:rsidRPr="000871F7">
        <w:fldChar w:fldCharType="begin"/>
      </w:r>
      <w:r w:rsidR="000871F7" w:rsidRPr="000871F7">
        <w:instrText xml:space="preserve"> NOTEREF _Ref170830592 \f \h </w:instrText>
      </w:r>
      <w:r w:rsidR="000871F7" w:rsidRPr="000871F7">
        <w:fldChar w:fldCharType="separate"/>
      </w:r>
      <w:r w:rsidR="000871F7" w:rsidRPr="000871F7">
        <w:rPr>
          <w:vertAlign w:val="superscript"/>
        </w:rPr>
        <w:t>4</w:t>
      </w:r>
      <w:r w:rsidR="000871F7" w:rsidRPr="000871F7">
        <w:fldChar w:fldCharType="end"/>
      </w:r>
      <w:r w:rsidR="000871F7" w:rsidRPr="000871F7">
        <w:t xml:space="preserve"> While the studies showed some positive results, I am not </w:t>
      </w:r>
      <w:r w:rsidR="00255228">
        <w:t>satisfied</w:t>
      </w:r>
      <w:r w:rsidR="00255228" w:rsidRPr="000871F7">
        <w:t xml:space="preserve"> </w:t>
      </w:r>
      <w:r w:rsidR="00255228">
        <w:t xml:space="preserve">that </w:t>
      </w:r>
      <w:r w:rsidR="000871F7" w:rsidRPr="000871F7">
        <w:t xml:space="preserve">this body of evidence demonstrates an </w:t>
      </w:r>
      <w:r w:rsidR="00255228">
        <w:t>overall</w:t>
      </w:r>
      <w:r w:rsidR="00255228" w:rsidRPr="000871F7">
        <w:t xml:space="preserve"> </w:t>
      </w:r>
      <w:r w:rsidR="000871F7" w:rsidRPr="000871F7">
        <w:t xml:space="preserve">benefit to men’s health </w:t>
      </w:r>
      <w:r w:rsidR="00255228">
        <w:t xml:space="preserve">(compared to the risks) </w:t>
      </w:r>
      <w:r w:rsidR="000871F7" w:rsidRPr="000871F7">
        <w:t xml:space="preserve">or satisfactorily addresses concerns I have set out in this decision </w:t>
      </w:r>
      <w:r w:rsidR="00406E89">
        <w:t xml:space="preserve">or </w:t>
      </w:r>
      <w:r w:rsidR="007004FB">
        <w:t xml:space="preserve">have been </w:t>
      </w:r>
      <w:r w:rsidR="00406E89">
        <w:t xml:space="preserve">made in </w:t>
      </w:r>
      <w:r w:rsidR="000871F7" w:rsidRPr="000871F7">
        <w:t xml:space="preserve">previous </w:t>
      </w:r>
      <w:r w:rsidR="007004FB">
        <w:t xml:space="preserve">scheduling </w:t>
      </w:r>
      <w:r w:rsidR="000871F7" w:rsidRPr="000871F7">
        <w:t xml:space="preserve">decisions </w:t>
      </w:r>
      <w:r w:rsidR="007004FB">
        <w:t xml:space="preserve">seeking to </w:t>
      </w:r>
      <w:r w:rsidR="000871F7" w:rsidRPr="000871F7">
        <w:t>mak</w:t>
      </w:r>
      <w:r w:rsidR="007004FB">
        <w:t>e</w:t>
      </w:r>
      <w:r w:rsidR="000871F7" w:rsidRPr="000871F7">
        <w:t xml:space="preserve"> sildenafil available as a</w:t>
      </w:r>
      <w:r w:rsidR="001565A8">
        <w:t xml:space="preserve"> </w:t>
      </w:r>
      <w:r w:rsidR="000871F7" w:rsidRPr="000871F7">
        <w:t>Pharmacist Only</w:t>
      </w:r>
      <w:r w:rsidR="001565A8">
        <w:t xml:space="preserve"> </w:t>
      </w:r>
      <w:r w:rsidR="00255228">
        <w:t xml:space="preserve">medicine </w:t>
      </w:r>
      <w:r w:rsidR="00166FF4">
        <w:t>(</w:t>
      </w:r>
      <w:r w:rsidR="001565A8" w:rsidRPr="001565A8">
        <w:t>Schedule 3</w:t>
      </w:r>
      <w:r w:rsidR="00166FF4">
        <w:t>)</w:t>
      </w:r>
      <w:r w:rsidR="001565A8">
        <w:t>.</w:t>
      </w:r>
    </w:p>
    <w:p w14:paraId="1D4BB97B" w14:textId="12B13DE0" w:rsidR="000871F7" w:rsidRPr="000871F7" w:rsidRDefault="000871F7" w:rsidP="000871F7">
      <w:r w:rsidRPr="000871F7">
        <w:t>In relation to s 52E(f) of the Act, I have considered the ongoing barriers for males accessing the health system for erectile dysfunction in Australia.</w:t>
      </w:r>
      <w:r w:rsidRPr="000871F7">
        <w:rPr>
          <w:vertAlign w:val="superscript"/>
        </w:rPr>
        <w:footnoteReference w:id="11"/>
      </w:r>
      <w:r w:rsidRPr="000871F7">
        <w:t xml:space="preserve"> However, having reviewed the current literature it is not evident</w:t>
      </w:r>
      <w:r w:rsidR="00CA3301">
        <w:t xml:space="preserve"> that</w:t>
      </w:r>
      <w:r w:rsidRPr="000871F7">
        <w:t xml:space="preserve"> the overall impact of</w:t>
      </w:r>
      <w:r w:rsidR="00CA3301">
        <w:t xml:space="preserve"> increasing accessibility by</w:t>
      </w:r>
      <w:r w:rsidRPr="000871F7">
        <w:t xml:space="preserve"> making sildenafil available as a </w:t>
      </w:r>
      <w:r w:rsidR="00255228">
        <w:t>Pharmacist Only medicine (</w:t>
      </w:r>
      <w:r w:rsidR="00255228" w:rsidRPr="000871F7">
        <w:t>Schedule</w:t>
      </w:r>
      <w:r w:rsidR="00255228">
        <w:t> </w:t>
      </w:r>
      <w:r w:rsidRPr="000871F7">
        <w:t>3</w:t>
      </w:r>
      <w:r w:rsidR="00255228">
        <w:t>)</w:t>
      </w:r>
      <w:r w:rsidR="00CA3301">
        <w:t>,</w:t>
      </w:r>
      <w:r w:rsidRPr="000871F7">
        <w:t xml:space="preserve"> would</w:t>
      </w:r>
      <w:r w:rsidR="0040213A">
        <w:t xml:space="preserve"> provide a positive net health benefit</w:t>
      </w:r>
      <w:r w:rsidRPr="000871F7">
        <w:t>.</w:t>
      </w:r>
    </w:p>
    <w:p w14:paraId="597FA19D" w14:textId="1C1B52F4" w:rsidR="00255228" w:rsidRDefault="000871F7" w:rsidP="000871F7">
      <w:r w:rsidRPr="000871F7">
        <w:t>Finally, I have considered the propos</w:t>
      </w:r>
      <w:r w:rsidR="00255228">
        <w:t xml:space="preserve">al for </w:t>
      </w:r>
      <w:r w:rsidRPr="000871F7">
        <w:t xml:space="preserve">entry </w:t>
      </w:r>
      <w:r w:rsidR="00255228">
        <w:t xml:space="preserve">be limited </w:t>
      </w:r>
      <w:r w:rsidRPr="000871F7">
        <w:t xml:space="preserve">to supply </w:t>
      </w:r>
      <w:r w:rsidR="00255228">
        <w:t xml:space="preserve">of </w:t>
      </w:r>
      <w:r w:rsidRPr="000871F7">
        <w:t>50 mg x 4 tablets</w:t>
      </w:r>
      <w:r w:rsidR="00255228">
        <w:t>,</w:t>
      </w:r>
      <w:r w:rsidRPr="000871F7">
        <w:t xml:space="preserve"> and the </w:t>
      </w:r>
      <w:r w:rsidR="0040213A">
        <w:t xml:space="preserve">safety </w:t>
      </w:r>
      <w:r w:rsidRPr="000871F7">
        <w:t>information that is to be included in the product information leaflet in accordance with s 52E(d) and (f) of the Act. While I acknowledge making available a lower dosage tablet, smaller pack size and relevant warnings may offer a level of risk reduction,</w:t>
      </w:r>
      <w:r w:rsidR="009B2B9F">
        <w:t xml:space="preserve"> </w:t>
      </w:r>
      <w:r w:rsidR="00F56466">
        <w:t>I remain concerned about the</w:t>
      </w:r>
      <w:r w:rsidR="009B2B9F">
        <w:t xml:space="preserve"> risks associated with the use of sildenafil</w:t>
      </w:r>
      <w:r w:rsidR="00E55BAE">
        <w:t xml:space="preserve"> as a Pharmacist Only</w:t>
      </w:r>
      <w:r w:rsidR="00615BC6">
        <w:t xml:space="preserve"> </w:t>
      </w:r>
      <w:r w:rsidR="00255228">
        <w:t xml:space="preserve">medicine </w:t>
      </w:r>
      <w:r w:rsidR="00615BC6">
        <w:t>(</w:t>
      </w:r>
      <w:r w:rsidR="000718BF">
        <w:t>S</w:t>
      </w:r>
      <w:r w:rsidR="00615BC6">
        <w:t>chedule 3)</w:t>
      </w:r>
      <w:r w:rsidR="00E55BAE">
        <w:t xml:space="preserve"> </w:t>
      </w:r>
      <w:r w:rsidR="00D750E1">
        <w:t xml:space="preserve">despite these measures.  </w:t>
      </w:r>
      <w:r w:rsidR="00091EE3">
        <w:t>Specifically</w:t>
      </w:r>
      <w:r w:rsidR="009905C4">
        <w:t>,</w:t>
      </w:r>
      <w:r w:rsidR="004B3B77">
        <w:t xml:space="preserve"> the risk</w:t>
      </w:r>
      <w:r w:rsidR="00091EE3">
        <w:t xml:space="preserve"> that making sildenafil available over the counter could lead to i</w:t>
      </w:r>
      <w:r w:rsidR="00091EE3" w:rsidRPr="00091EE3">
        <w:t xml:space="preserve">nadequate medical assessments, incorrect diagnosis, and the missed opportunity to </w:t>
      </w:r>
      <w:r w:rsidR="00C1097B">
        <w:t>treat</w:t>
      </w:r>
      <w:r w:rsidR="00C1097B" w:rsidRPr="00C1097B">
        <w:t xml:space="preserve"> any </w:t>
      </w:r>
      <w:r w:rsidR="00C1097B">
        <w:t xml:space="preserve">underlying </w:t>
      </w:r>
      <w:r w:rsidR="00091EE3">
        <w:t xml:space="preserve">causational </w:t>
      </w:r>
      <w:r w:rsidR="00C1097B" w:rsidRPr="00C1097B">
        <w:t>health conditions</w:t>
      </w:r>
      <w:r w:rsidR="004B3B77">
        <w:t>.</w:t>
      </w:r>
    </w:p>
    <w:p w14:paraId="2D96DD11" w14:textId="77777777" w:rsidR="00255228" w:rsidRDefault="00255228">
      <w:r>
        <w:br w:type="page"/>
      </w:r>
    </w:p>
    <w:p w14:paraId="7D175761" w14:textId="0F6EED6B" w:rsidR="000871F7" w:rsidRPr="00091EE3" w:rsidRDefault="00B063A1" w:rsidP="000871F7">
      <w:r w:rsidRPr="000871F7">
        <w:lastRenderedPageBreak/>
        <w:t xml:space="preserve">I am not satisfied </w:t>
      </w:r>
      <w:r>
        <w:t>the risks are adequately reduced following t</w:t>
      </w:r>
      <w:r w:rsidR="00B90317">
        <w:t>he modest findings of the observational study</w:t>
      </w:r>
      <w:r>
        <w:t xml:space="preserve"> provided by the applicant, which</w:t>
      </w:r>
      <w:r w:rsidR="00590D0F">
        <w:t xml:space="preserve"> includes</w:t>
      </w:r>
      <w:r>
        <w:t xml:space="preserve"> the availability of 50 mg</w:t>
      </w:r>
      <w:r w:rsidR="00590D0F">
        <w:t xml:space="preserve"> tablets of</w:t>
      </w:r>
      <w:r>
        <w:t xml:space="preserve"> sildenafil as pharmacy medicine in the UK. </w:t>
      </w:r>
      <w:r w:rsidR="00B90317">
        <w:t xml:space="preserve"> </w:t>
      </w:r>
      <w:r w:rsidR="00D750E1">
        <w:t xml:space="preserve"> </w:t>
      </w:r>
      <w:r w:rsidR="004B3B77">
        <w:t xml:space="preserve"> </w:t>
      </w:r>
    </w:p>
    <w:p w14:paraId="7576D70A" w14:textId="77777777" w:rsidR="00406E89" w:rsidRPr="000871F7" w:rsidRDefault="00406E89" w:rsidP="00406E89">
      <w:pPr>
        <w:rPr>
          <w:rFonts w:cs="Arial"/>
        </w:rPr>
      </w:pPr>
      <w:r w:rsidRPr="000871F7">
        <w:rPr>
          <w:rFonts w:cs="Arial"/>
        </w:rPr>
        <w:t>Sildenafil has been considered for down scheduling on</w:t>
      </w:r>
      <w:r>
        <w:rPr>
          <w:rFonts w:cs="Arial"/>
        </w:rPr>
        <w:t xml:space="preserve"> 3</w:t>
      </w:r>
      <w:r w:rsidRPr="000871F7">
        <w:rPr>
          <w:rFonts w:cs="Arial"/>
        </w:rPr>
        <w:t xml:space="preserve"> previous occasions, in</w:t>
      </w:r>
      <w:r w:rsidRPr="000871F7">
        <w:rPr>
          <w:rFonts w:eastAsia="Times New Roman" w:cs="Arial"/>
          <w:color w:val="313131"/>
          <w:sz w:val="24"/>
          <w:szCs w:val="24"/>
          <w:lang w:eastAsia="en-AU"/>
        </w:rPr>
        <w:t> </w:t>
      </w:r>
      <w:hyperlink r:id="rId16" w:history="1">
        <w:r w:rsidRPr="000871F7">
          <w:rPr>
            <w:rStyle w:val="Hyperlink"/>
            <w:rFonts w:eastAsia="Times New Roman" w:cs="Arial"/>
            <w:lang w:eastAsia="en-AU"/>
          </w:rPr>
          <w:t>2017</w:t>
        </w:r>
      </w:hyperlink>
      <w:r w:rsidRPr="000871F7">
        <w:rPr>
          <w:rFonts w:cs="Arial"/>
        </w:rPr>
        <w:t xml:space="preserve">, </w:t>
      </w:r>
      <w:hyperlink r:id="rId17" w:history="1">
        <w:r w:rsidRPr="000871F7">
          <w:rPr>
            <w:rStyle w:val="Hyperlink"/>
            <w:lang w:eastAsia="en-AU"/>
          </w:rPr>
          <w:t>2018</w:t>
        </w:r>
      </w:hyperlink>
      <w:r w:rsidRPr="000871F7">
        <w:rPr>
          <w:rFonts w:eastAsia="Times New Roman" w:cs="Arial"/>
          <w:color w:val="313131"/>
          <w:sz w:val="24"/>
          <w:szCs w:val="24"/>
          <w:lang w:eastAsia="en-AU"/>
        </w:rPr>
        <w:t xml:space="preserve"> </w:t>
      </w:r>
      <w:r w:rsidRPr="000871F7">
        <w:rPr>
          <w:rFonts w:cs="Arial"/>
        </w:rPr>
        <w:t xml:space="preserve">and </w:t>
      </w:r>
      <w:hyperlink r:id="rId18" w:history="1">
        <w:r w:rsidRPr="000871F7">
          <w:rPr>
            <w:rStyle w:val="Hyperlink"/>
            <w:lang w:eastAsia="en-AU"/>
          </w:rPr>
          <w:t>2020</w:t>
        </w:r>
      </w:hyperlink>
      <w:r w:rsidRPr="000871F7">
        <w:rPr>
          <w:rFonts w:cs="Arial"/>
        </w:rPr>
        <w:t xml:space="preserve">. </w:t>
      </w:r>
      <w:r>
        <w:rPr>
          <w:rFonts w:cs="Arial"/>
        </w:rPr>
        <w:t xml:space="preserve">I remain concerned of other risks raised in previous decisions, including the misuse of sildenafil. </w:t>
      </w:r>
      <w:r w:rsidRPr="000871F7">
        <w:rPr>
          <w:rFonts w:cs="Arial"/>
        </w:rPr>
        <w:t xml:space="preserve">I </w:t>
      </w:r>
      <w:r>
        <w:rPr>
          <w:rFonts w:cs="Arial"/>
        </w:rPr>
        <w:t xml:space="preserve">agree with the conclusions of previous decisions that </w:t>
      </w:r>
      <w:r w:rsidRPr="000871F7">
        <w:rPr>
          <w:rFonts w:cs="Arial"/>
        </w:rPr>
        <w:t xml:space="preserve">it was most appropriate for sildenafil to be retained exclusively in Schedule 4. </w:t>
      </w:r>
    </w:p>
    <w:p w14:paraId="0380312F" w14:textId="1F9F1FAC" w:rsidR="000871F7" w:rsidRPr="000871F7" w:rsidRDefault="000871F7" w:rsidP="000871F7">
      <w:pPr>
        <w:rPr>
          <w:rFonts w:cs="Arial"/>
        </w:rPr>
      </w:pPr>
      <w:r w:rsidRPr="000871F7">
        <w:t>I</w:t>
      </w:r>
      <w:r w:rsidR="00406E89">
        <w:t>n my</w:t>
      </w:r>
      <w:r w:rsidRPr="000871F7">
        <w:t xml:space="preserve"> view there is an insufficient body of new evidence to support the down</w:t>
      </w:r>
      <w:r w:rsidR="00406E89">
        <w:t>-</w:t>
      </w:r>
      <w:r w:rsidRPr="000871F7">
        <w:t xml:space="preserve">scheduling of sildenafil since it was last considered in 2020. </w:t>
      </w:r>
    </w:p>
    <w:p w14:paraId="3920D185" w14:textId="7A4F0CE5" w:rsidR="00B96678" w:rsidRDefault="00B96678">
      <w:r>
        <w:br w:type="page"/>
      </w:r>
    </w:p>
    <w:p w14:paraId="3B129FA7" w14:textId="53531E36" w:rsidR="00F02AEC" w:rsidRPr="00B03B68" w:rsidRDefault="005A34E2" w:rsidP="00B94C08">
      <w:pPr>
        <w:pStyle w:val="Heading2"/>
      </w:pPr>
      <w:bookmarkStart w:id="14" w:name="_Toc177645050"/>
      <w:r w:rsidRPr="00B03B68">
        <w:lastRenderedPageBreak/>
        <w:t>Interim decision</w:t>
      </w:r>
      <w:r w:rsidR="00AB4A25">
        <w:t>s</w:t>
      </w:r>
      <w:r w:rsidRPr="00B03B68">
        <w:t xml:space="preserve"> on proposed amendments referred to the Advisory Committee on Chemicals Scheduling (ACCS</w:t>
      </w:r>
      <w:r w:rsidR="005212A2" w:rsidRPr="00B03B68">
        <w:t> </w:t>
      </w:r>
      <w:r w:rsidRPr="00B03B68">
        <w:t>#</w:t>
      </w:r>
      <w:r w:rsidR="00AB4A25">
        <w:t>39</w:t>
      </w:r>
      <w:r w:rsidRPr="00B03B68">
        <w:t>,</w:t>
      </w:r>
      <w:r w:rsidR="005212A2" w:rsidRPr="00B03B68">
        <w:t> </w:t>
      </w:r>
      <w:r w:rsidR="00AB4A25">
        <w:t>June</w:t>
      </w:r>
      <w:r w:rsidR="005212A2" w:rsidRPr="00B03B68">
        <w:t> </w:t>
      </w:r>
      <w:r w:rsidRPr="00B03B68">
        <w:t>20</w:t>
      </w:r>
      <w:r w:rsidR="00AB4A25">
        <w:t>24</w:t>
      </w:r>
      <w:r w:rsidRPr="00B03B68">
        <w:t>)</w:t>
      </w:r>
      <w:bookmarkEnd w:id="14"/>
    </w:p>
    <w:p w14:paraId="59AB6A65" w14:textId="77777777" w:rsidR="006F72E6" w:rsidRPr="00B03B68" w:rsidRDefault="006F72E6" w:rsidP="006F72E6">
      <w:pPr>
        <w:pStyle w:val="Heading3"/>
      </w:pPr>
      <w:bookmarkStart w:id="15" w:name="_Toc177645051"/>
      <w:bookmarkEnd w:id="3"/>
      <w:bookmarkEnd w:id="4"/>
      <w:r w:rsidRPr="00B03B68">
        <w:t xml:space="preserve">Interim decision in relation to </w:t>
      </w:r>
      <w:r>
        <w:t>allyl esters</w:t>
      </w:r>
      <w:bookmarkEnd w:id="15"/>
    </w:p>
    <w:p w14:paraId="201D8607" w14:textId="77777777" w:rsidR="006F72E6" w:rsidRPr="00B03B68" w:rsidRDefault="006F72E6" w:rsidP="006F72E6">
      <w:pPr>
        <w:pStyle w:val="Heading4"/>
      </w:pPr>
      <w:bookmarkStart w:id="16" w:name="_Toc177645052"/>
      <w:r w:rsidRPr="00B03B68">
        <w:t>Proposal</w:t>
      </w:r>
      <w:bookmarkEnd w:id="16"/>
    </w:p>
    <w:p w14:paraId="27AB6C26" w14:textId="4C5F83B4" w:rsidR="006F72E6" w:rsidRPr="00B03B68" w:rsidRDefault="006F72E6" w:rsidP="006F72E6">
      <w:r w:rsidRPr="00B03B68">
        <w:t xml:space="preserve">The </w:t>
      </w:r>
      <w:r w:rsidR="000D7877">
        <w:t>D</w:t>
      </w:r>
      <w:r>
        <w:t>elegate</w:t>
      </w:r>
      <w:r w:rsidRPr="00B03B68">
        <w:t xml:space="preserve"> proposed</w:t>
      </w:r>
      <w:r>
        <w:t xml:space="preserve"> an amendment to the Schedule 6 entry for allyl esters to include </w:t>
      </w:r>
      <w:r w:rsidRPr="00CA450F">
        <w:t xml:space="preserve">allyl </w:t>
      </w:r>
      <w:proofErr w:type="spellStart"/>
      <w:r w:rsidRPr="00CA450F">
        <w:t>phenoxyacetate</w:t>
      </w:r>
      <w:proofErr w:type="spellEnd"/>
      <w:r>
        <w:t xml:space="preserve">; </w:t>
      </w:r>
      <w:r w:rsidRPr="00CA450F">
        <w:t>allyl amyl glycolate</w:t>
      </w:r>
      <w:r>
        <w:t xml:space="preserve">; </w:t>
      </w:r>
      <w:r w:rsidRPr="00CA450F">
        <w:t>allyl (2-</w:t>
      </w:r>
      <w:proofErr w:type="gramStart"/>
      <w:r w:rsidRPr="00CA450F">
        <w:t>methylbutoxy)acetate</w:t>
      </w:r>
      <w:proofErr w:type="gramEnd"/>
      <w:r>
        <w:t xml:space="preserve">; and </w:t>
      </w:r>
      <w:r w:rsidRPr="00921F43">
        <w:t>allyl (</w:t>
      </w:r>
      <w:proofErr w:type="spellStart"/>
      <w:r w:rsidRPr="00921F43">
        <w:t>cyclohexyloxy</w:t>
      </w:r>
      <w:proofErr w:type="spellEnd"/>
      <w:r w:rsidRPr="00921F43">
        <w:t>)acetate</w:t>
      </w:r>
      <w:r>
        <w:t xml:space="preserve">. The proposal was initiated </w:t>
      </w:r>
      <w:r w:rsidRPr="0047573F">
        <w:t>following a recommendation by the National Industrial Chemicals Notification</w:t>
      </w:r>
      <w:r>
        <w:t xml:space="preserve"> </w:t>
      </w:r>
      <w:r w:rsidRPr="0047573F">
        <w:t>and Assessment Scheme (NICNAS; now known as the Australian Industrial Chemicals Introduction</w:t>
      </w:r>
      <w:r>
        <w:t xml:space="preserve"> </w:t>
      </w:r>
      <w:r w:rsidRPr="0047573F">
        <w:t xml:space="preserve">Scheme, AICIS) in their </w:t>
      </w:r>
      <w:r w:rsidR="000071A4" w:rsidRPr="000071A4">
        <w:rPr>
          <w:rFonts w:cs="Arial"/>
        </w:rPr>
        <w:t xml:space="preserve">evaluation </w:t>
      </w:r>
      <w:r w:rsidRPr="000071A4">
        <w:rPr>
          <w:rFonts w:cs="Arial"/>
        </w:rPr>
        <w:t xml:space="preserve">of </w:t>
      </w:r>
      <w:hyperlink r:id="rId19" w:history="1">
        <w:r w:rsidRPr="000071A4">
          <w:rPr>
            <w:rStyle w:val="Hyperlink"/>
            <w:rFonts w:cs="Arial"/>
          </w:rPr>
          <w:t>allyl esters of acetic acid ethers</w:t>
        </w:r>
      </w:hyperlink>
      <w:r>
        <w:rPr>
          <w:rFonts w:cs="Arial"/>
          <w:color w:val="0000FF"/>
        </w:rPr>
        <w:t xml:space="preserve"> </w:t>
      </w:r>
      <w:r w:rsidRPr="0047573F">
        <w:t xml:space="preserve">published in </w:t>
      </w:r>
      <w:r w:rsidR="00255228" w:rsidRPr="0047573F">
        <w:t>June</w:t>
      </w:r>
      <w:r w:rsidR="00255228">
        <w:t> </w:t>
      </w:r>
      <w:r w:rsidRPr="0047573F">
        <w:t>2019</w:t>
      </w:r>
      <w:r>
        <w:t>. These substances are</w:t>
      </w:r>
      <w:r w:rsidRPr="00B03B68">
        <w:t xml:space="preserve"> currently captured in</w:t>
      </w:r>
      <w:r>
        <w:t xml:space="preserve"> </w:t>
      </w:r>
      <w:r w:rsidRPr="00B03B68">
        <w:t xml:space="preserve">the Poisons Standard </w:t>
      </w:r>
      <w:r>
        <w:t>under the Schedule 7 and Appendix J entries for allyl alcohol.</w:t>
      </w:r>
    </w:p>
    <w:p w14:paraId="7660AAB8" w14:textId="77777777" w:rsidR="006F72E6" w:rsidRPr="00B03B68" w:rsidRDefault="006F72E6" w:rsidP="006F72E6">
      <w:pPr>
        <w:pStyle w:val="Heading4"/>
      </w:pPr>
      <w:bookmarkStart w:id="17" w:name="_Toc177645053"/>
      <w:r w:rsidRPr="00B03B68">
        <w:t>Interim decision</w:t>
      </w:r>
      <w:bookmarkEnd w:id="17"/>
    </w:p>
    <w:p w14:paraId="222574A1" w14:textId="22C7CFF4" w:rsidR="006F72E6" w:rsidRPr="00B03B68" w:rsidRDefault="006F72E6" w:rsidP="003F5D67">
      <w:r w:rsidRPr="00B03B68">
        <w:t>Pursuant to regulation 42ZCZN of the Regulations, the Delegate has, in relation to the proposed amendment, made an interim decision</w:t>
      </w:r>
      <w:r>
        <w:t xml:space="preserve"> not to amend the </w:t>
      </w:r>
      <w:r w:rsidRPr="00ED798C">
        <w:t>current Poisons Standard in relation to</w:t>
      </w:r>
      <w:r>
        <w:t xml:space="preserve"> </w:t>
      </w:r>
      <w:r w:rsidRPr="00532318">
        <w:t>allyl amyl glycolate</w:t>
      </w:r>
      <w:r>
        <w:t xml:space="preserve"> or</w:t>
      </w:r>
      <w:r w:rsidRPr="00532318">
        <w:t xml:space="preserve"> allyl (2-</w:t>
      </w:r>
      <w:proofErr w:type="gramStart"/>
      <w:r w:rsidRPr="00532318">
        <w:t>methylbutoxy)acetate</w:t>
      </w:r>
      <w:proofErr w:type="gramEnd"/>
      <w:r>
        <w:t xml:space="preserve">, which will continue to be captured under the Schedule 7 and Appendix J entries for allyl alcohol. The delegate has also </w:t>
      </w:r>
      <w:proofErr w:type="gramStart"/>
      <w:r>
        <w:t>made a decision</w:t>
      </w:r>
      <w:proofErr w:type="gramEnd"/>
      <w:r>
        <w:t xml:space="preserve"> to</w:t>
      </w:r>
      <w:r w:rsidRPr="00ED798C">
        <w:t xml:space="preserve"> amend the current Poisons Standard in relation to</w:t>
      </w:r>
      <w:r>
        <w:t xml:space="preserve"> </w:t>
      </w:r>
      <w:r w:rsidRPr="00251509">
        <w:t xml:space="preserve">allyl </w:t>
      </w:r>
      <w:proofErr w:type="spellStart"/>
      <w:r w:rsidRPr="00251509">
        <w:t>phenoxyacetate</w:t>
      </w:r>
      <w:proofErr w:type="spellEnd"/>
      <w:r>
        <w:t xml:space="preserve"> and </w:t>
      </w:r>
      <w:r w:rsidRPr="00251509">
        <w:t>allyl (</w:t>
      </w:r>
      <w:proofErr w:type="spellStart"/>
      <w:r w:rsidRPr="00251509">
        <w:t>cyclohexyloxy</w:t>
      </w:r>
      <w:proofErr w:type="spellEnd"/>
      <w:r w:rsidRPr="00251509">
        <w:t>)acetate</w:t>
      </w:r>
      <w:r>
        <w:t>, as follows:</w:t>
      </w:r>
      <w:r w:rsidR="00660A72">
        <w:rPr>
          <w:rStyle w:val="FootnoteReference"/>
        </w:rPr>
        <w:footnoteReference w:id="12"/>
      </w:r>
    </w:p>
    <w:p w14:paraId="11F81BA2" w14:textId="77777777" w:rsidR="006F72E6" w:rsidRPr="00B94C08" w:rsidRDefault="006F72E6" w:rsidP="00417551">
      <w:pPr>
        <w:ind w:left="425"/>
        <w:rPr>
          <w:b/>
          <w:bCs/>
        </w:rPr>
      </w:pPr>
      <w:r w:rsidRPr="00B94C08">
        <w:rPr>
          <w:b/>
          <w:bCs/>
        </w:rPr>
        <w:t>Schedule</w:t>
      </w:r>
      <w:r>
        <w:rPr>
          <w:b/>
          <w:bCs/>
        </w:rPr>
        <w:t xml:space="preserve"> 6</w:t>
      </w:r>
      <w:r w:rsidRPr="00B94C08">
        <w:rPr>
          <w:b/>
          <w:bCs/>
        </w:rPr>
        <w:t xml:space="preserve"> – Amend</w:t>
      </w:r>
      <w:r>
        <w:rPr>
          <w:b/>
          <w:bCs/>
        </w:rPr>
        <w:t xml:space="preserve"> </w:t>
      </w:r>
      <w:r w:rsidRPr="00B94C08">
        <w:rPr>
          <w:b/>
          <w:bCs/>
        </w:rPr>
        <w:t>Entry</w:t>
      </w:r>
    </w:p>
    <w:p w14:paraId="7648D2D7" w14:textId="760A21C2" w:rsidR="006F72E6" w:rsidRDefault="006F72E6" w:rsidP="00417551">
      <w:pPr>
        <w:ind w:left="567"/>
      </w:pPr>
      <w:r w:rsidRPr="00CB6C5C">
        <w:t>ALLYL ESTERS (excluding derivatives) being:</w:t>
      </w:r>
    </w:p>
    <w:p w14:paraId="62CD7CC3" w14:textId="77777777" w:rsidR="006F72E6" w:rsidRDefault="006F72E6" w:rsidP="00417551">
      <w:pPr>
        <w:pStyle w:val="ListBulleta"/>
        <w:ind w:left="1434" w:hanging="357"/>
      </w:pPr>
      <w:r w:rsidRPr="00BA4B60">
        <w:t>ALLYL CYCLOHEXANEACETATE (CAS No. 4728-82-9); o</w:t>
      </w:r>
      <w:r>
        <w:t>r</w:t>
      </w:r>
    </w:p>
    <w:p w14:paraId="00382C05" w14:textId="77777777" w:rsidR="006F72E6" w:rsidRDefault="006F72E6" w:rsidP="00417551">
      <w:pPr>
        <w:pStyle w:val="ListBulleta"/>
        <w:ind w:left="1434" w:hanging="357"/>
      </w:pPr>
      <w:r>
        <w:t>ALLYL CYCLOHEXANEPROPIONATE (CAS No. 2705-87-5); or</w:t>
      </w:r>
    </w:p>
    <w:p w14:paraId="05FD73DE" w14:textId="77777777" w:rsidR="006F72E6" w:rsidRDefault="006F72E6" w:rsidP="00417551">
      <w:pPr>
        <w:pStyle w:val="ListBulleta"/>
        <w:ind w:left="1434" w:hanging="357"/>
      </w:pPr>
      <w:r>
        <w:t>ALLYL HEPTANOATE/ALLYL HEPTYLATE (CAS No. 142-19-8); or</w:t>
      </w:r>
    </w:p>
    <w:p w14:paraId="6752BA07" w14:textId="77777777" w:rsidR="006F72E6" w:rsidRDefault="006F72E6" w:rsidP="00417551">
      <w:pPr>
        <w:pStyle w:val="ListBulleta"/>
        <w:ind w:left="1434" w:hanging="357"/>
      </w:pPr>
      <w:r>
        <w:t>ALLYL HEXANOATE (CAS No. 123-68-2); or</w:t>
      </w:r>
    </w:p>
    <w:p w14:paraId="6BB79776" w14:textId="77777777" w:rsidR="006F72E6" w:rsidRDefault="006F72E6" w:rsidP="00417551">
      <w:pPr>
        <w:pStyle w:val="ListBulleta"/>
        <w:ind w:left="1434" w:hanging="357"/>
      </w:pPr>
      <w:r>
        <w:t>ALLYL ISOVALERATE (CAS No. 2835-39-4); or</w:t>
      </w:r>
    </w:p>
    <w:p w14:paraId="7D3A79A8" w14:textId="77777777" w:rsidR="006F72E6" w:rsidRDefault="006F72E6" w:rsidP="00417551">
      <w:pPr>
        <w:pStyle w:val="ListBulleta"/>
        <w:ind w:left="1434" w:hanging="357"/>
      </w:pPr>
      <w:r>
        <w:t>ALLYL NONANOATE (CAS No. 7493-72-3); or</w:t>
      </w:r>
    </w:p>
    <w:p w14:paraId="475A2288" w14:textId="77777777" w:rsidR="006F72E6" w:rsidRDefault="006F72E6" w:rsidP="00417551">
      <w:pPr>
        <w:pStyle w:val="ListBulleta"/>
        <w:ind w:left="1434" w:hanging="357"/>
      </w:pPr>
      <w:r>
        <w:t>ALLYL OCTANOATE (CAS No. 4230-97-1); or</w:t>
      </w:r>
    </w:p>
    <w:p w14:paraId="67EBA906" w14:textId="77777777" w:rsidR="006F72E6" w:rsidRDefault="006F72E6" w:rsidP="00417551">
      <w:pPr>
        <w:pStyle w:val="ListBulleta"/>
        <w:ind w:left="1434" w:hanging="357"/>
      </w:pPr>
      <w:r>
        <w:t>ALLYL PHENYLACETATE (CAS No. 1797-74-6); or</w:t>
      </w:r>
    </w:p>
    <w:p w14:paraId="56C0416A" w14:textId="77777777" w:rsidR="006F72E6" w:rsidRDefault="006F72E6" w:rsidP="00417551">
      <w:pPr>
        <w:pStyle w:val="ListBulleta"/>
        <w:ind w:left="1434" w:hanging="357"/>
      </w:pPr>
      <w:r>
        <w:t>ALLYL TRIMETHYLHEXANOATE (CAS No. 68132-80-9); or</w:t>
      </w:r>
    </w:p>
    <w:p w14:paraId="289A717A" w14:textId="77777777" w:rsidR="006F72E6" w:rsidRPr="00AD0964" w:rsidRDefault="006F72E6" w:rsidP="00417551">
      <w:pPr>
        <w:pStyle w:val="Style2"/>
        <w:ind w:left="1434" w:hanging="357"/>
      </w:pPr>
      <w:r w:rsidRPr="00AD0964">
        <w:t>ALLYL PHENOXYACETATE (CAS No. 7493-74-5); or</w:t>
      </w:r>
    </w:p>
    <w:p w14:paraId="4800135C" w14:textId="77777777" w:rsidR="006F72E6" w:rsidRPr="00AD0964" w:rsidRDefault="006F72E6" w:rsidP="00417551">
      <w:pPr>
        <w:pStyle w:val="Style2"/>
        <w:ind w:left="1434" w:hanging="357"/>
      </w:pPr>
      <w:r w:rsidRPr="00AD0964">
        <w:t>ALLYL (CYCLOHEXYLOXY)ACETATE (CAS No. 68901-15-5</w:t>
      </w:r>
      <w:proofErr w:type="gramStart"/>
      <w:r w:rsidRPr="00AD0964">
        <w:t>);</w:t>
      </w:r>
      <w:proofErr w:type="gramEnd"/>
    </w:p>
    <w:p w14:paraId="45F3998C" w14:textId="77777777" w:rsidR="006F72E6" w:rsidRPr="00CB2C1C" w:rsidRDefault="006F72E6" w:rsidP="00417551">
      <w:pPr>
        <w:pStyle w:val="ListBulleta"/>
        <w:numPr>
          <w:ilvl w:val="0"/>
          <w:numId w:val="0"/>
        </w:numPr>
        <w:ind w:left="567"/>
      </w:pPr>
      <w:r w:rsidRPr="00C65784">
        <w:t>in preparations containing 0.1% or less of free allyl alcohol by weight of allyl ester except in preparations containing 5% or less of allyl esters with 0.1% or less of free allyl alcohol by weight of allyl esters.</w:t>
      </w:r>
    </w:p>
    <w:p w14:paraId="2D5663A1" w14:textId="77777777" w:rsidR="006F72E6" w:rsidRPr="00B94C08" w:rsidRDefault="006F72E6" w:rsidP="00417551">
      <w:pPr>
        <w:ind w:left="425"/>
        <w:rPr>
          <w:b/>
          <w:bCs/>
        </w:rPr>
      </w:pPr>
      <w:r w:rsidRPr="00B94C08">
        <w:rPr>
          <w:b/>
          <w:bCs/>
        </w:rPr>
        <w:lastRenderedPageBreak/>
        <w:t>Index</w:t>
      </w:r>
    </w:p>
    <w:p w14:paraId="6638F42C" w14:textId="77777777" w:rsidR="006F72E6" w:rsidRPr="00343A3B" w:rsidRDefault="006F72E6" w:rsidP="00417551">
      <w:pPr>
        <w:ind w:left="425" w:firstLine="295"/>
      </w:pPr>
      <w:r w:rsidRPr="00343A3B">
        <w:rPr>
          <w:b/>
          <w:bCs/>
        </w:rPr>
        <w:t xml:space="preserve">ALLYL ESTERS </w:t>
      </w:r>
      <w:r w:rsidRPr="00343A3B">
        <w:t>(excluding derivatives)</w:t>
      </w:r>
    </w:p>
    <w:p w14:paraId="31FC3046" w14:textId="77777777" w:rsidR="006F72E6" w:rsidRPr="00B03B68" w:rsidRDefault="006F72E6" w:rsidP="00417551">
      <w:pPr>
        <w:ind w:left="425" w:firstLine="295"/>
      </w:pPr>
      <w:r w:rsidRPr="00343A3B">
        <w:t>Schedule 6</w:t>
      </w:r>
    </w:p>
    <w:p w14:paraId="32D4C3AC" w14:textId="77777777" w:rsidR="006F72E6" w:rsidRPr="00B03B68" w:rsidRDefault="006F72E6" w:rsidP="006F72E6">
      <w:pPr>
        <w:pStyle w:val="Heading4"/>
      </w:pPr>
      <w:bookmarkStart w:id="18" w:name="_Toc177645054"/>
      <w:r w:rsidRPr="00B03B68">
        <w:t xml:space="preserve">Materials </w:t>
      </w:r>
      <w:proofErr w:type="gramStart"/>
      <w:r w:rsidRPr="00B03B68">
        <w:t>considered</w:t>
      </w:r>
      <w:bookmarkEnd w:id="18"/>
      <w:proofErr w:type="gramEnd"/>
    </w:p>
    <w:p w14:paraId="276379F3" w14:textId="77777777" w:rsidR="006F72E6" w:rsidRPr="00B03B68" w:rsidRDefault="006F72E6" w:rsidP="006F72E6">
      <w:pPr>
        <w:pStyle w:val="ListBullet"/>
        <w:numPr>
          <w:ilvl w:val="0"/>
          <w:numId w:val="0"/>
        </w:numPr>
        <w:ind w:left="360" w:hanging="360"/>
      </w:pPr>
      <w:r w:rsidRPr="00B03B68">
        <w:t>In making this interim decision, the Delegate considered the following material:</w:t>
      </w:r>
    </w:p>
    <w:p w14:paraId="2E4A184D" w14:textId="66DA38F4" w:rsidR="006F72E6" w:rsidRPr="00B03B68" w:rsidRDefault="006F72E6" w:rsidP="006F72E6">
      <w:pPr>
        <w:pStyle w:val="ListBullet"/>
      </w:pPr>
      <w:r w:rsidRPr="00B03B68">
        <w:t>The</w:t>
      </w:r>
      <w:sdt>
        <w:sdtPr>
          <w:alias w:val="Hyperlink to TGA website"/>
          <w:tag w:val="Hyperlink to TGA website"/>
          <w:id w:val="-1934419110"/>
          <w:placeholder>
            <w:docPart w:val="BD98A9E62A72497FAD558B21FA775A86"/>
          </w:placeholder>
        </w:sdtPr>
        <w:sdtEndPr/>
        <w:sdtContent>
          <w:r w:rsidRPr="00B03B68">
            <w:t xml:space="preserve"> </w:t>
          </w:r>
          <w:r w:rsidR="002B2D4A">
            <w:t>proposal</w:t>
          </w:r>
        </w:sdtContent>
      </w:sdt>
      <w:r w:rsidRPr="00B03B68">
        <w:t xml:space="preserve"> to amend the current Poisons Standard with respect to </w:t>
      </w:r>
      <w:sdt>
        <w:sdtPr>
          <w:id w:val="-2041274307"/>
          <w:placeholder>
            <w:docPart w:val="964E14EA572E4109BCEDA31C8300DA1C"/>
          </w:placeholder>
        </w:sdtPr>
        <w:sdtEndPr>
          <w:rPr>
            <w:highlight w:val="yellow"/>
          </w:rPr>
        </w:sdtEndPr>
        <w:sdtContent>
          <w:r w:rsidRPr="00BD7D54">
            <w:t xml:space="preserve">allyl </w:t>
          </w:r>
          <w:proofErr w:type="spellStart"/>
          <w:r w:rsidRPr="00BD7D54">
            <w:t>phenoxyacetate</w:t>
          </w:r>
          <w:proofErr w:type="spellEnd"/>
          <w:r>
            <w:t>,</w:t>
          </w:r>
          <w:r w:rsidRPr="00BD7D54">
            <w:t xml:space="preserve"> allyl amyl glycolate</w:t>
          </w:r>
          <w:r>
            <w:t>,</w:t>
          </w:r>
          <w:r w:rsidRPr="00BD7D54">
            <w:t xml:space="preserve"> allyl (2-methylbutoxy)</w:t>
          </w:r>
          <w:r w:rsidR="002B7DAC">
            <w:t xml:space="preserve"> </w:t>
          </w:r>
          <w:r w:rsidRPr="00BD7D54">
            <w:t>acetate</w:t>
          </w:r>
          <w:r>
            <w:t>,</w:t>
          </w:r>
          <w:r w:rsidRPr="00BD7D54">
            <w:t xml:space="preserve"> and allyl (</w:t>
          </w:r>
          <w:proofErr w:type="spellStart"/>
          <w:r w:rsidRPr="00BD7D54">
            <w:t>cyclohexyloxy</w:t>
          </w:r>
          <w:proofErr w:type="spellEnd"/>
          <w:r w:rsidRPr="00BD7D54">
            <w:t>)</w:t>
          </w:r>
          <w:r w:rsidR="003F5D67">
            <w:t xml:space="preserve"> </w:t>
          </w:r>
          <w:r w:rsidRPr="00BD7D54">
            <w:t>acetate</w:t>
          </w:r>
        </w:sdtContent>
      </w:sdt>
      <w:r w:rsidRPr="00B03B68">
        <w:t xml:space="preserve"> (the </w:t>
      </w:r>
      <w:r w:rsidR="002B2D4A">
        <w:t>Proposal</w:t>
      </w:r>
      <w:r w:rsidRPr="00B03B68">
        <w:t>)</w:t>
      </w:r>
    </w:p>
    <w:p w14:paraId="6B92FE36" w14:textId="2A499FAB" w:rsidR="006F72E6" w:rsidRPr="00B03B68" w:rsidRDefault="006F72E6" w:rsidP="006F72E6">
      <w:pPr>
        <w:pStyle w:val="ListBullet"/>
      </w:pPr>
      <w:r w:rsidRPr="00B03B68">
        <w:t>T</w:t>
      </w:r>
      <w:sdt>
        <w:sdtPr>
          <w:id w:val="-1517530968"/>
          <w:placeholder>
            <w:docPart w:val="378D6FE3A3D04B5FB2251F5B8AB92C1E"/>
          </w:placeholder>
        </w:sdtPr>
        <w:sdtEndPr/>
        <w:sdtContent>
          <w:r w:rsidRPr="00B03B68">
            <w:t>h</w:t>
          </w:r>
          <w:r w:rsidR="00406E89">
            <w:t>at there were no</w:t>
          </w:r>
          <w:r>
            <w:t xml:space="preserve"> </w:t>
          </w:r>
          <w:r w:rsidRPr="00B03B68">
            <w:t xml:space="preserve">public submissions received in response to the </w:t>
          </w:r>
          <w:hyperlink r:id="rId20" w:history="1">
            <w:r w:rsidRPr="00675C69">
              <w:rPr>
                <w:rStyle w:val="Hyperlink"/>
              </w:rPr>
              <w:t>pre-meeting consultation</w:t>
            </w:r>
          </w:hyperlink>
          <w:r w:rsidRPr="00B03B68">
            <w:t xml:space="preserve"> under regulation 42ZCZK of the Regulations</w:t>
          </w:r>
        </w:sdtContent>
      </w:sdt>
      <w:r w:rsidRPr="00B03B68">
        <w:t xml:space="preserve"> (the Submissions)</w:t>
      </w:r>
    </w:p>
    <w:p w14:paraId="012F5F52" w14:textId="77777777" w:rsidR="006F72E6" w:rsidRPr="004B35E4" w:rsidRDefault="006F72E6" w:rsidP="006F72E6">
      <w:pPr>
        <w:pStyle w:val="ListBullet"/>
      </w:pPr>
      <w:r w:rsidRPr="00B03B68">
        <w:t>T</w:t>
      </w:r>
      <w:sdt>
        <w:sdtPr>
          <w:id w:val="1697585769"/>
          <w:placeholder>
            <w:docPart w:val="964E14EA572E4109BCEDA31C8300DA1C"/>
          </w:placeholder>
        </w:sdtPr>
        <w:sdtEndPr/>
        <w:sdtContent>
          <w:proofErr w:type="gramStart"/>
          <w:r w:rsidRPr="004B35E4">
            <w:t>he</w:t>
          </w:r>
          <w:proofErr w:type="gramEnd"/>
          <w:r w:rsidRPr="004B35E4">
            <w:t xml:space="preserve"> advice received from the 39</w:t>
          </w:r>
          <w:r w:rsidRPr="004B35E4">
            <w:rPr>
              <w:vertAlign w:val="superscript"/>
            </w:rPr>
            <w:t>th</w:t>
          </w:r>
          <w:r w:rsidRPr="004B35E4">
            <w:t xml:space="preserve"> meeting of the Advisory Committee on Chemicals Scheduling</w:t>
          </w:r>
        </w:sdtContent>
      </w:sdt>
      <w:r w:rsidRPr="004B35E4">
        <w:t xml:space="preserve"> (the Committee)</w:t>
      </w:r>
    </w:p>
    <w:p w14:paraId="11689074" w14:textId="77777777" w:rsidR="006F72E6" w:rsidRPr="00B03B68" w:rsidRDefault="006F72E6" w:rsidP="006F72E6">
      <w:pPr>
        <w:pStyle w:val="ListBullet"/>
      </w:pPr>
      <w:r w:rsidRPr="004B35E4">
        <w:t>Subsection 52E(1) of the Act, in particular (a) risks and benefits of the use of a substance; (b) the purposes for which a substance is to be used and the</w:t>
      </w:r>
      <w:r w:rsidRPr="00B03B68">
        <w:t xml:space="preserv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737A6670" w14:textId="77777777" w:rsidR="006F72E6" w:rsidRPr="00B03B68" w:rsidRDefault="006F72E6" w:rsidP="006F72E6">
      <w:pPr>
        <w:pStyle w:val="ListBullet"/>
      </w:pPr>
      <w:r w:rsidRPr="00B03B68">
        <w:t>The SPF, and</w:t>
      </w:r>
    </w:p>
    <w:p w14:paraId="39B8DA26" w14:textId="77777777" w:rsidR="006F72E6" w:rsidRPr="00B03B68" w:rsidRDefault="006F72E6" w:rsidP="006F72E6">
      <w:pPr>
        <w:pStyle w:val="ListBullet"/>
      </w:pPr>
      <w:r w:rsidRPr="00B03B68">
        <w:t>The Handbook.</w:t>
      </w:r>
    </w:p>
    <w:p w14:paraId="0395C4FE" w14:textId="77777777" w:rsidR="006F72E6" w:rsidRPr="00B03B68" w:rsidRDefault="006F72E6" w:rsidP="006F72E6">
      <w:pPr>
        <w:pStyle w:val="Heading4"/>
      </w:pPr>
      <w:bookmarkStart w:id="19" w:name="_Toc177645055"/>
      <w:r w:rsidRPr="00B03B68">
        <w:t>Summary of Committee advice to the Delegate</w:t>
      </w:r>
      <w:bookmarkEnd w:id="19"/>
    </w:p>
    <w:p w14:paraId="23B2E7F1" w14:textId="3252ED58" w:rsidR="006F72E6" w:rsidRDefault="006F72E6" w:rsidP="006F72E6">
      <w:r w:rsidRPr="00B03B68">
        <w:t xml:space="preserve">The Committee recommended </w:t>
      </w:r>
      <w:r w:rsidRPr="00844160">
        <w:t xml:space="preserve">that the current Poisons Standard entry for allyl amyl glycolate </w:t>
      </w:r>
      <w:r w:rsidR="005E2D9D">
        <w:t>and</w:t>
      </w:r>
      <w:r w:rsidRPr="00844160">
        <w:t xml:space="preserve"> allyl (2-</w:t>
      </w:r>
      <w:proofErr w:type="gramStart"/>
      <w:r w:rsidRPr="00844160">
        <w:t>methylbutoxy)acetate</w:t>
      </w:r>
      <w:proofErr w:type="gramEnd"/>
      <w:r w:rsidRPr="00844160">
        <w:t xml:space="preserve"> remains appropriate, whilst the Poisons Standard should be amended in relation to allyl </w:t>
      </w:r>
      <w:proofErr w:type="spellStart"/>
      <w:r w:rsidRPr="00844160">
        <w:t>phenoxyacetate</w:t>
      </w:r>
      <w:proofErr w:type="spellEnd"/>
      <w:r w:rsidRPr="00844160">
        <w:t xml:space="preserve"> and allyl (</w:t>
      </w:r>
      <w:proofErr w:type="spellStart"/>
      <w:r w:rsidRPr="00844160">
        <w:t>cyclohexyloxy</w:t>
      </w:r>
      <w:proofErr w:type="spellEnd"/>
      <w:r w:rsidRPr="00844160">
        <w:t>)acetate</w:t>
      </w:r>
      <w:r w:rsidR="002B7DAC">
        <w:t>.</w:t>
      </w:r>
    </w:p>
    <w:p w14:paraId="53C63434" w14:textId="6AEBDBD7" w:rsidR="006F72E6" w:rsidRPr="00B03B68" w:rsidRDefault="006F72E6" w:rsidP="006F72E6">
      <w:r w:rsidRPr="00B03B68">
        <w:t xml:space="preserve">The Committee recommended an implementation date of </w:t>
      </w:r>
      <w:sdt>
        <w:sdtPr>
          <w:id w:val="-1917698888"/>
          <w:placeholder>
            <w:docPart w:val="CBD28B69D3904B959ABC0EF76C347D56"/>
          </w:placeholder>
        </w:sdtPr>
        <w:sdtEndPr/>
        <w:sdtContent>
          <w:r>
            <w:t>1 February</w:t>
          </w:r>
          <w:r w:rsidRPr="00B03B68">
            <w:t xml:space="preserve"> 20</w:t>
          </w:r>
          <w:r>
            <w:t>2</w:t>
          </w:r>
          <w:r w:rsidR="006101F2">
            <w:t>5</w:t>
          </w:r>
        </w:sdtContent>
      </w:sdt>
      <w:r w:rsidRPr="00B03B68">
        <w:t xml:space="preserve">, </w:t>
      </w:r>
      <w:r>
        <w:t>due to the lack of foreseeable burden on industry resulting from this decision.</w:t>
      </w:r>
    </w:p>
    <w:p w14:paraId="75CD7FA9" w14:textId="77777777" w:rsidR="006F72E6" w:rsidRPr="00B03B68" w:rsidRDefault="006F72E6" w:rsidP="006F72E6">
      <w:r w:rsidRPr="00B03B68">
        <w:t>Members agreed that the relevant matters under subsection 52E(1) of the Act included: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67A76F40" w14:textId="77777777" w:rsidR="006F72E6" w:rsidRPr="00B03B68" w:rsidRDefault="006F72E6" w:rsidP="006F72E6">
      <w:r w:rsidRPr="00B03B68">
        <w:t>The reasons for the advice included:</w:t>
      </w:r>
    </w:p>
    <w:p w14:paraId="1D63EA01" w14:textId="4B52DA48" w:rsidR="006F72E6" w:rsidRPr="00B03B68" w:rsidRDefault="006F72E6" w:rsidP="00486551">
      <w:pPr>
        <w:pStyle w:val="Heading5"/>
        <w:numPr>
          <w:ilvl w:val="0"/>
          <w:numId w:val="20"/>
        </w:numPr>
      </w:pPr>
      <w:r w:rsidRPr="00B03B68">
        <w:t>the risks and benefits of the use of a substance</w:t>
      </w:r>
    </w:p>
    <w:p w14:paraId="1D14F697" w14:textId="77777777" w:rsidR="006F72E6" w:rsidRPr="00B03B68" w:rsidRDefault="006F72E6" w:rsidP="00594004">
      <w:pPr>
        <w:pStyle w:val="Heading6"/>
      </w:pPr>
      <w:r w:rsidRPr="00B03B68">
        <w:t>Risks:</w:t>
      </w:r>
    </w:p>
    <w:p w14:paraId="4844CA9C" w14:textId="77777777" w:rsidR="006F72E6" w:rsidRDefault="006F72E6" w:rsidP="00417551">
      <w:pPr>
        <w:pStyle w:val="ListBullet2"/>
        <w:ind w:left="924" w:hanging="357"/>
      </w:pPr>
      <w:r>
        <w:t xml:space="preserve">Allyl esters form toxic metabolites (allyl alcohol and acrolein). </w:t>
      </w:r>
    </w:p>
    <w:p w14:paraId="121D8EA7" w14:textId="77777777" w:rsidR="006F72E6" w:rsidRDefault="006F72E6" w:rsidP="00417551">
      <w:pPr>
        <w:pStyle w:val="ListBullet2"/>
        <w:ind w:left="924" w:hanging="357"/>
      </w:pPr>
      <w:r>
        <w:t xml:space="preserve">In some cases, specific safety data for the substances under consideration is not available. </w:t>
      </w:r>
    </w:p>
    <w:p w14:paraId="12F65731" w14:textId="77777777" w:rsidR="006F72E6" w:rsidRPr="00B03B68" w:rsidRDefault="006F72E6" w:rsidP="00594004">
      <w:pPr>
        <w:pStyle w:val="Heading6"/>
      </w:pPr>
      <w:r w:rsidRPr="00B03B68">
        <w:t>Benefits:</w:t>
      </w:r>
    </w:p>
    <w:p w14:paraId="0F7BA0F6" w14:textId="77777777" w:rsidR="006F72E6" w:rsidRDefault="006F72E6" w:rsidP="00417551">
      <w:pPr>
        <w:pStyle w:val="ListBullet2"/>
        <w:ind w:left="924" w:hanging="357"/>
      </w:pPr>
      <w:r>
        <w:t>Allyl esters are used as excipients in medicines and biologicals, and in fragrances, cosmetics, domestic products, and act as intermediates in chemical synthesis.</w:t>
      </w:r>
    </w:p>
    <w:p w14:paraId="14DAACA6" w14:textId="77777777" w:rsidR="006F72E6" w:rsidRDefault="006F72E6" w:rsidP="00417551">
      <w:pPr>
        <w:pStyle w:val="ListBullet2"/>
        <w:ind w:left="924" w:hanging="357"/>
      </w:pPr>
      <w:r>
        <w:t>They are widely used at low concentrations without significant adverse effects reported.</w:t>
      </w:r>
    </w:p>
    <w:p w14:paraId="241E2763" w14:textId="562DE1A2" w:rsidR="006F72E6" w:rsidRPr="00B03B68" w:rsidRDefault="006F72E6" w:rsidP="00417551">
      <w:pPr>
        <w:pStyle w:val="Heading5"/>
      </w:pPr>
      <w:r w:rsidRPr="00B03B68">
        <w:lastRenderedPageBreak/>
        <w:t xml:space="preserve">the purposes for which a substance is to be used and the extent of use of a </w:t>
      </w:r>
      <w:proofErr w:type="gramStart"/>
      <w:r w:rsidRPr="00B03B68">
        <w:t>substance</w:t>
      </w:r>
      <w:proofErr w:type="gramEnd"/>
    </w:p>
    <w:p w14:paraId="33D9B497" w14:textId="029966CE" w:rsidR="006F72E6" w:rsidRDefault="006F72E6" w:rsidP="00417551">
      <w:pPr>
        <w:pStyle w:val="ListBullet2"/>
        <w:ind w:left="924" w:hanging="357"/>
      </w:pPr>
      <w:r>
        <w:t>Cosmetic and Household Products: All 4 allyl esters are widely used in cosmetic formulations, particularly perfumes, due to their fragrance properties. They are also found in household products like air fresheners and cleaning agents. Use in these settings is typically at low concentrations (&lt;</w:t>
      </w:r>
      <w:r w:rsidR="00406E89" w:rsidRPr="006A4D44">
        <w:t xml:space="preserve"> </w:t>
      </w:r>
      <w:r>
        <w:t>5%).</w:t>
      </w:r>
    </w:p>
    <w:p w14:paraId="41F1E477" w14:textId="77777777" w:rsidR="006F72E6" w:rsidRDefault="006F72E6" w:rsidP="00417551">
      <w:pPr>
        <w:pStyle w:val="ListBullet2"/>
        <w:ind w:left="924" w:hanging="357"/>
      </w:pPr>
      <w:r>
        <w:t>Therapeutic Goods: In Australia, some of these allyl esters are included in the Australian Register of Therapeutic Goods (ARTG) as excipients in non-prescription medicines. They are permitted in listed medicines under specific concentration limits, particularly when used as flavours or fragrances.</w:t>
      </w:r>
    </w:p>
    <w:p w14:paraId="77D67A60" w14:textId="1AEB6D3E" w:rsidR="006F72E6" w:rsidRPr="00B03B68" w:rsidRDefault="006F72E6" w:rsidP="00417551">
      <w:pPr>
        <w:pStyle w:val="Heading5"/>
      </w:pPr>
      <w:r w:rsidRPr="00B03B68">
        <w:t>the toxicity of a substance</w:t>
      </w:r>
    </w:p>
    <w:p w14:paraId="7A21AA36" w14:textId="77777777" w:rsidR="006F72E6" w:rsidRDefault="006F72E6" w:rsidP="00417551">
      <w:pPr>
        <w:pStyle w:val="ListBullet2"/>
        <w:ind w:left="924" w:hanging="357"/>
      </w:pPr>
      <w:r>
        <w:t>Systemic toxicity of the esters is driven by their metabolism into the known toxin allyl alcohol, while local toxicity can vary dependent on the substance.</w:t>
      </w:r>
    </w:p>
    <w:p w14:paraId="788BC4D6" w14:textId="77777777" w:rsidR="006F72E6" w:rsidRDefault="006F72E6" w:rsidP="00417551">
      <w:pPr>
        <w:pStyle w:val="ListBullet2"/>
        <w:ind w:left="924" w:hanging="357"/>
      </w:pPr>
      <w:r>
        <w:t xml:space="preserve">Allyl </w:t>
      </w:r>
      <w:proofErr w:type="spellStart"/>
      <w:r>
        <w:t>phenoxyacetate</w:t>
      </w:r>
      <w:proofErr w:type="spellEnd"/>
      <w:r>
        <w:t xml:space="preserve"> is a moderate skin sensitiser.</w:t>
      </w:r>
    </w:p>
    <w:p w14:paraId="250B4340" w14:textId="77777777" w:rsidR="006F72E6" w:rsidRDefault="006F72E6" w:rsidP="00417551">
      <w:pPr>
        <w:pStyle w:val="ListBullet2"/>
        <w:ind w:left="924" w:hanging="357"/>
      </w:pPr>
      <w:r>
        <w:t>Allyl amyl glycolate is an acute inhalational toxin.</w:t>
      </w:r>
    </w:p>
    <w:p w14:paraId="3C1FAB51" w14:textId="7C6EDCCF" w:rsidR="006F72E6" w:rsidRDefault="006F72E6" w:rsidP="00417551">
      <w:pPr>
        <w:pStyle w:val="Heading5"/>
      </w:pPr>
      <w:r w:rsidRPr="00B03B68">
        <w:t xml:space="preserve">the dosage, formulation, labelling, </w:t>
      </w:r>
      <w:proofErr w:type="gramStart"/>
      <w:r w:rsidRPr="00B03B68">
        <w:t>packaging</w:t>
      </w:r>
      <w:proofErr w:type="gramEnd"/>
      <w:r w:rsidRPr="00B03B68">
        <w:t xml:space="preserve"> and presentation of a substance</w:t>
      </w:r>
    </w:p>
    <w:p w14:paraId="25FC1DB1" w14:textId="77777777" w:rsidR="006F72E6" w:rsidRDefault="006F72E6" w:rsidP="00417551">
      <w:pPr>
        <w:pStyle w:val="ListBullet2"/>
        <w:ind w:left="924" w:hanging="357"/>
      </w:pPr>
      <w:r>
        <w:t>Products generally contain less than 5% total allyl esters.</w:t>
      </w:r>
    </w:p>
    <w:p w14:paraId="540BCBEB" w14:textId="02BA672D" w:rsidR="006F72E6" w:rsidRPr="0058745F" w:rsidRDefault="006F72E6" w:rsidP="00417551">
      <w:pPr>
        <w:pStyle w:val="ListBullet2"/>
        <w:ind w:left="924" w:hanging="357"/>
      </w:pPr>
      <w:r>
        <w:t>Labelling and presentation var</w:t>
      </w:r>
      <w:r w:rsidR="00406E89">
        <w:t>y</w:t>
      </w:r>
      <w:r>
        <w:t xml:space="preserve"> significantly across a wide range of products.</w:t>
      </w:r>
    </w:p>
    <w:p w14:paraId="639ACE2F" w14:textId="2E2C31BE" w:rsidR="006F72E6" w:rsidRPr="00B03B68" w:rsidRDefault="006F72E6" w:rsidP="00417551">
      <w:pPr>
        <w:pStyle w:val="Heading5"/>
      </w:pPr>
      <w:r w:rsidRPr="00B03B68">
        <w:t>the potential for abuse of a substance</w:t>
      </w:r>
    </w:p>
    <w:p w14:paraId="44E4DCC8" w14:textId="77777777" w:rsidR="006F72E6" w:rsidRDefault="006F72E6" w:rsidP="00417551">
      <w:pPr>
        <w:pStyle w:val="ListBullet2"/>
        <w:ind w:left="924" w:hanging="357"/>
      </w:pPr>
      <w:r>
        <w:t>Nil.</w:t>
      </w:r>
    </w:p>
    <w:p w14:paraId="1AF6BA3A" w14:textId="0D5419A7" w:rsidR="006F72E6" w:rsidRPr="00B03B68" w:rsidRDefault="006F72E6" w:rsidP="00417551">
      <w:pPr>
        <w:pStyle w:val="Heading5"/>
      </w:pPr>
      <w:r w:rsidRPr="00B03B68">
        <w:t xml:space="preserve">any other matters that the Secretary considers necessary to protect public </w:t>
      </w:r>
      <w:proofErr w:type="gramStart"/>
      <w:r w:rsidRPr="00B03B68">
        <w:t>health</w:t>
      </w:r>
      <w:proofErr w:type="gramEnd"/>
    </w:p>
    <w:p w14:paraId="0653072F" w14:textId="77777777" w:rsidR="006F72E6" w:rsidRDefault="006F72E6" w:rsidP="00417551">
      <w:pPr>
        <w:pStyle w:val="ListBullet2"/>
        <w:ind w:left="924" w:hanging="357"/>
      </w:pPr>
      <w:r>
        <w:t>The revised Schedule 6 entry should maintain the existing limit of total allyl esters (which will include any additional substances resulting from consideration of the proposal) of 5%.</w:t>
      </w:r>
    </w:p>
    <w:p w14:paraId="3A474DD2" w14:textId="77777777" w:rsidR="006F72E6" w:rsidRDefault="006F72E6" w:rsidP="00417551">
      <w:pPr>
        <w:pStyle w:val="ListBullet2"/>
        <w:ind w:left="924" w:hanging="357"/>
      </w:pPr>
      <w:r>
        <w:t>The amount of free allyl alcohol in any preparation containing one or more of the substances in the Schedule 6 entry remains limited to 0.1%.</w:t>
      </w:r>
    </w:p>
    <w:p w14:paraId="5C815086" w14:textId="77777777" w:rsidR="006F72E6" w:rsidRPr="00B03B68" w:rsidRDefault="006F72E6" w:rsidP="006F72E6">
      <w:pPr>
        <w:pStyle w:val="Heading4"/>
      </w:pPr>
      <w:bookmarkStart w:id="20" w:name="_Toc177645056"/>
      <w:r w:rsidRPr="00B03B68">
        <w:t>Reasons for the interim decision (including findings on material questions of fact)</w:t>
      </w:r>
      <w:bookmarkEnd w:id="20"/>
    </w:p>
    <w:p w14:paraId="67FAF959" w14:textId="77777777" w:rsidR="006F72E6" w:rsidRDefault="006F72E6" w:rsidP="006F72E6">
      <w:r w:rsidRPr="00B03B68">
        <w:t xml:space="preserve">I </w:t>
      </w:r>
      <w:r w:rsidRPr="005B0F1A">
        <w:t>agree with the Committee's findings on the relevant provisions of section 52E of the Act.</w:t>
      </w:r>
      <w:r>
        <w:t xml:space="preserve"> </w:t>
      </w:r>
      <w:r w:rsidRPr="005B0F1A">
        <w:t xml:space="preserve">I </w:t>
      </w:r>
      <w:r>
        <w:t>note that no</w:t>
      </w:r>
      <w:r w:rsidRPr="00B03B68">
        <w:t xml:space="preserve"> public submissions</w:t>
      </w:r>
      <w:r>
        <w:t xml:space="preserve"> were</w:t>
      </w:r>
      <w:r w:rsidRPr="00B03B68">
        <w:t xml:space="preserve"> received during the pre-meeting consultation period.</w:t>
      </w:r>
    </w:p>
    <w:p w14:paraId="223CAEEA" w14:textId="726D9439" w:rsidR="006F72E6" w:rsidRDefault="006F72E6" w:rsidP="006F72E6">
      <w:r>
        <w:t xml:space="preserve">Esters of allyl alcohol </w:t>
      </w:r>
      <w:r w:rsidRPr="00317231">
        <w:t>are used as</w:t>
      </w:r>
      <w:r>
        <w:t xml:space="preserve"> fragrance and flavouring</w:t>
      </w:r>
      <w:r w:rsidRPr="00317231">
        <w:t xml:space="preserve"> excipients</w:t>
      </w:r>
      <w:r>
        <w:t xml:space="preserve"> or active ingredients</w:t>
      </w:r>
      <w:r w:rsidRPr="00317231">
        <w:t xml:space="preserve"> in</w:t>
      </w:r>
      <w:r>
        <w:t xml:space="preserve"> a variety of</w:t>
      </w:r>
      <w:r w:rsidRPr="00317231">
        <w:t xml:space="preserve"> medicines and biologicals, fragrances, cosmetics, </w:t>
      </w:r>
      <w:r w:rsidR="007004FB">
        <w:t xml:space="preserve">and </w:t>
      </w:r>
      <w:r w:rsidRPr="00317231">
        <w:t>domestic products</w:t>
      </w:r>
      <w:r w:rsidR="00900E92">
        <w:t>. Esters of allyl alcohol</w:t>
      </w:r>
      <w:r w:rsidRPr="00317231">
        <w:t xml:space="preserve"> act as intermediates in chemical synthesis</w:t>
      </w:r>
      <w:r>
        <w:t xml:space="preserve">. There are currently two non-prescription medicines listed on the </w:t>
      </w:r>
      <w:hyperlink r:id="rId21" w:history="1">
        <w:r w:rsidR="00406E89">
          <w:rPr>
            <w:rStyle w:val="Hyperlink"/>
          </w:rPr>
          <w:t>Australian Register of Therapeutic Goods</w:t>
        </w:r>
      </w:hyperlink>
      <w:r w:rsidR="00406E89">
        <w:rPr>
          <w:rStyle w:val="Hyperlink"/>
        </w:rPr>
        <w:t xml:space="preserve"> (ARTG)</w:t>
      </w:r>
      <w:r>
        <w:t xml:space="preserve"> containing either </w:t>
      </w:r>
      <w:r w:rsidRPr="000B4707">
        <w:t xml:space="preserve">allyl </w:t>
      </w:r>
      <w:r>
        <w:t>(</w:t>
      </w:r>
      <w:proofErr w:type="spellStart"/>
      <w:r w:rsidRPr="000B4707">
        <w:t>cyclohexyloxy</w:t>
      </w:r>
      <w:proofErr w:type="spellEnd"/>
      <w:r>
        <w:t>)</w:t>
      </w:r>
      <w:r w:rsidRPr="000B4707">
        <w:t xml:space="preserve">acetate </w:t>
      </w:r>
      <w:r>
        <w:t>or</w:t>
      </w:r>
      <w:r w:rsidRPr="000B4707">
        <w:t xml:space="preserve"> allyl amyl glycolate</w:t>
      </w:r>
      <w:r>
        <w:t xml:space="preserve">. </w:t>
      </w:r>
      <w:r w:rsidR="000C762D">
        <w:t>While a</w:t>
      </w:r>
      <w:r w:rsidRPr="00C8352B">
        <w:t xml:space="preserve">llyl </w:t>
      </w:r>
      <w:proofErr w:type="spellStart"/>
      <w:r w:rsidRPr="00C8352B">
        <w:t>phenoxyacetate</w:t>
      </w:r>
      <w:proofErr w:type="spellEnd"/>
      <w:r w:rsidRPr="00C8352B">
        <w:t>, allyl amyl glycolate, allyl (2-</w:t>
      </w:r>
      <w:proofErr w:type="gramStart"/>
      <w:r w:rsidRPr="00C8352B">
        <w:t>methylbutoxy)acetate</w:t>
      </w:r>
      <w:proofErr w:type="gramEnd"/>
      <w:r w:rsidRPr="00C8352B">
        <w:t xml:space="preserve"> and allyl (</w:t>
      </w:r>
      <w:proofErr w:type="spellStart"/>
      <w:r w:rsidRPr="00C8352B">
        <w:t>cyclohexyloxy</w:t>
      </w:r>
      <w:proofErr w:type="spellEnd"/>
      <w:r w:rsidRPr="00C8352B">
        <w:t>)acetate</w:t>
      </w:r>
      <w:r>
        <w:t xml:space="preserve"> are not explicitly listed in the Poisons Standard</w:t>
      </w:r>
      <w:r w:rsidR="000C762D">
        <w:t>, they are</w:t>
      </w:r>
      <w:r>
        <w:t xml:space="preserve"> captured under the Schedule 7 group entry for allyl alcohol and Appendix J, clause 1 (Conditions for availability and use of certain poisons included in Schedule 7). Preparations containing 5% or less of allyl esters with 0.1% or less of free allyl alcohol by weight of allyl ester are exempt under the Schedule 7 entry.</w:t>
      </w:r>
      <w:r w:rsidR="007E5150">
        <w:t xml:space="preserve"> </w:t>
      </w:r>
      <w:r w:rsidR="00255228">
        <w:t>T</w:t>
      </w:r>
      <w:r w:rsidRPr="00630075">
        <w:t>he propos</w:t>
      </w:r>
      <w:r w:rsidR="00255228">
        <w:t>al to</w:t>
      </w:r>
      <w:r w:rsidRPr="00630075">
        <w:t xml:space="preserve"> amend the Schedule 6 entry for allyl esters to include</w:t>
      </w:r>
      <w:r>
        <w:t xml:space="preserve"> the above allyl esters </w:t>
      </w:r>
      <w:r w:rsidRPr="00CF280E">
        <w:t>follow</w:t>
      </w:r>
      <w:r w:rsidR="00255228">
        <w:t>s</w:t>
      </w:r>
      <w:r w:rsidRPr="00CF280E">
        <w:t xml:space="preserve"> </w:t>
      </w:r>
      <w:r w:rsidR="00255228">
        <w:t>the</w:t>
      </w:r>
      <w:r w:rsidRPr="00CF280E">
        <w:t xml:space="preserve"> recommendation by NICNAS</w:t>
      </w:r>
      <w:r>
        <w:t xml:space="preserve"> </w:t>
      </w:r>
      <w:r w:rsidRPr="003F5D67">
        <w:t xml:space="preserve">in </w:t>
      </w:r>
      <w:r w:rsidRPr="00417551">
        <w:t>their assessment</w:t>
      </w:r>
      <w:r w:rsidRPr="003F5D67">
        <w:t xml:space="preserve"> of</w:t>
      </w:r>
      <w:r w:rsidRPr="00CF280E">
        <w:t xml:space="preserve"> allyl esters of acetic acid ethers published in </w:t>
      </w:r>
      <w:r w:rsidR="00255228" w:rsidRPr="00CF280E">
        <w:t>June</w:t>
      </w:r>
      <w:r w:rsidR="00255228">
        <w:t> </w:t>
      </w:r>
      <w:r w:rsidRPr="00CF280E">
        <w:t>2019.</w:t>
      </w:r>
    </w:p>
    <w:p w14:paraId="0D0F09D9" w14:textId="70DC3EF2" w:rsidR="006F72E6" w:rsidRDefault="006F72E6" w:rsidP="006F72E6">
      <w:r w:rsidRPr="003E2B76">
        <w:lastRenderedPageBreak/>
        <w:t>With regards to s 52E(1)(a) of the Act,</w:t>
      </w:r>
      <w:r>
        <w:t xml:space="preserve"> the above allyl esters are widely used at low concentrations in a variety of products for their flavouring and fragrant properties without</w:t>
      </w:r>
      <w:r w:rsidR="003F6469">
        <w:t xml:space="preserve"> reports of</w:t>
      </w:r>
      <w:r>
        <w:t xml:space="preserve"> significant adverse effects. However, allyl esters can form toxic metabolites</w:t>
      </w:r>
      <w:r w:rsidR="007004FB">
        <w:t>,</w:t>
      </w:r>
      <w:r>
        <w:t xml:space="preserve"> including hydrolysis to allyl alcohol and subsequent metabolism of allyl alcohol to acrolein in the liver. I also note that </w:t>
      </w:r>
      <w:r w:rsidRPr="000B4707">
        <w:t>allyl amyl glycolate</w:t>
      </w:r>
      <w:r>
        <w:t xml:space="preserve"> poses a risk of acute inhalation toxicity that is consistent with the SPF factors of Schedule 7. </w:t>
      </w:r>
      <w:r w:rsidR="00702274">
        <w:t>While there is limited</w:t>
      </w:r>
      <w:r>
        <w:t xml:space="preserve"> toxicity data for </w:t>
      </w:r>
      <w:r w:rsidRPr="00356C4A">
        <w:t>allyl (2-</w:t>
      </w:r>
      <w:proofErr w:type="gramStart"/>
      <w:r w:rsidRPr="00356C4A">
        <w:t>methylbutoxy)acetate</w:t>
      </w:r>
      <w:proofErr w:type="gramEnd"/>
      <w:r w:rsidR="007004FB">
        <w:t>,</w:t>
      </w:r>
      <w:r>
        <w:t xml:space="preserve"> the </w:t>
      </w:r>
      <w:r w:rsidRPr="00417551">
        <w:t>NICNAS assessment</w:t>
      </w:r>
      <w:r w:rsidRPr="00CF280E">
        <w:t xml:space="preserve"> of allyl esters of acetic acid ethers</w:t>
      </w:r>
      <w:r>
        <w:t xml:space="preserve"> posits that its toxicity will be similar to that of its 3-methyl isomer. </w:t>
      </w:r>
      <w:r w:rsidR="009E68A6">
        <w:t>The a</w:t>
      </w:r>
      <w:r w:rsidRPr="000F32D4">
        <w:t>vailable data for</w:t>
      </w:r>
      <w:r>
        <w:t xml:space="preserve"> </w:t>
      </w:r>
      <w:r w:rsidRPr="000F32D4">
        <w:t>allyl (3-</w:t>
      </w:r>
      <w:proofErr w:type="gramStart"/>
      <w:r w:rsidRPr="000F32D4">
        <w:t>methylbutoxy)acetate</w:t>
      </w:r>
      <w:proofErr w:type="gramEnd"/>
      <w:r>
        <w:t xml:space="preserve"> (</w:t>
      </w:r>
      <w:r w:rsidRPr="000B4707">
        <w:t>allyl amyl glycolate</w:t>
      </w:r>
      <w:r>
        <w:t xml:space="preserve">) </w:t>
      </w:r>
      <w:r w:rsidR="00255228">
        <w:t xml:space="preserve">supports </w:t>
      </w:r>
      <w:r w:rsidR="009E68A6">
        <w:t>that t</w:t>
      </w:r>
      <w:r>
        <w:t>he substance poses an acute risk of inhalation toxicity.</w:t>
      </w:r>
    </w:p>
    <w:p w14:paraId="14F97E36" w14:textId="4C67CE03" w:rsidR="006F72E6" w:rsidRDefault="006F72E6" w:rsidP="006F72E6">
      <w:r>
        <w:t>The above</w:t>
      </w:r>
      <w:r w:rsidR="00255228">
        <w:t>-</w:t>
      </w:r>
      <w:r w:rsidR="009E68A6">
        <w:t>mentioned</w:t>
      </w:r>
      <w:r>
        <w:t xml:space="preserve"> allyl esters are currently used in a variety of cosmetic and household products as well as therapeutic goods. In considering </w:t>
      </w:r>
      <w:r w:rsidRPr="00855C12">
        <w:t>s 52E(1)(b)</w:t>
      </w:r>
      <w:r>
        <w:t xml:space="preserve"> and (d) of the Act</w:t>
      </w:r>
      <w:r w:rsidRPr="00855C12">
        <w:t>, I note that</w:t>
      </w:r>
      <w:r>
        <w:t xml:space="preserve"> a</w:t>
      </w:r>
      <w:r w:rsidRPr="00A96ACB">
        <w:t>ll four allyl esters are widely used</w:t>
      </w:r>
      <w:r>
        <w:t xml:space="preserve"> at low concentration</w:t>
      </w:r>
      <w:r w:rsidR="003F6469">
        <w:t>s</w:t>
      </w:r>
      <w:r>
        <w:t xml:space="preserve"> (5% or less)</w:t>
      </w:r>
      <w:r w:rsidRPr="00A96ACB">
        <w:t xml:space="preserve"> in cosmetic formulations, particularly perfumes, due to their fragrance properties</w:t>
      </w:r>
      <w:r>
        <w:t xml:space="preserve">. They </w:t>
      </w:r>
      <w:r w:rsidRPr="00A96ACB">
        <w:t xml:space="preserve">are </w:t>
      </w:r>
      <w:r>
        <w:t>similarly</w:t>
      </w:r>
      <w:r w:rsidRPr="00A96ACB">
        <w:t xml:space="preserve"> </w:t>
      </w:r>
      <w:r>
        <w:t>used</w:t>
      </w:r>
      <w:r w:rsidRPr="00A96ACB">
        <w:t xml:space="preserve"> in household products like air fresheners and cleaning agents.</w:t>
      </w:r>
      <w:r>
        <w:t xml:space="preserve"> A</w:t>
      </w:r>
      <w:r w:rsidRPr="00A40711">
        <w:t>llyl (</w:t>
      </w:r>
      <w:proofErr w:type="spellStart"/>
      <w:r w:rsidRPr="00A40711">
        <w:t>cyclohexyloxy</w:t>
      </w:r>
      <w:proofErr w:type="spellEnd"/>
      <w:r w:rsidRPr="00A40711">
        <w:t xml:space="preserve">)acetate </w:t>
      </w:r>
      <w:r>
        <w:t>and</w:t>
      </w:r>
      <w:r w:rsidRPr="00A40711">
        <w:t xml:space="preserve"> allyl amyl glycolate</w:t>
      </w:r>
      <w:r>
        <w:t xml:space="preserve"> are also included in </w:t>
      </w:r>
      <w:r w:rsidRPr="00C9628F">
        <w:t>the Australian Register of Therapeutic Goods (ARTG) as excipients in non-prescription medicines.</w:t>
      </w:r>
      <w:r>
        <w:t xml:space="preserve"> Allyl esters are permitted in listed medicines under specific concentration limits of 5% when used as a flavouring and less than 1% as a fragrance. Specifically with regards to s 52E(1)(d) of the Act, I note that labelling and presentation of products containing allyl esters varies by usage. </w:t>
      </w:r>
    </w:p>
    <w:p w14:paraId="426B8FD2" w14:textId="3D11862D" w:rsidR="006F72E6" w:rsidRDefault="00031548" w:rsidP="006F72E6">
      <w:r>
        <w:t>With respect to</w:t>
      </w:r>
      <w:r w:rsidR="006F72E6">
        <w:t xml:space="preserve"> s </w:t>
      </w:r>
      <w:r w:rsidR="006F72E6" w:rsidRPr="00855C12">
        <w:t>52E(1)(</w:t>
      </w:r>
      <w:r w:rsidR="006F72E6">
        <w:t>c</w:t>
      </w:r>
      <w:r w:rsidR="006F72E6" w:rsidRPr="00855C12">
        <w:t>)</w:t>
      </w:r>
      <w:r w:rsidR="006F72E6">
        <w:t xml:space="preserve"> of the Act, I </w:t>
      </w:r>
      <w:r w:rsidR="00900E92">
        <w:t>agree</w:t>
      </w:r>
      <w:r w:rsidR="006F72E6">
        <w:t xml:space="preserve"> with the Committee that all four allyl esters exhibit differences in toxicity and warrant individual consideration. Generally, I note that allyl esters are less toxic than allyl alcohols. However, toxic metabolites can be formed though allyl ester hydrolysis to allyl alcohol and further hepatic metabolism to acrolein. I also note that, allyl esters pose a risk of toxicity through oral exposure</w:t>
      </w:r>
      <w:r w:rsidR="006A4D44">
        <w:t xml:space="preserve">, </w:t>
      </w:r>
      <w:r w:rsidR="00A40B3A">
        <w:t>al</w:t>
      </w:r>
      <w:r w:rsidR="006A4D44">
        <w:t>though based on available usage data this is an unlikely route of exposure</w:t>
      </w:r>
      <w:r w:rsidR="006F72E6">
        <w:t xml:space="preserve">. I agree with the Committee that </w:t>
      </w:r>
      <w:r w:rsidRPr="007C3DDE">
        <w:t>allyl amyl glycolate</w:t>
      </w:r>
      <w:r>
        <w:t xml:space="preserve"> </w:t>
      </w:r>
      <w:r w:rsidR="006F72E6">
        <w:t xml:space="preserve">poses a risk of </w:t>
      </w:r>
      <w:r w:rsidR="006F72E6" w:rsidRPr="005A498B">
        <w:t>acute</w:t>
      </w:r>
      <w:r w:rsidR="006F72E6">
        <w:t xml:space="preserve"> inhalation</w:t>
      </w:r>
      <w:r w:rsidR="006F72E6" w:rsidRPr="005A498B">
        <w:t xml:space="preserve"> toxicity</w:t>
      </w:r>
      <w:r w:rsidR="006F72E6">
        <w:t>, which is consistent with the SPF factors</w:t>
      </w:r>
      <w:r w:rsidR="003F6469">
        <w:t xml:space="preserve"> concerning substances of high health hazard</w:t>
      </w:r>
      <w:r w:rsidR="006F72E6">
        <w:t xml:space="preserve"> </w:t>
      </w:r>
      <w:r w:rsidR="003F6469">
        <w:t>in</w:t>
      </w:r>
      <w:r w:rsidR="006F72E6">
        <w:t xml:space="preserve"> Schedule 7. Regarding a</w:t>
      </w:r>
      <w:r w:rsidR="006F72E6" w:rsidRPr="00356C4A">
        <w:t>llyl (2</w:t>
      </w:r>
      <w:r w:rsidR="006F72E6">
        <w:noBreakHyphen/>
      </w:r>
      <w:proofErr w:type="gramStart"/>
      <w:r w:rsidR="006F72E6" w:rsidRPr="00356C4A">
        <w:t>methylbutoxy)acetate</w:t>
      </w:r>
      <w:proofErr w:type="gramEnd"/>
      <w:r w:rsidR="006F72E6">
        <w:t xml:space="preserve">, I am of the opinion that there </w:t>
      </w:r>
      <w:r w:rsidR="004E5BC0">
        <w:t>are</w:t>
      </w:r>
      <w:r w:rsidR="006F72E6">
        <w:t xml:space="preserve"> insufficient safety data to support down-scheduling to Schedule 6. I </w:t>
      </w:r>
      <w:r w:rsidR="000A7B7F">
        <w:t>also agree</w:t>
      </w:r>
      <w:r w:rsidR="006F72E6">
        <w:t xml:space="preserve"> with the Committee that a</w:t>
      </w:r>
      <w:r w:rsidR="006F72E6" w:rsidRPr="00356C4A">
        <w:t>llyl (2</w:t>
      </w:r>
      <w:r w:rsidR="006F72E6">
        <w:noBreakHyphen/>
      </w:r>
      <w:proofErr w:type="gramStart"/>
      <w:r w:rsidR="006F72E6" w:rsidRPr="00356C4A">
        <w:t>methylbutoxy)acetate</w:t>
      </w:r>
      <w:proofErr w:type="gramEnd"/>
      <w:r w:rsidR="006F72E6">
        <w:t>, as the 3</w:t>
      </w:r>
      <w:r w:rsidR="006F72E6">
        <w:noBreakHyphen/>
        <w:t xml:space="preserve">methyl isomer of </w:t>
      </w:r>
      <w:r w:rsidR="006F72E6" w:rsidRPr="00E73800">
        <w:t>allyl amyl glycolate</w:t>
      </w:r>
      <w:r w:rsidR="006F72E6">
        <w:t xml:space="preserve">, may pose a similar risk of acute inhalation toxicity. </w:t>
      </w:r>
      <w:r w:rsidR="000A7B7F">
        <w:t xml:space="preserve">Noting the </w:t>
      </w:r>
      <w:r w:rsidR="006F72E6">
        <w:t>SPF factors, I am of the view that a</w:t>
      </w:r>
      <w:r w:rsidR="006F72E6" w:rsidRPr="00356C4A">
        <w:t>llyl (2</w:t>
      </w:r>
      <w:r w:rsidR="006F72E6">
        <w:noBreakHyphen/>
      </w:r>
      <w:proofErr w:type="gramStart"/>
      <w:r w:rsidR="006F72E6" w:rsidRPr="00356C4A">
        <w:t>methylbutoxy)acetate</w:t>
      </w:r>
      <w:proofErr w:type="gramEnd"/>
      <w:r w:rsidR="006F72E6">
        <w:t xml:space="preserve"> does not meet the criteria for Schedule 6 and should continue to be captured under the Schedule 7 group entry for allyl alcohol. Similarly</w:t>
      </w:r>
      <w:r w:rsidR="000A7B7F">
        <w:t>,</w:t>
      </w:r>
      <w:r w:rsidR="006F72E6">
        <w:t xml:space="preserve"> both allyl amyl glycolate and allyl (2</w:t>
      </w:r>
      <w:r w:rsidR="006F72E6">
        <w:noBreakHyphen/>
      </w:r>
      <w:proofErr w:type="gramStart"/>
      <w:r w:rsidR="006F72E6">
        <w:t>methylbutoxy)acetate</w:t>
      </w:r>
      <w:proofErr w:type="gramEnd"/>
      <w:r w:rsidR="006F72E6">
        <w:t xml:space="preserve"> require a</w:t>
      </w:r>
      <w:r w:rsidR="006F72E6" w:rsidRPr="00943F19">
        <w:t xml:space="preserve">dditional controls over access </w:t>
      </w:r>
      <w:r w:rsidR="006F72E6">
        <w:t>to</w:t>
      </w:r>
      <w:r w:rsidR="006F72E6" w:rsidRPr="00943F19">
        <w:t xml:space="preserve"> substances in Schedule 7 through inclusion in Appendix J, particularly where the potential for severe and possibly irreversible injury may occur without the user being aware of exposure</w:t>
      </w:r>
      <w:r w:rsidR="006F72E6">
        <w:t>. I a</w:t>
      </w:r>
      <w:r w:rsidR="000E6ADB">
        <w:t>gree</w:t>
      </w:r>
      <w:r w:rsidR="006F72E6">
        <w:t xml:space="preserve"> with the Committee that allyl </w:t>
      </w:r>
      <w:proofErr w:type="spellStart"/>
      <w:r w:rsidR="006F72E6" w:rsidRPr="00AD5FA0">
        <w:t>phenoxyacetate</w:t>
      </w:r>
      <w:proofErr w:type="spellEnd"/>
      <w:r w:rsidR="006F72E6">
        <w:t xml:space="preserve"> and allyl (</w:t>
      </w:r>
      <w:proofErr w:type="spellStart"/>
      <w:r w:rsidR="006F72E6">
        <w:t>cyclohexyloxy</w:t>
      </w:r>
      <w:proofErr w:type="spellEnd"/>
      <w:r w:rsidR="006F72E6">
        <w:t>)</w:t>
      </w:r>
      <w:r w:rsidR="00900E92">
        <w:t xml:space="preserve"> </w:t>
      </w:r>
      <w:r w:rsidR="006F72E6">
        <w:t>acetate pose a risk of acute oral toxicity</w:t>
      </w:r>
      <w:r w:rsidR="000A3CAD">
        <w:t xml:space="preserve">, and </w:t>
      </w:r>
      <w:r w:rsidR="006F72E6">
        <w:t xml:space="preserve">that the former acts as a moderate skin sensitiser. I </w:t>
      </w:r>
      <w:r w:rsidR="000A3CAD">
        <w:t>agree</w:t>
      </w:r>
      <w:r w:rsidR="006F72E6">
        <w:t xml:space="preserve"> with the Committee</w:t>
      </w:r>
      <w:r w:rsidR="000A3CAD">
        <w:t>’s advice</w:t>
      </w:r>
      <w:r w:rsidR="006F72E6">
        <w:t xml:space="preserve"> that the toxicity profile of allyl </w:t>
      </w:r>
      <w:proofErr w:type="spellStart"/>
      <w:r w:rsidR="006F72E6" w:rsidRPr="00AD5FA0">
        <w:t>phenoxyacetate</w:t>
      </w:r>
      <w:proofErr w:type="spellEnd"/>
      <w:r w:rsidR="006F72E6">
        <w:t xml:space="preserve"> and allyl (</w:t>
      </w:r>
      <w:proofErr w:type="spellStart"/>
      <w:r w:rsidR="006F72E6">
        <w:t>cyclohexyloxy</w:t>
      </w:r>
      <w:proofErr w:type="spellEnd"/>
      <w:r w:rsidR="006F72E6">
        <w:t>)acetate is consistent with Schedule 6 SPF factors.</w:t>
      </w:r>
    </w:p>
    <w:p w14:paraId="33793997" w14:textId="5804A931" w:rsidR="006F72E6" w:rsidRDefault="006F72E6" w:rsidP="006F72E6">
      <w:r>
        <w:t>In consider</w:t>
      </w:r>
      <w:r w:rsidR="00900E92">
        <w:t>ation of</w:t>
      </w:r>
      <w:r>
        <w:t xml:space="preserve"> s 52E(1)(f) regarding other matters relevant to scheduling, I note that the Schedule 6 entry for allyl esters includes an existing limit of total allyl esters (which will include any additional substances resulting from consideration of the proposal) of 5%. Furthermore, t</w:t>
      </w:r>
      <w:r w:rsidRPr="00B47895">
        <w:t>he amount of free allyl alcohol in any preparation containing one or more of the substances in the Schedule 6 entry remains limited to 0.1%.</w:t>
      </w:r>
      <w:r>
        <w:t xml:space="preserve"> I am of the view that this exemption remains appropriate for both allyl </w:t>
      </w:r>
      <w:proofErr w:type="spellStart"/>
      <w:r w:rsidRPr="00AD5FA0">
        <w:t>phenoxyacetate</w:t>
      </w:r>
      <w:proofErr w:type="spellEnd"/>
      <w:r>
        <w:t xml:space="preserve"> and allyl (</w:t>
      </w:r>
      <w:proofErr w:type="spellStart"/>
      <w:r>
        <w:t>cyclohexyloxy</w:t>
      </w:r>
      <w:proofErr w:type="spellEnd"/>
      <w:r>
        <w:t>)acetate based on the toxicity profile of these substances.</w:t>
      </w:r>
    </w:p>
    <w:p w14:paraId="4CA32893" w14:textId="7F781C11" w:rsidR="006F72E6" w:rsidRDefault="006F72E6" w:rsidP="006F72E6">
      <w:r>
        <w:t xml:space="preserve">I have decided on an implementation date of 1 February 2025 as the decision to down-schedule allyl </w:t>
      </w:r>
      <w:proofErr w:type="spellStart"/>
      <w:r w:rsidRPr="00AD5FA0">
        <w:t>phenoxyacetate</w:t>
      </w:r>
      <w:proofErr w:type="spellEnd"/>
      <w:r>
        <w:t xml:space="preserve"> and allyl (</w:t>
      </w:r>
      <w:proofErr w:type="spellStart"/>
      <w:r>
        <w:t>cyclohexyloxy</w:t>
      </w:r>
      <w:proofErr w:type="spellEnd"/>
      <w:r>
        <w:t xml:space="preserve">)acetate, and maintain the current scheduling of </w:t>
      </w:r>
      <w:r w:rsidRPr="000B4707">
        <w:t>allyl amyl glycolate</w:t>
      </w:r>
      <w:r>
        <w:t xml:space="preserve"> and</w:t>
      </w:r>
      <w:r w:rsidRPr="00C8352B">
        <w:t xml:space="preserve"> allyl (2-</w:t>
      </w:r>
      <w:proofErr w:type="gramStart"/>
      <w:r w:rsidRPr="00C8352B">
        <w:t>methylbutoxy)acetate</w:t>
      </w:r>
      <w:proofErr w:type="gramEnd"/>
      <w:r>
        <w:t xml:space="preserve">, </w:t>
      </w:r>
      <w:r w:rsidR="000E22B7">
        <w:t>should</w:t>
      </w:r>
      <w:r>
        <w:t xml:space="preserve"> not adversely impact industry.</w:t>
      </w:r>
    </w:p>
    <w:p w14:paraId="2A587DA0" w14:textId="77777777" w:rsidR="006F72E6" w:rsidRPr="00B03B68" w:rsidRDefault="006F72E6" w:rsidP="006F72E6">
      <w:pPr>
        <w:pStyle w:val="Heading4"/>
      </w:pPr>
      <w:bookmarkStart w:id="21" w:name="_Toc177645057"/>
      <w:r w:rsidRPr="00B03B68">
        <w:t>Implementation date</w:t>
      </w:r>
      <w:bookmarkEnd w:id="21"/>
    </w:p>
    <w:p w14:paraId="1FD81E05" w14:textId="77777777" w:rsidR="006F72E6" w:rsidRPr="00B03B68" w:rsidRDefault="006F72E6" w:rsidP="006F72E6">
      <w:r w:rsidRPr="00C43417">
        <w:t>1 February 202</w:t>
      </w:r>
      <w:r>
        <w:t>5</w:t>
      </w:r>
    </w:p>
    <w:p w14:paraId="6C50BEAE" w14:textId="77777777" w:rsidR="006F72E6" w:rsidRPr="00B03B68" w:rsidRDefault="006F72E6" w:rsidP="006F72E6">
      <w:pPr>
        <w:pStyle w:val="Heading3"/>
      </w:pPr>
      <w:bookmarkStart w:id="22" w:name="_Toc177645058"/>
      <w:r w:rsidRPr="00B03B68">
        <w:lastRenderedPageBreak/>
        <w:t xml:space="preserve">Interim decision in relation to </w:t>
      </w:r>
      <w:r>
        <w:t>glyoxylic acid</w:t>
      </w:r>
      <w:bookmarkEnd w:id="22"/>
    </w:p>
    <w:p w14:paraId="70AFFD76" w14:textId="77777777" w:rsidR="006F72E6" w:rsidRPr="00B03B68" w:rsidRDefault="006F72E6" w:rsidP="006F72E6">
      <w:pPr>
        <w:pStyle w:val="Heading4"/>
      </w:pPr>
      <w:bookmarkStart w:id="23" w:name="_Toc177645059"/>
      <w:r w:rsidRPr="00B03B68">
        <w:t>Proposal</w:t>
      </w:r>
      <w:bookmarkEnd w:id="23"/>
    </w:p>
    <w:p w14:paraId="2E5F39B3" w14:textId="02FA5D77" w:rsidR="006F72E6" w:rsidRPr="00B03B68" w:rsidRDefault="006F72E6" w:rsidP="006F72E6">
      <w:r w:rsidRPr="00B03B68">
        <w:t xml:space="preserve">The </w:t>
      </w:r>
      <w:r w:rsidR="000071A4">
        <w:t>D</w:t>
      </w:r>
      <w:r>
        <w:t>elegate</w:t>
      </w:r>
      <w:r w:rsidRPr="00B03B68">
        <w:t xml:space="preserve"> proposed</w:t>
      </w:r>
      <w:r>
        <w:t xml:space="preserve"> </w:t>
      </w:r>
      <w:r w:rsidR="002B7DAC">
        <w:t xml:space="preserve">the creation of a </w:t>
      </w:r>
      <w:r>
        <w:t xml:space="preserve">Schedule 6 entry </w:t>
      </w:r>
      <w:r w:rsidRPr="00B03B68">
        <w:t>for</w:t>
      </w:r>
      <w:r>
        <w:t xml:space="preserve"> glyoxylic acid. The proposal was initiated </w:t>
      </w:r>
      <w:r w:rsidRPr="0047573F">
        <w:t>following a recommendation by the Australian Industrial Chemicals Introduction</w:t>
      </w:r>
      <w:r>
        <w:t xml:space="preserve"> </w:t>
      </w:r>
      <w:r w:rsidRPr="0047573F">
        <w:t>Scheme</w:t>
      </w:r>
      <w:r>
        <w:t xml:space="preserve"> (AICIS)</w:t>
      </w:r>
      <w:r w:rsidRPr="0047573F">
        <w:t xml:space="preserve"> in their </w:t>
      </w:r>
      <w:hyperlink r:id="rId22" w:history="1">
        <w:r>
          <w:rPr>
            <w:rStyle w:val="Hyperlink"/>
            <w:rFonts w:cs="Arial"/>
          </w:rPr>
          <w:t>evaluation</w:t>
        </w:r>
        <w:r w:rsidRPr="002204E1">
          <w:rPr>
            <w:rStyle w:val="Hyperlink"/>
            <w:rFonts w:cs="Arial"/>
          </w:rPr>
          <w:t xml:space="preserve"> of glyoxylic acid</w:t>
        </w:r>
      </w:hyperlink>
      <w:r>
        <w:rPr>
          <w:rFonts w:cs="Arial"/>
          <w:color w:val="0000FF"/>
        </w:rPr>
        <w:t xml:space="preserve"> </w:t>
      </w:r>
      <w:r w:rsidRPr="0047573F">
        <w:t xml:space="preserve">published in </w:t>
      </w:r>
      <w:r>
        <w:t>December</w:t>
      </w:r>
      <w:r w:rsidRPr="0047573F">
        <w:t xml:space="preserve"> 20</w:t>
      </w:r>
      <w:r>
        <w:t xml:space="preserve">22. The recommendation proposed </w:t>
      </w:r>
      <w:r w:rsidRPr="003F6A53">
        <w:t xml:space="preserve">to create a new Schedule 6 entry in the Poisons Standard, </w:t>
      </w:r>
      <w:proofErr w:type="gramStart"/>
      <w:r w:rsidRPr="003F6A53">
        <w:t>similar to</w:t>
      </w:r>
      <w:proofErr w:type="gramEnd"/>
      <w:r w:rsidRPr="003F6A53">
        <w:t xml:space="preserve"> the entry for glycolic acid, except for cosmetic preparations containing over 12% glyoxylic acid and when featuring warning labels.</w:t>
      </w:r>
      <w:r>
        <w:t xml:space="preserve"> This substance is not</w:t>
      </w:r>
      <w:r w:rsidRPr="00B03B68">
        <w:t xml:space="preserve"> currently captured in</w:t>
      </w:r>
      <w:r>
        <w:t xml:space="preserve"> </w:t>
      </w:r>
      <w:r w:rsidRPr="00B03B68">
        <w:t>the Poisons Standard</w:t>
      </w:r>
      <w:r>
        <w:t>.</w:t>
      </w:r>
    </w:p>
    <w:p w14:paraId="163562B2" w14:textId="77777777" w:rsidR="006F72E6" w:rsidRPr="00B03B68" w:rsidRDefault="006F72E6" w:rsidP="006F72E6">
      <w:pPr>
        <w:pStyle w:val="Heading4"/>
      </w:pPr>
      <w:bookmarkStart w:id="24" w:name="_Toc177645060"/>
      <w:r w:rsidRPr="00B03B68">
        <w:t>Interim decision</w:t>
      </w:r>
      <w:bookmarkEnd w:id="24"/>
    </w:p>
    <w:p w14:paraId="1917F1E7" w14:textId="7BAAED86" w:rsidR="006F72E6" w:rsidRPr="00B03B68" w:rsidRDefault="006F72E6" w:rsidP="006F72E6">
      <w:r w:rsidRPr="00B03B68">
        <w:t>Pursuant to regulation 42ZCZN of the Regulations, the Delegate has, in relation to the proposed amendment</w:t>
      </w:r>
      <w:r w:rsidRPr="00497AFE">
        <w:t>, made an interim decision to amend the current Poisons Standard in relation to glyoxylic acid as follows:</w:t>
      </w:r>
      <w:r w:rsidR="005C39AC">
        <w:rPr>
          <w:rStyle w:val="FootnoteReference"/>
        </w:rPr>
        <w:footnoteReference w:id="13"/>
      </w:r>
    </w:p>
    <w:p w14:paraId="46A7D6FA" w14:textId="77777777" w:rsidR="006F72E6" w:rsidRPr="00B94C08" w:rsidRDefault="006F72E6" w:rsidP="00417551">
      <w:pPr>
        <w:ind w:left="425"/>
        <w:rPr>
          <w:b/>
          <w:bCs/>
        </w:rPr>
      </w:pPr>
      <w:r w:rsidRPr="00B94C08">
        <w:rPr>
          <w:b/>
          <w:bCs/>
        </w:rPr>
        <w:t>Schedule</w:t>
      </w:r>
      <w:r>
        <w:rPr>
          <w:b/>
          <w:bCs/>
        </w:rPr>
        <w:t xml:space="preserve"> 6</w:t>
      </w:r>
      <w:r w:rsidRPr="00B94C08">
        <w:rPr>
          <w:b/>
          <w:bCs/>
        </w:rPr>
        <w:t xml:space="preserve"> – New Entry</w:t>
      </w:r>
    </w:p>
    <w:p w14:paraId="2FEF072B" w14:textId="77777777" w:rsidR="006F72E6" w:rsidRPr="00417551" w:rsidRDefault="006F72E6" w:rsidP="003F5D67">
      <w:pPr>
        <w:spacing w:line="257" w:lineRule="auto"/>
        <w:ind w:left="720"/>
        <w:rPr>
          <w:rFonts w:cs="Cambria"/>
          <w:color w:val="000000"/>
          <w:u w:val="single"/>
        </w:rPr>
      </w:pPr>
      <w:r w:rsidRPr="00417551">
        <w:rPr>
          <w:rFonts w:eastAsia="Arial" w:cs="Arial"/>
          <w:color w:val="00B050"/>
          <w:u w:val="single"/>
        </w:rPr>
        <w:t>GLYOXYLIC ACID (including its salts and esters) in cosmetic products.</w:t>
      </w:r>
    </w:p>
    <w:p w14:paraId="7FF2C7FF" w14:textId="77777777" w:rsidR="006F72E6" w:rsidRDefault="006F72E6" w:rsidP="00417551">
      <w:pPr>
        <w:ind w:left="425"/>
        <w:rPr>
          <w:b/>
          <w:bCs/>
        </w:rPr>
      </w:pPr>
      <w:r w:rsidRPr="00FB1CCE">
        <w:rPr>
          <w:b/>
          <w:bCs/>
        </w:rPr>
        <w:t>Appendix E, clause 3 (First aid instructions for poisons) – New Entry</w:t>
      </w:r>
    </w:p>
    <w:tbl>
      <w:tblPr>
        <w:tblStyle w:val="TableGrid"/>
        <w:tblW w:w="0" w:type="auto"/>
        <w:tblInd w:w="420" w:type="dxa"/>
        <w:tblLayout w:type="fixed"/>
        <w:tblLook w:val="04A0" w:firstRow="1" w:lastRow="0" w:firstColumn="1" w:lastColumn="0" w:noHBand="0" w:noVBand="1"/>
      </w:tblPr>
      <w:tblGrid>
        <w:gridCol w:w="971"/>
        <w:gridCol w:w="2036"/>
        <w:gridCol w:w="5831"/>
      </w:tblGrid>
      <w:tr w:rsidR="006F72E6" w14:paraId="52A2EAB5" w14:textId="77777777" w:rsidTr="005B049D">
        <w:trPr>
          <w:trHeight w:val="300"/>
        </w:trPr>
        <w:tc>
          <w:tcPr>
            <w:tcW w:w="971" w:type="dxa"/>
            <w:tcBorders>
              <w:top w:val="single" w:sz="8" w:space="0" w:color="44546A" w:themeColor="text2"/>
              <w:left w:val="single" w:sz="8" w:space="0" w:color="44546A" w:themeColor="text2"/>
              <w:bottom w:val="single" w:sz="8" w:space="0" w:color="44546A" w:themeColor="text2"/>
              <w:right w:val="nil"/>
            </w:tcBorders>
            <w:shd w:val="clear" w:color="auto" w:fill="006DA7"/>
            <w:tcMar>
              <w:left w:w="108" w:type="dxa"/>
              <w:right w:w="108" w:type="dxa"/>
            </w:tcMar>
          </w:tcPr>
          <w:p w14:paraId="1FEF7780" w14:textId="77777777" w:rsidR="006F72E6" w:rsidRDefault="006F72E6" w:rsidP="005B049D">
            <w:pPr>
              <w:spacing w:before="60" w:after="60"/>
            </w:pPr>
            <w:r w:rsidRPr="43BBABB6">
              <w:rPr>
                <w:rFonts w:cs="Cambria"/>
                <w:b/>
                <w:bCs/>
                <w:color w:val="E7E6E6" w:themeColor="background2"/>
              </w:rPr>
              <w:t>Item</w:t>
            </w:r>
          </w:p>
        </w:tc>
        <w:tc>
          <w:tcPr>
            <w:tcW w:w="2036" w:type="dxa"/>
            <w:tcBorders>
              <w:top w:val="single" w:sz="8" w:space="0" w:color="44546A" w:themeColor="text2"/>
              <w:left w:val="nil"/>
              <w:bottom w:val="single" w:sz="8" w:space="0" w:color="44546A" w:themeColor="text2"/>
              <w:right w:val="nil"/>
            </w:tcBorders>
            <w:shd w:val="clear" w:color="auto" w:fill="006DA7"/>
            <w:tcMar>
              <w:left w:w="108" w:type="dxa"/>
              <w:right w:w="108" w:type="dxa"/>
            </w:tcMar>
          </w:tcPr>
          <w:p w14:paraId="40C838B3" w14:textId="77777777" w:rsidR="006F72E6" w:rsidRDefault="006F72E6" w:rsidP="005B049D">
            <w:pPr>
              <w:spacing w:before="60" w:after="60"/>
            </w:pPr>
            <w:r w:rsidRPr="43BBABB6">
              <w:rPr>
                <w:rFonts w:cs="Cambria"/>
                <w:b/>
                <w:bCs/>
                <w:color w:val="E7E6E6" w:themeColor="background2"/>
              </w:rPr>
              <w:t>Poison</w:t>
            </w:r>
          </w:p>
        </w:tc>
        <w:tc>
          <w:tcPr>
            <w:tcW w:w="5831" w:type="dxa"/>
            <w:tcBorders>
              <w:top w:val="single" w:sz="8" w:space="0" w:color="44546A" w:themeColor="text2"/>
              <w:left w:val="nil"/>
              <w:bottom w:val="single" w:sz="8" w:space="0" w:color="44546A" w:themeColor="text2"/>
              <w:right w:val="single" w:sz="8" w:space="0" w:color="44546A" w:themeColor="text2"/>
            </w:tcBorders>
            <w:shd w:val="clear" w:color="auto" w:fill="006DA7"/>
            <w:tcMar>
              <w:left w:w="108" w:type="dxa"/>
              <w:right w:w="108" w:type="dxa"/>
            </w:tcMar>
          </w:tcPr>
          <w:p w14:paraId="5C3404A4" w14:textId="77777777" w:rsidR="006F72E6" w:rsidRDefault="006F72E6" w:rsidP="005B049D">
            <w:pPr>
              <w:spacing w:before="60" w:after="60"/>
            </w:pPr>
            <w:r w:rsidRPr="43BBABB6">
              <w:rPr>
                <w:rFonts w:cs="Cambria"/>
                <w:b/>
                <w:bCs/>
                <w:color w:val="E7E6E6" w:themeColor="background2"/>
              </w:rPr>
              <w:t>Statement code (and statement)</w:t>
            </w:r>
          </w:p>
        </w:tc>
      </w:tr>
      <w:tr w:rsidR="006F72E6" w14:paraId="13860EDA" w14:textId="77777777" w:rsidTr="005B049D">
        <w:trPr>
          <w:trHeight w:val="300"/>
        </w:trPr>
        <w:tc>
          <w:tcPr>
            <w:tcW w:w="971"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4F130782" w14:textId="77777777" w:rsidR="006F72E6" w:rsidRDefault="006F72E6" w:rsidP="005B049D">
            <w:pPr>
              <w:spacing w:before="60" w:after="60"/>
            </w:pPr>
            <w:r w:rsidRPr="43BBABB6">
              <w:rPr>
                <w:rFonts w:cs="Cambria"/>
                <w:color w:val="00B050"/>
                <w:sz w:val="20"/>
                <w:szCs w:val="20"/>
                <w:u w:val="single"/>
              </w:rPr>
              <w:t>138a</w:t>
            </w:r>
          </w:p>
        </w:tc>
        <w:tc>
          <w:tcPr>
            <w:tcW w:w="2036"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2813D354" w14:textId="77777777" w:rsidR="006F72E6" w:rsidRDefault="006F72E6" w:rsidP="005B049D">
            <w:pPr>
              <w:spacing w:before="60" w:after="60"/>
            </w:pPr>
            <w:r w:rsidRPr="43BBABB6">
              <w:rPr>
                <w:rFonts w:cs="Cambria"/>
                <w:color w:val="00B050"/>
                <w:sz w:val="20"/>
                <w:szCs w:val="20"/>
                <w:u w:val="single"/>
              </w:rPr>
              <w:t>GLYOXYLIC ACID</w:t>
            </w:r>
          </w:p>
        </w:tc>
        <w:tc>
          <w:tcPr>
            <w:tcW w:w="5831"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1B9F13D6" w14:textId="77777777" w:rsidR="006F72E6" w:rsidRDefault="006F72E6" w:rsidP="005B049D">
            <w:pPr>
              <w:spacing w:before="60" w:after="60"/>
            </w:pPr>
            <w:r w:rsidRPr="43BBABB6">
              <w:rPr>
                <w:rFonts w:cs="Cambria"/>
                <w:color w:val="00B050"/>
                <w:sz w:val="20"/>
                <w:szCs w:val="20"/>
                <w:u w:val="single"/>
              </w:rPr>
              <w:t>A</w:t>
            </w:r>
            <w:r w:rsidRPr="43BBABB6">
              <w:rPr>
                <w:rFonts w:cs="Cambria"/>
                <w:b/>
                <w:bCs/>
                <w:sz w:val="20"/>
                <w:szCs w:val="20"/>
              </w:rPr>
              <w:t xml:space="preserve"> </w:t>
            </w:r>
            <w:r w:rsidRPr="43BBABB6">
              <w:rPr>
                <w:rFonts w:cs="Cambria"/>
                <w:sz w:val="20"/>
                <w:szCs w:val="20"/>
              </w:rPr>
              <w:t>(For advice, contact a Poisons Information Centre (e.g. phone Australia 13 11 26; New Zealand 0800 764 766) or a doctor (at once).)</w:t>
            </w:r>
          </w:p>
          <w:p w14:paraId="40C8B5CF" w14:textId="77777777" w:rsidR="006F72E6" w:rsidRDefault="006F72E6" w:rsidP="005B049D">
            <w:pPr>
              <w:spacing w:before="60" w:after="60"/>
            </w:pPr>
            <w:r w:rsidRPr="43BBABB6">
              <w:rPr>
                <w:rFonts w:cs="Cambria"/>
                <w:color w:val="00B050"/>
                <w:sz w:val="20"/>
                <w:szCs w:val="20"/>
                <w:u w:val="single"/>
              </w:rPr>
              <w:t>G3</w:t>
            </w:r>
            <w:r w:rsidRPr="43BBABB6">
              <w:rPr>
                <w:rFonts w:cs="Cambria"/>
                <w:b/>
                <w:bCs/>
                <w:sz w:val="20"/>
                <w:szCs w:val="20"/>
              </w:rPr>
              <w:t xml:space="preserve"> </w:t>
            </w:r>
            <w:r w:rsidRPr="43BBABB6">
              <w:rPr>
                <w:rFonts w:cs="Cambria"/>
                <w:sz w:val="20"/>
                <w:szCs w:val="20"/>
              </w:rPr>
              <w:t>(If swallowed, do NOT induce vomiting.)</w:t>
            </w:r>
          </w:p>
          <w:p w14:paraId="6EF3A176" w14:textId="77777777" w:rsidR="006F72E6" w:rsidRDefault="006F72E6" w:rsidP="005B049D">
            <w:pPr>
              <w:spacing w:before="60" w:after="60"/>
            </w:pPr>
            <w:r w:rsidRPr="43BBABB6">
              <w:rPr>
                <w:rFonts w:cs="Cambria"/>
                <w:color w:val="00B050"/>
                <w:sz w:val="20"/>
                <w:szCs w:val="20"/>
                <w:u w:val="single"/>
              </w:rPr>
              <w:t>E2</w:t>
            </w:r>
            <w:r w:rsidRPr="43BBABB6">
              <w:rPr>
                <w:rFonts w:cs="Cambria"/>
                <w:b/>
                <w:bCs/>
                <w:sz w:val="20"/>
                <w:szCs w:val="20"/>
              </w:rPr>
              <w:t xml:space="preserve"> </w:t>
            </w:r>
            <w:r w:rsidRPr="43BBABB6">
              <w:rPr>
                <w:rFonts w:cs="Cambria"/>
                <w:sz w:val="20"/>
                <w:szCs w:val="20"/>
              </w:rPr>
              <w:t>(If in eyes, hold eyelids apart and flush the eye continuously with running water. Continue flushing until advised to stop by a Poisons Information Centre (e.g. phone Australia 13 11 26; New Zealand 0800 764 766) or a doctor, or for at least 15 minutes.)</w:t>
            </w:r>
          </w:p>
        </w:tc>
      </w:tr>
    </w:tbl>
    <w:p w14:paraId="18F472BA" w14:textId="77777777" w:rsidR="006F72E6" w:rsidRDefault="006F72E6" w:rsidP="006F72E6">
      <w:pPr>
        <w:ind w:firstLine="284"/>
        <w:rPr>
          <w:b/>
          <w:bCs/>
        </w:rPr>
      </w:pPr>
    </w:p>
    <w:p w14:paraId="74E1FF84" w14:textId="77777777" w:rsidR="006F72E6" w:rsidRDefault="006F72E6" w:rsidP="00417551">
      <w:pPr>
        <w:ind w:left="425"/>
        <w:rPr>
          <w:b/>
          <w:bCs/>
        </w:rPr>
      </w:pPr>
      <w:r w:rsidRPr="00A21F95">
        <w:rPr>
          <w:b/>
          <w:bCs/>
        </w:rPr>
        <w:t>Appendix F, clause 4 (Poisons that must be labelled with warning statements and safety</w:t>
      </w:r>
      <w:r>
        <w:rPr>
          <w:b/>
          <w:bCs/>
        </w:rPr>
        <w:t xml:space="preserve"> </w:t>
      </w:r>
      <w:r w:rsidRPr="00A21F95">
        <w:rPr>
          <w:b/>
          <w:bCs/>
        </w:rPr>
        <w:t>directions) – New Entry</w:t>
      </w:r>
    </w:p>
    <w:tbl>
      <w:tblPr>
        <w:tblStyle w:val="TableGrid"/>
        <w:tblW w:w="0" w:type="auto"/>
        <w:tblInd w:w="420" w:type="dxa"/>
        <w:tblLayout w:type="fixed"/>
        <w:tblLook w:val="04A0" w:firstRow="1" w:lastRow="0" w:firstColumn="1" w:lastColumn="0" w:noHBand="0" w:noVBand="1"/>
      </w:tblPr>
      <w:tblGrid>
        <w:gridCol w:w="955"/>
        <w:gridCol w:w="1971"/>
        <w:gridCol w:w="2821"/>
        <w:gridCol w:w="3162"/>
      </w:tblGrid>
      <w:tr w:rsidR="006F72E6" w14:paraId="6B0AF93A" w14:textId="77777777" w:rsidTr="005B049D">
        <w:trPr>
          <w:trHeight w:val="300"/>
        </w:trPr>
        <w:tc>
          <w:tcPr>
            <w:tcW w:w="955" w:type="dxa"/>
            <w:tcBorders>
              <w:top w:val="single" w:sz="8" w:space="0" w:color="44546A" w:themeColor="text2"/>
              <w:left w:val="single" w:sz="8" w:space="0" w:color="44546A" w:themeColor="text2"/>
              <w:bottom w:val="single" w:sz="8" w:space="0" w:color="44546A" w:themeColor="text2"/>
              <w:right w:val="nil"/>
            </w:tcBorders>
            <w:shd w:val="clear" w:color="auto" w:fill="006DA7"/>
            <w:tcMar>
              <w:left w:w="108" w:type="dxa"/>
              <w:right w:w="108" w:type="dxa"/>
            </w:tcMar>
          </w:tcPr>
          <w:p w14:paraId="1D1462C4" w14:textId="77777777" w:rsidR="006F72E6" w:rsidRDefault="006F72E6" w:rsidP="005B049D">
            <w:pPr>
              <w:spacing w:before="60" w:after="60"/>
            </w:pPr>
            <w:r w:rsidRPr="43BBABB6">
              <w:rPr>
                <w:rFonts w:cs="Cambria"/>
                <w:b/>
                <w:bCs/>
                <w:color w:val="E7E6E6" w:themeColor="background2"/>
              </w:rPr>
              <w:t>Item</w:t>
            </w:r>
          </w:p>
        </w:tc>
        <w:tc>
          <w:tcPr>
            <w:tcW w:w="1971" w:type="dxa"/>
            <w:tcBorders>
              <w:top w:val="single" w:sz="8" w:space="0" w:color="44546A" w:themeColor="text2"/>
              <w:left w:val="nil"/>
              <w:bottom w:val="single" w:sz="8" w:space="0" w:color="44546A" w:themeColor="text2"/>
              <w:right w:val="nil"/>
            </w:tcBorders>
            <w:shd w:val="clear" w:color="auto" w:fill="006DA7"/>
            <w:tcMar>
              <w:left w:w="108" w:type="dxa"/>
              <w:right w:w="108" w:type="dxa"/>
            </w:tcMar>
          </w:tcPr>
          <w:p w14:paraId="321DBDC4" w14:textId="77777777" w:rsidR="006F72E6" w:rsidRDefault="006F72E6" w:rsidP="005B049D">
            <w:pPr>
              <w:spacing w:before="60" w:after="60"/>
            </w:pPr>
            <w:r w:rsidRPr="43BBABB6">
              <w:rPr>
                <w:rFonts w:cs="Cambria"/>
                <w:b/>
                <w:bCs/>
                <w:color w:val="E7E6E6" w:themeColor="background2"/>
              </w:rPr>
              <w:t>Poison</w:t>
            </w:r>
          </w:p>
        </w:tc>
        <w:tc>
          <w:tcPr>
            <w:tcW w:w="2821" w:type="dxa"/>
            <w:tcBorders>
              <w:top w:val="single" w:sz="8" w:space="0" w:color="44546A" w:themeColor="text2"/>
              <w:left w:val="nil"/>
              <w:bottom w:val="single" w:sz="8" w:space="0" w:color="44546A" w:themeColor="text2"/>
              <w:right w:val="nil"/>
            </w:tcBorders>
            <w:shd w:val="clear" w:color="auto" w:fill="006DA7"/>
            <w:tcMar>
              <w:left w:w="108" w:type="dxa"/>
              <w:right w:w="108" w:type="dxa"/>
            </w:tcMar>
          </w:tcPr>
          <w:p w14:paraId="3A05C366" w14:textId="77777777" w:rsidR="006F72E6" w:rsidRDefault="006F72E6" w:rsidP="005B049D">
            <w:pPr>
              <w:spacing w:before="60" w:after="60"/>
            </w:pPr>
            <w:r w:rsidRPr="43BBABB6">
              <w:rPr>
                <w:rFonts w:cs="Cambria"/>
                <w:b/>
                <w:bCs/>
                <w:color w:val="E7E6E6" w:themeColor="background2"/>
              </w:rPr>
              <w:t>Warning statement item number (and statement)</w:t>
            </w:r>
          </w:p>
        </w:tc>
        <w:tc>
          <w:tcPr>
            <w:tcW w:w="3162" w:type="dxa"/>
            <w:tcBorders>
              <w:top w:val="single" w:sz="8" w:space="0" w:color="44546A" w:themeColor="text2"/>
              <w:left w:val="nil"/>
              <w:bottom w:val="single" w:sz="8" w:space="0" w:color="44546A" w:themeColor="text2"/>
              <w:right w:val="single" w:sz="8" w:space="0" w:color="44546A" w:themeColor="text2"/>
            </w:tcBorders>
            <w:shd w:val="clear" w:color="auto" w:fill="006DA7"/>
            <w:tcMar>
              <w:left w:w="108" w:type="dxa"/>
              <w:right w:w="108" w:type="dxa"/>
            </w:tcMar>
          </w:tcPr>
          <w:p w14:paraId="0A25E691" w14:textId="77777777" w:rsidR="006F72E6" w:rsidRDefault="006F72E6" w:rsidP="005B049D">
            <w:pPr>
              <w:spacing w:before="60" w:after="60"/>
            </w:pPr>
            <w:r w:rsidRPr="43BBABB6">
              <w:rPr>
                <w:rFonts w:cs="Cambria"/>
                <w:b/>
                <w:bCs/>
                <w:color w:val="E7E6E6" w:themeColor="background2"/>
              </w:rPr>
              <w:t>Safety direction item number (and statement)</w:t>
            </w:r>
          </w:p>
        </w:tc>
      </w:tr>
      <w:tr w:rsidR="006F72E6" w14:paraId="186F1E1F" w14:textId="77777777" w:rsidTr="005B049D">
        <w:trPr>
          <w:trHeight w:val="300"/>
        </w:trPr>
        <w:tc>
          <w:tcPr>
            <w:tcW w:w="955"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1F081AE3" w14:textId="77777777" w:rsidR="006F72E6" w:rsidRDefault="006F72E6" w:rsidP="005B049D">
            <w:pPr>
              <w:spacing w:before="60" w:after="60"/>
            </w:pPr>
            <w:r w:rsidRPr="43BBABB6">
              <w:rPr>
                <w:rFonts w:cs="Cambria"/>
                <w:color w:val="00B050"/>
                <w:sz w:val="20"/>
                <w:szCs w:val="20"/>
                <w:u w:val="single"/>
              </w:rPr>
              <w:t>160a</w:t>
            </w:r>
          </w:p>
        </w:tc>
        <w:tc>
          <w:tcPr>
            <w:tcW w:w="1971"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14FC30D6" w14:textId="77777777" w:rsidR="006F72E6" w:rsidRDefault="006F72E6" w:rsidP="005B049D">
            <w:pPr>
              <w:spacing w:before="60" w:after="60"/>
            </w:pPr>
            <w:r w:rsidRPr="43BBABB6">
              <w:rPr>
                <w:rFonts w:cs="Cambria"/>
                <w:color w:val="00B050"/>
                <w:sz w:val="20"/>
                <w:szCs w:val="20"/>
                <w:u w:val="single"/>
              </w:rPr>
              <w:t>GLYOXYLIC ACID</w:t>
            </w:r>
          </w:p>
        </w:tc>
        <w:tc>
          <w:tcPr>
            <w:tcW w:w="2821"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29EA4854" w14:textId="77777777" w:rsidR="006F72E6" w:rsidRDefault="006F72E6" w:rsidP="005B049D">
            <w:pPr>
              <w:spacing w:before="60" w:after="60"/>
            </w:pPr>
            <w:r w:rsidRPr="43BBABB6">
              <w:rPr>
                <w:rFonts w:cs="Cambria"/>
                <w:color w:val="00B050"/>
                <w:sz w:val="20"/>
                <w:szCs w:val="20"/>
                <w:u w:val="single"/>
              </w:rPr>
              <w:t>79</w:t>
            </w:r>
            <w:r w:rsidRPr="43BBABB6">
              <w:rPr>
                <w:rFonts w:cs="Cambria"/>
                <w:b/>
                <w:bCs/>
                <w:sz w:val="20"/>
                <w:szCs w:val="20"/>
              </w:rPr>
              <w:t xml:space="preserve"> </w:t>
            </w:r>
            <w:r w:rsidRPr="43BBABB6">
              <w:rPr>
                <w:rFonts w:cs="Cambria"/>
                <w:sz w:val="20"/>
                <w:szCs w:val="20"/>
              </w:rPr>
              <w:t>(Will irritate eyes)</w:t>
            </w:r>
          </w:p>
        </w:tc>
        <w:tc>
          <w:tcPr>
            <w:tcW w:w="3162"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1BE5760A" w14:textId="77777777" w:rsidR="006F72E6" w:rsidRDefault="006F72E6" w:rsidP="005B049D">
            <w:pPr>
              <w:spacing w:before="60" w:after="60"/>
            </w:pPr>
            <w:r w:rsidRPr="43BBABB6">
              <w:rPr>
                <w:rFonts w:cs="Cambria"/>
                <w:color w:val="00B050"/>
                <w:sz w:val="20"/>
                <w:szCs w:val="20"/>
                <w:u w:val="single"/>
              </w:rPr>
              <w:t>1</w:t>
            </w:r>
            <w:r w:rsidRPr="43BBABB6">
              <w:rPr>
                <w:rFonts w:cs="Cambria"/>
                <w:color w:val="00B050"/>
                <w:sz w:val="20"/>
                <w:szCs w:val="20"/>
              </w:rPr>
              <w:t xml:space="preserve"> </w:t>
            </w:r>
            <w:r w:rsidRPr="43BBABB6">
              <w:rPr>
                <w:rFonts w:cs="Cambria"/>
                <w:sz w:val="20"/>
                <w:szCs w:val="20"/>
              </w:rPr>
              <w:t>(Avoid contact with eyes)</w:t>
            </w:r>
          </w:p>
          <w:p w14:paraId="4CEE27F6" w14:textId="77777777" w:rsidR="006F72E6" w:rsidRDefault="006F72E6" w:rsidP="005B049D">
            <w:pPr>
              <w:spacing w:before="60" w:after="60"/>
            </w:pPr>
            <w:r w:rsidRPr="43BBABB6">
              <w:rPr>
                <w:rFonts w:cs="Cambria"/>
                <w:color w:val="00B050"/>
                <w:sz w:val="20"/>
                <w:szCs w:val="20"/>
                <w:u w:val="single"/>
              </w:rPr>
              <w:t>5</w:t>
            </w:r>
            <w:r w:rsidRPr="43BBABB6">
              <w:rPr>
                <w:rFonts w:cs="Cambria"/>
                <w:color w:val="00B050"/>
                <w:sz w:val="20"/>
                <w:szCs w:val="20"/>
              </w:rPr>
              <w:t xml:space="preserve"> </w:t>
            </w:r>
            <w:r w:rsidRPr="43BBABB6">
              <w:rPr>
                <w:rFonts w:cs="Cambria"/>
                <w:sz w:val="20"/>
                <w:szCs w:val="20"/>
              </w:rPr>
              <w:t>(Wear protective gloves when mixing or using)</w:t>
            </w:r>
          </w:p>
          <w:p w14:paraId="677FE966" w14:textId="77777777" w:rsidR="006F72E6" w:rsidRDefault="006F72E6" w:rsidP="005B049D">
            <w:pPr>
              <w:spacing w:before="60" w:after="60"/>
            </w:pPr>
            <w:r w:rsidRPr="43BBABB6">
              <w:rPr>
                <w:rFonts w:cs="Cambria"/>
                <w:color w:val="00B050"/>
                <w:sz w:val="20"/>
                <w:szCs w:val="20"/>
                <w:u w:val="single"/>
              </w:rPr>
              <w:t>6</w:t>
            </w:r>
            <w:r w:rsidRPr="43BBABB6">
              <w:rPr>
                <w:rFonts w:cs="Cambria"/>
                <w:color w:val="00B050"/>
                <w:sz w:val="20"/>
                <w:szCs w:val="20"/>
              </w:rPr>
              <w:t xml:space="preserve"> </w:t>
            </w:r>
            <w:r w:rsidRPr="43BBABB6">
              <w:rPr>
                <w:rFonts w:cs="Cambria"/>
                <w:sz w:val="20"/>
                <w:szCs w:val="20"/>
              </w:rPr>
              <w:t>(Wash hands after use)</w:t>
            </w:r>
          </w:p>
          <w:p w14:paraId="3129D083" w14:textId="77777777" w:rsidR="006F72E6" w:rsidRDefault="006F72E6" w:rsidP="005B049D">
            <w:pPr>
              <w:spacing w:before="60" w:after="60"/>
            </w:pPr>
            <w:r w:rsidRPr="43BBABB6">
              <w:rPr>
                <w:rFonts w:cs="Cambria"/>
                <w:color w:val="00B050"/>
                <w:sz w:val="20"/>
                <w:szCs w:val="20"/>
                <w:u w:val="single"/>
              </w:rPr>
              <w:t>31</w:t>
            </w:r>
            <w:r w:rsidRPr="43BBABB6">
              <w:rPr>
                <w:rFonts w:cs="Cambria"/>
                <w:color w:val="00B050"/>
                <w:sz w:val="20"/>
                <w:szCs w:val="20"/>
              </w:rPr>
              <w:t xml:space="preserve"> </w:t>
            </w:r>
            <w:r w:rsidRPr="43BBABB6">
              <w:rPr>
                <w:rFonts w:cs="Cambria"/>
                <w:sz w:val="20"/>
                <w:szCs w:val="20"/>
              </w:rPr>
              <w:t>(Do not use on broken skin)</w:t>
            </w:r>
          </w:p>
          <w:p w14:paraId="2C30FEFE" w14:textId="77777777" w:rsidR="006F72E6" w:rsidRDefault="006F72E6" w:rsidP="005B049D">
            <w:pPr>
              <w:spacing w:before="60" w:after="60"/>
            </w:pPr>
            <w:r w:rsidRPr="43BBABB6">
              <w:rPr>
                <w:rFonts w:cs="Cambria"/>
                <w:sz w:val="20"/>
                <w:szCs w:val="20"/>
              </w:rPr>
              <w:t xml:space="preserve"> </w:t>
            </w:r>
          </w:p>
          <w:p w14:paraId="6EB32219" w14:textId="77777777" w:rsidR="006F72E6" w:rsidRDefault="006F72E6" w:rsidP="005B049D">
            <w:pPr>
              <w:spacing w:before="60" w:after="60"/>
            </w:pPr>
            <w:r w:rsidRPr="43BBABB6">
              <w:rPr>
                <w:rFonts w:cs="Cambria"/>
                <w:i/>
                <w:iCs/>
                <w:sz w:val="20"/>
                <w:szCs w:val="20"/>
              </w:rPr>
              <w:t>[Either of:]</w:t>
            </w:r>
          </w:p>
          <w:p w14:paraId="69301264" w14:textId="77777777" w:rsidR="006F72E6" w:rsidRDefault="006F72E6" w:rsidP="005B049D">
            <w:pPr>
              <w:spacing w:before="60" w:after="60"/>
            </w:pPr>
            <w:r w:rsidRPr="43BBABB6">
              <w:rPr>
                <w:rFonts w:cs="Cambria"/>
                <w:color w:val="00B050"/>
                <w:sz w:val="20"/>
                <w:szCs w:val="20"/>
                <w:u w:val="single"/>
              </w:rPr>
              <w:t>9</w:t>
            </w:r>
            <w:r w:rsidRPr="43BBABB6">
              <w:rPr>
                <w:rFonts w:cs="Cambria"/>
                <w:color w:val="00B050"/>
                <w:sz w:val="20"/>
                <w:szCs w:val="20"/>
              </w:rPr>
              <w:t xml:space="preserve"> </w:t>
            </w:r>
            <w:r w:rsidRPr="43BBABB6">
              <w:rPr>
                <w:rFonts w:cs="Cambria"/>
                <w:sz w:val="20"/>
                <w:szCs w:val="20"/>
              </w:rPr>
              <w:t xml:space="preserve">(Use only in </w:t>
            </w:r>
            <w:proofErr w:type="spellStart"/>
            <w:r w:rsidRPr="43BBABB6">
              <w:rPr>
                <w:rFonts w:cs="Cambria"/>
                <w:sz w:val="20"/>
                <w:szCs w:val="20"/>
              </w:rPr>
              <w:t>well ventilated</w:t>
            </w:r>
            <w:proofErr w:type="spellEnd"/>
            <w:r w:rsidRPr="43BBABB6">
              <w:rPr>
                <w:rFonts w:cs="Cambria"/>
                <w:sz w:val="20"/>
                <w:szCs w:val="20"/>
              </w:rPr>
              <w:t xml:space="preserve"> area.)</w:t>
            </w:r>
          </w:p>
          <w:p w14:paraId="743E6329" w14:textId="77777777" w:rsidR="006F72E6" w:rsidRDefault="006F72E6" w:rsidP="005B049D">
            <w:pPr>
              <w:spacing w:before="60" w:after="60"/>
            </w:pPr>
            <w:r w:rsidRPr="43BBABB6">
              <w:rPr>
                <w:rFonts w:cs="Cambria"/>
                <w:color w:val="00B050"/>
                <w:sz w:val="20"/>
                <w:szCs w:val="20"/>
                <w:u w:val="single"/>
              </w:rPr>
              <w:t>10</w:t>
            </w:r>
            <w:r w:rsidRPr="43BBABB6">
              <w:rPr>
                <w:rFonts w:cs="Cambria"/>
                <w:color w:val="00B050"/>
                <w:sz w:val="20"/>
                <w:szCs w:val="20"/>
              </w:rPr>
              <w:t xml:space="preserve"> </w:t>
            </w:r>
            <w:r w:rsidRPr="43BBABB6">
              <w:rPr>
                <w:rFonts w:cs="Cambria"/>
                <w:sz w:val="20"/>
                <w:szCs w:val="20"/>
              </w:rPr>
              <w:t>(Ensure adequate ventilation when using.)</w:t>
            </w:r>
          </w:p>
        </w:tc>
      </w:tr>
    </w:tbl>
    <w:p w14:paraId="79E35969" w14:textId="77777777" w:rsidR="006F72E6" w:rsidRDefault="006F72E6" w:rsidP="006F72E6">
      <w:pPr>
        <w:ind w:left="284"/>
        <w:rPr>
          <w:b/>
          <w:bCs/>
        </w:rPr>
      </w:pPr>
    </w:p>
    <w:p w14:paraId="21E9FC4B" w14:textId="77777777" w:rsidR="006F72E6" w:rsidRDefault="006F72E6" w:rsidP="00417551">
      <w:pPr>
        <w:ind w:left="425"/>
        <w:rPr>
          <w:b/>
          <w:bCs/>
        </w:rPr>
      </w:pPr>
      <w:r>
        <w:rPr>
          <w:b/>
          <w:bCs/>
        </w:rPr>
        <w:lastRenderedPageBreak/>
        <w:t>Index – New entry</w:t>
      </w:r>
    </w:p>
    <w:p w14:paraId="2880997F" w14:textId="77777777" w:rsidR="006F72E6" w:rsidRDefault="006F72E6" w:rsidP="00417551">
      <w:pPr>
        <w:spacing w:line="257" w:lineRule="auto"/>
        <w:ind w:left="567"/>
      </w:pPr>
      <w:r w:rsidRPr="43BBABB6">
        <w:rPr>
          <w:rFonts w:eastAsia="Arial" w:cs="Arial"/>
          <w:color w:val="00B050"/>
          <w:u w:val="single"/>
        </w:rPr>
        <w:t>GLYOXYLIC ACID</w:t>
      </w:r>
    </w:p>
    <w:p w14:paraId="688D6537" w14:textId="77777777" w:rsidR="006F72E6" w:rsidRDefault="006F72E6" w:rsidP="00417551">
      <w:pPr>
        <w:spacing w:after="0" w:line="257" w:lineRule="auto"/>
        <w:ind w:left="567"/>
      </w:pPr>
      <w:r w:rsidRPr="43BBABB6">
        <w:rPr>
          <w:rFonts w:eastAsia="Arial" w:cs="Arial"/>
          <w:color w:val="00B050"/>
          <w:u w:val="single"/>
        </w:rPr>
        <w:t>Schedule 6</w:t>
      </w:r>
    </w:p>
    <w:p w14:paraId="1370E525" w14:textId="77777777" w:rsidR="006F72E6" w:rsidRDefault="006F72E6" w:rsidP="00417551">
      <w:pPr>
        <w:spacing w:after="0" w:line="257" w:lineRule="auto"/>
        <w:ind w:left="567"/>
      </w:pPr>
      <w:r w:rsidRPr="43BBABB6">
        <w:rPr>
          <w:rFonts w:eastAsia="Arial" w:cs="Arial"/>
          <w:color w:val="00B050"/>
          <w:u w:val="single"/>
        </w:rPr>
        <w:t>Appendix E, clause 3</w:t>
      </w:r>
    </w:p>
    <w:p w14:paraId="6D138113" w14:textId="77777777" w:rsidR="006F72E6" w:rsidRPr="00590D85" w:rsidRDefault="006F72E6" w:rsidP="00417551">
      <w:pPr>
        <w:spacing w:after="0" w:line="257" w:lineRule="auto"/>
        <w:ind w:left="567"/>
        <w:rPr>
          <w:rFonts w:eastAsia="Arial" w:cs="Arial"/>
          <w:color w:val="00B050"/>
          <w:u w:val="single"/>
        </w:rPr>
      </w:pPr>
      <w:r w:rsidRPr="43BBABB6">
        <w:rPr>
          <w:rFonts w:eastAsia="Arial" w:cs="Arial"/>
          <w:color w:val="00B050"/>
          <w:u w:val="single"/>
        </w:rPr>
        <w:t>Appendix F, clause 4</w:t>
      </w:r>
    </w:p>
    <w:p w14:paraId="204B9E6E" w14:textId="77777777" w:rsidR="006F72E6" w:rsidRPr="00B03B68" w:rsidRDefault="006F72E6" w:rsidP="006F72E6">
      <w:pPr>
        <w:pStyle w:val="Heading4"/>
      </w:pPr>
      <w:bookmarkStart w:id="25" w:name="_Toc177645061"/>
      <w:r w:rsidRPr="00B03B68">
        <w:t xml:space="preserve">Materials </w:t>
      </w:r>
      <w:proofErr w:type="gramStart"/>
      <w:r w:rsidRPr="00B03B68">
        <w:t>considered</w:t>
      </w:r>
      <w:bookmarkEnd w:id="25"/>
      <w:proofErr w:type="gramEnd"/>
    </w:p>
    <w:p w14:paraId="1009A46D" w14:textId="77777777" w:rsidR="006F72E6" w:rsidRPr="00B03B68" w:rsidRDefault="006F72E6" w:rsidP="006F72E6">
      <w:pPr>
        <w:pStyle w:val="ListBullet"/>
        <w:numPr>
          <w:ilvl w:val="0"/>
          <w:numId w:val="0"/>
        </w:numPr>
        <w:ind w:left="360" w:hanging="360"/>
      </w:pPr>
      <w:r w:rsidRPr="00B03B68">
        <w:t>In making this interim decision, the Delegate considered the following material:</w:t>
      </w:r>
    </w:p>
    <w:p w14:paraId="5CF5A17E" w14:textId="324A704B" w:rsidR="006F72E6" w:rsidRPr="00B03B68" w:rsidRDefault="006F72E6" w:rsidP="006F72E6">
      <w:pPr>
        <w:pStyle w:val="ListBullet"/>
      </w:pPr>
      <w:r w:rsidRPr="00B03B68">
        <w:t>The</w:t>
      </w:r>
      <w:sdt>
        <w:sdtPr>
          <w:alias w:val="Hyperlink to TGA website"/>
          <w:tag w:val="Hyperlink to TGA website"/>
          <w:id w:val="-1362347803"/>
          <w:placeholder>
            <w:docPart w:val="72C95DD477AA44DFB73C36163DC68190"/>
          </w:placeholder>
        </w:sdtPr>
        <w:sdtEndPr/>
        <w:sdtContent>
          <w:r w:rsidRPr="00B03B68">
            <w:t xml:space="preserve"> </w:t>
          </w:r>
          <w:r w:rsidR="002B2D4A">
            <w:t>proposal</w:t>
          </w:r>
        </w:sdtContent>
      </w:sdt>
      <w:r w:rsidRPr="00B03B68">
        <w:t xml:space="preserve"> to amend the current Poisons Standard with respect to </w:t>
      </w:r>
      <w:sdt>
        <w:sdtPr>
          <w:id w:val="-289517222"/>
          <w:placeholder>
            <w:docPart w:val="A6A8A02339754DD890EA0351C3F3CA76"/>
          </w:placeholder>
        </w:sdtPr>
        <w:sdtEndPr/>
        <w:sdtContent>
          <w:r w:rsidRPr="000A7A5A">
            <w:t>glyoxylic acid</w:t>
          </w:r>
        </w:sdtContent>
      </w:sdt>
      <w:r w:rsidRPr="000A7A5A">
        <w:t xml:space="preserve"> (the</w:t>
      </w:r>
      <w:r w:rsidRPr="00B03B68">
        <w:t xml:space="preserve"> </w:t>
      </w:r>
      <w:r w:rsidR="002B2D4A">
        <w:t>Proposal</w:t>
      </w:r>
      <w:r w:rsidRPr="00B03B68">
        <w:t>)</w:t>
      </w:r>
    </w:p>
    <w:p w14:paraId="56414BF1" w14:textId="59A05883" w:rsidR="006F72E6" w:rsidRPr="00B03B68" w:rsidRDefault="006F72E6" w:rsidP="006F72E6">
      <w:pPr>
        <w:pStyle w:val="ListBullet"/>
      </w:pPr>
      <w:r w:rsidRPr="00B03B68">
        <w:t>T</w:t>
      </w:r>
      <w:sdt>
        <w:sdtPr>
          <w:id w:val="473027215"/>
          <w:placeholder>
            <w:docPart w:val="16F4FC4597764D529FA2A87250C444C3"/>
          </w:placeholder>
        </w:sdtPr>
        <w:sdtEndPr/>
        <w:sdtContent>
          <w:r w:rsidRPr="00B03B68">
            <w:t>h</w:t>
          </w:r>
          <w:r w:rsidR="007004FB">
            <w:t>at there were no</w:t>
          </w:r>
          <w:r>
            <w:t xml:space="preserve"> </w:t>
          </w:r>
          <w:r w:rsidRPr="00B03B68">
            <w:t xml:space="preserve">public submissions received in response to the </w:t>
          </w:r>
          <w:hyperlink r:id="rId23" w:history="1">
            <w:r w:rsidRPr="00675C69">
              <w:rPr>
                <w:rStyle w:val="Hyperlink"/>
              </w:rPr>
              <w:t>pre-meeting consultation</w:t>
            </w:r>
          </w:hyperlink>
          <w:r w:rsidRPr="00B03B68">
            <w:t xml:space="preserve"> under regulation 42ZCZK of the Regulations</w:t>
          </w:r>
        </w:sdtContent>
      </w:sdt>
      <w:r w:rsidRPr="00B03B68">
        <w:t xml:space="preserve"> (the Submissions)</w:t>
      </w:r>
    </w:p>
    <w:p w14:paraId="220B4F58" w14:textId="77777777" w:rsidR="006F72E6" w:rsidRPr="004B35E4" w:rsidRDefault="006F72E6" w:rsidP="006F72E6">
      <w:pPr>
        <w:pStyle w:val="ListBullet"/>
      </w:pPr>
      <w:r w:rsidRPr="00B03B68">
        <w:t>T</w:t>
      </w:r>
      <w:sdt>
        <w:sdtPr>
          <w:id w:val="485519769"/>
          <w:placeholder>
            <w:docPart w:val="2B284A5FAE794260AF61F0DFF3625F08"/>
          </w:placeholder>
        </w:sdtPr>
        <w:sdtEndPr/>
        <w:sdtContent>
          <w:proofErr w:type="gramStart"/>
          <w:r w:rsidRPr="004B35E4">
            <w:t>he</w:t>
          </w:r>
          <w:proofErr w:type="gramEnd"/>
          <w:r w:rsidRPr="004B35E4">
            <w:t xml:space="preserve"> advice received from the 39</w:t>
          </w:r>
          <w:r w:rsidRPr="004B35E4">
            <w:rPr>
              <w:vertAlign w:val="superscript"/>
            </w:rPr>
            <w:t>th</w:t>
          </w:r>
          <w:r w:rsidRPr="004B35E4">
            <w:t xml:space="preserve"> meeting of the Advisory Committee on Chemicals Scheduling</w:t>
          </w:r>
        </w:sdtContent>
      </w:sdt>
      <w:r w:rsidRPr="004B35E4">
        <w:t xml:space="preserve"> (the Committee)</w:t>
      </w:r>
    </w:p>
    <w:p w14:paraId="26EFA0F0" w14:textId="77777777" w:rsidR="006F72E6" w:rsidRDefault="006F72E6" w:rsidP="006F72E6">
      <w:pPr>
        <w:pStyle w:val="ListBullet"/>
      </w:pPr>
      <w:r w:rsidRPr="004B35E4">
        <w:t>Subsection 52E(1) of the Act, in particular (a) risks and benefits of the use of a substance; (b) the purposes for which a substance is to be used and the</w:t>
      </w:r>
      <w:r w:rsidRPr="00B03B68">
        <w:t xml:space="preserv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1D62A193" w14:textId="76477BBD" w:rsidR="003422B7" w:rsidRPr="00B03B68" w:rsidRDefault="003422B7" w:rsidP="006F72E6">
      <w:pPr>
        <w:pStyle w:val="ListBullet"/>
      </w:pPr>
      <w:r>
        <w:t xml:space="preserve">The case series investigation published in </w:t>
      </w:r>
      <w:r w:rsidR="00734B4F">
        <w:t xml:space="preserve">the </w:t>
      </w:r>
      <w:r w:rsidRPr="003422B7">
        <w:t>American Journal of Kidney Diseases</w:t>
      </w:r>
      <w:r>
        <w:rPr>
          <w:rStyle w:val="FootnoteReference"/>
        </w:rPr>
        <w:footnoteReference w:id="14"/>
      </w:r>
      <w:r w:rsidRPr="003422B7">
        <w:t xml:space="preserve"> </w:t>
      </w:r>
    </w:p>
    <w:p w14:paraId="51FDD2FB" w14:textId="77777777" w:rsidR="006F72E6" w:rsidRPr="00B03B68" w:rsidRDefault="006F72E6" w:rsidP="006F72E6">
      <w:pPr>
        <w:pStyle w:val="ListBullet"/>
      </w:pPr>
      <w:r w:rsidRPr="00B03B68">
        <w:t>The SPF, and</w:t>
      </w:r>
    </w:p>
    <w:p w14:paraId="1193BF14" w14:textId="77777777" w:rsidR="006F72E6" w:rsidRPr="00B03B68" w:rsidRDefault="006F72E6" w:rsidP="006F72E6">
      <w:pPr>
        <w:pStyle w:val="ListBullet"/>
      </w:pPr>
      <w:r w:rsidRPr="00B03B68">
        <w:t>The Handbook.</w:t>
      </w:r>
    </w:p>
    <w:p w14:paraId="6C161836" w14:textId="77777777" w:rsidR="006F72E6" w:rsidRPr="00B03B68" w:rsidRDefault="006F72E6" w:rsidP="006F72E6">
      <w:pPr>
        <w:pStyle w:val="Heading4"/>
      </w:pPr>
      <w:bookmarkStart w:id="26" w:name="_Toc177645062"/>
      <w:r w:rsidRPr="00B03B68">
        <w:t>Summary of Committee advice to the Delegate</w:t>
      </w:r>
      <w:bookmarkEnd w:id="26"/>
    </w:p>
    <w:p w14:paraId="26ABC76E" w14:textId="77708E53" w:rsidR="006F72E6" w:rsidRDefault="006F72E6" w:rsidP="006F72E6">
      <w:r w:rsidRPr="00B03B68">
        <w:t xml:space="preserve">The </w:t>
      </w:r>
      <w:r w:rsidRPr="005A7144">
        <w:t xml:space="preserve">Committee recommended that </w:t>
      </w:r>
      <w:r w:rsidR="002B7DAC">
        <w:t xml:space="preserve">a new entry for </w:t>
      </w:r>
      <w:r w:rsidRPr="005A7144">
        <w:t xml:space="preserve">glyoxylic acid be </w:t>
      </w:r>
      <w:r w:rsidR="002B7DAC">
        <w:t>created</w:t>
      </w:r>
      <w:r w:rsidRPr="005A7144">
        <w:t xml:space="preserve"> in Schedule 6 in the Poisons Standard</w:t>
      </w:r>
      <w:r w:rsidR="002B7DAC">
        <w:t>.</w:t>
      </w:r>
    </w:p>
    <w:p w14:paraId="12F6E849" w14:textId="52638633" w:rsidR="006F72E6" w:rsidRPr="00B03B68" w:rsidRDefault="006F72E6" w:rsidP="006F72E6">
      <w:r w:rsidRPr="00B03B68">
        <w:t>The Committee recommended an</w:t>
      </w:r>
      <w:r>
        <w:t xml:space="preserve"> extended</w:t>
      </w:r>
      <w:r w:rsidRPr="00B03B68">
        <w:t xml:space="preserve"> implementation date</w:t>
      </w:r>
      <w:r>
        <w:t xml:space="preserve"> due to the </w:t>
      </w:r>
      <w:r w:rsidRPr="00CB3A4E">
        <w:t>variety of consumer and professional products containing glyoxylic acid</w:t>
      </w:r>
      <w:r>
        <w:t xml:space="preserve"> that</w:t>
      </w:r>
      <w:r w:rsidRPr="00CB3A4E">
        <w:t xml:space="preserve"> are likely available across Australia and given its use</w:t>
      </w:r>
      <w:r>
        <w:t>s</w:t>
      </w:r>
      <w:r w:rsidRPr="00CB3A4E">
        <w:t xml:space="preserve"> in non-consumer industrial processes</w:t>
      </w:r>
      <w:r>
        <w:t>. T</w:t>
      </w:r>
      <w:r w:rsidRPr="00E3439E">
        <w:t>he Committee expected that there would be some impact on industry and recommended an extended implementation date</w:t>
      </w:r>
      <w:r>
        <w:t xml:space="preserve"> of </w:t>
      </w:r>
      <w:sdt>
        <w:sdtPr>
          <w:id w:val="251784847"/>
          <w:placeholder>
            <w:docPart w:val="51B1899719F94E069495B41239FF40DF"/>
          </w:placeholder>
        </w:sdtPr>
        <w:sdtEndPr/>
        <w:sdtContent>
          <w:r>
            <w:t>1</w:t>
          </w:r>
          <w:r w:rsidRPr="00B03B68">
            <w:t xml:space="preserve"> </w:t>
          </w:r>
          <w:r>
            <w:t>June</w:t>
          </w:r>
          <w:r w:rsidRPr="00B03B68">
            <w:t xml:space="preserve"> 20</w:t>
          </w:r>
          <w:r>
            <w:t>25.</w:t>
          </w:r>
        </w:sdtContent>
      </w:sdt>
    </w:p>
    <w:p w14:paraId="253A0180" w14:textId="77777777" w:rsidR="006F72E6" w:rsidRPr="00B03B68" w:rsidRDefault="006F72E6" w:rsidP="006F72E6">
      <w:r w:rsidRPr="00B03B68">
        <w:t>Members agreed that the relevant matters under subsection 52E(1) of the Act included: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r>
        <w:t>.</w:t>
      </w:r>
    </w:p>
    <w:p w14:paraId="3D586231" w14:textId="77777777" w:rsidR="006F72E6" w:rsidRPr="00B03B68" w:rsidRDefault="006F72E6" w:rsidP="006F72E6">
      <w:r w:rsidRPr="00B03B68">
        <w:t>The reasons for the advice included:</w:t>
      </w:r>
    </w:p>
    <w:p w14:paraId="02BBD1B7" w14:textId="60ABFBF0" w:rsidR="006F72E6" w:rsidRPr="00B03B68" w:rsidRDefault="006F72E6" w:rsidP="00486551">
      <w:pPr>
        <w:pStyle w:val="Heading5"/>
        <w:numPr>
          <w:ilvl w:val="0"/>
          <w:numId w:val="17"/>
        </w:numPr>
      </w:pPr>
      <w:r w:rsidRPr="00B03B68">
        <w:t>the risks and benefits of the use of a substance</w:t>
      </w:r>
    </w:p>
    <w:p w14:paraId="7A68F9C5" w14:textId="0FF7C757" w:rsidR="006F72E6" w:rsidRPr="00B03B68" w:rsidRDefault="006F72E6" w:rsidP="00594004">
      <w:pPr>
        <w:pStyle w:val="Heading6"/>
      </w:pPr>
      <w:r w:rsidRPr="00B03B68">
        <w:t>Risks:</w:t>
      </w:r>
    </w:p>
    <w:p w14:paraId="284305CA" w14:textId="77777777" w:rsidR="006F72E6" w:rsidRDefault="006F72E6" w:rsidP="00417551">
      <w:pPr>
        <w:pStyle w:val="ListBullet2"/>
        <w:ind w:left="924" w:hanging="357"/>
      </w:pPr>
      <w:r>
        <w:t xml:space="preserve">Corrosive / irritant to the eyes (pH dependent) </w:t>
      </w:r>
    </w:p>
    <w:p w14:paraId="2E41CD4F" w14:textId="77777777" w:rsidR="006F72E6" w:rsidRDefault="006F72E6" w:rsidP="00417551">
      <w:pPr>
        <w:pStyle w:val="ListBullet2"/>
        <w:ind w:left="924" w:hanging="357"/>
      </w:pPr>
      <w:r>
        <w:t xml:space="preserve">Causes skin sensitisation. </w:t>
      </w:r>
    </w:p>
    <w:p w14:paraId="2D6E08A5" w14:textId="77777777" w:rsidR="006F72E6" w:rsidRDefault="006F72E6" w:rsidP="00417551">
      <w:pPr>
        <w:pStyle w:val="ListBullet2"/>
        <w:ind w:left="924" w:hanging="357"/>
      </w:pPr>
      <w:r>
        <w:t xml:space="preserve">Recent case studies of kidney injury </w:t>
      </w:r>
    </w:p>
    <w:p w14:paraId="714E7D93" w14:textId="77777777" w:rsidR="006F72E6" w:rsidRDefault="006F72E6" w:rsidP="00417551">
      <w:pPr>
        <w:pStyle w:val="ListBullet2"/>
        <w:ind w:left="924" w:hanging="357"/>
      </w:pPr>
      <w:r>
        <w:lastRenderedPageBreak/>
        <w:t xml:space="preserve">Inhalational toxicity risk  </w:t>
      </w:r>
    </w:p>
    <w:p w14:paraId="6B347639" w14:textId="77777777" w:rsidR="006F72E6" w:rsidRPr="00B03B68" w:rsidRDefault="006F72E6" w:rsidP="00594004">
      <w:pPr>
        <w:pStyle w:val="Heading6"/>
      </w:pPr>
      <w:r w:rsidRPr="00B03B68">
        <w:t>Benefits:</w:t>
      </w:r>
    </w:p>
    <w:p w14:paraId="56A8526E" w14:textId="77777777" w:rsidR="006F72E6" w:rsidRDefault="006F72E6" w:rsidP="00417551">
      <w:pPr>
        <w:pStyle w:val="ListBullet2"/>
        <w:ind w:left="924" w:hanging="357"/>
      </w:pPr>
      <w:r>
        <w:t xml:space="preserve">Various uses reported internationally. </w:t>
      </w:r>
    </w:p>
    <w:p w14:paraId="126F2B31" w14:textId="77777777" w:rsidR="006F72E6" w:rsidRPr="00B03B68" w:rsidRDefault="006F72E6" w:rsidP="00417551">
      <w:pPr>
        <w:pStyle w:val="ListBullet2"/>
        <w:ind w:left="924" w:hanging="357"/>
      </w:pPr>
      <w:r>
        <w:t xml:space="preserve">Used as formaldehyde substitute in hair products.  </w:t>
      </w:r>
    </w:p>
    <w:p w14:paraId="4DD8B97D" w14:textId="40ED16CE" w:rsidR="006F72E6" w:rsidRPr="00B03B68" w:rsidRDefault="006F72E6" w:rsidP="00486551">
      <w:pPr>
        <w:pStyle w:val="Heading5"/>
        <w:numPr>
          <w:ilvl w:val="0"/>
          <w:numId w:val="17"/>
        </w:numPr>
      </w:pPr>
      <w:r w:rsidRPr="00B03B68">
        <w:t xml:space="preserve">the purposes for which a substance is to be used and the extent of use of a </w:t>
      </w:r>
      <w:proofErr w:type="gramStart"/>
      <w:r w:rsidRPr="00B03B68">
        <w:t>substance</w:t>
      </w:r>
      <w:proofErr w:type="gramEnd"/>
    </w:p>
    <w:p w14:paraId="0E50BD37" w14:textId="77777777" w:rsidR="006F72E6" w:rsidRDefault="006F72E6" w:rsidP="00417551">
      <w:pPr>
        <w:pStyle w:val="ListBullet2"/>
        <w:ind w:left="924" w:hanging="357"/>
      </w:pPr>
      <w:r>
        <w:t xml:space="preserve">Used in hair straightening products in hair salons and available for purchase at chemists for home use as an alternative to formaldehyde products. Use in other cosmetic products, skin care etc. </w:t>
      </w:r>
      <w:bookmarkStart w:id="27" w:name="_Hlk173840188"/>
    </w:p>
    <w:p w14:paraId="4A77A16D" w14:textId="77777777" w:rsidR="006F72E6" w:rsidRDefault="006F72E6" w:rsidP="00417551">
      <w:pPr>
        <w:pStyle w:val="ListBullet2"/>
        <w:ind w:left="924" w:hanging="357"/>
      </w:pPr>
      <w:r>
        <w:t xml:space="preserve">Reported other uses internationally as a surface treatment, corrosion inhibitor for industrial scale manufacture of cleaning and furnishing products, pH regulator, preservative, manufacturing intermediate and anti-scaling agent. </w:t>
      </w:r>
    </w:p>
    <w:bookmarkEnd w:id="27"/>
    <w:p w14:paraId="6A78A025" w14:textId="6290B6E6" w:rsidR="006F72E6" w:rsidRPr="00B03B68" w:rsidRDefault="006F72E6" w:rsidP="00486551">
      <w:pPr>
        <w:pStyle w:val="Heading5"/>
        <w:numPr>
          <w:ilvl w:val="0"/>
          <w:numId w:val="17"/>
        </w:numPr>
      </w:pPr>
      <w:r w:rsidRPr="00B03B68">
        <w:t>the toxicity of a substance</w:t>
      </w:r>
    </w:p>
    <w:p w14:paraId="30A4AB92" w14:textId="77777777" w:rsidR="006F72E6" w:rsidRDefault="006F72E6" w:rsidP="00E562E4">
      <w:pPr>
        <w:pStyle w:val="ListBullet2"/>
        <w:ind w:left="924" w:hanging="357"/>
      </w:pPr>
      <w:r w:rsidRPr="00A76E30">
        <w:t>The critical health effects for glyoxylic acid include local effects</w:t>
      </w:r>
      <w:r>
        <w:t>:</w:t>
      </w:r>
    </w:p>
    <w:p w14:paraId="3856CABE" w14:textId="77777777" w:rsidR="006F72E6" w:rsidRPr="00417551" w:rsidRDefault="006F72E6" w:rsidP="00417551">
      <w:pPr>
        <w:pStyle w:val="ListBullet3"/>
        <w:ind w:left="1349" w:hanging="357"/>
        <w:rPr>
          <w:color w:val="auto"/>
        </w:rPr>
      </w:pPr>
      <w:r w:rsidRPr="00417551">
        <w:rPr>
          <w:color w:val="auto"/>
        </w:rPr>
        <w:t xml:space="preserve">corrosive/irritant to the eyes (pH dependent) </w:t>
      </w:r>
    </w:p>
    <w:p w14:paraId="74ACB888" w14:textId="77777777" w:rsidR="006F72E6" w:rsidRPr="00417551" w:rsidRDefault="006F72E6" w:rsidP="00417551">
      <w:pPr>
        <w:pStyle w:val="ListBullet3"/>
        <w:ind w:left="1349" w:hanging="357"/>
        <w:rPr>
          <w:color w:val="auto"/>
        </w:rPr>
      </w:pPr>
      <w:r w:rsidRPr="00417551">
        <w:rPr>
          <w:color w:val="auto"/>
        </w:rPr>
        <w:t xml:space="preserve">causes skin </w:t>
      </w:r>
      <w:proofErr w:type="gramStart"/>
      <w:r w:rsidRPr="00417551">
        <w:rPr>
          <w:color w:val="auto"/>
        </w:rPr>
        <w:t>sensitisation</w:t>
      </w:r>
      <w:proofErr w:type="gramEnd"/>
    </w:p>
    <w:p w14:paraId="21302D9F" w14:textId="77777777" w:rsidR="006F72E6" w:rsidRPr="00417551" w:rsidRDefault="006F72E6" w:rsidP="00417551">
      <w:pPr>
        <w:pStyle w:val="ListBullet3"/>
        <w:ind w:left="1349" w:hanging="357"/>
        <w:rPr>
          <w:color w:val="auto"/>
        </w:rPr>
      </w:pPr>
      <w:r w:rsidRPr="00417551">
        <w:rPr>
          <w:color w:val="auto"/>
        </w:rPr>
        <w:t>may be a respiratory irritant.</w:t>
      </w:r>
    </w:p>
    <w:p w14:paraId="5052FC1C" w14:textId="77777777" w:rsidR="006F72E6" w:rsidRPr="007004FB" w:rsidRDefault="006F72E6" w:rsidP="00417551">
      <w:pPr>
        <w:pStyle w:val="ListBullet2"/>
        <w:ind w:left="924" w:hanging="357"/>
      </w:pPr>
      <w:r w:rsidRPr="007004FB">
        <w:t>Emerging data/evidence of kidney injury from case studies</w:t>
      </w:r>
    </w:p>
    <w:p w14:paraId="1A9EA5BA" w14:textId="77777777" w:rsidR="006F72E6" w:rsidRDefault="006F72E6" w:rsidP="00417551">
      <w:pPr>
        <w:pStyle w:val="ListBullet2"/>
        <w:ind w:left="924" w:hanging="357"/>
      </w:pPr>
      <w:r>
        <w:t>Warning statement required on packaging of glyoxylic acid containing products to provide adequate ventilation when product is being used.</w:t>
      </w:r>
    </w:p>
    <w:p w14:paraId="53488518" w14:textId="64C57C21" w:rsidR="006F72E6" w:rsidRPr="00B03B68" w:rsidRDefault="006F72E6" w:rsidP="00486551">
      <w:pPr>
        <w:pStyle w:val="Heading5"/>
        <w:numPr>
          <w:ilvl w:val="0"/>
          <w:numId w:val="17"/>
        </w:numPr>
      </w:pPr>
      <w:r w:rsidRPr="00B03B68">
        <w:t xml:space="preserve">the dosage, formulation, labelling, </w:t>
      </w:r>
      <w:proofErr w:type="gramStart"/>
      <w:r w:rsidRPr="00B03B68">
        <w:t>packaging</w:t>
      </w:r>
      <w:proofErr w:type="gramEnd"/>
      <w:r w:rsidRPr="00B03B68">
        <w:t xml:space="preserve"> and presentation of a substance</w:t>
      </w:r>
    </w:p>
    <w:p w14:paraId="2026D039" w14:textId="77777777" w:rsidR="006F72E6" w:rsidRDefault="006F72E6" w:rsidP="00417551">
      <w:pPr>
        <w:pStyle w:val="ListBullet2"/>
        <w:ind w:left="924" w:hanging="357"/>
      </w:pPr>
      <w:r>
        <w:t>Typical commercial product formulations contain 50% w/</w:t>
      </w:r>
      <w:proofErr w:type="gramStart"/>
      <w:r>
        <w:t>v</w:t>
      </w:r>
      <w:proofErr w:type="gramEnd"/>
      <w:r>
        <w:t xml:space="preserve"> </w:t>
      </w:r>
    </w:p>
    <w:p w14:paraId="0C0EE0C5" w14:textId="77777777" w:rsidR="006F72E6" w:rsidRPr="00B03B68" w:rsidRDefault="006F72E6" w:rsidP="00417551">
      <w:pPr>
        <w:pStyle w:val="ListBullet2"/>
        <w:ind w:left="924" w:hanging="357"/>
      </w:pPr>
      <w:r>
        <w:t>Cosmetic preparations reported to contain approximately 12%.</w:t>
      </w:r>
    </w:p>
    <w:p w14:paraId="31D192AD" w14:textId="0737F162" w:rsidR="006F72E6" w:rsidRPr="00B03B68" w:rsidRDefault="006F72E6" w:rsidP="00486551">
      <w:pPr>
        <w:pStyle w:val="Heading5"/>
        <w:numPr>
          <w:ilvl w:val="0"/>
          <w:numId w:val="17"/>
        </w:numPr>
      </w:pPr>
      <w:r w:rsidRPr="00B03B68">
        <w:t>the potential for abuse of a substance</w:t>
      </w:r>
    </w:p>
    <w:p w14:paraId="4FF4B7A9" w14:textId="77777777" w:rsidR="006F72E6" w:rsidRPr="00B03B68" w:rsidRDefault="006F72E6" w:rsidP="00417551">
      <w:pPr>
        <w:pStyle w:val="ListBullet2"/>
        <w:ind w:left="924" w:hanging="357"/>
      </w:pPr>
      <w:r>
        <w:t>Nil</w:t>
      </w:r>
    </w:p>
    <w:p w14:paraId="7A36ACCD" w14:textId="49FB930B" w:rsidR="006F72E6" w:rsidRPr="00B03B68" w:rsidRDefault="006F72E6" w:rsidP="00486551">
      <w:pPr>
        <w:pStyle w:val="Heading5"/>
        <w:numPr>
          <w:ilvl w:val="0"/>
          <w:numId w:val="17"/>
        </w:numPr>
      </w:pPr>
      <w:r w:rsidRPr="00B03B68">
        <w:t xml:space="preserve">any other matters that the Secretary considers necessary to protect public </w:t>
      </w:r>
      <w:proofErr w:type="gramStart"/>
      <w:r w:rsidRPr="00B03B68">
        <w:t>health</w:t>
      </w:r>
      <w:proofErr w:type="gramEnd"/>
    </w:p>
    <w:p w14:paraId="1E902F95" w14:textId="77777777" w:rsidR="006F72E6" w:rsidRPr="00471480" w:rsidRDefault="006F72E6" w:rsidP="00E562E4">
      <w:pPr>
        <w:pStyle w:val="ListBullet2"/>
        <w:ind w:left="924" w:hanging="357"/>
      </w:pPr>
      <w:r w:rsidRPr="00471480">
        <w:t xml:space="preserve">Need for adequate ventilation due to respiratory irritant </w:t>
      </w:r>
      <w:proofErr w:type="gramStart"/>
      <w:r w:rsidRPr="00471480">
        <w:t>effect</w:t>
      </w:r>
      <w:proofErr w:type="gramEnd"/>
      <w:r w:rsidRPr="00471480">
        <w:t> </w:t>
      </w:r>
    </w:p>
    <w:p w14:paraId="1C7E2B64" w14:textId="77777777" w:rsidR="006F72E6" w:rsidRPr="00471480" w:rsidRDefault="006F72E6" w:rsidP="00E562E4">
      <w:pPr>
        <w:pStyle w:val="ListBullet2"/>
        <w:ind w:left="924" w:hanging="357"/>
      </w:pPr>
      <w:r w:rsidRPr="00471480">
        <w:t>Need for safety glasses (for eye protection) </w:t>
      </w:r>
    </w:p>
    <w:p w14:paraId="2F536103" w14:textId="77777777" w:rsidR="006F72E6" w:rsidRPr="00471480" w:rsidRDefault="006F72E6" w:rsidP="00E562E4">
      <w:pPr>
        <w:pStyle w:val="ListBullet2"/>
        <w:ind w:left="924" w:hanging="357"/>
      </w:pPr>
      <w:r w:rsidRPr="00471480">
        <w:t>Heating can generate by-products possibly including formaldehyde. </w:t>
      </w:r>
    </w:p>
    <w:p w14:paraId="2CBD8715" w14:textId="77777777" w:rsidR="006F72E6" w:rsidRPr="00B03B68" w:rsidRDefault="006F72E6" w:rsidP="006F72E6">
      <w:pPr>
        <w:pStyle w:val="Heading4"/>
      </w:pPr>
      <w:bookmarkStart w:id="28" w:name="_Toc177645063"/>
      <w:r w:rsidRPr="00B03B68">
        <w:t>Reasons for the interim decision (including findings on material questions of fact)</w:t>
      </w:r>
      <w:bookmarkEnd w:id="28"/>
    </w:p>
    <w:p w14:paraId="7DF4060B" w14:textId="77777777" w:rsidR="006F72E6" w:rsidRDefault="006F72E6" w:rsidP="006F72E6">
      <w:r w:rsidRPr="00B03B68">
        <w:t xml:space="preserve">I </w:t>
      </w:r>
      <w:r w:rsidRPr="0005318A">
        <w:t>agree with the Committee's findings on the relevant provisions of section 52E of the Act.</w:t>
      </w:r>
      <w:r>
        <w:t xml:space="preserve"> </w:t>
      </w:r>
      <w:r w:rsidRPr="005B0F1A">
        <w:t xml:space="preserve">I </w:t>
      </w:r>
      <w:r>
        <w:t>note that no</w:t>
      </w:r>
      <w:r w:rsidRPr="00B03B68">
        <w:t xml:space="preserve"> public submissions</w:t>
      </w:r>
      <w:r>
        <w:t xml:space="preserve"> were</w:t>
      </w:r>
      <w:r w:rsidRPr="00B03B68">
        <w:t xml:space="preserve"> received during the pre-meeting consultation period.</w:t>
      </w:r>
    </w:p>
    <w:p w14:paraId="48959F02" w14:textId="77777777" w:rsidR="00446C41" w:rsidRDefault="006F72E6" w:rsidP="006F72E6">
      <w:r w:rsidRPr="003E2B76">
        <w:t xml:space="preserve">With regards to s 52E(1)(a) </w:t>
      </w:r>
      <w:r>
        <w:t xml:space="preserve">and (c) </w:t>
      </w:r>
      <w:r w:rsidRPr="003E2B76">
        <w:t>of the Act,</w:t>
      </w:r>
      <w:r>
        <w:t xml:space="preserve"> I note that glyoxylic acid is reportedly used in </w:t>
      </w:r>
      <w:r w:rsidRPr="00CE589C">
        <w:t>hair straightening products</w:t>
      </w:r>
      <w:r>
        <w:t xml:space="preserve"> as</w:t>
      </w:r>
      <w:r w:rsidR="00800CAD">
        <w:t xml:space="preserve"> th</w:t>
      </w:r>
      <w:r w:rsidR="00B00C76">
        <w:t>ey are purported to be</w:t>
      </w:r>
      <w:r>
        <w:t xml:space="preserve"> a </w:t>
      </w:r>
      <w:r w:rsidR="004F7D0A">
        <w:t>safe</w:t>
      </w:r>
      <w:r w:rsidR="00B977DF">
        <w:t>,</w:t>
      </w:r>
      <w:r w:rsidR="004F7D0A">
        <w:t xml:space="preserve"> ‘formaldehyde-free’ alternative. </w:t>
      </w:r>
      <w:r>
        <w:t xml:space="preserve">However, </w:t>
      </w:r>
      <w:r w:rsidR="004F7D0A">
        <w:t xml:space="preserve">I </w:t>
      </w:r>
      <w:r w:rsidR="00931300">
        <w:lastRenderedPageBreak/>
        <w:t xml:space="preserve">concur </w:t>
      </w:r>
      <w:r>
        <w:t>with the Committee that glyoxylic acid</w:t>
      </w:r>
      <w:r w:rsidR="007907FE">
        <w:t xml:space="preserve"> </w:t>
      </w:r>
      <w:proofErr w:type="gramStart"/>
      <w:r w:rsidR="007907FE">
        <w:t>in itself</w:t>
      </w:r>
      <w:r w:rsidR="003422B7">
        <w:t xml:space="preserve"> </w:t>
      </w:r>
      <w:r>
        <w:t>poses</w:t>
      </w:r>
      <w:proofErr w:type="gramEnd"/>
      <w:r>
        <w:t xml:space="preserve"> several risks to consumers and professional </w:t>
      </w:r>
      <w:r w:rsidR="007907FE">
        <w:t>users</w:t>
      </w:r>
      <w:r>
        <w:t xml:space="preserve">. Notably, glyoxylic acid has corrosive properties, causes skin </w:t>
      </w:r>
      <w:proofErr w:type="gramStart"/>
      <w:r>
        <w:t>sensitisation</w:t>
      </w:r>
      <w:proofErr w:type="gramEnd"/>
      <w:r>
        <w:t xml:space="preserve"> and can cause eye irritation when at low pH, such as in hair straightening products. Glyoxylic acid also poses a risk of acute inhalation toxicity, particularly during use of aerosolised products and subsequent heating during hair straightening. </w:t>
      </w:r>
    </w:p>
    <w:p w14:paraId="18C2B26D" w14:textId="013D45CE" w:rsidR="00D06DD9" w:rsidRDefault="006F72E6" w:rsidP="006F72E6">
      <w:r>
        <w:t>As noted by the Committee, multiple emerging case studies have reported kidney injury or failure in patients linked to exposure to ‘formaldehyde-free’ hair straightening products</w:t>
      </w:r>
      <w:r w:rsidR="00346786">
        <w:t xml:space="preserve"> containing glycolic acid </w:t>
      </w:r>
      <w:r w:rsidR="00AB6DDA">
        <w:t>derivatives. This</w:t>
      </w:r>
      <w:r>
        <w:t xml:space="preserve"> was exemplified by the c</w:t>
      </w:r>
      <w:r w:rsidRPr="00E71BFB">
        <w:t xml:space="preserve">ase series published in </w:t>
      </w:r>
      <w:r>
        <w:t xml:space="preserve">the American Journal of </w:t>
      </w:r>
      <w:r w:rsidRPr="00E71BFB">
        <w:t>Kidney Diseases in 2023</w:t>
      </w:r>
      <w:r>
        <w:t xml:space="preserve"> and comprised</w:t>
      </w:r>
      <w:r w:rsidRPr="00E71BFB">
        <w:t xml:space="preserve"> 26</w:t>
      </w:r>
      <w:r w:rsidR="00346786">
        <w:t xml:space="preserve"> affected</w:t>
      </w:r>
      <w:r w:rsidRPr="00E71BFB">
        <w:t xml:space="preserve"> patients</w:t>
      </w:r>
      <w:r>
        <w:t>.</w:t>
      </w:r>
      <w:r>
        <w:rPr>
          <w:rStyle w:val="FootnoteReference"/>
        </w:rPr>
        <w:footnoteReference w:id="15"/>
      </w:r>
      <w:r w:rsidR="00264B9E">
        <w:t xml:space="preserve"> I agree with both the Committee and the applicant that whilst not specified in these case studies, glyoxylic acid likely presents with </w:t>
      </w:r>
      <w:r w:rsidR="00255228">
        <w:t xml:space="preserve">a </w:t>
      </w:r>
      <w:r w:rsidR="00264B9E">
        <w:t>s</w:t>
      </w:r>
      <w:r w:rsidR="00255228">
        <w:t>imilar</w:t>
      </w:r>
      <w:r w:rsidR="00264B9E">
        <w:t xml:space="preserve"> risk of kidney </w:t>
      </w:r>
      <w:r w:rsidR="005A20D5">
        <w:t>toxicity as glycolic acid</w:t>
      </w:r>
      <w:r w:rsidR="008C3425">
        <w:t xml:space="preserve"> </w:t>
      </w:r>
      <w:r w:rsidR="003422B7">
        <w:t>derivatives.</w:t>
      </w:r>
      <w:r w:rsidR="005A20D5">
        <w:t xml:space="preserve"> </w:t>
      </w:r>
      <w:r>
        <w:t xml:space="preserve">I am of the view that the risks posed </w:t>
      </w:r>
      <w:proofErr w:type="gramStart"/>
      <w:r>
        <w:t xml:space="preserve">by </w:t>
      </w:r>
      <w:r w:rsidR="004255FA">
        <w:t xml:space="preserve">the </w:t>
      </w:r>
      <w:r w:rsidR="007B2BFE">
        <w:t>use of</w:t>
      </w:r>
      <w:proofErr w:type="gramEnd"/>
      <w:r w:rsidR="007B2BFE">
        <w:t xml:space="preserve"> </w:t>
      </w:r>
      <w:r>
        <w:t>glyoxylic acid, particularly</w:t>
      </w:r>
      <w:r w:rsidR="007B2BFE">
        <w:t xml:space="preserve"> in hair straightenin</w:t>
      </w:r>
      <w:r w:rsidR="00FD318A">
        <w:t>g</w:t>
      </w:r>
      <w:r w:rsidR="007B2BFE">
        <w:t xml:space="preserve"> products, warrant </w:t>
      </w:r>
      <w:r w:rsidR="00255228">
        <w:t xml:space="preserve">additional controls </w:t>
      </w:r>
      <w:r w:rsidR="007B2BFE">
        <w:t xml:space="preserve">for both </w:t>
      </w:r>
      <w:r>
        <w:t>worker</w:t>
      </w:r>
      <w:r w:rsidR="00FD318A">
        <w:t xml:space="preserve">s and consumers using these products. </w:t>
      </w:r>
      <w:r>
        <w:t xml:space="preserve"> </w:t>
      </w:r>
    </w:p>
    <w:p w14:paraId="1598D6E6" w14:textId="48C70434" w:rsidR="006F72E6" w:rsidRDefault="007004FB" w:rsidP="006F72E6">
      <w:r>
        <w:t>The risks from</w:t>
      </w:r>
      <w:r w:rsidR="00CC434E">
        <w:t xml:space="preserve"> the</w:t>
      </w:r>
      <w:r>
        <w:t xml:space="preserve"> use of g</w:t>
      </w:r>
      <w:r w:rsidR="006F72E6">
        <w:t>lyoxylic acid aligns with the Schedule 6 SPF factors</w:t>
      </w:r>
      <w:r>
        <w:t>. T</w:t>
      </w:r>
      <w:r w:rsidR="006F72E6">
        <w:t xml:space="preserve">he local </w:t>
      </w:r>
      <w:r w:rsidR="006622A9">
        <w:t xml:space="preserve">adverse skin and eye </w:t>
      </w:r>
      <w:r w:rsidR="006F72E6">
        <w:t xml:space="preserve">effects of glyoxylic acid pose a reasonable risk </w:t>
      </w:r>
      <w:r w:rsidR="00346786">
        <w:t xml:space="preserve">of </w:t>
      </w:r>
      <w:r w:rsidR="006F72E6" w:rsidRPr="00264476">
        <w:t>harm to users</w:t>
      </w:r>
      <w:r w:rsidR="006F72E6">
        <w:t xml:space="preserve"> that</w:t>
      </w:r>
      <w:r w:rsidR="006F72E6" w:rsidRPr="00264476">
        <w:t xml:space="preserve"> can be reduced through strong label warnings</w:t>
      </w:r>
      <w:r w:rsidR="00346786">
        <w:t xml:space="preserve"> and</w:t>
      </w:r>
      <w:r w:rsidR="006F72E6">
        <w:t xml:space="preserve"> </w:t>
      </w:r>
      <w:r w:rsidR="006F72E6" w:rsidRPr="00DB2438">
        <w:t>extensive safety directions</w:t>
      </w:r>
      <w:r w:rsidR="006F72E6">
        <w:t>. Similarly</w:t>
      </w:r>
      <w:r w:rsidR="004F7D0A">
        <w:t>,</w:t>
      </w:r>
      <w:r w:rsidR="006F72E6">
        <w:t xml:space="preserve"> the acute inhalation toxicity of the substance poses a moderate health hazard commensurate with </w:t>
      </w:r>
      <w:r w:rsidR="00346786">
        <w:t xml:space="preserve">the </w:t>
      </w:r>
      <w:r w:rsidR="006F72E6">
        <w:t xml:space="preserve">Schedule 6 SPF factors. I </w:t>
      </w:r>
      <w:r w:rsidR="004F7D0A">
        <w:t>agree</w:t>
      </w:r>
      <w:r w:rsidR="006F72E6">
        <w:t xml:space="preserve"> with the Committee that f</w:t>
      </w:r>
      <w:r w:rsidR="006F72E6" w:rsidRPr="00DE286B">
        <w:t>irst aid instructions</w:t>
      </w:r>
      <w:r w:rsidR="006F72E6">
        <w:t xml:space="preserve"> (Appendix E), and warning statements and safety directions (Appendix F) to mitigate the risks posed by glyoxylic acid</w:t>
      </w:r>
      <w:r w:rsidR="00AB7AE6">
        <w:t xml:space="preserve"> would be appropriate</w:t>
      </w:r>
      <w:r w:rsidR="006F72E6">
        <w:t xml:space="preserve">. I am also of the view that an additional Appendix F safety direction regarding adequate ventilation during usage is necessary to minimise </w:t>
      </w:r>
      <w:r w:rsidR="002B0C65">
        <w:t xml:space="preserve">the </w:t>
      </w:r>
      <w:r w:rsidR="006F72E6">
        <w:t xml:space="preserve">risks </w:t>
      </w:r>
      <w:r w:rsidR="00066A9C">
        <w:t>from</w:t>
      </w:r>
      <w:r w:rsidR="006F72E6">
        <w:t xml:space="preserve"> inhalational exposure.</w:t>
      </w:r>
    </w:p>
    <w:p w14:paraId="2378F59F" w14:textId="3B13CC5D" w:rsidR="006F72E6" w:rsidRPr="002777F1" w:rsidRDefault="00066A9C" w:rsidP="006F72E6">
      <w:pPr>
        <w:rPr>
          <w:rFonts w:eastAsiaTheme="minorEastAsia"/>
        </w:rPr>
      </w:pPr>
      <w:r>
        <w:t>With respect</w:t>
      </w:r>
      <w:r w:rsidR="006F72E6">
        <w:t xml:space="preserve"> to </w:t>
      </w:r>
      <w:r w:rsidR="006F72E6" w:rsidRPr="003E2B76">
        <w:t>s 52E(1)(</w:t>
      </w:r>
      <w:r w:rsidR="006F72E6">
        <w:t>b</w:t>
      </w:r>
      <w:r w:rsidR="006F72E6" w:rsidRPr="003E2B76">
        <w:t>)</w:t>
      </w:r>
      <w:r w:rsidR="006F72E6">
        <w:t xml:space="preserve"> and (d)</w:t>
      </w:r>
      <w:r w:rsidR="006F72E6" w:rsidRPr="003E2B76">
        <w:t xml:space="preserve"> of the Act,</w:t>
      </w:r>
      <w:r w:rsidR="006F72E6">
        <w:t xml:space="preserve"> I note that glyoxylic acid is used in </w:t>
      </w:r>
      <w:r w:rsidR="006804F6">
        <w:t xml:space="preserve">professional </w:t>
      </w:r>
      <w:r w:rsidR="006F72E6" w:rsidRPr="43BBABB6">
        <w:rPr>
          <w:rFonts w:eastAsiaTheme="minorEastAsia"/>
        </w:rPr>
        <w:t>hair straightening products in hair salons</w:t>
      </w:r>
      <w:r w:rsidR="006804F6">
        <w:rPr>
          <w:rFonts w:eastAsiaTheme="minorEastAsia"/>
        </w:rPr>
        <w:t xml:space="preserve"> </w:t>
      </w:r>
      <w:r w:rsidR="006F72E6">
        <w:rPr>
          <w:rFonts w:eastAsiaTheme="minorEastAsia"/>
        </w:rPr>
        <w:t xml:space="preserve">and </w:t>
      </w:r>
      <w:r w:rsidR="006804F6">
        <w:rPr>
          <w:rFonts w:eastAsiaTheme="minorEastAsia"/>
        </w:rPr>
        <w:t>is also available for consumer purchase and use from pharmacies.</w:t>
      </w:r>
      <w:r w:rsidR="006F72E6">
        <w:rPr>
          <w:rFonts w:eastAsiaTheme="minorEastAsia"/>
        </w:rPr>
        <w:t xml:space="preserve"> Commercial products contain formulations at </w:t>
      </w:r>
      <w:r w:rsidR="006804F6">
        <w:rPr>
          <w:rFonts w:eastAsiaTheme="minorEastAsia"/>
        </w:rPr>
        <w:t xml:space="preserve">concentrations of </w:t>
      </w:r>
      <w:r w:rsidR="006F72E6">
        <w:rPr>
          <w:rFonts w:eastAsiaTheme="minorEastAsia"/>
        </w:rPr>
        <w:t xml:space="preserve">50% glyoxylic acid, whilst </w:t>
      </w:r>
      <w:r>
        <w:rPr>
          <w:rFonts w:eastAsiaTheme="minorEastAsia"/>
        </w:rPr>
        <w:t xml:space="preserve">consumer </w:t>
      </w:r>
      <w:r w:rsidR="006F72E6">
        <w:rPr>
          <w:rFonts w:eastAsiaTheme="minorEastAsia"/>
        </w:rPr>
        <w:t xml:space="preserve">cosmetic preparations reportedly contain approximately 12%. These products often present as ‘formaldehyde-free’ preparations that </w:t>
      </w:r>
      <w:r w:rsidR="008D5005">
        <w:rPr>
          <w:rFonts w:eastAsiaTheme="minorEastAsia"/>
        </w:rPr>
        <w:t>imply a greater level of safety</w:t>
      </w:r>
      <w:r w:rsidR="00197A07">
        <w:rPr>
          <w:rFonts w:eastAsiaTheme="minorEastAsia"/>
        </w:rPr>
        <w:t xml:space="preserve"> that formaldehyde-based products</w:t>
      </w:r>
      <w:r w:rsidR="006F72E6">
        <w:rPr>
          <w:rFonts w:eastAsiaTheme="minorEastAsia"/>
        </w:rPr>
        <w:t>. I also note that glyoxylic acid is used in other cosmetic products, such as skin care</w:t>
      </w:r>
      <w:r w:rsidR="00AD6B6E">
        <w:rPr>
          <w:rFonts w:eastAsiaTheme="minorEastAsia"/>
        </w:rPr>
        <w:t xml:space="preserve"> preparations</w:t>
      </w:r>
      <w:r w:rsidR="006F72E6">
        <w:rPr>
          <w:rFonts w:eastAsiaTheme="minorEastAsia"/>
        </w:rPr>
        <w:t xml:space="preserve">, though there </w:t>
      </w:r>
      <w:r w:rsidR="00AD6B6E">
        <w:rPr>
          <w:rFonts w:eastAsiaTheme="minorEastAsia"/>
        </w:rPr>
        <w:t>were</w:t>
      </w:r>
      <w:r w:rsidR="006F72E6">
        <w:rPr>
          <w:rFonts w:eastAsiaTheme="minorEastAsia"/>
        </w:rPr>
        <w:t xml:space="preserve"> a lack of domestic usage data</w:t>
      </w:r>
      <w:r w:rsidR="00AD6B6E">
        <w:rPr>
          <w:rFonts w:eastAsiaTheme="minorEastAsia"/>
        </w:rPr>
        <w:t xml:space="preserve"> for</w:t>
      </w:r>
      <w:r w:rsidR="00940003">
        <w:rPr>
          <w:rFonts w:eastAsiaTheme="minorEastAsia"/>
        </w:rPr>
        <w:t xml:space="preserve"> consideration</w:t>
      </w:r>
      <w:r w:rsidR="006F72E6">
        <w:rPr>
          <w:rFonts w:eastAsiaTheme="minorEastAsia"/>
        </w:rPr>
        <w:t>. International</w:t>
      </w:r>
      <w:r w:rsidR="00940003">
        <w:rPr>
          <w:rFonts w:eastAsiaTheme="minorEastAsia"/>
        </w:rPr>
        <w:t>ly,</w:t>
      </w:r>
      <w:r w:rsidR="006F72E6">
        <w:rPr>
          <w:rFonts w:eastAsiaTheme="minorEastAsia"/>
        </w:rPr>
        <w:t xml:space="preserve"> glyoxylic acid</w:t>
      </w:r>
      <w:r w:rsidR="00940003">
        <w:rPr>
          <w:rFonts w:eastAsiaTheme="minorEastAsia"/>
        </w:rPr>
        <w:t xml:space="preserve"> is</w:t>
      </w:r>
      <w:r w:rsidR="006F72E6">
        <w:rPr>
          <w:rFonts w:eastAsiaTheme="minorEastAsia"/>
        </w:rPr>
        <w:t xml:space="preserve"> also </w:t>
      </w:r>
      <w:r w:rsidR="00D6796A">
        <w:rPr>
          <w:rFonts w:eastAsiaTheme="minorEastAsia"/>
        </w:rPr>
        <w:t>used</w:t>
      </w:r>
      <w:r w:rsidR="006F72E6">
        <w:rPr>
          <w:rFonts w:eastAsiaTheme="minorEastAsia"/>
        </w:rPr>
        <w:t xml:space="preserve"> as a surface treatment, corrosion inhibitor in the manufacturing of </w:t>
      </w:r>
      <w:r w:rsidR="006F72E6" w:rsidRPr="002C3CD2">
        <w:rPr>
          <w:rFonts w:eastAsiaTheme="minorEastAsia"/>
        </w:rPr>
        <w:t>cleaning and furnishing products</w:t>
      </w:r>
      <w:r w:rsidR="006F72E6">
        <w:rPr>
          <w:rFonts w:eastAsiaTheme="minorEastAsia"/>
        </w:rPr>
        <w:t xml:space="preserve">, pH regulator, </w:t>
      </w:r>
      <w:proofErr w:type="gramStart"/>
      <w:r w:rsidR="006F72E6">
        <w:rPr>
          <w:rFonts w:eastAsiaTheme="minorEastAsia"/>
        </w:rPr>
        <w:t>preservative</w:t>
      </w:r>
      <w:proofErr w:type="gramEnd"/>
      <w:r w:rsidR="006F72E6">
        <w:rPr>
          <w:rFonts w:eastAsiaTheme="minorEastAsia"/>
        </w:rPr>
        <w:t xml:space="preserve"> and an anti-scaling agent.</w:t>
      </w:r>
    </w:p>
    <w:p w14:paraId="727393D9" w14:textId="7EE6855B" w:rsidR="006F72E6" w:rsidRDefault="006F72E6" w:rsidP="006F72E6">
      <w:r>
        <w:t xml:space="preserve">In considering s 52E(1)(f) of the Act, I </w:t>
      </w:r>
      <w:r w:rsidR="008E47CE">
        <w:t>agree</w:t>
      </w:r>
      <w:r>
        <w:t xml:space="preserve"> with the Committee that</w:t>
      </w:r>
      <w:r w:rsidR="008E47CE">
        <w:t xml:space="preserve"> the</w:t>
      </w:r>
      <w:r>
        <w:t xml:space="preserve"> risk of inhalation toxicity may be exacerbated during heating of hair straightening products containing glyoxylic acid. B</w:t>
      </w:r>
      <w:r w:rsidRPr="00747F74">
        <w:t>oth formaldehyde and oxalic acid byproducts may be produced by high temperatures during high straightening</w:t>
      </w:r>
      <w:r>
        <w:t>, both of which are acute respiratory irritants.</w:t>
      </w:r>
      <w:r w:rsidR="008E47CE">
        <w:t xml:space="preserve"> </w:t>
      </w:r>
      <w:r w:rsidR="00A51291">
        <w:t xml:space="preserve">To mitigate this risk, </w:t>
      </w:r>
      <w:r w:rsidR="00800A58" w:rsidRPr="008349FE">
        <w:t xml:space="preserve">appropriate </w:t>
      </w:r>
      <w:r w:rsidR="008E47CE" w:rsidRPr="008349FE">
        <w:t xml:space="preserve">ventilation </w:t>
      </w:r>
      <w:r w:rsidR="00800A58" w:rsidRPr="003422B7">
        <w:t xml:space="preserve">is required </w:t>
      </w:r>
      <w:r w:rsidR="008349FE" w:rsidRPr="003422B7">
        <w:t xml:space="preserve">for both </w:t>
      </w:r>
      <w:r w:rsidR="008E47CE" w:rsidRPr="008349FE">
        <w:t>consumer and professional users. I am of the view that these risks can be minimised through extensive label statements, i.e. first aid instructions and labelling requirements implemented through Appendix E and F, respectively.</w:t>
      </w:r>
    </w:p>
    <w:p w14:paraId="56FBE9C9" w14:textId="3ED46389" w:rsidR="006F72E6" w:rsidRPr="0005318A" w:rsidRDefault="006804F6" w:rsidP="006F72E6">
      <w:r w:rsidRPr="006804F6">
        <w:t>In summary, I am of the view that the risks posed by glyoxylic acid</w:t>
      </w:r>
      <w:r>
        <w:t xml:space="preserve"> present </w:t>
      </w:r>
      <w:r w:rsidRPr="006804F6">
        <w:t>in cosmetic products</w:t>
      </w:r>
      <w:r>
        <w:t xml:space="preserve">, align with the </w:t>
      </w:r>
      <w:r w:rsidR="007D0120">
        <w:t xml:space="preserve">SPF factors for Schedule 6. </w:t>
      </w:r>
      <w:r w:rsidR="006F72E6">
        <w:t xml:space="preserve">I </w:t>
      </w:r>
      <w:r w:rsidR="008349FE">
        <w:t xml:space="preserve">also </w:t>
      </w:r>
      <w:r w:rsidR="006F72E6">
        <w:t>agree with the</w:t>
      </w:r>
      <w:r w:rsidR="008349FE">
        <w:t xml:space="preserve"> advice of</w:t>
      </w:r>
      <w:r w:rsidR="006F72E6">
        <w:t xml:space="preserve"> Committee regarding the impact of this decision on industry given the variety of </w:t>
      </w:r>
      <w:r w:rsidR="006F72E6" w:rsidRPr="00AB5BC2">
        <w:t>consumer and professional products containing glyoxylic acid</w:t>
      </w:r>
      <w:r w:rsidR="006F72E6">
        <w:t xml:space="preserve"> and its uses in </w:t>
      </w:r>
      <w:r w:rsidR="006F72E6" w:rsidRPr="00CB3A4E">
        <w:t>in non-consumer industrial processes</w:t>
      </w:r>
      <w:r w:rsidR="006F72E6">
        <w:t>.</w:t>
      </w:r>
      <w:r w:rsidR="008349FE">
        <w:t xml:space="preserve"> </w:t>
      </w:r>
      <w:r w:rsidR="00BB0FCE">
        <w:t xml:space="preserve">I have decided on an extended implementation date </w:t>
      </w:r>
      <w:r w:rsidR="004D7B3C">
        <w:t>t</w:t>
      </w:r>
      <w:r w:rsidR="004D7B3C" w:rsidRPr="004D7B3C">
        <w:t xml:space="preserve">o allow industry adequate response time to implement the labelling changes and to avoid disruption to the supply of glyoxylic acid containing </w:t>
      </w:r>
      <w:proofErr w:type="gramStart"/>
      <w:r w:rsidR="004D7B3C" w:rsidRPr="004D7B3C">
        <w:t>products.</w:t>
      </w:r>
      <w:r w:rsidR="00BB0FCE">
        <w:t>.</w:t>
      </w:r>
      <w:proofErr w:type="gramEnd"/>
      <w:r w:rsidR="006F72E6">
        <w:t xml:space="preserve"> </w:t>
      </w:r>
      <w:r w:rsidR="004D7B3C">
        <w:t xml:space="preserve">As such, </w:t>
      </w:r>
      <w:r w:rsidR="006F72E6">
        <w:t>I have decided on an implementation date of 1 June 202</w:t>
      </w:r>
      <w:r w:rsidR="00BB0FCE">
        <w:t>6</w:t>
      </w:r>
      <w:r w:rsidR="006F72E6">
        <w:t>.</w:t>
      </w:r>
    </w:p>
    <w:p w14:paraId="1944AAE6" w14:textId="77777777" w:rsidR="006F72E6" w:rsidRPr="00173513" w:rsidRDefault="006F72E6" w:rsidP="006F72E6">
      <w:pPr>
        <w:pStyle w:val="Heading4"/>
      </w:pPr>
      <w:bookmarkStart w:id="29" w:name="_Toc177645064"/>
      <w:r w:rsidRPr="00B03B68">
        <w:t>Implementat</w:t>
      </w:r>
      <w:r w:rsidRPr="00173513">
        <w:t>ion date</w:t>
      </w:r>
      <w:bookmarkEnd w:id="29"/>
    </w:p>
    <w:p w14:paraId="7A5CFC16" w14:textId="4148FA2E" w:rsidR="006F72E6" w:rsidRPr="00B03B68" w:rsidRDefault="006F72E6" w:rsidP="006F72E6">
      <w:r w:rsidRPr="00173513">
        <w:t xml:space="preserve">1 June </w:t>
      </w:r>
      <w:r w:rsidR="00BB0FCE" w:rsidRPr="00173513">
        <w:t>202</w:t>
      </w:r>
      <w:r w:rsidR="00BB0FCE">
        <w:t>6</w:t>
      </w:r>
    </w:p>
    <w:p w14:paraId="664A25FD" w14:textId="40840754" w:rsidR="005A34E2" w:rsidRPr="00B03B68" w:rsidRDefault="005A34E2" w:rsidP="00BB3352">
      <w:pPr>
        <w:pStyle w:val="Heading2"/>
      </w:pPr>
      <w:bookmarkStart w:id="30" w:name="_Toc177645065"/>
      <w:r w:rsidRPr="00B03B68">
        <w:lastRenderedPageBreak/>
        <w:t>Interim decision</w:t>
      </w:r>
      <w:r w:rsidR="00AB4A25">
        <w:t>s</w:t>
      </w:r>
      <w:r w:rsidRPr="00B03B68">
        <w:t xml:space="preserve"> on proposed amendments referred to the Advisory Committees on Medicines and Chemicals Scheduling</w:t>
      </w:r>
      <w:r w:rsidR="00CF3718" w:rsidRPr="00B03B68">
        <w:t xml:space="preserve"> in joint session</w:t>
      </w:r>
      <w:r w:rsidRPr="00B03B68">
        <w:t xml:space="preserve"> (</w:t>
      </w:r>
      <w:r w:rsidR="00CF3718" w:rsidRPr="00B03B68">
        <w:t>ACMS-</w:t>
      </w:r>
      <w:r w:rsidRPr="00B03B68">
        <w:t>ACCS</w:t>
      </w:r>
      <w:r w:rsidR="005212A2" w:rsidRPr="00B03B68">
        <w:t> </w:t>
      </w:r>
      <w:r w:rsidRPr="00B03B68">
        <w:t>#</w:t>
      </w:r>
      <w:r w:rsidR="00AB4A25">
        <w:t>37</w:t>
      </w:r>
      <w:r w:rsidRPr="00B03B68">
        <w:t>,</w:t>
      </w:r>
      <w:r w:rsidR="005212A2" w:rsidRPr="00B03B68">
        <w:t> </w:t>
      </w:r>
      <w:r w:rsidR="00AB4A25">
        <w:t>June</w:t>
      </w:r>
      <w:r w:rsidR="005212A2" w:rsidRPr="00B03B68">
        <w:t> </w:t>
      </w:r>
      <w:r w:rsidRPr="00B03B68">
        <w:t>20</w:t>
      </w:r>
      <w:r w:rsidR="00AB4A25">
        <w:t>24</w:t>
      </w:r>
      <w:r w:rsidRPr="00B03B68">
        <w:t>)</w:t>
      </w:r>
      <w:bookmarkEnd w:id="30"/>
    </w:p>
    <w:p w14:paraId="713E74D9" w14:textId="5E782A72" w:rsidR="00074990" w:rsidRPr="00B03B68" w:rsidRDefault="00074990" w:rsidP="00074990">
      <w:pPr>
        <w:pStyle w:val="Heading3"/>
      </w:pPr>
      <w:bookmarkStart w:id="31" w:name="_Toc177645066"/>
      <w:r w:rsidRPr="00B03B68">
        <w:t xml:space="preserve">Interim decision in relation to </w:t>
      </w:r>
      <w:proofErr w:type="spellStart"/>
      <w:r w:rsidR="00AB4A25">
        <w:t>sulfonamides</w:t>
      </w:r>
      <w:bookmarkEnd w:id="31"/>
      <w:proofErr w:type="spellEnd"/>
    </w:p>
    <w:p w14:paraId="0415A6B7" w14:textId="77777777" w:rsidR="00074990" w:rsidRPr="00B03B68" w:rsidRDefault="00074990" w:rsidP="00531034">
      <w:pPr>
        <w:pStyle w:val="Heading4"/>
      </w:pPr>
      <w:bookmarkStart w:id="32" w:name="_Toc177645067"/>
      <w:r w:rsidRPr="00B03B68">
        <w:t>Proposal</w:t>
      </w:r>
      <w:bookmarkEnd w:id="32"/>
    </w:p>
    <w:p w14:paraId="670AFB06" w14:textId="4D7F7B2E" w:rsidR="0075172C" w:rsidRPr="00B03B68" w:rsidRDefault="0075172C" w:rsidP="00074990">
      <w:r w:rsidRPr="0075172C">
        <w:t>The De</w:t>
      </w:r>
      <w:r w:rsidR="007004FB">
        <w:t>legate</w:t>
      </w:r>
      <w:r w:rsidRPr="0075172C">
        <w:t xml:space="preserve"> has proposed amendments to the current Schedule 4 entry for </w:t>
      </w:r>
      <w:proofErr w:type="spellStart"/>
      <w:r w:rsidRPr="0075172C">
        <w:t>sulfonamides</w:t>
      </w:r>
      <w:proofErr w:type="spellEnd"/>
      <w:r w:rsidRPr="0075172C">
        <w:t xml:space="preserve">. The proposal is intended to clarify the status of </w:t>
      </w:r>
      <w:proofErr w:type="spellStart"/>
      <w:r w:rsidRPr="0075172C">
        <w:t>sulfonamides</w:t>
      </w:r>
      <w:proofErr w:type="spellEnd"/>
      <w:r w:rsidRPr="0075172C">
        <w:t xml:space="preserve"> when used in a variety of settings, including therapeutically and industrially. The proposal follows a referral from the Australian Industrial Chemicals Introduction Scheme (AICIS) evaluation of </w:t>
      </w:r>
      <w:hyperlink r:id="rId24" w:history="1">
        <w:proofErr w:type="spellStart"/>
        <w:r w:rsidRPr="00AD69F2">
          <w:rPr>
            <w:rStyle w:val="Hyperlink"/>
          </w:rPr>
          <w:t>sulfonamides</w:t>
        </w:r>
        <w:proofErr w:type="spellEnd"/>
      </w:hyperlink>
      <w:r w:rsidRPr="0075172C">
        <w:t xml:space="preserve"> published in January 2022.</w:t>
      </w:r>
    </w:p>
    <w:p w14:paraId="78D21754" w14:textId="77777777" w:rsidR="00074990" w:rsidRPr="00B03B68" w:rsidRDefault="00074990" w:rsidP="00531034">
      <w:pPr>
        <w:pStyle w:val="Heading4"/>
      </w:pPr>
      <w:bookmarkStart w:id="33" w:name="_Toc177645068"/>
      <w:r w:rsidRPr="00B03B68">
        <w:t>Interim decision</w:t>
      </w:r>
      <w:bookmarkEnd w:id="33"/>
    </w:p>
    <w:p w14:paraId="2ED5DA7E" w14:textId="107EA6CD" w:rsidR="00074990" w:rsidRPr="00B03B68" w:rsidRDefault="00074990" w:rsidP="00074990">
      <w:r w:rsidRPr="00B03B68">
        <w:t>Pursuant to regulation 42ZCZN of the Regulations, the Delegate has, in relation to the proposed amendment, made an interim d</w:t>
      </w:r>
      <w:r w:rsidRPr="00AD69F2">
        <w:t xml:space="preserve">ecision to amend the current Poisons Standard in relation to </w:t>
      </w:r>
      <w:proofErr w:type="spellStart"/>
      <w:r w:rsidR="00AD69F2" w:rsidRPr="00AD69F2">
        <w:t>sulfonamides</w:t>
      </w:r>
      <w:proofErr w:type="spellEnd"/>
      <w:r w:rsidRPr="00AD69F2">
        <w:t xml:space="preserve"> as follows:</w:t>
      </w:r>
      <w:r w:rsidR="005C39AC">
        <w:rPr>
          <w:rStyle w:val="FootnoteReference"/>
        </w:rPr>
        <w:footnoteReference w:id="16"/>
      </w:r>
    </w:p>
    <w:p w14:paraId="5D2BD9AE" w14:textId="7622642C" w:rsidR="00074990" w:rsidRPr="00B94C08" w:rsidRDefault="00074990" w:rsidP="00417551">
      <w:pPr>
        <w:ind w:left="425"/>
        <w:rPr>
          <w:b/>
          <w:bCs/>
        </w:rPr>
      </w:pPr>
      <w:r w:rsidRPr="00B94C08">
        <w:rPr>
          <w:b/>
          <w:bCs/>
        </w:rPr>
        <w:t>Schedule</w:t>
      </w:r>
      <w:r w:rsidR="00AD69F2">
        <w:rPr>
          <w:b/>
          <w:bCs/>
        </w:rPr>
        <w:t xml:space="preserve"> 4</w:t>
      </w:r>
    </w:p>
    <w:p w14:paraId="764AD41B" w14:textId="30BD2843" w:rsidR="00074990" w:rsidRDefault="00AD69F2" w:rsidP="00EE0E9A">
      <w:pPr>
        <w:ind w:firstLine="567"/>
      </w:pPr>
      <w:r>
        <w:t xml:space="preserve">SULFONAMIDE </w:t>
      </w:r>
      <w:r w:rsidRPr="006C46D9">
        <w:rPr>
          <w:color w:val="00B050"/>
        </w:rPr>
        <w:t>ANTIBIOTIC</w:t>
      </w:r>
      <w:r>
        <w:t>S</w:t>
      </w:r>
      <w:r w:rsidR="00074990" w:rsidRPr="002A2130">
        <w:t xml:space="preserve"> </w:t>
      </w:r>
      <w:r w:rsidR="006C46D9" w:rsidRPr="006C46D9">
        <w:rPr>
          <w:b/>
          <w:bCs/>
        </w:rPr>
        <w:t>except</w:t>
      </w:r>
      <w:r w:rsidR="006C46D9">
        <w:t>:</w:t>
      </w:r>
    </w:p>
    <w:p w14:paraId="2FB7FF3A" w14:textId="7C20475C" w:rsidR="00074990" w:rsidRPr="000A4597" w:rsidRDefault="006C46D9" w:rsidP="00486551">
      <w:pPr>
        <w:pStyle w:val="ListBulleta"/>
        <w:numPr>
          <w:ilvl w:val="0"/>
          <w:numId w:val="13"/>
        </w:numPr>
        <w:rPr>
          <w:strike/>
          <w:color w:val="FF0000"/>
        </w:rPr>
      </w:pPr>
      <w:r>
        <w:t xml:space="preserve">when separately specified in </w:t>
      </w:r>
      <w:proofErr w:type="spellStart"/>
      <w:r>
        <w:t>th</w:t>
      </w:r>
      <w:r w:rsidRPr="000A4597">
        <w:rPr>
          <w:strike/>
          <w:color w:val="FF0000"/>
        </w:rPr>
        <w:t>is</w:t>
      </w:r>
      <w:r w:rsidRPr="000A4597">
        <w:rPr>
          <w:color w:val="00B050"/>
        </w:rPr>
        <w:t>ese</w:t>
      </w:r>
      <w:proofErr w:type="spellEnd"/>
      <w:r>
        <w:t xml:space="preserve"> Schedules</w:t>
      </w:r>
      <w:r w:rsidRPr="000A4597">
        <w:rPr>
          <w:strike/>
          <w:color w:val="FF0000"/>
        </w:rPr>
        <w:t>; or</w:t>
      </w:r>
    </w:p>
    <w:p w14:paraId="44209EBC" w14:textId="764141D5" w:rsidR="006C46D9" w:rsidRPr="000A4597" w:rsidRDefault="006C46D9" w:rsidP="00486551">
      <w:pPr>
        <w:pStyle w:val="ListBulleta"/>
        <w:numPr>
          <w:ilvl w:val="0"/>
          <w:numId w:val="13"/>
        </w:numPr>
        <w:rPr>
          <w:strike/>
          <w:color w:val="FF0000"/>
        </w:rPr>
      </w:pPr>
      <w:r w:rsidRPr="000A4597">
        <w:rPr>
          <w:strike/>
          <w:color w:val="FF0000"/>
        </w:rPr>
        <w:t xml:space="preserve">when included in Schedule 3, 5 or 6; or </w:t>
      </w:r>
    </w:p>
    <w:p w14:paraId="247A73B2" w14:textId="7FEEA5CD" w:rsidR="00074990" w:rsidRPr="000A4597" w:rsidRDefault="006C46D9" w:rsidP="000A4597">
      <w:pPr>
        <w:pStyle w:val="ListBulleta"/>
      </w:pPr>
      <w:r w:rsidRPr="000A4597">
        <w:rPr>
          <w:strike/>
          <w:color w:val="FF0000"/>
        </w:rPr>
        <w:t xml:space="preserve">when packed and labelled solely for use as </w:t>
      </w:r>
      <w:proofErr w:type="gramStart"/>
      <w:r w:rsidRPr="000A4597">
        <w:rPr>
          <w:strike/>
          <w:color w:val="FF0000"/>
        </w:rPr>
        <w:t>a</w:t>
      </w:r>
      <w:proofErr w:type="gramEnd"/>
      <w:r w:rsidRPr="000A4597">
        <w:rPr>
          <w:strike/>
          <w:color w:val="FF0000"/>
        </w:rPr>
        <w:t xml:space="preserve"> herbicide</w:t>
      </w:r>
      <w:r w:rsidR="00C91B2B" w:rsidRPr="000A4597">
        <w:br/>
      </w:r>
    </w:p>
    <w:p w14:paraId="5949B427" w14:textId="77777777" w:rsidR="00C91B2B" w:rsidRDefault="00C91B2B" w:rsidP="00417551">
      <w:pPr>
        <w:ind w:left="425"/>
        <w:rPr>
          <w:b/>
          <w:bCs/>
        </w:rPr>
      </w:pPr>
      <w:r>
        <w:rPr>
          <w:b/>
          <w:bCs/>
        </w:rPr>
        <w:t>Index</w:t>
      </w:r>
    </w:p>
    <w:p w14:paraId="404864C1" w14:textId="53DCA581" w:rsidR="00AD69F2" w:rsidRPr="00C91B2B" w:rsidRDefault="00C91B2B" w:rsidP="00EE0E9A">
      <w:pPr>
        <w:ind w:firstLine="567"/>
        <w:rPr>
          <w:b/>
          <w:bCs/>
        </w:rPr>
      </w:pPr>
      <w:r>
        <w:rPr>
          <w:b/>
          <w:bCs/>
        </w:rPr>
        <w:tab/>
      </w:r>
      <w:r w:rsidR="00AD69F2" w:rsidRPr="00AD69F2">
        <w:rPr>
          <w:b/>
          <w:bCs/>
        </w:rPr>
        <w:t>SULFONAMIDES</w:t>
      </w:r>
      <w:r>
        <w:rPr>
          <w:b/>
          <w:bCs/>
        </w:rPr>
        <w:br/>
      </w:r>
      <w:r>
        <w:rPr>
          <w:b/>
          <w:bCs/>
        </w:rPr>
        <w:tab/>
      </w:r>
      <w:r w:rsidR="00AD69F2">
        <w:t>cross reference: SULFACETAMIDE, SULPHANILAMIDE</w:t>
      </w:r>
    </w:p>
    <w:p w14:paraId="24093CE4" w14:textId="36BACDE2" w:rsidR="00AD69F2" w:rsidRPr="00B03B68" w:rsidRDefault="00C91B2B" w:rsidP="00074990">
      <w:pPr>
        <w:ind w:firstLine="567"/>
      </w:pPr>
      <w:r>
        <w:tab/>
      </w:r>
      <w:r w:rsidR="00AD69F2">
        <w:t>Schedule 4</w:t>
      </w:r>
    </w:p>
    <w:p w14:paraId="2D9C28D9" w14:textId="77777777" w:rsidR="00074990" w:rsidRPr="00B03B68" w:rsidRDefault="00074990" w:rsidP="00531034">
      <w:pPr>
        <w:pStyle w:val="Heading4"/>
      </w:pPr>
      <w:bookmarkStart w:id="34" w:name="_Toc177645069"/>
      <w:r w:rsidRPr="00B03B68">
        <w:t xml:space="preserve">Materials </w:t>
      </w:r>
      <w:proofErr w:type="gramStart"/>
      <w:r w:rsidRPr="00B03B68">
        <w:t>considered</w:t>
      </w:r>
      <w:bookmarkEnd w:id="34"/>
      <w:proofErr w:type="gramEnd"/>
    </w:p>
    <w:p w14:paraId="5AD7DC08" w14:textId="77777777" w:rsidR="00074990" w:rsidRPr="00B03B68" w:rsidRDefault="00074990" w:rsidP="00074990">
      <w:r w:rsidRPr="00B03B68">
        <w:t>In making this interim decision, the Delegate considered the following material:</w:t>
      </w:r>
    </w:p>
    <w:p w14:paraId="2620F886" w14:textId="46B64696" w:rsidR="00074990" w:rsidRPr="00B03B68" w:rsidRDefault="00074990" w:rsidP="000A4597">
      <w:pPr>
        <w:pStyle w:val="ListBullet"/>
      </w:pPr>
      <w:r w:rsidRPr="00B03B68">
        <w:t>The</w:t>
      </w:r>
      <w:sdt>
        <w:sdtPr>
          <w:alias w:val="Hyperlink to TGA website"/>
          <w:tag w:val="Hyperlink to TGA website"/>
          <w:id w:val="-1622984163"/>
          <w:placeholder>
            <w:docPart w:val="DEC1BA590174422789ADB59D07701BBE"/>
          </w:placeholder>
        </w:sdtPr>
        <w:sdtEndPr/>
        <w:sdtContent>
          <w:r w:rsidRPr="00B03B68">
            <w:t xml:space="preserve"> application</w:t>
          </w:r>
        </w:sdtContent>
      </w:sdt>
      <w:r w:rsidRPr="00B03B68">
        <w:t xml:space="preserve"> to amend the current Poisons Standard with respect to </w:t>
      </w:r>
      <w:sdt>
        <w:sdtPr>
          <w:id w:val="-1273931533"/>
          <w:placeholder>
            <w:docPart w:val="9A00A273EB4647E1B589AA51C662E9B0"/>
          </w:placeholder>
        </w:sdtPr>
        <w:sdtEndPr/>
        <w:sdtContent>
          <w:proofErr w:type="spellStart"/>
          <w:r w:rsidR="00C91B2B" w:rsidRPr="00C91B2B">
            <w:t>sulfonamides</w:t>
          </w:r>
          <w:proofErr w:type="spellEnd"/>
        </w:sdtContent>
      </w:sdt>
      <w:r w:rsidRPr="00C91B2B">
        <w:t xml:space="preserve"> (the Application)</w:t>
      </w:r>
    </w:p>
    <w:p w14:paraId="59EAE972" w14:textId="1D375713" w:rsidR="00074990" w:rsidRPr="00B03B68" w:rsidRDefault="00074990" w:rsidP="000A4597">
      <w:pPr>
        <w:pStyle w:val="ListBullet"/>
      </w:pPr>
      <w:r w:rsidRPr="00B03B68">
        <w:t>T</w:t>
      </w:r>
      <w:sdt>
        <w:sdtPr>
          <w:id w:val="-1033652984"/>
          <w:placeholder>
            <w:docPart w:val="72F0CACE705740DABE932091E56FCDCC"/>
          </w:placeholder>
        </w:sdtPr>
        <w:sdtEndPr/>
        <w:sdtContent>
          <w:r w:rsidRPr="00B03B68">
            <w:t>he</w:t>
          </w:r>
          <w:r w:rsidR="000A4597">
            <w:t xml:space="preserve"> </w:t>
          </w:r>
          <w:r w:rsidR="007004FB">
            <w:t>1</w:t>
          </w:r>
          <w:r w:rsidR="007004FB" w:rsidRPr="00B03B68">
            <w:t xml:space="preserve"> </w:t>
          </w:r>
          <w:hyperlink r:id="rId25" w:history="1">
            <w:r w:rsidRPr="005E0799">
              <w:rPr>
                <w:rStyle w:val="Hyperlink"/>
              </w:rPr>
              <w:t>public submission</w:t>
            </w:r>
          </w:hyperlink>
          <w:r w:rsidRPr="00B03B68">
            <w:t xml:space="preserve">, with </w:t>
          </w:r>
          <w:r w:rsidR="00E008B8">
            <w:t xml:space="preserve">no </w:t>
          </w:r>
          <w:r w:rsidRPr="00B03B68">
            <w:t>written component</w:t>
          </w:r>
          <w:r w:rsidR="00E008B8">
            <w:t xml:space="preserve"> was </w:t>
          </w:r>
          <w:r w:rsidRPr="00B03B68">
            <w:t xml:space="preserve">received in response to the </w:t>
          </w:r>
          <w:r w:rsidR="00E008B8">
            <w:br/>
          </w:r>
          <w:hyperlink r:id="rId26" w:history="1">
            <w:r w:rsidRPr="000A4597">
              <w:rPr>
                <w:rStyle w:val="Hyperlink"/>
              </w:rPr>
              <w:t>pre-meeting consultation</w:t>
            </w:r>
          </w:hyperlink>
          <w:r w:rsidRPr="00B03B68">
            <w:t xml:space="preserve"> under regulation 42ZCZK of the Regulations</w:t>
          </w:r>
        </w:sdtContent>
      </w:sdt>
      <w:r w:rsidRPr="00B03B68">
        <w:t xml:space="preserve"> (the Submissions)</w:t>
      </w:r>
    </w:p>
    <w:p w14:paraId="240AA02B" w14:textId="6132EBCB" w:rsidR="00074990" w:rsidRPr="00B03B68" w:rsidRDefault="00074990" w:rsidP="000A4597">
      <w:pPr>
        <w:pStyle w:val="ListBullet"/>
      </w:pPr>
      <w:r w:rsidRPr="00B03B68">
        <w:t>T</w:t>
      </w:r>
      <w:sdt>
        <w:sdtPr>
          <w:id w:val="1675918723"/>
          <w:placeholder>
            <w:docPart w:val="9A00A273EB4647E1B589AA51C662E9B0"/>
          </w:placeholder>
        </w:sdtPr>
        <w:sdtEndPr/>
        <w:sdtContent>
          <w:proofErr w:type="gramStart"/>
          <w:r w:rsidRPr="00B03B68">
            <w:t>he</w:t>
          </w:r>
          <w:proofErr w:type="gramEnd"/>
          <w:r w:rsidRPr="00B03B68">
            <w:t xml:space="preserve"> advice received from the </w:t>
          </w:r>
          <w:r w:rsidR="000A4597">
            <w:t>37th</w:t>
          </w:r>
          <w:r w:rsidRPr="00B03B68">
            <w:t xml:space="preserve"> meeting of the </w:t>
          </w:r>
          <w:r w:rsidRPr="00C91B2B">
            <w:t>Advisory Committee on Medicines and Chemicals Scheduling in joint session</w:t>
          </w:r>
        </w:sdtContent>
      </w:sdt>
      <w:r w:rsidRPr="00B03B68">
        <w:t xml:space="preserve"> (the Committee)</w:t>
      </w:r>
    </w:p>
    <w:p w14:paraId="46AF5EB9" w14:textId="77777777" w:rsidR="00074990" w:rsidRPr="00B03B68" w:rsidRDefault="00074990" w:rsidP="000A4597">
      <w:pPr>
        <w:pStyle w:val="ListBullet"/>
      </w:pPr>
      <w:r w:rsidRPr="00B03B68">
        <w:t xml:space="preserve">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w:t>
      </w:r>
      <w:r w:rsidRPr="00B03B68">
        <w:lastRenderedPageBreak/>
        <w:t>(e) the potential for abuse of a substance; and (f) any other matters that the Secretary considers necessary to protect public health</w:t>
      </w:r>
    </w:p>
    <w:p w14:paraId="50D1B586" w14:textId="77777777" w:rsidR="00074990" w:rsidRPr="00B03B68" w:rsidRDefault="00074990" w:rsidP="000A4597">
      <w:pPr>
        <w:pStyle w:val="ListBullet"/>
      </w:pPr>
      <w:r w:rsidRPr="00B03B68">
        <w:t>The SPF, and</w:t>
      </w:r>
    </w:p>
    <w:p w14:paraId="182DB91D" w14:textId="77777777" w:rsidR="00074990" w:rsidRPr="00B03B68" w:rsidRDefault="00074990" w:rsidP="000A4597">
      <w:pPr>
        <w:pStyle w:val="ListBullet"/>
      </w:pPr>
      <w:r w:rsidRPr="00B03B68">
        <w:t>The Handbook.</w:t>
      </w:r>
    </w:p>
    <w:p w14:paraId="2D234270" w14:textId="77777777" w:rsidR="00074990" w:rsidRPr="00B03B68" w:rsidRDefault="00074990" w:rsidP="00531034">
      <w:pPr>
        <w:pStyle w:val="Heading4"/>
      </w:pPr>
      <w:bookmarkStart w:id="35" w:name="_Toc177645070"/>
      <w:r w:rsidRPr="00B03B68">
        <w:t>Summary of Committee advice to the Delegate</w:t>
      </w:r>
      <w:bookmarkEnd w:id="35"/>
    </w:p>
    <w:p w14:paraId="3CB87F4E" w14:textId="19BE2D3F" w:rsidR="00074990" w:rsidRDefault="00074990" w:rsidP="00074990">
      <w:r w:rsidRPr="00B03B68">
        <w:t>The Committee</w:t>
      </w:r>
      <w:r w:rsidR="00313D83">
        <w:t xml:space="preserve"> </w:t>
      </w:r>
      <w:r w:rsidR="00313D83" w:rsidRPr="00313D83">
        <w:t xml:space="preserve">recommended that </w:t>
      </w:r>
      <w:r w:rsidR="00313D83">
        <w:t xml:space="preserve">amending </w:t>
      </w:r>
      <w:r w:rsidR="00313D83" w:rsidRPr="00313D83">
        <w:t xml:space="preserve">the Schedule 4 entry for </w:t>
      </w:r>
      <w:proofErr w:type="spellStart"/>
      <w:r w:rsidR="00255228">
        <w:t>sulfonamides</w:t>
      </w:r>
      <w:proofErr w:type="spellEnd"/>
      <w:r w:rsidR="00313D83" w:rsidRPr="00313D83">
        <w:t xml:space="preserve"> </w:t>
      </w:r>
      <w:r w:rsidR="00313D83">
        <w:t>in the</w:t>
      </w:r>
      <w:r w:rsidR="00313D83" w:rsidRPr="00313D83">
        <w:t xml:space="preserve"> Poisons Standard </w:t>
      </w:r>
      <w:r w:rsidR="00313D83">
        <w:t>was appropriate.</w:t>
      </w:r>
      <w:r w:rsidR="00313D83" w:rsidRPr="00313D83">
        <w:t xml:space="preserve"> </w:t>
      </w:r>
      <w:r w:rsidR="00313D83">
        <w:t xml:space="preserve">The Committee suggested that the entry </w:t>
      </w:r>
      <w:r w:rsidR="00313D83" w:rsidRPr="00313D83">
        <w:t xml:space="preserve">should specify </w:t>
      </w:r>
      <w:proofErr w:type="spellStart"/>
      <w:r w:rsidR="00313D83" w:rsidRPr="00313D83">
        <w:t>sulfonamide</w:t>
      </w:r>
      <w:proofErr w:type="spellEnd"/>
      <w:r w:rsidR="00313D83" w:rsidRPr="00313D83">
        <w:t xml:space="preserve"> antibiotics and retain the exemption for </w:t>
      </w:r>
      <w:proofErr w:type="spellStart"/>
      <w:r w:rsidR="00A96BB1">
        <w:t>sulfonamide</w:t>
      </w:r>
      <w:proofErr w:type="spellEnd"/>
      <w:r w:rsidR="00A96BB1">
        <w:t xml:space="preserve"> antibiotics</w:t>
      </w:r>
      <w:r w:rsidR="00313D83" w:rsidRPr="00313D83">
        <w:t xml:space="preserve"> already included </w:t>
      </w:r>
      <w:r w:rsidR="009A7948">
        <w:t>in other</w:t>
      </w:r>
      <w:r w:rsidR="00313D83" w:rsidRPr="00313D83">
        <w:t xml:space="preserve"> </w:t>
      </w:r>
      <w:r w:rsidR="009A7948">
        <w:t>s</w:t>
      </w:r>
      <w:r w:rsidR="00313D83" w:rsidRPr="00313D83">
        <w:t>chedules</w:t>
      </w:r>
      <w:r w:rsidR="009A7948">
        <w:t xml:space="preserve"> or appendices</w:t>
      </w:r>
      <w:r w:rsidR="00A96BB1">
        <w:t xml:space="preserve"> but recommended the Delegate reviews these substances individually</w:t>
      </w:r>
      <w:r w:rsidR="00313D83" w:rsidRPr="00313D83">
        <w:t>.</w:t>
      </w:r>
      <w:r w:rsidR="00313D83">
        <w:t xml:space="preserve"> </w:t>
      </w:r>
    </w:p>
    <w:p w14:paraId="13DA2415" w14:textId="77777777" w:rsidR="00313D83" w:rsidRDefault="00313D83" w:rsidP="00313D83">
      <w:r>
        <w:t xml:space="preserve">The Committee did not recommend an implementation date. Instead, they advised that the Delegate may wish to seek further advice regarding the possible impacts of the amendment on industry, including preparations for veterinary use that may contain </w:t>
      </w:r>
      <w:proofErr w:type="spellStart"/>
      <w:r>
        <w:t>sulfonamide</w:t>
      </w:r>
      <w:proofErr w:type="spellEnd"/>
      <w:r>
        <w:t xml:space="preserve"> antibiotics, prior to deciding on the implementation date.</w:t>
      </w:r>
    </w:p>
    <w:p w14:paraId="3ACACC83" w14:textId="5E7CD65C" w:rsidR="00074990" w:rsidRPr="00B03B68" w:rsidRDefault="00074990" w:rsidP="00074990">
      <w:r w:rsidRPr="00B03B68">
        <w:t>Members agreed that the relevant matters under subsection 52E(1) of the Act included: (a) risks and benefits of the use of a substance; (b) the purposes for which a substance is to be used and the extent of use of a substance; (c) the toxicity of a substance; (e) the potential for abuse of a substance; and (f) any other matters that the Secretary considers necessary to protect public health.</w:t>
      </w:r>
    </w:p>
    <w:p w14:paraId="11149329" w14:textId="77777777" w:rsidR="00074990" w:rsidRPr="00B03B68" w:rsidRDefault="00074990" w:rsidP="00074990">
      <w:r w:rsidRPr="00B03B68">
        <w:t>The reasons for the advice included:</w:t>
      </w:r>
    </w:p>
    <w:p w14:paraId="5D5E5001" w14:textId="6F1441FA" w:rsidR="00074990" w:rsidRPr="00B03B68" w:rsidRDefault="00074990" w:rsidP="00486551">
      <w:pPr>
        <w:pStyle w:val="Heading5"/>
        <w:numPr>
          <w:ilvl w:val="0"/>
          <w:numId w:val="19"/>
        </w:numPr>
      </w:pPr>
      <w:r w:rsidRPr="00B03B68">
        <w:t>the risks and benefits of the use of a substance</w:t>
      </w:r>
    </w:p>
    <w:p w14:paraId="0630147A" w14:textId="77777777" w:rsidR="00074990" w:rsidRPr="00B03B68" w:rsidRDefault="00074990" w:rsidP="00594004">
      <w:pPr>
        <w:pStyle w:val="Heading6"/>
      </w:pPr>
      <w:r w:rsidRPr="00B03B68">
        <w:t>Risks:</w:t>
      </w:r>
    </w:p>
    <w:p w14:paraId="2F9F9651" w14:textId="6E8C0D7C" w:rsidR="005E0799" w:rsidRDefault="005E0799" w:rsidP="00417551">
      <w:pPr>
        <w:pStyle w:val="ListBullet2"/>
        <w:ind w:left="924" w:hanging="357"/>
      </w:pPr>
      <w:r>
        <w:t xml:space="preserve">Primary reason for inclusion of </w:t>
      </w:r>
      <w:proofErr w:type="spellStart"/>
      <w:r>
        <w:t>sulfonamides</w:t>
      </w:r>
      <w:proofErr w:type="spellEnd"/>
      <w:r>
        <w:t xml:space="preserve"> in Schedule 4 is to minimise the risk of further development of antibiotic resistance.</w:t>
      </w:r>
    </w:p>
    <w:p w14:paraId="18567546" w14:textId="77777777" w:rsidR="005E0799" w:rsidRDefault="005E0799" w:rsidP="00417551">
      <w:pPr>
        <w:pStyle w:val="ListBullet2"/>
        <w:ind w:left="924" w:hanging="357"/>
      </w:pPr>
      <w:r>
        <w:t xml:space="preserve">Some of the </w:t>
      </w:r>
      <w:proofErr w:type="spellStart"/>
      <w:r>
        <w:t>sulfonamides</w:t>
      </w:r>
      <w:proofErr w:type="spellEnd"/>
      <w:r>
        <w:t xml:space="preserve"> have antimicrobial activity and are used, either singly or in combination with other </w:t>
      </w:r>
      <w:proofErr w:type="spellStart"/>
      <w:r>
        <w:t>sulfonamides</w:t>
      </w:r>
      <w:proofErr w:type="spellEnd"/>
      <w:r>
        <w:t xml:space="preserve"> to treat infections in humans as well as animals. The risks associated with </w:t>
      </w:r>
      <w:proofErr w:type="spellStart"/>
      <w:r>
        <w:t>sulfonamide</w:t>
      </w:r>
      <w:proofErr w:type="spellEnd"/>
      <w:r>
        <w:t xml:space="preserve"> containing antibiotics, include allergic reactions and development of antibiotic resistance.</w:t>
      </w:r>
    </w:p>
    <w:p w14:paraId="56013D78" w14:textId="45A548BD" w:rsidR="00074990" w:rsidRPr="00B03B68" w:rsidRDefault="005E0799" w:rsidP="00417551">
      <w:pPr>
        <w:pStyle w:val="ListBullet2"/>
        <w:ind w:left="924" w:hanging="357"/>
      </w:pPr>
      <w:r>
        <w:t xml:space="preserve">Industrial use of </w:t>
      </w:r>
      <w:proofErr w:type="spellStart"/>
      <w:r>
        <w:t>sulfonamides</w:t>
      </w:r>
      <w:proofErr w:type="spellEnd"/>
      <w:r>
        <w:t xml:space="preserve"> generally presents with low acute and repeat dose toxicity in the liver and bladder by most routes of administration, and they </w:t>
      </w:r>
      <w:r w:rsidR="007004FB">
        <w:t xml:space="preserve">are </w:t>
      </w:r>
      <w:r>
        <w:t>not expected to be genotoxic or carcinogenic.</w:t>
      </w:r>
    </w:p>
    <w:p w14:paraId="08A00854" w14:textId="77777777" w:rsidR="00074990" w:rsidRPr="00B03B68" w:rsidRDefault="00074990" w:rsidP="00594004">
      <w:pPr>
        <w:pStyle w:val="Heading6"/>
      </w:pPr>
      <w:r w:rsidRPr="00B03B68">
        <w:t>Benefits:</w:t>
      </w:r>
    </w:p>
    <w:p w14:paraId="166ADE99" w14:textId="2ACE22F2" w:rsidR="00074990" w:rsidRPr="00B03B68" w:rsidRDefault="00B709A0" w:rsidP="00417551">
      <w:pPr>
        <w:pStyle w:val="ListBullet2"/>
        <w:ind w:left="924" w:hanging="357"/>
      </w:pPr>
      <w:proofErr w:type="spellStart"/>
      <w:r w:rsidRPr="00A966E4">
        <w:t>Sulfonamides</w:t>
      </w:r>
      <w:proofErr w:type="spellEnd"/>
      <w:r w:rsidRPr="00A966E4">
        <w:t xml:space="preserve"> have a diverse and significant range of benefits in many applications, including pharmaceuticals as topical antibiotics</w:t>
      </w:r>
      <w:r w:rsidR="007004FB">
        <w:t>,</w:t>
      </w:r>
      <w:r w:rsidRPr="00A966E4">
        <w:t xml:space="preserve"> and industrial uses.</w:t>
      </w:r>
    </w:p>
    <w:p w14:paraId="1CEA469C" w14:textId="7733F7FF" w:rsidR="00074990" w:rsidRPr="00B03B68" w:rsidRDefault="00074990">
      <w:pPr>
        <w:pStyle w:val="Heading5"/>
      </w:pPr>
      <w:r w:rsidRPr="00B03B68">
        <w:t xml:space="preserve">the purposes for which a substance is to be used and the extent of use of a </w:t>
      </w:r>
      <w:proofErr w:type="gramStart"/>
      <w:r w:rsidRPr="00B03B68">
        <w:t>substance</w:t>
      </w:r>
      <w:proofErr w:type="gramEnd"/>
    </w:p>
    <w:p w14:paraId="39C6EF4F" w14:textId="7E65890C" w:rsidR="00074990" w:rsidRPr="00B03B68" w:rsidRDefault="00B709A0" w:rsidP="00417551">
      <w:pPr>
        <w:pStyle w:val="ListBullet2"/>
        <w:ind w:left="924" w:hanging="357"/>
      </w:pPr>
      <w:r w:rsidRPr="00B709A0">
        <w:t xml:space="preserve">Safe therapeutic use of </w:t>
      </w:r>
      <w:proofErr w:type="spellStart"/>
      <w:r w:rsidRPr="00B709A0">
        <w:t>sulfonamide</w:t>
      </w:r>
      <w:proofErr w:type="spellEnd"/>
      <w:r w:rsidRPr="00B709A0">
        <w:t xml:space="preserve"> antibiotics, to treat diseases in humans and food-producing animals requires oversight by a suitable health professional. </w:t>
      </w:r>
    </w:p>
    <w:p w14:paraId="1FD775AE" w14:textId="1FBDEC4C" w:rsidR="00074990" w:rsidRPr="00B03B68" w:rsidRDefault="001175DD" w:rsidP="00870D45">
      <w:pPr>
        <w:pStyle w:val="Heading5"/>
      </w:pPr>
      <w:r>
        <w:t xml:space="preserve"> </w:t>
      </w:r>
      <w:r w:rsidR="00074990" w:rsidRPr="00B03B68">
        <w:t>the toxicity of a substance</w:t>
      </w:r>
    </w:p>
    <w:p w14:paraId="2704E1A6" w14:textId="47913FA0" w:rsidR="001175DD" w:rsidRDefault="001175DD" w:rsidP="00417551">
      <w:pPr>
        <w:pStyle w:val="ListBullet2"/>
        <w:ind w:left="924" w:hanging="357"/>
      </w:pPr>
      <w:proofErr w:type="spellStart"/>
      <w:r>
        <w:t>Sulfonamide</w:t>
      </w:r>
      <w:proofErr w:type="spellEnd"/>
      <w:r>
        <w:t xml:space="preserve"> antibiotics have well documented side-effects.</w:t>
      </w:r>
    </w:p>
    <w:p w14:paraId="01516A8F" w14:textId="541EE06C" w:rsidR="001175DD" w:rsidRDefault="001175DD" w:rsidP="00417551">
      <w:pPr>
        <w:pStyle w:val="ListBullet2"/>
        <w:ind w:left="924" w:hanging="357"/>
      </w:pPr>
      <w:r>
        <w:t xml:space="preserve">Incidental dermal and ocular exposure to </w:t>
      </w:r>
      <w:proofErr w:type="spellStart"/>
      <w:r>
        <w:t>toluenesulfonamides</w:t>
      </w:r>
      <w:proofErr w:type="spellEnd"/>
      <w:r>
        <w:t xml:space="preserve"> may occur from use of paints and coating products containing </w:t>
      </w:r>
      <w:proofErr w:type="spellStart"/>
      <w:r>
        <w:t>sulfonamides</w:t>
      </w:r>
      <w:proofErr w:type="spellEnd"/>
      <w:r>
        <w:t xml:space="preserve">. Dermal exposure to </w:t>
      </w:r>
      <w:proofErr w:type="spellStart"/>
      <w:r>
        <w:t>toluenesulfonam</w:t>
      </w:r>
      <w:r w:rsidR="00406E89">
        <w:t>i</w:t>
      </w:r>
      <w:r>
        <w:t>des</w:t>
      </w:r>
      <w:proofErr w:type="spellEnd"/>
      <w:r>
        <w:t xml:space="preserve"> is expected to be significantly higher through during normal use of cosmetic nail polish products</w:t>
      </w:r>
      <w:r w:rsidR="007004FB">
        <w:t>,</w:t>
      </w:r>
      <w:r>
        <w:t xml:space="preserve"> although intentional topical application is required for such usage.</w:t>
      </w:r>
    </w:p>
    <w:p w14:paraId="2B71ADD7" w14:textId="77777777" w:rsidR="001175DD" w:rsidRDefault="001175DD" w:rsidP="00417551">
      <w:pPr>
        <w:pStyle w:val="ListBullet2"/>
        <w:ind w:left="924" w:hanging="357"/>
      </w:pPr>
      <w:r>
        <w:lastRenderedPageBreak/>
        <w:t>Based on the hazard profile, the chemicals are unlikely to pose a risk to workers in industrial applications where catalytic or low concentrations are employed.</w:t>
      </w:r>
    </w:p>
    <w:p w14:paraId="4326EC4B" w14:textId="3F946DA5" w:rsidR="001175DD" w:rsidRDefault="001175DD" w:rsidP="00417551">
      <w:pPr>
        <w:pStyle w:val="ListBullet2"/>
        <w:ind w:left="924" w:hanging="357"/>
      </w:pPr>
      <w:r>
        <w:t>Systemic long</w:t>
      </w:r>
      <w:r w:rsidR="007004FB">
        <w:t>-</w:t>
      </w:r>
      <w:r>
        <w:t xml:space="preserve">term effects may occur following repeated exposure to high doses of herbicidal </w:t>
      </w:r>
      <w:proofErr w:type="spellStart"/>
      <w:r>
        <w:t>sulfonamides</w:t>
      </w:r>
      <w:proofErr w:type="spellEnd"/>
      <w:r>
        <w:t>, but rigorous use of safe handling protocols and personal protective equipment should mitigate this risk.</w:t>
      </w:r>
    </w:p>
    <w:p w14:paraId="54BEA7C8" w14:textId="3C3F27B0" w:rsidR="00074990" w:rsidRPr="00B03B68" w:rsidRDefault="00074990" w:rsidP="00870D45">
      <w:pPr>
        <w:pStyle w:val="Heading5"/>
      </w:pPr>
      <w:r w:rsidRPr="00B03B68">
        <w:t xml:space="preserve">the dosage, formulation, labelling, </w:t>
      </w:r>
      <w:proofErr w:type="gramStart"/>
      <w:r w:rsidRPr="00B03B68">
        <w:t>packaging</w:t>
      </w:r>
      <w:proofErr w:type="gramEnd"/>
      <w:r w:rsidRPr="00B03B68">
        <w:t xml:space="preserve"> and presentation of a substance</w:t>
      </w:r>
    </w:p>
    <w:p w14:paraId="3C5FBA12" w14:textId="7C2A775D" w:rsidR="00074990" w:rsidRPr="00B03B68" w:rsidRDefault="001175DD" w:rsidP="00417551">
      <w:pPr>
        <w:pStyle w:val="ListBullet2"/>
        <w:ind w:left="924" w:hanging="357"/>
      </w:pPr>
      <w:r w:rsidRPr="001175DD">
        <w:t>Not applicable.</w:t>
      </w:r>
    </w:p>
    <w:p w14:paraId="3F722426" w14:textId="5DE24F1F" w:rsidR="00074990" w:rsidRPr="00B03B68" w:rsidRDefault="00074990" w:rsidP="00870D45">
      <w:pPr>
        <w:pStyle w:val="Heading5"/>
      </w:pPr>
      <w:r w:rsidRPr="00B03B68">
        <w:t>the potential for abuse of a substance</w:t>
      </w:r>
    </w:p>
    <w:p w14:paraId="18E196F4" w14:textId="4E023D57" w:rsidR="00074990" w:rsidRDefault="001175DD" w:rsidP="00417551">
      <w:pPr>
        <w:pStyle w:val="ListBullet2"/>
        <w:ind w:left="924" w:hanging="357"/>
      </w:pPr>
      <w:r w:rsidRPr="001175DD">
        <w:t xml:space="preserve">Use of </w:t>
      </w:r>
      <w:proofErr w:type="spellStart"/>
      <w:r w:rsidRPr="001175DD">
        <w:t>sulfonamides</w:t>
      </w:r>
      <w:proofErr w:type="spellEnd"/>
      <w:r w:rsidRPr="001175DD">
        <w:t xml:space="preserve"> as growth </w:t>
      </w:r>
      <w:proofErr w:type="spellStart"/>
      <w:r w:rsidRPr="001175DD">
        <w:t>promotants</w:t>
      </w:r>
      <w:proofErr w:type="spellEnd"/>
      <w:r w:rsidRPr="001175DD">
        <w:t xml:space="preserve"> in agricultural settings can lead to the development of antimicrobial resistance.</w:t>
      </w:r>
    </w:p>
    <w:p w14:paraId="4F0ABB1B" w14:textId="46F80DB8" w:rsidR="00074990" w:rsidRPr="00B03B68" w:rsidRDefault="00074990" w:rsidP="00870D45">
      <w:pPr>
        <w:pStyle w:val="Heading5"/>
      </w:pPr>
      <w:r w:rsidRPr="00B03B68">
        <w:t xml:space="preserve">any other matters that the Secretary considers necessary to protect public </w:t>
      </w:r>
      <w:proofErr w:type="gramStart"/>
      <w:r w:rsidRPr="00B03B68">
        <w:t>health</w:t>
      </w:r>
      <w:proofErr w:type="gramEnd"/>
    </w:p>
    <w:p w14:paraId="5C14E9DE" w14:textId="7086B935" w:rsidR="001175DD" w:rsidRDefault="001175DD" w:rsidP="00417551">
      <w:pPr>
        <w:pStyle w:val="ListBullet2"/>
        <w:ind w:left="924" w:hanging="357"/>
      </w:pPr>
      <w:r>
        <w:t xml:space="preserve">The intent of the original scheduling was related to risks associated with </w:t>
      </w:r>
      <w:proofErr w:type="spellStart"/>
      <w:r>
        <w:t>sulfonamide</w:t>
      </w:r>
      <w:proofErr w:type="spellEnd"/>
      <w:r>
        <w:t xml:space="preserve"> antibiotics, particularly when used in humans and food-producing animals. </w:t>
      </w:r>
    </w:p>
    <w:p w14:paraId="295CE009" w14:textId="77777777" w:rsidR="001175DD" w:rsidRDefault="001175DD" w:rsidP="00417551">
      <w:pPr>
        <w:pStyle w:val="ListBullet2"/>
        <w:ind w:left="924" w:hanging="357"/>
      </w:pPr>
      <w:r>
        <w:t>The current entry inadvertently captures multiple industrial and agricultural chemicals, many of which may not require scheduling due to low toxicity and/or low likelihood of consumer exposure.</w:t>
      </w:r>
    </w:p>
    <w:p w14:paraId="6B0B92CE" w14:textId="77777777" w:rsidR="001175DD" w:rsidRDefault="001175DD" w:rsidP="00417551">
      <w:pPr>
        <w:pStyle w:val="ListBullet2"/>
        <w:ind w:left="924" w:hanging="357"/>
      </w:pPr>
      <w:r>
        <w:t xml:space="preserve">A more detailed review of the potential longer-term impact of herbicidal applications may be necessary. </w:t>
      </w:r>
    </w:p>
    <w:p w14:paraId="360BEB5D" w14:textId="77777777" w:rsidR="001175DD" w:rsidRDefault="001175DD" w:rsidP="00417551">
      <w:pPr>
        <w:pStyle w:val="ListBullet2"/>
        <w:ind w:left="924" w:hanging="357"/>
      </w:pPr>
      <w:r>
        <w:t xml:space="preserve">Overuse of </w:t>
      </w:r>
      <w:proofErr w:type="spellStart"/>
      <w:r>
        <w:t>sulfonamide</w:t>
      </w:r>
      <w:proofErr w:type="spellEnd"/>
      <w:r>
        <w:t xml:space="preserve"> herbicides since 1980s has resulted in resistance in non-target plants.</w:t>
      </w:r>
    </w:p>
    <w:p w14:paraId="02511273" w14:textId="77777777" w:rsidR="001175DD" w:rsidRDefault="001175DD" w:rsidP="00417551">
      <w:pPr>
        <w:pStyle w:val="ListBullet2"/>
        <w:ind w:left="924" w:hanging="357"/>
      </w:pPr>
      <w:r>
        <w:t xml:space="preserve">Case by case consideration of </w:t>
      </w:r>
      <w:proofErr w:type="spellStart"/>
      <w:r>
        <w:t>sulfonamides</w:t>
      </w:r>
      <w:proofErr w:type="spellEnd"/>
      <w:r>
        <w:t xml:space="preserve"> where there is risk of consumer exposure; not already scheduled and have an identified health risk.</w:t>
      </w:r>
    </w:p>
    <w:p w14:paraId="30499B9D" w14:textId="77777777" w:rsidR="00074990" w:rsidRPr="00B03B68" w:rsidRDefault="00074990" w:rsidP="00531034">
      <w:pPr>
        <w:pStyle w:val="Heading4"/>
      </w:pPr>
      <w:bookmarkStart w:id="36" w:name="_Toc177645071"/>
      <w:r w:rsidRPr="00B03B68">
        <w:t>Reasons for the interim decision (including findings on material questions of fact)</w:t>
      </w:r>
      <w:bookmarkEnd w:id="36"/>
    </w:p>
    <w:p w14:paraId="62738371" w14:textId="77777777" w:rsidR="00C16445" w:rsidRDefault="00C16445" w:rsidP="00C16445">
      <w:r w:rsidRPr="009B1AAA">
        <w:t>I agree with the Committee's findings on the relevant provisions of section 52E of the Act.</w:t>
      </w:r>
    </w:p>
    <w:p w14:paraId="04867912" w14:textId="09CF83EA" w:rsidR="00C16445" w:rsidRDefault="00C16445" w:rsidP="00C16445">
      <w:r w:rsidRPr="009B1AAA">
        <w:t xml:space="preserve">I have made an interim decision to amend the Poisons Standard with regards to </w:t>
      </w:r>
      <w:r>
        <w:t xml:space="preserve">the </w:t>
      </w:r>
      <w:proofErr w:type="spellStart"/>
      <w:r>
        <w:t>sulfonamides</w:t>
      </w:r>
      <w:proofErr w:type="spellEnd"/>
      <w:r>
        <w:t xml:space="preserve"> group entry in Schedule 4. This follows an evaluation by AICIS, which was published in January 2022</w:t>
      </w:r>
      <w:r w:rsidRPr="009B1AAA">
        <w:t>. I have</w:t>
      </w:r>
      <w:r>
        <w:t xml:space="preserve"> found the</w:t>
      </w:r>
      <w:r w:rsidR="00D86D27">
        <w:t xml:space="preserve"> existing </w:t>
      </w:r>
      <w:proofErr w:type="spellStart"/>
      <w:r>
        <w:t>sulfonamide</w:t>
      </w:r>
      <w:r w:rsidR="00D86D27">
        <w:t>’</w:t>
      </w:r>
      <w:r>
        <w:t>s</w:t>
      </w:r>
      <w:proofErr w:type="spellEnd"/>
      <w:r>
        <w:t xml:space="preserve"> entry in Schedule 4 inadvertently capture</w:t>
      </w:r>
      <w:r w:rsidR="00D86D27">
        <w:t>s</w:t>
      </w:r>
      <w:r>
        <w:t xml:space="preserve"> a broad range of substances, notably </w:t>
      </w:r>
      <w:proofErr w:type="spellStart"/>
      <w:r>
        <w:t>toulensulfonamides</w:t>
      </w:r>
      <w:proofErr w:type="spellEnd"/>
      <w:r>
        <w:t xml:space="preserve">, that are inconsistent with Prescription Only </w:t>
      </w:r>
      <w:r w:rsidR="007004FB">
        <w:t>(</w:t>
      </w:r>
      <w:r>
        <w:t>Schedule 4</w:t>
      </w:r>
      <w:r w:rsidR="007004FB">
        <w:t>)</w:t>
      </w:r>
      <w:r>
        <w:t xml:space="preserve"> medicines. I have</w:t>
      </w:r>
      <w:r w:rsidR="007004FB">
        <w:t>,</w:t>
      </w:r>
      <w:r>
        <w:t xml:space="preserve"> therefore</w:t>
      </w:r>
      <w:r w:rsidR="007004FB">
        <w:t>,</w:t>
      </w:r>
      <w:r>
        <w:t xml:space="preserve"> found it appropriate to refine the entry to capture </w:t>
      </w:r>
      <w:proofErr w:type="spellStart"/>
      <w:r>
        <w:t>sulfonamide</w:t>
      </w:r>
      <w:proofErr w:type="spellEnd"/>
      <w:r>
        <w:t xml:space="preserve"> antibiotics</w:t>
      </w:r>
      <w:r w:rsidR="001E6510">
        <w:t xml:space="preserve">, </w:t>
      </w:r>
      <w:r>
        <w:t xml:space="preserve">except </w:t>
      </w:r>
      <w:r w:rsidR="001E6510">
        <w:t xml:space="preserve">when </w:t>
      </w:r>
      <w:r>
        <w:t xml:space="preserve">listed in another schedule. </w:t>
      </w:r>
    </w:p>
    <w:p w14:paraId="35DF540C" w14:textId="68BAAD13" w:rsidR="00C16445" w:rsidRDefault="00C16445" w:rsidP="00C16445">
      <w:r>
        <w:t>I have considered the</w:t>
      </w:r>
      <w:r w:rsidR="00AC730D">
        <w:t xml:space="preserve"> sole</w:t>
      </w:r>
      <w:r>
        <w:t xml:space="preserve"> public submission received during the pre-meeting consultation period. The public submission supported the proposal but did not provide a written component. </w:t>
      </w:r>
    </w:p>
    <w:p w14:paraId="53A82627" w14:textId="2811EE7F" w:rsidR="00C16445" w:rsidRDefault="00C16445" w:rsidP="00C16445">
      <w:r>
        <w:t>I note the</w:t>
      </w:r>
      <w:r w:rsidRPr="00B53024">
        <w:t xml:space="preserve"> scheduling decision </w:t>
      </w:r>
      <w:r>
        <w:t>to create a ‘</w:t>
      </w:r>
      <w:proofErr w:type="spellStart"/>
      <w:r>
        <w:t>sulfonamides</w:t>
      </w:r>
      <w:proofErr w:type="spellEnd"/>
      <w:r>
        <w:t xml:space="preserve">’ group entry in Schedule 4, which was </w:t>
      </w:r>
      <w:r w:rsidRPr="00B53024">
        <w:t>made by the National Drugs and Poisons Schedule Committee (NDPSC) in June 2004.</w:t>
      </w:r>
      <w:r>
        <w:t xml:space="preserve"> </w:t>
      </w:r>
      <w:r w:rsidR="00AC730D">
        <w:t>At that time, t</w:t>
      </w:r>
      <w:r w:rsidRPr="00B53024">
        <w:t xml:space="preserve">he NDPSC considered the scheduling of </w:t>
      </w:r>
      <w:proofErr w:type="spellStart"/>
      <w:r w:rsidRPr="00B53024">
        <w:t>sulfonamide</w:t>
      </w:r>
      <w:proofErr w:type="spellEnd"/>
      <w:r w:rsidRPr="00B53024">
        <w:t xml:space="preserve"> antibiotics as part of the response to the recommendations of the Joint Expert Technical Advisory Committee on Antibiotic Resistance (JETACAR) and the subsequently convened Expert Advisory Committee on Antimicrobial Resistance (EAGAR). EAGAR recommended that all </w:t>
      </w:r>
      <w:proofErr w:type="spellStart"/>
      <w:r w:rsidRPr="00B53024">
        <w:t>sulfonamide</w:t>
      </w:r>
      <w:proofErr w:type="spellEnd"/>
      <w:r w:rsidRPr="00B53024">
        <w:t xml:space="preserve"> antibiotics with products registered for use in humans and food animals be included in Schedule 4 due to the potential </w:t>
      </w:r>
      <w:r>
        <w:t>of antibiotic resistance</w:t>
      </w:r>
      <w:r w:rsidRPr="00B53024">
        <w:t>.</w:t>
      </w:r>
      <w:r>
        <w:t xml:space="preserve"> However,</w:t>
      </w:r>
      <w:r w:rsidRPr="00B53024">
        <w:t xml:space="preserve"> </w:t>
      </w:r>
      <w:r>
        <w:t>the ‘</w:t>
      </w:r>
      <w:proofErr w:type="spellStart"/>
      <w:r>
        <w:t>sulfonamides</w:t>
      </w:r>
      <w:proofErr w:type="spellEnd"/>
      <w:r>
        <w:t xml:space="preserve">’ group entry </w:t>
      </w:r>
      <w:r w:rsidR="007004FB">
        <w:t xml:space="preserve">that was </w:t>
      </w:r>
      <w:r>
        <w:t>created at the time</w:t>
      </w:r>
      <w:r w:rsidR="009D6FFF">
        <w:t>, now</w:t>
      </w:r>
      <w:r w:rsidR="00AD1DF7">
        <w:t xml:space="preserve"> inadvertently</w:t>
      </w:r>
      <w:r>
        <w:t xml:space="preserve"> captures a broad range of substances</w:t>
      </w:r>
      <w:r w:rsidRPr="00B53024">
        <w:t xml:space="preserve"> with a </w:t>
      </w:r>
      <w:proofErr w:type="spellStart"/>
      <w:r w:rsidRPr="00B53024">
        <w:t>sulfonamide</w:t>
      </w:r>
      <w:proofErr w:type="spellEnd"/>
      <w:r w:rsidRPr="00B53024">
        <w:t xml:space="preserve"> functional group in their structure</w:t>
      </w:r>
      <w:r>
        <w:t xml:space="preserve">. </w:t>
      </w:r>
    </w:p>
    <w:p w14:paraId="74CC7F2E" w14:textId="142F20B2" w:rsidR="00C16445" w:rsidRDefault="00C16445" w:rsidP="00C16445">
      <w:r>
        <w:lastRenderedPageBreak/>
        <w:t xml:space="preserve">In relation to s 52E(1)(b) of the Act, </w:t>
      </w:r>
      <w:proofErr w:type="spellStart"/>
      <w:r>
        <w:t>sulfonamides</w:t>
      </w:r>
      <w:proofErr w:type="spellEnd"/>
      <w:r>
        <w:t xml:space="preserve"> are widely used for therapeutic purposes. There are a range of drugs with a </w:t>
      </w:r>
      <w:proofErr w:type="spellStart"/>
      <w:r w:rsidRPr="00B53024">
        <w:t>sulfonamide</w:t>
      </w:r>
      <w:proofErr w:type="spellEnd"/>
      <w:r w:rsidRPr="00B53024">
        <w:t xml:space="preserve"> functional group in their structure</w:t>
      </w:r>
      <w:r>
        <w:t xml:space="preserve">. These include drugs with and without antibiotic activity. Those without antibiotic activity, such as furosemide (diuretic) and celecoxib (anti-inflammatory), </w:t>
      </w:r>
      <w:r w:rsidRPr="00F06CA1">
        <w:t xml:space="preserve">are </w:t>
      </w:r>
      <w:r>
        <w:t xml:space="preserve">already </w:t>
      </w:r>
      <w:r w:rsidRPr="00F06CA1">
        <w:t>listed separately</w:t>
      </w:r>
      <w:r>
        <w:t xml:space="preserve"> in Schedule 4. There are also inactive </w:t>
      </w:r>
      <w:proofErr w:type="spellStart"/>
      <w:r>
        <w:t>sulfonamides</w:t>
      </w:r>
      <w:proofErr w:type="spellEnd"/>
      <w:r>
        <w:t xml:space="preserve"> that are used in medicinal formulations, such as saccharin as a sweetener. </w:t>
      </w:r>
    </w:p>
    <w:p w14:paraId="6437FFD2" w14:textId="45267F00" w:rsidR="00C16445" w:rsidRDefault="00C16445" w:rsidP="00C16445">
      <w:r>
        <w:t xml:space="preserve">I agree with the </w:t>
      </w:r>
      <w:r w:rsidR="00AD1DF7">
        <w:t>C</w:t>
      </w:r>
      <w:r>
        <w:t xml:space="preserve">ommittee’s advice, that </w:t>
      </w:r>
      <w:proofErr w:type="spellStart"/>
      <w:r>
        <w:t>sulfonamide</w:t>
      </w:r>
      <w:proofErr w:type="spellEnd"/>
      <w:r>
        <w:t xml:space="preserve"> antibiotics currently captured by Schedule 4 remain appropriate. A primary reason for their inclusion is to minimise the risk of antibiotic resistance</w:t>
      </w:r>
      <w:r w:rsidR="00474550">
        <w:t xml:space="preserve"> from uncontrolled use</w:t>
      </w:r>
      <w:r>
        <w:t xml:space="preserve">, which can cause communal harm as per scheduling factor 7 of Schedule 4 in the SPF. </w:t>
      </w:r>
      <w:proofErr w:type="spellStart"/>
      <w:r>
        <w:t>Sulfonamide</w:t>
      </w:r>
      <w:proofErr w:type="spellEnd"/>
      <w:r>
        <w:t xml:space="preserve"> antibiotics also meet scheduling factor 1 of Schedule 4 as they are used to treat a range of bacterial infections that require medical or veterinary intervention. </w:t>
      </w:r>
    </w:p>
    <w:p w14:paraId="535DFBB9" w14:textId="50E06ED6" w:rsidR="00C16445" w:rsidRDefault="00C16445" w:rsidP="00C16445">
      <w:r>
        <w:t xml:space="preserve">Besides the broad use of </w:t>
      </w:r>
      <w:proofErr w:type="spellStart"/>
      <w:r>
        <w:t>sulfonamides</w:t>
      </w:r>
      <w:proofErr w:type="spellEnd"/>
      <w:r>
        <w:t xml:space="preserve"> in pharmaceuticals, they have a highly varied range of applications including pesticides, food additives, cosmetics, coating products, and as components of sealants and adhesives. I note</w:t>
      </w:r>
      <w:r w:rsidR="00E2080C">
        <w:t xml:space="preserve"> for example that</w:t>
      </w:r>
      <w:r>
        <w:t xml:space="preserve"> there are almost 300 listings on the </w:t>
      </w:r>
      <w:hyperlink r:id="rId27" w:history="1">
        <w:r w:rsidRPr="0098131B">
          <w:rPr>
            <w:rStyle w:val="Hyperlink"/>
          </w:rPr>
          <w:t>industrial chemicals inventory</w:t>
        </w:r>
      </w:hyperlink>
      <w:r>
        <w:t xml:space="preserve"> described as ‘</w:t>
      </w:r>
      <w:proofErr w:type="spellStart"/>
      <w:r>
        <w:t>sulfonamide</w:t>
      </w:r>
      <w:proofErr w:type="spellEnd"/>
      <w:r>
        <w:t xml:space="preserve">’, which cover a wide range of chemistry and uses. While many of these substances have not been individually considered for scheduling, there are several </w:t>
      </w:r>
      <w:proofErr w:type="spellStart"/>
      <w:r>
        <w:t>sulfonamides</w:t>
      </w:r>
      <w:proofErr w:type="spellEnd"/>
      <w:r>
        <w:t xml:space="preserve">, some with antibiotic activity, listed explicitly in schedules other than Schedule 4. In line with the Committee’s advice, the scheduling of </w:t>
      </w:r>
      <w:proofErr w:type="spellStart"/>
      <w:r>
        <w:t>sulfonamide</w:t>
      </w:r>
      <w:proofErr w:type="spellEnd"/>
      <w:r>
        <w:t xml:space="preserve"> </w:t>
      </w:r>
      <w:r w:rsidR="009A7948">
        <w:t xml:space="preserve">antibiotics </w:t>
      </w:r>
      <w:r w:rsidR="0022240B">
        <w:t xml:space="preserve">listed in other </w:t>
      </w:r>
      <w:r w:rsidR="009132A2">
        <w:t xml:space="preserve">Schedules </w:t>
      </w:r>
      <w:r w:rsidR="0022240B">
        <w:t xml:space="preserve">or </w:t>
      </w:r>
      <w:r w:rsidR="009132A2">
        <w:t xml:space="preserve">Appendices </w:t>
      </w:r>
      <w:r w:rsidR="0088476F">
        <w:t>is</w:t>
      </w:r>
      <w:r>
        <w:t xml:space="preserve"> likely</w:t>
      </w:r>
      <w:r w:rsidR="0088476F">
        <w:t xml:space="preserve"> to</w:t>
      </w:r>
      <w:r>
        <w:t xml:space="preserve"> require review.</w:t>
      </w:r>
    </w:p>
    <w:p w14:paraId="3E4387B9" w14:textId="1FF57100" w:rsidR="00734B4F" w:rsidRDefault="00C16445" w:rsidP="00734B4F">
      <w:r>
        <w:t xml:space="preserve">However, </w:t>
      </w:r>
      <w:r w:rsidR="0088476F">
        <w:t xml:space="preserve">on this occasion </w:t>
      </w:r>
      <w:r>
        <w:t>I have considered the scheduling of</w:t>
      </w:r>
      <w:r w:rsidR="00154719">
        <w:t xml:space="preserve"> </w:t>
      </w:r>
      <w:r w:rsidR="00F63A70">
        <w:t>non-</w:t>
      </w:r>
      <w:r w:rsidR="00A52D56">
        <w:t>antibiotic</w:t>
      </w:r>
      <w:r w:rsidR="00F63A70">
        <w:t xml:space="preserve"> </w:t>
      </w:r>
      <w:proofErr w:type="spellStart"/>
      <w:r w:rsidR="00154719">
        <w:t>sulfonami</w:t>
      </w:r>
      <w:r w:rsidR="00F63A70">
        <w:t>des</w:t>
      </w:r>
      <w:proofErr w:type="spellEnd"/>
      <w:r w:rsidR="00F63A70">
        <w:t xml:space="preserve"> such as </w:t>
      </w:r>
      <w:proofErr w:type="spellStart"/>
      <w:r>
        <w:t>toluensulfonamides</w:t>
      </w:r>
      <w:proofErr w:type="spellEnd"/>
      <w:r>
        <w:t xml:space="preserve">, following the evaluation </w:t>
      </w:r>
      <w:r w:rsidR="00DB06E3">
        <w:t>by</w:t>
      </w:r>
      <w:r>
        <w:t xml:space="preserve"> the Australian Industrial Chemicals Introduction Scheme (AICIS). </w:t>
      </w:r>
      <w:proofErr w:type="spellStart"/>
      <w:r>
        <w:t>Toluensulfonamides</w:t>
      </w:r>
      <w:proofErr w:type="spellEnd"/>
      <w:r>
        <w:t xml:space="preserve"> do not have any therapeutic or antibiotic activity. </w:t>
      </w:r>
      <w:r w:rsidR="00A52D56">
        <w:t>T</w:t>
      </w:r>
      <w:r>
        <w:t>herefore</w:t>
      </w:r>
      <w:r w:rsidR="007004FB">
        <w:t>,</w:t>
      </w:r>
      <w:r>
        <w:t xml:space="preserve"> </w:t>
      </w:r>
      <w:r w:rsidR="00A52D56">
        <w:t xml:space="preserve">I </w:t>
      </w:r>
      <w:r>
        <w:t>find it inappropriate for them to be subject to medical or veterinary prescribing</w:t>
      </w:r>
      <w:r w:rsidR="00A52D56">
        <w:t xml:space="preserve"> requirements</w:t>
      </w:r>
      <w:r>
        <w:t xml:space="preserve"> </w:t>
      </w:r>
      <w:proofErr w:type="gramStart"/>
      <w:r>
        <w:t xml:space="preserve">as </w:t>
      </w:r>
      <w:r w:rsidR="00A52D56">
        <w:t>a consequ</w:t>
      </w:r>
      <w:r w:rsidR="002460B9">
        <w:t>ence of</w:t>
      </w:r>
      <w:proofErr w:type="gramEnd"/>
      <w:r w:rsidR="002460B9">
        <w:t xml:space="preserve"> </w:t>
      </w:r>
      <w:r>
        <w:t xml:space="preserve">the current scheduling. </w:t>
      </w:r>
      <w:proofErr w:type="spellStart"/>
      <w:r>
        <w:t>Toluensulfonamides</w:t>
      </w:r>
      <w:proofErr w:type="spellEnd"/>
      <w:r>
        <w:t xml:space="preserve"> are reported to have industrial uses in cosmetic nail polish products at concentrations of up to 10%. They are also reported to be used in paint and coating products, inks and toners, adhesives, sealants and as a chemical intermediate for fluorescent pigments. Along with a range of industrial uses, </w:t>
      </w:r>
      <w:proofErr w:type="spellStart"/>
      <w:r>
        <w:t>toluensulfonamides</w:t>
      </w:r>
      <w:proofErr w:type="spellEnd"/>
      <w:r>
        <w:t xml:space="preserve"> are used in low concentrations as a preservative in agricultural products. </w:t>
      </w:r>
    </w:p>
    <w:p w14:paraId="1966C72A" w14:textId="4A6F0BE9" w:rsidR="00C16445" w:rsidRDefault="0088476F" w:rsidP="00734B4F">
      <w:pPr>
        <w:contextualSpacing/>
      </w:pPr>
      <w:r>
        <w:t>The use of</w:t>
      </w:r>
      <w:r w:rsidR="00C16445" w:rsidRPr="00386E08">
        <w:t xml:space="preserve"> paints and coating products containing </w:t>
      </w:r>
      <w:proofErr w:type="spellStart"/>
      <w:r w:rsidR="00C16445">
        <w:t>toluensulfonamides</w:t>
      </w:r>
      <w:proofErr w:type="spellEnd"/>
      <w:r w:rsidR="00C16445">
        <w:t xml:space="preserve"> </w:t>
      </w:r>
      <w:r>
        <w:t>present a</w:t>
      </w:r>
      <w:r w:rsidR="00C16445">
        <w:t xml:space="preserve"> risk of</w:t>
      </w:r>
      <w:r w:rsidR="00C16445" w:rsidRPr="00386E08">
        <w:t xml:space="preserve"> </w:t>
      </w:r>
      <w:r w:rsidR="00C16445">
        <w:t>i</w:t>
      </w:r>
      <w:r w:rsidR="00C16445" w:rsidRPr="00386E08">
        <w:t xml:space="preserve">ncidental dermal and ocular exposure. </w:t>
      </w:r>
      <w:r w:rsidR="00C16445">
        <w:t>Whereas d</w:t>
      </w:r>
      <w:r w:rsidR="00C16445" w:rsidRPr="00386E08">
        <w:t xml:space="preserve">ermal exposure to </w:t>
      </w:r>
      <w:proofErr w:type="spellStart"/>
      <w:r w:rsidR="00C16445">
        <w:t>toluensulfonamides</w:t>
      </w:r>
      <w:proofErr w:type="spellEnd"/>
      <w:r w:rsidR="00C16445" w:rsidRPr="00386E08">
        <w:t xml:space="preserve"> is expected to be significantly higher during normal use of cosmetic nail polish products</w:t>
      </w:r>
      <w:r w:rsidR="00C16445">
        <w:t xml:space="preserve">. I note there is limited information on the use pattern of </w:t>
      </w:r>
      <w:proofErr w:type="spellStart"/>
      <w:r w:rsidR="00C16445">
        <w:t>toluensulfonamides</w:t>
      </w:r>
      <w:proofErr w:type="spellEnd"/>
      <w:r w:rsidR="00C16445">
        <w:t xml:space="preserve"> across </w:t>
      </w:r>
      <w:r>
        <w:t>its entire</w:t>
      </w:r>
      <w:r w:rsidR="00C16445">
        <w:t xml:space="preserve"> range of applications. </w:t>
      </w:r>
    </w:p>
    <w:p w14:paraId="1193BE1D" w14:textId="3BDBD466" w:rsidR="00C16445" w:rsidRDefault="00C16445" w:rsidP="00C16445">
      <w:r>
        <w:t xml:space="preserve">Based on the AICIS evaluation, </w:t>
      </w:r>
      <w:proofErr w:type="spellStart"/>
      <w:r>
        <w:t>toluensulfonamides</w:t>
      </w:r>
      <w:proofErr w:type="spellEnd"/>
      <w:r>
        <w:t xml:space="preserve"> are expected to have low acute oral, dermal, and inhalation toxicity</w:t>
      </w:r>
      <w:r w:rsidR="00F124E1">
        <w:t xml:space="preserve"> (s 52E(1)(a) and (c)).</w:t>
      </w:r>
      <w:r>
        <w:t xml:space="preserve"> They may cause slight skin and eye irritation but are not expected to cause skin sensitisation, genotoxicity, carcinogenicity or specific reproductive or developmental toxicity. The margin of exposure </w:t>
      </w:r>
      <w:r w:rsidR="005D5471">
        <w:t>from the</w:t>
      </w:r>
      <w:r>
        <w:t xml:space="preserve"> use of </w:t>
      </w:r>
      <w:proofErr w:type="spellStart"/>
      <w:r>
        <w:t>toluensulfonamides</w:t>
      </w:r>
      <w:proofErr w:type="spellEnd"/>
      <w:r>
        <w:t xml:space="preserve"> in nail polish products indicate a low risk of adverse health effects. I note products</w:t>
      </w:r>
      <w:r w:rsidR="0088476F">
        <w:t xml:space="preserve"> solely packed and sold for</w:t>
      </w:r>
      <w:r>
        <w:t xml:space="preserve"> industrial </w:t>
      </w:r>
      <w:r w:rsidR="00840750">
        <w:t xml:space="preserve">use </w:t>
      </w:r>
      <w:r>
        <w:t xml:space="preserve">are covered by labelling requirements under jurisdictional Work Health and Safety laws. </w:t>
      </w:r>
    </w:p>
    <w:p w14:paraId="6BF12052" w14:textId="43D84A0D" w:rsidR="00C16445" w:rsidRDefault="0088476F" w:rsidP="00C16445">
      <w:r>
        <w:t>It is for these reasons</w:t>
      </w:r>
      <w:r w:rsidR="00A2324D">
        <w:t xml:space="preserve"> that</w:t>
      </w:r>
      <w:r>
        <w:t xml:space="preserve"> </w:t>
      </w:r>
      <w:r w:rsidR="00C16445">
        <w:t xml:space="preserve">I have decided to exclude </w:t>
      </w:r>
      <w:r w:rsidR="00FB361D">
        <w:t xml:space="preserve">non-antibiotic </w:t>
      </w:r>
      <w:proofErr w:type="spellStart"/>
      <w:r w:rsidR="00FB361D">
        <w:t>sulfonamides</w:t>
      </w:r>
      <w:proofErr w:type="spellEnd"/>
      <w:r w:rsidR="00FB361D">
        <w:t xml:space="preserve">, such as </w:t>
      </w:r>
      <w:proofErr w:type="spellStart"/>
      <w:r w:rsidR="00C16445">
        <w:t>toluensulfonamides</w:t>
      </w:r>
      <w:proofErr w:type="spellEnd"/>
      <w:r w:rsidR="00FB361D">
        <w:t>,</w:t>
      </w:r>
      <w:r w:rsidR="00C16445">
        <w:t xml:space="preserve"> from scheduling by </w:t>
      </w:r>
      <w:r w:rsidR="001E6510">
        <w:t xml:space="preserve">restricting </w:t>
      </w:r>
      <w:r w:rsidR="00C16445">
        <w:t>the entry</w:t>
      </w:r>
      <w:r w:rsidR="00FB361D">
        <w:t xml:space="preserve"> in the Poisons Standard</w:t>
      </w:r>
      <w:r w:rsidR="00C16445">
        <w:t xml:space="preserve"> to </w:t>
      </w:r>
      <w:proofErr w:type="spellStart"/>
      <w:r w:rsidR="00C16445">
        <w:t>sulfonamide</w:t>
      </w:r>
      <w:proofErr w:type="spellEnd"/>
      <w:r w:rsidR="00C16445">
        <w:t xml:space="preserve"> </w:t>
      </w:r>
      <w:r w:rsidR="001E6510">
        <w:t>antibiotics</w:t>
      </w:r>
      <w:r w:rsidR="00FB361D">
        <w:t xml:space="preserve"> only</w:t>
      </w:r>
      <w:r w:rsidR="00646A43">
        <w:t>, except when listed in another schedule</w:t>
      </w:r>
      <w:r w:rsidR="00C16445">
        <w:t xml:space="preserve">. </w:t>
      </w:r>
    </w:p>
    <w:p w14:paraId="2447ED17" w14:textId="0B8E0AD7" w:rsidR="003C3F3C" w:rsidRDefault="003C3F3C" w:rsidP="003C3F3C">
      <w:r>
        <w:t xml:space="preserve">I have decided on an implementation date of 1 February 2025 as the </w:t>
      </w:r>
      <w:r w:rsidR="0030499C">
        <w:t>amend</w:t>
      </w:r>
      <w:r w:rsidR="00815BAA">
        <w:t>ed</w:t>
      </w:r>
      <w:r w:rsidR="0030499C">
        <w:t xml:space="preserve"> entry for </w:t>
      </w:r>
      <w:proofErr w:type="spellStart"/>
      <w:r w:rsidR="0030499C">
        <w:t>sulfonamides</w:t>
      </w:r>
      <w:proofErr w:type="spellEnd"/>
      <w:r w:rsidR="0030499C">
        <w:t xml:space="preserve"> </w:t>
      </w:r>
      <w:r>
        <w:t>should not adversely impact</w:t>
      </w:r>
      <w:r w:rsidR="000E2074">
        <w:t xml:space="preserve"> </w:t>
      </w:r>
      <w:r w:rsidR="00087220">
        <w:t xml:space="preserve">industries </w:t>
      </w:r>
      <w:r w:rsidR="00551491">
        <w:t xml:space="preserve">manufacturing or selling </w:t>
      </w:r>
      <w:r w:rsidR="00872E4D">
        <w:t xml:space="preserve">products containing </w:t>
      </w:r>
      <w:r w:rsidR="005B0702">
        <w:t xml:space="preserve">either antibiotic or non-antibiotic </w:t>
      </w:r>
      <w:r w:rsidR="005167A9">
        <w:t>sulphonamide</w:t>
      </w:r>
      <w:r w:rsidR="00087220">
        <w:t>s</w:t>
      </w:r>
      <w:r>
        <w:t>.</w:t>
      </w:r>
    </w:p>
    <w:p w14:paraId="128E0F70" w14:textId="77777777" w:rsidR="00074990" w:rsidRPr="00B03B68" w:rsidRDefault="00074990" w:rsidP="00531034">
      <w:pPr>
        <w:pStyle w:val="Heading4"/>
      </w:pPr>
      <w:bookmarkStart w:id="37" w:name="_Toc177645072"/>
      <w:r w:rsidRPr="00B03B68">
        <w:t>Implementation date</w:t>
      </w:r>
      <w:bookmarkEnd w:id="37"/>
    </w:p>
    <w:p w14:paraId="6EF2E99E" w14:textId="7FAC5126" w:rsidR="00074990" w:rsidRPr="00B03B68" w:rsidRDefault="00D92963" w:rsidP="00074990">
      <w:r>
        <w:t>1 February 2025</w:t>
      </w:r>
    </w:p>
    <w:p w14:paraId="77F9397F" w14:textId="77777777" w:rsidR="005A34E2" w:rsidRPr="00B03B68" w:rsidRDefault="005A34E2" w:rsidP="00B03B68">
      <w:r w:rsidRPr="00B03B68">
        <w:br w:type="page"/>
      </w:r>
    </w:p>
    <w:p w14:paraId="2F1FBAF1" w14:textId="77777777" w:rsidR="00F02AEC" w:rsidRPr="00B03B68" w:rsidRDefault="00F02AEC" w:rsidP="00B03B68">
      <w:pPr>
        <w:sectPr w:rsidR="00F02AEC" w:rsidRPr="00B03B68" w:rsidSect="00074990">
          <w:headerReference w:type="default" r:id="rId28"/>
          <w:footerReference w:type="default" r:id="rId29"/>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B03B68" w14:paraId="72A8148D" w14:textId="77777777" w:rsidTr="00074990">
        <w:trPr>
          <w:trHeight w:hRule="exact" w:val="565"/>
          <w:jc w:val="center"/>
        </w:trPr>
        <w:tc>
          <w:tcPr>
            <w:tcW w:w="9145" w:type="dxa"/>
          </w:tcPr>
          <w:p w14:paraId="6F53887D" w14:textId="77777777" w:rsidR="00F02AEC" w:rsidRPr="00B03B68" w:rsidRDefault="00F02AEC" w:rsidP="000579C9">
            <w:pPr>
              <w:pStyle w:val="TGASignoff"/>
            </w:pPr>
            <w:r w:rsidRPr="00B03B68">
              <w:lastRenderedPageBreak/>
              <w:t>Therapeutic Goods Administration</w:t>
            </w:r>
          </w:p>
        </w:tc>
      </w:tr>
      <w:tr w:rsidR="00F02AEC" w:rsidRPr="00B03B68" w14:paraId="1CA37E01" w14:textId="77777777" w:rsidTr="00074990">
        <w:trPr>
          <w:trHeight w:val="963"/>
          <w:jc w:val="center"/>
        </w:trPr>
        <w:tc>
          <w:tcPr>
            <w:tcW w:w="9145" w:type="dxa"/>
            <w:tcMar>
              <w:top w:w="28" w:type="dxa"/>
            </w:tcMar>
          </w:tcPr>
          <w:p w14:paraId="352949DA" w14:textId="77777777" w:rsidR="00F02AEC" w:rsidRPr="00B03B68" w:rsidRDefault="00F02AEC" w:rsidP="000579C9">
            <w:pPr>
              <w:pStyle w:val="Address"/>
              <w:jc w:val="center"/>
            </w:pPr>
            <w:r w:rsidRPr="00B03B68">
              <w:t>PO Box 100 Woden ACT 2606 Australia</w:t>
            </w:r>
          </w:p>
          <w:p w14:paraId="0C0307F1" w14:textId="77777777" w:rsidR="00F02AEC" w:rsidRPr="00B03B68" w:rsidRDefault="00F02AEC" w:rsidP="000579C9">
            <w:pPr>
              <w:jc w:val="center"/>
            </w:pPr>
            <w:r w:rsidRPr="00B03B68">
              <w:t xml:space="preserve">Email: </w:t>
            </w:r>
            <w:hyperlink r:id="rId30" w:history="1">
              <w:r w:rsidRPr="00B03B68">
                <w:rPr>
                  <w:rStyle w:val="Hyperlink"/>
                </w:rPr>
                <w:t>info@tga.gov.au</w:t>
              </w:r>
            </w:hyperlink>
            <w:r w:rsidRPr="00B03B68">
              <w:t xml:space="preserve">  Phone: 1800 020 </w:t>
            </w:r>
            <w:proofErr w:type="gramStart"/>
            <w:r w:rsidRPr="00B03B68">
              <w:t>653  Fax</w:t>
            </w:r>
            <w:proofErr w:type="gramEnd"/>
            <w:r w:rsidRPr="00B03B68">
              <w:t>: 02 6203 1605</w:t>
            </w:r>
          </w:p>
          <w:p w14:paraId="6B54508F" w14:textId="48221A24" w:rsidR="00F02AEC" w:rsidRPr="00B03B68" w:rsidRDefault="00C83880" w:rsidP="000579C9">
            <w:pPr>
              <w:jc w:val="center"/>
            </w:pPr>
            <w:hyperlink r:id="rId31" w:history="1">
              <w:r w:rsidRPr="00F34CCF">
                <w:rPr>
                  <w:rStyle w:val="Hyperlink"/>
                  <w:b/>
                </w:rPr>
                <w:t>https://www.tga.gov.au</w:t>
              </w:r>
            </w:hyperlink>
          </w:p>
        </w:tc>
      </w:tr>
      <w:tr w:rsidR="00F02AEC" w:rsidRPr="00B03B68" w14:paraId="0BE47096" w14:textId="77777777" w:rsidTr="00074990">
        <w:trPr>
          <w:trHeight w:val="251"/>
          <w:jc w:val="center"/>
        </w:trPr>
        <w:tc>
          <w:tcPr>
            <w:tcW w:w="9145" w:type="dxa"/>
            <w:tcMar>
              <w:top w:w="28" w:type="dxa"/>
            </w:tcMar>
          </w:tcPr>
          <w:p w14:paraId="4725B02C" w14:textId="77777777" w:rsidR="00F02AEC" w:rsidRPr="00B03B68" w:rsidRDefault="00F02AEC" w:rsidP="00B03B68"/>
        </w:tc>
      </w:tr>
    </w:tbl>
    <w:p w14:paraId="55BFF3D9" w14:textId="77777777" w:rsidR="00101619" w:rsidRPr="00B03B68" w:rsidRDefault="00101619" w:rsidP="00B03B68"/>
    <w:sectPr w:rsidR="00101619" w:rsidRPr="00B03B68" w:rsidSect="00074990">
      <w:headerReference w:type="first" r:id="rId32"/>
      <w:footerReference w:type="first" r:id="rId33"/>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315CF" w14:textId="77777777" w:rsidR="00CF5539" w:rsidRDefault="00CF5539" w:rsidP="00F02AEC">
      <w:pPr>
        <w:spacing w:after="0" w:line="240" w:lineRule="auto"/>
      </w:pPr>
      <w:r>
        <w:separator/>
      </w:r>
    </w:p>
  </w:endnote>
  <w:endnote w:type="continuationSeparator" w:id="0">
    <w:p w14:paraId="61A7A09F" w14:textId="77777777" w:rsidR="00CF5539" w:rsidRDefault="00CF5539"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1769950E" w14:textId="77777777" w:rsidTr="00074990">
      <w:trPr>
        <w:trHeight w:val="423"/>
      </w:trPr>
      <w:tc>
        <w:tcPr>
          <w:tcW w:w="4360" w:type="dxa"/>
          <w:tcBorders>
            <w:top w:val="single" w:sz="4" w:space="0" w:color="auto"/>
          </w:tcBorders>
        </w:tcPr>
        <w:p w14:paraId="1B246ACE" w14:textId="77777777" w:rsidR="00F02AEC" w:rsidRDefault="00F02AEC" w:rsidP="00074990">
          <w:pPr>
            <w:pStyle w:val="Footer"/>
          </w:pPr>
        </w:p>
        <w:p w14:paraId="5F222193" w14:textId="77777777" w:rsidR="00F02AEC" w:rsidRPr="00257138" w:rsidRDefault="00F02AEC" w:rsidP="000749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3B6EDBD8" w14:textId="77777777" w:rsidR="00F02AEC" w:rsidRDefault="00F02AEC" w:rsidP="00074990">
              <w:pPr>
                <w:pStyle w:val="Footer"/>
                <w:jc w:val="right"/>
              </w:pPr>
            </w:p>
            <w:p w14:paraId="26F4C656" w14:textId="77777777" w:rsidR="00F02AEC" w:rsidRPr="00257138" w:rsidRDefault="00F02AEC" w:rsidP="0007499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AB4A25">
                <w:fldChar w:fldCharType="begin"/>
              </w:r>
              <w:r w:rsidR="00AB4A25">
                <w:instrText xml:space="preserve"> NUMPAGES  </w:instrText>
              </w:r>
              <w:r w:rsidR="00AB4A25">
                <w:fldChar w:fldCharType="separate"/>
              </w:r>
              <w:r>
                <w:rPr>
                  <w:noProof/>
                </w:rPr>
                <w:t>2</w:t>
              </w:r>
              <w:r w:rsidR="00AB4A25">
                <w:rPr>
                  <w:noProof/>
                </w:rPr>
                <w:fldChar w:fldCharType="end"/>
              </w:r>
            </w:p>
          </w:sdtContent>
        </w:sdt>
      </w:tc>
    </w:tr>
    <w:tr w:rsidR="00F02AEC" w:rsidRPr="00257138" w14:paraId="0D90DF66" w14:textId="77777777" w:rsidTr="00074990">
      <w:trPr>
        <w:trHeight w:val="263"/>
      </w:trPr>
      <w:tc>
        <w:tcPr>
          <w:tcW w:w="4360" w:type="dxa"/>
        </w:tcPr>
        <w:p w14:paraId="4887FC53" w14:textId="77777777" w:rsidR="00F02AEC" w:rsidRPr="00257138" w:rsidRDefault="00F02AEC" w:rsidP="00074990">
          <w:pPr>
            <w:pStyle w:val="Footer"/>
          </w:pPr>
          <w:r w:rsidRPr="00257138">
            <w:t xml:space="preserve">V1.0 </w:t>
          </w:r>
          <w:r>
            <w:t>Month</w:t>
          </w:r>
          <w:r w:rsidRPr="00257138">
            <w:t xml:space="preserve"> 201</w:t>
          </w:r>
          <w:r>
            <w:t>2</w:t>
          </w:r>
        </w:p>
      </w:tc>
      <w:tc>
        <w:tcPr>
          <w:tcW w:w="4360" w:type="dxa"/>
        </w:tcPr>
        <w:p w14:paraId="23E7C582" w14:textId="77777777" w:rsidR="00F02AEC" w:rsidRPr="00257138" w:rsidRDefault="00F02AEC" w:rsidP="00074990">
          <w:pPr>
            <w:pStyle w:val="Footer"/>
            <w:jc w:val="right"/>
          </w:pPr>
        </w:p>
      </w:tc>
    </w:tr>
  </w:tbl>
  <w:p w14:paraId="09D7175C" w14:textId="77777777" w:rsidR="00F02AEC" w:rsidRPr="00826007" w:rsidRDefault="00F02AEC" w:rsidP="00074990">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2DA5" w14:textId="77777777" w:rsidR="00F02AEC" w:rsidRDefault="00F02AEC" w:rsidP="00074990">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5212A2" w14:paraId="1A478208" w14:textId="77777777" w:rsidTr="00074990">
      <w:trPr>
        <w:trHeight w:val="423"/>
      </w:trPr>
      <w:tc>
        <w:tcPr>
          <w:tcW w:w="7338" w:type="dxa"/>
          <w:tcBorders>
            <w:top w:val="single" w:sz="4" w:space="0" w:color="auto"/>
          </w:tcBorders>
        </w:tcPr>
        <w:p w14:paraId="5B59BE01" w14:textId="3AF3314F" w:rsidR="00F02AEC" w:rsidRPr="00417551" w:rsidRDefault="000579C9" w:rsidP="000579C9">
          <w:pPr>
            <w:pStyle w:val="Footer"/>
            <w:rPr>
              <w:sz w:val="16"/>
              <w:szCs w:val="16"/>
            </w:rPr>
          </w:pPr>
          <w:r w:rsidRPr="00417551">
            <w:rPr>
              <w:sz w:val="16"/>
              <w:szCs w:val="16"/>
            </w:rPr>
            <w:t>Notice of interim decisions to amend (or not amend) the current Poisons Standard (</w:t>
          </w:r>
          <w:r w:rsidR="00284CF0" w:rsidRPr="00417551">
            <w:rPr>
              <w:sz w:val="16"/>
              <w:szCs w:val="16"/>
            </w:rPr>
            <w:t>ACMS #45, ACCS #39, Joint ACMS-ACCS #37, June 2024)</w:t>
          </w:r>
          <w:r w:rsidR="00F02AEC" w:rsidRPr="00417551">
            <w:rPr>
              <w:sz w:val="16"/>
              <w:szCs w:val="16"/>
            </w:rPr>
            <w:br/>
          </w:r>
        </w:p>
      </w:tc>
      <w:tc>
        <w:tcPr>
          <w:tcW w:w="1734" w:type="dxa"/>
          <w:tcBorders>
            <w:top w:val="single" w:sz="4" w:space="0" w:color="auto"/>
          </w:tcBorders>
        </w:tcPr>
        <w:sdt>
          <w:sdtPr>
            <w:id w:val="11571659"/>
            <w:docPartObj>
              <w:docPartGallery w:val="Page Numbers (Top of Page)"/>
              <w:docPartUnique/>
            </w:docPartObj>
          </w:sdtPr>
          <w:sdtEndPr/>
          <w:sdtContent>
            <w:p w14:paraId="1CDB0B26" w14:textId="77777777" w:rsidR="00F02AEC" w:rsidRPr="005212A2" w:rsidRDefault="00F02AEC" w:rsidP="000579C9">
              <w:pPr>
                <w:pStyle w:val="Footer"/>
                <w:jc w:val="right"/>
              </w:pPr>
              <w:r w:rsidRPr="000579C9">
                <w:t>Page</w:t>
              </w:r>
              <w:r w:rsidRPr="005212A2">
                <w:t xml:space="preserve"> </w:t>
              </w:r>
              <w:r w:rsidRPr="005212A2">
                <w:fldChar w:fldCharType="begin"/>
              </w:r>
              <w:r w:rsidRPr="005212A2">
                <w:instrText xml:space="preserve"> PAGE </w:instrText>
              </w:r>
              <w:r w:rsidRPr="005212A2">
                <w:fldChar w:fldCharType="separate"/>
              </w:r>
              <w:r w:rsidRPr="005212A2">
                <w:rPr>
                  <w:noProof/>
                </w:rPr>
                <w:t>6</w:t>
              </w:r>
              <w:r w:rsidRPr="005212A2">
                <w:rPr>
                  <w:noProof/>
                </w:rPr>
                <w:fldChar w:fldCharType="end"/>
              </w:r>
              <w:r w:rsidRPr="005212A2">
                <w:t xml:space="preserve"> of </w:t>
              </w:r>
              <w:r w:rsidR="00AB4A25">
                <w:fldChar w:fldCharType="begin"/>
              </w:r>
              <w:r w:rsidR="00AB4A25">
                <w:instrText xml:space="preserve"> NUMPAGES  </w:instrText>
              </w:r>
              <w:r w:rsidR="00AB4A25">
                <w:fldChar w:fldCharType="separate"/>
              </w:r>
              <w:r w:rsidRPr="005212A2">
                <w:rPr>
                  <w:noProof/>
                </w:rPr>
                <w:t>7</w:t>
              </w:r>
              <w:r w:rsidR="00AB4A25">
                <w:rPr>
                  <w:noProof/>
                </w:rPr>
                <w:fldChar w:fldCharType="end"/>
              </w:r>
            </w:p>
          </w:sdtContent>
        </w:sdt>
      </w:tc>
    </w:tr>
  </w:tbl>
  <w:p w14:paraId="44541C7C" w14:textId="77777777" w:rsidR="00F02AEC" w:rsidRPr="0090744F" w:rsidRDefault="00F02AEC" w:rsidP="00074990">
    <w:pPr>
      <w:pStyle w:val="Footer"/>
      <w:tabs>
        <w:tab w:val="left" w:pos="7620"/>
        <w:tab w:val="right" w:pos="8504"/>
      </w:tabs>
      <w:rPr>
        <w:rFonts w:asciiTheme="minorHAnsi" w:hAnsiTheme="minorHAnsi"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6D84" w14:textId="77777777" w:rsidR="00101619" w:rsidRPr="008E3C43" w:rsidRDefault="00101619" w:rsidP="00074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70127" w14:textId="77777777" w:rsidR="00CF5539" w:rsidRDefault="00CF5539" w:rsidP="00F02AEC">
      <w:pPr>
        <w:spacing w:after="0" w:line="240" w:lineRule="auto"/>
      </w:pPr>
      <w:r>
        <w:separator/>
      </w:r>
    </w:p>
  </w:footnote>
  <w:footnote w:type="continuationSeparator" w:id="0">
    <w:p w14:paraId="0E21FC23" w14:textId="77777777" w:rsidR="00CF5539" w:rsidRDefault="00CF5539" w:rsidP="00F02AEC">
      <w:pPr>
        <w:spacing w:after="0" w:line="240" w:lineRule="auto"/>
      </w:pPr>
      <w:r>
        <w:continuationSeparator/>
      </w:r>
    </w:p>
  </w:footnote>
  <w:footnote w:id="1">
    <w:p w14:paraId="003FCF02" w14:textId="49D9B0FB" w:rsidR="006A0122" w:rsidRDefault="006A0122">
      <w:pPr>
        <w:pStyle w:val="FootnoteText"/>
      </w:pPr>
      <w:r>
        <w:rPr>
          <w:rStyle w:val="FootnoteReference"/>
        </w:rPr>
        <w:footnoteRef/>
      </w:r>
      <w:r>
        <w:t xml:space="preserve"> </w:t>
      </w:r>
      <w:r w:rsidRPr="009421DD">
        <w:rPr>
          <w:rFonts w:asciiTheme="minorHAnsi" w:hAnsiTheme="minorHAnsi" w:cstheme="minorHAnsi"/>
          <w:sz w:val="18"/>
          <w:szCs w:val="18"/>
        </w:rPr>
        <w:t xml:space="preserve">Established under sections 52B and 52C of the </w:t>
      </w:r>
      <w:r w:rsidRPr="009421DD">
        <w:rPr>
          <w:rFonts w:asciiTheme="minorHAnsi" w:hAnsiTheme="minorHAnsi" w:cstheme="minorHAnsi"/>
          <w:i/>
          <w:iCs/>
          <w:sz w:val="18"/>
          <w:szCs w:val="18"/>
        </w:rPr>
        <w:t>Therapeutic Goods Act 1989</w:t>
      </w:r>
      <w:r w:rsidRPr="009421DD">
        <w:rPr>
          <w:rFonts w:asciiTheme="minorHAnsi" w:hAnsiTheme="minorHAnsi" w:cstheme="minorHAnsi"/>
          <w:sz w:val="18"/>
          <w:szCs w:val="18"/>
        </w:rPr>
        <w:t xml:space="preserve"> (</w:t>
      </w:r>
      <w:proofErr w:type="spellStart"/>
      <w:r w:rsidRPr="009421DD">
        <w:rPr>
          <w:rFonts w:asciiTheme="minorHAnsi" w:hAnsiTheme="minorHAnsi" w:cstheme="minorHAnsi"/>
          <w:sz w:val="18"/>
          <w:szCs w:val="18"/>
        </w:rPr>
        <w:t>Cth</w:t>
      </w:r>
      <w:proofErr w:type="spellEnd"/>
      <w:r w:rsidRPr="009421DD">
        <w:rPr>
          <w:rFonts w:asciiTheme="minorHAnsi" w:hAnsiTheme="minorHAnsi" w:cstheme="minorHAnsi"/>
          <w:sz w:val="18"/>
          <w:szCs w:val="18"/>
        </w:rPr>
        <w:t>).</w:t>
      </w:r>
    </w:p>
  </w:footnote>
  <w:footnote w:id="2">
    <w:p w14:paraId="450E2659" w14:textId="6993BCCE" w:rsidR="001565A8" w:rsidRDefault="001565A8">
      <w:pPr>
        <w:pStyle w:val="FootnoteText"/>
      </w:pPr>
      <w:r>
        <w:rPr>
          <w:rStyle w:val="FootnoteReference"/>
        </w:rPr>
        <w:footnoteRef/>
      </w:r>
      <w:r>
        <w:t xml:space="preserve"> </w:t>
      </w:r>
      <w:r w:rsidR="007615D6" w:rsidRPr="00417551">
        <w:rPr>
          <w:rFonts w:cs="Arial"/>
          <w:color w:val="333333"/>
          <w:shd w:val="clear" w:color="auto" w:fill="FFFFFF"/>
        </w:rPr>
        <w:t>Chan, W. L., Wood, D. M., &amp; Dargan, P. I. (2015). Significant Misuse of Sildenafil in London Nightclubs. </w:t>
      </w:r>
      <w:r w:rsidR="007615D6" w:rsidRPr="00417551">
        <w:rPr>
          <w:rFonts w:cs="Arial"/>
          <w:i/>
          <w:iCs/>
          <w:color w:val="333333"/>
          <w:shd w:val="clear" w:color="auto" w:fill="FFFFFF"/>
        </w:rPr>
        <w:t>Substance Use &amp; Misuse</w:t>
      </w:r>
      <w:r w:rsidR="007615D6" w:rsidRPr="00417551">
        <w:rPr>
          <w:rFonts w:cs="Arial"/>
          <w:color w:val="333333"/>
          <w:shd w:val="clear" w:color="auto" w:fill="FFFFFF"/>
        </w:rPr>
        <w:t>, </w:t>
      </w:r>
      <w:r w:rsidR="007615D6" w:rsidRPr="00417551">
        <w:rPr>
          <w:rFonts w:cs="Arial"/>
          <w:i/>
          <w:iCs/>
          <w:color w:val="333333"/>
          <w:shd w:val="clear" w:color="auto" w:fill="FFFFFF"/>
        </w:rPr>
        <w:t>50</w:t>
      </w:r>
      <w:r w:rsidR="007615D6" w:rsidRPr="00417551">
        <w:rPr>
          <w:rFonts w:cs="Arial"/>
          <w:color w:val="333333"/>
          <w:shd w:val="clear" w:color="auto" w:fill="FFFFFF"/>
        </w:rPr>
        <w:t xml:space="preserve">(11), 1390–1394. </w:t>
      </w:r>
    </w:p>
  </w:footnote>
  <w:footnote w:id="3">
    <w:p w14:paraId="783CE62A" w14:textId="36AC7E46" w:rsidR="000871F7" w:rsidRPr="007615D6" w:rsidRDefault="000871F7" w:rsidP="000871F7">
      <w:pPr>
        <w:pStyle w:val="FootnoteText"/>
        <w:rPr>
          <w:rFonts w:cs="Arial"/>
        </w:rPr>
      </w:pPr>
      <w:r w:rsidRPr="007615D6">
        <w:rPr>
          <w:rStyle w:val="FootnoteReference"/>
          <w:rFonts w:cs="Arial"/>
        </w:rPr>
        <w:footnoteRef/>
      </w:r>
      <w:r w:rsidR="000D7877" w:rsidRPr="007615D6">
        <w:rPr>
          <w:rFonts w:cs="Arial"/>
        </w:rPr>
        <w:t xml:space="preserve"> </w:t>
      </w:r>
      <w:r w:rsidR="007615D6" w:rsidRPr="00417551">
        <w:rPr>
          <w:rFonts w:cs="Arial"/>
          <w:color w:val="212121"/>
          <w:shd w:val="clear" w:color="auto" w:fill="FFFFFF"/>
        </w:rPr>
        <w:t xml:space="preserve">Chew KK, Stuckey B, Bremner A, Earle C, </w:t>
      </w:r>
      <w:proofErr w:type="spellStart"/>
      <w:r w:rsidR="007615D6" w:rsidRPr="00417551">
        <w:rPr>
          <w:rFonts w:cs="Arial"/>
          <w:color w:val="212121"/>
          <w:shd w:val="clear" w:color="auto" w:fill="FFFFFF"/>
        </w:rPr>
        <w:t>Jamrozik</w:t>
      </w:r>
      <w:proofErr w:type="spellEnd"/>
      <w:r w:rsidR="007615D6" w:rsidRPr="00417551">
        <w:rPr>
          <w:rFonts w:cs="Arial"/>
          <w:color w:val="212121"/>
          <w:shd w:val="clear" w:color="auto" w:fill="FFFFFF"/>
        </w:rPr>
        <w:t xml:space="preserve"> K. Male erectile dysfunction: its prevalence in Western </w:t>
      </w:r>
      <w:proofErr w:type="spellStart"/>
      <w:r w:rsidR="007615D6" w:rsidRPr="00417551">
        <w:rPr>
          <w:rFonts w:cs="Arial"/>
          <w:color w:val="212121"/>
          <w:shd w:val="clear" w:color="auto" w:fill="FFFFFF"/>
        </w:rPr>
        <w:t>australia</w:t>
      </w:r>
      <w:proofErr w:type="spellEnd"/>
      <w:r w:rsidR="007615D6" w:rsidRPr="00417551">
        <w:rPr>
          <w:rFonts w:cs="Arial"/>
          <w:color w:val="212121"/>
          <w:shd w:val="clear" w:color="auto" w:fill="FFFFFF"/>
        </w:rPr>
        <w:t xml:space="preserve"> and associated sociodemographic factors. J Sex Med. 2008 Jan;5(1):60-</w:t>
      </w:r>
      <w:proofErr w:type="gramStart"/>
      <w:r w:rsidR="007615D6" w:rsidRPr="00417551">
        <w:rPr>
          <w:rFonts w:cs="Arial"/>
          <w:color w:val="212121"/>
          <w:shd w:val="clear" w:color="auto" w:fill="FFFFFF"/>
        </w:rPr>
        <w:t>9..</w:t>
      </w:r>
      <w:proofErr w:type="gramEnd"/>
    </w:p>
  </w:footnote>
  <w:footnote w:id="4">
    <w:p w14:paraId="5356DAE2" w14:textId="2F950CE6" w:rsidR="000871F7" w:rsidRPr="007615D6" w:rsidRDefault="000871F7" w:rsidP="000871F7">
      <w:pPr>
        <w:pStyle w:val="FootnoteText"/>
        <w:rPr>
          <w:rFonts w:cs="Arial"/>
          <w:szCs w:val="16"/>
        </w:rPr>
      </w:pPr>
      <w:r w:rsidRPr="007615D6">
        <w:rPr>
          <w:rStyle w:val="FootnoteReference"/>
          <w:rFonts w:cs="Arial"/>
        </w:rPr>
        <w:footnoteRef/>
      </w:r>
      <w:r w:rsidRPr="007615D6">
        <w:rPr>
          <w:rFonts w:cs="Arial"/>
        </w:rPr>
        <w:t xml:space="preserve"> </w:t>
      </w:r>
      <w:r w:rsidR="007615D6" w:rsidRPr="00417551">
        <w:rPr>
          <w:rFonts w:eastAsiaTheme="minorHAnsi" w:cs="Arial"/>
          <w:color w:val="1C1D1E"/>
          <w:szCs w:val="16"/>
          <w:shd w:val="clear" w:color="auto" w:fill="FFFFFF"/>
        </w:rPr>
        <w:t xml:space="preserve">Weber, M.F., Smith, D.P., </w:t>
      </w:r>
      <w:proofErr w:type="spellStart"/>
      <w:r w:rsidR="007615D6" w:rsidRPr="00417551">
        <w:rPr>
          <w:rFonts w:eastAsiaTheme="minorHAnsi" w:cs="Arial"/>
          <w:color w:val="1C1D1E"/>
          <w:szCs w:val="16"/>
          <w:shd w:val="clear" w:color="auto" w:fill="FFFFFF"/>
        </w:rPr>
        <w:t>OˈConnell</w:t>
      </w:r>
      <w:proofErr w:type="spellEnd"/>
      <w:r w:rsidR="007615D6" w:rsidRPr="00417551">
        <w:rPr>
          <w:rFonts w:eastAsiaTheme="minorHAnsi" w:cs="Arial"/>
          <w:color w:val="1C1D1E"/>
          <w:szCs w:val="16"/>
          <w:shd w:val="clear" w:color="auto" w:fill="FFFFFF"/>
        </w:rPr>
        <w:t xml:space="preserve">, D.L., Patel, M.I., de Souza, P.L., </w:t>
      </w:r>
      <w:proofErr w:type="spellStart"/>
      <w:r w:rsidR="007615D6" w:rsidRPr="00417551">
        <w:rPr>
          <w:rFonts w:eastAsiaTheme="minorHAnsi" w:cs="Arial"/>
          <w:color w:val="1C1D1E"/>
          <w:szCs w:val="16"/>
          <w:shd w:val="clear" w:color="auto" w:fill="FFFFFF"/>
        </w:rPr>
        <w:t>Sitas</w:t>
      </w:r>
      <w:proofErr w:type="spellEnd"/>
      <w:r w:rsidR="007615D6" w:rsidRPr="00417551">
        <w:rPr>
          <w:rFonts w:eastAsiaTheme="minorHAnsi" w:cs="Arial"/>
          <w:color w:val="1C1D1E"/>
          <w:szCs w:val="16"/>
          <w:shd w:val="clear" w:color="auto" w:fill="FFFFFF"/>
        </w:rPr>
        <w:t>, F. and Banks, E. (2013), Risk factors for erectile dysfunction in a cohort of 108 477 Australian men. Medical Journal of Australia, 199: 107-111.</w:t>
      </w:r>
    </w:p>
  </w:footnote>
  <w:footnote w:id="5">
    <w:p w14:paraId="4617F33B" w14:textId="5899EB5E" w:rsidR="000871F7" w:rsidRPr="00B570B9" w:rsidRDefault="000871F7" w:rsidP="000871F7">
      <w:pPr>
        <w:pStyle w:val="FootnoteText"/>
      </w:pPr>
      <w:r w:rsidRPr="00B570B9">
        <w:rPr>
          <w:rStyle w:val="FootnoteReference"/>
        </w:rPr>
        <w:footnoteRef/>
      </w:r>
      <w:r w:rsidRPr="00B570B9">
        <w:t xml:space="preserve"> </w:t>
      </w:r>
      <w:hyperlink r:id="rId1" w:history="1">
        <w:r w:rsidR="007615D6" w:rsidRPr="007615D6">
          <w:rPr>
            <w:rStyle w:val="Hyperlink"/>
          </w:rPr>
          <w:t>Therapeutic Guidelines (</w:t>
        </w:r>
        <w:proofErr w:type="spellStart"/>
        <w:r w:rsidR="007615D6" w:rsidRPr="007615D6">
          <w:rPr>
            <w:rStyle w:val="Hyperlink"/>
          </w:rPr>
          <w:t>eTG</w:t>
        </w:r>
        <w:proofErr w:type="spellEnd"/>
        <w:r w:rsidR="007615D6" w:rsidRPr="007615D6">
          <w:rPr>
            <w:rStyle w:val="Hyperlink"/>
          </w:rPr>
          <w:t>)</w:t>
        </w:r>
      </w:hyperlink>
      <w:hyperlink w:history="1"/>
    </w:p>
  </w:footnote>
  <w:footnote w:id="6">
    <w:p w14:paraId="1FDB0430" w14:textId="7AE318E8" w:rsidR="000871F7" w:rsidRPr="007615D6" w:rsidRDefault="000871F7" w:rsidP="000871F7">
      <w:pPr>
        <w:pStyle w:val="FootnoteText"/>
        <w:rPr>
          <w:rFonts w:cs="Arial"/>
          <w:szCs w:val="16"/>
        </w:rPr>
      </w:pPr>
      <w:r w:rsidRPr="007615D6">
        <w:rPr>
          <w:rStyle w:val="FootnoteReference"/>
          <w:rFonts w:cs="Arial"/>
          <w:szCs w:val="16"/>
        </w:rPr>
        <w:footnoteRef/>
      </w:r>
      <w:r w:rsidRPr="007615D6">
        <w:rPr>
          <w:rFonts w:cs="Arial"/>
          <w:szCs w:val="16"/>
        </w:rPr>
        <w:t xml:space="preserve"> </w:t>
      </w:r>
      <w:hyperlink r:id="rId2" w:history="1">
        <w:r w:rsidR="00F56000" w:rsidRPr="00F56000">
          <w:rPr>
            <w:rStyle w:val="Hyperlink"/>
            <w:rFonts w:cs="Arial"/>
            <w:szCs w:val="16"/>
          </w:rPr>
          <w:t>Australian Medicines Handbook</w:t>
        </w:r>
      </w:hyperlink>
      <w:r w:rsidR="00F56000">
        <w:rPr>
          <w:rFonts w:cs="Arial"/>
          <w:szCs w:val="16"/>
        </w:rPr>
        <w:t xml:space="preserve"> </w:t>
      </w:r>
      <w:hyperlink w:history="1"/>
    </w:p>
  </w:footnote>
  <w:footnote w:id="7">
    <w:p w14:paraId="02E81294" w14:textId="7B49D787" w:rsidR="009803BB" w:rsidRPr="007615D6" w:rsidRDefault="009803BB">
      <w:pPr>
        <w:pStyle w:val="FootnoteText"/>
        <w:rPr>
          <w:rFonts w:cs="Arial"/>
          <w:szCs w:val="16"/>
        </w:rPr>
      </w:pPr>
      <w:r w:rsidRPr="007615D6">
        <w:rPr>
          <w:rStyle w:val="FootnoteReference"/>
          <w:rFonts w:cs="Arial"/>
          <w:szCs w:val="16"/>
        </w:rPr>
        <w:footnoteRef/>
      </w:r>
      <w:r w:rsidRPr="007615D6">
        <w:rPr>
          <w:rFonts w:cs="Arial"/>
          <w:szCs w:val="16"/>
        </w:rPr>
        <w:t xml:space="preserve"> </w:t>
      </w:r>
      <w:hyperlink r:id="rId3" w:history="1">
        <w:r w:rsidR="00406E89">
          <w:rPr>
            <w:rStyle w:val="Hyperlink"/>
            <w:rFonts w:cs="Arial"/>
            <w:szCs w:val="16"/>
          </w:rPr>
          <w:t>www.ebs.tga.gov.au/ebs/picmi/picmirepository.nsf/pdf?OpenAgent=&amp;id=CP-2010-PI-04881-3&amp;d=20240710172310101</w:t>
        </w:r>
      </w:hyperlink>
      <w:r w:rsidR="000D7877" w:rsidRPr="007615D6">
        <w:rPr>
          <w:rFonts w:cs="Arial"/>
          <w:szCs w:val="16"/>
        </w:rPr>
        <w:t xml:space="preserve"> </w:t>
      </w:r>
    </w:p>
  </w:footnote>
  <w:footnote w:id="8">
    <w:p w14:paraId="303C728A" w14:textId="1CF9B101" w:rsidR="000871F7" w:rsidRPr="007615D6" w:rsidRDefault="000871F7" w:rsidP="000871F7">
      <w:pPr>
        <w:pStyle w:val="FootnoteText"/>
        <w:rPr>
          <w:rFonts w:cs="Arial"/>
          <w:szCs w:val="16"/>
        </w:rPr>
      </w:pPr>
      <w:r w:rsidRPr="007615D6">
        <w:rPr>
          <w:rStyle w:val="FootnoteReference"/>
          <w:rFonts w:cs="Arial"/>
          <w:szCs w:val="16"/>
        </w:rPr>
        <w:footnoteRef/>
      </w:r>
      <w:r w:rsidRPr="007615D6">
        <w:rPr>
          <w:rFonts w:cs="Arial"/>
          <w:szCs w:val="16"/>
        </w:rPr>
        <w:t xml:space="preserve"> </w:t>
      </w:r>
      <w:r w:rsidR="007615D6" w:rsidRPr="00D960DB">
        <w:rPr>
          <w:rFonts w:cs="Arial"/>
          <w:color w:val="333333"/>
          <w:szCs w:val="16"/>
          <w:shd w:val="clear" w:color="auto" w:fill="FFFFFF"/>
        </w:rPr>
        <w:t>Chan, W. L., Wood, D. M., &amp; Dargan, P. I. (2015). Significant Misuse of Sildenafil in London Nightclubs. </w:t>
      </w:r>
      <w:r w:rsidR="007615D6" w:rsidRPr="00D960DB">
        <w:rPr>
          <w:rFonts w:cs="Arial"/>
          <w:i/>
          <w:iCs/>
          <w:color w:val="333333"/>
          <w:szCs w:val="16"/>
          <w:shd w:val="clear" w:color="auto" w:fill="FFFFFF"/>
        </w:rPr>
        <w:t>Substance Use &amp; Misuse</w:t>
      </w:r>
      <w:r w:rsidR="007615D6" w:rsidRPr="00D960DB">
        <w:rPr>
          <w:rFonts w:cs="Arial"/>
          <w:color w:val="333333"/>
          <w:szCs w:val="16"/>
          <w:shd w:val="clear" w:color="auto" w:fill="FFFFFF"/>
        </w:rPr>
        <w:t>, </w:t>
      </w:r>
      <w:r w:rsidR="007615D6" w:rsidRPr="00D960DB">
        <w:rPr>
          <w:rFonts w:cs="Arial"/>
          <w:i/>
          <w:iCs/>
          <w:color w:val="333333"/>
          <w:szCs w:val="16"/>
          <w:shd w:val="clear" w:color="auto" w:fill="FFFFFF"/>
        </w:rPr>
        <w:t>50</w:t>
      </w:r>
      <w:r w:rsidR="007615D6" w:rsidRPr="00D960DB">
        <w:rPr>
          <w:rFonts w:cs="Arial"/>
          <w:color w:val="333333"/>
          <w:szCs w:val="16"/>
          <w:shd w:val="clear" w:color="auto" w:fill="FFFFFF"/>
        </w:rPr>
        <w:t xml:space="preserve">(11), 1390–1394. </w:t>
      </w:r>
    </w:p>
  </w:footnote>
  <w:footnote w:id="9">
    <w:p w14:paraId="1A02EE74" w14:textId="4C505D9E" w:rsidR="000871F7" w:rsidRPr="007615D6" w:rsidRDefault="00BE0D83" w:rsidP="000871F7">
      <w:pPr>
        <w:pStyle w:val="FootnoteText"/>
        <w:rPr>
          <w:rFonts w:cs="Arial"/>
          <w:szCs w:val="16"/>
        </w:rPr>
      </w:pPr>
      <w:r w:rsidRPr="00D960DB">
        <w:rPr>
          <w:rFonts w:cs="Arial"/>
          <w:color w:val="212121"/>
          <w:szCs w:val="16"/>
          <w:shd w:val="clear" w:color="auto" w:fill="FFFFFF"/>
        </w:rPr>
        <w:t>Lem J, Collins J, Maguire T, Sobel RE. A web-based survey of UK pharmacists to assess the effectiveness of Viagra Connect</w:t>
      </w:r>
      <w:r w:rsidRPr="00D960DB">
        <w:rPr>
          <w:rFonts w:cs="Arial"/>
          <w:color w:val="212121"/>
          <w:szCs w:val="16"/>
          <w:shd w:val="clear" w:color="auto" w:fill="FFFFFF"/>
          <w:vertAlign w:val="superscript"/>
        </w:rPr>
        <w:t>®</w:t>
      </w:r>
      <w:r w:rsidRPr="00D960DB">
        <w:rPr>
          <w:rFonts w:cs="Arial"/>
          <w:color w:val="212121"/>
          <w:szCs w:val="16"/>
          <w:shd w:val="clear" w:color="auto" w:fill="FFFFFF"/>
        </w:rPr>
        <w:t xml:space="preserve"> additional risk minimisation measures. Int J Clin Pharm. 2022 Jun;44(3):608-618. </w:t>
      </w:r>
    </w:p>
  </w:footnote>
  <w:footnote w:id="10">
    <w:p w14:paraId="7D829534" w14:textId="6F0FF1B7" w:rsidR="000871F7" w:rsidRPr="007615D6" w:rsidRDefault="000871F7" w:rsidP="000871F7">
      <w:pPr>
        <w:pStyle w:val="FootnoteText"/>
        <w:rPr>
          <w:rFonts w:cs="Arial"/>
          <w:szCs w:val="16"/>
        </w:rPr>
      </w:pPr>
      <w:r w:rsidRPr="007615D6">
        <w:rPr>
          <w:rStyle w:val="FootnoteReference"/>
          <w:rFonts w:cs="Arial"/>
          <w:szCs w:val="16"/>
        </w:rPr>
        <w:footnoteRef/>
      </w:r>
      <w:r w:rsidR="007615D6" w:rsidRPr="00D960DB">
        <w:rPr>
          <w:rFonts w:cs="Arial"/>
          <w:color w:val="212121"/>
          <w:szCs w:val="16"/>
          <w:shd w:val="clear" w:color="auto" w:fill="FFFFFF"/>
        </w:rPr>
        <w:t xml:space="preserve">Lee LJ, Maguire TA, </w:t>
      </w:r>
      <w:proofErr w:type="spellStart"/>
      <w:r w:rsidR="007615D6" w:rsidRPr="00D960DB">
        <w:rPr>
          <w:rFonts w:cs="Arial"/>
          <w:color w:val="212121"/>
          <w:szCs w:val="16"/>
          <w:shd w:val="clear" w:color="auto" w:fill="FFFFFF"/>
        </w:rPr>
        <w:t>Maculaitis</w:t>
      </w:r>
      <w:proofErr w:type="spellEnd"/>
      <w:r w:rsidR="007615D6" w:rsidRPr="00D960DB">
        <w:rPr>
          <w:rFonts w:cs="Arial"/>
          <w:color w:val="212121"/>
          <w:szCs w:val="16"/>
          <w:shd w:val="clear" w:color="auto" w:fill="FFFFFF"/>
        </w:rPr>
        <w:t xml:space="preserve"> MC, Emir B, Li VW, Jeffress M, Li JZ, Zou KH, </w:t>
      </w:r>
      <w:proofErr w:type="spellStart"/>
      <w:r w:rsidR="007615D6" w:rsidRPr="00D960DB">
        <w:rPr>
          <w:rFonts w:cs="Arial"/>
          <w:color w:val="212121"/>
          <w:szCs w:val="16"/>
          <w:shd w:val="clear" w:color="auto" w:fill="FFFFFF"/>
        </w:rPr>
        <w:t>Donde</w:t>
      </w:r>
      <w:proofErr w:type="spellEnd"/>
      <w:r w:rsidR="007615D6" w:rsidRPr="00D960DB">
        <w:rPr>
          <w:rFonts w:cs="Arial"/>
          <w:color w:val="212121"/>
          <w:szCs w:val="16"/>
          <w:shd w:val="clear" w:color="auto" w:fill="FFFFFF"/>
        </w:rPr>
        <w:t xml:space="preserve"> SS, Taylor D. Increasing access to erectile dysfunction treatment via pharmacies to improve healthcare provider visits and quality of life: Results from a prospective real-world observational study in the United Kingdom. Int J Clin </w:t>
      </w:r>
      <w:proofErr w:type="spellStart"/>
      <w:r w:rsidR="007615D6" w:rsidRPr="00D960DB">
        <w:rPr>
          <w:rFonts w:cs="Arial"/>
          <w:color w:val="212121"/>
          <w:szCs w:val="16"/>
          <w:shd w:val="clear" w:color="auto" w:fill="FFFFFF"/>
        </w:rPr>
        <w:t>Pract</w:t>
      </w:r>
      <w:proofErr w:type="spellEnd"/>
      <w:r w:rsidR="007615D6" w:rsidRPr="00D960DB">
        <w:rPr>
          <w:rFonts w:cs="Arial"/>
          <w:color w:val="212121"/>
          <w:szCs w:val="16"/>
          <w:shd w:val="clear" w:color="auto" w:fill="FFFFFF"/>
        </w:rPr>
        <w:t>. 2021 Apr;75(4</w:t>
      </w:r>
      <w:proofErr w:type="gramStart"/>
      <w:r w:rsidR="007615D6" w:rsidRPr="00D960DB">
        <w:rPr>
          <w:rFonts w:cs="Arial"/>
          <w:color w:val="212121"/>
          <w:szCs w:val="16"/>
          <w:shd w:val="clear" w:color="auto" w:fill="FFFFFF"/>
        </w:rPr>
        <w:t>):e</w:t>
      </w:r>
      <w:proofErr w:type="gramEnd"/>
      <w:r w:rsidR="007615D6" w:rsidRPr="00D960DB">
        <w:rPr>
          <w:rFonts w:cs="Arial"/>
          <w:color w:val="212121"/>
          <w:szCs w:val="16"/>
          <w:shd w:val="clear" w:color="auto" w:fill="FFFFFF"/>
        </w:rPr>
        <w:t xml:space="preserve">13849. </w:t>
      </w:r>
    </w:p>
  </w:footnote>
  <w:footnote w:id="11">
    <w:p w14:paraId="15A2ED85" w14:textId="1E38054B" w:rsidR="000871F7" w:rsidRDefault="000871F7" w:rsidP="000871F7">
      <w:pPr>
        <w:pStyle w:val="FootnoteText"/>
      </w:pPr>
      <w:r w:rsidRPr="007615D6">
        <w:rPr>
          <w:rStyle w:val="FootnoteReference"/>
          <w:rFonts w:cs="Arial"/>
          <w:szCs w:val="16"/>
        </w:rPr>
        <w:footnoteRef/>
      </w:r>
      <w:r w:rsidRPr="007615D6">
        <w:rPr>
          <w:rFonts w:cs="Arial"/>
          <w:szCs w:val="16"/>
        </w:rPr>
        <w:t xml:space="preserve"> </w:t>
      </w:r>
      <w:hyperlink r:id="rId4" w:history="1">
        <w:r w:rsidR="00406E89">
          <w:rPr>
            <w:rStyle w:val="Hyperlink"/>
            <w:rFonts w:cs="Arial"/>
            <w:szCs w:val="16"/>
          </w:rPr>
          <w:t>www.health.gov.au/sites/default/files/2023-07/men-s-and-boys-barriers-to-health-system-access-a-literature-review.pdf</w:t>
        </w:r>
      </w:hyperlink>
      <w:r w:rsidR="000D7877">
        <w:t xml:space="preserve"> </w:t>
      </w:r>
    </w:p>
  </w:footnote>
  <w:footnote w:id="12">
    <w:p w14:paraId="2B8A642A" w14:textId="7AA40E52" w:rsidR="00660A72" w:rsidRDefault="00660A72">
      <w:pPr>
        <w:pStyle w:val="FootnoteText"/>
      </w:pPr>
      <w:r>
        <w:rPr>
          <w:rStyle w:val="FootnoteReference"/>
        </w:rPr>
        <w:footnoteRef/>
      </w:r>
      <w:r>
        <w:t xml:space="preserve"> </w:t>
      </w:r>
      <w:r w:rsidRPr="00660A72">
        <w:t>Proposed additions are shown in green underlined font, proposed deletions are shown in red strikethrough font, and text without this formatting represents the current text in the Poisons Standard.</w:t>
      </w:r>
    </w:p>
  </w:footnote>
  <w:footnote w:id="13">
    <w:p w14:paraId="67671959" w14:textId="6E5C42F6" w:rsidR="005C39AC" w:rsidRDefault="005C39AC">
      <w:pPr>
        <w:pStyle w:val="FootnoteText"/>
      </w:pPr>
      <w:r>
        <w:rPr>
          <w:rStyle w:val="FootnoteReference"/>
        </w:rPr>
        <w:footnoteRef/>
      </w:r>
      <w:r>
        <w:t xml:space="preserve"> </w:t>
      </w:r>
      <w:r w:rsidRPr="005C39AC">
        <w:t>Proposed additions are shown in green underlined font, proposed deletions are shown in red strikethrough font, and text without this formatting represents the current text in the Poisons Standard.</w:t>
      </w:r>
    </w:p>
  </w:footnote>
  <w:footnote w:id="14">
    <w:p w14:paraId="06E2E32F" w14:textId="76028392" w:rsidR="003422B7" w:rsidRDefault="003422B7">
      <w:pPr>
        <w:pStyle w:val="FootnoteText"/>
      </w:pPr>
      <w:r>
        <w:rPr>
          <w:rStyle w:val="FootnoteReference"/>
        </w:rPr>
        <w:footnoteRef/>
      </w:r>
      <w:r>
        <w:t xml:space="preserve"> </w:t>
      </w:r>
      <w:proofErr w:type="spellStart"/>
      <w:r w:rsidRPr="00417551">
        <w:rPr>
          <w:rFonts w:cs="Arial"/>
          <w:color w:val="212121"/>
          <w:shd w:val="clear" w:color="auto" w:fill="FFFFFF"/>
        </w:rPr>
        <w:t>Bnaya</w:t>
      </w:r>
      <w:proofErr w:type="spellEnd"/>
      <w:r w:rsidRPr="00417551">
        <w:rPr>
          <w:rFonts w:cs="Arial"/>
          <w:color w:val="212121"/>
          <w:shd w:val="clear" w:color="auto" w:fill="FFFFFF"/>
        </w:rPr>
        <w:t xml:space="preserve"> et al. (2023) Acute Kidney Injury and Hair-Straightening Products: A Case Series. </w:t>
      </w:r>
      <w:r w:rsidRPr="00417551">
        <w:rPr>
          <w:rFonts w:cs="Arial"/>
          <w:i/>
          <w:iCs/>
          <w:color w:val="212121"/>
          <w:shd w:val="clear" w:color="auto" w:fill="FFFFFF"/>
        </w:rPr>
        <w:t>Am J Kidney Dis</w:t>
      </w:r>
      <w:r w:rsidRPr="00417551">
        <w:rPr>
          <w:rFonts w:cs="Arial"/>
          <w:color w:val="212121"/>
          <w:shd w:val="clear" w:color="auto" w:fill="FFFFFF"/>
        </w:rPr>
        <w:t>., 82(1):43-</w:t>
      </w:r>
      <w:proofErr w:type="gramStart"/>
      <w:r w:rsidRPr="00417551">
        <w:rPr>
          <w:rFonts w:cs="Arial"/>
          <w:color w:val="212121"/>
          <w:shd w:val="clear" w:color="auto" w:fill="FFFFFF"/>
        </w:rPr>
        <w:t>52.e</w:t>
      </w:r>
      <w:proofErr w:type="gramEnd"/>
      <w:r w:rsidRPr="00417551">
        <w:rPr>
          <w:rFonts w:cs="Arial"/>
          <w:color w:val="212121"/>
          <w:shd w:val="clear" w:color="auto" w:fill="FFFFFF"/>
        </w:rPr>
        <w:t xml:space="preserve">1. </w:t>
      </w:r>
      <w:proofErr w:type="spellStart"/>
      <w:r w:rsidRPr="00417551">
        <w:rPr>
          <w:rFonts w:cs="Arial"/>
          <w:color w:val="212121"/>
          <w:shd w:val="clear" w:color="auto" w:fill="FFFFFF"/>
        </w:rPr>
        <w:t>doi</w:t>
      </w:r>
      <w:proofErr w:type="spellEnd"/>
      <w:r w:rsidRPr="00417551">
        <w:rPr>
          <w:rFonts w:cs="Arial"/>
          <w:color w:val="212121"/>
          <w:shd w:val="clear" w:color="auto" w:fill="FFFFFF"/>
        </w:rPr>
        <w:t xml:space="preserve">: 10.1053/j.ajkd.2022.11.016. </w:t>
      </w:r>
      <w:hyperlink r:id="rId5" w:history="1">
        <w:r w:rsidRPr="00417551">
          <w:rPr>
            <w:rStyle w:val="Hyperlink"/>
            <w:rFonts w:cs="Arial"/>
            <w:shd w:val="clear" w:color="auto" w:fill="FFFFFF"/>
          </w:rPr>
          <w:t>https://www.sciencedirect.com/science/article/abs/pii/S0272638623000069?via%3Dihub</w:t>
        </w:r>
      </w:hyperlink>
    </w:p>
  </w:footnote>
  <w:footnote w:id="15">
    <w:p w14:paraId="627C1DCE" w14:textId="2CBAF928" w:rsidR="006F72E6" w:rsidRDefault="006F72E6" w:rsidP="006F72E6">
      <w:pPr>
        <w:pStyle w:val="FootnoteText"/>
      </w:pPr>
      <w:r>
        <w:rPr>
          <w:rStyle w:val="FootnoteReference"/>
        </w:rPr>
        <w:footnoteRef/>
      </w:r>
      <w:r>
        <w:t xml:space="preserve"> </w:t>
      </w:r>
      <w:proofErr w:type="spellStart"/>
      <w:r w:rsidRPr="00417551">
        <w:rPr>
          <w:rFonts w:cs="Arial"/>
          <w:color w:val="212121"/>
          <w:shd w:val="clear" w:color="auto" w:fill="FFFFFF"/>
        </w:rPr>
        <w:t>Bnaya</w:t>
      </w:r>
      <w:proofErr w:type="spellEnd"/>
      <w:r w:rsidRPr="00417551">
        <w:rPr>
          <w:rFonts w:cs="Arial"/>
          <w:color w:val="212121"/>
          <w:shd w:val="clear" w:color="auto" w:fill="FFFFFF"/>
        </w:rPr>
        <w:t xml:space="preserve"> et al. (2023) Acute Kidney Injury and Hair-Straightening Products: A Case Series. </w:t>
      </w:r>
      <w:r w:rsidRPr="00417551">
        <w:rPr>
          <w:rFonts w:cs="Arial"/>
          <w:i/>
          <w:iCs/>
          <w:color w:val="212121"/>
          <w:shd w:val="clear" w:color="auto" w:fill="FFFFFF"/>
        </w:rPr>
        <w:t>Am J Kidney Dis</w:t>
      </w:r>
      <w:r w:rsidRPr="00417551">
        <w:rPr>
          <w:rFonts w:cs="Arial"/>
          <w:color w:val="212121"/>
          <w:shd w:val="clear" w:color="auto" w:fill="FFFFFF"/>
        </w:rPr>
        <w:t>., 82(1):43-</w:t>
      </w:r>
      <w:proofErr w:type="gramStart"/>
      <w:r w:rsidRPr="00417551">
        <w:rPr>
          <w:rFonts w:cs="Arial"/>
          <w:color w:val="212121"/>
          <w:shd w:val="clear" w:color="auto" w:fill="FFFFFF"/>
        </w:rPr>
        <w:t>52.e</w:t>
      </w:r>
      <w:proofErr w:type="gramEnd"/>
      <w:r w:rsidRPr="00417551">
        <w:rPr>
          <w:rFonts w:cs="Arial"/>
          <w:color w:val="212121"/>
          <w:shd w:val="clear" w:color="auto" w:fill="FFFFFF"/>
        </w:rPr>
        <w:t xml:space="preserve">1. </w:t>
      </w:r>
      <w:proofErr w:type="spellStart"/>
      <w:r w:rsidRPr="00417551">
        <w:rPr>
          <w:rFonts w:cs="Arial"/>
          <w:color w:val="212121"/>
          <w:shd w:val="clear" w:color="auto" w:fill="FFFFFF"/>
        </w:rPr>
        <w:t>doi</w:t>
      </w:r>
      <w:proofErr w:type="spellEnd"/>
      <w:r w:rsidRPr="00417551">
        <w:rPr>
          <w:rFonts w:cs="Arial"/>
          <w:color w:val="212121"/>
          <w:shd w:val="clear" w:color="auto" w:fill="FFFFFF"/>
        </w:rPr>
        <w:t>: 10.1053/j.ajkd.2022.11.016</w:t>
      </w:r>
      <w:r w:rsidR="004F7D0A" w:rsidRPr="00417551">
        <w:rPr>
          <w:rFonts w:cs="Arial"/>
          <w:color w:val="212121"/>
          <w:shd w:val="clear" w:color="auto" w:fill="FFFFFF"/>
        </w:rPr>
        <w:t xml:space="preserve">. </w:t>
      </w:r>
      <w:hyperlink r:id="rId6" w:history="1">
        <w:r w:rsidR="004F7D0A" w:rsidRPr="00417551">
          <w:rPr>
            <w:rStyle w:val="Hyperlink"/>
            <w:rFonts w:cs="Arial"/>
            <w:shd w:val="clear" w:color="auto" w:fill="FFFFFF"/>
          </w:rPr>
          <w:t>https://www.sciencedirect.com/science/article/abs/pii/S0272638623000069?via%3Dihub</w:t>
        </w:r>
      </w:hyperlink>
    </w:p>
  </w:footnote>
  <w:footnote w:id="16">
    <w:p w14:paraId="65D1CB2E" w14:textId="2A04EA21" w:rsidR="005C39AC" w:rsidRDefault="005C39AC">
      <w:pPr>
        <w:pStyle w:val="FootnoteText"/>
      </w:pPr>
      <w:r>
        <w:rPr>
          <w:rStyle w:val="FootnoteReference"/>
        </w:rPr>
        <w:footnoteRef/>
      </w:r>
      <w:r>
        <w:t xml:space="preserve"> </w:t>
      </w:r>
      <w:r w:rsidRPr="005C39AC">
        <w:t>Proposed additions are shown in green underlined font, proposed deletions are shown in red strikethrough font, and text without this formatting represents the current text in the Poisons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D65B"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14E619BD" w14:textId="77777777" w:rsidTr="00074990">
      <w:trPr>
        <w:trHeight w:hRule="exact" w:val="8845"/>
      </w:trPr>
      <w:tc>
        <w:tcPr>
          <w:tcW w:w="11964" w:type="dxa"/>
          <w:vAlign w:val="center"/>
        </w:tcPr>
        <w:p w14:paraId="143A1FE4" w14:textId="77777777" w:rsidR="00F02AEC" w:rsidRPr="002B29B2" w:rsidRDefault="00F02AEC" w:rsidP="00074990">
          <w:pPr>
            <w:ind w:left="-57"/>
            <w:rPr>
              <w:noProof/>
            </w:rPr>
          </w:pPr>
        </w:p>
      </w:tc>
    </w:tr>
  </w:tbl>
  <w:p w14:paraId="5A762C12" w14:textId="77777777" w:rsidR="00F02AEC" w:rsidRDefault="00CB0550" w:rsidP="00074990">
    <w:pPr>
      <w:rPr>
        <w:noProof/>
      </w:rPr>
    </w:pPr>
    <w:r>
      <w:rPr>
        <w:noProof/>
        <w:lang w:eastAsia="en-AU"/>
      </w:rPr>
      <w:drawing>
        <wp:anchor distT="0" distB="0" distL="114300" distR="114300" simplePos="0" relativeHeight="251659264" behindDoc="0" locked="0" layoutInCell="1" allowOverlap="1" wp14:anchorId="12186BBE" wp14:editId="4DEA2101">
          <wp:simplePos x="0" y="0"/>
          <wp:positionH relativeFrom="column">
            <wp:posOffset>-400050</wp:posOffset>
          </wp:positionH>
          <wp:positionV relativeFrom="paragraph">
            <wp:posOffset>-116205</wp:posOffset>
          </wp:positionV>
          <wp:extent cx="2676525" cy="621665"/>
          <wp:effectExtent l="0" t="0" r="9525" b="6985"/>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57216" behindDoc="0" locked="0" layoutInCell="0" allowOverlap="1" wp14:anchorId="2A00FA0F" wp14:editId="0285CB00">
          <wp:simplePos x="0" y="0"/>
          <wp:positionH relativeFrom="page">
            <wp:align>left</wp:align>
          </wp:positionH>
          <wp:positionV relativeFrom="page">
            <wp:posOffset>3239495</wp:posOffset>
          </wp:positionV>
          <wp:extent cx="7663815" cy="4323091"/>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C3AC" w14:textId="77777777" w:rsidR="00F02AEC" w:rsidRPr="005212A2" w:rsidRDefault="00F02AEC" w:rsidP="000579C9">
    <w:pPr>
      <w:pStyle w:val="Header"/>
    </w:pPr>
    <w:r w:rsidRPr="005212A2">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D181" w14:textId="77777777" w:rsidR="00101619" w:rsidRPr="00FE501F" w:rsidRDefault="00101619" w:rsidP="000749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1F4F19"/>
    <w:multiLevelType w:val="hybridMultilevel"/>
    <w:tmpl w:val="6EA076E6"/>
    <w:lvl w:ilvl="0" w:tplc="9BD4AB2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0053F11"/>
    <w:multiLevelType w:val="multilevel"/>
    <w:tmpl w:val="9CF4C65E"/>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63F187C"/>
    <w:multiLevelType w:val="hybridMultilevel"/>
    <w:tmpl w:val="20409048"/>
    <w:lvl w:ilvl="0" w:tplc="669A989C">
      <w:start w:val="4"/>
      <w:numFmt w:val="bullet"/>
      <w:pStyle w:val="ListBullet3"/>
      <w:lvlText w:val="▪"/>
      <w:lvlJc w:val="left"/>
      <w:pPr>
        <w:ind w:left="720" w:hanging="360"/>
      </w:pPr>
      <w:rPr>
        <w:rFonts w:ascii="Arial" w:eastAsia="Cambria"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8F13E9"/>
    <w:multiLevelType w:val="multilevel"/>
    <w:tmpl w:val="ED9C04D2"/>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ABD74D0"/>
    <w:multiLevelType w:val="hybridMultilevel"/>
    <w:tmpl w:val="23FE21D4"/>
    <w:lvl w:ilvl="0" w:tplc="180E42A8">
      <w:start w:val="1"/>
      <w:numFmt w:val="lowerRoman"/>
      <w:pStyle w:val="ListBulleti"/>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22DD262E"/>
    <w:multiLevelType w:val="hybridMultilevel"/>
    <w:tmpl w:val="7C681CF4"/>
    <w:lvl w:ilvl="0" w:tplc="3410C290">
      <w:start w:val="1"/>
      <w:numFmt w:val="lowerLetter"/>
      <w:pStyle w:val="Numberbullet2"/>
      <w:lvlText w:val="%1)"/>
      <w:lvlJc w:val="left"/>
      <w:pPr>
        <w:ind w:left="1145" w:hanging="360"/>
      </w:pPr>
    </w:lvl>
    <w:lvl w:ilvl="1" w:tplc="0C090019">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7" w15:restartNumberingAfterBreak="0">
    <w:nsid w:val="24D77801"/>
    <w:multiLevelType w:val="hybridMultilevel"/>
    <w:tmpl w:val="0EDC7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924211"/>
    <w:multiLevelType w:val="hybridMultilevel"/>
    <w:tmpl w:val="EE84D3F2"/>
    <w:lvl w:ilvl="0" w:tplc="B05AE1EC">
      <w:start w:val="1"/>
      <w:numFmt w:val="lowerLetter"/>
      <w:pStyle w:val="ListBulleta"/>
      <w:lvlText w:val="(%1)"/>
      <w:lvlJc w:val="left"/>
      <w:pPr>
        <w:ind w:left="1146" w:hanging="360"/>
      </w:pPr>
      <w:rPr>
        <w:strike w:val="0"/>
        <w:color w:val="auto"/>
      </w:rPr>
    </w:lvl>
    <w:lvl w:ilvl="1" w:tplc="82683A20">
      <w:start w:val="1"/>
      <w:numFmt w:val="lowerLetter"/>
      <w:lvlText w:val="%2)"/>
      <w:lvlJc w:val="left"/>
      <w:pPr>
        <w:ind w:left="1866" w:hanging="360"/>
      </w:pPr>
      <w:rPr>
        <w:rFonts w:hint="default"/>
      </w:r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9" w15:restartNumberingAfterBreak="0">
    <w:nsid w:val="326348C8"/>
    <w:multiLevelType w:val="hybridMultilevel"/>
    <w:tmpl w:val="AD229662"/>
    <w:lvl w:ilvl="0" w:tplc="90C683D6">
      <w:start w:val="10"/>
      <w:numFmt w:val="lowerLetter"/>
      <w:pStyle w:val="Style2"/>
      <w:lvlText w:val="(%1)"/>
      <w:lvlJc w:val="left"/>
      <w:pPr>
        <w:ind w:left="1506" w:hanging="360"/>
      </w:pPr>
      <w:rPr>
        <w:rFonts w:hint="default"/>
        <w:strike w:val="0"/>
        <w:color w:val="00B050"/>
        <w:u w:val="single"/>
      </w:r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10" w15:restartNumberingAfterBreak="0">
    <w:nsid w:val="40D73A5B"/>
    <w:multiLevelType w:val="hybridMultilevel"/>
    <w:tmpl w:val="DE8E77E2"/>
    <w:lvl w:ilvl="0" w:tplc="927E7242">
      <w:start w:val="1"/>
      <w:numFmt w:val="bullet"/>
      <w:lvlText w:val=""/>
      <w:lvlJc w:val="left"/>
      <w:pPr>
        <w:ind w:left="720" w:hanging="360"/>
      </w:pPr>
      <w:rPr>
        <w:rFonts w:ascii="Symbol" w:hAnsi="Symbol"/>
      </w:rPr>
    </w:lvl>
    <w:lvl w:ilvl="1" w:tplc="E8549852">
      <w:start w:val="1"/>
      <w:numFmt w:val="bullet"/>
      <w:lvlText w:val=""/>
      <w:lvlJc w:val="left"/>
      <w:pPr>
        <w:ind w:left="720" w:hanging="360"/>
      </w:pPr>
      <w:rPr>
        <w:rFonts w:ascii="Symbol" w:hAnsi="Symbol"/>
      </w:rPr>
    </w:lvl>
    <w:lvl w:ilvl="2" w:tplc="FF18C2E8">
      <w:start w:val="1"/>
      <w:numFmt w:val="bullet"/>
      <w:lvlText w:val=""/>
      <w:lvlJc w:val="left"/>
      <w:pPr>
        <w:ind w:left="720" w:hanging="360"/>
      </w:pPr>
      <w:rPr>
        <w:rFonts w:ascii="Symbol" w:hAnsi="Symbol"/>
      </w:rPr>
    </w:lvl>
    <w:lvl w:ilvl="3" w:tplc="C644B7D8">
      <w:start w:val="1"/>
      <w:numFmt w:val="bullet"/>
      <w:lvlText w:val=""/>
      <w:lvlJc w:val="left"/>
      <w:pPr>
        <w:ind w:left="720" w:hanging="360"/>
      </w:pPr>
      <w:rPr>
        <w:rFonts w:ascii="Symbol" w:hAnsi="Symbol"/>
      </w:rPr>
    </w:lvl>
    <w:lvl w:ilvl="4" w:tplc="476A3350">
      <w:start w:val="1"/>
      <w:numFmt w:val="bullet"/>
      <w:lvlText w:val=""/>
      <w:lvlJc w:val="left"/>
      <w:pPr>
        <w:ind w:left="720" w:hanging="360"/>
      </w:pPr>
      <w:rPr>
        <w:rFonts w:ascii="Symbol" w:hAnsi="Symbol"/>
      </w:rPr>
    </w:lvl>
    <w:lvl w:ilvl="5" w:tplc="EC6EF486">
      <w:start w:val="1"/>
      <w:numFmt w:val="bullet"/>
      <w:lvlText w:val=""/>
      <w:lvlJc w:val="left"/>
      <w:pPr>
        <w:ind w:left="720" w:hanging="360"/>
      </w:pPr>
      <w:rPr>
        <w:rFonts w:ascii="Symbol" w:hAnsi="Symbol"/>
      </w:rPr>
    </w:lvl>
    <w:lvl w:ilvl="6" w:tplc="647AF7A8">
      <w:start w:val="1"/>
      <w:numFmt w:val="bullet"/>
      <w:lvlText w:val=""/>
      <w:lvlJc w:val="left"/>
      <w:pPr>
        <w:ind w:left="720" w:hanging="360"/>
      </w:pPr>
      <w:rPr>
        <w:rFonts w:ascii="Symbol" w:hAnsi="Symbol"/>
      </w:rPr>
    </w:lvl>
    <w:lvl w:ilvl="7" w:tplc="76D2B498">
      <w:start w:val="1"/>
      <w:numFmt w:val="bullet"/>
      <w:lvlText w:val=""/>
      <w:lvlJc w:val="left"/>
      <w:pPr>
        <w:ind w:left="720" w:hanging="360"/>
      </w:pPr>
      <w:rPr>
        <w:rFonts w:ascii="Symbol" w:hAnsi="Symbol"/>
      </w:rPr>
    </w:lvl>
    <w:lvl w:ilvl="8" w:tplc="A164E518">
      <w:start w:val="1"/>
      <w:numFmt w:val="bullet"/>
      <w:lvlText w:val=""/>
      <w:lvlJc w:val="left"/>
      <w:pPr>
        <w:ind w:left="720" w:hanging="360"/>
      </w:pPr>
      <w:rPr>
        <w:rFonts w:ascii="Symbol" w:hAnsi="Symbol"/>
      </w:rPr>
    </w:lvl>
  </w:abstractNum>
  <w:abstractNum w:abstractNumId="11" w15:restartNumberingAfterBreak="0">
    <w:nsid w:val="50336B0D"/>
    <w:multiLevelType w:val="hybridMultilevel"/>
    <w:tmpl w:val="93D6F948"/>
    <w:lvl w:ilvl="0" w:tplc="F270368A">
      <w:start w:val="1"/>
      <w:numFmt w:val="lowerRoman"/>
      <w:pStyle w:val="Numberbullet3"/>
      <w:lvlText w:val="%1)"/>
      <w:lvlJc w:val="right"/>
      <w:pPr>
        <w:ind w:left="1505" w:hanging="360"/>
      </w:p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12" w15:restartNumberingAfterBreak="0">
    <w:nsid w:val="5C631426"/>
    <w:multiLevelType w:val="hybridMultilevel"/>
    <w:tmpl w:val="D3A61D1E"/>
    <w:lvl w:ilvl="0" w:tplc="6CBE42CA">
      <w:start w:val="1"/>
      <w:numFmt w:val="lowerLetter"/>
      <w:pStyle w:val="Heading5"/>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C51E88"/>
    <w:multiLevelType w:val="hybridMultilevel"/>
    <w:tmpl w:val="0F044E18"/>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B71FEF"/>
    <w:multiLevelType w:val="hybridMultilevel"/>
    <w:tmpl w:val="B4500F6A"/>
    <w:lvl w:ilvl="0" w:tplc="A8BA9590">
      <w:start w:val="1"/>
      <w:numFmt w:val="bullet"/>
      <w:lvlText w:val=""/>
      <w:lvlJc w:val="left"/>
      <w:pPr>
        <w:ind w:left="720" w:hanging="360"/>
      </w:pPr>
      <w:rPr>
        <w:rFonts w:ascii="Symbol" w:hAnsi="Symbol"/>
      </w:rPr>
    </w:lvl>
    <w:lvl w:ilvl="1" w:tplc="5560C528">
      <w:start w:val="1"/>
      <w:numFmt w:val="bullet"/>
      <w:lvlText w:val=""/>
      <w:lvlJc w:val="left"/>
      <w:pPr>
        <w:ind w:left="720" w:hanging="360"/>
      </w:pPr>
      <w:rPr>
        <w:rFonts w:ascii="Symbol" w:hAnsi="Symbol"/>
      </w:rPr>
    </w:lvl>
    <w:lvl w:ilvl="2" w:tplc="254E9750">
      <w:start w:val="1"/>
      <w:numFmt w:val="bullet"/>
      <w:lvlText w:val=""/>
      <w:lvlJc w:val="left"/>
      <w:pPr>
        <w:ind w:left="720" w:hanging="360"/>
      </w:pPr>
      <w:rPr>
        <w:rFonts w:ascii="Symbol" w:hAnsi="Symbol"/>
      </w:rPr>
    </w:lvl>
    <w:lvl w:ilvl="3" w:tplc="78968A44">
      <w:start w:val="1"/>
      <w:numFmt w:val="bullet"/>
      <w:lvlText w:val=""/>
      <w:lvlJc w:val="left"/>
      <w:pPr>
        <w:ind w:left="720" w:hanging="360"/>
      </w:pPr>
      <w:rPr>
        <w:rFonts w:ascii="Symbol" w:hAnsi="Symbol"/>
      </w:rPr>
    </w:lvl>
    <w:lvl w:ilvl="4" w:tplc="DF4855CA">
      <w:start w:val="1"/>
      <w:numFmt w:val="bullet"/>
      <w:lvlText w:val=""/>
      <w:lvlJc w:val="left"/>
      <w:pPr>
        <w:ind w:left="720" w:hanging="360"/>
      </w:pPr>
      <w:rPr>
        <w:rFonts w:ascii="Symbol" w:hAnsi="Symbol"/>
      </w:rPr>
    </w:lvl>
    <w:lvl w:ilvl="5" w:tplc="A670B8EE">
      <w:start w:val="1"/>
      <w:numFmt w:val="bullet"/>
      <w:lvlText w:val=""/>
      <w:lvlJc w:val="left"/>
      <w:pPr>
        <w:ind w:left="720" w:hanging="360"/>
      </w:pPr>
      <w:rPr>
        <w:rFonts w:ascii="Symbol" w:hAnsi="Symbol"/>
      </w:rPr>
    </w:lvl>
    <w:lvl w:ilvl="6" w:tplc="FE40820C">
      <w:start w:val="1"/>
      <w:numFmt w:val="bullet"/>
      <w:lvlText w:val=""/>
      <w:lvlJc w:val="left"/>
      <w:pPr>
        <w:ind w:left="720" w:hanging="360"/>
      </w:pPr>
      <w:rPr>
        <w:rFonts w:ascii="Symbol" w:hAnsi="Symbol"/>
      </w:rPr>
    </w:lvl>
    <w:lvl w:ilvl="7" w:tplc="88C09542">
      <w:start w:val="1"/>
      <w:numFmt w:val="bullet"/>
      <w:lvlText w:val=""/>
      <w:lvlJc w:val="left"/>
      <w:pPr>
        <w:ind w:left="720" w:hanging="360"/>
      </w:pPr>
      <w:rPr>
        <w:rFonts w:ascii="Symbol" w:hAnsi="Symbol"/>
      </w:rPr>
    </w:lvl>
    <w:lvl w:ilvl="8" w:tplc="6D7CD046">
      <w:start w:val="1"/>
      <w:numFmt w:val="bullet"/>
      <w:lvlText w:val=""/>
      <w:lvlJc w:val="left"/>
      <w:pPr>
        <w:ind w:left="720" w:hanging="360"/>
      </w:pPr>
      <w:rPr>
        <w:rFonts w:ascii="Symbol" w:hAnsi="Symbol"/>
      </w:rPr>
    </w:lvl>
  </w:abstractNum>
  <w:num w:numId="1" w16cid:durableId="1151097230">
    <w:abstractNumId w:val="2"/>
  </w:num>
  <w:num w:numId="2" w16cid:durableId="870067104">
    <w:abstractNumId w:val="4"/>
  </w:num>
  <w:num w:numId="3" w16cid:durableId="776367075">
    <w:abstractNumId w:val="0"/>
  </w:num>
  <w:num w:numId="4" w16cid:durableId="350569323">
    <w:abstractNumId w:val="3"/>
  </w:num>
  <w:num w:numId="5" w16cid:durableId="671222171">
    <w:abstractNumId w:val="8"/>
  </w:num>
  <w:num w:numId="6" w16cid:durableId="852691286">
    <w:abstractNumId w:val="5"/>
  </w:num>
  <w:num w:numId="7" w16cid:durableId="1062169600">
    <w:abstractNumId w:val="4"/>
  </w:num>
  <w:num w:numId="8" w16cid:durableId="11732394">
    <w:abstractNumId w:val="6"/>
  </w:num>
  <w:num w:numId="9" w16cid:durableId="2103913646">
    <w:abstractNumId w:val="11"/>
  </w:num>
  <w:num w:numId="10" w16cid:durableId="1479374813">
    <w:abstractNumId w:val="2"/>
  </w:num>
  <w:num w:numId="11" w16cid:durableId="1408653107">
    <w:abstractNumId w:val="14"/>
  </w:num>
  <w:num w:numId="12" w16cid:durableId="1055815737">
    <w:abstractNumId w:val="10"/>
  </w:num>
  <w:num w:numId="13" w16cid:durableId="121122285">
    <w:abstractNumId w:val="8"/>
    <w:lvlOverride w:ilvl="0">
      <w:startOverride w:val="1"/>
    </w:lvlOverride>
  </w:num>
  <w:num w:numId="14" w16cid:durableId="1511136608">
    <w:abstractNumId w:val="9"/>
  </w:num>
  <w:num w:numId="15" w16cid:durableId="643705503">
    <w:abstractNumId w:val="1"/>
  </w:num>
  <w:num w:numId="16" w16cid:durableId="1485004089">
    <w:abstractNumId w:val="7"/>
  </w:num>
  <w:num w:numId="17" w16cid:durableId="294994160">
    <w:abstractNumId w:val="13"/>
  </w:num>
  <w:num w:numId="18" w16cid:durableId="80417668">
    <w:abstractNumId w:val="12"/>
  </w:num>
  <w:num w:numId="19" w16cid:durableId="572007071">
    <w:abstractNumId w:val="12"/>
    <w:lvlOverride w:ilvl="0">
      <w:startOverride w:val="1"/>
    </w:lvlOverride>
  </w:num>
  <w:num w:numId="20" w16cid:durableId="1985969676">
    <w:abstractNumId w:val="12"/>
    <w:lvlOverride w:ilvl="0">
      <w:startOverride w:val="1"/>
    </w:lvlOverride>
  </w:num>
  <w:num w:numId="21" w16cid:durableId="1645349668">
    <w:abstractNumId w:val="12"/>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3B"/>
    <w:rsid w:val="00000F5C"/>
    <w:rsid w:val="000071A4"/>
    <w:rsid w:val="00031548"/>
    <w:rsid w:val="000579C9"/>
    <w:rsid w:val="00066A9C"/>
    <w:rsid w:val="000718BF"/>
    <w:rsid w:val="00074990"/>
    <w:rsid w:val="000871F7"/>
    <w:rsid w:val="00087220"/>
    <w:rsid w:val="00091EE3"/>
    <w:rsid w:val="00094B81"/>
    <w:rsid w:val="000A3CAD"/>
    <w:rsid w:val="000A4597"/>
    <w:rsid w:val="000A7B7F"/>
    <w:rsid w:val="000C762D"/>
    <w:rsid w:val="000D398C"/>
    <w:rsid w:val="000D70C8"/>
    <w:rsid w:val="000D7877"/>
    <w:rsid w:val="000E2074"/>
    <w:rsid w:val="000E22B7"/>
    <w:rsid w:val="000E45C7"/>
    <w:rsid w:val="000E6ADB"/>
    <w:rsid w:val="000F1155"/>
    <w:rsid w:val="000F27F2"/>
    <w:rsid w:val="00101619"/>
    <w:rsid w:val="00103384"/>
    <w:rsid w:val="001175DD"/>
    <w:rsid w:val="0012473C"/>
    <w:rsid w:val="001330F6"/>
    <w:rsid w:val="00137F08"/>
    <w:rsid w:val="00154719"/>
    <w:rsid w:val="001565A8"/>
    <w:rsid w:val="00166FF4"/>
    <w:rsid w:val="00175CD8"/>
    <w:rsid w:val="00177F9C"/>
    <w:rsid w:val="00187D38"/>
    <w:rsid w:val="00192DCF"/>
    <w:rsid w:val="00197A07"/>
    <w:rsid w:val="001A5C54"/>
    <w:rsid w:val="001D1693"/>
    <w:rsid w:val="001E3587"/>
    <w:rsid w:val="001E6510"/>
    <w:rsid w:val="002008D8"/>
    <w:rsid w:val="00205945"/>
    <w:rsid w:val="0022240B"/>
    <w:rsid w:val="002252F0"/>
    <w:rsid w:val="0023031D"/>
    <w:rsid w:val="002460B9"/>
    <w:rsid w:val="00255228"/>
    <w:rsid w:val="0026342B"/>
    <w:rsid w:val="00264B9E"/>
    <w:rsid w:val="00284CF0"/>
    <w:rsid w:val="002A2130"/>
    <w:rsid w:val="002B0C65"/>
    <w:rsid w:val="002B2D4A"/>
    <w:rsid w:val="002B5A28"/>
    <w:rsid w:val="002B7DAC"/>
    <w:rsid w:val="002C0F07"/>
    <w:rsid w:val="002C501D"/>
    <w:rsid w:val="002C7C3B"/>
    <w:rsid w:val="002D038D"/>
    <w:rsid w:val="002D1160"/>
    <w:rsid w:val="002D3FDB"/>
    <w:rsid w:val="002D6D0D"/>
    <w:rsid w:val="002F04E2"/>
    <w:rsid w:val="002F1913"/>
    <w:rsid w:val="003008D8"/>
    <w:rsid w:val="0030499C"/>
    <w:rsid w:val="00313D83"/>
    <w:rsid w:val="00334E7E"/>
    <w:rsid w:val="003364A9"/>
    <w:rsid w:val="003422B7"/>
    <w:rsid w:val="00346786"/>
    <w:rsid w:val="0035444D"/>
    <w:rsid w:val="003B31F2"/>
    <w:rsid w:val="003B3C86"/>
    <w:rsid w:val="003C3F3C"/>
    <w:rsid w:val="003F5C37"/>
    <w:rsid w:val="003F5D67"/>
    <w:rsid w:val="003F6469"/>
    <w:rsid w:val="0040213A"/>
    <w:rsid w:val="00406E89"/>
    <w:rsid w:val="00417551"/>
    <w:rsid w:val="004246B8"/>
    <w:rsid w:val="0042518D"/>
    <w:rsid w:val="004255FA"/>
    <w:rsid w:val="00431287"/>
    <w:rsid w:val="00434B48"/>
    <w:rsid w:val="00436314"/>
    <w:rsid w:val="00446C41"/>
    <w:rsid w:val="00463BED"/>
    <w:rsid w:val="00466417"/>
    <w:rsid w:val="004667F5"/>
    <w:rsid w:val="00471801"/>
    <w:rsid w:val="00474550"/>
    <w:rsid w:val="00486551"/>
    <w:rsid w:val="004A1CD9"/>
    <w:rsid w:val="004A64F2"/>
    <w:rsid w:val="004B3B77"/>
    <w:rsid w:val="004D7B3C"/>
    <w:rsid w:val="004E5BC0"/>
    <w:rsid w:val="004F7D0A"/>
    <w:rsid w:val="005015D3"/>
    <w:rsid w:val="005167A9"/>
    <w:rsid w:val="00517732"/>
    <w:rsid w:val="00520288"/>
    <w:rsid w:val="005212A2"/>
    <w:rsid w:val="00522B11"/>
    <w:rsid w:val="005266AA"/>
    <w:rsid w:val="00531034"/>
    <w:rsid w:val="00533784"/>
    <w:rsid w:val="00551491"/>
    <w:rsid w:val="005656F7"/>
    <w:rsid w:val="00572B2E"/>
    <w:rsid w:val="005765EF"/>
    <w:rsid w:val="0058575E"/>
    <w:rsid w:val="0058767F"/>
    <w:rsid w:val="00590D0F"/>
    <w:rsid w:val="00594004"/>
    <w:rsid w:val="00594663"/>
    <w:rsid w:val="005A1258"/>
    <w:rsid w:val="005A20D5"/>
    <w:rsid w:val="005A34E2"/>
    <w:rsid w:val="005B0702"/>
    <w:rsid w:val="005C39AC"/>
    <w:rsid w:val="005D5471"/>
    <w:rsid w:val="005E0799"/>
    <w:rsid w:val="005E1CDC"/>
    <w:rsid w:val="005E2D9D"/>
    <w:rsid w:val="005E631F"/>
    <w:rsid w:val="005F3844"/>
    <w:rsid w:val="006101F2"/>
    <w:rsid w:val="00610820"/>
    <w:rsid w:val="00615BC6"/>
    <w:rsid w:val="006228C9"/>
    <w:rsid w:val="0062702A"/>
    <w:rsid w:val="00632DD1"/>
    <w:rsid w:val="00646A43"/>
    <w:rsid w:val="00660A72"/>
    <w:rsid w:val="006622A9"/>
    <w:rsid w:val="00664AE4"/>
    <w:rsid w:val="00667C36"/>
    <w:rsid w:val="006757DB"/>
    <w:rsid w:val="00677932"/>
    <w:rsid w:val="006804F6"/>
    <w:rsid w:val="00682F92"/>
    <w:rsid w:val="0068540D"/>
    <w:rsid w:val="006865DD"/>
    <w:rsid w:val="00691DCE"/>
    <w:rsid w:val="00692401"/>
    <w:rsid w:val="00692E22"/>
    <w:rsid w:val="0069484E"/>
    <w:rsid w:val="006A0122"/>
    <w:rsid w:val="006A1F0B"/>
    <w:rsid w:val="006A4D44"/>
    <w:rsid w:val="006C46D9"/>
    <w:rsid w:val="006C7A82"/>
    <w:rsid w:val="006E63B5"/>
    <w:rsid w:val="006F24DD"/>
    <w:rsid w:val="006F72E6"/>
    <w:rsid w:val="007004FB"/>
    <w:rsid w:val="00702274"/>
    <w:rsid w:val="007078FB"/>
    <w:rsid w:val="0071063C"/>
    <w:rsid w:val="00724B63"/>
    <w:rsid w:val="00734B4F"/>
    <w:rsid w:val="007408ED"/>
    <w:rsid w:val="00746990"/>
    <w:rsid w:val="00746C25"/>
    <w:rsid w:val="00751544"/>
    <w:rsid w:val="0075172C"/>
    <w:rsid w:val="007615D6"/>
    <w:rsid w:val="007907FE"/>
    <w:rsid w:val="007B0F4F"/>
    <w:rsid w:val="007B2BFE"/>
    <w:rsid w:val="007B5171"/>
    <w:rsid w:val="007C5D92"/>
    <w:rsid w:val="007D0120"/>
    <w:rsid w:val="007E5150"/>
    <w:rsid w:val="007E5371"/>
    <w:rsid w:val="007F0A77"/>
    <w:rsid w:val="00800A58"/>
    <w:rsid w:val="00800CAD"/>
    <w:rsid w:val="00806C16"/>
    <w:rsid w:val="00815BAA"/>
    <w:rsid w:val="00817892"/>
    <w:rsid w:val="0082372E"/>
    <w:rsid w:val="008329DB"/>
    <w:rsid w:val="008349FE"/>
    <w:rsid w:val="00840750"/>
    <w:rsid w:val="008410B1"/>
    <w:rsid w:val="008537AB"/>
    <w:rsid w:val="00863A28"/>
    <w:rsid w:val="00870D45"/>
    <w:rsid w:val="00872E4D"/>
    <w:rsid w:val="0088476F"/>
    <w:rsid w:val="00896C38"/>
    <w:rsid w:val="008B1340"/>
    <w:rsid w:val="008B6F93"/>
    <w:rsid w:val="008C3425"/>
    <w:rsid w:val="008D5005"/>
    <w:rsid w:val="008E47CE"/>
    <w:rsid w:val="00900E92"/>
    <w:rsid w:val="009031DD"/>
    <w:rsid w:val="0090744F"/>
    <w:rsid w:val="009132A2"/>
    <w:rsid w:val="00915A60"/>
    <w:rsid w:val="0092029F"/>
    <w:rsid w:val="00930D58"/>
    <w:rsid w:val="00931300"/>
    <w:rsid w:val="00931EFB"/>
    <w:rsid w:val="00940003"/>
    <w:rsid w:val="009406C4"/>
    <w:rsid w:val="009421DD"/>
    <w:rsid w:val="0095170C"/>
    <w:rsid w:val="009803BB"/>
    <w:rsid w:val="00984249"/>
    <w:rsid w:val="009905C4"/>
    <w:rsid w:val="0099143E"/>
    <w:rsid w:val="009A7948"/>
    <w:rsid w:val="009B2B9F"/>
    <w:rsid w:val="009D1E46"/>
    <w:rsid w:val="009D6FFF"/>
    <w:rsid w:val="009E156C"/>
    <w:rsid w:val="009E37E6"/>
    <w:rsid w:val="009E68A6"/>
    <w:rsid w:val="00A042CD"/>
    <w:rsid w:val="00A2324D"/>
    <w:rsid w:val="00A2526D"/>
    <w:rsid w:val="00A40B3A"/>
    <w:rsid w:val="00A41E83"/>
    <w:rsid w:val="00A44821"/>
    <w:rsid w:val="00A51291"/>
    <w:rsid w:val="00A52D56"/>
    <w:rsid w:val="00A80578"/>
    <w:rsid w:val="00A8353F"/>
    <w:rsid w:val="00A95C7E"/>
    <w:rsid w:val="00A96BB1"/>
    <w:rsid w:val="00A97476"/>
    <w:rsid w:val="00AA6A33"/>
    <w:rsid w:val="00AB4A25"/>
    <w:rsid w:val="00AB6DDA"/>
    <w:rsid w:val="00AB785C"/>
    <w:rsid w:val="00AB7AE6"/>
    <w:rsid w:val="00AB7B01"/>
    <w:rsid w:val="00AB7CBF"/>
    <w:rsid w:val="00AC730D"/>
    <w:rsid w:val="00AD1DF7"/>
    <w:rsid w:val="00AD69F2"/>
    <w:rsid w:val="00AD6B6E"/>
    <w:rsid w:val="00AE37B7"/>
    <w:rsid w:val="00AF4797"/>
    <w:rsid w:val="00B00C76"/>
    <w:rsid w:val="00B03B68"/>
    <w:rsid w:val="00B063A1"/>
    <w:rsid w:val="00B46BC0"/>
    <w:rsid w:val="00B602D5"/>
    <w:rsid w:val="00B64F59"/>
    <w:rsid w:val="00B709A0"/>
    <w:rsid w:val="00B840F2"/>
    <w:rsid w:val="00B85319"/>
    <w:rsid w:val="00B86ECA"/>
    <w:rsid w:val="00B90317"/>
    <w:rsid w:val="00B91DDC"/>
    <w:rsid w:val="00B94C08"/>
    <w:rsid w:val="00B96678"/>
    <w:rsid w:val="00B977DF"/>
    <w:rsid w:val="00BB054C"/>
    <w:rsid w:val="00BB0FCE"/>
    <w:rsid w:val="00BB3352"/>
    <w:rsid w:val="00BB6773"/>
    <w:rsid w:val="00BC0390"/>
    <w:rsid w:val="00BC0949"/>
    <w:rsid w:val="00BD4C76"/>
    <w:rsid w:val="00BE0D83"/>
    <w:rsid w:val="00BF6B60"/>
    <w:rsid w:val="00C1097B"/>
    <w:rsid w:val="00C16445"/>
    <w:rsid w:val="00C418D9"/>
    <w:rsid w:val="00C435BF"/>
    <w:rsid w:val="00C47479"/>
    <w:rsid w:val="00C71924"/>
    <w:rsid w:val="00C77F41"/>
    <w:rsid w:val="00C83880"/>
    <w:rsid w:val="00C91B2B"/>
    <w:rsid w:val="00CA3301"/>
    <w:rsid w:val="00CA5B4B"/>
    <w:rsid w:val="00CB0550"/>
    <w:rsid w:val="00CB4F51"/>
    <w:rsid w:val="00CC381E"/>
    <w:rsid w:val="00CC434E"/>
    <w:rsid w:val="00CD03DE"/>
    <w:rsid w:val="00CF3718"/>
    <w:rsid w:val="00CF5539"/>
    <w:rsid w:val="00D06DD9"/>
    <w:rsid w:val="00D078BE"/>
    <w:rsid w:val="00D13F8A"/>
    <w:rsid w:val="00D6796A"/>
    <w:rsid w:val="00D750E1"/>
    <w:rsid w:val="00D86D27"/>
    <w:rsid w:val="00D918D5"/>
    <w:rsid w:val="00D92963"/>
    <w:rsid w:val="00D92FD7"/>
    <w:rsid w:val="00D960DB"/>
    <w:rsid w:val="00D97437"/>
    <w:rsid w:val="00DB06E3"/>
    <w:rsid w:val="00DE1602"/>
    <w:rsid w:val="00DF0452"/>
    <w:rsid w:val="00DF62EA"/>
    <w:rsid w:val="00E008B8"/>
    <w:rsid w:val="00E2080C"/>
    <w:rsid w:val="00E4380A"/>
    <w:rsid w:val="00E53D3F"/>
    <w:rsid w:val="00E55BAE"/>
    <w:rsid w:val="00E562E4"/>
    <w:rsid w:val="00E75D64"/>
    <w:rsid w:val="00E81CC3"/>
    <w:rsid w:val="00E86063"/>
    <w:rsid w:val="00E92478"/>
    <w:rsid w:val="00EA2645"/>
    <w:rsid w:val="00EC424C"/>
    <w:rsid w:val="00ED5F5D"/>
    <w:rsid w:val="00EE0E9A"/>
    <w:rsid w:val="00EE3AA2"/>
    <w:rsid w:val="00EE57BE"/>
    <w:rsid w:val="00EF577B"/>
    <w:rsid w:val="00F02AEC"/>
    <w:rsid w:val="00F04409"/>
    <w:rsid w:val="00F124E1"/>
    <w:rsid w:val="00F14E79"/>
    <w:rsid w:val="00F2283B"/>
    <w:rsid w:val="00F27100"/>
    <w:rsid w:val="00F55DD1"/>
    <w:rsid w:val="00F56000"/>
    <w:rsid w:val="00F56466"/>
    <w:rsid w:val="00F63A70"/>
    <w:rsid w:val="00F72BFA"/>
    <w:rsid w:val="00F74199"/>
    <w:rsid w:val="00F801F5"/>
    <w:rsid w:val="00F82AB6"/>
    <w:rsid w:val="00FA2512"/>
    <w:rsid w:val="00FA49C3"/>
    <w:rsid w:val="00FB361D"/>
    <w:rsid w:val="00FC78A8"/>
    <w:rsid w:val="00FD318A"/>
    <w:rsid w:val="00FE76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C0C5F"/>
  <w15:docId w15:val="{6B0714BE-298B-4F06-A321-8F0D8743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54C"/>
    <w:rPr>
      <w:rFonts w:ascii="Arial" w:hAnsi="Arial"/>
    </w:rPr>
  </w:style>
  <w:style w:type="paragraph" w:styleId="Heading1">
    <w:name w:val="heading 1"/>
    <w:basedOn w:val="Normal"/>
    <w:next w:val="Normal"/>
    <w:link w:val="Heading1Char"/>
    <w:uiPriority w:val="9"/>
    <w:qFormat/>
    <w:rsid w:val="00CC38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C381E"/>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CC381E"/>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531034"/>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uiPriority w:val="9"/>
    <w:rsid w:val="00BB054C"/>
    <w:pPr>
      <w:keepNext/>
      <w:keepLines/>
      <w:numPr>
        <w:numId w:val="18"/>
      </w:numPr>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594004"/>
    <w:pPr>
      <w:keepNext/>
      <w:keepLines/>
      <w:spacing w:before="240" w:line="240" w:lineRule="atLeast"/>
      <w:ind w:firstLine="720"/>
      <w:outlineLvl w:val="5"/>
    </w:pPr>
    <w:rPr>
      <w:rFonts w:eastAsia="Times New Roman" w:cs="Times New Roman"/>
      <w:bCs/>
      <w:color w:val="001871"/>
      <w:sz w:val="24"/>
      <w:szCs w:val="21"/>
    </w:rPr>
  </w:style>
  <w:style w:type="paragraph" w:styleId="Heading7">
    <w:name w:val="heading 7"/>
    <w:basedOn w:val="Normal"/>
    <w:next w:val="Normal"/>
    <w:link w:val="Heading7Char"/>
    <w:uiPriority w:val="9"/>
    <w:rsid w:val="00CC381E"/>
    <w:pPr>
      <w:keepNext/>
      <w:keepLines/>
      <w:spacing w:before="240" w:after="60" w:line="180" w:lineRule="atLeast"/>
      <w:ind w:left="1296" w:hanging="1296"/>
      <w:outlineLvl w:val="6"/>
    </w:pPr>
    <w:rPr>
      <w:rFonts w:ascii="Cambria" w:eastAsia="Times New Roman" w:hAnsi="Cambria" w:cs="Times New Roman"/>
      <w:bCs/>
      <w:i/>
      <w:szCs w:val="22"/>
    </w:rPr>
  </w:style>
  <w:style w:type="paragraph" w:styleId="Heading8">
    <w:name w:val="heading 8"/>
    <w:basedOn w:val="Normal"/>
    <w:next w:val="Normal"/>
    <w:link w:val="Heading8Char"/>
    <w:autoRedefine/>
    <w:uiPriority w:val="9"/>
    <w:semiHidden/>
    <w:unhideWhenUsed/>
    <w:qFormat/>
    <w:rsid w:val="00CC381E"/>
    <w:pPr>
      <w:keepNext/>
      <w:keepLines/>
      <w:spacing w:before="200" w:after="0" w:line="240" w:lineRule="atLeast"/>
      <w:ind w:left="1440" w:hanging="1440"/>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CC381E"/>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CC381E"/>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character" w:customStyle="1" w:styleId="Heading2Char">
    <w:name w:val="Heading 2 Char"/>
    <w:basedOn w:val="DefaultParagraphFont"/>
    <w:link w:val="Heading2"/>
    <w:rsid w:val="00CC381E"/>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CC381E"/>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531034"/>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BB054C"/>
    <w:rPr>
      <w:rFonts w:ascii="Arial" w:eastAsia="Times New Roman" w:hAnsi="Arial" w:cs="Times New Roman"/>
      <w:bCs/>
      <w:i/>
      <w:color w:val="001871"/>
      <w:sz w:val="26"/>
      <w:szCs w:val="26"/>
    </w:rPr>
  </w:style>
  <w:style w:type="character" w:customStyle="1" w:styleId="Heading6Char">
    <w:name w:val="Heading 6 Char"/>
    <w:basedOn w:val="DefaultParagraphFont"/>
    <w:link w:val="Heading6"/>
    <w:uiPriority w:val="9"/>
    <w:rsid w:val="00594004"/>
    <w:rPr>
      <w:rFonts w:ascii="Arial" w:eastAsia="Times New Roman" w:hAnsi="Arial" w:cs="Times New Roman"/>
      <w:bCs/>
      <w:color w:val="001871"/>
      <w:sz w:val="24"/>
      <w:szCs w:val="21"/>
    </w:rPr>
  </w:style>
  <w:style w:type="paragraph" w:styleId="Date">
    <w:name w:val="Date"/>
    <w:basedOn w:val="Normal"/>
    <w:next w:val="Normal"/>
    <w:link w:val="DateChar"/>
    <w:uiPriority w:val="99"/>
    <w:rsid w:val="00CC381E"/>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CC381E"/>
    <w:rPr>
      <w:rFonts w:ascii="Arial" w:eastAsia="Cambria" w:hAnsi="Arial" w:cs="Times New Roman"/>
      <w:color w:val="333F4A"/>
      <w:sz w:val="28"/>
    </w:rPr>
  </w:style>
  <w:style w:type="paragraph" w:styleId="Footer">
    <w:name w:val="footer"/>
    <w:basedOn w:val="Normal"/>
    <w:link w:val="FooterChar"/>
    <w:uiPriority w:val="99"/>
    <w:rsid w:val="00CC381E"/>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CC381E"/>
    <w:rPr>
      <w:rFonts w:ascii="Arial" w:eastAsia="Cambria" w:hAnsi="Arial" w:cs="Times New Roman"/>
      <w:color w:val="333F4A"/>
      <w:sz w:val="17"/>
    </w:rPr>
  </w:style>
  <w:style w:type="paragraph" w:styleId="Header">
    <w:name w:val="header"/>
    <w:basedOn w:val="Normal"/>
    <w:link w:val="HeaderChar"/>
    <w:uiPriority w:val="99"/>
    <w:rsid w:val="00CC381E"/>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CC381E"/>
    <w:rPr>
      <w:rFonts w:ascii="Arial" w:eastAsia="Cambria" w:hAnsi="Arial" w:cs="Times New Roman"/>
      <w:color w:val="333F4A"/>
      <w:sz w:val="17"/>
    </w:rPr>
  </w:style>
  <w:style w:type="character" w:styleId="Hyperlink">
    <w:name w:val="Hyperlink"/>
    <w:aliases w:val="OECD Hyperlink"/>
    <w:basedOn w:val="DefaultParagraphFont"/>
    <w:uiPriority w:val="99"/>
    <w:unhideWhenUsed/>
    <w:rsid w:val="00CC381E"/>
    <w:rPr>
      <w:rFonts w:ascii="Arial" w:hAnsi="Arial"/>
      <w:color w:val="0000FF"/>
      <w:u w:val="single"/>
    </w:rPr>
  </w:style>
  <w:style w:type="paragraph" w:customStyle="1" w:styleId="LegalCopy">
    <w:name w:val="Legal Copy"/>
    <w:basedOn w:val="Footer"/>
    <w:rsid w:val="00CC381E"/>
  </w:style>
  <w:style w:type="paragraph" w:customStyle="1" w:styleId="LegalSubheading">
    <w:name w:val="Legal Subheading"/>
    <w:basedOn w:val="Normal"/>
    <w:rsid w:val="00CC381E"/>
    <w:pPr>
      <w:outlineLvl w:val="1"/>
    </w:pPr>
    <w:rPr>
      <w:sz w:val="17"/>
    </w:rPr>
  </w:style>
  <w:style w:type="paragraph" w:styleId="ListBullet">
    <w:name w:val="List Bullet"/>
    <w:basedOn w:val="Normal"/>
    <w:link w:val="ListBulletChar"/>
    <w:autoRedefine/>
    <w:uiPriority w:val="2"/>
    <w:qFormat/>
    <w:rsid w:val="000A4597"/>
    <w:pPr>
      <w:numPr>
        <w:numId w:val="7"/>
      </w:numPr>
      <w:spacing w:before="120" w:after="180" w:line="240" w:lineRule="atLeast"/>
    </w:pPr>
    <w:rPr>
      <w:rFonts w:eastAsia="Cambria" w:cs="Times New Roman"/>
    </w:rPr>
  </w:style>
  <w:style w:type="paragraph" w:styleId="ListBullet2">
    <w:name w:val="List Bullet 2"/>
    <w:basedOn w:val="Normal"/>
    <w:uiPriority w:val="2"/>
    <w:qFormat/>
    <w:rsid w:val="006101F2"/>
    <w:pPr>
      <w:numPr>
        <w:ilvl w:val="1"/>
        <w:numId w:val="7"/>
      </w:numPr>
      <w:spacing w:before="120" w:after="180" w:line="240" w:lineRule="atLeast"/>
    </w:pPr>
    <w:rPr>
      <w:rFonts w:eastAsia="Cambria" w:cs="Times New Roman"/>
    </w:rPr>
  </w:style>
  <w:style w:type="paragraph" w:styleId="ListBullet3">
    <w:name w:val="List Bullet 3"/>
    <w:basedOn w:val="Normal"/>
    <w:uiPriority w:val="2"/>
    <w:qFormat/>
    <w:rsid w:val="00CC381E"/>
    <w:pPr>
      <w:numPr>
        <w:numId w:val="4"/>
      </w:numPr>
      <w:spacing w:before="120" w:after="180" w:line="240" w:lineRule="atLeast"/>
    </w:pPr>
    <w:rPr>
      <w:rFonts w:eastAsia="Cambria" w:cs="Times New Roman"/>
      <w:color w:val="333F48"/>
    </w:rPr>
  </w:style>
  <w:style w:type="numbering" w:customStyle="1" w:styleId="ListBullets">
    <w:name w:val="ListBullets"/>
    <w:uiPriority w:val="99"/>
    <w:locked/>
    <w:rsid w:val="00CC381E"/>
    <w:pPr>
      <w:numPr>
        <w:numId w:val="2"/>
      </w:numPr>
    </w:pPr>
  </w:style>
  <w:style w:type="paragraph" w:customStyle="1" w:styleId="Numberbullet0">
    <w:name w:val="Number bullet"/>
    <w:basedOn w:val="ListBullet"/>
    <w:uiPriority w:val="3"/>
    <w:qFormat/>
    <w:rsid w:val="00CC381E"/>
    <w:pPr>
      <w:numPr>
        <w:numId w:val="10"/>
      </w:numPr>
    </w:pPr>
  </w:style>
  <w:style w:type="paragraph" w:customStyle="1" w:styleId="Numberbullet2">
    <w:name w:val="Number bullet 2"/>
    <w:basedOn w:val="ListBullet2"/>
    <w:uiPriority w:val="3"/>
    <w:qFormat/>
    <w:rsid w:val="00CC381E"/>
    <w:pPr>
      <w:numPr>
        <w:ilvl w:val="0"/>
        <w:numId w:val="8"/>
      </w:numPr>
    </w:pPr>
  </w:style>
  <w:style w:type="paragraph" w:customStyle="1" w:styleId="Numberbullet3">
    <w:name w:val="Number bullet 3"/>
    <w:basedOn w:val="Normal"/>
    <w:uiPriority w:val="3"/>
    <w:qFormat/>
    <w:rsid w:val="002A2130"/>
    <w:pPr>
      <w:numPr>
        <w:numId w:val="9"/>
      </w:numPr>
      <w:spacing w:before="120" w:after="180" w:line="240" w:lineRule="atLeast"/>
    </w:pPr>
    <w:rPr>
      <w:rFonts w:eastAsia="Cambria" w:cs="Times New Roman"/>
      <w:color w:val="333F48"/>
    </w:rPr>
  </w:style>
  <w:style w:type="numbering" w:customStyle="1" w:styleId="NumberBullet">
    <w:name w:val="NumberBullet"/>
    <w:uiPriority w:val="99"/>
    <w:locked/>
    <w:rsid w:val="00CC381E"/>
    <w:pPr>
      <w:numPr>
        <w:numId w:val="1"/>
      </w:numPr>
    </w:pPr>
  </w:style>
  <w:style w:type="paragraph" w:styleId="Subtitle">
    <w:name w:val="Subtitle"/>
    <w:basedOn w:val="Normal"/>
    <w:link w:val="SubtitleChar"/>
    <w:uiPriority w:val="11"/>
    <w:rsid w:val="00CC381E"/>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CC381E"/>
    <w:rPr>
      <w:rFonts w:ascii="Arial" w:eastAsia="Times New Roman" w:hAnsi="Arial" w:cs="Times New Roman"/>
      <w:bCs/>
      <w:iCs/>
      <w:color w:val="006BA6"/>
      <w:sz w:val="40"/>
      <w:szCs w:val="24"/>
    </w:rPr>
  </w:style>
  <w:style w:type="table" w:styleId="TableGrid">
    <w:name w:val="Table Grid"/>
    <w:basedOn w:val="TableNormal"/>
    <w:uiPriority w:val="59"/>
    <w:rsid w:val="00CC381E"/>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CC381E"/>
    <w:pPr>
      <w:spacing w:before="120" w:after="360" w:line="240" w:lineRule="atLeast"/>
      <w:jc w:val="center"/>
    </w:pPr>
    <w:rPr>
      <w:rFonts w:eastAsia="Cambria" w:cs="Times New Roman"/>
      <w:b/>
      <w:color w:val="333F48"/>
      <w:sz w:val="28"/>
    </w:rPr>
  </w:style>
  <w:style w:type="paragraph" w:styleId="Title">
    <w:name w:val="Title"/>
    <w:link w:val="TitleChar"/>
    <w:uiPriority w:val="10"/>
    <w:rsid w:val="00CC381E"/>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CC381E"/>
    <w:rPr>
      <w:rFonts w:ascii="Arial" w:eastAsia="Times New Roman" w:hAnsi="Arial" w:cs="Times New Roman"/>
      <w:color w:val="001871"/>
      <w:spacing w:val="5"/>
      <w:kern w:val="28"/>
      <w:sz w:val="52"/>
      <w:szCs w:val="52"/>
    </w:rPr>
  </w:style>
  <w:style w:type="paragraph" w:styleId="TOC1">
    <w:name w:val="toc 1"/>
    <w:basedOn w:val="Normal"/>
    <w:next w:val="Normal"/>
    <w:autoRedefine/>
    <w:uiPriority w:val="39"/>
    <w:unhideWhenUsed/>
    <w:rsid w:val="00CC381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CC381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CC381E"/>
    <w:pPr>
      <w:keepNext/>
      <w:keepLines/>
      <w:tabs>
        <w:tab w:val="right" w:leader="hyphen" w:pos="8505"/>
      </w:tabs>
      <w:spacing w:before="60" w:after="0" w:line="240" w:lineRule="atLeast"/>
      <w:ind w:left="851"/>
    </w:pPr>
    <w:rPr>
      <w:rFonts w:eastAsia="Cambria" w:cs="Times New Roman"/>
      <w:color w:val="333F48"/>
      <w:sz w:val="22"/>
    </w:rPr>
  </w:style>
  <w:style w:type="paragraph" w:styleId="FootnoteText">
    <w:name w:val="footnote text"/>
    <w:basedOn w:val="Normal"/>
    <w:link w:val="FootnoteTextChar"/>
    <w:rsid w:val="00CC381E"/>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CC381E"/>
    <w:rPr>
      <w:rFonts w:ascii="Arial" w:eastAsia="Cambria" w:hAnsi="Arial" w:cs="Times New Roman"/>
      <w:color w:val="333F48"/>
      <w:sz w:val="16"/>
    </w:rPr>
  </w:style>
  <w:style w:type="character" w:styleId="FootnoteReference">
    <w:name w:val="footnote reference"/>
    <w:basedOn w:val="DefaultParagraphFont"/>
    <w:uiPriority w:val="99"/>
    <w:unhideWhenUsed/>
    <w:rsid w:val="00CC381E"/>
    <w:rPr>
      <w:vertAlign w:val="superscript"/>
    </w:rPr>
  </w:style>
  <w:style w:type="paragraph" w:customStyle="1" w:styleId="NonTOCheading2">
    <w:name w:val="Non TOC heading 2"/>
    <w:basedOn w:val="Normal"/>
    <w:next w:val="Normal"/>
    <w:rsid w:val="00CC381E"/>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CC381E"/>
    <w:pPr>
      <w:pBdr>
        <w:bottom w:val="none" w:sz="0" w:space="0" w:color="auto"/>
      </w:pBdr>
      <w:spacing w:line="240" w:lineRule="atLeast"/>
    </w:pPr>
  </w:style>
  <w:style w:type="paragraph" w:customStyle="1" w:styleId="Tabledescription">
    <w:name w:val="Table description"/>
    <w:basedOn w:val="Normal"/>
    <w:next w:val="Normal"/>
    <w:rsid w:val="00CC381E"/>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CC381E"/>
    <w:pPr>
      <w:keepNext/>
      <w:spacing w:before="120" w:after="180" w:line="240" w:lineRule="atLeast"/>
    </w:pPr>
    <w:rPr>
      <w:rFonts w:eastAsia="Cambria" w:cs="Times New Roman"/>
      <w:b/>
      <w:color w:val="333F48"/>
    </w:rPr>
  </w:style>
  <w:style w:type="paragraph" w:customStyle="1" w:styleId="Address">
    <w:name w:val="Address"/>
    <w:basedOn w:val="Normal"/>
    <w:rsid w:val="00CC381E"/>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CC381E"/>
    <w:pPr>
      <w:tabs>
        <w:tab w:val="left" w:pos="425"/>
      </w:tabs>
    </w:pPr>
  </w:style>
  <w:style w:type="paragraph" w:customStyle="1" w:styleId="ListBullet-donotcross">
    <w:name w:val="List Bullet - do not (cross)"/>
    <w:basedOn w:val="ListBullet"/>
    <w:autoRedefine/>
    <w:uiPriority w:val="1"/>
    <w:qFormat/>
    <w:rsid w:val="00CC381E"/>
    <w:pPr>
      <w:ind w:left="357" w:hanging="357"/>
    </w:pPr>
    <w:rPr>
      <w:rFonts w:eastAsiaTheme="minorHAnsi" w:cstheme="minorBidi"/>
      <w:szCs w:val="22"/>
    </w:rPr>
  </w:style>
  <w:style w:type="table" w:customStyle="1" w:styleId="TGABlack2023">
    <w:name w:val="TGA Black 2023"/>
    <w:basedOn w:val="TableTGAblue2023"/>
    <w:uiPriority w:val="99"/>
    <w:rsid w:val="00CC381E"/>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CommentReference">
    <w:name w:val="annotation reference"/>
    <w:basedOn w:val="DefaultParagraphFont"/>
    <w:uiPriority w:val="99"/>
    <w:semiHidden/>
    <w:unhideWhenUsed/>
    <w:rsid w:val="00CC381E"/>
    <w:rPr>
      <w:sz w:val="16"/>
      <w:szCs w:val="16"/>
    </w:rPr>
  </w:style>
  <w:style w:type="paragraph" w:styleId="CommentText">
    <w:name w:val="annotation text"/>
    <w:basedOn w:val="Normal"/>
    <w:link w:val="CommentTextChar"/>
    <w:uiPriority w:val="99"/>
    <w:unhideWhenUsed/>
    <w:rsid w:val="00CC381E"/>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CC381E"/>
    <w:rPr>
      <w:rFonts w:ascii="Cambria" w:eastAsia="Cambria" w:hAnsi="Cambria" w:cs="Times New Roman"/>
    </w:rPr>
  </w:style>
  <w:style w:type="numbering" w:customStyle="1" w:styleId="NumberBullet1">
    <w:name w:val="NumberBullet1"/>
    <w:uiPriority w:val="99"/>
    <w:locked/>
    <w:rsid w:val="00CC381E"/>
  </w:style>
  <w:style w:type="table" w:customStyle="1" w:styleId="TableGrid1">
    <w:name w:val="Table Grid1"/>
    <w:basedOn w:val="TableNormal"/>
    <w:next w:val="TableGrid"/>
    <w:uiPriority w:val="39"/>
    <w:rsid w:val="002008D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381E"/>
    <w:rPr>
      <w:color w:val="808080"/>
    </w:rPr>
  </w:style>
  <w:style w:type="character" w:customStyle="1" w:styleId="Heading7Char">
    <w:name w:val="Heading 7 Char"/>
    <w:basedOn w:val="DefaultParagraphFont"/>
    <w:link w:val="Heading7"/>
    <w:uiPriority w:val="9"/>
    <w:rsid w:val="00CC381E"/>
    <w:rPr>
      <w:rFonts w:ascii="Cambria" w:eastAsia="Times New Roman" w:hAnsi="Cambria" w:cs="Times New Roman"/>
      <w:bCs/>
      <w:i/>
      <w:szCs w:val="22"/>
    </w:rPr>
  </w:style>
  <w:style w:type="character" w:styleId="SubtleReference">
    <w:name w:val="Subtle Reference"/>
    <w:basedOn w:val="DefaultParagraphFont"/>
    <w:uiPriority w:val="31"/>
    <w:qFormat/>
    <w:rsid w:val="00CC381E"/>
    <w:rPr>
      <w:rFonts w:ascii="Arial" w:hAnsi="Arial"/>
      <w:smallCaps/>
      <w:color w:val="0D0D0D" w:themeColor="text1" w:themeTint="F2"/>
    </w:rPr>
  </w:style>
  <w:style w:type="character" w:styleId="SubtleEmphasis">
    <w:name w:val="Subtle Emphasis"/>
    <w:basedOn w:val="DefaultParagraphFont"/>
    <w:uiPriority w:val="19"/>
    <w:qFormat/>
    <w:rsid w:val="00CC381E"/>
    <w:rPr>
      <w:rFonts w:ascii="Arial" w:hAnsi="Arial"/>
      <w:i/>
      <w:iCs/>
      <w:color w:val="000000" w:themeColor="text1"/>
    </w:rPr>
  </w:style>
  <w:style w:type="paragraph" w:styleId="CommentSubject">
    <w:name w:val="annotation subject"/>
    <w:basedOn w:val="CommentText"/>
    <w:next w:val="CommentText"/>
    <w:link w:val="CommentSubjectChar"/>
    <w:uiPriority w:val="99"/>
    <w:semiHidden/>
    <w:unhideWhenUsed/>
    <w:rsid w:val="00CC381E"/>
    <w:rPr>
      <w:b/>
      <w:bCs/>
    </w:rPr>
  </w:style>
  <w:style w:type="character" w:customStyle="1" w:styleId="CommentSubjectChar">
    <w:name w:val="Comment Subject Char"/>
    <w:basedOn w:val="CommentTextChar"/>
    <w:link w:val="CommentSubject"/>
    <w:uiPriority w:val="99"/>
    <w:semiHidden/>
    <w:rsid w:val="00CC381E"/>
    <w:rPr>
      <w:rFonts w:ascii="Cambria" w:eastAsia="Cambria" w:hAnsi="Cambria" w:cs="Times New Roman"/>
      <w:b/>
      <w:bCs/>
    </w:rPr>
  </w:style>
  <w:style w:type="paragraph" w:styleId="NoSpacing">
    <w:name w:val="No Spacing"/>
    <w:autoRedefine/>
    <w:uiPriority w:val="1"/>
    <w:qFormat/>
    <w:rsid w:val="00CC381E"/>
    <w:pPr>
      <w:spacing w:after="0" w:line="240" w:lineRule="auto"/>
    </w:pPr>
    <w:rPr>
      <w:rFonts w:ascii="Arial" w:hAnsi="Arial"/>
      <w:color w:val="000000" w:themeColor="text1"/>
      <w:sz w:val="22"/>
    </w:rPr>
  </w:style>
  <w:style w:type="character" w:styleId="Emphasis">
    <w:name w:val="Emphasis"/>
    <w:basedOn w:val="DefaultParagraphFont"/>
    <w:uiPriority w:val="20"/>
    <w:qFormat/>
    <w:rsid w:val="00CC381E"/>
    <w:rPr>
      <w:rFonts w:ascii="Arial" w:hAnsi="Arial"/>
      <w:i/>
      <w:iCs/>
    </w:rPr>
  </w:style>
  <w:style w:type="character" w:styleId="Strong">
    <w:name w:val="Strong"/>
    <w:basedOn w:val="DefaultParagraphFont"/>
    <w:uiPriority w:val="22"/>
    <w:qFormat/>
    <w:rsid w:val="00CC381E"/>
    <w:rPr>
      <w:rFonts w:ascii="Arial" w:hAnsi="Arial"/>
      <w:b/>
      <w:bCs/>
      <w:color w:val="000000" w:themeColor="text1"/>
    </w:rPr>
  </w:style>
  <w:style w:type="paragraph" w:styleId="Quote">
    <w:name w:val="Quote"/>
    <w:basedOn w:val="Normal"/>
    <w:next w:val="Normal"/>
    <w:link w:val="QuoteChar"/>
    <w:autoRedefine/>
    <w:uiPriority w:val="29"/>
    <w:qFormat/>
    <w:rsid w:val="00CC381E"/>
    <w:pPr>
      <w:spacing w:before="200" w:after="160"/>
      <w:ind w:left="864" w:right="864"/>
      <w:jc w:val="center"/>
    </w:pPr>
    <w:rPr>
      <w:i/>
      <w:iCs/>
    </w:rPr>
  </w:style>
  <w:style w:type="character" w:customStyle="1" w:styleId="QuoteChar">
    <w:name w:val="Quote Char"/>
    <w:basedOn w:val="DefaultParagraphFont"/>
    <w:link w:val="Quote"/>
    <w:uiPriority w:val="29"/>
    <w:rsid w:val="00CC381E"/>
    <w:rPr>
      <w:rFonts w:ascii="Arial" w:hAnsi="Arial"/>
      <w:i/>
      <w:iCs/>
    </w:rPr>
  </w:style>
  <w:style w:type="character" w:styleId="BookTitle">
    <w:name w:val="Book Title"/>
    <w:basedOn w:val="DefaultParagraphFont"/>
    <w:uiPriority w:val="33"/>
    <w:qFormat/>
    <w:rsid w:val="00CC381E"/>
    <w:rPr>
      <w:rFonts w:ascii="Arial" w:hAnsi="Arial"/>
      <w:b/>
      <w:bCs/>
      <w:i/>
      <w:iCs/>
      <w:spacing w:val="5"/>
    </w:rPr>
  </w:style>
  <w:style w:type="paragraph" w:styleId="ListParagraph">
    <w:name w:val="List Paragraph"/>
    <w:basedOn w:val="ListBullet"/>
    <w:autoRedefine/>
    <w:uiPriority w:val="34"/>
    <w:qFormat/>
    <w:rsid w:val="00CC381E"/>
    <w:pPr>
      <w:ind w:left="357" w:hanging="357"/>
      <w:contextualSpacing/>
    </w:pPr>
  </w:style>
  <w:style w:type="paragraph" w:styleId="BalloonText">
    <w:name w:val="Balloon Text"/>
    <w:basedOn w:val="Normal"/>
    <w:link w:val="BalloonTextChar"/>
    <w:uiPriority w:val="99"/>
    <w:semiHidden/>
    <w:unhideWhenUsed/>
    <w:rsid w:val="00CC381E"/>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CC381E"/>
    <w:rPr>
      <w:rFonts w:ascii="Tahoma" w:eastAsia="Cambria" w:hAnsi="Tahoma" w:cs="Tahoma"/>
      <w:sz w:val="16"/>
      <w:szCs w:val="16"/>
    </w:rPr>
  </w:style>
  <w:style w:type="paragraph" w:customStyle="1" w:styleId="Default">
    <w:name w:val="Default"/>
    <w:rsid w:val="00CC381E"/>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paragraph" w:styleId="DocumentMap">
    <w:name w:val="Document Map"/>
    <w:basedOn w:val="Normal"/>
    <w:link w:val="DocumentMapChar"/>
    <w:uiPriority w:val="99"/>
    <w:semiHidden/>
    <w:unhideWhenUsed/>
    <w:rsid w:val="00CC381E"/>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CC381E"/>
    <w:rPr>
      <w:rFonts w:ascii="Tahoma" w:eastAsia="Cambria" w:hAnsi="Tahoma" w:cs="Tahoma"/>
      <w:sz w:val="16"/>
      <w:szCs w:val="16"/>
    </w:rPr>
  </w:style>
  <w:style w:type="character" w:styleId="EndnoteReference">
    <w:name w:val="endnote reference"/>
    <w:basedOn w:val="DefaultParagraphFont"/>
    <w:uiPriority w:val="99"/>
    <w:semiHidden/>
    <w:unhideWhenUsed/>
    <w:rsid w:val="00CC381E"/>
    <w:rPr>
      <w:vertAlign w:val="superscript"/>
    </w:rPr>
  </w:style>
  <w:style w:type="paragraph" w:styleId="EndnoteText">
    <w:name w:val="endnote text"/>
    <w:basedOn w:val="FootnoteText"/>
    <w:link w:val="EndnoteTextChar"/>
    <w:semiHidden/>
    <w:unhideWhenUsed/>
    <w:rsid w:val="00CC381E"/>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CC381E"/>
    <w:rPr>
      <w:rFonts w:eastAsia="Cambria"/>
      <w:sz w:val="16"/>
      <w:szCs w:val="22"/>
    </w:rPr>
  </w:style>
  <w:style w:type="character" w:styleId="FollowedHyperlink">
    <w:name w:val="FollowedHyperlink"/>
    <w:basedOn w:val="DefaultParagraphFont"/>
    <w:semiHidden/>
    <w:unhideWhenUsed/>
    <w:rsid w:val="00CC381E"/>
    <w:rPr>
      <w:color w:val="800080"/>
      <w:u w:val="single"/>
    </w:rPr>
  </w:style>
  <w:style w:type="character" w:customStyle="1" w:styleId="fontstyle01">
    <w:name w:val="fontstyle01"/>
    <w:basedOn w:val="DefaultParagraphFont"/>
    <w:rsid w:val="00CC381E"/>
    <w:rPr>
      <w:rFonts w:ascii="Cambria" w:hAnsi="Cambria" w:hint="default"/>
      <w:b w:val="0"/>
      <w:bCs w:val="0"/>
      <w:i w:val="0"/>
      <w:iCs w:val="0"/>
      <w:color w:val="000000"/>
      <w:sz w:val="22"/>
      <w:szCs w:val="22"/>
    </w:rPr>
  </w:style>
  <w:style w:type="character" w:customStyle="1" w:styleId="fontstyle21">
    <w:name w:val="fontstyle21"/>
    <w:basedOn w:val="DefaultParagraphFont"/>
    <w:rsid w:val="00CC381E"/>
    <w:rPr>
      <w:rFonts w:ascii="Cambria-Bold" w:hAnsi="Cambria-Bold" w:hint="default"/>
      <w:b/>
      <w:bCs/>
      <w:i w:val="0"/>
      <w:iCs w:val="0"/>
      <w:color w:val="000000"/>
      <w:sz w:val="22"/>
      <w:szCs w:val="22"/>
    </w:rPr>
  </w:style>
  <w:style w:type="paragraph" w:customStyle="1" w:styleId="HeaderNoLine0">
    <w:name w:val="Header No Line"/>
    <w:basedOn w:val="Header"/>
    <w:rsid w:val="00CC381E"/>
    <w:pPr>
      <w:pBdr>
        <w:bottom w:val="none" w:sz="0" w:space="0" w:color="auto"/>
      </w:pBdr>
    </w:pPr>
    <w:rPr>
      <w:rFonts w:ascii="Cambria" w:hAnsi="Cambria"/>
      <w:color w:val="auto"/>
    </w:rPr>
  </w:style>
  <w:style w:type="character" w:customStyle="1" w:styleId="Heading1Char">
    <w:name w:val="Heading 1 Char"/>
    <w:basedOn w:val="DefaultParagraphFont"/>
    <w:link w:val="Heading1"/>
    <w:uiPriority w:val="9"/>
    <w:rsid w:val="00CC381E"/>
    <w:rPr>
      <w:rFonts w:asciiTheme="majorHAnsi" w:eastAsiaTheme="majorEastAsia" w:hAnsiTheme="majorHAnsi" w:cstheme="majorBidi"/>
      <w:color w:val="2F5496" w:themeColor="accent1" w:themeShade="BF"/>
      <w:sz w:val="32"/>
      <w:szCs w:val="32"/>
    </w:rPr>
  </w:style>
  <w:style w:type="character" w:customStyle="1" w:styleId="Heading8Char">
    <w:name w:val="Heading 8 Char"/>
    <w:basedOn w:val="DefaultParagraphFont"/>
    <w:link w:val="Heading8"/>
    <w:uiPriority w:val="9"/>
    <w:semiHidden/>
    <w:rsid w:val="00CC381E"/>
    <w:rPr>
      <w:rFonts w:ascii="Arial" w:eastAsiaTheme="majorEastAsia" w:hAnsi="Arial" w:cstheme="majorBidi"/>
    </w:rPr>
  </w:style>
  <w:style w:type="character" w:customStyle="1" w:styleId="Heading9Char">
    <w:name w:val="Heading 9 Char"/>
    <w:basedOn w:val="DefaultParagraphFont"/>
    <w:link w:val="Heading9"/>
    <w:uiPriority w:val="9"/>
    <w:semiHidden/>
    <w:rsid w:val="00CC381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CC381E"/>
    <w:rPr>
      <w:rFonts w:ascii="Arial" w:hAnsi="Arial"/>
      <w:i/>
      <w:iCs/>
      <w:color w:val="auto"/>
    </w:rPr>
  </w:style>
  <w:style w:type="character" w:styleId="IntenseReference">
    <w:name w:val="Intense Reference"/>
    <w:basedOn w:val="DefaultParagraphFont"/>
    <w:uiPriority w:val="32"/>
    <w:qFormat/>
    <w:rsid w:val="00CC381E"/>
    <w:rPr>
      <w:rFonts w:ascii="Arial" w:hAnsi="Arial"/>
      <w:b/>
      <w:bCs/>
      <w:smallCaps/>
      <w:color w:val="1F3864" w:themeColor="accent1" w:themeShade="80"/>
      <w:spacing w:val="5"/>
    </w:rPr>
  </w:style>
  <w:style w:type="paragraph" w:customStyle="1" w:styleId="Legislation">
    <w:name w:val="Legislation"/>
    <w:basedOn w:val="Normal"/>
    <w:qFormat/>
    <w:rsid w:val="00CC381E"/>
    <w:pPr>
      <w:jc w:val="center"/>
    </w:pPr>
    <w:rPr>
      <w:i/>
      <w:color w:val="333F48"/>
    </w:rPr>
  </w:style>
  <w:style w:type="paragraph" w:customStyle="1" w:styleId="Legislation-list">
    <w:name w:val="Legislation-list"/>
    <w:basedOn w:val="Numberbullet0"/>
    <w:rsid w:val="00CC381E"/>
    <w:pPr>
      <w:numPr>
        <w:numId w:val="3"/>
      </w:numPr>
      <w:jc w:val="center"/>
    </w:pPr>
    <w:rPr>
      <w:i/>
    </w:rPr>
  </w:style>
  <w:style w:type="table" w:styleId="LightList-Accent1">
    <w:name w:val="Light List Accent 1"/>
    <w:basedOn w:val="TableNormal"/>
    <w:uiPriority w:val="61"/>
    <w:rsid w:val="00CC381E"/>
    <w:pPr>
      <w:spacing w:after="0" w:line="240" w:lineRule="auto"/>
    </w:pPr>
    <w:rPr>
      <w:rFonts w:eastAsiaTheme="minorEastAsia"/>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Accent2">
    <w:name w:val="Light Shading Accent 2"/>
    <w:basedOn w:val="TableNormal"/>
    <w:uiPriority w:val="60"/>
    <w:rsid w:val="00CC381E"/>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CC381E"/>
    <w:pPr>
      <w:spacing w:after="0" w:line="240" w:lineRule="auto"/>
    </w:pPr>
    <w:rPr>
      <w:rFonts w:ascii="Cambria" w:eastAsia="Cambria" w:hAnsi="Cambria"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Bulleta">
    <w:name w:val="List Bullet (a)"/>
    <w:basedOn w:val="ListBullet"/>
    <w:link w:val="ListBulletaChar"/>
    <w:autoRedefine/>
    <w:uiPriority w:val="1"/>
    <w:qFormat/>
    <w:rsid w:val="00C91B2B"/>
    <w:pPr>
      <w:numPr>
        <w:numId w:val="5"/>
      </w:numPr>
    </w:pPr>
  </w:style>
  <w:style w:type="paragraph" w:customStyle="1" w:styleId="ListBulleti">
    <w:name w:val="List Bullet (i)"/>
    <w:basedOn w:val="ListBullet"/>
    <w:autoRedefine/>
    <w:uiPriority w:val="1"/>
    <w:qFormat/>
    <w:rsid w:val="00BB3352"/>
    <w:pPr>
      <w:numPr>
        <w:numId w:val="6"/>
      </w:numPr>
    </w:pPr>
  </w:style>
  <w:style w:type="numbering" w:customStyle="1" w:styleId="ListBullets1">
    <w:name w:val="ListBullets1"/>
    <w:uiPriority w:val="99"/>
    <w:rsid w:val="00CC381E"/>
  </w:style>
  <w:style w:type="table" w:styleId="MediumGrid2-Accent5">
    <w:name w:val="Medium Grid 2 Accent 5"/>
    <w:basedOn w:val="TableNormal"/>
    <w:uiPriority w:val="68"/>
    <w:rsid w:val="00CC381E"/>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NormalWeb">
    <w:name w:val="Normal (Web)"/>
    <w:basedOn w:val="Normal"/>
    <w:uiPriority w:val="99"/>
    <w:semiHidden/>
    <w:unhideWhenUsed/>
    <w:rsid w:val="00CC381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otation">
    <w:name w:val="Quotation"/>
    <w:basedOn w:val="Normal"/>
    <w:next w:val="Normal"/>
    <w:autoRedefine/>
    <w:uiPriority w:val="4"/>
    <w:qFormat/>
    <w:rsid w:val="00CC381E"/>
    <w:pPr>
      <w:spacing w:before="120" w:after="180" w:line="240" w:lineRule="atLeast"/>
      <w:ind w:left="425"/>
    </w:pPr>
    <w:rPr>
      <w:rFonts w:eastAsia="Cambria" w:cs="Times New Roman"/>
    </w:rPr>
  </w:style>
  <w:style w:type="paragraph" w:customStyle="1" w:styleId="Reference">
    <w:name w:val="Reference"/>
    <w:basedOn w:val="Normal"/>
    <w:rsid w:val="00CC381E"/>
    <w:pPr>
      <w:spacing w:before="40" w:after="0" w:line="240" w:lineRule="atLeast"/>
      <w:ind w:left="170" w:hanging="170"/>
    </w:pPr>
    <w:rPr>
      <w:rFonts w:ascii="Cambria" w:eastAsia="Cambria" w:hAnsi="Cambria" w:cs="Times New Roman"/>
      <w:sz w:val="19"/>
    </w:rPr>
  </w:style>
  <w:style w:type="character" w:customStyle="1" w:styleId="Style1">
    <w:name w:val="Style1"/>
    <w:basedOn w:val="DefaultParagraphFont"/>
    <w:uiPriority w:val="1"/>
    <w:rsid w:val="00CC381E"/>
    <w:rPr>
      <w:rFonts w:ascii="Cambria" w:hAnsi="Cambria"/>
      <w:sz w:val="22"/>
    </w:rPr>
  </w:style>
  <w:style w:type="table" w:customStyle="1" w:styleId="TableTGAblack">
    <w:name w:val="Table TGA black"/>
    <w:basedOn w:val="TableNormal"/>
    <w:uiPriority w:val="99"/>
    <w:rsid w:val="00CC381E"/>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table" w:customStyle="1" w:styleId="TableTGAblue">
    <w:name w:val="Table TGA blue"/>
    <w:basedOn w:val="TableNormal"/>
    <w:uiPriority w:val="99"/>
    <w:qFormat/>
    <w:rsid w:val="00CC381E"/>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TableTitle0">
    <w:name w:val="Table Title"/>
    <w:basedOn w:val="Normal"/>
    <w:next w:val="Normal"/>
    <w:autoRedefine/>
    <w:qFormat/>
    <w:rsid w:val="00CC381E"/>
    <w:pPr>
      <w:spacing w:before="180" w:after="180" w:line="240" w:lineRule="atLeast"/>
    </w:pPr>
    <w:rPr>
      <w:rFonts w:eastAsia="Cambria" w:cs="Times New Roman"/>
      <w:b/>
    </w:rPr>
  </w:style>
  <w:style w:type="paragraph" w:styleId="TOC4">
    <w:name w:val="toc 4"/>
    <w:basedOn w:val="Normal"/>
    <w:next w:val="Normal"/>
    <w:autoRedefine/>
    <w:uiPriority w:val="39"/>
    <w:semiHidden/>
    <w:unhideWhenUsed/>
    <w:rsid w:val="00CC381E"/>
    <w:pPr>
      <w:tabs>
        <w:tab w:val="right" w:leader="hyphen" w:pos="8505"/>
      </w:tabs>
      <w:spacing w:before="120" w:after="100" w:line="240" w:lineRule="atLeast"/>
      <w:ind w:left="1276"/>
    </w:pPr>
    <w:rPr>
      <w:rFonts w:ascii="Cambria" w:eastAsia="Cambria" w:hAnsi="Cambria" w:cs="Times New Roman"/>
    </w:rPr>
  </w:style>
  <w:style w:type="paragraph" w:styleId="TOC5">
    <w:name w:val="toc 5"/>
    <w:basedOn w:val="Normal"/>
    <w:next w:val="Normal"/>
    <w:autoRedefine/>
    <w:uiPriority w:val="39"/>
    <w:semiHidden/>
    <w:unhideWhenUsed/>
    <w:rsid w:val="00CC381E"/>
    <w:pPr>
      <w:tabs>
        <w:tab w:val="right" w:leader="dot" w:pos="8505"/>
      </w:tabs>
      <w:spacing w:before="120" w:after="100" w:line="240" w:lineRule="atLeast"/>
      <w:ind w:left="1701"/>
    </w:pPr>
    <w:rPr>
      <w:rFonts w:ascii="Cambria" w:eastAsia="Cambria" w:hAnsi="Cambria" w:cs="Times New Roman"/>
      <w:noProof/>
    </w:rPr>
  </w:style>
  <w:style w:type="paragraph" w:styleId="TOC6">
    <w:name w:val="toc 6"/>
    <w:basedOn w:val="Normal"/>
    <w:next w:val="Normal"/>
    <w:autoRedefine/>
    <w:uiPriority w:val="39"/>
    <w:semiHidden/>
    <w:unhideWhenUsed/>
    <w:rsid w:val="00CC381E"/>
    <w:pPr>
      <w:tabs>
        <w:tab w:val="right" w:pos="8505"/>
      </w:tabs>
      <w:spacing w:before="120" w:after="100" w:line="240" w:lineRule="atLeast"/>
      <w:ind w:left="2126"/>
    </w:pPr>
    <w:rPr>
      <w:rFonts w:ascii="Cambria" w:eastAsia="Cambria" w:hAnsi="Cambria" w:cs="Times New Roman"/>
    </w:rPr>
  </w:style>
  <w:style w:type="paragraph" w:styleId="TOC7">
    <w:name w:val="toc 7"/>
    <w:basedOn w:val="Normal"/>
    <w:next w:val="Normal"/>
    <w:autoRedefine/>
    <w:uiPriority w:val="39"/>
    <w:semiHidden/>
    <w:unhideWhenUsed/>
    <w:rsid w:val="00CC381E"/>
    <w:pPr>
      <w:spacing w:before="120" w:after="100" w:line="240" w:lineRule="atLeast"/>
      <w:ind w:left="2211"/>
    </w:pPr>
    <w:rPr>
      <w:rFonts w:ascii="Cambria" w:eastAsia="Cambria" w:hAnsi="Cambria" w:cs="Times New Roman"/>
    </w:rPr>
  </w:style>
  <w:style w:type="paragraph" w:styleId="TOC9">
    <w:name w:val="toc 9"/>
    <w:basedOn w:val="Normal"/>
    <w:next w:val="Normal"/>
    <w:autoRedefine/>
    <w:uiPriority w:val="39"/>
    <w:semiHidden/>
    <w:unhideWhenUsed/>
    <w:rsid w:val="00CC381E"/>
    <w:pPr>
      <w:spacing w:before="120" w:after="100" w:line="240" w:lineRule="atLeast"/>
      <w:ind w:left="1760"/>
    </w:pPr>
    <w:rPr>
      <w:rFonts w:ascii="Cambria" w:eastAsia="Cambria" w:hAnsi="Cambria" w:cs="Times New Roman"/>
    </w:rPr>
  </w:style>
  <w:style w:type="paragraph" w:styleId="TOCHeading">
    <w:name w:val="TOC Heading"/>
    <w:basedOn w:val="Heading1"/>
    <w:next w:val="Normal"/>
    <w:uiPriority w:val="39"/>
    <w:unhideWhenUsed/>
    <w:qFormat/>
    <w:rsid w:val="00CC381E"/>
    <w:pPr>
      <w:outlineLvl w:val="9"/>
    </w:pPr>
    <w:rPr>
      <w:lang w:val="en-US"/>
    </w:rPr>
  </w:style>
  <w:style w:type="character" w:styleId="UnresolvedMention">
    <w:name w:val="Unresolved Mention"/>
    <w:basedOn w:val="DefaultParagraphFont"/>
    <w:uiPriority w:val="99"/>
    <w:semiHidden/>
    <w:unhideWhenUsed/>
    <w:rsid w:val="00CC381E"/>
    <w:rPr>
      <w:color w:val="605E5C"/>
      <w:shd w:val="clear" w:color="auto" w:fill="E1DFDD"/>
    </w:rPr>
  </w:style>
  <w:style w:type="paragraph" w:styleId="Revision">
    <w:name w:val="Revision"/>
    <w:hidden/>
    <w:uiPriority w:val="99"/>
    <w:semiHidden/>
    <w:rsid w:val="00531034"/>
    <w:pPr>
      <w:spacing w:after="0" w:line="240" w:lineRule="auto"/>
    </w:pPr>
    <w:rPr>
      <w:rFonts w:ascii="Arial" w:hAnsi="Arial"/>
    </w:rPr>
  </w:style>
  <w:style w:type="character" w:customStyle="1" w:styleId="normaltextrun">
    <w:name w:val="normaltextrun"/>
    <w:basedOn w:val="DefaultParagraphFont"/>
    <w:rsid w:val="00533784"/>
  </w:style>
  <w:style w:type="character" w:customStyle="1" w:styleId="eop">
    <w:name w:val="eop"/>
    <w:basedOn w:val="DefaultParagraphFont"/>
    <w:rsid w:val="00533784"/>
  </w:style>
  <w:style w:type="paragraph" w:customStyle="1" w:styleId="paragraph">
    <w:name w:val="paragraph"/>
    <w:basedOn w:val="Normal"/>
    <w:rsid w:val="0053378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yle2">
    <w:name w:val="Style2"/>
    <w:basedOn w:val="ListBulleta"/>
    <w:link w:val="Style2Char"/>
    <w:qFormat/>
    <w:rsid w:val="006F72E6"/>
    <w:pPr>
      <w:numPr>
        <w:numId w:val="14"/>
      </w:numPr>
      <w:ind w:left="1134"/>
    </w:pPr>
    <w:rPr>
      <w:color w:val="00B050"/>
      <w:u w:val="single"/>
    </w:rPr>
  </w:style>
  <w:style w:type="character" w:customStyle="1" w:styleId="ListBulletChar">
    <w:name w:val="List Bullet Char"/>
    <w:basedOn w:val="DefaultParagraphFont"/>
    <w:link w:val="ListBullet"/>
    <w:uiPriority w:val="2"/>
    <w:rsid w:val="006F72E6"/>
    <w:rPr>
      <w:rFonts w:ascii="Arial" w:eastAsia="Cambria" w:hAnsi="Arial" w:cs="Times New Roman"/>
    </w:rPr>
  </w:style>
  <w:style w:type="character" w:customStyle="1" w:styleId="ListBulletaChar">
    <w:name w:val="List Bullet (a) Char"/>
    <w:basedOn w:val="ListBulletChar"/>
    <w:link w:val="ListBulleta"/>
    <w:uiPriority w:val="1"/>
    <w:rsid w:val="006F72E6"/>
    <w:rPr>
      <w:rFonts w:ascii="Arial" w:eastAsia="Cambria" w:hAnsi="Arial" w:cs="Times New Roman"/>
    </w:rPr>
  </w:style>
  <w:style w:type="character" w:customStyle="1" w:styleId="Style2Char">
    <w:name w:val="Style2 Char"/>
    <w:basedOn w:val="ListBulletaChar"/>
    <w:link w:val="Style2"/>
    <w:rsid w:val="006F72E6"/>
    <w:rPr>
      <w:rFonts w:ascii="Arial" w:eastAsia="Cambria" w:hAnsi="Arial" w:cs="Times New Roman"/>
      <w:color w:val="00B05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196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nsultations.health.gov.au" TargetMode="External"/><Relationship Id="rId18" Type="http://schemas.openxmlformats.org/officeDocument/2006/relationships/hyperlink" Target="https://www.tga.gov.au/resources/publication/scheduling-decisions-final/notice-final-decisions-amend-or-not-amend-current-poisons-standard-november-2020/314-sildenafil" TargetMode="External"/><Relationship Id="rId26" Type="http://schemas.openxmlformats.org/officeDocument/2006/relationships/hyperlink" Target="https://consultations.tga.gov.au/tga/scheduling-pre-meeting-june-2024/user_uploads/pre-meeting-public-notice---12-june-2024-2.pdf" TargetMode="External"/><Relationship Id="rId3" Type="http://schemas.openxmlformats.org/officeDocument/2006/relationships/styles" Target="styles.xml"/><Relationship Id="rId21" Type="http://schemas.openxmlformats.org/officeDocument/2006/relationships/hyperlink" Target="https://www.tga.gov.au/resources/art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node/286441" TargetMode="External"/><Relationship Id="rId25" Type="http://schemas.openxmlformats.org/officeDocument/2006/relationships/hyperlink" Target="https://consultations.tga.gov.au/tga/scheduling-pre-meeting-june-2024/"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tga.gov.au/sites/default/files/final-decision-and-reasons-for-decision-by-delegate-october-2017.pdf" TargetMode="External"/><Relationship Id="rId20" Type="http://schemas.openxmlformats.org/officeDocument/2006/relationships/hyperlink" Target="https://consultations.tga.gov.au/tga/scheduling-pre-meeting-june-202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ndustrialchemicals.gov.au/sites/default/files/2022-01/EVA00070%20-%20Evaluation%20statement%20-%2014%20January%202022%20%5B1470%20KB%5D.pdf"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consultations.tga.gov.au/tga/scheduling-pre-meeting-june-2024/user_uploads/pre-meeting-public-notice---12-june-2024-2.pdf" TargetMode="External"/><Relationship Id="rId23" Type="http://schemas.openxmlformats.org/officeDocument/2006/relationships/hyperlink" Target="https://consultations.tga.gov.au/tga/scheduling-pre-meeting-june-2024/"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industrialchemicals.gov.au/sites/default/files/Allyl%20esters%20of%20acetic%20acid%20ethers_Human%20health%20tier%20II%20assessment.pdf" TargetMode="External"/><Relationship Id="rId31"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nsultations.tga.gov.au/tga/scheduling-pre-meeting-june-2024/" TargetMode="External"/><Relationship Id="rId22" Type="http://schemas.openxmlformats.org/officeDocument/2006/relationships/hyperlink" Target="https://www.industrialchemicals.gov.au/sites/default/files/2022-12/EVA00110%20-%20Evaluation%20statement%20-%2022%20December%202022.pdf" TargetMode="External"/><Relationship Id="rId27" Type="http://schemas.openxmlformats.org/officeDocument/2006/relationships/hyperlink" Target="https://services.industrialchemicals.gov.au/search-inventory/" TargetMode="External"/><Relationship Id="rId30" Type="http://schemas.openxmlformats.org/officeDocument/2006/relationships/hyperlink" Target="mailto:info@tga.gov.au" TargetMode="External"/><Relationship Id="rId35"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ebs.tga.gov.au/ebs/picmi/picmirepository.nsf/pdf?OpenAgent=&amp;id=CP-2010-PI-04881-3&amp;d=20240710172310101" TargetMode="External"/><Relationship Id="rId2" Type="http://schemas.openxmlformats.org/officeDocument/2006/relationships/hyperlink" Target="https://amhonline.amh.net.au/" TargetMode="External"/><Relationship Id="rId1" Type="http://schemas.openxmlformats.org/officeDocument/2006/relationships/hyperlink" Target="https://www.tg.org.au/" TargetMode="External"/><Relationship Id="rId6" Type="http://schemas.openxmlformats.org/officeDocument/2006/relationships/hyperlink" Target="https://www.sciencedirect.com/science/article/abs/pii/S0272638623000069?via%3Dihub" TargetMode="External"/><Relationship Id="rId5" Type="http://schemas.openxmlformats.org/officeDocument/2006/relationships/hyperlink" Target="https://www.sciencedirect.com/science/article/abs/pii/S0272638623000069?via%3Dihub" TargetMode="External"/><Relationship Id="rId4" Type="http://schemas.openxmlformats.org/officeDocument/2006/relationships/hyperlink" Target="https://www.health.gov.au/sites/default/files/2023-07/men-s-and-boys-barriers-to-health-system-access-a-literature-review.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sb\OneDrive%20-%20Department%20of%20Health\Desktop\June%202024%20-%20Template%20-%20Public%20notice%20of%20interim%20decisions%20-%20ACMS%23XX%20ACCS%23XX%20Joint%20ACMS-ACCS%23XX.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2A9E03ECEC433AA6E045A4E64425B9"/>
        <w:category>
          <w:name w:val="General"/>
          <w:gallery w:val="placeholder"/>
        </w:category>
        <w:types>
          <w:type w:val="bbPlcHdr"/>
        </w:types>
        <w:behaviors>
          <w:behavior w:val="content"/>
        </w:behaviors>
        <w:guid w:val="{09200F0A-ED3E-499F-89EA-0A60169C7043}"/>
      </w:docPartPr>
      <w:docPartBody>
        <w:p w:rsidR="00F70441" w:rsidRDefault="001674DF">
          <w:pPr>
            <w:pStyle w:val="532A9E03ECEC433AA6E045A4E64425B9"/>
          </w:pPr>
          <w:r w:rsidRPr="0077627B">
            <w:rPr>
              <w:rStyle w:val="PlaceholderText"/>
            </w:rPr>
            <w:t>Click or tap here to enter text.</w:t>
          </w:r>
        </w:p>
      </w:docPartBody>
    </w:docPart>
    <w:docPart>
      <w:docPartPr>
        <w:name w:val="D80D56FA0CCD4133BE6F49CE6DBBFEC2"/>
        <w:category>
          <w:name w:val="General"/>
          <w:gallery w:val="placeholder"/>
        </w:category>
        <w:types>
          <w:type w:val="bbPlcHdr"/>
        </w:types>
        <w:behaviors>
          <w:behavior w:val="content"/>
        </w:behaviors>
        <w:guid w:val="{059092B3-1C53-4B16-AE23-27C677414557}"/>
      </w:docPartPr>
      <w:docPartBody>
        <w:p w:rsidR="00F70441" w:rsidRDefault="001674DF">
          <w:pPr>
            <w:pStyle w:val="D80D56FA0CCD4133BE6F49CE6DBBFEC2"/>
          </w:pPr>
          <w:r w:rsidRPr="0077627B">
            <w:rPr>
              <w:rStyle w:val="PlaceholderText"/>
            </w:rPr>
            <w:t>Click or tap here to enter text.</w:t>
          </w:r>
        </w:p>
      </w:docPartBody>
    </w:docPart>
    <w:docPart>
      <w:docPartPr>
        <w:name w:val="6B6F4762B5AC40A69811CE1A9520DE0B"/>
        <w:category>
          <w:name w:val="General"/>
          <w:gallery w:val="placeholder"/>
        </w:category>
        <w:types>
          <w:type w:val="bbPlcHdr"/>
        </w:types>
        <w:behaviors>
          <w:behavior w:val="content"/>
        </w:behaviors>
        <w:guid w:val="{0091D347-5711-477C-9421-2A89FD09D861}"/>
      </w:docPartPr>
      <w:docPartBody>
        <w:p w:rsidR="00F70441" w:rsidRDefault="001674DF">
          <w:pPr>
            <w:pStyle w:val="6B6F4762B5AC40A69811CE1A9520DE0B"/>
          </w:pPr>
          <w:r w:rsidRPr="00B210A9">
            <w:rPr>
              <w:rStyle w:val="PlaceholderText"/>
            </w:rPr>
            <w:t>Click or tap here to enter text.</w:t>
          </w:r>
        </w:p>
      </w:docPartBody>
    </w:docPart>
    <w:docPart>
      <w:docPartPr>
        <w:name w:val="DEC1BA590174422789ADB59D07701BBE"/>
        <w:category>
          <w:name w:val="General"/>
          <w:gallery w:val="placeholder"/>
        </w:category>
        <w:types>
          <w:type w:val="bbPlcHdr"/>
        </w:types>
        <w:behaviors>
          <w:behavior w:val="content"/>
        </w:behaviors>
        <w:guid w:val="{A1373471-7F8A-43A1-8253-9F27F28167EF}"/>
      </w:docPartPr>
      <w:docPartBody>
        <w:p w:rsidR="00F70441" w:rsidRDefault="001674DF">
          <w:pPr>
            <w:pStyle w:val="DEC1BA590174422789ADB59D07701BBE"/>
          </w:pPr>
          <w:r w:rsidRPr="0077627B">
            <w:rPr>
              <w:rStyle w:val="PlaceholderText"/>
            </w:rPr>
            <w:t>Click or tap here to enter text.</w:t>
          </w:r>
        </w:p>
      </w:docPartBody>
    </w:docPart>
    <w:docPart>
      <w:docPartPr>
        <w:name w:val="9A00A273EB4647E1B589AA51C662E9B0"/>
        <w:category>
          <w:name w:val="General"/>
          <w:gallery w:val="placeholder"/>
        </w:category>
        <w:types>
          <w:type w:val="bbPlcHdr"/>
        </w:types>
        <w:behaviors>
          <w:behavior w:val="content"/>
        </w:behaviors>
        <w:guid w:val="{70A91AEE-E4EE-43F6-898F-DAD956687262}"/>
      </w:docPartPr>
      <w:docPartBody>
        <w:p w:rsidR="00F70441" w:rsidRDefault="001674DF">
          <w:pPr>
            <w:pStyle w:val="9A00A273EB4647E1B589AA51C662E9B0"/>
          </w:pPr>
          <w:r w:rsidRPr="0077627B">
            <w:rPr>
              <w:rStyle w:val="PlaceholderText"/>
            </w:rPr>
            <w:t>Click or tap here to enter text.</w:t>
          </w:r>
        </w:p>
      </w:docPartBody>
    </w:docPart>
    <w:docPart>
      <w:docPartPr>
        <w:name w:val="72F0CACE705740DABE932091E56FCDCC"/>
        <w:category>
          <w:name w:val="General"/>
          <w:gallery w:val="placeholder"/>
        </w:category>
        <w:types>
          <w:type w:val="bbPlcHdr"/>
        </w:types>
        <w:behaviors>
          <w:behavior w:val="content"/>
        </w:behaviors>
        <w:guid w:val="{8C9154B4-1922-483E-A6F8-95F498922247}"/>
      </w:docPartPr>
      <w:docPartBody>
        <w:p w:rsidR="00F70441" w:rsidRDefault="001674DF">
          <w:pPr>
            <w:pStyle w:val="72F0CACE705740DABE932091E56FCDCC"/>
          </w:pPr>
          <w:r w:rsidRPr="00B210A9">
            <w:rPr>
              <w:rStyle w:val="PlaceholderText"/>
            </w:rPr>
            <w:t>Click or tap here to enter text.</w:t>
          </w:r>
        </w:p>
      </w:docPartBody>
    </w:docPart>
    <w:docPart>
      <w:docPartPr>
        <w:name w:val="BD98A9E62A72497FAD558B21FA775A86"/>
        <w:category>
          <w:name w:val="General"/>
          <w:gallery w:val="placeholder"/>
        </w:category>
        <w:types>
          <w:type w:val="bbPlcHdr"/>
        </w:types>
        <w:behaviors>
          <w:behavior w:val="content"/>
        </w:behaviors>
        <w:guid w:val="{1B82EE49-798A-4BFF-B532-931D6CCA0E58}"/>
      </w:docPartPr>
      <w:docPartBody>
        <w:p w:rsidR="00D915DE" w:rsidRDefault="00791C2A" w:rsidP="00791C2A">
          <w:pPr>
            <w:pStyle w:val="BD98A9E62A72497FAD558B21FA775A86"/>
          </w:pPr>
          <w:r w:rsidRPr="0077627B">
            <w:rPr>
              <w:rStyle w:val="PlaceholderText"/>
            </w:rPr>
            <w:t>Click or tap here to enter text.</w:t>
          </w:r>
        </w:p>
      </w:docPartBody>
    </w:docPart>
    <w:docPart>
      <w:docPartPr>
        <w:name w:val="964E14EA572E4109BCEDA31C8300DA1C"/>
        <w:category>
          <w:name w:val="General"/>
          <w:gallery w:val="placeholder"/>
        </w:category>
        <w:types>
          <w:type w:val="bbPlcHdr"/>
        </w:types>
        <w:behaviors>
          <w:behavior w:val="content"/>
        </w:behaviors>
        <w:guid w:val="{2A75AEE9-D67F-4A80-9DA0-5C4CB2862965}"/>
      </w:docPartPr>
      <w:docPartBody>
        <w:p w:rsidR="00D915DE" w:rsidRDefault="00791C2A" w:rsidP="00791C2A">
          <w:pPr>
            <w:pStyle w:val="964E14EA572E4109BCEDA31C8300DA1C"/>
          </w:pPr>
          <w:r w:rsidRPr="0077627B">
            <w:rPr>
              <w:rStyle w:val="PlaceholderText"/>
            </w:rPr>
            <w:t>Click or tap here to enter text.</w:t>
          </w:r>
        </w:p>
      </w:docPartBody>
    </w:docPart>
    <w:docPart>
      <w:docPartPr>
        <w:name w:val="378D6FE3A3D04B5FB2251F5B8AB92C1E"/>
        <w:category>
          <w:name w:val="General"/>
          <w:gallery w:val="placeholder"/>
        </w:category>
        <w:types>
          <w:type w:val="bbPlcHdr"/>
        </w:types>
        <w:behaviors>
          <w:behavior w:val="content"/>
        </w:behaviors>
        <w:guid w:val="{09554809-4CBB-4D85-A0C8-E796A674424F}"/>
      </w:docPartPr>
      <w:docPartBody>
        <w:p w:rsidR="00D915DE" w:rsidRDefault="00791C2A" w:rsidP="00791C2A">
          <w:pPr>
            <w:pStyle w:val="378D6FE3A3D04B5FB2251F5B8AB92C1E"/>
          </w:pPr>
          <w:r w:rsidRPr="00B210A9">
            <w:rPr>
              <w:rStyle w:val="PlaceholderText"/>
            </w:rPr>
            <w:t>Click or tap here to enter text.</w:t>
          </w:r>
        </w:p>
      </w:docPartBody>
    </w:docPart>
    <w:docPart>
      <w:docPartPr>
        <w:name w:val="CBD28B69D3904B959ABC0EF76C347D56"/>
        <w:category>
          <w:name w:val="General"/>
          <w:gallery w:val="placeholder"/>
        </w:category>
        <w:types>
          <w:type w:val="bbPlcHdr"/>
        </w:types>
        <w:behaviors>
          <w:behavior w:val="content"/>
        </w:behaviors>
        <w:guid w:val="{24F408C3-5107-4A04-847A-6F61456153CE}"/>
      </w:docPartPr>
      <w:docPartBody>
        <w:p w:rsidR="00D915DE" w:rsidRDefault="00791C2A" w:rsidP="00791C2A">
          <w:pPr>
            <w:pStyle w:val="CBD28B69D3904B959ABC0EF76C347D56"/>
          </w:pPr>
          <w:r w:rsidRPr="0077627B">
            <w:rPr>
              <w:rStyle w:val="PlaceholderText"/>
            </w:rPr>
            <w:t>Click or tap here to enter text.</w:t>
          </w:r>
        </w:p>
      </w:docPartBody>
    </w:docPart>
    <w:docPart>
      <w:docPartPr>
        <w:name w:val="72C95DD477AA44DFB73C36163DC68190"/>
        <w:category>
          <w:name w:val="General"/>
          <w:gallery w:val="placeholder"/>
        </w:category>
        <w:types>
          <w:type w:val="bbPlcHdr"/>
        </w:types>
        <w:behaviors>
          <w:behavior w:val="content"/>
        </w:behaviors>
        <w:guid w:val="{28730632-5FCB-473C-BB49-4F0A75DA2D35}"/>
      </w:docPartPr>
      <w:docPartBody>
        <w:p w:rsidR="00D915DE" w:rsidRDefault="00791C2A" w:rsidP="00791C2A">
          <w:pPr>
            <w:pStyle w:val="72C95DD477AA44DFB73C36163DC68190"/>
          </w:pPr>
          <w:r w:rsidRPr="0077627B">
            <w:rPr>
              <w:rStyle w:val="PlaceholderText"/>
            </w:rPr>
            <w:t>Click or tap here to enter text.</w:t>
          </w:r>
        </w:p>
      </w:docPartBody>
    </w:docPart>
    <w:docPart>
      <w:docPartPr>
        <w:name w:val="A6A8A02339754DD890EA0351C3F3CA76"/>
        <w:category>
          <w:name w:val="General"/>
          <w:gallery w:val="placeholder"/>
        </w:category>
        <w:types>
          <w:type w:val="bbPlcHdr"/>
        </w:types>
        <w:behaviors>
          <w:behavior w:val="content"/>
        </w:behaviors>
        <w:guid w:val="{064ADFB6-6BD3-4BE6-9617-380D73FF3589}"/>
      </w:docPartPr>
      <w:docPartBody>
        <w:p w:rsidR="00D915DE" w:rsidRDefault="00791C2A" w:rsidP="00791C2A">
          <w:pPr>
            <w:pStyle w:val="A6A8A02339754DD890EA0351C3F3CA76"/>
          </w:pPr>
          <w:r w:rsidRPr="0077627B">
            <w:rPr>
              <w:rStyle w:val="PlaceholderText"/>
            </w:rPr>
            <w:t>Click or tap here to enter text.</w:t>
          </w:r>
        </w:p>
      </w:docPartBody>
    </w:docPart>
    <w:docPart>
      <w:docPartPr>
        <w:name w:val="16F4FC4597764D529FA2A87250C444C3"/>
        <w:category>
          <w:name w:val="General"/>
          <w:gallery w:val="placeholder"/>
        </w:category>
        <w:types>
          <w:type w:val="bbPlcHdr"/>
        </w:types>
        <w:behaviors>
          <w:behavior w:val="content"/>
        </w:behaviors>
        <w:guid w:val="{1EE3C3B6-B2B2-4308-8C74-EA529B5E7545}"/>
      </w:docPartPr>
      <w:docPartBody>
        <w:p w:rsidR="00D915DE" w:rsidRDefault="00791C2A" w:rsidP="00791C2A">
          <w:pPr>
            <w:pStyle w:val="16F4FC4597764D529FA2A87250C444C3"/>
          </w:pPr>
          <w:r w:rsidRPr="00B210A9">
            <w:rPr>
              <w:rStyle w:val="PlaceholderText"/>
            </w:rPr>
            <w:t>Click or tap here to enter text.</w:t>
          </w:r>
        </w:p>
      </w:docPartBody>
    </w:docPart>
    <w:docPart>
      <w:docPartPr>
        <w:name w:val="2B284A5FAE794260AF61F0DFF3625F08"/>
        <w:category>
          <w:name w:val="General"/>
          <w:gallery w:val="placeholder"/>
        </w:category>
        <w:types>
          <w:type w:val="bbPlcHdr"/>
        </w:types>
        <w:behaviors>
          <w:behavior w:val="content"/>
        </w:behaviors>
        <w:guid w:val="{2701E9AF-6AB2-4ABD-983C-25450C7BF3ED}"/>
      </w:docPartPr>
      <w:docPartBody>
        <w:p w:rsidR="00D915DE" w:rsidRDefault="00791C2A" w:rsidP="00791C2A">
          <w:pPr>
            <w:pStyle w:val="2B284A5FAE794260AF61F0DFF3625F08"/>
          </w:pPr>
          <w:r w:rsidRPr="0077627B">
            <w:rPr>
              <w:rStyle w:val="PlaceholderText"/>
            </w:rPr>
            <w:t>Click or tap here to enter text.</w:t>
          </w:r>
        </w:p>
      </w:docPartBody>
    </w:docPart>
    <w:docPart>
      <w:docPartPr>
        <w:name w:val="51B1899719F94E069495B41239FF40DF"/>
        <w:category>
          <w:name w:val="General"/>
          <w:gallery w:val="placeholder"/>
        </w:category>
        <w:types>
          <w:type w:val="bbPlcHdr"/>
        </w:types>
        <w:behaviors>
          <w:behavior w:val="content"/>
        </w:behaviors>
        <w:guid w:val="{6CE2604E-340F-433B-A879-B0085D8F2BE0}"/>
      </w:docPartPr>
      <w:docPartBody>
        <w:p w:rsidR="00D915DE" w:rsidRDefault="00791C2A" w:rsidP="00791C2A">
          <w:pPr>
            <w:pStyle w:val="51B1899719F94E069495B41239FF40DF"/>
          </w:pPr>
          <w:r w:rsidRPr="007762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41"/>
    <w:rsid w:val="00075699"/>
    <w:rsid w:val="000A1866"/>
    <w:rsid w:val="000B7059"/>
    <w:rsid w:val="001313F7"/>
    <w:rsid w:val="00143983"/>
    <w:rsid w:val="00147E66"/>
    <w:rsid w:val="001674DF"/>
    <w:rsid w:val="001D28B6"/>
    <w:rsid w:val="001D6945"/>
    <w:rsid w:val="002255B6"/>
    <w:rsid w:val="00250350"/>
    <w:rsid w:val="00266860"/>
    <w:rsid w:val="002B6428"/>
    <w:rsid w:val="002E1D70"/>
    <w:rsid w:val="00391E13"/>
    <w:rsid w:val="003B07D1"/>
    <w:rsid w:val="003B7069"/>
    <w:rsid w:val="003D3DD2"/>
    <w:rsid w:val="00400419"/>
    <w:rsid w:val="004A16C1"/>
    <w:rsid w:val="005577A1"/>
    <w:rsid w:val="00582584"/>
    <w:rsid w:val="00584CCA"/>
    <w:rsid w:val="005A5662"/>
    <w:rsid w:val="005D64E3"/>
    <w:rsid w:val="00600641"/>
    <w:rsid w:val="00623751"/>
    <w:rsid w:val="00645BA7"/>
    <w:rsid w:val="006A5F84"/>
    <w:rsid w:val="00791C2A"/>
    <w:rsid w:val="008020B5"/>
    <w:rsid w:val="00816C24"/>
    <w:rsid w:val="00864281"/>
    <w:rsid w:val="00882CE5"/>
    <w:rsid w:val="00883299"/>
    <w:rsid w:val="008E2E43"/>
    <w:rsid w:val="0092479B"/>
    <w:rsid w:val="00932996"/>
    <w:rsid w:val="009A5ACC"/>
    <w:rsid w:val="009F0E2E"/>
    <w:rsid w:val="009F5F85"/>
    <w:rsid w:val="00A519C7"/>
    <w:rsid w:val="00B2079F"/>
    <w:rsid w:val="00B42BB2"/>
    <w:rsid w:val="00BA015A"/>
    <w:rsid w:val="00BB3FEF"/>
    <w:rsid w:val="00BC0349"/>
    <w:rsid w:val="00BF6D99"/>
    <w:rsid w:val="00C11F24"/>
    <w:rsid w:val="00C17FE9"/>
    <w:rsid w:val="00C30150"/>
    <w:rsid w:val="00C56181"/>
    <w:rsid w:val="00CC0DE4"/>
    <w:rsid w:val="00CF44C2"/>
    <w:rsid w:val="00D06ACA"/>
    <w:rsid w:val="00D101A9"/>
    <w:rsid w:val="00D17EE8"/>
    <w:rsid w:val="00D915DE"/>
    <w:rsid w:val="00D964CF"/>
    <w:rsid w:val="00DF27DA"/>
    <w:rsid w:val="00E63DA4"/>
    <w:rsid w:val="00EA7E09"/>
    <w:rsid w:val="00F06D64"/>
    <w:rsid w:val="00F30D01"/>
    <w:rsid w:val="00F70441"/>
    <w:rsid w:val="00F80CDF"/>
    <w:rsid w:val="00FF1D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FE9"/>
    <w:rPr>
      <w:color w:val="808080"/>
    </w:rPr>
  </w:style>
  <w:style w:type="paragraph" w:customStyle="1" w:styleId="532A9E03ECEC433AA6E045A4E64425B9">
    <w:name w:val="532A9E03ECEC433AA6E045A4E64425B9"/>
  </w:style>
  <w:style w:type="paragraph" w:customStyle="1" w:styleId="D80D56FA0CCD4133BE6F49CE6DBBFEC2">
    <w:name w:val="D80D56FA0CCD4133BE6F49CE6DBBFEC2"/>
  </w:style>
  <w:style w:type="paragraph" w:customStyle="1" w:styleId="6B6F4762B5AC40A69811CE1A9520DE0B">
    <w:name w:val="6B6F4762B5AC40A69811CE1A9520DE0B"/>
  </w:style>
  <w:style w:type="paragraph" w:customStyle="1" w:styleId="DEC1BA590174422789ADB59D07701BBE">
    <w:name w:val="DEC1BA590174422789ADB59D07701BBE"/>
  </w:style>
  <w:style w:type="paragraph" w:customStyle="1" w:styleId="9A00A273EB4647E1B589AA51C662E9B0">
    <w:name w:val="9A00A273EB4647E1B589AA51C662E9B0"/>
  </w:style>
  <w:style w:type="paragraph" w:customStyle="1" w:styleId="72F0CACE705740DABE932091E56FCDCC">
    <w:name w:val="72F0CACE705740DABE932091E56FCDCC"/>
  </w:style>
  <w:style w:type="paragraph" w:customStyle="1" w:styleId="BD98A9E62A72497FAD558B21FA775A86">
    <w:name w:val="BD98A9E62A72497FAD558B21FA775A86"/>
    <w:rsid w:val="00791C2A"/>
  </w:style>
  <w:style w:type="paragraph" w:customStyle="1" w:styleId="964E14EA572E4109BCEDA31C8300DA1C">
    <w:name w:val="964E14EA572E4109BCEDA31C8300DA1C"/>
    <w:rsid w:val="00791C2A"/>
  </w:style>
  <w:style w:type="paragraph" w:customStyle="1" w:styleId="378D6FE3A3D04B5FB2251F5B8AB92C1E">
    <w:name w:val="378D6FE3A3D04B5FB2251F5B8AB92C1E"/>
    <w:rsid w:val="00791C2A"/>
  </w:style>
  <w:style w:type="paragraph" w:customStyle="1" w:styleId="CBD28B69D3904B959ABC0EF76C347D56">
    <w:name w:val="CBD28B69D3904B959ABC0EF76C347D56"/>
    <w:rsid w:val="00791C2A"/>
  </w:style>
  <w:style w:type="paragraph" w:customStyle="1" w:styleId="72C95DD477AA44DFB73C36163DC68190">
    <w:name w:val="72C95DD477AA44DFB73C36163DC68190"/>
    <w:rsid w:val="00791C2A"/>
  </w:style>
  <w:style w:type="paragraph" w:customStyle="1" w:styleId="A6A8A02339754DD890EA0351C3F3CA76">
    <w:name w:val="A6A8A02339754DD890EA0351C3F3CA76"/>
    <w:rsid w:val="00791C2A"/>
  </w:style>
  <w:style w:type="paragraph" w:customStyle="1" w:styleId="16F4FC4597764D529FA2A87250C444C3">
    <w:name w:val="16F4FC4597764D529FA2A87250C444C3"/>
    <w:rsid w:val="00791C2A"/>
  </w:style>
  <w:style w:type="paragraph" w:customStyle="1" w:styleId="2B284A5FAE794260AF61F0DFF3625F08">
    <w:name w:val="2B284A5FAE794260AF61F0DFF3625F08"/>
    <w:rsid w:val="00791C2A"/>
  </w:style>
  <w:style w:type="paragraph" w:customStyle="1" w:styleId="51B1899719F94E069495B41239FF40DF">
    <w:name w:val="51B1899719F94E069495B41239FF40DF"/>
    <w:rsid w:val="00791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A4F9-C0C3-4113-8249-266DBC06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June 2024 - Template - Public notice of interim decisions - ACMS#XX ACCS#XX Joint ACMS-ACCS#XX.dotm</Template>
  <TotalTime>8</TotalTime>
  <Pages>23</Pages>
  <Words>8208</Words>
  <Characters>46791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Notice of interim decisions on proposed amendments to the Poisons Standard – ACMS #45, ACCS #39 and Joint ACMS-ACCS #37 – June 2024</vt:lpstr>
    </vt:vector>
  </TitlesOfParts>
  <Company>Department of Health and Aged Care</Company>
  <LinksUpToDate>false</LinksUpToDate>
  <CharactersWithSpaces>54890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decisions on proposed amendments to the Poisons Standard – ACMS #45, ACCS #39 and Joint ACMS-ACCS #37 – June 2024</dc:title>
  <dc:subject>scheduling decisions</dc:subject>
  <dc:creator>Therapeutic Goods Administration</dc:creator>
  <cp:keywords/>
  <dc:description/>
  <cp:lastModifiedBy>SEARSON, Lisa</cp:lastModifiedBy>
  <cp:revision>3</cp:revision>
  <dcterms:created xsi:type="dcterms:W3CDTF">2024-09-19T03:20:00Z</dcterms:created>
  <dcterms:modified xsi:type="dcterms:W3CDTF">2024-09-19T03:30:00Z</dcterms:modified>
</cp:coreProperties>
</file>