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4FCA59" w14:textId="77777777" w:rsidR="00D67706" w:rsidRDefault="00D67706" w:rsidP="00D67706"/>
    <w:p w14:paraId="4DD75048" w14:textId="77777777" w:rsidR="00D67706" w:rsidRDefault="00D67706" w:rsidP="00D67706"/>
    <w:tbl>
      <w:tblPr>
        <w:tblStyle w:val="TableGrid"/>
        <w:tblpPr w:leftFromText="180" w:rightFromText="180" w:vertAnchor="page" w:horzAnchor="margin" w:tblpY="3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BE229E" w:rsidRPr="00BE229E" w14:paraId="0FDF7326" w14:textId="77777777" w:rsidTr="00F7414D">
        <w:trPr>
          <w:trHeight w:val="1558"/>
        </w:trPr>
        <w:tc>
          <w:tcPr>
            <w:tcW w:w="8720" w:type="dxa"/>
          </w:tcPr>
          <w:p w14:paraId="5784773E" w14:textId="14B31FFE" w:rsidR="00BE229E" w:rsidRPr="00ED44F8" w:rsidRDefault="00BE229E" w:rsidP="00ED44F8">
            <w:pPr>
              <w:pStyle w:val="Title"/>
            </w:pPr>
            <w:r w:rsidRPr="00ED44F8">
              <w:t xml:space="preserve">Australian Public Assessment Report for </w:t>
            </w:r>
            <w:r w:rsidR="00E82CA6" w:rsidRPr="00ED44F8">
              <w:t>Nubeqa</w:t>
            </w:r>
          </w:p>
        </w:tc>
      </w:tr>
      <w:tr w:rsidR="00BE229E" w:rsidRPr="00BE229E" w14:paraId="659E4907" w14:textId="77777777" w:rsidTr="00F7414D">
        <w:trPr>
          <w:trHeight w:val="995"/>
        </w:trPr>
        <w:tc>
          <w:tcPr>
            <w:tcW w:w="8720" w:type="dxa"/>
          </w:tcPr>
          <w:p w14:paraId="0A512252" w14:textId="0C3B0B52" w:rsidR="00BE229E" w:rsidRPr="00BE229E" w:rsidRDefault="00BE229E" w:rsidP="00ED44F8">
            <w:pPr>
              <w:pStyle w:val="Subtitle"/>
              <w:rPr>
                <w:lang w:eastAsia="en-US"/>
              </w:rPr>
            </w:pPr>
            <w:r w:rsidRPr="00BE229E">
              <w:rPr>
                <w:lang w:eastAsia="en-US"/>
              </w:rPr>
              <w:t xml:space="preserve">Active ingredient: </w:t>
            </w:r>
            <w:bookmarkStart w:id="0" w:name="_Hlk179275960"/>
            <w:r w:rsidR="00ED44F8">
              <w:rPr>
                <w:lang w:eastAsia="en-US"/>
              </w:rPr>
              <w:t>D</w:t>
            </w:r>
            <w:r w:rsidR="00E82CA6">
              <w:rPr>
                <w:lang w:eastAsia="en-US"/>
              </w:rPr>
              <w:t>arolutamide</w:t>
            </w:r>
            <w:bookmarkEnd w:id="0"/>
          </w:p>
        </w:tc>
      </w:tr>
      <w:tr w:rsidR="00BE229E" w:rsidRPr="00BE229E" w14:paraId="1D0DAE0A" w14:textId="77777777" w:rsidTr="00F7414D">
        <w:trPr>
          <w:trHeight w:val="1916"/>
        </w:trPr>
        <w:tc>
          <w:tcPr>
            <w:tcW w:w="8720" w:type="dxa"/>
          </w:tcPr>
          <w:p w14:paraId="046475F3" w14:textId="502E0555" w:rsidR="00BE229E" w:rsidRPr="00BE229E" w:rsidRDefault="008A7024" w:rsidP="00ED44F8">
            <w:pPr>
              <w:pStyle w:val="Subtitle"/>
              <w:rPr>
                <w:lang w:eastAsia="en-US"/>
              </w:rPr>
            </w:pPr>
            <w:r>
              <w:rPr>
                <w:lang w:eastAsia="en-US"/>
              </w:rPr>
              <w:t>Sponsor</w:t>
            </w:r>
            <w:r w:rsidR="00BE229E" w:rsidRPr="00BE229E">
              <w:rPr>
                <w:lang w:eastAsia="en-US"/>
              </w:rPr>
              <w:t xml:space="preserve">: </w:t>
            </w:r>
            <w:bookmarkStart w:id="1" w:name="_Hlk179275984"/>
            <w:r w:rsidR="00E82CA6" w:rsidRPr="00E82CA6">
              <w:rPr>
                <w:lang w:eastAsia="en-US"/>
              </w:rPr>
              <w:t>Bayer Australia Ltd</w:t>
            </w:r>
            <w:bookmarkEnd w:id="1"/>
          </w:p>
        </w:tc>
      </w:tr>
      <w:tr w:rsidR="00BE229E" w:rsidRPr="00BE229E" w14:paraId="4AD6111B" w14:textId="77777777" w:rsidTr="00F7414D">
        <w:tc>
          <w:tcPr>
            <w:tcW w:w="8720" w:type="dxa"/>
          </w:tcPr>
          <w:p w14:paraId="30DA8967" w14:textId="025C7D14" w:rsidR="00BE229E" w:rsidRPr="00BE229E" w:rsidRDefault="002E16E5" w:rsidP="00ED44F8">
            <w:pPr>
              <w:pStyle w:val="Date"/>
              <w:rPr>
                <w:lang w:eastAsia="en-US"/>
              </w:rPr>
            </w:pPr>
            <w:r>
              <w:rPr>
                <w:lang w:eastAsia="en-US"/>
              </w:rPr>
              <w:t>September</w:t>
            </w:r>
            <w:r w:rsidR="00BE229E" w:rsidRPr="00BE229E">
              <w:rPr>
                <w:lang w:eastAsia="en-US"/>
              </w:rPr>
              <w:t xml:space="preserve"> 2024</w:t>
            </w:r>
          </w:p>
        </w:tc>
      </w:tr>
    </w:tbl>
    <w:p w14:paraId="73752706" w14:textId="77777777" w:rsidR="00D67706" w:rsidRPr="00D67706" w:rsidRDefault="00D67706" w:rsidP="00D67706">
      <w:pPr>
        <w:sectPr w:rsidR="00D67706" w:rsidRPr="00D67706" w:rsidSect="00CB0550">
          <w:headerReference w:type="default" r:id="rId8"/>
          <w:footerReference w:type="default" r:id="rId9"/>
          <w:headerReference w:type="first" r:id="rId10"/>
          <w:footerReference w:type="first" r:id="rId11"/>
          <w:pgSz w:w="11906" w:h="16838"/>
          <w:pgMar w:top="1440" w:right="1440" w:bottom="1440" w:left="1440" w:header="708" w:footer="708" w:gutter="0"/>
          <w:cols w:space="708"/>
          <w:titlePg/>
          <w:docGrid w:linePitch="360"/>
        </w:sectPr>
      </w:pPr>
    </w:p>
    <w:p w14:paraId="2170A423" w14:textId="77777777" w:rsidR="00346EC2" w:rsidRPr="001F6CBA" w:rsidRDefault="00346EC2" w:rsidP="00346EC2">
      <w:pPr>
        <w:pStyle w:val="NonTOCHeading20"/>
      </w:pPr>
      <w:r w:rsidRPr="001F6CBA">
        <w:lastRenderedPageBreak/>
        <w:t>About the Therapeutic Goods Administration (TGA)</w:t>
      </w:r>
    </w:p>
    <w:p w14:paraId="79558AE9" w14:textId="77777777" w:rsidR="00346EC2" w:rsidRPr="00391B0C" w:rsidRDefault="00346EC2" w:rsidP="0056766D">
      <w:pPr>
        <w:pStyle w:val="ListBullet"/>
      </w:pPr>
      <w:r w:rsidRPr="00391B0C">
        <w:t xml:space="preserve">The Therapeutic Goods Administration (TGA) is part of the Australian Government </w:t>
      </w:r>
      <w:r w:rsidRPr="00C22214">
        <w:t>Department of Health and Aged Care</w:t>
      </w:r>
      <w:r>
        <w:t xml:space="preserve"> </w:t>
      </w:r>
      <w:r w:rsidRPr="00391B0C">
        <w:t>and is responsible for regulating therapeutic goods, including medicines, medical devices, and biologicals.</w:t>
      </w:r>
    </w:p>
    <w:p w14:paraId="61BEFDB6" w14:textId="77777777" w:rsidR="00346EC2" w:rsidRPr="00391B0C" w:rsidRDefault="00346EC2" w:rsidP="00346EC2">
      <w:pPr>
        <w:pStyle w:val="ListBullet"/>
      </w:pPr>
      <w:r w:rsidRPr="00391B0C">
        <w:t xml:space="preserve">The TGA administers the </w:t>
      </w:r>
      <w:r w:rsidRPr="00822FCB">
        <w:rPr>
          <w:i/>
          <w:iCs/>
        </w:rPr>
        <w:t>Therapeutic Goods Act 1989</w:t>
      </w:r>
      <w:r w:rsidRPr="00391B0C">
        <w:t xml:space="preserve"> (the Act), applying a risk management approach designed to ensure therapeutic goods supplied in Australia meet acceptable standards of quality, safety, and efficacy.</w:t>
      </w:r>
    </w:p>
    <w:p w14:paraId="77180CB3" w14:textId="77777777" w:rsidR="00346EC2" w:rsidRPr="003C6D1F" w:rsidRDefault="00346EC2" w:rsidP="00346EC2">
      <w:pPr>
        <w:pStyle w:val="ListBullet"/>
      </w:pPr>
      <w:r w:rsidRPr="003C6D1F">
        <w:t xml:space="preserve">The work of the TGA is based on applying scientific and clinical expertise to decision-making, to ensure that the benefits to </w:t>
      </w:r>
      <w:r>
        <w:t>the Australian public</w:t>
      </w:r>
      <w:r w:rsidRPr="003C6D1F">
        <w:t xml:space="preserve"> outweigh any risks associated with the use of </w:t>
      </w:r>
      <w:r>
        <w:t>therapeutic goods</w:t>
      </w:r>
      <w:r w:rsidRPr="003C6D1F">
        <w:t>.</w:t>
      </w:r>
    </w:p>
    <w:p w14:paraId="70AC2A35" w14:textId="77777777" w:rsidR="00346EC2" w:rsidRPr="003C6D1F" w:rsidRDefault="00346EC2" w:rsidP="00346EC2">
      <w:pPr>
        <w:pStyle w:val="ListBullet"/>
      </w:pPr>
      <w:r w:rsidRPr="003C6D1F">
        <w:t xml:space="preserve">The TGA relies on the public, healthcare professionals and industry to report problems with </w:t>
      </w:r>
      <w:r>
        <w:t>therapeutic goods</w:t>
      </w:r>
      <w:r w:rsidRPr="003C6D1F">
        <w:t>.</w:t>
      </w:r>
      <w:r>
        <w:t xml:space="preserve"> The</w:t>
      </w:r>
      <w:r w:rsidRPr="003C6D1F">
        <w:t xml:space="preserve"> TGA investigates reports received to determine any necessary regulatory action.</w:t>
      </w:r>
    </w:p>
    <w:p w14:paraId="17DC24C6" w14:textId="1C976CB8" w:rsidR="00346EC2" w:rsidRDefault="00346EC2" w:rsidP="00346EC2">
      <w:pPr>
        <w:pStyle w:val="ListBullet"/>
      </w:pPr>
      <w:r w:rsidRPr="003C6D1F">
        <w:t xml:space="preserve">To report a problem with a </w:t>
      </w:r>
      <w:r>
        <w:t>therapeutic good</w:t>
      </w:r>
      <w:r w:rsidRPr="003C6D1F">
        <w:t xml:space="preserve">, please see the information on the </w:t>
      </w:r>
      <w:hyperlink r:id="rId12" w:history="1">
        <w:r w:rsidRPr="00A63C07">
          <w:rPr>
            <w:rStyle w:val="Hyperlink"/>
          </w:rPr>
          <w:t>TGA website</w:t>
        </w:r>
      </w:hyperlink>
      <w:r w:rsidRPr="003C6D1F">
        <w:t>.</w:t>
      </w:r>
    </w:p>
    <w:p w14:paraId="737B7A99" w14:textId="77777777" w:rsidR="00346EC2" w:rsidRDefault="00346EC2" w:rsidP="00346EC2">
      <w:pPr>
        <w:pStyle w:val="NonTOCHeading20"/>
      </w:pPr>
      <w:r>
        <w:t>About AusPARs</w:t>
      </w:r>
    </w:p>
    <w:p w14:paraId="631B2209" w14:textId="010FE2EE" w:rsidR="00346EC2" w:rsidRPr="003C6D1F" w:rsidRDefault="00346EC2" w:rsidP="00346EC2">
      <w:pPr>
        <w:pStyle w:val="ListBullet"/>
      </w:pPr>
      <w:r>
        <w:t>The</w:t>
      </w:r>
      <w:r w:rsidRPr="003C6D1F">
        <w:t xml:space="preserve"> Australian Public Assessment Report (AusPAR) provides information about the evaluation of a prescription medicine and the considerations that led the TGA to approve or not approve a prescription medicine submission.</w:t>
      </w:r>
      <w:r>
        <w:t xml:space="preserve"> Further information can be found in </w:t>
      </w:r>
      <w:hyperlink r:id="rId13" w:history="1">
        <w:r w:rsidRPr="005A2EB8">
          <w:rPr>
            <w:rStyle w:val="Hyperlink"/>
          </w:rPr>
          <w:t>Australian Public Assessment Report (AusPAR) guidance</w:t>
        </w:r>
      </w:hyperlink>
      <w:r>
        <w:t>.</w:t>
      </w:r>
    </w:p>
    <w:p w14:paraId="22F5A730" w14:textId="77777777" w:rsidR="00346EC2" w:rsidRPr="003C6D1F" w:rsidRDefault="00346EC2" w:rsidP="00346EC2">
      <w:pPr>
        <w:pStyle w:val="ListBullet"/>
      </w:pPr>
      <w:r w:rsidRPr="003C6D1F">
        <w:t>AusPARs are prepared and published by the TGA.</w:t>
      </w:r>
    </w:p>
    <w:p w14:paraId="451B8FD7" w14:textId="77777777" w:rsidR="00346EC2" w:rsidRPr="003C6D1F" w:rsidRDefault="00346EC2" w:rsidP="00346EC2">
      <w:pPr>
        <w:pStyle w:val="ListBullet"/>
      </w:pPr>
      <w:r w:rsidRPr="003C6D1F">
        <w:t>AusPAR</w:t>
      </w:r>
      <w:r>
        <w:t xml:space="preserve">s are </w:t>
      </w:r>
      <w:r w:rsidRPr="003C6D1F">
        <w:t>static document</w:t>
      </w:r>
      <w:r>
        <w:t xml:space="preserve">s that </w:t>
      </w:r>
      <w:r w:rsidRPr="003C6D1F">
        <w:t>provide information that relates to a submission at a particular point in time.</w:t>
      </w:r>
      <w:r>
        <w:t xml:space="preserve"> The publication of an AusPAR is an important part of the transparency of the TGA’s decision-making process.</w:t>
      </w:r>
    </w:p>
    <w:p w14:paraId="1D1D0505" w14:textId="77777777" w:rsidR="00A51334" w:rsidRDefault="00346EC2" w:rsidP="00A51334">
      <w:pPr>
        <w:pStyle w:val="ListBullet"/>
      </w:pPr>
      <w:r w:rsidRPr="003C6D1F">
        <w:t xml:space="preserve">A new AusPAR </w:t>
      </w:r>
      <w:r>
        <w:t xml:space="preserve">may be provided </w:t>
      </w:r>
      <w:r w:rsidRPr="003C6D1F">
        <w:t>to reflect changes to indications or major variations to a prescription medicine subject to evaluation by the TGA.</w:t>
      </w:r>
    </w:p>
    <w:p w14:paraId="1AB973D4" w14:textId="77777777" w:rsidR="00ED44F8" w:rsidRDefault="00F02AEC" w:rsidP="00ED44F8">
      <w:pPr>
        <w:pStyle w:val="LegalSubheading"/>
        <w:spacing w:before="3600"/>
      </w:pPr>
      <w:r w:rsidRPr="00BA0DFC">
        <w:t>Copyright</w:t>
      </w:r>
    </w:p>
    <w:p w14:paraId="170A8A5D" w14:textId="3E4FE964" w:rsidR="00175CD8" w:rsidRPr="00A51334" w:rsidRDefault="00F02AEC" w:rsidP="007429D8">
      <w:pPr>
        <w:pStyle w:val="LegalCopy"/>
      </w:pPr>
      <w:r w:rsidRPr="00215D48">
        <w:t>© Commonwealth of Australia 20</w:t>
      </w:r>
      <w:r>
        <w:t>2</w:t>
      </w:r>
      <w:r w:rsidR="007F1E37">
        <w:t>4</w:t>
      </w:r>
      <w:r w:rsidRPr="00215D48">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215D48">
        <w:rPr>
          <w:i/>
        </w:rPr>
        <w:t>Copyright Act 1968</w:t>
      </w:r>
      <w:r w:rsidRPr="00215D48">
        <w:t xml:space="preserve"> or allowed by this copyright notice, all other rights are </w:t>
      </w:r>
      <w:proofErr w:type="gramStart"/>
      <w:r w:rsidRPr="00215D48">
        <w:t>reserved</w:t>
      </w:r>
      <w:proofErr w:type="gramEnd"/>
      <w:r w:rsidRPr="00215D48">
        <w:t xml:space="preserve">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4" w:history="1">
        <w:r w:rsidRPr="00215D48">
          <w:rPr>
            <w:rStyle w:val="Hyperlink"/>
            <w:rFonts w:cs="Arial"/>
          </w:rPr>
          <w:t>tga.copyright@tga.gov.au</w:t>
        </w:r>
      </w:hyperlink>
      <w:r w:rsidRPr="00215D48">
        <w:t>&gt;.</w:t>
      </w:r>
    </w:p>
    <w:sdt>
      <w:sdtPr>
        <w:rPr>
          <w:rFonts w:ascii="Cambria" w:eastAsiaTheme="minorHAnsi" w:hAnsi="Cambria" w:cstheme="minorBidi"/>
          <w:b w:val="0"/>
          <w:color w:val="auto"/>
          <w:sz w:val="22"/>
          <w:szCs w:val="22"/>
        </w:rPr>
        <w:id w:val="21514769"/>
        <w:docPartObj>
          <w:docPartGallery w:val="Table of Contents"/>
          <w:docPartUnique/>
        </w:docPartObj>
      </w:sdtPr>
      <w:sdtEndPr>
        <w:rPr>
          <w:szCs w:val="20"/>
        </w:rPr>
      </w:sdtEndPr>
      <w:sdtContent>
        <w:p w14:paraId="0A6ADA2B" w14:textId="77777777" w:rsidR="00F02AEC" w:rsidRPr="00215D48" w:rsidRDefault="00F02AEC" w:rsidP="007452E8">
          <w:pPr>
            <w:pStyle w:val="NonTOCheading2"/>
          </w:pPr>
          <w:r w:rsidRPr="00215D48">
            <w:t>Contents</w:t>
          </w:r>
        </w:p>
        <w:p w14:paraId="7D7928A6" w14:textId="4EB4188F" w:rsidR="001F4323" w:rsidRDefault="00F02AEC">
          <w:pPr>
            <w:pStyle w:val="TOC3"/>
            <w:rPr>
              <w:rFonts w:asciiTheme="minorHAnsi" w:eastAsiaTheme="minorEastAsia" w:hAnsiTheme="minorHAnsi" w:cstheme="minorBidi"/>
              <w:b w:val="0"/>
              <w:noProof/>
              <w:color w:val="auto"/>
              <w:kern w:val="2"/>
              <w:szCs w:val="22"/>
              <w:lang w:eastAsia="en-AU"/>
              <w14:ligatures w14:val="standardContextual"/>
            </w:rPr>
          </w:pPr>
          <w:r w:rsidRPr="00215D48">
            <w:rPr>
              <w:sz w:val="32"/>
            </w:rPr>
            <w:fldChar w:fldCharType="begin"/>
          </w:r>
          <w:r w:rsidRPr="00215D48">
            <w:instrText xml:space="preserve"> TOC \h \z \u \t "Heading 2,1,Heading 3,2,Heading 4,3" </w:instrText>
          </w:r>
          <w:r w:rsidRPr="00215D48">
            <w:rPr>
              <w:sz w:val="32"/>
            </w:rPr>
            <w:fldChar w:fldCharType="separate"/>
          </w:r>
          <w:hyperlink w:anchor="_Toc179287280" w:history="1">
            <w:r w:rsidR="001F4323" w:rsidRPr="00E308AE">
              <w:rPr>
                <w:rStyle w:val="Hyperlink"/>
                <w:noProof/>
              </w:rPr>
              <w:t>List of abbreviations</w:t>
            </w:r>
            <w:r w:rsidR="001F4323">
              <w:rPr>
                <w:noProof/>
                <w:webHidden/>
              </w:rPr>
              <w:tab/>
            </w:r>
            <w:r w:rsidR="001F4323">
              <w:rPr>
                <w:noProof/>
                <w:webHidden/>
              </w:rPr>
              <w:fldChar w:fldCharType="begin"/>
            </w:r>
            <w:r w:rsidR="001F4323">
              <w:rPr>
                <w:noProof/>
                <w:webHidden/>
              </w:rPr>
              <w:instrText xml:space="preserve"> PAGEREF _Toc179287280 \h </w:instrText>
            </w:r>
            <w:r w:rsidR="001F4323">
              <w:rPr>
                <w:noProof/>
                <w:webHidden/>
              </w:rPr>
            </w:r>
            <w:r w:rsidR="001F4323">
              <w:rPr>
                <w:noProof/>
                <w:webHidden/>
              </w:rPr>
              <w:fldChar w:fldCharType="separate"/>
            </w:r>
            <w:r w:rsidR="001F4323">
              <w:rPr>
                <w:noProof/>
                <w:webHidden/>
              </w:rPr>
              <w:t>4</w:t>
            </w:r>
            <w:r w:rsidR="001F4323">
              <w:rPr>
                <w:noProof/>
                <w:webHidden/>
              </w:rPr>
              <w:fldChar w:fldCharType="end"/>
            </w:r>
          </w:hyperlink>
        </w:p>
        <w:p w14:paraId="2C1963DD" w14:textId="647D78C4" w:rsidR="001F4323" w:rsidRDefault="001F4323">
          <w:pPr>
            <w:pStyle w:val="TOC1"/>
            <w:rPr>
              <w:rFonts w:asciiTheme="minorHAnsi" w:eastAsiaTheme="minorEastAsia" w:hAnsiTheme="minorHAnsi" w:cstheme="minorBidi"/>
              <w:b w:val="0"/>
              <w:noProof/>
              <w:color w:val="auto"/>
              <w:kern w:val="2"/>
              <w:sz w:val="22"/>
              <w:szCs w:val="22"/>
              <w:lang w:eastAsia="en-AU"/>
              <w14:ligatures w14:val="standardContextual"/>
            </w:rPr>
          </w:pPr>
          <w:hyperlink w:anchor="_Toc179287281" w:history="1">
            <w:r w:rsidRPr="00E308AE">
              <w:rPr>
                <w:rStyle w:val="Hyperlink"/>
                <w:noProof/>
              </w:rPr>
              <w:t>Nubeqa (darolutamide) submission</w:t>
            </w:r>
            <w:r>
              <w:rPr>
                <w:noProof/>
                <w:webHidden/>
              </w:rPr>
              <w:tab/>
            </w:r>
            <w:r>
              <w:rPr>
                <w:noProof/>
                <w:webHidden/>
              </w:rPr>
              <w:fldChar w:fldCharType="begin"/>
            </w:r>
            <w:r>
              <w:rPr>
                <w:noProof/>
                <w:webHidden/>
              </w:rPr>
              <w:instrText xml:space="preserve"> PAGEREF _Toc179287281 \h </w:instrText>
            </w:r>
            <w:r>
              <w:rPr>
                <w:noProof/>
                <w:webHidden/>
              </w:rPr>
            </w:r>
            <w:r>
              <w:rPr>
                <w:noProof/>
                <w:webHidden/>
              </w:rPr>
              <w:fldChar w:fldCharType="separate"/>
            </w:r>
            <w:r>
              <w:rPr>
                <w:noProof/>
                <w:webHidden/>
              </w:rPr>
              <w:t>6</w:t>
            </w:r>
            <w:r>
              <w:rPr>
                <w:noProof/>
                <w:webHidden/>
              </w:rPr>
              <w:fldChar w:fldCharType="end"/>
            </w:r>
          </w:hyperlink>
        </w:p>
        <w:p w14:paraId="6518DCFD" w14:textId="3D0AE5E1" w:rsidR="001F4323" w:rsidRDefault="001F4323">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9287282" w:history="1">
            <w:r w:rsidRPr="00E308AE">
              <w:rPr>
                <w:rStyle w:val="Hyperlink"/>
                <w:noProof/>
              </w:rPr>
              <w:t>Nubeqa (darolutamide) – proposed indications</w:t>
            </w:r>
            <w:r>
              <w:rPr>
                <w:noProof/>
                <w:webHidden/>
              </w:rPr>
              <w:tab/>
            </w:r>
            <w:r>
              <w:rPr>
                <w:noProof/>
                <w:webHidden/>
              </w:rPr>
              <w:fldChar w:fldCharType="begin"/>
            </w:r>
            <w:r>
              <w:rPr>
                <w:noProof/>
                <w:webHidden/>
              </w:rPr>
              <w:instrText xml:space="preserve"> PAGEREF _Toc179287282 \h </w:instrText>
            </w:r>
            <w:r>
              <w:rPr>
                <w:noProof/>
                <w:webHidden/>
              </w:rPr>
            </w:r>
            <w:r>
              <w:rPr>
                <w:noProof/>
                <w:webHidden/>
              </w:rPr>
              <w:fldChar w:fldCharType="separate"/>
            </w:r>
            <w:r>
              <w:rPr>
                <w:noProof/>
                <w:webHidden/>
              </w:rPr>
              <w:t>7</w:t>
            </w:r>
            <w:r>
              <w:rPr>
                <w:noProof/>
                <w:webHidden/>
              </w:rPr>
              <w:fldChar w:fldCharType="end"/>
            </w:r>
          </w:hyperlink>
        </w:p>
        <w:p w14:paraId="05E2CF99" w14:textId="53D263D5" w:rsidR="001F4323" w:rsidRDefault="001F4323">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9287283" w:history="1">
            <w:r w:rsidRPr="00E308AE">
              <w:rPr>
                <w:rStyle w:val="Hyperlink"/>
                <w:noProof/>
              </w:rPr>
              <w:t>Metastatic hormone sensitive prostate cancer (mHSPC)</w:t>
            </w:r>
            <w:r>
              <w:rPr>
                <w:noProof/>
                <w:webHidden/>
              </w:rPr>
              <w:tab/>
            </w:r>
            <w:r>
              <w:rPr>
                <w:noProof/>
                <w:webHidden/>
              </w:rPr>
              <w:fldChar w:fldCharType="begin"/>
            </w:r>
            <w:r>
              <w:rPr>
                <w:noProof/>
                <w:webHidden/>
              </w:rPr>
              <w:instrText xml:space="preserve"> PAGEREF _Toc179287283 \h </w:instrText>
            </w:r>
            <w:r>
              <w:rPr>
                <w:noProof/>
                <w:webHidden/>
              </w:rPr>
            </w:r>
            <w:r>
              <w:rPr>
                <w:noProof/>
                <w:webHidden/>
              </w:rPr>
              <w:fldChar w:fldCharType="separate"/>
            </w:r>
            <w:r>
              <w:rPr>
                <w:noProof/>
                <w:webHidden/>
              </w:rPr>
              <w:t>7</w:t>
            </w:r>
            <w:r>
              <w:rPr>
                <w:noProof/>
                <w:webHidden/>
              </w:rPr>
              <w:fldChar w:fldCharType="end"/>
            </w:r>
          </w:hyperlink>
        </w:p>
        <w:p w14:paraId="6942D375" w14:textId="5067C78E" w:rsidR="001F4323" w:rsidRDefault="001F4323">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9287284" w:history="1">
            <w:r w:rsidRPr="00E308AE">
              <w:rPr>
                <w:rStyle w:val="Hyperlink"/>
                <w:noProof/>
              </w:rPr>
              <w:t>Current treatment options for mHSPC</w:t>
            </w:r>
            <w:r>
              <w:rPr>
                <w:noProof/>
                <w:webHidden/>
              </w:rPr>
              <w:tab/>
            </w:r>
            <w:r>
              <w:rPr>
                <w:noProof/>
                <w:webHidden/>
              </w:rPr>
              <w:fldChar w:fldCharType="begin"/>
            </w:r>
            <w:r>
              <w:rPr>
                <w:noProof/>
                <w:webHidden/>
              </w:rPr>
              <w:instrText xml:space="preserve"> PAGEREF _Toc179287284 \h </w:instrText>
            </w:r>
            <w:r>
              <w:rPr>
                <w:noProof/>
                <w:webHidden/>
              </w:rPr>
            </w:r>
            <w:r>
              <w:rPr>
                <w:noProof/>
                <w:webHidden/>
              </w:rPr>
              <w:fldChar w:fldCharType="separate"/>
            </w:r>
            <w:r>
              <w:rPr>
                <w:noProof/>
                <w:webHidden/>
              </w:rPr>
              <w:t>8</w:t>
            </w:r>
            <w:r>
              <w:rPr>
                <w:noProof/>
                <w:webHidden/>
              </w:rPr>
              <w:fldChar w:fldCharType="end"/>
            </w:r>
          </w:hyperlink>
        </w:p>
        <w:p w14:paraId="43B71628" w14:textId="76C4FFEB" w:rsidR="001F4323" w:rsidRDefault="001F4323">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9287285" w:history="1">
            <w:r w:rsidRPr="00E308AE">
              <w:rPr>
                <w:rStyle w:val="Hyperlink"/>
                <w:noProof/>
              </w:rPr>
              <w:t>Clinical rationale for Nubeqa use in mHSPC</w:t>
            </w:r>
            <w:r>
              <w:rPr>
                <w:noProof/>
                <w:webHidden/>
              </w:rPr>
              <w:tab/>
            </w:r>
            <w:r>
              <w:rPr>
                <w:noProof/>
                <w:webHidden/>
              </w:rPr>
              <w:fldChar w:fldCharType="begin"/>
            </w:r>
            <w:r>
              <w:rPr>
                <w:noProof/>
                <w:webHidden/>
              </w:rPr>
              <w:instrText xml:space="preserve"> PAGEREF _Toc179287285 \h </w:instrText>
            </w:r>
            <w:r>
              <w:rPr>
                <w:noProof/>
                <w:webHidden/>
              </w:rPr>
            </w:r>
            <w:r>
              <w:rPr>
                <w:noProof/>
                <w:webHidden/>
              </w:rPr>
              <w:fldChar w:fldCharType="separate"/>
            </w:r>
            <w:r>
              <w:rPr>
                <w:noProof/>
                <w:webHidden/>
              </w:rPr>
              <w:t>8</w:t>
            </w:r>
            <w:r>
              <w:rPr>
                <w:noProof/>
                <w:webHidden/>
              </w:rPr>
              <w:fldChar w:fldCharType="end"/>
            </w:r>
          </w:hyperlink>
        </w:p>
        <w:p w14:paraId="61D9D086" w14:textId="42E55666" w:rsidR="001F4323" w:rsidRDefault="001F4323">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9287286" w:history="1">
            <w:r w:rsidRPr="00E308AE">
              <w:rPr>
                <w:rStyle w:val="Hyperlink"/>
                <w:noProof/>
              </w:rPr>
              <w:t>Regulatory status</w:t>
            </w:r>
            <w:r>
              <w:rPr>
                <w:noProof/>
                <w:webHidden/>
              </w:rPr>
              <w:tab/>
            </w:r>
            <w:r>
              <w:rPr>
                <w:noProof/>
                <w:webHidden/>
              </w:rPr>
              <w:fldChar w:fldCharType="begin"/>
            </w:r>
            <w:r>
              <w:rPr>
                <w:noProof/>
                <w:webHidden/>
              </w:rPr>
              <w:instrText xml:space="preserve"> PAGEREF _Toc179287286 \h </w:instrText>
            </w:r>
            <w:r>
              <w:rPr>
                <w:noProof/>
                <w:webHidden/>
              </w:rPr>
            </w:r>
            <w:r>
              <w:rPr>
                <w:noProof/>
                <w:webHidden/>
              </w:rPr>
              <w:fldChar w:fldCharType="separate"/>
            </w:r>
            <w:r>
              <w:rPr>
                <w:noProof/>
                <w:webHidden/>
              </w:rPr>
              <w:t>9</w:t>
            </w:r>
            <w:r>
              <w:rPr>
                <w:noProof/>
                <w:webHidden/>
              </w:rPr>
              <w:fldChar w:fldCharType="end"/>
            </w:r>
          </w:hyperlink>
        </w:p>
        <w:p w14:paraId="7C219645" w14:textId="019E970B" w:rsidR="001F4323" w:rsidRDefault="001F4323">
          <w:pPr>
            <w:pStyle w:val="TOC3"/>
            <w:rPr>
              <w:rFonts w:asciiTheme="minorHAnsi" w:eastAsiaTheme="minorEastAsia" w:hAnsiTheme="minorHAnsi" w:cstheme="minorBidi"/>
              <w:b w:val="0"/>
              <w:noProof/>
              <w:color w:val="auto"/>
              <w:kern w:val="2"/>
              <w:szCs w:val="22"/>
              <w:lang w:eastAsia="en-AU"/>
              <w14:ligatures w14:val="standardContextual"/>
            </w:rPr>
          </w:pPr>
          <w:hyperlink w:anchor="_Toc179287287" w:history="1">
            <w:r w:rsidRPr="00E308AE">
              <w:rPr>
                <w:rStyle w:val="Hyperlink"/>
                <w:noProof/>
              </w:rPr>
              <w:t>Australian regulatory status</w:t>
            </w:r>
            <w:r>
              <w:rPr>
                <w:noProof/>
                <w:webHidden/>
              </w:rPr>
              <w:tab/>
            </w:r>
            <w:r>
              <w:rPr>
                <w:noProof/>
                <w:webHidden/>
              </w:rPr>
              <w:fldChar w:fldCharType="begin"/>
            </w:r>
            <w:r>
              <w:rPr>
                <w:noProof/>
                <w:webHidden/>
              </w:rPr>
              <w:instrText xml:space="preserve"> PAGEREF _Toc179287287 \h </w:instrText>
            </w:r>
            <w:r>
              <w:rPr>
                <w:noProof/>
                <w:webHidden/>
              </w:rPr>
            </w:r>
            <w:r>
              <w:rPr>
                <w:noProof/>
                <w:webHidden/>
              </w:rPr>
              <w:fldChar w:fldCharType="separate"/>
            </w:r>
            <w:r>
              <w:rPr>
                <w:noProof/>
                <w:webHidden/>
              </w:rPr>
              <w:t>9</w:t>
            </w:r>
            <w:r>
              <w:rPr>
                <w:noProof/>
                <w:webHidden/>
              </w:rPr>
              <w:fldChar w:fldCharType="end"/>
            </w:r>
          </w:hyperlink>
        </w:p>
        <w:p w14:paraId="2F8EBCFE" w14:textId="4F2A859A" w:rsidR="001F4323" w:rsidRDefault="001F4323">
          <w:pPr>
            <w:pStyle w:val="TOC3"/>
            <w:rPr>
              <w:rFonts w:asciiTheme="minorHAnsi" w:eastAsiaTheme="minorEastAsia" w:hAnsiTheme="minorHAnsi" w:cstheme="minorBidi"/>
              <w:b w:val="0"/>
              <w:noProof/>
              <w:color w:val="auto"/>
              <w:kern w:val="2"/>
              <w:szCs w:val="22"/>
              <w:lang w:eastAsia="en-AU"/>
              <w14:ligatures w14:val="standardContextual"/>
            </w:rPr>
          </w:pPr>
          <w:hyperlink w:anchor="_Toc179287288" w:history="1">
            <w:r w:rsidRPr="00E308AE">
              <w:rPr>
                <w:rStyle w:val="Hyperlink"/>
                <w:noProof/>
              </w:rPr>
              <w:t>International regulatory status</w:t>
            </w:r>
            <w:r>
              <w:rPr>
                <w:noProof/>
                <w:webHidden/>
              </w:rPr>
              <w:tab/>
            </w:r>
            <w:r>
              <w:rPr>
                <w:noProof/>
                <w:webHidden/>
              </w:rPr>
              <w:fldChar w:fldCharType="begin"/>
            </w:r>
            <w:r>
              <w:rPr>
                <w:noProof/>
                <w:webHidden/>
              </w:rPr>
              <w:instrText xml:space="preserve"> PAGEREF _Toc179287288 \h </w:instrText>
            </w:r>
            <w:r>
              <w:rPr>
                <w:noProof/>
                <w:webHidden/>
              </w:rPr>
            </w:r>
            <w:r>
              <w:rPr>
                <w:noProof/>
                <w:webHidden/>
              </w:rPr>
              <w:fldChar w:fldCharType="separate"/>
            </w:r>
            <w:r>
              <w:rPr>
                <w:noProof/>
                <w:webHidden/>
              </w:rPr>
              <w:t>9</w:t>
            </w:r>
            <w:r>
              <w:rPr>
                <w:noProof/>
                <w:webHidden/>
              </w:rPr>
              <w:fldChar w:fldCharType="end"/>
            </w:r>
          </w:hyperlink>
        </w:p>
        <w:p w14:paraId="11F533B8" w14:textId="4A3B68AF" w:rsidR="001F4323" w:rsidRDefault="001F4323">
          <w:pPr>
            <w:pStyle w:val="TOC1"/>
            <w:rPr>
              <w:rFonts w:asciiTheme="minorHAnsi" w:eastAsiaTheme="minorEastAsia" w:hAnsiTheme="minorHAnsi" w:cstheme="minorBidi"/>
              <w:b w:val="0"/>
              <w:noProof/>
              <w:color w:val="auto"/>
              <w:kern w:val="2"/>
              <w:sz w:val="22"/>
              <w:szCs w:val="22"/>
              <w:lang w:eastAsia="en-AU"/>
              <w14:ligatures w14:val="standardContextual"/>
            </w:rPr>
          </w:pPr>
          <w:hyperlink w:anchor="_Toc179287289" w:history="1">
            <w:r w:rsidRPr="00E308AE">
              <w:rPr>
                <w:rStyle w:val="Hyperlink"/>
                <w:noProof/>
              </w:rPr>
              <w:t>Registration timeline</w:t>
            </w:r>
            <w:r>
              <w:rPr>
                <w:noProof/>
                <w:webHidden/>
              </w:rPr>
              <w:tab/>
            </w:r>
            <w:r>
              <w:rPr>
                <w:noProof/>
                <w:webHidden/>
              </w:rPr>
              <w:fldChar w:fldCharType="begin"/>
            </w:r>
            <w:r>
              <w:rPr>
                <w:noProof/>
                <w:webHidden/>
              </w:rPr>
              <w:instrText xml:space="preserve"> PAGEREF _Toc179287289 \h </w:instrText>
            </w:r>
            <w:r>
              <w:rPr>
                <w:noProof/>
                <w:webHidden/>
              </w:rPr>
            </w:r>
            <w:r>
              <w:rPr>
                <w:noProof/>
                <w:webHidden/>
              </w:rPr>
              <w:fldChar w:fldCharType="separate"/>
            </w:r>
            <w:r>
              <w:rPr>
                <w:noProof/>
                <w:webHidden/>
              </w:rPr>
              <w:t>12</w:t>
            </w:r>
            <w:r>
              <w:rPr>
                <w:noProof/>
                <w:webHidden/>
              </w:rPr>
              <w:fldChar w:fldCharType="end"/>
            </w:r>
          </w:hyperlink>
        </w:p>
        <w:p w14:paraId="06CDCC59" w14:textId="42BE3EFA" w:rsidR="001F4323" w:rsidRDefault="001F4323">
          <w:pPr>
            <w:pStyle w:val="TOC1"/>
            <w:rPr>
              <w:rFonts w:asciiTheme="minorHAnsi" w:eastAsiaTheme="minorEastAsia" w:hAnsiTheme="minorHAnsi" w:cstheme="minorBidi"/>
              <w:b w:val="0"/>
              <w:noProof/>
              <w:color w:val="auto"/>
              <w:kern w:val="2"/>
              <w:sz w:val="22"/>
              <w:szCs w:val="22"/>
              <w:lang w:eastAsia="en-AU"/>
              <w14:ligatures w14:val="standardContextual"/>
            </w:rPr>
          </w:pPr>
          <w:hyperlink w:anchor="_Toc179287290" w:history="1">
            <w:r w:rsidRPr="00E308AE">
              <w:rPr>
                <w:rStyle w:val="Hyperlink"/>
                <w:noProof/>
              </w:rPr>
              <w:t>Evaluation overview</w:t>
            </w:r>
            <w:r>
              <w:rPr>
                <w:noProof/>
                <w:webHidden/>
              </w:rPr>
              <w:tab/>
            </w:r>
            <w:r>
              <w:rPr>
                <w:noProof/>
                <w:webHidden/>
              </w:rPr>
              <w:fldChar w:fldCharType="begin"/>
            </w:r>
            <w:r>
              <w:rPr>
                <w:noProof/>
                <w:webHidden/>
              </w:rPr>
              <w:instrText xml:space="preserve"> PAGEREF _Toc179287290 \h </w:instrText>
            </w:r>
            <w:r>
              <w:rPr>
                <w:noProof/>
                <w:webHidden/>
              </w:rPr>
            </w:r>
            <w:r>
              <w:rPr>
                <w:noProof/>
                <w:webHidden/>
              </w:rPr>
              <w:fldChar w:fldCharType="separate"/>
            </w:r>
            <w:r>
              <w:rPr>
                <w:noProof/>
                <w:webHidden/>
              </w:rPr>
              <w:t>12</w:t>
            </w:r>
            <w:r>
              <w:rPr>
                <w:noProof/>
                <w:webHidden/>
              </w:rPr>
              <w:fldChar w:fldCharType="end"/>
            </w:r>
          </w:hyperlink>
        </w:p>
        <w:p w14:paraId="20253625" w14:textId="34F50932" w:rsidR="001F4323" w:rsidRDefault="001F4323">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9287291" w:history="1">
            <w:r w:rsidRPr="00E308AE">
              <w:rPr>
                <w:rStyle w:val="Hyperlink"/>
                <w:noProof/>
              </w:rPr>
              <w:t>Clinical evaluation summary</w:t>
            </w:r>
            <w:r>
              <w:rPr>
                <w:noProof/>
                <w:webHidden/>
              </w:rPr>
              <w:tab/>
            </w:r>
            <w:r>
              <w:rPr>
                <w:noProof/>
                <w:webHidden/>
              </w:rPr>
              <w:fldChar w:fldCharType="begin"/>
            </w:r>
            <w:r>
              <w:rPr>
                <w:noProof/>
                <w:webHidden/>
              </w:rPr>
              <w:instrText xml:space="preserve"> PAGEREF _Toc179287291 \h </w:instrText>
            </w:r>
            <w:r>
              <w:rPr>
                <w:noProof/>
                <w:webHidden/>
              </w:rPr>
            </w:r>
            <w:r>
              <w:rPr>
                <w:noProof/>
                <w:webHidden/>
              </w:rPr>
              <w:fldChar w:fldCharType="separate"/>
            </w:r>
            <w:r>
              <w:rPr>
                <w:noProof/>
                <w:webHidden/>
              </w:rPr>
              <w:t>12</w:t>
            </w:r>
            <w:r>
              <w:rPr>
                <w:noProof/>
                <w:webHidden/>
              </w:rPr>
              <w:fldChar w:fldCharType="end"/>
            </w:r>
          </w:hyperlink>
        </w:p>
        <w:p w14:paraId="4E9AEBAD" w14:textId="53CFBD0C" w:rsidR="001F4323" w:rsidRDefault="001F4323">
          <w:pPr>
            <w:pStyle w:val="TOC3"/>
            <w:rPr>
              <w:rFonts w:asciiTheme="minorHAnsi" w:eastAsiaTheme="minorEastAsia" w:hAnsiTheme="minorHAnsi" w:cstheme="minorBidi"/>
              <w:b w:val="0"/>
              <w:noProof/>
              <w:color w:val="auto"/>
              <w:kern w:val="2"/>
              <w:szCs w:val="22"/>
              <w:lang w:eastAsia="en-AU"/>
              <w14:ligatures w14:val="standardContextual"/>
            </w:rPr>
          </w:pPr>
          <w:hyperlink w:anchor="_Toc179287292" w:history="1">
            <w:r w:rsidRPr="00E308AE">
              <w:rPr>
                <w:rStyle w:val="Hyperlink"/>
                <w:noProof/>
              </w:rPr>
              <w:t>Efficacy</w:t>
            </w:r>
            <w:r>
              <w:rPr>
                <w:noProof/>
                <w:webHidden/>
              </w:rPr>
              <w:tab/>
            </w:r>
            <w:r>
              <w:rPr>
                <w:noProof/>
                <w:webHidden/>
              </w:rPr>
              <w:fldChar w:fldCharType="begin"/>
            </w:r>
            <w:r>
              <w:rPr>
                <w:noProof/>
                <w:webHidden/>
              </w:rPr>
              <w:instrText xml:space="preserve"> PAGEREF _Toc179287292 \h </w:instrText>
            </w:r>
            <w:r>
              <w:rPr>
                <w:noProof/>
                <w:webHidden/>
              </w:rPr>
            </w:r>
            <w:r>
              <w:rPr>
                <w:noProof/>
                <w:webHidden/>
              </w:rPr>
              <w:fldChar w:fldCharType="separate"/>
            </w:r>
            <w:r>
              <w:rPr>
                <w:noProof/>
                <w:webHidden/>
              </w:rPr>
              <w:t>26</w:t>
            </w:r>
            <w:r>
              <w:rPr>
                <w:noProof/>
                <w:webHidden/>
              </w:rPr>
              <w:fldChar w:fldCharType="end"/>
            </w:r>
          </w:hyperlink>
        </w:p>
        <w:p w14:paraId="28503B91" w14:textId="1D5BF0D5" w:rsidR="001F4323" w:rsidRDefault="001F4323">
          <w:pPr>
            <w:pStyle w:val="TOC3"/>
            <w:rPr>
              <w:rFonts w:asciiTheme="minorHAnsi" w:eastAsiaTheme="minorEastAsia" w:hAnsiTheme="minorHAnsi" w:cstheme="minorBidi"/>
              <w:b w:val="0"/>
              <w:noProof/>
              <w:color w:val="auto"/>
              <w:kern w:val="2"/>
              <w:szCs w:val="22"/>
              <w:lang w:eastAsia="en-AU"/>
              <w14:ligatures w14:val="standardContextual"/>
            </w:rPr>
          </w:pPr>
          <w:hyperlink w:anchor="_Toc179287293" w:history="1">
            <w:r w:rsidRPr="00E308AE">
              <w:rPr>
                <w:rStyle w:val="Hyperlink"/>
                <w:noProof/>
              </w:rPr>
              <w:t>Safety</w:t>
            </w:r>
            <w:r>
              <w:rPr>
                <w:noProof/>
                <w:webHidden/>
              </w:rPr>
              <w:tab/>
            </w:r>
            <w:r>
              <w:rPr>
                <w:noProof/>
                <w:webHidden/>
              </w:rPr>
              <w:fldChar w:fldCharType="begin"/>
            </w:r>
            <w:r>
              <w:rPr>
                <w:noProof/>
                <w:webHidden/>
              </w:rPr>
              <w:instrText xml:space="preserve"> PAGEREF _Toc179287293 \h </w:instrText>
            </w:r>
            <w:r>
              <w:rPr>
                <w:noProof/>
                <w:webHidden/>
              </w:rPr>
            </w:r>
            <w:r>
              <w:rPr>
                <w:noProof/>
                <w:webHidden/>
              </w:rPr>
              <w:fldChar w:fldCharType="separate"/>
            </w:r>
            <w:r>
              <w:rPr>
                <w:noProof/>
                <w:webHidden/>
              </w:rPr>
              <w:t>39</w:t>
            </w:r>
            <w:r>
              <w:rPr>
                <w:noProof/>
                <w:webHidden/>
              </w:rPr>
              <w:fldChar w:fldCharType="end"/>
            </w:r>
          </w:hyperlink>
        </w:p>
        <w:p w14:paraId="2909FCD9" w14:textId="602D8665" w:rsidR="001F4323" w:rsidRDefault="001F4323">
          <w:pPr>
            <w:pStyle w:val="TOC1"/>
            <w:rPr>
              <w:rFonts w:asciiTheme="minorHAnsi" w:eastAsiaTheme="minorEastAsia" w:hAnsiTheme="minorHAnsi" w:cstheme="minorBidi"/>
              <w:b w:val="0"/>
              <w:noProof/>
              <w:color w:val="auto"/>
              <w:kern w:val="2"/>
              <w:sz w:val="22"/>
              <w:szCs w:val="22"/>
              <w:lang w:eastAsia="en-AU"/>
              <w14:ligatures w14:val="standardContextual"/>
            </w:rPr>
          </w:pPr>
          <w:hyperlink w:anchor="_Toc179287294" w:history="1">
            <w:r w:rsidRPr="00E308AE">
              <w:rPr>
                <w:rStyle w:val="Hyperlink"/>
                <w:noProof/>
              </w:rPr>
              <w:t>Risk/benefit analysis</w:t>
            </w:r>
            <w:r>
              <w:rPr>
                <w:noProof/>
                <w:webHidden/>
              </w:rPr>
              <w:tab/>
            </w:r>
            <w:r>
              <w:rPr>
                <w:noProof/>
                <w:webHidden/>
              </w:rPr>
              <w:fldChar w:fldCharType="begin"/>
            </w:r>
            <w:r>
              <w:rPr>
                <w:noProof/>
                <w:webHidden/>
              </w:rPr>
              <w:instrText xml:space="preserve"> PAGEREF _Toc179287294 \h </w:instrText>
            </w:r>
            <w:r>
              <w:rPr>
                <w:noProof/>
                <w:webHidden/>
              </w:rPr>
            </w:r>
            <w:r>
              <w:rPr>
                <w:noProof/>
                <w:webHidden/>
              </w:rPr>
              <w:fldChar w:fldCharType="separate"/>
            </w:r>
            <w:r>
              <w:rPr>
                <w:noProof/>
                <w:webHidden/>
              </w:rPr>
              <w:t>51</w:t>
            </w:r>
            <w:r>
              <w:rPr>
                <w:noProof/>
                <w:webHidden/>
              </w:rPr>
              <w:fldChar w:fldCharType="end"/>
            </w:r>
          </w:hyperlink>
        </w:p>
        <w:p w14:paraId="7F35DC22" w14:textId="23783EDD" w:rsidR="001F4323" w:rsidRDefault="001F4323">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9287295" w:history="1">
            <w:r w:rsidRPr="00E308AE">
              <w:rPr>
                <w:rStyle w:val="Hyperlink"/>
                <w:noProof/>
              </w:rPr>
              <w:t>Conclusions</w:t>
            </w:r>
            <w:r>
              <w:rPr>
                <w:noProof/>
                <w:webHidden/>
              </w:rPr>
              <w:tab/>
            </w:r>
            <w:r>
              <w:rPr>
                <w:noProof/>
                <w:webHidden/>
              </w:rPr>
              <w:fldChar w:fldCharType="begin"/>
            </w:r>
            <w:r>
              <w:rPr>
                <w:noProof/>
                <w:webHidden/>
              </w:rPr>
              <w:instrText xml:space="preserve"> PAGEREF _Toc179287295 \h </w:instrText>
            </w:r>
            <w:r>
              <w:rPr>
                <w:noProof/>
                <w:webHidden/>
              </w:rPr>
            </w:r>
            <w:r>
              <w:rPr>
                <w:noProof/>
                <w:webHidden/>
              </w:rPr>
              <w:fldChar w:fldCharType="separate"/>
            </w:r>
            <w:r>
              <w:rPr>
                <w:noProof/>
                <w:webHidden/>
              </w:rPr>
              <w:t>53</w:t>
            </w:r>
            <w:r>
              <w:rPr>
                <w:noProof/>
                <w:webHidden/>
              </w:rPr>
              <w:fldChar w:fldCharType="end"/>
            </w:r>
          </w:hyperlink>
        </w:p>
        <w:p w14:paraId="504AF33F" w14:textId="463748F7" w:rsidR="001F4323" w:rsidRDefault="001F4323">
          <w:pPr>
            <w:pStyle w:val="TOC1"/>
            <w:rPr>
              <w:rFonts w:asciiTheme="minorHAnsi" w:eastAsiaTheme="minorEastAsia" w:hAnsiTheme="minorHAnsi" w:cstheme="minorBidi"/>
              <w:b w:val="0"/>
              <w:noProof/>
              <w:color w:val="auto"/>
              <w:kern w:val="2"/>
              <w:sz w:val="22"/>
              <w:szCs w:val="22"/>
              <w:lang w:eastAsia="en-AU"/>
              <w14:ligatures w14:val="standardContextual"/>
            </w:rPr>
          </w:pPr>
          <w:hyperlink w:anchor="_Toc179287296" w:history="1">
            <w:r w:rsidRPr="00E308AE">
              <w:rPr>
                <w:rStyle w:val="Hyperlink"/>
                <w:noProof/>
              </w:rPr>
              <w:t>Outcome</w:t>
            </w:r>
            <w:r>
              <w:rPr>
                <w:noProof/>
                <w:webHidden/>
              </w:rPr>
              <w:tab/>
            </w:r>
            <w:r>
              <w:rPr>
                <w:noProof/>
                <w:webHidden/>
              </w:rPr>
              <w:fldChar w:fldCharType="begin"/>
            </w:r>
            <w:r>
              <w:rPr>
                <w:noProof/>
                <w:webHidden/>
              </w:rPr>
              <w:instrText xml:space="preserve"> PAGEREF _Toc179287296 \h </w:instrText>
            </w:r>
            <w:r>
              <w:rPr>
                <w:noProof/>
                <w:webHidden/>
              </w:rPr>
            </w:r>
            <w:r>
              <w:rPr>
                <w:noProof/>
                <w:webHidden/>
              </w:rPr>
              <w:fldChar w:fldCharType="separate"/>
            </w:r>
            <w:r>
              <w:rPr>
                <w:noProof/>
                <w:webHidden/>
              </w:rPr>
              <w:t>53</w:t>
            </w:r>
            <w:r>
              <w:rPr>
                <w:noProof/>
                <w:webHidden/>
              </w:rPr>
              <w:fldChar w:fldCharType="end"/>
            </w:r>
          </w:hyperlink>
        </w:p>
        <w:p w14:paraId="66628B21" w14:textId="3D3ECA4D" w:rsidR="001F4323" w:rsidRDefault="001F4323">
          <w:pPr>
            <w:pStyle w:val="TOC1"/>
            <w:rPr>
              <w:rFonts w:asciiTheme="minorHAnsi" w:eastAsiaTheme="minorEastAsia" w:hAnsiTheme="minorHAnsi" w:cstheme="minorBidi"/>
              <w:b w:val="0"/>
              <w:noProof/>
              <w:color w:val="auto"/>
              <w:kern w:val="2"/>
              <w:sz w:val="22"/>
              <w:szCs w:val="22"/>
              <w:lang w:eastAsia="en-AU"/>
              <w14:ligatures w14:val="standardContextual"/>
            </w:rPr>
          </w:pPr>
          <w:hyperlink w:anchor="_Toc179287297" w:history="1">
            <w:r w:rsidRPr="00E308AE">
              <w:rPr>
                <w:rStyle w:val="Hyperlink"/>
                <w:noProof/>
              </w:rPr>
              <w:t>Attachment 1. Product Information</w:t>
            </w:r>
            <w:r>
              <w:rPr>
                <w:noProof/>
                <w:webHidden/>
              </w:rPr>
              <w:tab/>
            </w:r>
            <w:r>
              <w:rPr>
                <w:noProof/>
                <w:webHidden/>
              </w:rPr>
              <w:fldChar w:fldCharType="begin"/>
            </w:r>
            <w:r>
              <w:rPr>
                <w:noProof/>
                <w:webHidden/>
              </w:rPr>
              <w:instrText xml:space="preserve"> PAGEREF _Toc179287297 \h </w:instrText>
            </w:r>
            <w:r>
              <w:rPr>
                <w:noProof/>
                <w:webHidden/>
              </w:rPr>
            </w:r>
            <w:r>
              <w:rPr>
                <w:noProof/>
                <w:webHidden/>
              </w:rPr>
              <w:fldChar w:fldCharType="separate"/>
            </w:r>
            <w:r>
              <w:rPr>
                <w:noProof/>
                <w:webHidden/>
              </w:rPr>
              <w:t>53</w:t>
            </w:r>
            <w:r>
              <w:rPr>
                <w:noProof/>
                <w:webHidden/>
              </w:rPr>
              <w:fldChar w:fldCharType="end"/>
            </w:r>
          </w:hyperlink>
        </w:p>
        <w:p w14:paraId="77659F2D" w14:textId="6D80699F" w:rsidR="00F02AEC" w:rsidRPr="00215D48" w:rsidRDefault="00F02AEC" w:rsidP="007452E8">
          <w:r w:rsidRPr="00215D48">
            <w:fldChar w:fldCharType="end"/>
          </w:r>
        </w:p>
      </w:sdtContent>
    </w:sdt>
    <w:p w14:paraId="10987AE2" w14:textId="77777777" w:rsidR="00F02AEC" w:rsidRPr="00215D48" w:rsidRDefault="00F02AEC" w:rsidP="007452E8">
      <w:r w:rsidRPr="00215D48">
        <w:br w:type="page"/>
      </w:r>
    </w:p>
    <w:p w14:paraId="5AA6CD64" w14:textId="77777777" w:rsidR="00012E8D" w:rsidRDefault="00012E8D" w:rsidP="0026214B">
      <w:pPr>
        <w:pStyle w:val="Heading4"/>
      </w:pPr>
      <w:bookmarkStart w:id="2" w:name="_Toc98931917"/>
      <w:bookmarkStart w:id="3" w:name="_Toc103679287"/>
      <w:bookmarkStart w:id="4" w:name="_Toc103679288"/>
      <w:bookmarkStart w:id="5" w:name="_Toc323739589"/>
      <w:bookmarkStart w:id="6" w:name="_Toc356305216"/>
      <w:bookmarkStart w:id="7" w:name="_Toc179287280"/>
      <w:r>
        <w:t>List of abbreviations</w:t>
      </w:r>
      <w:bookmarkEnd w:id="2"/>
      <w:bookmarkEnd w:id="3"/>
      <w:bookmarkEnd w:id="7"/>
    </w:p>
    <w:tbl>
      <w:tblPr>
        <w:tblStyle w:val="TableTGAblue2023"/>
        <w:tblW w:w="5000" w:type="pct"/>
        <w:tblLook w:val="04A0" w:firstRow="1" w:lastRow="0" w:firstColumn="1" w:lastColumn="0" w:noHBand="0" w:noVBand="1"/>
      </w:tblPr>
      <w:tblGrid>
        <w:gridCol w:w="2164"/>
        <w:gridCol w:w="6852"/>
      </w:tblGrid>
      <w:tr w:rsidR="00012E8D" w:rsidRPr="001A1561" w14:paraId="179E53F7" w14:textId="77777777" w:rsidTr="004F4CDD">
        <w:trPr>
          <w:cnfStyle w:val="100000000000" w:firstRow="1" w:lastRow="0" w:firstColumn="0" w:lastColumn="0" w:oddVBand="0" w:evenVBand="0" w:oddHBand="0"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1200" w:type="pct"/>
          </w:tcPr>
          <w:p w14:paraId="4C226B0A" w14:textId="77777777" w:rsidR="00012E8D" w:rsidRPr="001A1561" w:rsidRDefault="00012E8D" w:rsidP="004F4CDD">
            <w:pPr>
              <w:rPr>
                <w:szCs w:val="22"/>
              </w:rPr>
            </w:pPr>
            <w:r w:rsidRPr="001A1561">
              <w:rPr>
                <w:szCs w:val="22"/>
              </w:rPr>
              <w:t>Abbreviation</w:t>
            </w:r>
          </w:p>
        </w:tc>
        <w:tc>
          <w:tcPr>
            <w:tcW w:w="3800" w:type="pct"/>
          </w:tcPr>
          <w:p w14:paraId="5F71462F" w14:textId="77777777" w:rsidR="00012E8D" w:rsidRPr="001A1561" w:rsidRDefault="00012E8D" w:rsidP="004F4CDD">
            <w:pPr>
              <w:cnfStyle w:val="100000000000" w:firstRow="1" w:lastRow="0" w:firstColumn="0" w:lastColumn="0" w:oddVBand="0" w:evenVBand="0" w:oddHBand="0" w:evenHBand="0" w:firstRowFirstColumn="0" w:firstRowLastColumn="0" w:lastRowFirstColumn="0" w:lastRowLastColumn="0"/>
              <w:rPr>
                <w:szCs w:val="22"/>
              </w:rPr>
            </w:pPr>
            <w:r w:rsidRPr="001A1561">
              <w:rPr>
                <w:szCs w:val="22"/>
              </w:rPr>
              <w:t>Meaning</w:t>
            </w:r>
          </w:p>
        </w:tc>
      </w:tr>
      <w:tr w:rsidR="00012E8D" w:rsidRPr="001A1561" w14:paraId="7A160D02" w14:textId="77777777" w:rsidTr="004F4CD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007EADF" w14:textId="77777777" w:rsidR="00012E8D" w:rsidRPr="001A1561" w:rsidRDefault="00012E8D" w:rsidP="004F4CDD">
            <w:pPr>
              <w:rPr>
                <w:szCs w:val="22"/>
              </w:rPr>
            </w:pPr>
            <w:r w:rsidRPr="001A1561">
              <w:rPr>
                <w:szCs w:val="22"/>
              </w:rPr>
              <w:t>ACM</w:t>
            </w:r>
          </w:p>
        </w:tc>
        <w:tc>
          <w:tcPr>
            <w:tcW w:w="3800" w:type="pct"/>
          </w:tcPr>
          <w:p w14:paraId="3ACA3312" w14:textId="77777777" w:rsidR="00012E8D" w:rsidRPr="001A1561" w:rsidRDefault="00012E8D" w:rsidP="004F4CDD">
            <w:pPr>
              <w:cnfStyle w:val="000000000000" w:firstRow="0" w:lastRow="0" w:firstColumn="0" w:lastColumn="0" w:oddVBand="0" w:evenVBand="0" w:oddHBand="0" w:evenHBand="0" w:firstRowFirstColumn="0" w:firstRowLastColumn="0" w:lastRowFirstColumn="0" w:lastRowLastColumn="0"/>
              <w:rPr>
                <w:szCs w:val="22"/>
              </w:rPr>
            </w:pPr>
            <w:r w:rsidRPr="001A1561">
              <w:rPr>
                <w:szCs w:val="22"/>
              </w:rPr>
              <w:t>Advisory Committee on Medicines</w:t>
            </w:r>
          </w:p>
        </w:tc>
      </w:tr>
      <w:tr w:rsidR="00012E8D" w:rsidRPr="001A1561" w14:paraId="645EA321" w14:textId="77777777" w:rsidTr="004F4CD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AFDECE7" w14:textId="77777777" w:rsidR="00012E8D" w:rsidRPr="001A1561" w:rsidRDefault="00012E8D" w:rsidP="004F4CDD">
            <w:pPr>
              <w:rPr>
                <w:szCs w:val="22"/>
              </w:rPr>
            </w:pPr>
            <w:r w:rsidRPr="001A1561">
              <w:rPr>
                <w:szCs w:val="22"/>
              </w:rPr>
              <w:t>ADT</w:t>
            </w:r>
          </w:p>
        </w:tc>
        <w:tc>
          <w:tcPr>
            <w:tcW w:w="3800" w:type="pct"/>
          </w:tcPr>
          <w:p w14:paraId="3A763867" w14:textId="77777777" w:rsidR="00012E8D" w:rsidRPr="001A1561" w:rsidRDefault="00012E8D" w:rsidP="004F4CDD">
            <w:pPr>
              <w:cnfStyle w:val="000000000000" w:firstRow="0" w:lastRow="0" w:firstColumn="0" w:lastColumn="0" w:oddVBand="0" w:evenVBand="0" w:oddHBand="0" w:evenHBand="0" w:firstRowFirstColumn="0" w:firstRowLastColumn="0" w:lastRowFirstColumn="0" w:lastRowLastColumn="0"/>
              <w:rPr>
                <w:szCs w:val="22"/>
              </w:rPr>
            </w:pPr>
            <w:r w:rsidRPr="001A1561">
              <w:rPr>
                <w:szCs w:val="22"/>
              </w:rPr>
              <w:t>Androgen deprivation therapy</w:t>
            </w:r>
          </w:p>
        </w:tc>
      </w:tr>
      <w:tr w:rsidR="00012E8D" w:rsidRPr="001A1561" w14:paraId="0DDBC6F6" w14:textId="77777777" w:rsidTr="004F4CD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DA50F6B" w14:textId="77777777" w:rsidR="00012E8D" w:rsidRPr="001A1561" w:rsidRDefault="00012E8D" w:rsidP="004F4CDD">
            <w:pPr>
              <w:rPr>
                <w:szCs w:val="22"/>
              </w:rPr>
            </w:pPr>
            <w:r w:rsidRPr="001A1561">
              <w:rPr>
                <w:szCs w:val="22"/>
              </w:rPr>
              <w:t>AE</w:t>
            </w:r>
          </w:p>
        </w:tc>
        <w:tc>
          <w:tcPr>
            <w:tcW w:w="3800" w:type="pct"/>
          </w:tcPr>
          <w:p w14:paraId="604D3AF6" w14:textId="77777777" w:rsidR="00012E8D" w:rsidRPr="001A1561" w:rsidRDefault="00012E8D" w:rsidP="004F4CDD">
            <w:pPr>
              <w:cnfStyle w:val="000000000000" w:firstRow="0" w:lastRow="0" w:firstColumn="0" w:lastColumn="0" w:oddVBand="0" w:evenVBand="0" w:oddHBand="0" w:evenHBand="0" w:firstRowFirstColumn="0" w:firstRowLastColumn="0" w:lastRowFirstColumn="0" w:lastRowLastColumn="0"/>
              <w:rPr>
                <w:szCs w:val="22"/>
              </w:rPr>
            </w:pPr>
            <w:r w:rsidRPr="001A1561">
              <w:rPr>
                <w:szCs w:val="22"/>
              </w:rPr>
              <w:t>Adverse events</w:t>
            </w:r>
          </w:p>
        </w:tc>
      </w:tr>
      <w:tr w:rsidR="00012E8D" w:rsidRPr="001A1561" w14:paraId="40672B8D" w14:textId="77777777" w:rsidTr="004F4CD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36C8BCE" w14:textId="77777777" w:rsidR="00012E8D" w:rsidRPr="001A1561" w:rsidRDefault="00012E8D" w:rsidP="004F4CDD">
            <w:pPr>
              <w:rPr>
                <w:szCs w:val="22"/>
              </w:rPr>
            </w:pPr>
            <w:r w:rsidRPr="001A1561">
              <w:rPr>
                <w:szCs w:val="22"/>
              </w:rPr>
              <w:t>ALP</w:t>
            </w:r>
          </w:p>
        </w:tc>
        <w:tc>
          <w:tcPr>
            <w:tcW w:w="3800" w:type="pct"/>
          </w:tcPr>
          <w:p w14:paraId="363C3FC5" w14:textId="77777777" w:rsidR="00012E8D" w:rsidRPr="001A1561" w:rsidRDefault="00012E8D" w:rsidP="004F4CDD">
            <w:pPr>
              <w:cnfStyle w:val="000000000000" w:firstRow="0" w:lastRow="0" w:firstColumn="0" w:lastColumn="0" w:oddVBand="0" w:evenVBand="0" w:oddHBand="0" w:evenHBand="0" w:firstRowFirstColumn="0" w:firstRowLastColumn="0" w:lastRowFirstColumn="0" w:lastRowLastColumn="0"/>
              <w:rPr>
                <w:szCs w:val="22"/>
              </w:rPr>
            </w:pPr>
            <w:r w:rsidRPr="001A1561">
              <w:rPr>
                <w:szCs w:val="22"/>
              </w:rPr>
              <w:t>Alkaline phosphatase</w:t>
            </w:r>
          </w:p>
        </w:tc>
      </w:tr>
      <w:tr w:rsidR="00012E8D" w:rsidRPr="001A1561" w14:paraId="71DF39C9" w14:textId="77777777" w:rsidTr="004F4CD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0FEA8E6" w14:textId="77777777" w:rsidR="00012E8D" w:rsidRPr="001A1561" w:rsidRDefault="00012E8D" w:rsidP="004F4CDD">
            <w:pPr>
              <w:rPr>
                <w:szCs w:val="22"/>
              </w:rPr>
            </w:pPr>
            <w:r w:rsidRPr="001A1561">
              <w:rPr>
                <w:szCs w:val="22"/>
              </w:rPr>
              <w:t>ALT</w:t>
            </w:r>
          </w:p>
        </w:tc>
        <w:tc>
          <w:tcPr>
            <w:tcW w:w="3800" w:type="pct"/>
          </w:tcPr>
          <w:p w14:paraId="54A24FE0" w14:textId="77777777" w:rsidR="00012E8D" w:rsidRPr="001A1561" w:rsidRDefault="00012E8D" w:rsidP="004F4CDD">
            <w:pPr>
              <w:cnfStyle w:val="000000000000" w:firstRow="0" w:lastRow="0" w:firstColumn="0" w:lastColumn="0" w:oddVBand="0" w:evenVBand="0" w:oddHBand="0" w:evenHBand="0" w:firstRowFirstColumn="0" w:firstRowLastColumn="0" w:lastRowFirstColumn="0" w:lastRowLastColumn="0"/>
              <w:rPr>
                <w:szCs w:val="22"/>
              </w:rPr>
            </w:pPr>
            <w:r w:rsidRPr="001A1561">
              <w:rPr>
                <w:szCs w:val="22"/>
              </w:rPr>
              <w:t>Alanine Transaminase</w:t>
            </w:r>
          </w:p>
        </w:tc>
      </w:tr>
      <w:tr w:rsidR="00012E8D" w:rsidRPr="001A1561" w14:paraId="1831D509" w14:textId="77777777" w:rsidTr="004F4CD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BB8C610" w14:textId="77777777" w:rsidR="00012E8D" w:rsidRPr="001A1561" w:rsidRDefault="00012E8D" w:rsidP="004F4CDD">
            <w:pPr>
              <w:rPr>
                <w:szCs w:val="22"/>
              </w:rPr>
            </w:pPr>
            <w:r w:rsidRPr="001A1561">
              <w:rPr>
                <w:szCs w:val="22"/>
              </w:rPr>
              <w:t>AR</w:t>
            </w:r>
          </w:p>
        </w:tc>
        <w:tc>
          <w:tcPr>
            <w:tcW w:w="3800" w:type="pct"/>
          </w:tcPr>
          <w:p w14:paraId="1A9318F9" w14:textId="77777777" w:rsidR="00012E8D" w:rsidRPr="001A1561" w:rsidRDefault="00012E8D" w:rsidP="004F4CDD">
            <w:pPr>
              <w:cnfStyle w:val="000000000000" w:firstRow="0" w:lastRow="0" w:firstColumn="0" w:lastColumn="0" w:oddVBand="0" w:evenVBand="0" w:oddHBand="0" w:evenHBand="0" w:firstRowFirstColumn="0" w:firstRowLastColumn="0" w:lastRowFirstColumn="0" w:lastRowLastColumn="0"/>
              <w:rPr>
                <w:szCs w:val="22"/>
              </w:rPr>
            </w:pPr>
            <w:r w:rsidRPr="001A1561">
              <w:rPr>
                <w:szCs w:val="22"/>
              </w:rPr>
              <w:t>Androgen receptor</w:t>
            </w:r>
          </w:p>
        </w:tc>
      </w:tr>
      <w:tr w:rsidR="00012E8D" w:rsidRPr="001A1561" w14:paraId="14D29333" w14:textId="77777777" w:rsidTr="004F4CD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AC6862C" w14:textId="77777777" w:rsidR="00012E8D" w:rsidRPr="001A1561" w:rsidRDefault="00012E8D" w:rsidP="004F4CDD">
            <w:pPr>
              <w:rPr>
                <w:szCs w:val="22"/>
              </w:rPr>
            </w:pPr>
            <w:r w:rsidRPr="001A1561">
              <w:rPr>
                <w:szCs w:val="22"/>
              </w:rPr>
              <w:t>ARI</w:t>
            </w:r>
          </w:p>
        </w:tc>
        <w:tc>
          <w:tcPr>
            <w:tcW w:w="3800" w:type="pct"/>
          </w:tcPr>
          <w:p w14:paraId="3D161FE6" w14:textId="77777777" w:rsidR="00012E8D" w:rsidRPr="001A1561" w:rsidRDefault="00012E8D" w:rsidP="004F4CDD">
            <w:pPr>
              <w:cnfStyle w:val="000000000000" w:firstRow="0" w:lastRow="0" w:firstColumn="0" w:lastColumn="0" w:oddVBand="0" w:evenVBand="0" w:oddHBand="0" w:evenHBand="0" w:firstRowFirstColumn="0" w:firstRowLastColumn="0" w:lastRowFirstColumn="0" w:lastRowLastColumn="0"/>
              <w:rPr>
                <w:szCs w:val="22"/>
              </w:rPr>
            </w:pPr>
            <w:r w:rsidRPr="001A1561">
              <w:rPr>
                <w:szCs w:val="22"/>
              </w:rPr>
              <w:t>Androgen receptor inhibitor</w:t>
            </w:r>
          </w:p>
        </w:tc>
      </w:tr>
      <w:tr w:rsidR="00012E8D" w:rsidRPr="001A1561" w14:paraId="18B30668" w14:textId="77777777" w:rsidTr="004F4CD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D65BA6E" w14:textId="77777777" w:rsidR="00012E8D" w:rsidRPr="001A1561" w:rsidRDefault="00012E8D" w:rsidP="004F4CDD">
            <w:pPr>
              <w:rPr>
                <w:szCs w:val="22"/>
              </w:rPr>
            </w:pPr>
            <w:r w:rsidRPr="001A1561">
              <w:rPr>
                <w:szCs w:val="22"/>
              </w:rPr>
              <w:t>ARTG</w:t>
            </w:r>
          </w:p>
        </w:tc>
        <w:tc>
          <w:tcPr>
            <w:tcW w:w="3800" w:type="pct"/>
          </w:tcPr>
          <w:p w14:paraId="72AE02EC" w14:textId="77777777" w:rsidR="00012E8D" w:rsidRPr="001A1561" w:rsidRDefault="00012E8D" w:rsidP="004F4CDD">
            <w:pPr>
              <w:cnfStyle w:val="000000000000" w:firstRow="0" w:lastRow="0" w:firstColumn="0" w:lastColumn="0" w:oddVBand="0" w:evenVBand="0" w:oddHBand="0" w:evenHBand="0" w:firstRowFirstColumn="0" w:firstRowLastColumn="0" w:lastRowFirstColumn="0" w:lastRowLastColumn="0"/>
              <w:rPr>
                <w:szCs w:val="22"/>
              </w:rPr>
            </w:pPr>
            <w:r w:rsidRPr="001A1561">
              <w:rPr>
                <w:szCs w:val="22"/>
              </w:rPr>
              <w:t>Australian Register of Therapeutic Goods</w:t>
            </w:r>
          </w:p>
        </w:tc>
      </w:tr>
      <w:tr w:rsidR="00012E8D" w:rsidRPr="001A1561" w14:paraId="21B54DBC" w14:textId="77777777" w:rsidTr="004F4CD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7098233" w14:textId="77777777" w:rsidR="00012E8D" w:rsidRPr="001A1561" w:rsidRDefault="00012E8D" w:rsidP="004F4CDD">
            <w:pPr>
              <w:rPr>
                <w:szCs w:val="22"/>
              </w:rPr>
            </w:pPr>
            <w:r w:rsidRPr="001A1561">
              <w:rPr>
                <w:szCs w:val="22"/>
              </w:rPr>
              <w:t>ASA</w:t>
            </w:r>
          </w:p>
        </w:tc>
        <w:tc>
          <w:tcPr>
            <w:tcW w:w="3800" w:type="pct"/>
          </w:tcPr>
          <w:p w14:paraId="32D49DC5" w14:textId="77777777" w:rsidR="00012E8D" w:rsidRPr="001A1561" w:rsidRDefault="00012E8D" w:rsidP="004F4CDD">
            <w:pPr>
              <w:cnfStyle w:val="000000000000" w:firstRow="0" w:lastRow="0" w:firstColumn="0" w:lastColumn="0" w:oddVBand="0" w:evenVBand="0" w:oddHBand="0" w:evenHBand="0" w:firstRowFirstColumn="0" w:firstRowLastColumn="0" w:lastRowFirstColumn="0" w:lastRowLastColumn="0"/>
              <w:rPr>
                <w:szCs w:val="22"/>
              </w:rPr>
            </w:pPr>
            <w:r w:rsidRPr="001A1561">
              <w:rPr>
                <w:szCs w:val="22"/>
              </w:rPr>
              <w:t>Australia</w:t>
            </w:r>
            <w:r w:rsidRPr="001A1561">
              <w:rPr>
                <w:szCs w:val="22"/>
              </w:rPr>
              <w:noBreakHyphen/>
              <w:t>specific annex</w:t>
            </w:r>
          </w:p>
        </w:tc>
      </w:tr>
      <w:tr w:rsidR="00012E8D" w:rsidRPr="001A1561" w14:paraId="0FE1FD73" w14:textId="77777777" w:rsidTr="004F4CD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373DD7E" w14:textId="77777777" w:rsidR="00012E8D" w:rsidRPr="001A1561" w:rsidRDefault="00012E8D" w:rsidP="004F4CDD">
            <w:pPr>
              <w:rPr>
                <w:szCs w:val="22"/>
              </w:rPr>
            </w:pPr>
            <w:r w:rsidRPr="001A1561">
              <w:rPr>
                <w:szCs w:val="22"/>
              </w:rPr>
              <w:t>AST</w:t>
            </w:r>
          </w:p>
        </w:tc>
        <w:tc>
          <w:tcPr>
            <w:tcW w:w="3800" w:type="pct"/>
          </w:tcPr>
          <w:p w14:paraId="4F050D74" w14:textId="77777777" w:rsidR="00012E8D" w:rsidRPr="001A1561" w:rsidRDefault="00012E8D" w:rsidP="004F4CDD">
            <w:pPr>
              <w:cnfStyle w:val="000000000000" w:firstRow="0" w:lastRow="0" w:firstColumn="0" w:lastColumn="0" w:oddVBand="0" w:evenVBand="0" w:oddHBand="0" w:evenHBand="0" w:firstRowFirstColumn="0" w:firstRowLastColumn="0" w:lastRowFirstColumn="0" w:lastRowLastColumn="0"/>
              <w:rPr>
                <w:szCs w:val="22"/>
              </w:rPr>
            </w:pPr>
            <w:r w:rsidRPr="001A1561">
              <w:rPr>
                <w:szCs w:val="22"/>
              </w:rPr>
              <w:t>Aspartate Transferase</w:t>
            </w:r>
          </w:p>
        </w:tc>
      </w:tr>
      <w:tr w:rsidR="00012E8D" w:rsidRPr="001A1561" w14:paraId="508B8390" w14:textId="77777777" w:rsidTr="004F4CD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BC4E43D" w14:textId="77777777" w:rsidR="00012E8D" w:rsidRPr="001A1561" w:rsidRDefault="00012E8D" w:rsidP="004F4CDD">
            <w:pPr>
              <w:rPr>
                <w:szCs w:val="22"/>
              </w:rPr>
            </w:pPr>
            <w:r w:rsidRPr="001A1561">
              <w:rPr>
                <w:szCs w:val="22"/>
              </w:rPr>
              <w:t>CI</w:t>
            </w:r>
          </w:p>
        </w:tc>
        <w:tc>
          <w:tcPr>
            <w:tcW w:w="3800" w:type="pct"/>
          </w:tcPr>
          <w:p w14:paraId="7B74F297" w14:textId="77777777" w:rsidR="00012E8D" w:rsidRPr="001A1561" w:rsidRDefault="00012E8D" w:rsidP="004F4CDD">
            <w:pPr>
              <w:cnfStyle w:val="000000000000" w:firstRow="0" w:lastRow="0" w:firstColumn="0" w:lastColumn="0" w:oddVBand="0" w:evenVBand="0" w:oddHBand="0" w:evenHBand="0" w:firstRowFirstColumn="0" w:firstRowLastColumn="0" w:lastRowFirstColumn="0" w:lastRowLastColumn="0"/>
              <w:rPr>
                <w:szCs w:val="22"/>
              </w:rPr>
            </w:pPr>
            <w:r w:rsidRPr="001A1561">
              <w:rPr>
                <w:szCs w:val="22"/>
              </w:rPr>
              <w:t>Confidence interval</w:t>
            </w:r>
          </w:p>
        </w:tc>
      </w:tr>
      <w:tr w:rsidR="00012E8D" w:rsidRPr="001A1561" w14:paraId="635EC081" w14:textId="77777777" w:rsidTr="004F4CD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3431D22" w14:textId="77777777" w:rsidR="00012E8D" w:rsidRPr="001A1561" w:rsidRDefault="00012E8D" w:rsidP="004F4CDD">
            <w:pPr>
              <w:rPr>
                <w:szCs w:val="22"/>
              </w:rPr>
            </w:pPr>
            <w:r w:rsidRPr="001A1561">
              <w:rPr>
                <w:szCs w:val="22"/>
              </w:rPr>
              <w:t>CMI</w:t>
            </w:r>
          </w:p>
        </w:tc>
        <w:tc>
          <w:tcPr>
            <w:tcW w:w="3800" w:type="pct"/>
          </w:tcPr>
          <w:p w14:paraId="10C15175" w14:textId="77777777" w:rsidR="00012E8D" w:rsidRPr="001A1561" w:rsidRDefault="00012E8D" w:rsidP="004F4CDD">
            <w:pPr>
              <w:cnfStyle w:val="000000000000" w:firstRow="0" w:lastRow="0" w:firstColumn="0" w:lastColumn="0" w:oddVBand="0" w:evenVBand="0" w:oddHBand="0" w:evenHBand="0" w:firstRowFirstColumn="0" w:firstRowLastColumn="0" w:lastRowFirstColumn="0" w:lastRowLastColumn="0"/>
              <w:rPr>
                <w:szCs w:val="22"/>
              </w:rPr>
            </w:pPr>
            <w:r w:rsidRPr="001A1561">
              <w:rPr>
                <w:szCs w:val="22"/>
              </w:rPr>
              <w:t>Consumer Medicines Information</w:t>
            </w:r>
          </w:p>
        </w:tc>
      </w:tr>
      <w:tr w:rsidR="00012E8D" w:rsidRPr="001A1561" w14:paraId="5186002C" w14:textId="77777777" w:rsidTr="004F4CD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50C0E3F" w14:textId="77777777" w:rsidR="00012E8D" w:rsidRPr="001A1561" w:rsidRDefault="00012E8D" w:rsidP="004F4CDD">
            <w:pPr>
              <w:rPr>
                <w:szCs w:val="22"/>
              </w:rPr>
            </w:pPr>
            <w:r w:rsidRPr="001A1561">
              <w:rPr>
                <w:szCs w:val="22"/>
              </w:rPr>
              <w:t>DDI</w:t>
            </w:r>
          </w:p>
        </w:tc>
        <w:tc>
          <w:tcPr>
            <w:tcW w:w="3800" w:type="pct"/>
          </w:tcPr>
          <w:p w14:paraId="7A8B6A9D" w14:textId="77777777" w:rsidR="00012E8D" w:rsidRPr="001A1561" w:rsidRDefault="00012E8D" w:rsidP="004F4CDD">
            <w:pPr>
              <w:cnfStyle w:val="000000000000" w:firstRow="0" w:lastRow="0" w:firstColumn="0" w:lastColumn="0" w:oddVBand="0" w:evenVBand="0" w:oddHBand="0" w:evenHBand="0" w:firstRowFirstColumn="0" w:firstRowLastColumn="0" w:lastRowFirstColumn="0" w:lastRowLastColumn="0"/>
              <w:rPr>
                <w:szCs w:val="22"/>
              </w:rPr>
            </w:pPr>
            <w:r w:rsidRPr="001A1561">
              <w:rPr>
                <w:szCs w:val="22"/>
              </w:rPr>
              <w:t xml:space="preserve">Drug-drug interactions </w:t>
            </w:r>
          </w:p>
        </w:tc>
      </w:tr>
      <w:tr w:rsidR="00012E8D" w:rsidRPr="001A1561" w14:paraId="6BC4FD09" w14:textId="77777777" w:rsidTr="004F4CD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CC16AA2" w14:textId="77777777" w:rsidR="00012E8D" w:rsidRPr="001A1561" w:rsidRDefault="00012E8D" w:rsidP="004F4CDD">
            <w:pPr>
              <w:rPr>
                <w:szCs w:val="22"/>
              </w:rPr>
            </w:pPr>
            <w:r w:rsidRPr="001A1561">
              <w:rPr>
                <w:szCs w:val="22"/>
              </w:rPr>
              <w:t>DLP</w:t>
            </w:r>
          </w:p>
        </w:tc>
        <w:tc>
          <w:tcPr>
            <w:tcW w:w="3800" w:type="pct"/>
          </w:tcPr>
          <w:p w14:paraId="432489BD" w14:textId="77777777" w:rsidR="00012E8D" w:rsidRPr="001A1561" w:rsidRDefault="00012E8D" w:rsidP="004F4CDD">
            <w:pPr>
              <w:cnfStyle w:val="000000000000" w:firstRow="0" w:lastRow="0" w:firstColumn="0" w:lastColumn="0" w:oddVBand="0" w:evenVBand="0" w:oddHBand="0" w:evenHBand="0" w:firstRowFirstColumn="0" w:firstRowLastColumn="0" w:lastRowFirstColumn="0" w:lastRowLastColumn="0"/>
              <w:rPr>
                <w:szCs w:val="22"/>
              </w:rPr>
            </w:pPr>
            <w:r w:rsidRPr="001A1561">
              <w:rPr>
                <w:szCs w:val="22"/>
              </w:rPr>
              <w:t>Data lock point</w:t>
            </w:r>
          </w:p>
        </w:tc>
      </w:tr>
      <w:tr w:rsidR="00012E8D" w:rsidRPr="001A1561" w14:paraId="561A3266" w14:textId="77777777" w:rsidTr="004F4CD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F2C3941" w14:textId="77777777" w:rsidR="00012E8D" w:rsidRPr="001A1561" w:rsidRDefault="00012E8D" w:rsidP="004F4CDD">
            <w:pPr>
              <w:rPr>
                <w:szCs w:val="22"/>
              </w:rPr>
            </w:pPr>
            <w:r w:rsidRPr="001A1561">
              <w:rPr>
                <w:szCs w:val="22"/>
              </w:rPr>
              <w:t>ECOG</w:t>
            </w:r>
          </w:p>
        </w:tc>
        <w:tc>
          <w:tcPr>
            <w:tcW w:w="3800" w:type="pct"/>
          </w:tcPr>
          <w:p w14:paraId="5E9D5D89" w14:textId="77777777" w:rsidR="00012E8D" w:rsidRPr="001A1561" w:rsidRDefault="00012E8D" w:rsidP="004F4CDD">
            <w:pPr>
              <w:cnfStyle w:val="000000000000" w:firstRow="0" w:lastRow="0" w:firstColumn="0" w:lastColumn="0" w:oddVBand="0" w:evenVBand="0" w:oddHBand="0" w:evenHBand="0" w:firstRowFirstColumn="0" w:firstRowLastColumn="0" w:lastRowFirstColumn="0" w:lastRowLastColumn="0"/>
              <w:rPr>
                <w:szCs w:val="22"/>
              </w:rPr>
            </w:pPr>
            <w:r w:rsidRPr="001A1561">
              <w:rPr>
                <w:szCs w:val="22"/>
              </w:rPr>
              <w:t>Eastern Cooperative Oncology Group</w:t>
            </w:r>
          </w:p>
        </w:tc>
      </w:tr>
      <w:tr w:rsidR="00012E8D" w:rsidRPr="001A1561" w14:paraId="3B8E85BC" w14:textId="77777777" w:rsidTr="004F4CD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60C66E5" w14:textId="77777777" w:rsidR="00012E8D" w:rsidRPr="001A1561" w:rsidRDefault="00012E8D" w:rsidP="004F4CDD">
            <w:pPr>
              <w:rPr>
                <w:szCs w:val="22"/>
              </w:rPr>
            </w:pPr>
            <w:r w:rsidRPr="001A1561">
              <w:rPr>
                <w:szCs w:val="22"/>
              </w:rPr>
              <w:t>FAS</w:t>
            </w:r>
          </w:p>
        </w:tc>
        <w:tc>
          <w:tcPr>
            <w:tcW w:w="3800" w:type="pct"/>
          </w:tcPr>
          <w:p w14:paraId="64D431FC" w14:textId="77777777" w:rsidR="00012E8D" w:rsidRPr="001A1561" w:rsidRDefault="00012E8D" w:rsidP="004F4CDD">
            <w:pPr>
              <w:cnfStyle w:val="000000000000" w:firstRow="0" w:lastRow="0" w:firstColumn="0" w:lastColumn="0" w:oddVBand="0" w:evenVBand="0" w:oddHBand="0" w:evenHBand="0" w:firstRowFirstColumn="0" w:firstRowLastColumn="0" w:lastRowFirstColumn="0" w:lastRowLastColumn="0"/>
              <w:rPr>
                <w:szCs w:val="22"/>
              </w:rPr>
            </w:pPr>
            <w:r w:rsidRPr="001A1561">
              <w:rPr>
                <w:szCs w:val="22"/>
              </w:rPr>
              <w:t>Full analysis set</w:t>
            </w:r>
          </w:p>
        </w:tc>
      </w:tr>
      <w:tr w:rsidR="00012E8D" w:rsidRPr="001A1561" w14:paraId="4A7A018B" w14:textId="77777777" w:rsidTr="004F4CD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5AD5A6E" w14:textId="77777777" w:rsidR="00012E8D" w:rsidRPr="001A1561" w:rsidRDefault="00012E8D" w:rsidP="004F4CDD">
            <w:pPr>
              <w:rPr>
                <w:szCs w:val="22"/>
              </w:rPr>
            </w:pPr>
            <w:r w:rsidRPr="001A1561">
              <w:rPr>
                <w:szCs w:val="22"/>
              </w:rPr>
              <w:t>HR</w:t>
            </w:r>
          </w:p>
        </w:tc>
        <w:tc>
          <w:tcPr>
            <w:tcW w:w="3800" w:type="pct"/>
          </w:tcPr>
          <w:p w14:paraId="467325B2" w14:textId="77777777" w:rsidR="00012E8D" w:rsidRPr="001A1561" w:rsidRDefault="00012E8D" w:rsidP="004F4CDD">
            <w:pPr>
              <w:cnfStyle w:val="000000000000" w:firstRow="0" w:lastRow="0" w:firstColumn="0" w:lastColumn="0" w:oddVBand="0" w:evenVBand="0" w:oddHBand="0" w:evenHBand="0" w:firstRowFirstColumn="0" w:firstRowLastColumn="0" w:lastRowFirstColumn="0" w:lastRowLastColumn="0"/>
              <w:rPr>
                <w:szCs w:val="22"/>
              </w:rPr>
            </w:pPr>
            <w:r w:rsidRPr="001A1561">
              <w:rPr>
                <w:szCs w:val="22"/>
              </w:rPr>
              <w:t>Hazard ratio</w:t>
            </w:r>
          </w:p>
        </w:tc>
      </w:tr>
      <w:tr w:rsidR="00012E8D" w:rsidRPr="001A1561" w14:paraId="5930D44A" w14:textId="77777777" w:rsidTr="004F4CD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59A1035" w14:textId="77777777" w:rsidR="00012E8D" w:rsidRPr="001A1561" w:rsidRDefault="00012E8D" w:rsidP="004F4CDD">
            <w:pPr>
              <w:rPr>
                <w:szCs w:val="22"/>
              </w:rPr>
            </w:pPr>
            <w:proofErr w:type="spellStart"/>
            <w:r w:rsidRPr="001A1561">
              <w:rPr>
                <w:szCs w:val="22"/>
              </w:rPr>
              <w:t>IxRS</w:t>
            </w:r>
            <w:proofErr w:type="spellEnd"/>
          </w:p>
        </w:tc>
        <w:tc>
          <w:tcPr>
            <w:tcW w:w="3800" w:type="pct"/>
          </w:tcPr>
          <w:p w14:paraId="426C8B82" w14:textId="77777777" w:rsidR="00012E8D" w:rsidRPr="001A1561" w:rsidRDefault="00012E8D" w:rsidP="004F4CDD">
            <w:pPr>
              <w:cnfStyle w:val="000000000000" w:firstRow="0" w:lastRow="0" w:firstColumn="0" w:lastColumn="0" w:oddVBand="0" w:evenVBand="0" w:oddHBand="0" w:evenHBand="0" w:firstRowFirstColumn="0" w:firstRowLastColumn="0" w:lastRowFirstColumn="0" w:lastRowLastColumn="0"/>
              <w:rPr>
                <w:szCs w:val="22"/>
              </w:rPr>
            </w:pPr>
            <w:r w:rsidRPr="001A1561">
              <w:rPr>
                <w:szCs w:val="22"/>
              </w:rPr>
              <w:t>Interactive Voice/Web Response System</w:t>
            </w:r>
          </w:p>
        </w:tc>
      </w:tr>
      <w:tr w:rsidR="00012E8D" w:rsidRPr="001A1561" w14:paraId="59B6988A" w14:textId="77777777" w:rsidTr="004F4CD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14D0176" w14:textId="77777777" w:rsidR="00012E8D" w:rsidRPr="001A1561" w:rsidRDefault="00012E8D" w:rsidP="004F4CDD">
            <w:pPr>
              <w:rPr>
                <w:szCs w:val="22"/>
              </w:rPr>
            </w:pPr>
            <w:r w:rsidRPr="001A1561">
              <w:rPr>
                <w:szCs w:val="22"/>
              </w:rPr>
              <w:t>KM</w:t>
            </w:r>
          </w:p>
        </w:tc>
        <w:tc>
          <w:tcPr>
            <w:tcW w:w="3800" w:type="pct"/>
          </w:tcPr>
          <w:p w14:paraId="423DD8E5" w14:textId="77777777" w:rsidR="00012E8D" w:rsidRPr="001A1561" w:rsidRDefault="00012E8D" w:rsidP="004F4CDD">
            <w:pPr>
              <w:cnfStyle w:val="000000000000" w:firstRow="0" w:lastRow="0" w:firstColumn="0" w:lastColumn="0" w:oddVBand="0" w:evenVBand="0" w:oddHBand="0" w:evenHBand="0" w:firstRowFirstColumn="0" w:firstRowLastColumn="0" w:lastRowFirstColumn="0" w:lastRowLastColumn="0"/>
              <w:rPr>
                <w:szCs w:val="22"/>
              </w:rPr>
            </w:pPr>
            <w:r w:rsidRPr="001A1561">
              <w:rPr>
                <w:szCs w:val="22"/>
              </w:rPr>
              <w:t>Kaplan-Meier survival analysis</w:t>
            </w:r>
          </w:p>
        </w:tc>
      </w:tr>
      <w:tr w:rsidR="00012E8D" w:rsidRPr="001A1561" w14:paraId="37F8CE5F" w14:textId="77777777" w:rsidTr="004F4CD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D06CDAF" w14:textId="77777777" w:rsidR="00012E8D" w:rsidRPr="001A1561" w:rsidRDefault="00012E8D" w:rsidP="004F4CDD">
            <w:pPr>
              <w:rPr>
                <w:szCs w:val="22"/>
              </w:rPr>
            </w:pPr>
            <w:r w:rsidRPr="001A1561">
              <w:rPr>
                <w:szCs w:val="22"/>
              </w:rPr>
              <w:t>LHRH</w:t>
            </w:r>
          </w:p>
        </w:tc>
        <w:tc>
          <w:tcPr>
            <w:tcW w:w="3800" w:type="pct"/>
          </w:tcPr>
          <w:p w14:paraId="190D8D77" w14:textId="77777777" w:rsidR="00012E8D" w:rsidRPr="001A1561" w:rsidRDefault="00012E8D" w:rsidP="004F4CDD">
            <w:pPr>
              <w:cnfStyle w:val="000000000000" w:firstRow="0" w:lastRow="0" w:firstColumn="0" w:lastColumn="0" w:oddVBand="0" w:evenVBand="0" w:oddHBand="0" w:evenHBand="0" w:firstRowFirstColumn="0" w:firstRowLastColumn="0" w:lastRowFirstColumn="0" w:lastRowLastColumn="0"/>
              <w:rPr>
                <w:szCs w:val="22"/>
              </w:rPr>
            </w:pPr>
            <w:r w:rsidRPr="001A1561">
              <w:rPr>
                <w:szCs w:val="22"/>
              </w:rPr>
              <w:t>luteinizing hormone-releasing hormone</w:t>
            </w:r>
          </w:p>
        </w:tc>
      </w:tr>
      <w:tr w:rsidR="00012E8D" w:rsidRPr="001A1561" w14:paraId="16EE5E68" w14:textId="77777777" w:rsidTr="004F4CD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F11D891" w14:textId="77777777" w:rsidR="00012E8D" w:rsidRPr="001A1561" w:rsidRDefault="00012E8D" w:rsidP="004F4CDD">
            <w:pPr>
              <w:rPr>
                <w:szCs w:val="22"/>
              </w:rPr>
            </w:pPr>
            <w:proofErr w:type="spellStart"/>
            <w:r w:rsidRPr="001A1561">
              <w:rPr>
                <w:szCs w:val="22"/>
              </w:rPr>
              <w:t>mCRPR</w:t>
            </w:r>
            <w:proofErr w:type="spellEnd"/>
          </w:p>
        </w:tc>
        <w:tc>
          <w:tcPr>
            <w:tcW w:w="3800" w:type="pct"/>
          </w:tcPr>
          <w:p w14:paraId="4AAE2C82" w14:textId="77777777" w:rsidR="00012E8D" w:rsidRPr="001A1561" w:rsidRDefault="00012E8D" w:rsidP="004F4CDD">
            <w:pPr>
              <w:cnfStyle w:val="000000000000" w:firstRow="0" w:lastRow="0" w:firstColumn="0" w:lastColumn="0" w:oddVBand="0" w:evenVBand="0" w:oddHBand="0" w:evenHBand="0" w:firstRowFirstColumn="0" w:firstRowLastColumn="0" w:lastRowFirstColumn="0" w:lastRowLastColumn="0"/>
              <w:rPr>
                <w:szCs w:val="22"/>
              </w:rPr>
            </w:pPr>
            <w:r w:rsidRPr="001A1561">
              <w:rPr>
                <w:szCs w:val="22"/>
              </w:rPr>
              <w:t>metastatic castration resistant prostate cancer</w:t>
            </w:r>
          </w:p>
        </w:tc>
      </w:tr>
      <w:tr w:rsidR="00012E8D" w:rsidRPr="001A1561" w14:paraId="603CDD06" w14:textId="77777777" w:rsidTr="004F4CD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1A873D4" w14:textId="77777777" w:rsidR="00012E8D" w:rsidRPr="001A1561" w:rsidRDefault="00012E8D" w:rsidP="004F4CDD">
            <w:pPr>
              <w:rPr>
                <w:szCs w:val="22"/>
              </w:rPr>
            </w:pPr>
            <w:proofErr w:type="spellStart"/>
            <w:r w:rsidRPr="001A1561">
              <w:rPr>
                <w:szCs w:val="22"/>
              </w:rPr>
              <w:t>mHSPC</w:t>
            </w:r>
            <w:proofErr w:type="spellEnd"/>
            <w:r w:rsidRPr="001A1561">
              <w:rPr>
                <w:szCs w:val="22"/>
              </w:rPr>
              <w:t>/</w:t>
            </w:r>
            <w:proofErr w:type="spellStart"/>
            <w:r w:rsidRPr="001A1561">
              <w:rPr>
                <w:szCs w:val="22"/>
              </w:rPr>
              <w:t>mCSPC</w:t>
            </w:r>
            <w:proofErr w:type="spellEnd"/>
          </w:p>
        </w:tc>
        <w:tc>
          <w:tcPr>
            <w:tcW w:w="3800" w:type="pct"/>
          </w:tcPr>
          <w:p w14:paraId="467060C2" w14:textId="77777777" w:rsidR="00012E8D" w:rsidRPr="001A1561" w:rsidRDefault="00012E8D" w:rsidP="004F4CDD">
            <w:pPr>
              <w:cnfStyle w:val="000000000000" w:firstRow="0" w:lastRow="0" w:firstColumn="0" w:lastColumn="0" w:oddVBand="0" w:evenVBand="0" w:oddHBand="0" w:evenHBand="0" w:firstRowFirstColumn="0" w:firstRowLastColumn="0" w:lastRowFirstColumn="0" w:lastRowLastColumn="0"/>
              <w:rPr>
                <w:szCs w:val="22"/>
              </w:rPr>
            </w:pPr>
            <w:r w:rsidRPr="001A1561">
              <w:rPr>
                <w:szCs w:val="22"/>
              </w:rPr>
              <w:t>Metastatic hormone sensitive prostate cancer/metastatic castration-sensitive prostate cancer</w:t>
            </w:r>
          </w:p>
        </w:tc>
      </w:tr>
      <w:tr w:rsidR="00012E8D" w:rsidRPr="001A1561" w14:paraId="49395E66" w14:textId="77777777" w:rsidTr="004F4CD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9F81443" w14:textId="77777777" w:rsidR="00012E8D" w:rsidRPr="001A1561" w:rsidRDefault="00012E8D" w:rsidP="004F4CDD">
            <w:pPr>
              <w:rPr>
                <w:szCs w:val="22"/>
              </w:rPr>
            </w:pPr>
            <w:proofErr w:type="spellStart"/>
            <w:r w:rsidRPr="001A1561">
              <w:rPr>
                <w:szCs w:val="22"/>
              </w:rPr>
              <w:t>mPC</w:t>
            </w:r>
            <w:proofErr w:type="spellEnd"/>
          </w:p>
        </w:tc>
        <w:tc>
          <w:tcPr>
            <w:tcW w:w="3800" w:type="pct"/>
          </w:tcPr>
          <w:p w14:paraId="5D2E0317" w14:textId="77777777" w:rsidR="00012E8D" w:rsidRPr="001A1561" w:rsidRDefault="00012E8D" w:rsidP="004F4CDD">
            <w:pPr>
              <w:cnfStyle w:val="000000000000" w:firstRow="0" w:lastRow="0" w:firstColumn="0" w:lastColumn="0" w:oddVBand="0" w:evenVBand="0" w:oddHBand="0" w:evenHBand="0" w:firstRowFirstColumn="0" w:firstRowLastColumn="0" w:lastRowFirstColumn="0" w:lastRowLastColumn="0"/>
              <w:rPr>
                <w:szCs w:val="22"/>
              </w:rPr>
            </w:pPr>
            <w:r w:rsidRPr="001A1561">
              <w:rPr>
                <w:szCs w:val="22"/>
              </w:rPr>
              <w:t>metastatic prostate cancer</w:t>
            </w:r>
          </w:p>
        </w:tc>
      </w:tr>
      <w:tr w:rsidR="00012E8D" w:rsidRPr="001A1561" w14:paraId="60ED2E99" w14:textId="77777777" w:rsidTr="004F4CD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8E74F1D" w14:textId="77777777" w:rsidR="00012E8D" w:rsidRPr="001A1561" w:rsidRDefault="00012E8D" w:rsidP="004F4CDD">
            <w:pPr>
              <w:rPr>
                <w:szCs w:val="22"/>
              </w:rPr>
            </w:pPr>
            <w:proofErr w:type="spellStart"/>
            <w:r w:rsidRPr="001A1561">
              <w:rPr>
                <w:szCs w:val="22"/>
              </w:rPr>
              <w:t>nmCRPC</w:t>
            </w:r>
            <w:proofErr w:type="spellEnd"/>
          </w:p>
        </w:tc>
        <w:tc>
          <w:tcPr>
            <w:tcW w:w="3800" w:type="pct"/>
          </w:tcPr>
          <w:p w14:paraId="1CD2E022" w14:textId="77777777" w:rsidR="00012E8D" w:rsidRPr="001A1561" w:rsidRDefault="00012E8D" w:rsidP="004F4CDD">
            <w:pPr>
              <w:cnfStyle w:val="000000000000" w:firstRow="0" w:lastRow="0" w:firstColumn="0" w:lastColumn="0" w:oddVBand="0" w:evenVBand="0" w:oddHBand="0" w:evenHBand="0" w:firstRowFirstColumn="0" w:firstRowLastColumn="0" w:lastRowFirstColumn="0" w:lastRowLastColumn="0"/>
              <w:rPr>
                <w:szCs w:val="22"/>
              </w:rPr>
            </w:pPr>
            <w:r w:rsidRPr="001A1561">
              <w:rPr>
                <w:szCs w:val="22"/>
              </w:rPr>
              <w:t>Non-metastatic castration resistant prostate cancer</w:t>
            </w:r>
          </w:p>
        </w:tc>
      </w:tr>
      <w:tr w:rsidR="00012E8D" w:rsidRPr="001A1561" w14:paraId="0ED04E3F" w14:textId="77777777" w:rsidTr="004F4CD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62190E8" w14:textId="77777777" w:rsidR="00012E8D" w:rsidRPr="001A1561" w:rsidRDefault="00012E8D" w:rsidP="004F4CDD">
            <w:pPr>
              <w:rPr>
                <w:szCs w:val="22"/>
              </w:rPr>
            </w:pPr>
            <w:r w:rsidRPr="001A1561">
              <w:rPr>
                <w:szCs w:val="22"/>
              </w:rPr>
              <w:t>OS</w:t>
            </w:r>
          </w:p>
        </w:tc>
        <w:tc>
          <w:tcPr>
            <w:tcW w:w="3800" w:type="pct"/>
          </w:tcPr>
          <w:p w14:paraId="50C0C848" w14:textId="77777777" w:rsidR="00012E8D" w:rsidRPr="001A1561" w:rsidRDefault="00012E8D" w:rsidP="004F4CDD">
            <w:pPr>
              <w:cnfStyle w:val="000000000000" w:firstRow="0" w:lastRow="0" w:firstColumn="0" w:lastColumn="0" w:oddVBand="0" w:evenVBand="0" w:oddHBand="0" w:evenHBand="0" w:firstRowFirstColumn="0" w:firstRowLastColumn="0" w:lastRowFirstColumn="0" w:lastRowLastColumn="0"/>
              <w:rPr>
                <w:szCs w:val="22"/>
              </w:rPr>
            </w:pPr>
            <w:r w:rsidRPr="001A1561">
              <w:rPr>
                <w:szCs w:val="22"/>
              </w:rPr>
              <w:t>Overall survival</w:t>
            </w:r>
          </w:p>
        </w:tc>
      </w:tr>
      <w:tr w:rsidR="00012E8D" w:rsidRPr="001A1561" w14:paraId="55BC55AA" w14:textId="77777777" w:rsidTr="004F4CD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856836D" w14:textId="77777777" w:rsidR="00012E8D" w:rsidRPr="001A1561" w:rsidRDefault="00012E8D" w:rsidP="004F4CDD">
            <w:pPr>
              <w:rPr>
                <w:szCs w:val="22"/>
              </w:rPr>
            </w:pPr>
            <w:r w:rsidRPr="001A1561">
              <w:rPr>
                <w:szCs w:val="22"/>
              </w:rPr>
              <w:t>PI</w:t>
            </w:r>
          </w:p>
        </w:tc>
        <w:tc>
          <w:tcPr>
            <w:tcW w:w="3800" w:type="pct"/>
          </w:tcPr>
          <w:p w14:paraId="59FCE3CF" w14:textId="77777777" w:rsidR="00012E8D" w:rsidRPr="001A1561" w:rsidRDefault="00012E8D" w:rsidP="004F4CDD">
            <w:pPr>
              <w:cnfStyle w:val="000000000000" w:firstRow="0" w:lastRow="0" w:firstColumn="0" w:lastColumn="0" w:oddVBand="0" w:evenVBand="0" w:oddHBand="0" w:evenHBand="0" w:firstRowFirstColumn="0" w:firstRowLastColumn="0" w:lastRowFirstColumn="0" w:lastRowLastColumn="0"/>
              <w:rPr>
                <w:szCs w:val="22"/>
              </w:rPr>
            </w:pPr>
            <w:r w:rsidRPr="001A1561">
              <w:rPr>
                <w:szCs w:val="22"/>
              </w:rPr>
              <w:t>Product Information</w:t>
            </w:r>
          </w:p>
        </w:tc>
      </w:tr>
      <w:tr w:rsidR="00012E8D" w:rsidRPr="001A1561" w14:paraId="77D328C7" w14:textId="77777777" w:rsidTr="004F4CD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52F2FF4" w14:textId="77777777" w:rsidR="00012E8D" w:rsidRPr="001A1561" w:rsidRDefault="00012E8D" w:rsidP="004F4CDD">
            <w:pPr>
              <w:rPr>
                <w:szCs w:val="22"/>
              </w:rPr>
            </w:pPr>
            <w:r w:rsidRPr="001A1561">
              <w:rPr>
                <w:szCs w:val="22"/>
              </w:rPr>
              <w:t>PK</w:t>
            </w:r>
          </w:p>
        </w:tc>
        <w:tc>
          <w:tcPr>
            <w:tcW w:w="3800" w:type="pct"/>
          </w:tcPr>
          <w:p w14:paraId="6E4F6B45" w14:textId="77777777" w:rsidR="00012E8D" w:rsidRPr="001A1561" w:rsidRDefault="00012E8D" w:rsidP="004F4CDD">
            <w:pPr>
              <w:cnfStyle w:val="000000000000" w:firstRow="0" w:lastRow="0" w:firstColumn="0" w:lastColumn="0" w:oddVBand="0" w:evenVBand="0" w:oddHBand="0" w:evenHBand="0" w:firstRowFirstColumn="0" w:firstRowLastColumn="0" w:lastRowFirstColumn="0" w:lastRowLastColumn="0"/>
              <w:rPr>
                <w:szCs w:val="22"/>
              </w:rPr>
            </w:pPr>
            <w:r w:rsidRPr="001A1561">
              <w:rPr>
                <w:szCs w:val="22"/>
              </w:rPr>
              <w:t xml:space="preserve">Pharmacokinetics </w:t>
            </w:r>
          </w:p>
        </w:tc>
      </w:tr>
      <w:tr w:rsidR="00012E8D" w:rsidRPr="001A1561" w14:paraId="43331849" w14:textId="77777777" w:rsidTr="004F4CD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AD05E17" w14:textId="77777777" w:rsidR="00012E8D" w:rsidRPr="001A1561" w:rsidRDefault="00012E8D" w:rsidP="004F4CDD">
            <w:pPr>
              <w:rPr>
                <w:szCs w:val="22"/>
              </w:rPr>
            </w:pPr>
            <w:r w:rsidRPr="001A1561">
              <w:rPr>
                <w:szCs w:val="22"/>
              </w:rPr>
              <w:t>PKS</w:t>
            </w:r>
          </w:p>
        </w:tc>
        <w:tc>
          <w:tcPr>
            <w:tcW w:w="3800" w:type="pct"/>
          </w:tcPr>
          <w:p w14:paraId="26B685AD" w14:textId="77777777" w:rsidR="00012E8D" w:rsidRPr="001A1561" w:rsidRDefault="00012E8D" w:rsidP="004F4CDD">
            <w:pPr>
              <w:cnfStyle w:val="000000000000" w:firstRow="0" w:lastRow="0" w:firstColumn="0" w:lastColumn="0" w:oddVBand="0" w:evenVBand="0" w:oddHBand="0" w:evenHBand="0" w:firstRowFirstColumn="0" w:firstRowLastColumn="0" w:lastRowFirstColumn="0" w:lastRowLastColumn="0"/>
              <w:rPr>
                <w:szCs w:val="22"/>
              </w:rPr>
            </w:pPr>
            <w:r w:rsidRPr="001A1561">
              <w:rPr>
                <w:szCs w:val="22"/>
              </w:rPr>
              <w:t>Pharmacokinetic Analysis Set</w:t>
            </w:r>
          </w:p>
        </w:tc>
      </w:tr>
      <w:tr w:rsidR="00012E8D" w:rsidRPr="001A1561" w14:paraId="7120B3A8" w14:textId="77777777" w:rsidTr="004F4CD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A378B94" w14:textId="77777777" w:rsidR="00012E8D" w:rsidRPr="001A1561" w:rsidRDefault="00012E8D" w:rsidP="004F4CDD">
            <w:pPr>
              <w:rPr>
                <w:szCs w:val="22"/>
              </w:rPr>
            </w:pPr>
            <w:r w:rsidRPr="001A1561">
              <w:rPr>
                <w:szCs w:val="22"/>
              </w:rPr>
              <w:t>PSA</w:t>
            </w:r>
          </w:p>
        </w:tc>
        <w:tc>
          <w:tcPr>
            <w:tcW w:w="3800" w:type="pct"/>
          </w:tcPr>
          <w:p w14:paraId="5FF2652F" w14:textId="77777777" w:rsidR="00012E8D" w:rsidRPr="001A1561" w:rsidRDefault="00012E8D" w:rsidP="004F4CDD">
            <w:pPr>
              <w:cnfStyle w:val="000000000000" w:firstRow="0" w:lastRow="0" w:firstColumn="0" w:lastColumn="0" w:oddVBand="0" w:evenVBand="0" w:oddHBand="0" w:evenHBand="0" w:firstRowFirstColumn="0" w:firstRowLastColumn="0" w:lastRowFirstColumn="0" w:lastRowLastColumn="0"/>
              <w:rPr>
                <w:szCs w:val="22"/>
              </w:rPr>
            </w:pPr>
            <w:r w:rsidRPr="001A1561">
              <w:rPr>
                <w:szCs w:val="22"/>
              </w:rPr>
              <w:t>Prostate specific antigen</w:t>
            </w:r>
          </w:p>
        </w:tc>
      </w:tr>
      <w:tr w:rsidR="00012E8D" w:rsidRPr="001A1561" w14:paraId="2628398B" w14:textId="77777777" w:rsidTr="004F4CD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E993057" w14:textId="77777777" w:rsidR="00012E8D" w:rsidRPr="001A1561" w:rsidRDefault="00012E8D" w:rsidP="004F4CDD">
            <w:pPr>
              <w:rPr>
                <w:szCs w:val="22"/>
              </w:rPr>
            </w:pPr>
            <w:r w:rsidRPr="001A1561">
              <w:rPr>
                <w:szCs w:val="22"/>
              </w:rPr>
              <w:t>PSUR</w:t>
            </w:r>
          </w:p>
        </w:tc>
        <w:tc>
          <w:tcPr>
            <w:tcW w:w="3800" w:type="pct"/>
          </w:tcPr>
          <w:p w14:paraId="25E03A45" w14:textId="77777777" w:rsidR="00012E8D" w:rsidRPr="001A1561" w:rsidRDefault="00012E8D" w:rsidP="004F4CDD">
            <w:pPr>
              <w:cnfStyle w:val="000000000000" w:firstRow="0" w:lastRow="0" w:firstColumn="0" w:lastColumn="0" w:oddVBand="0" w:evenVBand="0" w:oddHBand="0" w:evenHBand="0" w:firstRowFirstColumn="0" w:firstRowLastColumn="0" w:lastRowFirstColumn="0" w:lastRowLastColumn="0"/>
              <w:rPr>
                <w:szCs w:val="22"/>
              </w:rPr>
            </w:pPr>
            <w:r w:rsidRPr="001A1561">
              <w:rPr>
                <w:szCs w:val="22"/>
              </w:rPr>
              <w:t>Periodic safety update report</w:t>
            </w:r>
          </w:p>
        </w:tc>
      </w:tr>
      <w:tr w:rsidR="00012E8D" w:rsidRPr="001A1561" w14:paraId="7230A0C8" w14:textId="77777777" w:rsidTr="004F4CD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034401E" w14:textId="77777777" w:rsidR="00012E8D" w:rsidRPr="001A1561" w:rsidRDefault="00012E8D" w:rsidP="004F4CDD">
            <w:pPr>
              <w:rPr>
                <w:szCs w:val="22"/>
              </w:rPr>
            </w:pPr>
            <w:r w:rsidRPr="001A1561">
              <w:rPr>
                <w:szCs w:val="22"/>
              </w:rPr>
              <w:t>PT</w:t>
            </w:r>
          </w:p>
        </w:tc>
        <w:tc>
          <w:tcPr>
            <w:tcW w:w="3800" w:type="pct"/>
          </w:tcPr>
          <w:p w14:paraId="1F8CA8B3" w14:textId="77777777" w:rsidR="00012E8D" w:rsidRPr="001A1561" w:rsidRDefault="00012E8D" w:rsidP="004F4CDD">
            <w:pPr>
              <w:cnfStyle w:val="000000000000" w:firstRow="0" w:lastRow="0" w:firstColumn="0" w:lastColumn="0" w:oddVBand="0" w:evenVBand="0" w:oddHBand="0" w:evenHBand="0" w:firstRowFirstColumn="0" w:firstRowLastColumn="0" w:lastRowFirstColumn="0" w:lastRowLastColumn="0"/>
              <w:rPr>
                <w:szCs w:val="22"/>
              </w:rPr>
            </w:pPr>
            <w:r w:rsidRPr="001A1561">
              <w:rPr>
                <w:szCs w:val="22"/>
              </w:rPr>
              <w:t>Preferred terms</w:t>
            </w:r>
          </w:p>
        </w:tc>
      </w:tr>
      <w:tr w:rsidR="00012E8D" w:rsidRPr="001A1561" w14:paraId="2589FD57" w14:textId="77777777" w:rsidTr="004F4CD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E951CFB" w14:textId="77777777" w:rsidR="00012E8D" w:rsidRPr="001A1561" w:rsidRDefault="00012E8D" w:rsidP="004F4CDD">
            <w:pPr>
              <w:rPr>
                <w:szCs w:val="22"/>
              </w:rPr>
            </w:pPr>
            <w:r w:rsidRPr="001A1561">
              <w:rPr>
                <w:szCs w:val="22"/>
              </w:rPr>
              <w:t>QoL</w:t>
            </w:r>
          </w:p>
        </w:tc>
        <w:tc>
          <w:tcPr>
            <w:tcW w:w="3800" w:type="pct"/>
          </w:tcPr>
          <w:p w14:paraId="49859AA1" w14:textId="77777777" w:rsidR="00012E8D" w:rsidRPr="001A1561" w:rsidRDefault="00012E8D" w:rsidP="004F4CDD">
            <w:pPr>
              <w:cnfStyle w:val="000000000000" w:firstRow="0" w:lastRow="0" w:firstColumn="0" w:lastColumn="0" w:oddVBand="0" w:evenVBand="0" w:oddHBand="0" w:evenHBand="0" w:firstRowFirstColumn="0" w:firstRowLastColumn="0" w:lastRowFirstColumn="0" w:lastRowLastColumn="0"/>
              <w:rPr>
                <w:szCs w:val="22"/>
              </w:rPr>
            </w:pPr>
            <w:r w:rsidRPr="001A1561">
              <w:rPr>
                <w:szCs w:val="22"/>
              </w:rPr>
              <w:t>Quality of life</w:t>
            </w:r>
          </w:p>
        </w:tc>
      </w:tr>
      <w:tr w:rsidR="00012E8D" w:rsidRPr="001A1561" w14:paraId="78679744" w14:textId="77777777" w:rsidTr="004F4CD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9C8A6D5" w14:textId="77777777" w:rsidR="00012E8D" w:rsidRPr="001A1561" w:rsidRDefault="00012E8D" w:rsidP="004F4CDD">
            <w:pPr>
              <w:rPr>
                <w:szCs w:val="22"/>
              </w:rPr>
            </w:pPr>
            <w:r w:rsidRPr="001A1561">
              <w:rPr>
                <w:szCs w:val="22"/>
              </w:rPr>
              <w:t>RMP</w:t>
            </w:r>
          </w:p>
        </w:tc>
        <w:tc>
          <w:tcPr>
            <w:tcW w:w="3800" w:type="pct"/>
          </w:tcPr>
          <w:p w14:paraId="61B50401" w14:textId="77777777" w:rsidR="00012E8D" w:rsidRPr="001A1561" w:rsidRDefault="00012E8D" w:rsidP="004F4CDD">
            <w:pPr>
              <w:cnfStyle w:val="000000000000" w:firstRow="0" w:lastRow="0" w:firstColumn="0" w:lastColumn="0" w:oddVBand="0" w:evenVBand="0" w:oddHBand="0" w:evenHBand="0" w:firstRowFirstColumn="0" w:firstRowLastColumn="0" w:lastRowFirstColumn="0" w:lastRowLastColumn="0"/>
              <w:rPr>
                <w:szCs w:val="22"/>
              </w:rPr>
            </w:pPr>
            <w:r w:rsidRPr="001A1561">
              <w:rPr>
                <w:szCs w:val="22"/>
              </w:rPr>
              <w:t>Risk management plan</w:t>
            </w:r>
          </w:p>
        </w:tc>
      </w:tr>
      <w:tr w:rsidR="00012E8D" w:rsidRPr="001A1561" w14:paraId="415F7F41" w14:textId="77777777" w:rsidTr="004F4CD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923040A" w14:textId="77777777" w:rsidR="00012E8D" w:rsidRPr="001A1561" w:rsidRDefault="00012E8D" w:rsidP="004F4CDD">
            <w:pPr>
              <w:rPr>
                <w:szCs w:val="22"/>
              </w:rPr>
            </w:pPr>
            <w:r w:rsidRPr="001A1561">
              <w:rPr>
                <w:szCs w:val="22"/>
              </w:rPr>
              <w:t>SAEs</w:t>
            </w:r>
          </w:p>
        </w:tc>
        <w:tc>
          <w:tcPr>
            <w:tcW w:w="3800" w:type="pct"/>
          </w:tcPr>
          <w:p w14:paraId="0F5EC2AF" w14:textId="77777777" w:rsidR="00012E8D" w:rsidRPr="001A1561" w:rsidRDefault="00012E8D" w:rsidP="004F4CDD">
            <w:pPr>
              <w:cnfStyle w:val="000000000000" w:firstRow="0" w:lastRow="0" w:firstColumn="0" w:lastColumn="0" w:oddVBand="0" w:evenVBand="0" w:oddHBand="0" w:evenHBand="0" w:firstRowFirstColumn="0" w:firstRowLastColumn="0" w:lastRowFirstColumn="0" w:lastRowLastColumn="0"/>
              <w:rPr>
                <w:szCs w:val="22"/>
              </w:rPr>
            </w:pPr>
            <w:r w:rsidRPr="001A1561">
              <w:rPr>
                <w:szCs w:val="22"/>
              </w:rPr>
              <w:t>serious adverse events</w:t>
            </w:r>
          </w:p>
        </w:tc>
      </w:tr>
      <w:tr w:rsidR="00012E8D" w:rsidRPr="001A1561" w14:paraId="5A8C9859" w14:textId="77777777" w:rsidTr="004F4CD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7A1A5A0" w14:textId="77777777" w:rsidR="00012E8D" w:rsidRPr="001A1561" w:rsidRDefault="00012E8D" w:rsidP="004F4CDD">
            <w:pPr>
              <w:rPr>
                <w:szCs w:val="22"/>
              </w:rPr>
            </w:pPr>
            <w:r w:rsidRPr="001A1561">
              <w:rPr>
                <w:szCs w:val="22"/>
              </w:rPr>
              <w:t>SAF</w:t>
            </w:r>
          </w:p>
        </w:tc>
        <w:tc>
          <w:tcPr>
            <w:tcW w:w="3800" w:type="pct"/>
          </w:tcPr>
          <w:p w14:paraId="5F5BA9C3" w14:textId="77777777" w:rsidR="00012E8D" w:rsidRPr="001A1561" w:rsidRDefault="00012E8D" w:rsidP="004F4CDD">
            <w:pPr>
              <w:cnfStyle w:val="000000000000" w:firstRow="0" w:lastRow="0" w:firstColumn="0" w:lastColumn="0" w:oddVBand="0" w:evenVBand="0" w:oddHBand="0" w:evenHBand="0" w:firstRowFirstColumn="0" w:firstRowLastColumn="0" w:lastRowFirstColumn="0" w:lastRowLastColumn="0"/>
              <w:rPr>
                <w:szCs w:val="22"/>
              </w:rPr>
            </w:pPr>
            <w:r w:rsidRPr="001A1561">
              <w:rPr>
                <w:szCs w:val="22"/>
              </w:rPr>
              <w:t>Safety analysis set</w:t>
            </w:r>
          </w:p>
        </w:tc>
      </w:tr>
      <w:tr w:rsidR="00012E8D" w:rsidRPr="001A1561" w14:paraId="42CE1A68" w14:textId="77777777" w:rsidTr="004F4CD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EBD677F" w14:textId="77777777" w:rsidR="00012E8D" w:rsidRPr="001A1561" w:rsidRDefault="00012E8D" w:rsidP="004F4CDD">
            <w:pPr>
              <w:rPr>
                <w:szCs w:val="22"/>
              </w:rPr>
            </w:pPr>
            <w:r w:rsidRPr="001A1561">
              <w:rPr>
                <w:szCs w:val="22"/>
              </w:rPr>
              <w:t>SSE</w:t>
            </w:r>
          </w:p>
        </w:tc>
        <w:tc>
          <w:tcPr>
            <w:tcW w:w="3800" w:type="pct"/>
          </w:tcPr>
          <w:p w14:paraId="233852D2" w14:textId="77777777" w:rsidR="00012E8D" w:rsidRPr="001A1561" w:rsidRDefault="00012E8D" w:rsidP="004F4CDD">
            <w:pPr>
              <w:cnfStyle w:val="000000000000" w:firstRow="0" w:lastRow="0" w:firstColumn="0" w:lastColumn="0" w:oddVBand="0" w:evenVBand="0" w:oddHBand="0" w:evenHBand="0" w:firstRowFirstColumn="0" w:firstRowLastColumn="0" w:lastRowFirstColumn="0" w:lastRowLastColumn="0"/>
              <w:rPr>
                <w:szCs w:val="22"/>
              </w:rPr>
            </w:pPr>
            <w:r w:rsidRPr="001A1561">
              <w:rPr>
                <w:szCs w:val="22"/>
              </w:rPr>
              <w:t>symptomatic skeletal event</w:t>
            </w:r>
          </w:p>
        </w:tc>
      </w:tr>
      <w:tr w:rsidR="00012E8D" w:rsidRPr="001A1561" w14:paraId="19855BBC" w14:textId="77777777" w:rsidTr="004F4CD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7D7D2A2" w14:textId="77777777" w:rsidR="00012E8D" w:rsidRPr="001A1561" w:rsidRDefault="00012E8D" w:rsidP="004F4CDD">
            <w:pPr>
              <w:rPr>
                <w:szCs w:val="22"/>
              </w:rPr>
            </w:pPr>
            <w:r w:rsidRPr="001A1561">
              <w:rPr>
                <w:szCs w:val="22"/>
              </w:rPr>
              <w:t>SSE-FS</w:t>
            </w:r>
          </w:p>
        </w:tc>
        <w:tc>
          <w:tcPr>
            <w:tcW w:w="3800" w:type="pct"/>
          </w:tcPr>
          <w:p w14:paraId="2DB87C4D" w14:textId="77777777" w:rsidR="00012E8D" w:rsidRPr="001A1561" w:rsidRDefault="00012E8D" w:rsidP="004F4CDD">
            <w:pPr>
              <w:cnfStyle w:val="000000000000" w:firstRow="0" w:lastRow="0" w:firstColumn="0" w:lastColumn="0" w:oddVBand="0" w:evenVBand="0" w:oddHBand="0" w:evenHBand="0" w:firstRowFirstColumn="0" w:firstRowLastColumn="0" w:lastRowFirstColumn="0" w:lastRowLastColumn="0"/>
              <w:rPr>
                <w:szCs w:val="22"/>
              </w:rPr>
            </w:pPr>
            <w:r w:rsidRPr="001A1561">
              <w:rPr>
                <w:szCs w:val="22"/>
              </w:rPr>
              <w:t>Symptomatic skeletal event-free survival</w:t>
            </w:r>
          </w:p>
        </w:tc>
      </w:tr>
      <w:tr w:rsidR="00012E8D" w:rsidRPr="001A1561" w14:paraId="09AEF453" w14:textId="77777777" w:rsidTr="004F4CD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C1CF2E5" w14:textId="77777777" w:rsidR="00012E8D" w:rsidRPr="001A1561" w:rsidRDefault="00012E8D" w:rsidP="004F4CDD">
            <w:pPr>
              <w:rPr>
                <w:szCs w:val="22"/>
              </w:rPr>
            </w:pPr>
            <w:r w:rsidRPr="001A1561">
              <w:rPr>
                <w:szCs w:val="22"/>
              </w:rPr>
              <w:t>TEAE</w:t>
            </w:r>
          </w:p>
        </w:tc>
        <w:tc>
          <w:tcPr>
            <w:tcW w:w="3800" w:type="pct"/>
          </w:tcPr>
          <w:p w14:paraId="6D9F0C7C" w14:textId="77777777" w:rsidR="00012E8D" w:rsidRPr="001A1561" w:rsidRDefault="00012E8D" w:rsidP="004F4CDD">
            <w:pPr>
              <w:cnfStyle w:val="000000000000" w:firstRow="0" w:lastRow="0" w:firstColumn="0" w:lastColumn="0" w:oddVBand="0" w:evenVBand="0" w:oddHBand="0" w:evenHBand="0" w:firstRowFirstColumn="0" w:firstRowLastColumn="0" w:lastRowFirstColumn="0" w:lastRowLastColumn="0"/>
              <w:rPr>
                <w:szCs w:val="22"/>
              </w:rPr>
            </w:pPr>
            <w:r w:rsidRPr="001A1561">
              <w:rPr>
                <w:szCs w:val="22"/>
              </w:rPr>
              <w:t>Treatment-emergent adverse events</w:t>
            </w:r>
          </w:p>
        </w:tc>
      </w:tr>
      <w:tr w:rsidR="00012E8D" w:rsidRPr="001A1561" w14:paraId="120ACA2B" w14:textId="77777777" w:rsidTr="004F4CD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7DFD09F" w14:textId="77777777" w:rsidR="00012E8D" w:rsidRPr="001A1561" w:rsidRDefault="00012E8D" w:rsidP="004F4CDD">
            <w:pPr>
              <w:rPr>
                <w:szCs w:val="22"/>
              </w:rPr>
            </w:pPr>
            <w:r w:rsidRPr="001A1561">
              <w:rPr>
                <w:szCs w:val="22"/>
              </w:rPr>
              <w:t>TGA</w:t>
            </w:r>
          </w:p>
        </w:tc>
        <w:tc>
          <w:tcPr>
            <w:tcW w:w="3800" w:type="pct"/>
          </w:tcPr>
          <w:p w14:paraId="00532DA5" w14:textId="77777777" w:rsidR="00012E8D" w:rsidRPr="001A1561" w:rsidRDefault="00012E8D" w:rsidP="004F4CDD">
            <w:pPr>
              <w:cnfStyle w:val="000000000000" w:firstRow="0" w:lastRow="0" w:firstColumn="0" w:lastColumn="0" w:oddVBand="0" w:evenVBand="0" w:oddHBand="0" w:evenHBand="0" w:firstRowFirstColumn="0" w:firstRowLastColumn="0" w:lastRowFirstColumn="0" w:lastRowLastColumn="0"/>
              <w:rPr>
                <w:szCs w:val="22"/>
              </w:rPr>
            </w:pPr>
            <w:r w:rsidRPr="001A1561">
              <w:rPr>
                <w:szCs w:val="22"/>
              </w:rPr>
              <w:t>Therapeutic Goods Administration</w:t>
            </w:r>
          </w:p>
        </w:tc>
      </w:tr>
      <w:tr w:rsidR="00012E8D" w:rsidRPr="001A1561" w14:paraId="50A68D0C" w14:textId="77777777" w:rsidTr="004F4CD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2FA8214" w14:textId="77777777" w:rsidR="00012E8D" w:rsidRPr="001A1561" w:rsidRDefault="00012E8D" w:rsidP="004F4CDD">
            <w:pPr>
              <w:rPr>
                <w:szCs w:val="22"/>
              </w:rPr>
            </w:pPr>
            <w:r w:rsidRPr="001A1561">
              <w:rPr>
                <w:szCs w:val="22"/>
              </w:rPr>
              <w:t>ULN</w:t>
            </w:r>
          </w:p>
        </w:tc>
        <w:tc>
          <w:tcPr>
            <w:tcW w:w="3800" w:type="pct"/>
          </w:tcPr>
          <w:p w14:paraId="1F5D12CA" w14:textId="77777777" w:rsidR="00012E8D" w:rsidRPr="001A1561" w:rsidRDefault="00012E8D" w:rsidP="004F4CDD">
            <w:pPr>
              <w:cnfStyle w:val="000000000000" w:firstRow="0" w:lastRow="0" w:firstColumn="0" w:lastColumn="0" w:oddVBand="0" w:evenVBand="0" w:oddHBand="0" w:evenHBand="0" w:firstRowFirstColumn="0" w:firstRowLastColumn="0" w:lastRowFirstColumn="0" w:lastRowLastColumn="0"/>
              <w:rPr>
                <w:szCs w:val="22"/>
              </w:rPr>
            </w:pPr>
            <w:r w:rsidRPr="001A1561">
              <w:rPr>
                <w:szCs w:val="22"/>
              </w:rPr>
              <w:t>Upper limit of normal</w:t>
            </w:r>
          </w:p>
        </w:tc>
      </w:tr>
    </w:tbl>
    <w:p w14:paraId="207DF202" w14:textId="77777777" w:rsidR="00012E8D" w:rsidRDefault="00012E8D" w:rsidP="00012E8D"/>
    <w:p w14:paraId="1AB9F8BE" w14:textId="77777777" w:rsidR="00012E8D" w:rsidRPr="00FD119B" w:rsidRDefault="00012E8D" w:rsidP="00012E8D">
      <w:pPr>
        <w:spacing w:after="200" w:line="0" w:lineRule="auto"/>
        <w:rPr>
          <w:b/>
          <w:i/>
          <w:sz w:val="24"/>
          <w:szCs w:val="24"/>
        </w:rPr>
      </w:pPr>
      <w:r w:rsidRPr="00FD119B">
        <w:rPr>
          <w:b/>
          <w:i/>
          <w:sz w:val="24"/>
          <w:szCs w:val="24"/>
        </w:rPr>
        <w:br w:type="page"/>
      </w:r>
    </w:p>
    <w:p w14:paraId="44C2A39C" w14:textId="2E0A852C" w:rsidR="00324B33" w:rsidRDefault="001607DA" w:rsidP="00324B33">
      <w:pPr>
        <w:pStyle w:val="Heading2"/>
      </w:pPr>
      <w:bookmarkStart w:id="8" w:name="_Toc179287281"/>
      <w:r w:rsidRPr="001607DA">
        <w:t xml:space="preserve">Nubeqa </w:t>
      </w:r>
      <w:r>
        <w:t>(</w:t>
      </w:r>
      <w:proofErr w:type="spellStart"/>
      <w:r w:rsidRPr="001607DA">
        <w:t>darolutamide</w:t>
      </w:r>
      <w:proofErr w:type="spellEnd"/>
      <w:r>
        <w:t>)</w:t>
      </w:r>
      <w:r w:rsidRPr="001607DA">
        <w:t xml:space="preserve"> </w:t>
      </w:r>
      <w:r w:rsidR="00324B33">
        <w:t>submission</w:t>
      </w:r>
      <w:bookmarkEnd w:id="4"/>
      <w:bookmarkEnd w:id="8"/>
    </w:p>
    <w:tbl>
      <w:tblPr>
        <w:tblW w:w="5000" w:type="pct"/>
        <w:tblLook w:val="01E0" w:firstRow="1" w:lastRow="1" w:firstColumn="1" w:lastColumn="1" w:noHBand="0" w:noVBand="0"/>
      </w:tblPr>
      <w:tblGrid>
        <w:gridCol w:w="3260"/>
        <w:gridCol w:w="5766"/>
      </w:tblGrid>
      <w:tr w:rsidR="00324B33" w:rsidRPr="00BD5DBD" w14:paraId="77D11C95" w14:textId="77777777" w:rsidTr="00ED44F8">
        <w:tc>
          <w:tcPr>
            <w:tcW w:w="1806" w:type="pct"/>
          </w:tcPr>
          <w:p w14:paraId="10E57D62" w14:textId="220482EA" w:rsidR="00324B33" w:rsidRPr="001607DA" w:rsidRDefault="00324B33" w:rsidP="00ED44F8">
            <w:pPr>
              <w:rPr>
                <w:b/>
                <w:bCs/>
                <w:i/>
                <w:szCs w:val="22"/>
              </w:rPr>
            </w:pPr>
            <w:r w:rsidRPr="001607DA">
              <w:rPr>
                <w:b/>
                <w:bCs/>
                <w:i/>
                <w:szCs w:val="22"/>
              </w:rPr>
              <w:t>Type of submission:</w:t>
            </w:r>
          </w:p>
        </w:tc>
        <w:tc>
          <w:tcPr>
            <w:tcW w:w="3194" w:type="pct"/>
          </w:tcPr>
          <w:p w14:paraId="4F07C303" w14:textId="280C3FD3" w:rsidR="00324B33" w:rsidRPr="00BD5DBD" w:rsidRDefault="009016C2" w:rsidP="007452E8">
            <w:pPr>
              <w:rPr>
                <w:szCs w:val="22"/>
              </w:rPr>
            </w:pPr>
            <w:r w:rsidRPr="009016C2">
              <w:rPr>
                <w:szCs w:val="22"/>
              </w:rPr>
              <w:t>Extension of indications</w:t>
            </w:r>
          </w:p>
        </w:tc>
      </w:tr>
      <w:tr w:rsidR="00324B33" w:rsidRPr="00BD5DBD" w14:paraId="13482B61" w14:textId="77777777" w:rsidTr="00ED44F8">
        <w:tc>
          <w:tcPr>
            <w:tcW w:w="1806" w:type="pct"/>
          </w:tcPr>
          <w:p w14:paraId="2C427FCF" w14:textId="01211908" w:rsidR="00324B33" w:rsidRPr="001607DA" w:rsidRDefault="00324B33" w:rsidP="00ED44F8">
            <w:pPr>
              <w:rPr>
                <w:b/>
                <w:bCs/>
                <w:i/>
                <w:szCs w:val="22"/>
              </w:rPr>
            </w:pPr>
            <w:r w:rsidRPr="001607DA">
              <w:rPr>
                <w:b/>
                <w:bCs/>
                <w:i/>
                <w:szCs w:val="22"/>
              </w:rPr>
              <w:t>Product name:</w:t>
            </w:r>
          </w:p>
        </w:tc>
        <w:tc>
          <w:tcPr>
            <w:tcW w:w="3194" w:type="pct"/>
          </w:tcPr>
          <w:p w14:paraId="0E2DEF76" w14:textId="7DCBB4FD" w:rsidR="00324B33" w:rsidRPr="00BD5DBD" w:rsidRDefault="00E82CA6" w:rsidP="007452E8">
            <w:pPr>
              <w:rPr>
                <w:szCs w:val="22"/>
              </w:rPr>
            </w:pPr>
            <w:r>
              <w:rPr>
                <w:szCs w:val="22"/>
              </w:rPr>
              <w:t>Nubeqa</w:t>
            </w:r>
          </w:p>
        </w:tc>
      </w:tr>
      <w:tr w:rsidR="00324B33" w:rsidRPr="00BD5DBD" w14:paraId="01255B5B" w14:textId="77777777" w:rsidTr="00ED44F8">
        <w:tc>
          <w:tcPr>
            <w:tcW w:w="1806" w:type="pct"/>
          </w:tcPr>
          <w:p w14:paraId="52B4F3D7" w14:textId="2024E8F9" w:rsidR="00324B33" w:rsidRPr="001607DA" w:rsidRDefault="00324B33" w:rsidP="00ED44F8">
            <w:pPr>
              <w:rPr>
                <w:b/>
                <w:bCs/>
                <w:i/>
                <w:szCs w:val="22"/>
              </w:rPr>
            </w:pPr>
            <w:r w:rsidRPr="001607DA">
              <w:rPr>
                <w:b/>
                <w:bCs/>
                <w:i/>
                <w:szCs w:val="22"/>
              </w:rPr>
              <w:t>Active ingredient:</w:t>
            </w:r>
          </w:p>
        </w:tc>
        <w:tc>
          <w:tcPr>
            <w:tcW w:w="3194" w:type="pct"/>
          </w:tcPr>
          <w:p w14:paraId="02FB6383" w14:textId="781BEC8F" w:rsidR="00324B33" w:rsidRPr="00BD5DBD" w:rsidRDefault="0084781B" w:rsidP="007452E8">
            <w:pPr>
              <w:rPr>
                <w:szCs w:val="22"/>
              </w:rPr>
            </w:pPr>
            <w:r>
              <w:rPr>
                <w:szCs w:val="22"/>
              </w:rPr>
              <w:t>D</w:t>
            </w:r>
            <w:r w:rsidR="00E82CA6" w:rsidRPr="00E82CA6">
              <w:rPr>
                <w:szCs w:val="22"/>
              </w:rPr>
              <w:t>arolutamide</w:t>
            </w:r>
          </w:p>
        </w:tc>
      </w:tr>
      <w:tr w:rsidR="00324B33" w:rsidRPr="00BD5DBD" w14:paraId="219A281B" w14:textId="77777777" w:rsidTr="00ED44F8">
        <w:tc>
          <w:tcPr>
            <w:tcW w:w="1806" w:type="pct"/>
          </w:tcPr>
          <w:p w14:paraId="112E5F78" w14:textId="77777777" w:rsidR="00324B33" w:rsidRPr="001607DA" w:rsidRDefault="00324B33" w:rsidP="00ED44F8">
            <w:pPr>
              <w:rPr>
                <w:b/>
                <w:bCs/>
                <w:i/>
                <w:szCs w:val="22"/>
              </w:rPr>
            </w:pPr>
            <w:r w:rsidRPr="001607DA">
              <w:rPr>
                <w:b/>
                <w:bCs/>
                <w:i/>
                <w:szCs w:val="22"/>
              </w:rPr>
              <w:t>Decision:</w:t>
            </w:r>
          </w:p>
        </w:tc>
        <w:tc>
          <w:tcPr>
            <w:tcW w:w="3194" w:type="pct"/>
          </w:tcPr>
          <w:p w14:paraId="3B114BEA" w14:textId="4AE42F41" w:rsidR="001607DA" w:rsidRPr="00BD5DBD" w:rsidRDefault="00324B33" w:rsidP="001607DA">
            <w:pPr>
              <w:rPr>
                <w:szCs w:val="22"/>
              </w:rPr>
            </w:pPr>
            <w:r w:rsidRPr="00BD5DBD">
              <w:rPr>
                <w:szCs w:val="22"/>
              </w:rPr>
              <w:t>Approved</w:t>
            </w:r>
          </w:p>
        </w:tc>
      </w:tr>
      <w:tr w:rsidR="001607DA" w:rsidRPr="00BD5DBD" w14:paraId="58184580" w14:textId="77777777" w:rsidTr="00ED44F8">
        <w:tc>
          <w:tcPr>
            <w:tcW w:w="1806" w:type="pct"/>
          </w:tcPr>
          <w:p w14:paraId="27D8D5E9" w14:textId="30E665CD" w:rsidR="001607DA" w:rsidRPr="001607DA" w:rsidRDefault="001607DA" w:rsidP="00ED44F8">
            <w:pPr>
              <w:rPr>
                <w:b/>
                <w:bCs/>
                <w:i/>
                <w:szCs w:val="22"/>
              </w:rPr>
            </w:pPr>
            <w:r w:rsidRPr="001607DA">
              <w:rPr>
                <w:b/>
                <w:bCs/>
                <w:i/>
                <w:szCs w:val="22"/>
              </w:rPr>
              <w:t>Approved therapeutic use for the current submission:</w:t>
            </w:r>
          </w:p>
        </w:tc>
        <w:tc>
          <w:tcPr>
            <w:tcW w:w="3194" w:type="pct"/>
          </w:tcPr>
          <w:p w14:paraId="44930AF6" w14:textId="11DC32FB" w:rsidR="001607DA" w:rsidRPr="00E82CA6" w:rsidRDefault="001607DA" w:rsidP="001607DA">
            <w:pPr>
              <w:rPr>
                <w:szCs w:val="22"/>
              </w:rPr>
            </w:pPr>
            <w:r w:rsidRPr="00E82CA6">
              <w:rPr>
                <w:szCs w:val="22"/>
              </w:rPr>
              <w:t>NUBEQA is indicated for the treatment of patients with metastatic hormone-sensitive prostate cancer (</w:t>
            </w:r>
            <w:proofErr w:type="spellStart"/>
            <w:r w:rsidRPr="00E82CA6">
              <w:rPr>
                <w:szCs w:val="22"/>
              </w:rPr>
              <w:t>mHSPC</w:t>
            </w:r>
            <w:proofErr w:type="spellEnd"/>
            <w:r w:rsidRPr="00E82CA6">
              <w:rPr>
                <w:szCs w:val="22"/>
              </w:rPr>
              <w:t>) in combination with docetaxel</w:t>
            </w:r>
          </w:p>
        </w:tc>
      </w:tr>
      <w:tr w:rsidR="001607DA" w:rsidRPr="00BD5DBD" w14:paraId="32B72632" w14:textId="77777777" w:rsidTr="00ED44F8">
        <w:tc>
          <w:tcPr>
            <w:tcW w:w="1806" w:type="pct"/>
          </w:tcPr>
          <w:p w14:paraId="332A5CD5" w14:textId="65682B5F" w:rsidR="001607DA" w:rsidRPr="001607DA" w:rsidRDefault="001607DA" w:rsidP="00ED44F8">
            <w:pPr>
              <w:rPr>
                <w:b/>
                <w:bCs/>
              </w:rPr>
            </w:pPr>
            <w:r w:rsidRPr="001607DA">
              <w:rPr>
                <w:b/>
                <w:bCs/>
                <w:i/>
                <w:szCs w:val="22"/>
              </w:rPr>
              <w:t>Date of decision:</w:t>
            </w:r>
          </w:p>
        </w:tc>
        <w:tc>
          <w:tcPr>
            <w:tcW w:w="3194" w:type="pct"/>
          </w:tcPr>
          <w:p w14:paraId="7B381CD6" w14:textId="2018AA6C" w:rsidR="001607DA" w:rsidRPr="00BD5DBD" w:rsidRDefault="001607DA" w:rsidP="001607DA">
            <w:pPr>
              <w:rPr>
                <w:szCs w:val="22"/>
              </w:rPr>
            </w:pPr>
            <w:r w:rsidRPr="00E82CA6">
              <w:rPr>
                <w:szCs w:val="22"/>
              </w:rPr>
              <w:t>17 March 2023</w:t>
            </w:r>
          </w:p>
        </w:tc>
      </w:tr>
      <w:tr w:rsidR="001607DA" w:rsidRPr="00BD5DBD" w14:paraId="60A25F5A" w14:textId="77777777" w:rsidTr="00ED44F8">
        <w:tc>
          <w:tcPr>
            <w:tcW w:w="1806" w:type="pct"/>
          </w:tcPr>
          <w:p w14:paraId="5C5E4CBA" w14:textId="77777777" w:rsidR="001607DA" w:rsidRPr="001607DA" w:rsidRDefault="001607DA" w:rsidP="00ED44F8">
            <w:pPr>
              <w:rPr>
                <w:b/>
                <w:bCs/>
                <w:i/>
                <w:szCs w:val="22"/>
              </w:rPr>
            </w:pPr>
            <w:r w:rsidRPr="001607DA">
              <w:rPr>
                <w:b/>
                <w:bCs/>
                <w:i/>
                <w:szCs w:val="22"/>
              </w:rPr>
              <w:t>Date of entry onto ARTG:</w:t>
            </w:r>
          </w:p>
        </w:tc>
        <w:tc>
          <w:tcPr>
            <w:tcW w:w="3194" w:type="pct"/>
          </w:tcPr>
          <w:p w14:paraId="28B270E9" w14:textId="348D5446" w:rsidR="001607DA" w:rsidRPr="00BD5DBD" w:rsidRDefault="001607DA" w:rsidP="001607DA">
            <w:pPr>
              <w:rPr>
                <w:szCs w:val="22"/>
              </w:rPr>
            </w:pPr>
            <w:r>
              <w:rPr>
                <w:szCs w:val="22"/>
              </w:rPr>
              <w:t>21 March 2023</w:t>
            </w:r>
          </w:p>
        </w:tc>
      </w:tr>
      <w:tr w:rsidR="001607DA" w:rsidRPr="00BD5DBD" w14:paraId="547E08D7" w14:textId="77777777" w:rsidTr="00ED44F8">
        <w:tc>
          <w:tcPr>
            <w:tcW w:w="1806" w:type="pct"/>
          </w:tcPr>
          <w:p w14:paraId="5030EF30" w14:textId="4A5BBBA2" w:rsidR="001607DA" w:rsidRPr="001607DA" w:rsidRDefault="001607DA" w:rsidP="00ED44F8">
            <w:pPr>
              <w:rPr>
                <w:b/>
                <w:bCs/>
                <w:i/>
                <w:szCs w:val="22"/>
              </w:rPr>
            </w:pPr>
            <w:r w:rsidRPr="001607DA">
              <w:rPr>
                <w:b/>
                <w:bCs/>
                <w:i/>
                <w:szCs w:val="22"/>
              </w:rPr>
              <w:t>ARTG number:</w:t>
            </w:r>
          </w:p>
        </w:tc>
        <w:tc>
          <w:tcPr>
            <w:tcW w:w="3194" w:type="pct"/>
          </w:tcPr>
          <w:p w14:paraId="0054E912" w14:textId="57EF0AE1" w:rsidR="001607DA" w:rsidRPr="00BD5DBD" w:rsidRDefault="001607DA" w:rsidP="001607DA">
            <w:pPr>
              <w:rPr>
                <w:szCs w:val="22"/>
              </w:rPr>
            </w:pPr>
            <w:r w:rsidRPr="00BA7CAB">
              <w:rPr>
                <w:szCs w:val="22"/>
              </w:rPr>
              <w:t>316417</w:t>
            </w:r>
            <w:r>
              <w:rPr>
                <w:szCs w:val="22"/>
              </w:rPr>
              <w:t xml:space="preserve">, </w:t>
            </w:r>
            <w:r w:rsidRPr="00BA7CAB">
              <w:rPr>
                <w:szCs w:val="22"/>
              </w:rPr>
              <w:t>317242</w:t>
            </w:r>
          </w:p>
        </w:tc>
      </w:tr>
      <w:tr w:rsidR="001607DA" w:rsidRPr="00BD5DBD" w14:paraId="7618393F" w14:textId="77777777" w:rsidTr="00ED44F8">
        <w:tc>
          <w:tcPr>
            <w:tcW w:w="1806" w:type="pct"/>
          </w:tcPr>
          <w:p w14:paraId="02260DE2" w14:textId="79BEF8EF" w:rsidR="001607DA" w:rsidRPr="001607DA" w:rsidRDefault="001F4323" w:rsidP="00ED44F8">
            <w:pPr>
              <w:rPr>
                <w:b/>
                <w:bCs/>
                <w:i/>
                <w:color w:val="0000FF"/>
                <w:szCs w:val="22"/>
                <w:u w:val="single"/>
              </w:rPr>
            </w:pPr>
            <w:hyperlink r:id="rId15" w:history="1">
              <w:r w:rsidR="001607DA" w:rsidRPr="001607DA">
                <w:rPr>
                  <w:rStyle w:val="Hyperlink"/>
                  <w:b/>
                  <w:bCs/>
                  <w:i/>
                  <w:szCs w:val="22"/>
                </w:rPr>
                <w:t>Black Triangle Scheme</w:t>
              </w:r>
            </w:hyperlink>
          </w:p>
        </w:tc>
        <w:tc>
          <w:tcPr>
            <w:tcW w:w="3194" w:type="pct"/>
          </w:tcPr>
          <w:p w14:paraId="6FF3C6A2" w14:textId="5000AC22" w:rsidR="001607DA" w:rsidRPr="00BD5DBD" w:rsidRDefault="001607DA" w:rsidP="001607DA">
            <w:pPr>
              <w:rPr>
                <w:szCs w:val="22"/>
              </w:rPr>
            </w:pPr>
            <w:r w:rsidRPr="00BD5DBD">
              <w:rPr>
                <w:szCs w:val="22"/>
              </w:rPr>
              <w:t>No</w:t>
            </w:r>
          </w:p>
        </w:tc>
      </w:tr>
      <w:tr w:rsidR="001607DA" w:rsidRPr="00BD5DBD" w14:paraId="179E09FE" w14:textId="77777777" w:rsidTr="00ED44F8">
        <w:tc>
          <w:tcPr>
            <w:tcW w:w="1806" w:type="pct"/>
          </w:tcPr>
          <w:p w14:paraId="1A592498" w14:textId="0AC9FF82" w:rsidR="001607DA" w:rsidRPr="001607DA" w:rsidRDefault="008A7024" w:rsidP="00ED44F8">
            <w:pPr>
              <w:rPr>
                <w:b/>
                <w:bCs/>
                <w:i/>
                <w:szCs w:val="22"/>
              </w:rPr>
            </w:pPr>
            <w:r>
              <w:rPr>
                <w:b/>
                <w:bCs/>
                <w:i/>
                <w:szCs w:val="22"/>
              </w:rPr>
              <w:t>Sponsor</w:t>
            </w:r>
            <w:r w:rsidR="001607DA" w:rsidRPr="001607DA">
              <w:rPr>
                <w:b/>
                <w:bCs/>
                <w:i/>
                <w:szCs w:val="22"/>
              </w:rPr>
              <w:t>’s</w:t>
            </w:r>
            <w:r w:rsidR="00D36197">
              <w:rPr>
                <w:b/>
                <w:bCs/>
                <w:i/>
                <w:szCs w:val="22"/>
              </w:rPr>
              <w:t xml:space="preserve"> details</w:t>
            </w:r>
            <w:r w:rsidR="001607DA" w:rsidRPr="001607DA">
              <w:rPr>
                <w:b/>
                <w:bCs/>
                <w:i/>
                <w:szCs w:val="22"/>
              </w:rPr>
              <w:t>:</w:t>
            </w:r>
          </w:p>
        </w:tc>
        <w:tc>
          <w:tcPr>
            <w:tcW w:w="3194" w:type="pct"/>
          </w:tcPr>
          <w:p w14:paraId="68DD94B0" w14:textId="43E8A602" w:rsidR="001607DA" w:rsidRPr="00BD5DBD" w:rsidRDefault="001607DA" w:rsidP="001607DA">
            <w:pPr>
              <w:rPr>
                <w:szCs w:val="22"/>
              </w:rPr>
            </w:pPr>
            <w:r w:rsidRPr="00E82CA6">
              <w:rPr>
                <w:szCs w:val="22"/>
              </w:rPr>
              <w:t>Bayer Australia Ltd</w:t>
            </w:r>
            <w:r>
              <w:rPr>
                <w:szCs w:val="22"/>
              </w:rPr>
              <w:t xml:space="preserve">, </w:t>
            </w:r>
            <w:r w:rsidRPr="00E82CA6">
              <w:rPr>
                <w:szCs w:val="22"/>
              </w:rPr>
              <w:t>875 Pacific Highway</w:t>
            </w:r>
            <w:r>
              <w:rPr>
                <w:szCs w:val="22"/>
              </w:rPr>
              <w:t xml:space="preserve">, </w:t>
            </w:r>
            <w:r w:rsidRPr="00E82CA6">
              <w:rPr>
                <w:szCs w:val="22"/>
              </w:rPr>
              <w:t>Pymble, NSW 2073</w:t>
            </w:r>
          </w:p>
        </w:tc>
      </w:tr>
      <w:tr w:rsidR="001607DA" w:rsidRPr="00BD5DBD" w14:paraId="5322B989" w14:textId="77777777" w:rsidTr="00ED44F8">
        <w:tc>
          <w:tcPr>
            <w:tcW w:w="1806" w:type="pct"/>
          </w:tcPr>
          <w:p w14:paraId="24F217E3" w14:textId="04ECD8A9" w:rsidR="001607DA" w:rsidRPr="001607DA" w:rsidRDefault="001607DA" w:rsidP="00ED44F8">
            <w:pPr>
              <w:rPr>
                <w:b/>
                <w:bCs/>
                <w:i/>
                <w:szCs w:val="22"/>
              </w:rPr>
            </w:pPr>
            <w:r w:rsidRPr="001607DA">
              <w:rPr>
                <w:b/>
                <w:bCs/>
                <w:i/>
                <w:szCs w:val="22"/>
              </w:rPr>
              <w:t>Dose form:</w:t>
            </w:r>
          </w:p>
        </w:tc>
        <w:tc>
          <w:tcPr>
            <w:tcW w:w="3194" w:type="pct"/>
          </w:tcPr>
          <w:p w14:paraId="768B254C" w14:textId="62C50293" w:rsidR="001607DA" w:rsidRPr="00BD5DBD" w:rsidRDefault="001607DA" w:rsidP="001607DA">
            <w:pPr>
              <w:rPr>
                <w:szCs w:val="22"/>
              </w:rPr>
            </w:pPr>
            <w:r>
              <w:rPr>
                <w:szCs w:val="22"/>
              </w:rPr>
              <w:t>F</w:t>
            </w:r>
            <w:r w:rsidRPr="00E82CA6">
              <w:rPr>
                <w:szCs w:val="22"/>
              </w:rPr>
              <w:t>ilm-coated tablet</w:t>
            </w:r>
          </w:p>
        </w:tc>
      </w:tr>
      <w:tr w:rsidR="001607DA" w:rsidRPr="00BD5DBD" w14:paraId="115243E6" w14:textId="77777777" w:rsidTr="00ED44F8">
        <w:tc>
          <w:tcPr>
            <w:tcW w:w="1806" w:type="pct"/>
          </w:tcPr>
          <w:p w14:paraId="7634B062" w14:textId="19270146" w:rsidR="001607DA" w:rsidRPr="001607DA" w:rsidRDefault="001607DA" w:rsidP="00ED44F8">
            <w:pPr>
              <w:rPr>
                <w:b/>
                <w:bCs/>
                <w:i/>
                <w:szCs w:val="22"/>
              </w:rPr>
            </w:pPr>
            <w:r w:rsidRPr="001607DA">
              <w:rPr>
                <w:b/>
                <w:bCs/>
                <w:i/>
                <w:szCs w:val="22"/>
              </w:rPr>
              <w:t>Strength:</w:t>
            </w:r>
          </w:p>
        </w:tc>
        <w:tc>
          <w:tcPr>
            <w:tcW w:w="3194" w:type="pct"/>
          </w:tcPr>
          <w:p w14:paraId="5E5F83DB" w14:textId="5897B381" w:rsidR="001607DA" w:rsidRPr="00BD5DBD" w:rsidRDefault="001607DA" w:rsidP="001607DA">
            <w:pPr>
              <w:rPr>
                <w:szCs w:val="22"/>
              </w:rPr>
            </w:pPr>
            <w:r w:rsidRPr="00E82CA6">
              <w:rPr>
                <w:szCs w:val="22"/>
              </w:rPr>
              <w:t xml:space="preserve">Each film-coated tablet contains 300 mg of </w:t>
            </w:r>
            <w:proofErr w:type="spellStart"/>
            <w:r w:rsidRPr="00E82CA6">
              <w:rPr>
                <w:szCs w:val="22"/>
              </w:rPr>
              <w:t>darolutamide</w:t>
            </w:r>
            <w:proofErr w:type="spellEnd"/>
          </w:p>
        </w:tc>
      </w:tr>
      <w:tr w:rsidR="001607DA" w:rsidRPr="00BD5DBD" w14:paraId="34B07BA6" w14:textId="77777777" w:rsidTr="00ED44F8">
        <w:tc>
          <w:tcPr>
            <w:tcW w:w="1806" w:type="pct"/>
          </w:tcPr>
          <w:p w14:paraId="1C039224" w14:textId="5167D49D" w:rsidR="001607DA" w:rsidRPr="001607DA" w:rsidRDefault="001607DA" w:rsidP="00ED44F8">
            <w:pPr>
              <w:rPr>
                <w:b/>
                <w:bCs/>
                <w:i/>
                <w:szCs w:val="22"/>
              </w:rPr>
            </w:pPr>
            <w:r w:rsidRPr="001607DA">
              <w:rPr>
                <w:b/>
                <w:bCs/>
                <w:i/>
                <w:szCs w:val="22"/>
              </w:rPr>
              <w:t>Container:</w:t>
            </w:r>
          </w:p>
        </w:tc>
        <w:tc>
          <w:tcPr>
            <w:tcW w:w="3194" w:type="pct"/>
          </w:tcPr>
          <w:p w14:paraId="66812B58" w14:textId="77777777" w:rsidR="001607DA" w:rsidRPr="00E82CA6" w:rsidRDefault="001607DA" w:rsidP="001607DA">
            <w:pPr>
              <w:rPr>
                <w:szCs w:val="22"/>
              </w:rPr>
            </w:pPr>
            <w:r w:rsidRPr="00E82CA6">
              <w:rPr>
                <w:szCs w:val="22"/>
              </w:rPr>
              <w:t>Blister: Each package contains 112 film coated tablets in PVC/Aluminium foil blisters (7 x 16).</w:t>
            </w:r>
          </w:p>
          <w:p w14:paraId="500A42C6" w14:textId="533CB17A" w:rsidR="001607DA" w:rsidRPr="00BD5DBD" w:rsidRDefault="001607DA" w:rsidP="001607DA">
            <w:pPr>
              <w:rPr>
                <w:szCs w:val="22"/>
              </w:rPr>
            </w:pPr>
            <w:r w:rsidRPr="00E82CA6">
              <w:rPr>
                <w:szCs w:val="22"/>
              </w:rPr>
              <w:t>Bottle: Each 120 mL PE white opaque bottle contains 120 tablets and closed with PP/PP white opaque seal PE child-resistant screw cap</w:t>
            </w:r>
          </w:p>
        </w:tc>
      </w:tr>
      <w:tr w:rsidR="001607DA" w:rsidRPr="00BD5DBD" w14:paraId="5AFDEED3" w14:textId="77777777" w:rsidTr="00ED44F8">
        <w:tc>
          <w:tcPr>
            <w:tcW w:w="1806" w:type="pct"/>
          </w:tcPr>
          <w:p w14:paraId="03884BD1" w14:textId="3A51F027" w:rsidR="001607DA" w:rsidRPr="001607DA" w:rsidRDefault="001607DA" w:rsidP="00ED44F8">
            <w:pPr>
              <w:rPr>
                <w:b/>
                <w:bCs/>
                <w:i/>
                <w:szCs w:val="22"/>
              </w:rPr>
            </w:pPr>
            <w:r w:rsidRPr="001607DA">
              <w:rPr>
                <w:b/>
                <w:bCs/>
                <w:i/>
                <w:szCs w:val="22"/>
              </w:rPr>
              <w:t>Route of administration:</w:t>
            </w:r>
          </w:p>
        </w:tc>
        <w:tc>
          <w:tcPr>
            <w:tcW w:w="3194" w:type="pct"/>
          </w:tcPr>
          <w:p w14:paraId="1ED1357E" w14:textId="4F6B9BE3" w:rsidR="001607DA" w:rsidRPr="00BD5DBD" w:rsidRDefault="001607DA" w:rsidP="001607DA">
            <w:pPr>
              <w:rPr>
                <w:szCs w:val="22"/>
              </w:rPr>
            </w:pPr>
            <w:r>
              <w:rPr>
                <w:szCs w:val="22"/>
              </w:rPr>
              <w:t>Oral</w:t>
            </w:r>
          </w:p>
        </w:tc>
      </w:tr>
      <w:tr w:rsidR="001607DA" w:rsidRPr="00BD5DBD" w14:paraId="70D7E9FA" w14:textId="77777777" w:rsidTr="00ED44F8">
        <w:tc>
          <w:tcPr>
            <w:tcW w:w="1806" w:type="pct"/>
          </w:tcPr>
          <w:p w14:paraId="5ABFFC80" w14:textId="77777777" w:rsidR="001607DA" w:rsidRPr="001607DA" w:rsidRDefault="001607DA" w:rsidP="00ED44F8">
            <w:pPr>
              <w:rPr>
                <w:b/>
                <w:bCs/>
                <w:i/>
                <w:szCs w:val="22"/>
              </w:rPr>
            </w:pPr>
            <w:r w:rsidRPr="001607DA">
              <w:rPr>
                <w:b/>
                <w:bCs/>
                <w:i/>
                <w:szCs w:val="22"/>
              </w:rPr>
              <w:t>Dosage:</w:t>
            </w:r>
          </w:p>
        </w:tc>
        <w:tc>
          <w:tcPr>
            <w:tcW w:w="3194" w:type="pct"/>
          </w:tcPr>
          <w:p w14:paraId="4BD4ECF7" w14:textId="6EDF51A0" w:rsidR="001607DA" w:rsidRDefault="001607DA" w:rsidP="001607DA">
            <w:pPr>
              <w:rPr>
                <w:szCs w:val="22"/>
              </w:rPr>
            </w:pPr>
            <w:r w:rsidRPr="00E82CA6">
              <w:rPr>
                <w:szCs w:val="22"/>
              </w:rPr>
              <w:t xml:space="preserve">The recommended dose is 600 mg (two film-coated tablets of 300 mg) </w:t>
            </w:r>
            <w:proofErr w:type="spellStart"/>
            <w:r w:rsidRPr="00E82CA6">
              <w:rPr>
                <w:szCs w:val="22"/>
              </w:rPr>
              <w:t>darolutamide</w:t>
            </w:r>
            <w:proofErr w:type="spellEnd"/>
            <w:r w:rsidRPr="00E82CA6">
              <w:rPr>
                <w:szCs w:val="22"/>
              </w:rPr>
              <w:t xml:space="preserve"> taken twice daily,</w:t>
            </w:r>
          </w:p>
          <w:p w14:paraId="3D0B2D5C" w14:textId="0FEFF162" w:rsidR="001607DA" w:rsidRPr="00BD5DBD" w:rsidRDefault="001607DA" w:rsidP="001607DA">
            <w:pPr>
              <w:rPr>
                <w:szCs w:val="22"/>
              </w:rPr>
            </w:pPr>
            <w:r w:rsidRPr="00BD5DBD">
              <w:rPr>
                <w:szCs w:val="22"/>
              </w:rPr>
              <w:t xml:space="preserve">For further information regarding dosage, </w:t>
            </w:r>
            <w:r>
              <w:rPr>
                <w:szCs w:val="22"/>
              </w:rPr>
              <w:t xml:space="preserve">such as dosage modifications to manage adverse reactions, </w:t>
            </w:r>
            <w:r w:rsidRPr="00BD5DBD">
              <w:rPr>
                <w:szCs w:val="22"/>
              </w:rPr>
              <w:t xml:space="preserve">refer to the </w:t>
            </w:r>
            <w:r>
              <w:rPr>
                <w:szCs w:val="22"/>
              </w:rPr>
              <w:t xml:space="preserve">Nubeqa </w:t>
            </w:r>
            <w:hyperlink r:id="rId16" w:history="1">
              <w:r>
                <w:rPr>
                  <w:rStyle w:val="Hyperlink"/>
                  <w:szCs w:val="22"/>
                </w:rPr>
                <w:t>Product Information</w:t>
              </w:r>
            </w:hyperlink>
            <w:r w:rsidRPr="00BD5DBD">
              <w:rPr>
                <w:szCs w:val="22"/>
              </w:rPr>
              <w:t>.</w:t>
            </w:r>
          </w:p>
        </w:tc>
      </w:tr>
      <w:tr w:rsidR="001607DA" w:rsidRPr="00BD5DBD" w14:paraId="7B7BB6AE" w14:textId="77777777" w:rsidTr="00ED44F8">
        <w:tc>
          <w:tcPr>
            <w:tcW w:w="1806" w:type="pct"/>
          </w:tcPr>
          <w:p w14:paraId="3A76AFF7" w14:textId="77777777" w:rsidR="001607DA" w:rsidRPr="001607DA" w:rsidRDefault="001607DA" w:rsidP="00ED44F8">
            <w:pPr>
              <w:rPr>
                <w:b/>
                <w:bCs/>
              </w:rPr>
            </w:pPr>
            <w:r w:rsidRPr="001607DA">
              <w:rPr>
                <w:b/>
                <w:bCs/>
                <w:i/>
                <w:szCs w:val="22"/>
              </w:rPr>
              <w:t>Pregnancy category:</w:t>
            </w:r>
          </w:p>
        </w:tc>
        <w:tc>
          <w:tcPr>
            <w:tcW w:w="3194" w:type="pct"/>
          </w:tcPr>
          <w:p w14:paraId="7AF9DA6D" w14:textId="2A0287B9" w:rsidR="001607DA" w:rsidRPr="007967C3" w:rsidRDefault="001607DA" w:rsidP="001607DA">
            <w:r w:rsidRPr="00C77DDB">
              <w:rPr>
                <w:b/>
                <w:bCs/>
              </w:rPr>
              <w:t>Category D</w:t>
            </w:r>
            <w:r>
              <w:t xml:space="preserve">: </w:t>
            </w:r>
            <w:r w:rsidRPr="00E82CA6">
              <w:t>Drugs which have caused, are suspected to have caused or may be expected to cause, an increased incidence of human fetal malformations or irreversible damage. These drugs may also have adverse pharmacological effects</w:t>
            </w:r>
          </w:p>
          <w:p w14:paraId="76497789" w14:textId="634DC28C" w:rsidR="001607DA" w:rsidRPr="00BD5DBD" w:rsidRDefault="001607DA" w:rsidP="001607DA">
            <w:pPr>
              <w:rPr>
                <w:szCs w:val="22"/>
              </w:rPr>
            </w:pPr>
            <w:r w:rsidRPr="00BD5DBD">
              <w:rPr>
                <w:szCs w:val="22"/>
              </w:rPr>
              <w:t xml:space="preserve">The use of any medicine during pregnancy requires careful consideration of both risks and benefits by the treating health professional. </w:t>
            </w:r>
            <w:r>
              <w:rPr>
                <w:szCs w:val="22"/>
              </w:rPr>
              <w:t xml:space="preserve">The </w:t>
            </w:r>
            <w:hyperlink r:id="rId17" w:history="1">
              <w:r w:rsidRPr="00065FDF">
                <w:rPr>
                  <w:rStyle w:val="Hyperlink"/>
                  <w:szCs w:val="22"/>
                </w:rPr>
                <w:t>pregnancy database</w:t>
              </w:r>
            </w:hyperlink>
            <w:r>
              <w:t xml:space="preserve"> </w:t>
            </w:r>
            <w:r w:rsidRPr="00BD5DBD">
              <w:rPr>
                <w:szCs w:val="22"/>
              </w:rPr>
              <w:t xml:space="preserve">must not be used as the sole basis of decision making in the use of medicines during pregnancy. The TGA does not provide advice on the use of medicines in pregnancy for specific cases. More information is available from </w:t>
            </w:r>
            <w:hyperlink r:id="rId18" w:history="1">
              <w:r w:rsidRPr="00C059D0">
                <w:rPr>
                  <w:rStyle w:val="Hyperlink"/>
                  <w:szCs w:val="22"/>
                </w:rPr>
                <w:t>obstetric drug information services</w:t>
              </w:r>
            </w:hyperlink>
            <w:r w:rsidRPr="00BD5DBD">
              <w:rPr>
                <w:szCs w:val="22"/>
              </w:rPr>
              <w:t xml:space="preserve"> in your </w:t>
            </w:r>
            <w:r>
              <w:rPr>
                <w:szCs w:val="22"/>
              </w:rPr>
              <w:t>s</w:t>
            </w:r>
            <w:r w:rsidRPr="00BD5DBD">
              <w:rPr>
                <w:szCs w:val="22"/>
              </w:rPr>
              <w:t xml:space="preserve">tate or </w:t>
            </w:r>
            <w:r>
              <w:rPr>
                <w:szCs w:val="22"/>
              </w:rPr>
              <w:t>t</w:t>
            </w:r>
            <w:r w:rsidRPr="00BD5DBD">
              <w:rPr>
                <w:szCs w:val="22"/>
              </w:rPr>
              <w:t>erritory.</w:t>
            </w:r>
          </w:p>
        </w:tc>
      </w:tr>
    </w:tbl>
    <w:p w14:paraId="51F2479F" w14:textId="06305630" w:rsidR="00324B33" w:rsidRDefault="00BA7CAB" w:rsidP="00324B33">
      <w:pPr>
        <w:pStyle w:val="Heading3"/>
      </w:pPr>
      <w:bookmarkStart w:id="9" w:name="_Hlk175466348"/>
      <w:bookmarkStart w:id="10" w:name="_Toc179287282"/>
      <w:r w:rsidRPr="00BA7CAB">
        <w:t xml:space="preserve">Nubeqa </w:t>
      </w:r>
      <w:r w:rsidR="00D9340C" w:rsidRPr="00D9340C">
        <w:t>(</w:t>
      </w:r>
      <w:proofErr w:type="spellStart"/>
      <w:r w:rsidRPr="00BA7CAB">
        <w:t>darolutamide</w:t>
      </w:r>
      <w:proofErr w:type="spellEnd"/>
      <w:r w:rsidR="00D9340C" w:rsidRPr="00D9340C">
        <w:t>)</w:t>
      </w:r>
      <w:r w:rsidR="001607DA">
        <w:t xml:space="preserve"> – proposed indications</w:t>
      </w:r>
      <w:bookmarkEnd w:id="10"/>
    </w:p>
    <w:p w14:paraId="1DB110EA" w14:textId="6D740AEB" w:rsidR="00AD03CD" w:rsidRPr="00AD03CD" w:rsidRDefault="00AD03CD" w:rsidP="00AD03CD">
      <w:r>
        <w:t>Darolutamide is a non-steroidal androgen receptor inhibitor (ARI) for the treatment of patients with prostate cancer.</w:t>
      </w:r>
    </w:p>
    <w:bookmarkEnd w:id="9"/>
    <w:p w14:paraId="59BF31D1" w14:textId="729BF39D" w:rsidR="001500A8" w:rsidRPr="00065839" w:rsidRDefault="00324B33" w:rsidP="00065839">
      <w:r w:rsidRPr="00065839">
        <w:t xml:space="preserve">This AusPAR describes the submission by </w:t>
      </w:r>
      <w:r w:rsidR="00BA7CAB" w:rsidRPr="00BA7CAB">
        <w:t>Bayer Australia Ltd</w:t>
      </w:r>
      <w:r w:rsidRPr="00065839">
        <w:t xml:space="preserve"> (the </w:t>
      </w:r>
      <w:r w:rsidR="008A7024">
        <w:t>Sponsor</w:t>
      </w:r>
      <w:r w:rsidRPr="00065839">
        <w:t xml:space="preserve">) to register </w:t>
      </w:r>
      <w:r w:rsidR="00BA7CAB" w:rsidRPr="00BA7CAB">
        <w:t>Nubeqa (</w:t>
      </w:r>
      <w:proofErr w:type="spellStart"/>
      <w:r w:rsidR="00BA7CAB" w:rsidRPr="00BA7CAB">
        <w:t>darolutamide</w:t>
      </w:r>
      <w:proofErr w:type="spellEnd"/>
      <w:r w:rsidR="00BA7CAB" w:rsidRPr="00BA7CAB">
        <w:t>)</w:t>
      </w:r>
      <w:r w:rsidRPr="00065839">
        <w:t xml:space="preserve"> for the following proposed indication:</w:t>
      </w:r>
    </w:p>
    <w:p w14:paraId="23D8ED73" w14:textId="701C3F18" w:rsidR="00324B33" w:rsidRPr="001D111E" w:rsidRDefault="00BA7CAB" w:rsidP="008A7024">
      <w:pPr>
        <w:pStyle w:val="Indication"/>
      </w:pPr>
      <w:r w:rsidRPr="00BA7CAB">
        <w:t>Nubeqa is indicated for the treatment of patients with metastatic hormone-sensitive prostate cancer (</w:t>
      </w:r>
      <w:proofErr w:type="spellStart"/>
      <w:r w:rsidRPr="00BA7CAB">
        <w:t>mHSPC</w:t>
      </w:r>
      <w:proofErr w:type="spellEnd"/>
      <w:r w:rsidRPr="00BA7CAB">
        <w:t>) in combination with docetaxel</w:t>
      </w:r>
      <w:r w:rsidR="00324B33" w:rsidRPr="001D111E">
        <w:t>.</w:t>
      </w:r>
    </w:p>
    <w:p w14:paraId="1E63A2AE" w14:textId="0318D439" w:rsidR="00CB6813" w:rsidRDefault="00404710" w:rsidP="009E3553">
      <w:pPr>
        <w:pStyle w:val="Heading3"/>
      </w:pPr>
      <w:bookmarkStart w:id="11" w:name="_Toc314842485"/>
      <w:bookmarkStart w:id="12" w:name="_Toc247691504"/>
      <w:bookmarkStart w:id="13" w:name="_Toc179287283"/>
      <w:r w:rsidRPr="00404710">
        <w:t>Metastatic hormone sensitive prostate cancer (</w:t>
      </w:r>
      <w:proofErr w:type="spellStart"/>
      <w:r>
        <w:t>m</w:t>
      </w:r>
      <w:r w:rsidRPr="00404710">
        <w:t>HSPC</w:t>
      </w:r>
      <w:proofErr w:type="spellEnd"/>
      <w:r w:rsidRPr="00404710">
        <w:t>)</w:t>
      </w:r>
      <w:bookmarkEnd w:id="13"/>
    </w:p>
    <w:p w14:paraId="2188DC07" w14:textId="6DEB8A4B" w:rsidR="00404710" w:rsidRDefault="00404710" w:rsidP="00404710">
      <w:r>
        <w:t>Prostate cancer is the second most frequent cancer diagnosed in men, and the fifth leading</w:t>
      </w:r>
      <w:r w:rsidR="00BA1E65">
        <w:t xml:space="preserve"> </w:t>
      </w:r>
      <w:r>
        <w:t>cause of death in the world. Based on Global Cancer Observatory (GLOBOCAN) 2020</w:t>
      </w:r>
      <w:r w:rsidR="00BA1E65">
        <w:t xml:space="preserve"> </w:t>
      </w:r>
      <w:r>
        <w:t>estimates</w:t>
      </w:r>
      <w:r w:rsidR="003A5CCE">
        <w:rPr>
          <w:rStyle w:val="FootnoteReference"/>
        </w:rPr>
        <w:footnoteReference w:id="1"/>
      </w:r>
      <w:r>
        <w:t>, 1,414,259 new cases of prostate cancer were reported worldwide, with higher</w:t>
      </w:r>
      <w:r w:rsidR="00BA1E65">
        <w:t xml:space="preserve"> </w:t>
      </w:r>
      <w:r>
        <w:t>prevalence in developed countries.  In Australia, the estimated number of new cases of prostate cancer diagnosed in 2022 is 24,217 and this is 27% of all new male cancers. Prostate cancer is estimated to account for 13% of all male deaths from cancer in 2022</w:t>
      </w:r>
      <w:r w:rsidR="00E20BA5">
        <w:rPr>
          <w:rStyle w:val="FootnoteReference"/>
        </w:rPr>
        <w:footnoteReference w:id="2"/>
      </w:r>
      <w:r>
        <w:t>. For patients with locali</w:t>
      </w:r>
      <w:r w:rsidR="00E10645">
        <w:t>s</w:t>
      </w:r>
      <w:r>
        <w:t>ed prostate cancer, the survival rate at 5 years is almost 100%. However, for patients with metastatic prostate cancer (</w:t>
      </w:r>
      <w:proofErr w:type="spellStart"/>
      <w:r>
        <w:t>mPC</w:t>
      </w:r>
      <w:proofErr w:type="spellEnd"/>
      <w:r>
        <w:t>) in which the prostate cancer has spread to distant parts of the body (lymph nodes, bones, other organs), the survival rate at 5 years is only about 30% (NCI 2021)</w:t>
      </w:r>
      <w:r w:rsidR="003B489D">
        <w:rPr>
          <w:rStyle w:val="FootnoteReference"/>
        </w:rPr>
        <w:footnoteReference w:id="3"/>
      </w:r>
      <w:r>
        <w:t xml:space="preserve">. There is a need to improve the overall survival (OS) in patients with </w:t>
      </w:r>
      <w:proofErr w:type="spellStart"/>
      <w:r>
        <w:t>mPC</w:t>
      </w:r>
      <w:proofErr w:type="spellEnd"/>
      <w:r>
        <w:t>.</w:t>
      </w:r>
    </w:p>
    <w:p w14:paraId="7C281097" w14:textId="5DBE815C" w:rsidR="00404710" w:rsidRDefault="00404710" w:rsidP="00404710">
      <w:r>
        <w:t>Metastatic hormone sensitive prostate cancer (</w:t>
      </w:r>
      <w:proofErr w:type="spellStart"/>
      <w:r w:rsidR="006C61A0">
        <w:t>m</w:t>
      </w:r>
      <w:r>
        <w:t>HSPC</w:t>
      </w:r>
      <w:proofErr w:type="spellEnd"/>
      <w:r>
        <w:t>), also known as metastatic castration-sensitive prostate cancer (</w:t>
      </w:r>
      <w:proofErr w:type="spellStart"/>
      <w:r>
        <w:t>mCSPC</w:t>
      </w:r>
      <w:proofErr w:type="spellEnd"/>
      <w:r>
        <w:t xml:space="preserve">), is defined as metastatic prostate cancer in patients who have not yet received or are continuing to respond to anti-hormonal therapy. Depriving prostate cancer cells of androgen is the primary form of therapy since prostate cancer depends on androgen for growth and survival. </w:t>
      </w:r>
    </w:p>
    <w:p w14:paraId="3DACFAE8" w14:textId="348E8736" w:rsidR="00404710" w:rsidRDefault="00404710" w:rsidP="00404710">
      <w:r>
        <w:t>Androgen deprivation therapy (ADT) can be achieved with surgical castration by bilateral orchiectomy or medical castration with</w:t>
      </w:r>
      <w:r w:rsidR="00866741" w:rsidRPr="00866741">
        <w:t xml:space="preserve"> </w:t>
      </w:r>
      <w:r w:rsidR="00866741">
        <w:t>l</w:t>
      </w:r>
      <w:r w:rsidR="00866741" w:rsidRPr="00866741">
        <w:t>uteinizing hormone-releasing hormone</w:t>
      </w:r>
      <w:r>
        <w:t xml:space="preserve"> </w:t>
      </w:r>
      <w:r w:rsidR="00F50E1E" w:rsidRPr="00F50E1E">
        <w:t>(LHRH)</w:t>
      </w:r>
      <w:r w:rsidR="00F50E1E">
        <w:t xml:space="preserve"> </w:t>
      </w:r>
      <w:r>
        <w:t xml:space="preserve">agonist/antagonists. Metastatic HSPC can occur due to recurrence after initial local treatment with surgery and/or radiotherapy, or as </w:t>
      </w:r>
      <w:r w:rsidRPr="00866741">
        <w:rPr>
          <w:i/>
          <w:iCs/>
        </w:rPr>
        <w:t>de novo</w:t>
      </w:r>
      <w:r>
        <w:t xml:space="preserve"> disease in patients whose first diagnosis of prostate cancer is metastatic disease. Based on European country-specific registries, approximately 6% to 30% of newly diagnosed prostate cancers are metastatic hormone sensitive prostate cancer (</w:t>
      </w:r>
      <w:proofErr w:type="spellStart"/>
      <w:r>
        <w:t>mHSPC</w:t>
      </w:r>
      <w:proofErr w:type="spellEnd"/>
      <w:r>
        <w:t xml:space="preserve">). Although almost all men with </w:t>
      </w:r>
      <w:proofErr w:type="spellStart"/>
      <w:r>
        <w:t>mHSPC</w:t>
      </w:r>
      <w:proofErr w:type="spellEnd"/>
      <w:r>
        <w:t xml:space="preserve"> initially respond to ADT, most will progress to </w:t>
      </w:r>
      <w:proofErr w:type="spellStart"/>
      <w:r>
        <w:t>mCRPC</w:t>
      </w:r>
      <w:proofErr w:type="spellEnd"/>
      <w:r>
        <w:t xml:space="preserve"> (metastatic castration resistant prostate cancer) within 1 to 3 years of their initial diagnosis</w:t>
      </w:r>
      <w:r w:rsidR="00E823D9">
        <w:rPr>
          <w:rStyle w:val="FootnoteReference"/>
        </w:rPr>
        <w:footnoteReference w:id="4"/>
      </w:r>
      <w:r>
        <w:t xml:space="preserve">. </w:t>
      </w:r>
    </w:p>
    <w:p w14:paraId="62DB1C78" w14:textId="73B2E31D" w:rsidR="00404710" w:rsidRPr="00404710" w:rsidRDefault="00404710" w:rsidP="00404710">
      <w:proofErr w:type="spellStart"/>
      <w:r>
        <w:t>mCRPC</w:t>
      </w:r>
      <w:proofErr w:type="spellEnd"/>
      <w:r>
        <w:t xml:space="preserve"> is associated with high morbidity and high mortality.</w:t>
      </w:r>
    </w:p>
    <w:p w14:paraId="255E083A" w14:textId="799D691F" w:rsidR="00CB6813" w:rsidRDefault="00CB6813" w:rsidP="009E3553">
      <w:pPr>
        <w:pStyle w:val="Heading3"/>
      </w:pPr>
      <w:bookmarkStart w:id="14" w:name="_Toc179287284"/>
      <w:r>
        <w:t>Current treatment options</w:t>
      </w:r>
      <w:r w:rsidR="00404710">
        <w:t xml:space="preserve"> for </w:t>
      </w:r>
      <w:proofErr w:type="spellStart"/>
      <w:r w:rsidR="00404710">
        <w:t>mHSPC</w:t>
      </w:r>
      <w:bookmarkEnd w:id="14"/>
      <w:proofErr w:type="spellEnd"/>
    </w:p>
    <w:p w14:paraId="3825E96C" w14:textId="485FD966" w:rsidR="00404710" w:rsidRDefault="00404710" w:rsidP="00404710">
      <w:r>
        <w:t>ADT is an integral component in the therapeutic pathways for castration sensitive metastatic prostate cancer. ADT can be achieved by surgical castration or medical castration using gonadotropin-releasing hormone</w:t>
      </w:r>
      <w:r w:rsidR="00D75131">
        <w:t xml:space="preserve"> </w:t>
      </w:r>
      <w:r>
        <w:t>agonists or antagonists.</w:t>
      </w:r>
    </w:p>
    <w:p w14:paraId="217899B2" w14:textId="0D54A40A" w:rsidR="00404710" w:rsidRDefault="00404710" w:rsidP="00404710">
      <w:r>
        <w:t xml:space="preserve">Current treatment options in Australia for </w:t>
      </w:r>
      <w:proofErr w:type="spellStart"/>
      <w:r>
        <w:t>m</w:t>
      </w:r>
      <w:r w:rsidR="005215CF">
        <w:t>H</w:t>
      </w:r>
      <w:r>
        <w:t>SPC</w:t>
      </w:r>
      <w:proofErr w:type="spellEnd"/>
      <w:r>
        <w:t xml:space="preserve"> include the following</w:t>
      </w:r>
      <w:r w:rsidR="00CA3C9D">
        <w:rPr>
          <w:rStyle w:val="FootnoteReference"/>
        </w:rPr>
        <w:footnoteReference w:id="5"/>
      </w:r>
      <w:r>
        <w:t xml:space="preserve">: apalutamide, enzalutamide, </w:t>
      </w:r>
      <w:proofErr w:type="spellStart"/>
      <w:r>
        <w:t>degarelix</w:t>
      </w:r>
      <w:proofErr w:type="spellEnd"/>
      <w:r>
        <w:t xml:space="preserve">, abiraterone + prednisolone, docetaxel, cyproterone, </w:t>
      </w:r>
      <w:proofErr w:type="spellStart"/>
      <w:r>
        <w:t>goserlin</w:t>
      </w:r>
      <w:proofErr w:type="spellEnd"/>
      <w:r>
        <w:t>, leuprorelin</w:t>
      </w:r>
      <w:r w:rsidR="00CA3C9D">
        <w:t xml:space="preserve"> and</w:t>
      </w:r>
      <w:r>
        <w:t xml:space="preserve"> triptorelin</w:t>
      </w:r>
      <w:r w:rsidR="00CA3C9D">
        <w:t xml:space="preserve">. </w:t>
      </w:r>
    </w:p>
    <w:p w14:paraId="47BB7B15" w14:textId="4139ED88" w:rsidR="00404710" w:rsidRDefault="00404710" w:rsidP="00404710">
      <w:r>
        <w:t>Additional effective systemic therapies can be used in combination with ADT for initial therapy in patients with more advanced disease</w:t>
      </w:r>
      <w:r w:rsidR="00AD74A2">
        <w:rPr>
          <w:rStyle w:val="FootnoteReference"/>
        </w:rPr>
        <w:footnoteReference w:id="6"/>
      </w:r>
      <w:r>
        <w:t>:</w:t>
      </w:r>
    </w:p>
    <w:p w14:paraId="7E6DB163" w14:textId="78068F45" w:rsidR="00404710" w:rsidRDefault="00404710" w:rsidP="0008560A">
      <w:pPr>
        <w:pStyle w:val="ListBullet"/>
      </w:pPr>
      <w:r>
        <w:t xml:space="preserve">Abiraterone/prednisone plus ADT: abiraterone blocks the intracellular conversion of androgen precursors in the testes, adrenal glands, and prostate tumour tissue. This combination in </w:t>
      </w:r>
      <w:proofErr w:type="gramStart"/>
      <w:r>
        <w:t>high risk</w:t>
      </w:r>
      <w:proofErr w:type="gramEnd"/>
      <w:r>
        <w:t xml:space="preserve"> patients prolongs OS compared to ADT alone.</w:t>
      </w:r>
    </w:p>
    <w:p w14:paraId="513B1E39" w14:textId="52CCEC9B" w:rsidR="00404710" w:rsidRDefault="00404710" w:rsidP="0008560A">
      <w:pPr>
        <w:pStyle w:val="ListBullet"/>
      </w:pPr>
      <w:r>
        <w:t xml:space="preserve">Enzalutamide (or apalutamide) plus ADT: These drugs bind to the androgen binding site in the androgen receptor and function as androgen receptor inhibitors. </w:t>
      </w:r>
    </w:p>
    <w:p w14:paraId="16BD4B7B" w14:textId="7F2BEF8B" w:rsidR="00404710" w:rsidRDefault="00404710" w:rsidP="0008560A">
      <w:pPr>
        <w:pStyle w:val="ListBullet"/>
      </w:pPr>
      <w:r>
        <w:t>Docetaxel plus ADT: This combination has been shown to improve survival in patients with high volume disease.</w:t>
      </w:r>
    </w:p>
    <w:p w14:paraId="37C47E09" w14:textId="70E7CB9E" w:rsidR="00CB6813" w:rsidRDefault="00CB6813" w:rsidP="009E3553">
      <w:pPr>
        <w:pStyle w:val="Heading3"/>
      </w:pPr>
      <w:bookmarkStart w:id="15" w:name="_Toc179287285"/>
      <w:r>
        <w:t>C</w:t>
      </w:r>
      <w:r w:rsidRPr="00DE1344">
        <w:t>linical rational</w:t>
      </w:r>
      <w:r w:rsidR="0025785B">
        <w:t>e</w:t>
      </w:r>
      <w:r w:rsidR="0084781B">
        <w:t xml:space="preserve"> for Nubeqa use in </w:t>
      </w:r>
      <w:proofErr w:type="spellStart"/>
      <w:r w:rsidR="0084781B" w:rsidRPr="0084781B">
        <w:t>mHSPC</w:t>
      </w:r>
      <w:bookmarkEnd w:id="15"/>
      <w:proofErr w:type="spellEnd"/>
    </w:p>
    <w:p w14:paraId="73FAAC9E" w14:textId="67E99FFD" w:rsidR="00F306A1" w:rsidRPr="00F306A1" w:rsidRDefault="00CE78B7" w:rsidP="00F306A1">
      <w:r>
        <w:t xml:space="preserve">Darolutamide binds with a high affinity and selectivity to the </w:t>
      </w:r>
      <w:r w:rsidR="00D93C26">
        <w:t>androgen receptor (</w:t>
      </w:r>
      <w:r>
        <w:t>AR</w:t>
      </w:r>
      <w:r w:rsidR="00D93C26">
        <w:t>)</w:t>
      </w:r>
      <w:r>
        <w:t>, thus inhibiting androgen binding, AR nuclear translocation and AR mediated transcription, thus preventing transcription of oncologic genes necessary for cancer growth and survival</w:t>
      </w:r>
      <w:r w:rsidR="007204A4">
        <w:rPr>
          <w:rStyle w:val="FootnoteReference"/>
        </w:rPr>
        <w:footnoteReference w:id="7"/>
      </w:r>
      <w:r>
        <w:t>.</w:t>
      </w:r>
      <w:r w:rsidR="00007991">
        <w:t xml:space="preserve"> </w:t>
      </w:r>
      <w:r w:rsidR="00F306A1" w:rsidRPr="00F306A1">
        <w:t xml:space="preserve">The addition of </w:t>
      </w:r>
      <w:proofErr w:type="spellStart"/>
      <w:r w:rsidR="00F306A1" w:rsidRPr="00F306A1">
        <w:t>darolutamide</w:t>
      </w:r>
      <w:proofErr w:type="spellEnd"/>
      <w:r w:rsidR="00F306A1" w:rsidRPr="00F306A1">
        <w:t xml:space="preserve"> to docetaxel chemotherapy and ADT was expected to provide greater benefit than docetaxel and ADT alone. The goal of this combination treatment for </w:t>
      </w:r>
      <w:proofErr w:type="spellStart"/>
      <w:r w:rsidR="00F306A1" w:rsidRPr="00F306A1">
        <w:t>mHSPC</w:t>
      </w:r>
      <w:proofErr w:type="spellEnd"/>
      <w:r w:rsidR="00F306A1" w:rsidRPr="00F306A1">
        <w:t xml:space="preserve"> was to extend OS and delay progression to </w:t>
      </w:r>
      <w:proofErr w:type="spellStart"/>
      <w:r w:rsidR="00F306A1" w:rsidRPr="00F306A1">
        <w:t>mCRPC</w:t>
      </w:r>
      <w:proofErr w:type="spellEnd"/>
      <w:r w:rsidR="00F306A1" w:rsidRPr="00F306A1">
        <w:t xml:space="preserve">, compared with the current standard of care. A more efficacious treatment was expected with the combination of </w:t>
      </w:r>
      <w:proofErr w:type="spellStart"/>
      <w:r w:rsidR="00F306A1" w:rsidRPr="00F306A1">
        <w:t>darolutamide</w:t>
      </w:r>
      <w:proofErr w:type="spellEnd"/>
      <w:r w:rsidR="00F306A1" w:rsidRPr="00F306A1">
        <w:t xml:space="preserve">, docetaxel, and ADT due to the complementary mechanisms of action of the component drugs. Docetaxel is said to target the androgen-insensitive compartment of the tumour, thus potentially addressing tumour heterogeneity. The AR axis is targeted centrally with ADT, and by adding </w:t>
      </w:r>
      <w:proofErr w:type="spellStart"/>
      <w:r w:rsidR="00F306A1" w:rsidRPr="00F306A1">
        <w:t>darolutamide</w:t>
      </w:r>
      <w:proofErr w:type="spellEnd"/>
      <w:r w:rsidR="00F306A1" w:rsidRPr="00F306A1">
        <w:t>, blockade of the AR axis is further enhanced.</w:t>
      </w:r>
    </w:p>
    <w:p w14:paraId="504E84F9" w14:textId="79EC3F70" w:rsidR="00CE78B7" w:rsidRPr="00CE78B7" w:rsidRDefault="00007991" w:rsidP="00665B1D">
      <w:r>
        <w:t xml:space="preserve">In contrast to other ARIs, </w:t>
      </w:r>
      <w:proofErr w:type="spellStart"/>
      <w:r>
        <w:t>darolutamide</w:t>
      </w:r>
      <w:proofErr w:type="spellEnd"/>
      <w:r>
        <w:t xml:space="preserve"> showed low blood-brain barrier penetration in preclinical and human studies, which may be associated with a low potential for central nervous system adverse effects</w:t>
      </w:r>
      <w:r w:rsidR="000C6577" w:rsidRPr="00EA0CE8">
        <w:rPr>
          <w:rStyle w:val="FootnoteReference"/>
        </w:rPr>
        <w:footnoteReference w:id="8"/>
      </w:r>
      <w:r w:rsidR="000C6577" w:rsidRPr="00EA0CE8">
        <w:rPr>
          <w:vertAlign w:val="superscript"/>
        </w:rPr>
        <w:t>,</w:t>
      </w:r>
      <w:r w:rsidR="005F4DAA" w:rsidRPr="00EA0CE8">
        <w:rPr>
          <w:rStyle w:val="FootnoteReference"/>
        </w:rPr>
        <w:footnoteReference w:id="9"/>
      </w:r>
      <w:r w:rsidR="005F4DAA" w:rsidRPr="00EA0CE8">
        <w:rPr>
          <w:vertAlign w:val="superscript"/>
        </w:rPr>
        <w:t>,</w:t>
      </w:r>
      <w:r w:rsidR="00EA0CE8" w:rsidRPr="00EA0CE8">
        <w:rPr>
          <w:rStyle w:val="FootnoteReference"/>
        </w:rPr>
        <w:footnoteReference w:id="10"/>
      </w:r>
      <w:r w:rsidR="00EA0CE8">
        <w:t>.</w:t>
      </w:r>
      <w:r>
        <w:t xml:space="preserve"> In addition, </w:t>
      </w:r>
      <w:proofErr w:type="spellStart"/>
      <w:r>
        <w:t>darolutamide</w:t>
      </w:r>
      <w:proofErr w:type="spellEnd"/>
      <w:r>
        <w:t xml:space="preserve"> is not a potent </w:t>
      </w:r>
      <w:r w:rsidR="001769BB">
        <w:t xml:space="preserve">enzyme </w:t>
      </w:r>
      <w:r>
        <w:t>e inducer and has a low potential for drug-drug interactions (DDIs) with medications commonly used to treat comorbidities in an elderly patient population, such as calcium channel blockers, and anticoagulants</w:t>
      </w:r>
      <w:r w:rsidR="00AD39E5">
        <w:rPr>
          <w:rStyle w:val="FootnoteReference"/>
        </w:rPr>
        <w:footnoteReference w:id="11"/>
      </w:r>
      <w:r>
        <w:t>.</w:t>
      </w:r>
      <w:r w:rsidR="00665B1D">
        <w:t xml:space="preserve"> Therefore, </w:t>
      </w:r>
      <w:proofErr w:type="spellStart"/>
      <w:r w:rsidR="00665B1D" w:rsidRPr="00665B1D">
        <w:t>darolutamide</w:t>
      </w:r>
      <w:proofErr w:type="spellEnd"/>
      <w:r w:rsidR="00665B1D" w:rsidRPr="00665B1D">
        <w:t xml:space="preserve"> </w:t>
      </w:r>
      <w:r w:rsidR="00665B1D">
        <w:t xml:space="preserve">may offer a new treatment strategy that expands upon currently approved therapies without adding to the burden of </w:t>
      </w:r>
      <w:r w:rsidR="007E1479">
        <w:t>adverse events (</w:t>
      </w:r>
      <w:r w:rsidR="00665B1D">
        <w:t>AEs</w:t>
      </w:r>
      <w:r w:rsidR="007E1479">
        <w:t>)</w:t>
      </w:r>
      <w:r w:rsidR="00665B1D">
        <w:t xml:space="preserve">. </w:t>
      </w:r>
    </w:p>
    <w:p w14:paraId="0D615854" w14:textId="77777777" w:rsidR="00324B33" w:rsidRPr="003F31A2" w:rsidRDefault="00324B33" w:rsidP="00C93E65">
      <w:pPr>
        <w:pStyle w:val="Heading3"/>
      </w:pPr>
      <w:bookmarkStart w:id="16" w:name="_Toc103679291"/>
      <w:bookmarkStart w:id="17" w:name="_Toc179287286"/>
      <w:r>
        <w:t>Regulatory status</w:t>
      </w:r>
      <w:bookmarkEnd w:id="11"/>
      <w:bookmarkEnd w:id="12"/>
      <w:bookmarkEnd w:id="16"/>
      <w:bookmarkEnd w:id="17"/>
    </w:p>
    <w:p w14:paraId="72C889D6" w14:textId="7E200950" w:rsidR="0017005C" w:rsidRPr="00BD5DBD" w:rsidRDefault="0017005C" w:rsidP="00741AB9">
      <w:pPr>
        <w:pStyle w:val="Heading4"/>
      </w:pPr>
      <w:bookmarkStart w:id="18" w:name="_Toc179287287"/>
      <w:r w:rsidRPr="00BD5DBD">
        <w:t>Australian regulatory</w:t>
      </w:r>
      <w:r>
        <w:t xml:space="preserve"> sta</w:t>
      </w:r>
      <w:r w:rsidR="0025785B">
        <w:t>t</w:t>
      </w:r>
      <w:r>
        <w:t>us</w:t>
      </w:r>
      <w:bookmarkEnd w:id="18"/>
    </w:p>
    <w:p w14:paraId="71BF29A3" w14:textId="6BD1587F" w:rsidR="00CF6A55" w:rsidRDefault="00CF6A55" w:rsidP="00CF6A55">
      <w:pPr>
        <w:rPr>
          <w:szCs w:val="22"/>
        </w:rPr>
      </w:pPr>
      <w:r w:rsidRPr="00BD5DBD">
        <w:rPr>
          <w:szCs w:val="22"/>
        </w:rPr>
        <w:t xml:space="preserve">The product received initial registration </w:t>
      </w:r>
      <w:r>
        <w:rPr>
          <w:szCs w:val="22"/>
        </w:rPr>
        <w:t>in</w:t>
      </w:r>
      <w:r w:rsidRPr="00BD5DBD">
        <w:rPr>
          <w:szCs w:val="22"/>
        </w:rPr>
        <w:t xml:space="preserve"> the </w:t>
      </w:r>
      <w:hyperlink r:id="rId19" w:history="1">
        <w:r w:rsidRPr="00BD5DBD">
          <w:rPr>
            <w:rStyle w:val="Hyperlink"/>
            <w:szCs w:val="22"/>
          </w:rPr>
          <w:t>Australian Register of Therapeutic Goods</w:t>
        </w:r>
      </w:hyperlink>
      <w:r w:rsidRPr="00BD5DBD">
        <w:rPr>
          <w:szCs w:val="22"/>
        </w:rPr>
        <w:t xml:space="preserve"> (</w:t>
      </w:r>
      <w:hyperlink r:id="rId20" w:history="1">
        <w:r w:rsidRPr="00BD5DBD">
          <w:rPr>
            <w:rStyle w:val="Hyperlink"/>
            <w:szCs w:val="22"/>
          </w:rPr>
          <w:t>ARTG</w:t>
        </w:r>
      </w:hyperlink>
      <w:r w:rsidRPr="00BD5DBD">
        <w:rPr>
          <w:szCs w:val="22"/>
        </w:rPr>
        <w:t>) on</w:t>
      </w:r>
      <w:r w:rsidR="00404710">
        <w:rPr>
          <w:szCs w:val="22"/>
        </w:rPr>
        <w:t xml:space="preserve"> </w:t>
      </w:r>
      <w:r w:rsidR="00404710" w:rsidRPr="00404710">
        <w:rPr>
          <w:szCs w:val="22"/>
        </w:rPr>
        <w:t>26 Feb</w:t>
      </w:r>
      <w:r w:rsidR="00404710">
        <w:rPr>
          <w:szCs w:val="22"/>
        </w:rPr>
        <w:t>ruary</w:t>
      </w:r>
      <w:r w:rsidR="00404710" w:rsidRPr="00404710">
        <w:rPr>
          <w:szCs w:val="22"/>
        </w:rPr>
        <w:t xml:space="preserve"> 2020</w:t>
      </w:r>
      <w:r>
        <w:rPr>
          <w:szCs w:val="22"/>
        </w:rPr>
        <w:t>.</w:t>
      </w:r>
      <w:r w:rsidRPr="00BD5DBD">
        <w:rPr>
          <w:szCs w:val="22"/>
        </w:rPr>
        <w:t xml:space="preserve"> </w:t>
      </w:r>
      <w:r>
        <w:rPr>
          <w:szCs w:val="22"/>
        </w:rPr>
        <w:t>I</w:t>
      </w:r>
      <w:r w:rsidRPr="00BD5DBD">
        <w:rPr>
          <w:szCs w:val="22"/>
        </w:rPr>
        <w:t>t was approved for the following indications:</w:t>
      </w:r>
    </w:p>
    <w:p w14:paraId="3DFC8EA0" w14:textId="436339CE" w:rsidR="00404710" w:rsidRPr="00404710" w:rsidRDefault="00404710" w:rsidP="00404710">
      <w:pPr>
        <w:ind w:left="720"/>
        <w:rPr>
          <w:i/>
          <w:iCs/>
          <w:szCs w:val="22"/>
        </w:rPr>
      </w:pPr>
      <w:r w:rsidRPr="00404710">
        <w:rPr>
          <w:i/>
          <w:iCs/>
          <w:szCs w:val="22"/>
        </w:rPr>
        <w:t>NUBEQA is indicated for the treatment of patients with non-metastatic castration resistant prostate cancer (</w:t>
      </w:r>
      <w:proofErr w:type="spellStart"/>
      <w:r w:rsidRPr="00404710">
        <w:rPr>
          <w:i/>
          <w:iCs/>
          <w:szCs w:val="22"/>
        </w:rPr>
        <w:t>nmCRPC</w:t>
      </w:r>
      <w:proofErr w:type="spellEnd"/>
      <w:r w:rsidRPr="00404710">
        <w:rPr>
          <w:i/>
          <w:iCs/>
          <w:szCs w:val="22"/>
        </w:rPr>
        <w:t>)</w:t>
      </w:r>
      <w:r>
        <w:rPr>
          <w:rStyle w:val="FootnoteReference"/>
          <w:i/>
          <w:iCs/>
          <w:szCs w:val="22"/>
        </w:rPr>
        <w:footnoteReference w:id="12"/>
      </w:r>
      <w:r w:rsidRPr="00404710">
        <w:rPr>
          <w:i/>
          <w:iCs/>
          <w:szCs w:val="22"/>
        </w:rPr>
        <w:t>.</w:t>
      </w:r>
    </w:p>
    <w:p w14:paraId="546C1031" w14:textId="13AEC93A" w:rsidR="0017005C" w:rsidRDefault="0009070F" w:rsidP="0017005C">
      <w:pPr>
        <w:pStyle w:val="Heading4"/>
      </w:pPr>
      <w:bookmarkStart w:id="19" w:name="_Toc179287288"/>
      <w:r>
        <w:t>International</w:t>
      </w:r>
      <w:r w:rsidR="0017005C" w:rsidRPr="00BD5DBD">
        <w:t xml:space="preserve"> regulatory</w:t>
      </w:r>
      <w:r w:rsidR="0017005C">
        <w:t xml:space="preserve"> status</w:t>
      </w:r>
      <w:bookmarkEnd w:id="19"/>
    </w:p>
    <w:p w14:paraId="7399C17B" w14:textId="77777777" w:rsidR="00DD6F9D" w:rsidRDefault="00C133AB" w:rsidP="00DD6F9D">
      <w:pPr>
        <w:rPr>
          <w:szCs w:val="22"/>
        </w:rPr>
      </w:pPr>
      <w:r w:rsidRPr="00BD5DBD">
        <w:rPr>
          <w:szCs w:val="22"/>
        </w:rPr>
        <w:t xml:space="preserve">This evaluation was facilitated through </w:t>
      </w:r>
      <w:hyperlink r:id="rId21" w:history="1">
        <w:r w:rsidRPr="00BD5DBD">
          <w:rPr>
            <w:rStyle w:val="Hyperlink"/>
            <w:szCs w:val="22"/>
          </w:rPr>
          <w:t>Project Orbis</w:t>
        </w:r>
      </w:hyperlink>
      <w:r w:rsidRPr="00BD5DBD">
        <w:rPr>
          <w:szCs w:val="22"/>
        </w:rPr>
        <w:t xml:space="preserve">, an initiative of the United States Food and Drug Administration (FDA) Oncology </w:t>
      </w:r>
      <w:proofErr w:type="spellStart"/>
      <w:r w:rsidRPr="00BD5DBD">
        <w:rPr>
          <w:szCs w:val="22"/>
        </w:rPr>
        <w:t>Center</w:t>
      </w:r>
      <w:proofErr w:type="spellEnd"/>
      <w:r w:rsidRPr="00BD5DBD">
        <w:rPr>
          <w:szCs w:val="22"/>
        </w:rPr>
        <w:t xml:space="preserve"> of Excellence. Under this project, the </w:t>
      </w:r>
      <w:r w:rsidRPr="00774789">
        <w:t>FDA</w:t>
      </w:r>
      <w:r w:rsidRPr="00BD5DBD">
        <w:rPr>
          <w:color w:val="657C9C" w:themeColor="text2" w:themeTint="BF"/>
          <w:szCs w:val="22"/>
        </w:rPr>
        <w:t xml:space="preserve"> </w:t>
      </w:r>
      <w:r w:rsidRPr="00BD5DBD">
        <w:rPr>
          <w:szCs w:val="22"/>
        </w:rPr>
        <w:t>and the TGA collaboratively reviewed the submission. This evaluation process provided a framework for process alignment and management of evaluation issues in real-time across jurisdictions. Each regulator made independent decisions regarding approval (market authorisation) of the new medicine.</w:t>
      </w:r>
      <w:bookmarkStart w:id="20" w:name="_Ref99705479"/>
    </w:p>
    <w:p w14:paraId="04201DF5" w14:textId="77777777" w:rsidR="0008560A" w:rsidRDefault="00324B33" w:rsidP="0008560A">
      <w:pPr>
        <w:pStyle w:val="TableTitle"/>
      </w:pPr>
      <w:r>
        <w:t xml:space="preserve">Table </w:t>
      </w:r>
      <w:bookmarkEnd w:id="20"/>
      <w:r w:rsidR="00E23907">
        <w:t>1</w:t>
      </w:r>
      <w:r>
        <w:t xml:space="preserve">: </w:t>
      </w:r>
      <w:r w:rsidR="00631872">
        <w:t>Nubeqa (</w:t>
      </w:r>
      <w:proofErr w:type="spellStart"/>
      <w:r w:rsidR="00631872">
        <w:t>darolutamide</w:t>
      </w:r>
      <w:proofErr w:type="spellEnd"/>
      <w:r w:rsidR="00631872">
        <w:t>) i</w:t>
      </w:r>
      <w:r>
        <w:t>nternational regulatory</w:t>
      </w:r>
      <w:r w:rsidR="003978B2">
        <w:t xml:space="preserve"> status:</w:t>
      </w:r>
      <w:r w:rsidR="00412AF2" w:rsidRPr="00412AF2">
        <w:t xml:space="preserve"> Metastatic hormone-sensitive prostate cancer</w:t>
      </w:r>
    </w:p>
    <w:p w14:paraId="33B6AE48" w14:textId="1CF52884" w:rsidR="00412AF2" w:rsidRDefault="00E23907" w:rsidP="0008560A">
      <w:r>
        <w:rPr>
          <w:noProof/>
        </w:rPr>
        <w:drawing>
          <wp:inline distT="0" distB="0" distL="0" distR="0" wp14:anchorId="51737000" wp14:editId="297B47A5">
            <wp:extent cx="3821526" cy="3968151"/>
            <wp:effectExtent l="0" t="0" r="7620" b="0"/>
            <wp:docPr id="13011657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165782" name=""/>
                    <pic:cNvPicPr/>
                  </pic:nvPicPr>
                  <pic:blipFill>
                    <a:blip r:embed="rId22"/>
                    <a:stretch>
                      <a:fillRect/>
                    </a:stretch>
                  </pic:blipFill>
                  <pic:spPr>
                    <a:xfrm>
                      <a:off x="0" y="0"/>
                      <a:ext cx="3828172" cy="3975052"/>
                    </a:xfrm>
                    <a:prstGeom prst="rect">
                      <a:avLst/>
                    </a:prstGeom>
                  </pic:spPr>
                </pic:pic>
              </a:graphicData>
            </a:graphic>
          </wp:inline>
        </w:drawing>
      </w:r>
    </w:p>
    <w:p w14:paraId="41BDF488" w14:textId="7927137F" w:rsidR="00412AF2" w:rsidRDefault="00D01C37" w:rsidP="00D01C37">
      <w:pPr>
        <w:pStyle w:val="TableTitle"/>
      </w:pPr>
      <w:r>
        <w:t xml:space="preserve">Table 2. Overseas regulatory status: </w:t>
      </w:r>
      <w:r w:rsidR="00D36197">
        <w:t>indicated for m</w:t>
      </w:r>
      <w:r>
        <w:t>etastatic hormone-sensitive prostate cancer</w:t>
      </w:r>
      <w:r w:rsidR="002E16E5">
        <w:t>.</w:t>
      </w:r>
    </w:p>
    <w:p w14:paraId="0374991C" w14:textId="77777777" w:rsidR="00C53525" w:rsidRDefault="008672FE" w:rsidP="002E16E5">
      <w:r>
        <w:rPr>
          <w:noProof/>
        </w:rPr>
        <w:drawing>
          <wp:inline distT="0" distB="0" distL="0" distR="0" wp14:anchorId="55C66928" wp14:editId="23DBED28">
            <wp:extent cx="4666891" cy="2117853"/>
            <wp:effectExtent l="0" t="0" r="635" b="0"/>
            <wp:docPr id="1751023875" name="Picture 1" descr="A table with date and d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023875" name="Picture 1" descr="A table with date and date&#10;&#10;Description automatically generated"/>
                    <pic:cNvPicPr/>
                  </pic:nvPicPr>
                  <pic:blipFill>
                    <a:blip r:embed="rId23"/>
                    <a:stretch>
                      <a:fillRect/>
                    </a:stretch>
                  </pic:blipFill>
                  <pic:spPr>
                    <a:xfrm>
                      <a:off x="0" y="0"/>
                      <a:ext cx="4674606" cy="2121354"/>
                    </a:xfrm>
                    <a:prstGeom prst="rect">
                      <a:avLst/>
                    </a:prstGeom>
                  </pic:spPr>
                </pic:pic>
              </a:graphicData>
            </a:graphic>
          </wp:inline>
        </w:drawing>
      </w:r>
      <w:bookmarkStart w:id="21" w:name="_Toc504480011"/>
      <w:bookmarkStart w:id="22" w:name="_Toc103679293"/>
    </w:p>
    <w:p w14:paraId="7A45CAD3" w14:textId="593AB576" w:rsidR="00972416" w:rsidRDefault="00C62B63" w:rsidP="00972416">
      <w:pPr>
        <w:pStyle w:val="TableTitle"/>
      </w:pPr>
      <w:r>
        <w:t xml:space="preserve">Table 3. Overseas regulatory status indicated for the treatment of patients with </w:t>
      </w:r>
      <w:r w:rsidR="002E16E5">
        <w:t>n</w:t>
      </w:r>
      <w:r>
        <w:t>on-metastatic castration-resistant prostate cancer (</w:t>
      </w:r>
      <w:proofErr w:type="spellStart"/>
      <w:r>
        <w:t>nmCRPC</w:t>
      </w:r>
      <w:proofErr w:type="spellEnd"/>
      <w:r>
        <w:t>)</w:t>
      </w:r>
    </w:p>
    <w:p w14:paraId="700080E8" w14:textId="0F88482E" w:rsidR="000363FC" w:rsidRDefault="00972416" w:rsidP="00C93E65">
      <w:r>
        <w:rPr>
          <w:noProof/>
        </w:rPr>
        <w:drawing>
          <wp:inline distT="0" distB="0" distL="0" distR="0" wp14:anchorId="4A461614" wp14:editId="40F98702">
            <wp:extent cx="5031708" cy="3856007"/>
            <wp:effectExtent l="0" t="0" r="0" b="0"/>
            <wp:docPr id="105018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1893" name=""/>
                    <pic:cNvPicPr/>
                  </pic:nvPicPr>
                  <pic:blipFill>
                    <a:blip r:embed="rId24"/>
                    <a:stretch>
                      <a:fillRect/>
                    </a:stretch>
                  </pic:blipFill>
                  <pic:spPr>
                    <a:xfrm>
                      <a:off x="0" y="0"/>
                      <a:ext cx="5043145" cy="3864772"/>
                    </a:xfrm>
                    <a:prstGeom prst="rect">
                      <a:avLst/>
                    </a:prstGeom>
                  </pic:spPr>
                </pic:pic>
              </a:graphicData>
            </a:graphic>
          </wp:inline>
        </w:drawing>
      </w:r>
    </w:p>
    <w:p w14:paraId="21C19311" w14:textId="03DB703E" w:rsidR="00DC5652" w:rsidRPr="00DC5652" w:rsidRDefault="00DC5652" w:rsidP="00DC5652">
      <w:r>
        <w:rPr>
          <w:noProof/>
        </w:rPr>
        <w:drawing>
          <wp:inline distT="0" distB="0" distL="0" distR="0" wp14:anchorId="5476A306" wp14:editId="20C6C0B4">
            <wp:extent cx="4346558" cy="5883215"/>
            <wp:effectExtent l="0" t="0" r="0" b="3810"/>
            <wp:docPr id="581444322" name="Picture 1" descr="A white background with black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444322" name="Picture 1" descr="A white background with black text&#10;&#10;Description automatically generated with medium confidence"/>
                    <pic:cNvPicPr/>
                  </pic:nvPicPr>
                  <pic:blipFill>
                    <a:blip r:embed="rId25"/>
                    <a:stretch>
                      <a:fillRect/>
                    </a:stretch>
                  </pic:blipFill>
                  <pic:spPr>
                    <a:xfrm>
                      <a:off x="0" y="0"/>
                      <a:ext cx="4355493" cy="5895309"/>
                    </a:xfrm>
                    <a:prstGeom prst="rect">
                      <a:avLst/>
                    </a:prstGeom>
                  </pic:spPr>
                </pic:pic>
              </a:graphicData>
            </a:graphic>
          </wp:inline>
        </w:drawing>
      </w:r>
      <w:r w:rsidR="00FB24FB">
        <w:rPr>
          <w:noProof/>
        </w:rPr>
        <w:drawing>
          <wp:inline distT="0" distB="0" distL="0" distR="0" wp14:anchorId="7A8C6720" wp14:editId="56566E09">
            <wp:extent cx="4295955" cy="2891417"/>
            <wp:effectExtent l="0" t="0" r="0" b="4445"/>
            <wp:docPr id="1981938272" name="Picture 1" descr="A table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938272" name="Picture 1" descr="A table with text on it&#10;&#10;Description automatically generated"/>
                    <pic:cNvPicPr/>
                  </pic:nvPicPr>
                  <pic:blipFill>
                    <a:blip r:embed="rId26"/>
                    <a:stretch>
                      <a:fillRect/>
                    </a:stretch>
                  </pic:blipFill>
                  <pic:spPr>
                    <a:xfrm>
                      <a:off x="0" y="0"/>
                      <a:ext cx="4304711" cy="2897311"/>
                    </a:xfrm>
                    <a:prstGeom prst="rect">
                      <a:avLst/>
                    </a:prstGeom>
                  </pic:spPr>
                </pic:pic>
              </a:graphicData>
            </a:graphic>
          </wp:inline>
        </w:drawing>
      </w:r>
    </w:p>
    <w:p w14:paraId="6D92589C" w14:textId="22EFA192" w:rsidR="00324B33" w:rsidRDefault="00324B33" w:rsidP="0008560A">
      <w:pPr>
        <w:pStyle w:val="Heading2"/>
      </w:pPr>
      <w:bookmarkStart w:id="23" w:name="_Toc179287289"/>
      <w:r>
        <w:t>Registration timeline</w:t>
      </w:r>
      <w:bookmarkEnd w:id="21"/>
      <w:bookmarkEnd w:id="22"/>
      <w:bookmarkEnd w:id="23"/>
    </w:p>
    <w:p w14:paraId="12B6144B" w14:textId="704D8981" w:rsidR="00014DD5" w:rsidRPr="00014DD5" w:rsidRDefault="00014DD5" w:rsidP="00014DD5">
      <w:r w:rsidRPr="00014DD5">
        <w:t>This submission was evaluated under the standard prescription medicines registration process.</w:t>
      </w:r>
    </w:p>
    <w:p w14:paraId="225E3D87" w14:textId="4EFD7CD4" w:rsidR="00324B33" w:rsidRPr="00BD5DBD" w:rsidRDefault="00014DD5" w:rsidP="00324B33">
      <w:pPr>
        <w:rPr>
          <w:szCs w:val="22"/>
        </w:rPr>
      </w:pPr>
      <w:r>
        <w:rPr>
          <w:szCs w:val="22"/>
        </w:rPr>
        <w:t>Ta</w:t>
      </w:r>
      <w:r w:rsidR="00324B33" w:rsidRPr="00BD5DBD">
        <w:rPr>
          <w:szCs w:val="22"/>
        </w:rPr>
        <w:t>ble</w:t>
      </w:r>
      <w:r>
        <w:rPr>
          <w:szCs w:val="22"/>
        </w:rPr>
        <w:t xml:space="preserve"> </w:t>
      </w:r>
      <w:r w:rsidR="00C62B63">
        <w:rPr>
          <w:szCs w:val="22"/>
        </w:rPr>
        <w:t>4</w:t>
      </w:r>
      <w:r w:rsidR="00324B33" w:rsidRPr="00BD5DBD">
        <w:rPr>
          <w:szCs w:val="22"/>
        </w:rPr>
        <w:t xml:space="preserve"> captures the key steps and dates for this submission.</w:t>
      </w:r>
    </w:p>
    <w:p w14:paraId="44628C5F" w14:textId="489737A7" w:rsidR="00324B33" w:rsidRDefault="00324B33" w:rsidP="002C1232">
      <w:pPr>
        <w:pStyle w:val="TableTitle"/>
      </w:pPr>
      <w:r w:rsidRPr="002C1232">
        <w:t xml:space="preserve">Table </w:t>
      </w:r>
      <w:r w:rsidR="00C62B63">
        <w:t>4</w:t>
      </w:r>
      <w:r w:rsidRPr="002C1232">
        <w:t xml:space="preserve">: Timeline for </w:t>
      </w:r>
      <w:r w:rsidR="00E43502">
        <w:t>Nubeqa s</w:t>
      </w:r>
      <w:r w:rsidRPr="002C1232">
        <w:t xml:space="preserve">ubmission </w:t>
      </w:r>
      <w:r w:rsidR="002035FB" w:rsidRPr="002035FB">
        <w:t>PM-2022-00878-1-4</w:t>
      </w:r>
    </w:p>
    <w:tbl>
      <w:tblPr>
        <w:tblStyle w:val="TableTGAblue2023"/>
        <w:tblW w:w="8642" w:type="dxa"/>
        <w:tblLook w:val="04A0" w:firstRow="1" w:lastRow="0" w:firstColumn="1" w:lastColumn="0" w:noHBand="0" w:noVBand="1"/>
      </w:tblPr>
      <w:tblGrid>
        <w:gridCol w:w="5665"/>
        <w:gridCol w:w="2977"/>
      </w:tblGrid>
      <w:tr w:rsidR="00324B33" w:rsidRPr="00D01DDB" w14:paraId="6C59BE9C" w14:textId="77777777" w:rsidTr="000D78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Pr>
          <w:p w14:paraId="16D80E78" w14:textId="3EC0CCAF" w:rsidR="00324B33" w:rsidRPr="00D01DDB" w:rsidRDefault="00324B33" w:rsidP="00324B33">
            <w:pPr>
              <w:rPr>
                <w:szCs w:val="22"/>
              </w:rPr>
            </w:pPr>
            <w:r w:rsidRPr="00D01DDB">
              <w:rPr>
                <w:szCs w:val="22"/>
              </w:rPr>
              <w:t>Description</w:t>
            </w:r>
          </w:p>
        </w:tc>
        <w:tc>
          <w:tcPr>
            <w:tcW w:w="2977" w:type="dxa"/>
          </w:tcPr>
          <w:p w14:paraId="79AFDC4B" w14:textId="05792035" w:rsidR="00324B33" w:rsidRPr="00D01DDB" w:rsidRDefault="00324B33" w:rsidP="00324B33">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Date</w:t>
            </w:r>
          </w:p>
        </w:tc>
      </w:tr>
      <w:tr w:rsidR="00324B33" w:rsidRPr="00D01DDB" w14:paraId="23610C53" w14:textId="77777777" w:rsidTr="000D78EC">
        <w:tc>
          <w:tcPr>
            <w:cnfStyle w:val="001000000000" w:firstRow="0" w:lastRow="0" w:firstColumn="1" w:lastColumn="0" w:oddVBand="0" w:evenVBand="0" w:oddHBand="0" w:evenHBand="0" w:firstRowFirstColumn="0" w:firstRowLastColumn="0" w:lastRowFirstColumn="0" w:lastRowLastColumn="0"/>
            <w:tcW w:w="5665" w:type="dxa"/>
          </w:tcPr>
          <w:p w14:paraId="759D2A12" w14:textId="0D705F83" w:rsidR="00324B33" w:rsidRPr="00E679D1" w:rsidRDefault="00324B33" w:rsidP="00E679D1">
            <w:r w:rsidRPr="00E679D1">
              <w:t>Submission dossier accepted and first round evaluation commenced</w:t>
            </w:r>
          </w:p>
        </w:tc>
        <w:tc>
          <w:tcPr>
            <w:tcW w:w="2977" w:type="dxa"/>
          </w:tcPr>
          <w:p w14:paraId="2963D9D8" w14:textId="5568F187" w:rsidR="00324B33" w:rsidRPr="00D01DDB" w:rsidRDefault="00DC526B"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2 May 2022</w:t>
            </w:r>
          </w:p>
        </w:tc>
      </w:tr>
      <w:tr w:rsidR="00324B33" w:rsidRPr="00D01DDB" w14:paraId="767E33A4" w14:textId="77777777" w:rsidTr="000D78EC">
        <w:tc>
          <w:tcPr>
            <w:cnfStyle w:val="001000000000" w:firstRow="0" w:lastRow="0" w:firstColumn="1" w:lastColumn="0" w:oddVBand="0" w:evenVBand="0" w:oddHBand="0" w:evenHBand="0" w:firstRowFirstColumn="0" w:firstRowLastColumn="0" w:lastRowFirstColumn="0" w:lastRowLastColumn="0"/>
            <w:tcW w:w="5665" w:type="dxa"/>
          </w:tcPr>
          <w:p w14:paraId="4AFC5B50" w14:textId="224AF283" w:rsidR="00324B33" w:rsidRPr="00E679D1" w:rsidRDefault="00D9340C" w:rsidP="00E679D1">
            <w:r>
              <w:t>E</w:t>
            </w:r>
            <w:r w:rsidR="00324B33" w:rsidRPr="00E679D1">
              <w:t>valuation completed</w:t>
            </w:r>
          </w:p>
        </w:tc>
        <w:tc>
          <w:tcPr>
            <w:tcW w:w="2977" w:type="dxa"/>
          </w:tcPr>
          <w:p w14:paraId="4E47DF62" w14:textId="61E870EC" w:rsidR="00324B33" w:rsidRPr="00D01DDB" w:rsidRDefault="00EB20AB"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30 November 2022</w:t>
            </w:r>
          </w:p>
        </w:tc>
      </w:tr>
      <w:tr w:rsidR="00324B33" w:rsidRPr="00D01DDB" w14:paraId="302FCB45" w14:textId="77777777" w:rsidTr="000D78EC">
        <w:tc>
          <w:tcPr>
            <w:cnfStyle w:val="001000000000" w:firstRow="0" w:lastRow="0" w:firstColumn="1" w:lastColumn="0" w:oddVBand="0" w:evenVBand="0" w:oddHBand="0" w:evenHBand="0" w:firstRowFirstColumn="0" w:firstRowLastColumn="0" w:lastRowFirstColumn="0" w:lastRowLastColumn="0"/>
            <w:tcW w:w="5665" w:type="dxa"/>
          </w:tcPr>
          <w:p w14:paraId="716E9DC1" w14:textId="307927A0" w:rsidR="00324B33" w:rsidRPr="00D01DDB" w:rsidRDefault="00324B33" w:rsidP="00324B33">
            <w:pPr>
              <w:rPr>
                <w:szCs w:val="22"/>
              </w:rPr>
            </w:pPr>
            <w:r w:rsidRPr="00D01DDB">
              <w:rPr>
                <w:szCs w:val="22"/>
              </w:rPr>
              <w:t>Delegate’s</w:t>
            </w:r>
            <w:r w:rsidR="00500D68">
              <w:rPr>
                <w:rStyle w:val="FootnoteReference"/>
                <w:szCs w:val="22"/>
              </w:rPr>
              <w:footnoteReference w:id="13"/>
            </w:r>
            <w:r w:rsidRPr="00D01DDB">
              <w:rPr>
                <w:szCs w:val="22"/>
              </w:rPr>
              <w:t xml:space="preserve"> Overall benefit-risk assessment</w:t>
            </w:r>
          </w:p>
        </w:tc>
        <w:tc>
          <w:tcPr>
            <w:tcW w:w="2977" w:type="dxa"/>
          </w:tcPr>
          <w:p w14:paraId="3BA6EF79" w14:textId="21E67932" w:rsidR="00324B33" w:rsidRPr="00D01DDB" w:rsidRDefault="005B0295" w:rsidP="00324B33">
            <w:pPr>
              <w:cnfStyle w:val="000000000000" w:firstRow="0" w:lastRow="0" w:firstColumn="0" w:lastColumn="0" w:oddVBand="0" w:evenVBand="0" w:oddHBand="0" w:evenHBand="0" w:firstRowFirstColumn="0" w:firstRowLastColumn="0" w:lastRowFirstColumn="0" w:lastRowLastColumn="0"/>
              <w:rPr>
                <w:szCs w:val="22"/>
              </w:rPr>
            </w:pPr>
            <w:r w:rsidRPr="005B0295">
              <w:rPr>
                <w:szCs w:val="22"/>
              </w:rPr>
              <w:t>23 February 2023</w:t>
            </w:r>
          </w:p>
        </w:tc>
      </w:tr>
      <w:tr w:rsidR="00324B33" w:rsidRPr="00D01DDB" w14:paraId="6E5D32FE" w14:textId="77777777" w:rsidTr="000D78EC">
        <w:tc>
          <w:tcPr>
            <w:cnfStyle w:val="001000000000" w:firstRow="0" w:lastRow="0" w:firstColumn="1" w:lastColumn="0" w:oddVBand="0" w:evenVBand="0" w:oddHBand="0" w:evenHBand="0" w:firstRowFirstColumn="0" w:firstRowLastColumn="0" w:lastRowFirstColumn="0" w:lastRowLastColumn="0"/>
            <w:tcW w:w="5665" w:type="dxa"/>
          </w:tcPr>
          <w:p w14:paraId="4E95C44C" w14:textId="7A91C710" w:rsidR="00324B33" w:rsidRPr="00E679D1" w:rsidRDefault="00324B33" w:rsidP="00E679D1">
            <w:r w:rsidRPr="00E679D1">
              <w:t>Registration decision (Outcome)</w:t>
            </w:r>
          </w:p>
        </w:tc>
        <w:tc>
          <w:tcPr>
            <w:tcW w:w="2977" w:type="dxa"/>
          </w:tcPr>
          <w:p w14:paraId="62987ABD" w14:textId="49A03FC6" w:rsidR="00324B33" w:rsidRPr="00D01DDB" w:rsidRDefault="005B0295"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17 March 2023</w:t>
            </w:r>
          </w:p>
        </w:tc>
      </w:tr>
      <w:tr w:rsidR="00324B33" w:rsidRPr="00D01DDB" w14:paraId="6DDCDDA4" w14:textId="77777777" w:rsidTr="000D78EC">
        <w:tc>
          <w:tcPr>
            <w:cnfStyle w:val="001000000000" w:firstRow="0" w:lastRow="0" w:firstColumn="1" w:lastColumn="0" w:oddVBand="0" w:evenVBand="0" w:oddHBand="0" w:evenHBand="0" w:firstRowFirstColumn="0" w:firstRowLastColumn="0" w:lastRowFirstColumn="0" w:lastRowLastColumn="0"/>
            <w:tcW w:w="5665" w:type="dxa"/>
          </w:tcPr>
          <w:p w14:paraId="192FD19D" w14:textId="38C0F35C" w:rsidR="00324B33" w:rsidRPr="00E679D1" w:rsidRDefault="00B80D2A" w:rsidP="00E679D1">
            <w:r w:rsidRPr="00B80D2A">
              <w:t>Registration in the ARTG</w:t>
            </w:r>
          </w:p>
        </w:tc>
        <w:tc>
          <w:tcPr>
            <w:tcW w:w="2977" w:type="dxa"/>
          </w:tcPr>
          <w:p w14:paraId="5A8923FD" w14:textId="0B2DB8F0" w:rsidR="00324B33" w:rsidRPr="00D01DDB" w:rsidRDefault="005B0295"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21 March 2023</w:t>
            </w:r>
          </w:p>
        </w:tc>
      </w:tr>
      <w:tr w:rsidR="00324B33" w:rsidRPr="00D01DDB" w14:paraId="56D922E2" w14:textId="77777777" w:rsidTr="000D78EC">
        <w:tc>
          <w:tcPr>
            <w:cnfStyle w:val="001000000000" w:firstRow="0" w:lastRow="0" w:firstColumn="1" w:lastColumn="0" w:oddVBand="0" w:evenVBand="0" w:oddHBand="0" w:evenHBand="0" w:firstRowFirstColumn="0" w:firstRowLastColumn="0" w:lastRowFirstColumn="0" w:lastRowLastColumn="0"/>
            <w:tcW w:w="5665" w:type="dxa"/>
          </w:tcPr>
          <w:p w14:paraId="787FD8DD" w14:textId="0E0CF97F" w:rsidR="00324B33" w:rsidRPr="00E679D1" w:rsidRDefault="00324B33" w:rsidP="00E679D1">
            <w:r w:rsidRPr="00E679D1">
              <w:t>Number of working days from submission dossier acceptance to registration decision*</w:t>
            </w:r>
          </w:p>
        </w:tc>
        <w:tc>
          <w:tcPr>
            <w:tcW w:w="2977" w:type="dxa"/>
          </w:tcPr>
          <w:p w14:paraId="5BAF9FA1" w14:textId="5D98F423" w:rsidR="00324B33" w:rsidRPr="00D01DDB" w:rsidRDefault="00D56F45"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228</w:t>
            </w:r>
          </w:p>
        </w:tc>
      </w:tr>
    </w:tbl>
    <w:p w14:paraId="7B02554C" w14:textId="77777777" w:rsidR="00433318" w:rsidRDefault="00433318" w:rsidP="00433318">
      <w:pPr>
        <w:pStyle w:val="TableDescription"/>
      </w:pPr>
      <w:r>
        <w:t>*</w:t>
      </w:r>
      <w:r w:rsidRPr="00BF3774">
        <w:t xml:space="preserve">Statutory </w:t>
      </w:r>
      <w:r>
        <w:t>timeframe for standard submissions is 255 working days</w:t>
      </w:r>
    </w:p>
    <w:p w14:paraId="220925F1" w14:textId="4492508E" w:rsidR="00C22214" w:rsidRPr="00792A32" w:rsidRDefault="002E16E5" w:rsidP="002E16E5">
      <w:pPr>
        <w:pStyle w:val="Heading2"/>
      </w:pPr>
      <w:bookmarkStart w:id="24" w:name="_Toc196046504"/>
      <w:bookmarkStart w:id="25" w:name="_Toc247691527"/>
      <w:bookmarkStart w:id="26" w:name="_Toc314842510"/>
      <w:bookmarkStart w:id="27" w:name="_Toc103679294"/>
      <w:bookmarkStart w:id="28" w:name="_Toc179287290"/>
      <w:r>
        <w:t>Evaluation</w:t>
      </w:r>
      <w:r w:rsidR="00C22214" w:rsidRPr="00006FAB">
        <w:t xml:space="preserve"> overview</w:t>
      </w:r>
      <w:bookmarkEnd w:id="24"/>
      <w:bookmarkEnd w:id="25"/>
      <w:bookmarkEnd w:id="26"/>
      <w:bookmarkEnd w:id="27"/>
      <w:bookmarkEnd w:id="28"/>
    </w:p>
    <w:p w14:paraId="35B580A5" w14:textId="3ABD1DF1" w:rsidR="00C22214" w:rsidRDefault="00C22214" w:rsidP="008804CF">
      <w:pPr>
        <w:pStyle w:val="Heading3"/>
      </w:pPr>
      <w:bookmarkStart w:id="29" w:name="_Toc247691530"/>
      <w:bookmarkStart w:id="30" w:name="_Toc314842513"/>
      <w:bookmarkStart w:id="31" w:name="_Toc103679297"/>
      <w:bookmarkStart w:id="32" w:name="_Toc179287291"/>
      <w:r>
        <w:t>Clinical</w:t>
      </w:r>
      <w:bookmarkEnd w:id="29"/>
      <w:bookmarkEnd w:id="30"/>
      <w:bookmarkEnd w:id="31"/>
      <w:r w:rsidR="00F956CF">
        <w:t xml:space="preserve"> </w:t>
      </w:r>
      <w:r w:rsidR="00F956CF" w:rsidRPr="00F956CF">
        <w:t>evaluation summary</w:t>
      </w:r>
      <w:bookmarkEnd w:id="32"/>
    </w:p>
    <w:p w14:paraId="2C9EF0EA" w14:textId="7423C08C" w:rsidR="00BB7474" w:rsidRDefault="00BB7474" w:rsidP="00BB7474">
      <w:pPr>
        <w:spacing w:after="0"/>
      </w:pPr>
      <w:r>
        <w:t xml:space="preserve">The </w:t>
      </w:r>
      <w:r w:rsidR="008A7024">
        <w:t>Sponsor</w:t>
      </w:r>
      <w:r>
        <w:t xml:space="preserve"> is seeking approval to extend the indications for </w:t>
      </w:r>
      <w:proofErr w:type="spellStart"/>
      <w:r>
        <w:t>darolutamide</w:t>
      </w:r>
      <w:proofErr w:type="spellEnd"/>
      <w:r>
        <w:t>, for the treatment of patients with metastatic hormone sensitive prostate cancer in combination with docetaxel.</w:t>
      </w:r>
    </w:p>
    <w:p w14:paraId="688D0005" w14:textId="7DD82CE8" w:rsidR="00BB7474" w:rsidRDefault="00BB7474" w:rsidP="00BB7474">
      <w:pPr>
        <w:spacing w:after="0"/>
      </w:pPr>
      <w:r>
        <w:t>Data to support the submission is from a randomi</w:t>
      </w:r>
      <w:r w:rsidR="002A5B4C">
        <w:t>s</w:t>
      </w:r>
      <w:r>
        <w:t xml:space="preserve">ed, double-blind, placebo–controlled, </w:t>
      </w:r>
      <w:proofErr w:type="spellStart"/>
      <w:r>
        <w:t>multicenter</w:t>
      </w:r>
      <w:proofErr w:type="spellEnd"/>
      <w:r>
        <w:t xml:space="preserve"> phase III study (ARASENS).</w:t>
      </w:r>
      <w:r w:rsidRPr="00C21DE0">
        <w:t xml:space="preserve"> </w:t>
      </w:r>
    </w:p>
    <w:p w14:paraId="0446B6CE" w14:textId="77777777" w:rsidR="00BB7474" w:rsidRDefault="00BB7474" w:rsidP="00BB7474">
      <w:pPr>
        <w:spacing w:after="0"/>
      </w:pPr>
    </w:p>
    <w:p w14:paraId="05D3C59D" w14:textId="5D025162" w:rsidR="007E1479" w:rsidRDefault="007E1479" w:rsidP="00012E8D">
      <w:pPr>
        <w:pStyle w:val="Heading5"/>
      </w:pPr>
      <w:r>
        <w:t xml:space="preserve">ARASENS Study </w:t>
      </w:r>
    </w:p>
    <w:p w14:paraId="27DFC166" w14:textId="774AA61E" w:rsidR="00BB7474" w:rsidRDefault="00BB7474" w:rsidP="0008560A">
      <w:r>
        <w:t>ARASENS is a randomi</w:t>
      </w:r>
      <w:r w:rsidR="002A5B4C">
        <w:t>s</w:t>
      </w:r>
      <w:r>
        <w:t xml:space="preserve">ed, double–blind, placebo–controlled Phase III study of </w:t>
      </w:r>
      <w:proofErr w:type="spellStart"/>
      <w:r>
        <w:t>darolutamide</w:t>
      </w:r>
      <w:proofErr w:type="spellEnd"/>
      <w:r>
        <w:t xml:space="preserve"> versus placebo in addition to standard androgen deprivation therapy and docetaxel in patients with metastatic hormone–sensitive prostate cancer.</w:t>
      </w:r>
    </w:p>
    <w:p w14:paraId="6D08D0A4" w14:textId="25C0EC2F" w:rsidR="00BB7474" w:rsidRDefault="00BB7474" w:rsidP="0008560A">
      <w:r>
        <w:t>The submission is based on data from study 17777 (</w:t>
      </w:r>
      <w:r w:rsidR="002A5B4C" w:rsidRPr="002A5B4C">
        <w:t>ARASENS</w:t>
      </w:r>
      <w:r w:rsidR="005057A7">
        <w:t>).</w:t>
      </w:r>
      <w:r>
        <w:t xml:space="preserve"> All patients received ADT - an LHRH agonist/antagonist concurrently or had a bilateral orchiectomy</w:t>
      </w:r>
      <w:r w:rsidR="00F50E1E">
        <w:t xml:space="preserve"> (Figure 1)</w:t>
      </w:r>
      <w:r>
        <w:t xml:space="preserve">. Table </w:t>
      </w:r>
      <w:r w:rsidR="00FB24FB">
        <w:t>5</w:t>
      </w:r>
      <w:r>
        <w:t xml:space="preserve"> provides an overview of the study.</w:t>
      </w:r>
    </w:p>
    <w:p w14:paraId="54FCB0FE" w14:textId="6017B543" w:rsidR="00BB7474" w:rsidRDefault="00BB7474" w:rsidP="002A5B4C">
      <w:pPr>
        <w:pStyle w:val="FigureTitle"/>
      </w:pPr>
      <w:r w:rsidRPr="00E35867">
        <w:t xml:space="preserve">Figure </w:t>
      </w:r>
      <w:r w:rsidR="002A5B4C">
        <w:t>1</w:t>
      </w:r>
      <w:r w:rsidR="005057A7">
        <w:t>.</w:t>
      </w:r>
      <w:r w:rsidRPr="00E35867">
        <w:t xml:space="preserve"> Study design of Study 17777 (</w:t>
      </w:r>
      <w:r w:rsidR="005057A7" w:rsidRPr="005057A7">
        <w:t>ARASENS</w:t>
      </w:r>
      <w:r w:rsidRPr="00E35867">
        <w:t>)</w:t>
      </w:r>
    </w:p>
    <w:p w14:paraId="7D1EF502" w14:textId="77777777" w:rsidR="00BB7474" w:rsidRDefault="00BB7474" w:rsidP="00BB7474">
      <w:pPr>
        <w:rPr>
          <w:u w:val="single"/>
        </w:rPr>
      </w:pPr>
      <w:r>
        <w:rPr>
          <w:noProof/>
          <w:u w:val="single"/>
        </w:rPr>
        <w:drawing>
          <wp:inline distT="0" distB="0" distL="0" distR="0" wp14:anchorId="332E7000" wp14:editId="7DD6DDB2">
            <wp:extent cx="5732579" cy="2958861"/>
            <wp:effectExtent l="0" t="0" r="1905" b="0"/>
            <wp:docPr id="5" name="Picture 5" descr="A diagram of a patient's med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diagram of a patient's medication&#10;&#10;Description automatically generated"/>
                    <pic:cNvPicPr>
                      <a:picLocks noChangeAspect="1" noChangeArrowheads="1"/>
                    </pic:cNvPicPr>
                  </pic:nvPicPr>
                  <pic:blipFill rotWithShape="1">
                    <a:blip r:embed="rId27">
                      <a:extLst>
                        <a:ext uri="{28A0092B-C50C-407E-A947-70E740481C1C}">
                          <a14:useLocalDpi xmlns:a14="http://schemas.microsoft.com/office/drawing/2010/main" val="0"/>
                        </a:ext>
                      </a:extLst>
                    </a:blip>
                    <a:srcRect b="2867"/>
                    <a:stretch/>
                  </pic:blipFill>
                  <pic:spPr bwMode="auto">
                    <a:xfrm>
                      <a:off x="0" y="0"/>
                      <a:ext cx="5740262" cy="2962827"/>
                    </a:xfrm>
                    <a:prstGeom prst="rect">
                      <a:avLst/>
                    </a:prstGeom>
                    <a:noFill/>
                    <a:ln>
                      <a:noFill/>
                    </a:ln>
                    <a:extLst>
                      <a:ext uri="{53640926-AAD7-44D8-BBD7-CCE9431645EC}">
                        <a14:shadowObscured xmlns:a14="http://schemas.microsoft.com/office/drawing/2010/main"/>
                      </a:ext>
                    </a:extLst>
                  </pic:spPr>
                </pic:pic>
              </a:graphicData>
            </a:graphic>
          </wp:inline>
        </w:drawing>
      </w:r>
    </w:p>
    <w:p w14:paraId="4B76B577" w14:textId="45624E71" w:rsidR="00BB7474" w:rsidRDefault="00BB7474" w:rsidP="0008560A">
      <w:r w:rsidRPr="00F2398C">
        <w:t>Patients were randomi</w:t>
      </w:r>
      <w:r w:rsidR="002A5B4C">
        <w:t>s</w:t>
      </w:r>
      <w:r w:rsidRPr="00F2398C">
        <w:t>ed in a 1:1 ratio to receive either of the study drugs:</w:t>
      </w:r>
    </w:p>
    <w:p w14:paraId="20C8EAAB" w14:textId="680905C1" w:rsidR="00563BAF" w:rsidRPr="00F2398C" w:rsidRDefault="00BB7474" w:rsidP="0008560A">
      <w:pPr>
        <w:pStyle w:val="ListBullet"/>
      </w:pPr>
      <w:r w:rsidRPr="00F2398C">
        <w:t>Darolutamide at 600 mg (2 tablets of 300 mg) BID with food, equal to a daily dose of</w:t>
      </w:r>
      <w:r w:rsidR="00121A16">
        <w:t xml:space="preserve"> </w:t>
      </w:r>
      <w:r w:rsidRPr="00F2398C">
        <w:t>1200 mg</w:t>
      </w:r>
    </w:p>
    <w:p w14:paraId="02835179" w14:textId="538FC769" w:rsidR="00BB7474" w:rsidRPr="00F2398C" w:rsidRDefault="00BB7474" w:rsidP="0008560A">
      <w:pPr>
        <w:pStyle w:val="ListBullet"/>
      </w:pPr>
      <w:r w:rsidRPr="00F2398C">
        <w:t xml:space="preserve">Placebo matching </w:t>
      </w:r>
      <w:proofErr w:type="spellStart"/>
      <w:r w:rsidRPr="00F2398C">
        <w:t>darolutamide</w:t>
      </w:r>
      <w:proofErr w:type="spellEnd"/>
      <w:r w:rsidRPr="00F2398C">
        <w:t xml:space="preserve"> tablets in appearance, BID with food</w:t>
      </w:r>
      <w:r>
        <w:t>.</w:t>
      </w:r>
    </w:p>
    <w:p w14:paraId="599B113A" w14:textId="0F220608" w:rsidR="00BB7474" w:rsidRDefault="00BB7474" w:rsidP="00F50E1E">
      <w:pPr>
        <w:pStyle w:val="TableTitle"/>
        <w:rPr>
          <w:u w:val="single"/>
        </w:rPr>
      </w:pPr>
      <w:r>
        <w:t>Table</w:t>
      </w:r>
      <w:r w:rsidR="00004070">
        <w:t xml:space="preserve"> 5</w:t>
      </w:r>
      <w:r>
        <w:t>: Overview of study 17777 (</w:t>
      </w:r>
      <w:r w:rsidR="00F50E1E">
        <w:t>ARASENS</w:t>
      </w:r>
      <w:r>
        <w:t>).</w:t>
      </w:r>
    </w:p>
    <w:p w14:paraId="2CF0B24B" w14:textId="77777777" w:rsidR="00BB7474" w:rsidRDefault="00BB7474" w:rsidP="00BB7474">
      <w:pPr>
        <w:rPr>
          <w:u w:val="single"/>
        </w:rPr>
      </w:pPr>
      <w:r>
        <w:rPr>
          <w:noProof/>
          <w:u w:val="single"/>
        </w:rPr>
        <w:drawing>
          <wp:inline distT="0" distB="0" distL="0" distR="0" wp14:anchorId="5B6B1A5C" wp14:editId="0C5DFC67">
            <wp:extent cx="5704114" cy="397160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BEBA8EAE-BF5A-486C-A8C5-ECC9F3942E4B}">
                          <a14:imgProps xmlns:a14="http://schemas.microsoft.com/office/drawing/2010/main">
                            <a14:imgLayer r:embed="rId29">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730943" cy="3990286"/>
                    </a:xfrm>
                    <a:prstGeom prst="rect">
                      <a:avLst/>
                    </a:prstGeom>
                    <a:noFill/>
                  </pic:spPr>
                </pic:pic>
              </a:graphicData>
            </a:graphic>
          </wp:inline>
        </w:drawing>
      </w:r>
    </w:p>
    <w:p w14:paraId="28F4A104" w14:textId="77777777" w:rsidR="00BB7474" w:rsidRDefault="00BB7474" w:rsidP="00BB7474">
      <w:pPr>
        <w:spacing w:after="0"/>
      </w:pPr>
    </w:p>
    <w:p w14:paraId="4BD1F204" w14:textId="77777777" w:rsidR="00BB7474" w:rsidRPr="00563BAF" w:rsidRDefault="00BB7474" w:rsidP="0008560A">
      <w:r w:rsidRPr="00563BAF">
        <w:t xml:space="preserve">The primary objective of this study was to demonstrate superiority of </w:t>
      </w:r>
      <w:proofErr w:type="spellStart"/>
      <w:r w:rsidRPr="00563BAF">
        <w:t>darolutamide</w:t>
      </w:r>
      <w:proofErr w:type="spellEnd"/>
      <w:r w:rsidRPr="00563BAF">
        <w:t xml:space="preserve"> in combination with docetaxel over placebo in combination with docetaxel in OS. </w:t>
      </w:r>
    </w:p>
    <w:p w14:paraId="035A1A40" w14:textId="77777777" w:rsidR="00BB7474" w:rsidRPr="00563BAF" w:rsidRDefault="00BB7474" w:rsidP="0008560A">
      <w:r w:rsidRPr="00563BAF">
        <w:t xml:space="preserve">The secondary objectives were to evaluate the time to castration-resistant prostate cancer (CRPC), the time to pain progression, symptomatic skeletal event-free survival (SSE-FS), the time to first symptomatic skeletal event (SSE), the time to initiation of subsequent systemic antineoplastic therapy, the time to worsening of disease-related physical symptoms, the time to initiation of opioid use for ≥7 consecutive days, and to characterize the safety of </w:t>
      </w:r>
      <w:proofErr w:type="spellStart"/>
      <w:r w:rsidRPr="00563BAF">
        <w:t>darolutamide</w:t>
      </w:r>
      <w:proofErr w:type="spellEnd"/>
      <w:r w:rsidRPr="00563BAF">
        <w:t xml:space="preserve"> in combination with docetaxel in </w:t>
      </w:r>
      <w:proofErr w:type="spellStart"/>
      <w:r w:rsidRPr="00563BAF">
        <w:t>mHSPC</w:t>
      </w:r>
      <w:proofErr w:type="spellEnd"/>
      <w:r w:rsidRPr="00563BAF">
        <w:t xml:space="preserve"> patients. </w:t>
      </w:r>
    </w:p>
    <w:p w14:paraId="4DBB026A" w14:textId="77777777" w:rsidR="00BB7474" w:rsidRPr="00563BAF" w:rsidRDefault="00BB7474" w:rsidP="0008560A">
      <w:r w:rsidRPr="00563BAF">
        <w:t>The exploratory objectives of the study included the evaluation of health-related quality of life (QoL), medical resource use, prostate specific antigen (PSA) assessments, pharmacokinetics (PK) and exposure and response analysis, as well as the evaluation of biomarkers.</w:t>
      </w:r>
    </w:p>
    <w:p w14:paraId="5064B31F" w14:textId="77777777" w:rsidR="00BB7474" w:rsidRPr="004138CC" w:rsidRDefault="00BB7474" w:rsidP="00BB7474">
      <w:pPr>
        <w:rPr>
          <w:b/>
          <w:bCs/>
        </w:rPr>
      </w:pPr>
      <w:r w:rsidRPr="004138CC">
        <w:rPr>
          <w:b/>
          <w:bCs/>
        </w:rPr>
        <w:t>Key inclusion criteria were:</w:t>
      </w:r>
    </w:p>
    <w:p w14:paraId="423891CA" w14:textId="77777777" w:rsidR="00BB7474" w:rsidRDefault="00BB7474" w:rsidP="0008560A">
      <w:pPr>
        <w:pStyle w:val="ListBullet"/>
      </w:pPr>
      <w:r>
        <w:t>Males ≥18 years of age.</w:t>
      </w:r>
    </w:p>
    <w:p w14:paraId="0F3DD0F2" w14:textId="77777777" w:rsidR="00BB7474" w:rsidRDefault="00BB7474" w:rsidP="0008560A">
      <w:pPr>
        <w:pStyle w:val="ListBullet"/>
      </w:pPr>
      <w:r>
        <w:t>Histologically or cytologically confirmed adenocarcinoma of prostate.</w:t>
      </w:r>
    </w:p>
    <w:p w14:paraId="5185903B" w14:textId="77777777" w:rsidR="00BB7474" w:rsidRDefault="00BB7474" w:rsidP="0008560A">
      <w:pPr>
        <w:pStyle w:val="ListBullet"/>
      </w:pPr>
      <w:r>
        <w:t>Metastatic disease documented either by a positive bone scan, or for soft tissue or visceral metastases, either by contrast–enhanced abdominal/pelvic/chest computed</w:t>
      </w:r>
    </w:p>
    <w:p w14:paraId="0BFB09BE" w14:textId="019B67B4" w:rsidR="00BB7474" w:rsidRDefault="00BB7474" w:rsidP="0008560A">
      <w:pPr>
        <w:pStyle w:val="ListBullet"/>
      </w:pPr>
      <w:r>
        <w:t xml:space="preserve">tomography (CT) or magnetic resonance imaging (MRI) scan assessed by investigator and confirmed by central radiology review. Metastatic disease is defined as either malignant lesions in bone scan or measurable lymph nodes above the aortic bifurcation or soft tissue/visceral lesions according to Response Evaluation Criteria </w:t>
      </w:r>
      <w:proofErr w:type="gramStart"/>
      <w:r>
        <w:t>In</w:t>
      </w:r>
      <w:proofErr w:type="gramEnd"/>
      <w:r>
        <w:t xml:space="preserve"> Solid </w:t>
      </w:r>
      <w:proofErr w:type="spellStart"/>
      <w:r>
        <w:t>Tumors</w:t>
      </w:r>
      <w:proofErr w:type="spellEnd"/>
      <w:r>
        <w:t xml:space="preserve"> (RECIST) 1.1</w:t>
      </w:r>
      <w:r w:rsidR="005D5AE0">
        <w:rPr>
          <w:rStyle w:val="FootnoteReference"/>
        </w:rPr>
        <w:footnoteReference w:id="14"/>
      </w:r>
      <w:r>
        <w:t>. Lymph nodes are measurable if the short axis diameter is ≥15 mm, soft tissue/visceral lesions are measurable if the long axis diameter is ≥10 mm.</w:t>
      </w:r>
    </w:p>
    <w:p w14:paraId="38B17D7D" w14:textId="77777777" w:rsidR="00BB7474" w:rsidRDefault="00BB7474" w:rsidP="0008560A">
      <w:pPr>
        <w:pStyle w:val="ListBullet"/>
      </w:pPr>
      <w:r>
        <w:t>Patients with regional lymph node metastases only (N1, below the aortic bifurcation) ≤will not be eligible for the study. Only patients with non–regional lymph node metastases (M1a) and/or bone metastases (M1b) and/or other sites of metastases with or without bone disease (M1c) will be eligible.</w:t>
      </w:r>
    </w:p>
    <w:p w14:paraId="0C27F87C" w14:textId="77777777" w:rsidR="00BB7474" w:rsidRDefault="00BB7474" w:rsidP="0008560A">
      <w:pPr>
        <w:pStyle w:val="ListBullet"/>
      </w:pPr>
      <w:r>
        <w:t>Patients must be candidates for ADT and docetaxel therapy per investigator’s judgment.</w:t>
      </w:r>
    </w:p>
    <w:p w14:paraId="747458E1" w14:textId="1C8D3B29" w:rsidR="00BB7474" w:rsidRDefault="00BB7474" w:rsidP="0008560A">
      <w:pPr>
        <w:pStyle w:val="ListBullet"/>
      </w:pPr>
      <w:r>
        <w:t xml:space="preserve">Started ADT (LHRH agonist/antagonist or orchiectomy) with or without first generation </w:t>
      </w:r>
      <w:proofErr w:type="gramStart"/>
      <w:r>
        <w:t>anti–androgen</w:t>
      </w:r>
      <w:proofErr w:type="gramEnd"/>
      <w:r>
        <w:t>, but no longer than 12 weeks before randomi</w:t>
      </w:r>
      <w:r w:rsidR="005D5AE0">
        <w:t>s</w:t>
      </w:r>
      <w:r>
        <w:t xml:space="preserve">ation. For patients receiving LHRH agonists, treatment in combination with a first generation </w:t>
      </w:r>
      <w:proofErr w:type="gramStart"/>
      <w:r>
        <w:t>anti–androgen</w:t>
      </w:r>
      <w:proofErr w:type="gramEnd"/>
      <w:r>
        <w:t xml:space="preserve"> for at least 4 weeks, prior to </w:t>
      </w:r>
      <w:r w:rsidR="005D5AE0">
        <w:t>randomisation</w:t>
      </w:r>
      <w:r>
        <w:t xml:space="preserve"> is recommended. First generation anti– androgen </w:t>
      </w:r>
      <w:proofErr w:type="gramStart"/>
      <w:r>
        <w:t>has to</w:t>
      </w:r>
      <w:proofErr w:type="gramEnd"/>
      <w:r>
        <w:t xml:space="preserve"> be stopped prior to </w:t>
      </w:r>
      <w:r w:rsidR="005D5AE0">
        <w:t>randomisation</w:t>
      </w:r>
      <w:r>
        <w:t>.</w:t>
      </w:r>
    </w:p>
    <w:p w14:paraId="2E82938B" w14:textId="77777777" w:rsidR="00BB7474" w:rsidRDefault="00BB7474" w:rsidP="0008560A">
      <w:pPr>
        <w:pStyle w:val="ListBullet"/>
      </w:pPr>
      <w:r>
        <w:t>An Eastern Cooperative Oncology Group performance status of 0 or 1.</w:t>
      </w:r>
    </w:p>
    <w:p w14:paraId="6263133C" w14:textId="2536FEC0" w:rsidR="00BB7474" w:rsidRDefault="00BB7474" w:rsidP="0008560A">
      <w:pPr>
        <w:pStyle w:val="ListBullet"/>
      </w:pPr>
      <w:r>
        <w:t xml:space="preserve">Blood counts at </w:t>
      </w:r>
      <w:r w:rsidR="00121A16">
        <w:t>s</w:t>
      </w:r>
      <w:r>
        <w:t xml:space="preserve">creening: </w:t>
      </w:r>
      <w:bookmarkStart w:id="33" w:name="_Hlk118374531"/>
      <w:r w:rsidR="00205E1E">
        <w:t>haemoglobin</w:t>
      </w:r>
      <w:r>
        <w:t xml:space="preserve"> ≥ </w:t>
      </w:r>
      <w:bookmarkEnd w:id="33"/>
      <w:r>
        <w:t xml:space="preserve">9.0 g/dL, absolute neutrophil </w:t>
      </w:r>
      <w:proofErr w:type="gramStart"/>
      <w:r>
        <w:t xml:space="preserve">count </w:t>
      </w:r>
      <w:r w:rsidRPr="004C4CA7">
        <w:t xml:space="preserve"> ≥</w:t>
      </w:r>
      <w:proofErr w:type="gramEnd"/>
      <w:r w:rsidRPr="004C4CA7">
        <w:t xml:space="preserve"> </w:t>
      </w:r>
      <w:r>
        <w:t>1.5x10</w:t>
      </w:r>
      <w:r w:rsidRPr="00AF6CFC">
        <w:rPr>
          <w:vertAlign w:val="superscript"/>
        </w:rPr>
        <w:t>9</w:t>
      </w:r>
      <w:r>
        <w:t>/L, platelet count</w:t>
      </w:r>
      <w:r w:rsidRPr="004C4CA7">
        <w:t xml:space="preserve"> ≥ </w:t>
      </w:r>
      <w:r>
        <w:t xml:space="preserve"> 100x10</w:t>
      </w:r>
      <w:r w:rsidRPr="00AF6CFC">
        <w:rPr>
          <w:vertAlign w:val="superscript"/>
        </w:rPr>
        <w:t>9</w:t>
      </w:r>
      <w:r>
        <w:t>/</w:t>
      </w:r>
      <w:r w:rsidR="00D20291">
        <w:t xml:space="preserve">L. </w:t>
      </w:r>
    </w:p>
    <w:p w14:paraId="0DE5D98A" w14:textId="2BD5C0E8" w:rsidR="00BB7474" w:rsidRPr="004D03B5" w:rsidRDefault="00BB7474" w:rsidP="0008560A">
      <w:pPr>
        <w:pStyle w:val="ListBullet"/>
      </w:pPr>
      <w:r>
        <w:t xml:space="preserve">Screening values of serum alanine aminotransferase and/or aspartate </w:t>
      </w:r>
      <w:proofErr w:type="gramStart"/>
      <w:r>
        <w:t xml:space="preserve">transaminase </w:t>
      </w:r>
      <w:r w:rsidRPr="00532627">
        <w:t xml:space="preserve"> </w:t>
      </w:r>
      <w:r>
        <w:t>≤</w:t>
      </w:r>
      <w:proofErr w:type="gramEnd"/>
      <w:r>
        <w:t>1.5 x upper limit of normal</w:t>
      </w:r>
      <w:r w:rsidR="00205E1E">
        <w:t xml:space="preserve"> </w:t>
      </w:r>
      <w:r>
        <w:t xml:space="preserve">(ULN), total bilirubin ≤ULN, total bilirubin ≤ULN, creatinine </w:t>
      </w:r>
      <w:r w:rsidRPr="00532627">
        <w:t>≤</w:t>
      </w:r>
      <w:r>
        <w:t>2.0 x ULN.</w:t>
      </w:r>
    </w:p>
    <w:p w14:paraId="6C51109A" w14:textId="77777777" w:rsidR="00BB7474" w:rsidRPr="004138CC" w:rsidRDefault="00BB7474" w:rsidP="00BB7474">
      <w:pPr>
        <w:rPr>
          <w:b/>
          <w:bCs/>
        </w:rPr>
      </w:pPr>
      <w:r w:rsidRPr="004138CC">
        <w:rPr>
          <w:b/>
          <w:bCs/>
        </w:rPr>
        <w:t>Key exclusion criteria were:</w:t>
      </w:r>
    </w:p>
    <w:p w14:paraId="7CF6C593" w14:textId="6FE2679C" w:rsidR="00BB7474" w:rsidRDefault="00BB7474" w:rsidP="0008560A">
      <w:pPr>
        <w:pStyle w:val="ListBullet"/>
      </w:pPr>
      <w:r>
        <w:t xml:space="preserve">Prior treatment with: LHRH agonist/antagonists started more than 12 weeks before </w:t>
      </w:r>
      <w:r w:rsidR="005D5AE0">
        <w:t>randomisation</w:t>
      </w:r>
      <w:r>
        <w:t>, second–generation</w:t>
      </w:r>
      <w:r w:rsidR="00AF6CFC">
        <w:t xml:space="preserve"> </w:t>
      </w:r>
      <w:r>
        <w:t xml:space="preserve">AR inhibitors such as enzalutamide, ARN–509, </w:t>
      </w:r>
      <w:proofErr w:type="spellStart"/>
      <w:r>
        <w:t>darolutamide</w:t>
      </w:r>
      <w:proofErr w:type="spellEnd"/>
      <w:r>
        <w:t xml:space="preserve">, other investigational AR inhibitors, cytochrome P 17 enzyme inhibitor such as abiraterone acetate or oral ketoconazole as antineoplastic treatment for prostate cancer, </w:t>
      </w:r>
      <w:proofErr w:type="gramStart"/>
      <w:r>
        <w:t>chemotherapy</w:t>
      </w:r>
      <w:proofErr w:type="gramEnd"/>
      <w:r>
        <w:t xml:space="preserve"> or immunotherapy for prostate cancer prior to </w:t>
      </w:r>
      <w:r w:rsidR="005D5AE0">
        <w:t>randomisation</w:t>
      </w:r>
      <w:r>
        <w:t>.</w:t>
      </w:r>
    </w:p>
    <w:p w14:paraId="22068C52" w14:textId="3E1C9FEA" w:rsidR="00BB7474" w:rsidRDefault="00BB7474" w:rsidP="0008560A">
      <w:pPr>
        <w:pStyle w:val="ListBullet"/>
      </w:pPr>
      <w:r>
        <w:t xml:space="preserve">Treatment with radiotherapy (external beam radiation therapy, brachytherapy, or radiopharmaceuticals) within 2 weeks before </w:t>
      </w:r>
      <w:r w:rsidR="005D5AE0">
        <w:t>randomisation</w:t>
      </w:r>
      <w:r>
        <w:t>.</w:t>
      </w:r>
    </w:p>
    <w:p w14:paraId="7041D943" w14:textId="1EABD553" w:rsidR="00BB7474" w:rsidRDefault="00BB7474" w:rsidP="0008560A">
      <w:pPr>
        <w:pStyle w:val="ListBullet"/>
      </w:pPr>
      <w:r>
        <w:t xml:space="preserve">Had any of the following within 6 months before </w:t>
      </w:r>
      <w:r w:rsidR="005D5AE0">
        <w:t>randomisation</w:t>
      </w:r>
      <w:r>
        <w:t>: stroke, myocardial infarction, severe/unstable angina pectoris, coronary/peripheral artery bypass graft, congestive heart failure (New York Heart Association Class III or IV).</w:t>
      </w:r>
    </w:p>
    <w:p w14:paraId="2938D760" w14:textId="77777777" w:rsidR="00BB7474" w:rsidRDefault="00BB7474" w:rsidP="0008560A">
      <w:pPr>
        <w:pStyle w:val="ListBullet"/>
      </w:pPr>
      <w:r>
        <w:t>Uncontrolled hypertension as indicated by a resting systolic blood pressure (BP) ≥160 mmHg or diastolic BP ≥100 mmHg despite medical management.</w:t>
      </w:r>
    </w:p>
    <w:p w14:paraId="04AB576B" w14:textId="19093E84" w:rsidR="00BB7474" w:rsidRDefault="00BB7474" w:rsidP="0008560A">
      <w:pPr>
        <w:pStyle w:val="ListBullet"/>
      </w:pPr>
      <w:r>
        <w:t>Had a prior malignancy. Adequately treated basal cell or squamous cell carcinoma of skin or superficial bladder cancer that has not spread behind the connective tissue layer (</w:t>
      </w:r>
      <w:r w:rsidR="00ED2E7D">
        <w:t>i.e.</w:t>
      </w:r>
      <w:r>
        <w:t xml:space="preserve">, </w:t>
      </w:r>
      <w:proofErr w:type="spellStart"/>
      <w:r>
        <w:t>pTis</w:t>
      </w:r>
      <w:proofErr w:type="spellEnd"/>
      <w:r>
        <w:t xml:space="preserve">, </w:t>
      </w:r>
      <w:proofErr w:type="spellStart"/>
      <w:r>
        <w:t>pTa</w:t>
      </w:r>
      <w:proofErr w:type="spellEnd"/>
      <w:r>
        <w:t xml:space="preserve">, and pT1) is allowed, as well as any other cancer for which treatment has been completed ≥5 years before </w:t>
      </w:r>
      <w:r w:rsidR="005D5AE0">
        <w:t>randomisation</w:t>
      </w:r>
      <w:r>
        <w:t xml:space="preserve"> and from which the patient has been disease–free.</w:t>
      </w:r>
    </w:p>
    <w:p w14:paraId="3C4559AC" w14:textId="77777777" w:rsidR="00BB7474" w:rsidRPr="00B030F9" w:rsidRDefault="00BB7474" w:rsidP="0008560A">
      <w:pPr>
        <w:pStyle w:val="ListBullet"/>
      </w:pPr>
      <w:r w:rsidRPr="00B030F9">
        <w:t>A gastrointestinal disorder or procedure which is expected</w:t>
      </w:r>
      <w:r>
        <w:t xml:space="preserve"> </w:t>
      </w:r>
      <w:r w:rsidRPr="00B030F9">
        <w:t>to interfere significantly with absorption of study drug</w:t>
      </w:r>
      <w:r>
        <w:t xml:space="preserve"> </w:t>
      </w:r>
      <w:r w:rsidRPr="00B030F9">
        <w:t>17777</w:t>
      </w:r>
      <w:r>
        <w:t>.</w:t>
      </w:r>
    </w:p>
    <w:p w14:paraId="4B8DDEFF" w14:textId="77777777" w:rsidR="00BB7474" w:rsidRPr="00B030F9" w:rsidRDefault="00BB7474" w:rsidP="0008560A">
      <w:pPr>
        <w:pStyle w:val="ListBullet"/>
      </w:pPr>
      <w:r w:rsidRPr="00B030F9">
        <w:t>An active viral hepatitis, known human immunodeficiency</w:t>
      </w:r>
      <w:r>
        <w:t xml:space="preserve"> </w:t>
      </w:r>
      <w:r w:rsidRPr="00B030F9">
        <w:t>virus infection with detectable viral load, or chronic liver</w:t>
      </w:r>
      <w:r>
        <w:t xml:space="preserve"> </w:t>
      </w:r>
      <w:r w:rsidRPr="00B030F9">
        <w:t>disease with a need for treatment</w:t>
      </w:r>
      <w:r>
        <w:t>.</w:t>
      </w:r>
    </w:p>
    <w:p w14:paraId="405E2EA0" w14:textId="098340A7" w:rsidR="00BB7474" w:rsidRDefault="00BB7474" w:rsidP="0008560A">
      <w:r w:rsidRPr="00FC7A22">
        <w:t xml:space="preserve">The study comprised 4 consecutive periods: </w:t>
      </w:r>
      <w:r w:rsidR="004138CC">
        <w:t>s</w:t>
      </w:r>
      <w:r w:rsidRPr="00FC7A22">
        <w:t xml:space="preserve">creening, </w:t>
      </w:r>
      <w:r w:rsidR="004138CC">
        <w:t>t</w:t>
      </w:r>
      <w:r w:rsidRPr="00FC7A22">
        <w:t xml:space="preserve">reatment, </w:t>
      </w:r>
      <w:r w:rsidR="004138CC">
        <w:t>a</w:t>
      </w:r>
      <w:r w:rsidRPr="00FC7A22">
        <w:t>ctive follow-up, and</w:t>
      </w:r>
      <w:r>
        <w:t xml:space="preserve"> s</w:t>
      </w:r>
      <w:r w:rsidRPr="00FC7A22">
        <w:t>urvival follow-up.</w:t>
      </w:r>
    </w:p>
    <w:p w14:paraId="740EEC63" w14:textId="1B9E82BA" w:rsidR="005B522C" w:rsidRDefault="007E1479" w:rsidP="0008560A">
      <w:r w:rsidRPr="007E1479">
        <w:rPr>
          <w:b/>
          <w:bCs/>
        </w:rPr>
        <w:t>Enrolment</w:t>
      </w:r>
      <w:r>
        <w:t>: t</w:t>
      </w:r>
      <w:r w:rsidR="00BB7474" w:rsidRPr="00FC7A22">
        <w:t>he study started enrolling patients on 30 N</w:t>
      </w:r>
      <w:r w:rsidR="004138CC">
        <w:t>ovember</w:t>
      </w:r>
      <w:r w:rsidR="00BB7474" w:rsidRPr="00FC7A22">
        <w:t xml:space="preserve"> 2016 and was conducted in 23</w:t>
      </w:r>
      <w:r w:rsidR="00BB7474">
        <w:t xml:space="preserve"> </w:t>
      </w:r>
      <w:r w:rsidR="00BB7474" w:rsidRPr="00FC7A22">
        <w:t xml:space="preserve">countries/regions. Patients were randomised in a 1:1 ratio to receive </w:t>
      </w:r>
      <w:proofErr w:type="spellStart"/>
      <w:r w:rsidR="00BB7474" w:rsidRPr="00FC7A22">
        <w:t>darolutamide</w:t>
      </w:r>
      <w:proofErr w:type="spellEnd"/>
      <w:r w:rsidR="00BB7474" w:rsidRPr="00FC7A22">
        <w:t xml:space="preserve"> or placebo (</w:t>
      </w:r>
      <w:r w:rsidR="00ED2E7D" w:rsidRPr="00FC7A22">
        <w:t>i.e.</w:t>
      </w:r>
      <w:r w:rsidR="00BB7474" w:rsidRPr="00FC7A22">
        <w:t xml:space="preserve">, study drug) at 600 mg (2 tablets of 300 mg) BID with food, equal to a daily dose of 1200 mg. </w:t>
      </w:r>
    </w:p>
    <w:p w14:paraId="51934880" w14:textId="7B8F8A99" w:rsidR="00BB7474" w:rsidRPr="00FC7A22" w:rsidRDefault="00BB7474" w:rsidP="0008560A">
      <w:r w:rsidRPr="007E1479">
        <w:rPr>
          <w:b/>
          <w:bCs/>
        </w:rPr>
        <w:t>Randomisation</w:t>
      </w:r>
      <w:r w:rsidR="007E1479">
        <w:rPr>
          <w:b/>
          <w:bCs/>
        </w:rPr>
        <w:t>:</w:t>
      </w:r>
      <w:r w:rsidRPr="00FC7A22">
        <w:t xml:space="preserve"> was stratified by extent of disease and alkaline phosphatase (ALP) levels. Docetaxel was to be administered after </w:t>
      </w:r>
      <w:r w:rsidR="005D5AE0">
        <w:t>randomisation</w:t>
      </w:r>
      <w:r w:rsidRPr="00FC7A22">
        <w:t xml:space="preserve"> at a dose of 75 mg/m</w:t>
      </w:r>
      <w:r w:rsidRPr="0083673E">
        <w:rPr>
          <w:vertAlign w:val="superscript"/>
        </w:rPr>
        <w:t>2</w:t>
      </w:r>
      <w:r w:rsidRPr="00FC7A22">
        <w:t xml:space="preserve"> as an IV</w:t>
      </w:r>
    </w:p>
    <w:p w14:paraId="35FD9F32" w14:textId="2EDC34E1" w:rsidR="00BB7474" w:rsidRPr="00FC7A22" w:rsidRDefault="00BB7474" w:rsidP="0008560A">
      <w:r w:rsidRPr="00FC7A22">
        <w:t>infusion every 21 days for 6 cycles, starting within 6 weeks after the start of study drug.</w:t>
      </w:r>
    </w:p>
    <w:p w14:paraId="5DD10905" w14:textId="77777777" w:rsidR="00BB7474" w:rsidRDefault="00BB7474" w:rsidP="0008560A">
      <w:r>
        <w:t>Docetaxel could be administered in combination with prednisone/prednisolone at the discretion of the investigator. All patients were required to receive ADT of the investigator’s</w:t>
      </w:r>
    </w:p>
    <w:p w14:paraId="3753E613" w14:textId="77777777" w:rsidR="00BB7474" w:rsidRDefault="00BB7474" w:rsidP="0008560A">
      <w:r>
        <w:t>choice (LHRH agonist/antagonists or orchiectomy) as standard therapy starting ≤12 weeks</w:t>
      </w:r>
    </w:p>
    <w:p w14:paraId="28AE37E7" w14:textId="77777777" w:rsidR="00BB7474" w:rsidRDefault="00BB7474" w:rsidP="0008560A">
      <w:r>
        <w:t xml:space="preserve">before randomisation. Patients were to remain on treatment with either </w:t>
      </w:r>
      <w:proofErr w:type="spellStart"/>
      <w:r>
        <w:t>darolutamide</w:t>
      </w:r>
      <w:proofErr w:type="spellEnd"/>
      <w:r>
        <w:t xml:space="preserve"> or</w:t>
      </w:r>
    </w:p>
    <w:p w14:paraId="3EA359F5" w14:textId="77777777" w:rsidR="00BB7474" w:rsidRDefault="00BB7474" w:rsidP="0008560A">
      <w:r>
        <w:t>placebo until symptomatic progressive disease, change of antineoplastic therapy, unacceptable</w:t>
      </w:r>
    </w:p>
    <w:p w14:paraId="1BBED8F5" w14:textId="77777777" w:rsidR="00BB7474" w:rsidRDefault="00BB7474" w:rsidP="0008560A">
      <w:r>
        <w:t>toxicity, death, or until any other withdrawal criterion was met.</w:t>
      </w:r>
    </w:p>
    <w:p w14:paraId="537DDFC6" w14:textId="03DD6330" w:rsidR="00BB7474" w:rsidRDefault="003A02EE" w:rsidP="0008560A">
      <w:r w:rsidRPr="003A02EE">
        <w:rPr>
          <w:b/>
          <w:bCs/>
        </w:rPr>
        <w:t>Periodic review</w:t>
      </w:r>
      <w:r>
        <w:t>: a</w:t>
      </w:r>
      <w:r w:rsidR="00BB7474">
        <w:t>n independent Data Monitoring Committee (DMC) was instituted to ensure ongoing safety</w:t>
      </w:r>
      <w:r>
        <w:t xml:space="preserve"> </w:t>
      </w:r>
      <w:r w:rsidR="00BB7474">
        <w:t>of patients with respect to a risk/benefit assessment during periodic data review meetings. The</w:t>
      </w:r>
      <w:r>
        <w:t xml:space="preserve"> </w:t>
      </w:r>
      <w:r w:rsidR="00BB7474">
        <w:t>DMC reviewed results from a planned interim analysis for futility, provided a formal</w:t>
      </w:r>
      <w:r>
        <w:t xml:space="preserve"> </w:t>
      </w:r>
      <w:r w:rsidR="00BB7474">
        <w:t>recommendation for continuation/termination of the study, and monitored study conduct to</w:t>
      </w:r>
      <w:r>
        <w:t xml:space="preserve"> </w:t>
      </w:r>
      <w:r w:rsidR="00BB7474">
        <w:t>ensure the overall integrity of trial was maintained.</w:t>
      </w:r>
    </w:p>
    <w:p w14:paraId="7BDBCB5F" w14:textId="5900FF45" w:rsidR="00BB7474" w:rsidRDefault="003A02EE" w:rsidP="0008560A">
      <w:r>
        <w:rPr>
          <w:b/>
          <w:bCs/>
        </w:rPr>
        <w:t>I</w:t>
      </w:r>
      <w:r w:rsidR="00BB7474" w:rsidRPr="007E1479">
        <w:rPr>
          <w:b/>
          <w:bCs/>
        </w:rPr>
        <w:t>nterim analysis</w:t>
      </w:r>
      <w:r>
        <w:rPr>
          <w:b/>
          <w:bCs/>
        </w:rPr>
        <w:t xml:space="preserve">: </w:t>
      </w:r>
      <w:r w:rsidRPr="003A02EE">
        <w:t>an analysis</w:t>
      </w:r>
      <w:r w:rsidR="00BB7474">
        <w:t xml:space="preserve"> for futility was performed after 177 deaths were observed. Primary</w:t>
      </w:r>
      <w:r>
        <w:t xml:space="preserve"> </w:t>
      </w:r>
      <w:r w:rsidR="00BB7474">
        <w:t>completion was to be reached when approximately 509 deaths (as per SAP) had occurred. At</w:t>
      </w:r>
      <w:r>
        <w:t xml:space="preserve"> </w:t>
      </w:r>
      <w:r w:rsidR="00BB7474">
        <w:t>the data cut</w:t>
      </w:r>
      <w:r w:rsidR="005D5AE0">
        <w:t>-</w:t>
      </w:r>
      <w:r w:rsidR="00BB7474">
        <w:t xml:space="preserve">off 25 </w:t>
      </w:r>
      <w:r w:rsidR="00BA4C0B">
        <w:t xml:space="preserve">October </w:t>
      </w:r>
      <w:r w:rsidR="00BB7474">
        <w:t>2021 (primary completion data analysis), 533 deaths had occurred.</w:t>
      </w:r>
    </w:p>
    <w:p w14:paraId="76CB5FA5" w14:textId="77777777" w:rsidR="00BB7474" w:rsidRDefault="00BB7474" w:rsidP="0008560A">
      <w:r w:rsidRPr="007E1479">
        <w:rPr>
          <w:b/>
          <w:bCs/>
        </w:rPr>
        <w:t>Treatment period</w:t>
      </w:r>
      <w:r w:rsidRPr="00EB399C">
        <w:t>:</w:t>
      </w:r>
      <w:r>
        <w:t xml:space="preserve"> s</w:t>
      </w:r>
      <w:r w:rsidRPr="00EB399C">
        <w:t>tudy treatment was provided for all patients twice daily, until</w:t>
      </w:r>
      <w:r>
        <w:t xml:space="preserve"> </w:t>
      </w:r>
      <w:r w:rsidRPr="00EB399C">
        <w:t>disease progression (symptomatic progressive disease, change</w:t>
      </w:r>
      <w:r>
        <w:t xml:space="preserve"> </w:t>
      </w:r>
      <w:r w:rsidRPr="00EB399C">
        <w:t>of systemic antineoplastic therapy), unacceptable toxicity,</w:t>
      </w:r>
      <w:r>
        <w:t xml:space="preserve"> </w:t>
      </w:r>
      <w:r w:rsidRPr="00EB399C">
        <w:t>consent withdrawal, withdrawal at the discretion of the</w:t>
      </w:r>
      <w:r>
        <w:t xml:space="preserve"> </w:t>
      </w:r>
      <w:r w:rsidRPr="00EB399C">
        <w:t>investigator, death, or non-compliance.</w:t>
      </w:r>
    </w:p>
    <w:p w14:paraId="59765154" w14:textId="2C29BA62" w:rsidR="00BB7474" w:rsidRDefault="00BB7474" w:rsidP="0008560A">
      <w:r w:rsidRPr="009E1278">
        <w:rPr>
          <w:b/>
          <w:bCs/>
        </w:rPr>
        <w:t>Patient</w:t>
      </w:r>
      <w:r w:rsidR="009E1278" w:rsidRPr="009E1278">
        <w:rPr>
          <w:b/>
          <w:bCs/>
        </w:rPr>
        <w:t xml:space="preserve"> evaluation</w:t>
      </w:r>
      <w:r w:rsidR="009E1278">
        <w:t>: patients</w:t>
      </w:r>
      <w:r w:rsidRPr="00EB399C">
        <w:t xml:space="preserve"> were evaluated every 12 weeks for progression to</w:t>
      </w:r>
      <w:r>
        <w:t xml:space="preserve"> </w:t>
      </w:r>
      <w:r w:rsidR="003A02EE">
        <w:t>CRPC</w:t>
      </w:r>
      <w:r w:rsidRPr="00EB399C">
        <w:t>, initiation of subsequent</w:t>
      </w:r>
      <w:r>
        <w:t xml:space="preserve"> </w:t>
      </w:r>
      <w:r w:rsidRPr="00EB399C">
        <w:t>antineoplastic therapy, SSEs, opioid use for ≥7 consecutive</w:t>
      </w:r>
      <w:r w:rsidR="003A02EE">
        <w:t xml:space="preserve"> </w:t>
      </w:r>
      <w:r w:rsidRPr="00EB399C">
        <w:t>days, pain</w:t>
      </w:r>
      <w:r w:rsidR="002E019A">
        <w:t xml:space="preserve"> </w:t>
      </w:r>
      <w:r w:rsidRPr="00EB399C">
        <w:t>progression, worsening of physical symptoms of</w:t>
      </w:r>
      <w:r>
        <w:t xml:space="preserve"> </w:t>
      </w:r>
      <w:r w:rsidRPr="00EB399C">
        <w:t xml:space="preserve">disease based on </w:t>
      </w:r>
      <w:r w:rsidR="009E1278" w:rsidRPr="009E1278">
        <w:t>The Functional Assessment of Cancer Therapy-Prostate (FACT-P) and the National Comprehensive Cancer</w:t>
      </w:r>
      <w:r w:rsidR="002E019A">
        <w:t xml:space="preserve"> </w:t>
      </w:r>
      <w:r w:rsidR="009E1278" w:rsidRPr="009E1278">
        <w:t>Network/Functional Assessment of Cancer Therapy-Prostate Symptom Index-17 (NFPSI-17)</w:t>
      </w:r>
      <w:r w:rsidRPr="00EB399C">
        <w:t>, AE</w:t>
      </w:r>
      <w:r w:rsidR="003A02EE">
        <w:t>s</w:t>
      </w:r>
      <w:r w:rsidRPr="00EB399C">
        <w:t xml:space="preserve"> and SAEs,</w:t>
      </w:r>
      <w:r w:rsidR="00807D48" w:rsidRPr="00EB399C">
        <w:t xml:space="preserve"> </w:t>
      </w:r>
      <w:r w:rsidRPr="00EB399C">
        <w:t>QoL</w:t>
      </w:r>
      <w:r w:rsidR="00807D48">
        <w:t xml:space="preserve"> </w:t>
      </w:r>
      <w:r w:rsidRPr="00EB399C">
        <w:t>and PSA assessment.</w:t>
      </w:r>
    </w:p>
    <w:p w14:paraId="2B1AE227" w14:textId="77777777" w:rsidR="00BB7474" w:rsidRPr="00EB399C" w:rsidRDefault="00BB7474" w:rsidP="0008560A">
      <w:r w:rsidRPr="009E1278">
        <w:rPr>
          <w:b/>
          <w:bCs/>
        </w:rPr>
        <w:t>Active follow–up period (approximately 1 year)</w:t>
      </w:r>
      <w:r w:rsidRPr="00EB399C">
        <w:t>:</w:t>
      </w:r>
      <w:r>
        <w:t xml:space="preserve"> t</w:t>
      </w:r>
      <w:r w:rsidRPr="00EB399C">
        <w:t xml:space="preserve">he </w:t>
      </w:r>
      <w:r>
        <w:t>a</w:t>
      </w:r>
      <w:r w:rsidRPr="00EB399C">
        <w:t>ctive follow-up period was the interval from the end-of</w:t>
      </w:r>
      <w:r>
        <w:t xml:space="preserve"> </w:t>
      </w:r>
      <w:r w:rsidRPr="00EB399C">
        <w:t>study</w:t>
      </w:r>
      <w:r>
        <w:t xml:space="preserve"> </w:t>
      </w:r>
      <w:r w:rsidRPr="00EB399C">
        <w:t>drug intake to the end of all protocol-specified post</w:t>
      </w:r>
      <w:r>
        <w:t>-</w:t>
      </w:r>
      <w:r w:rsidRPr="00EB399C">
        <w:t>treatment</w:t>
      </w:r>
    </w:p>
    <w:p w14:paraId="4162B574" w14:textId="77777777" w:rsidR="00BB7474" w:rsidRDefault="00BB7474" w:rsidP="0008560A">
      <w:r w:rsidRPr="00EB399C">
        <w:t>interventions.</w:t>
      </w:r>
    </w:p>
    <w:p w14:paraId="02D80154" w14:textId="77777777" w:rsidR="00BB7474" w:rsidRPr="00EB399C" w:rsidRDefault="00BB7474" w:rsidP="0008560A">
      <w:r w:rsidRPr="009E1278">
        <w:rPr>
          <w:b/>
          <w:bCs/>
        </w:rPr>
        <w:t>Long–term (survival) follow–up period</w:t>
      </w:r>
      <w:r w:rsidRPr="00EB399C">
        <w:t>:</w:t>
      </w:r>
      <w:r>
        <w:t xml:space="preserve"> a</w:t>
      </w:r>
      <w:r w:rsidRPr="00EB399C">
        <w:t xml:space="preserve">fter </w:t>
      </w:r>
      <w:r>
        <w:t>a</w:t>
      </w:r>
      <w:r w:rsidRPr="00EB399C">
        <w:t>ctive follow-up, patients continued to be contacted</w:t>
      </w:r>
      <w:r>
        <w:t xml:space="preserve"> </w:t>
      </w:r>
      <w:r w:rsidRPr="00EB399C">
        <w:t>approximately every 12 weeks by phone to capture all</w:t>
      </w:r>
      <w:r>
        <w:t xml:space="preserve"> </w:t>
      </w:r>
      <w:r w:rsidRPr="00EB399C">
        <w:t>antineoplastic treatments for prostate cancer with start and stop</w:t>
      </w:r>
      <w:r>
        <w:t xml:space="preserve"> </w:t>
      </w:r>
      <w:r w:rsidRPr="00EB399C">
        <w:t>date and reasons for change (PSA progression, clinical</w:t>
      </w:r>
    </w:p>
    <w:p w14:paraId="33B7B35B" w14:textId="77777777" w:rsidR="00BB7474" w:rsidRPr="00EB399C" w:rsidRDefault="00BB7474" w:rsidP="0008560A">
      <w:r w:rsidRPr="00EB399C">
        <w:t>progression, radiological progression, toxicity, other), study</w:t>
      </w:r>
      <w:r>
        <w:t xml:space="preserve"> </w:t>
      </w:r>
      <w:r w:rsidRPr="00EB399C">
        <w:t xml:space="preserve">drug–related SAEs and survival status. The end of </w:t>
      </w:r>
      <w:r>
        <w:t>l</w:t>
      </w:r>
      <w:r w:rsidRPr="00EB399C">
        <w:t>ong–term</w:t>
      </w:r>
      <w:r>
        <w:t xml:space="preserve"> </w:t>
      </w:r>
      <w:r w:rsidRPr="00EB399C">
        <w:t>(</w:t>
      </w:r>
      <w:r>
        <w:t>s</w:t>
      </w:r>
      <w:r w:rsidRPr="00EB399C">
        <w:t>urvival) follow–up period was death, lost to follow–up</w:t>
      </w:r>
      <w:r>
        <w:t xml:space="preserve">, </w:t>
      </w:r>
      <w:r w:rsidRPr="00EB399C">
        <w:t>consent withdrawal, or end–of–study.</w:t>
      </w:r>
    </w:p>
    <w:p w14:paraId="3A1563F8" w14:textId="296DCDC5" w:rsidR="00BB7474" w:rsidRDefault="00BB7474" w:rsidP="0008560A">
      <w:r w:rsidRPr="009E1278">
        <w:rPr>
          <w:b/>
          <w:bCs/>
        </w:rPr>
        <w:t>Dose modification</w:t>
      </w:r>
      <w:r>
        <w:t>: d</w:t>
      </w:r>
      <w:r w:rsidRPr="00223AFB">
        <w:t>oses of study treatment could be delayed or reduced in case of clinically significant toxicities.</w:t>
      </w:r>
      <w:r>
        <w:t xml:space="preserve"> </w:t>
      </w:r>
      <w:r w:rsidRPr="00223AFB">
        <w:t xml:space="preserve">If a patient experienced a Grade 3 or 4 adverse event (AE), treatment with blinded study drug </w:t>
      </w:r>
      <w:r>
        <w:t>was interrupted until the AE improved to Grade 2 or lower, then resumed at a lower dose of 300 mg BID. Any patient who required a study drug interruption &gt;28 consecutive days or who experienced a Grade 3 or higher treatment-related toxicity on 300 mg BID was to permanently discontinue study treatment. Dosing of study drug below 300 mg BID was not allowed.</w:t>
      </w:r>
      <w:r w:rsidR="009E1278">
        <w:t xml:space="preserve"> </w:t>
      </w:r>
      <w:r>
        <w:t>Dose modifications of docetaxel were to be made based on specific types of toxicities</w:t>
      </w:r>
      <w:r w:rsidR="00F069A5">
        <w:t>.</w:t>
      </w:r>
    </w:p>
    <w:p w14:paraId="28BB4B00" w14:textId="24945A37" w:rsidR="00BB7474" w:rsidRPr="00972555" w:rsidRDefault="009E1278" w:rsidP="0008560A">
      <w:r w:rsidRPr="009E1278">
        <w:rPr>
          <w:b/>
          <w:bCs/>
        </w:rPr>
        <w:t xml:space="preserve">Screening: </w:t>
      </w:r>
      <w:r>
        <w:t>s</w:t>
      </w:r>
      <w:r w:rsidR="00BB7474" w:rsidRPr="00972555">
        <w:t xml:space="preserve">creening tests were performed within 28 days prior to </w:t>
      </w:r>
      <w:r w:rsidR="005D5AE0">
        <w:t>randomisation</w:t>
      </w:r>
      <w:r w:rsidR="00BB7474" w:rsidRPr="00972555">
        <w:t>. During the study</w:t>
      </w:r>
      <w:r>
        <w:t xml:space="preserve"> </w:t>
      </w:r>
      <w:r w:rsidR="00BB7474" w:rsidRPr="00972555">
        <w:t>treatment period, patients were evaluated every 12 weeks (±7 days) for progression to</w:t>
      </w:r>
    </w:p>
    <w:p w14:paraId="144CF29E" w14:textId="4E713B53" w:rsidR="00BB7474" w:rsidRDefault="00BB7474" w:rsidP="0008560A">
      <w:r w:rsidRPr="00972555">
        <w:t>CRPC, initiation of subsequent antineoplastic therapy,</w:t>
      </w:r>
      <w:r w:rsidR="0083673E">
        <w:t xml:space="preserve"> </w:t>
      </w:r>
      <w:r w:rsidRPr="00972555">
        <w:t>SSEs, opioid use for ≥7 consecutive days, pain progression,</w:t>
      </w:r>
      <w:r w:rsidR="0083673E">
        <w:t xml:space="preserve"> </w:t>
      </w:r>
      <w:r w:rsidRPr="00972555">
        <w:t>worsening of physical symptoms of disease based on NCCN-FACT-FPSI-17 questionnaire, quality</w:t>
      </w:r>
      <w:r>
        <w:t xml:space="preserve"> </w:t>
      </w:r>
      <w:r w:rsidRPr="00972555">
        <w:t>of life (QoL), PSA, and safety. Serum PSA and testosterone were assessed by central laboratory.</w:t>
      </w:r>
    </w:p>
    <w:p w14:paraId="67044E8B" w14:textId="77777777" w:rsidR="00BB7474" w:rsidRPr="00972555" w:rsidRDefault="00BB7474" w:rsidP="0008560A">
      <w:r w:rsidRPr="00972555">
        <w:t>Chest, abdomen, and pelvic CT or MRI and bone scans were performed at the end of docetaxel</w:t>
      </w:r>
    </w:p>
    <w:p w14:paraId="2B461EB6" w14:textId="77777777" w:rsidR="00BB7474" w:rsidRPr="00972555" w:rsidRDefault="00BB7474" w:rsidP="0008560A">
      <w:r w:rsidRPr="00972555">
        <w:t>treatment (within 30 days from last cycle of docetaxel) and yearly thereafter. Chest, abdomen,</w:t>
      </w:r>
    </w:p>
    <w:p w14:paraId="3C14FB64" w14:textId="77777777" w:rsidR="00BB7474" w:rsidRPr="00972555" w:rsidRDefault="00BB7474" w:rsidP="0008560A">
      <w:r w:rsidRPr="00972555">
        <w:t>and pelvic CT or MRI and bone scans could also be performed at any time in case of PSA</w:t>
      </w:r>
    </w:p>
    <w:p w14:paraId="0BFD0BEA" w14:textId="77777777" w:rsidR="00BB7474" w:rsidRPr="00972555" w:rsidRDefault="00BB7474" w:rsidP="0008560A">
      <w:r w:rsidRPr="00972555">
        <w:t>progression, symptomatic progressive disease, change of antineoplastic therapy, or if</w:t>
      </w:r>
    </w:p>
    <w:p w14:paraId="05BEC8A8" w14:textId="77777777" w:rsidR="00BB7474" w:rsidRPr="00972555" w:rsidRDefault="00BB7474" w:rsidP="0008560A">
      <w:r w:rsidRPr="00972555">
        <w:t>considered as appropriate in the investigator’s judgment. Radiographic progression by soft</w:t>
      </w:r>
    </w:p>
    <w:p w14:paraId="032494CD" w14:textId="77777777" w:rsidR="00BB7474" w:rsidRPr="00972555" w:rsidRDefault="00BB7474" w:rsidP="0008560A">
      <w:r w:rsidRPr="00972555">
        <w:t xml:space="preserve">tissue/visceral lesions </w:t>
      </w:r>
      <w:proofErr w:type="gramStart"/>
      <w:r w:rsidRPr="00972555">
        <w:t>was</w:t>
      </w:r>
      <w:proofErr w:type="gramEnd"/>
      <w:r w:rsidRPr="00972555">
        <w:t xml:space="preserve"> determined according to RECIST criteria, version 1.1, and by bone</w:t>
      </w:r>
    </w:p>
    <w:p w14:paraId="4E658B04" w14:textId="3F4757A3" w:rsidR="00BB7474" w:rsidRDefault="00BB7474" w:rsidP="0008560A">
      <w:r w:rsidRPr="00972555">
        <w:t xml:space="preserve">lesions according to </w:t>
      </w:r>
      <w:r w:rsidR="0020686C" w:rsidRPr="0020686C">
        <w:t xml:space="preserve">Prostate Cancer Clinical Trials Working Group 3 </w:t>
      </w:r>
      <w:r w:rsidRPr="00972555">
        <w:t xml:space="preserve">criteria based on whole body </w:t>
      </w:r>
      <w:r w:rsidRPr="005058FF">
        <w:rPr>
          <w:vertAlign w:val="superscript"/>
        </w:rPr>
        <w:t>99m</w:t>
      </w:r>
      <w:r w:rsidRPr="00972555">
        <w:t>T</w:t>
      </w:r>
      <w:r w:rsidR="005058FF">
        <w:t>e</w:t>
      </w:r>
      <w:r w:rsidRPr="00972555">
        <w:t>c</w:t>
      </w:r>
      <w:r w:rsidR="005058FF">
        <w:t>hnetium</w:t>
      </w:r>
      <w:r w:rsidRPr="00972555">
        <w:t>-methylene diphosphonate</w:t>
      </w:r>
      <w:r w:rsidR="0020686C">
        <w:t xml:space="preserve"> </w:t>
      </w:r>
      <w:r w:rsidRPr="00972555">
        <w:t>bone scans.</w:t>
      </w:r>
    </w:p>
    <w:p w14:paraId="5C89C160" w14:textId="3567905D" w:rsidR="00BB7474" w:rsidRDefault="005058FF" w:rsidP="0008560A">
      <w:r w:rsidRPr="005058FF">
        <w:rPr>
          <w:b/>
          <w:bCs/>
        </w:rPr>
        <w:t xml:space="preserve">End of treatment: </w:t>
      </w:r>
      <w:r>
        <w:t>a</w:t>
      </w:r>
      <w:r w:rsidR="00BB7474" w:rsidRPr="00972555">
        <w:t>fter treatment discontinuation, patients had an End-of-Treatment visit 30 days (+7 days) after</w:t>
      </w:r>
      <w:r>
        <w:t xml:space="preserve"> </w:t>
      </w:r>
      <w:r w:rsidR="00BB7474" w:rsidRPr="00972555">
        <w:t xml:space="preserve">the last </w:t>
      </w:r>
      <w:r w:rsidR="00ED2E7D" w:rsidRPr="00972555">
        <w:t>dose and</w:t>
      </w:r>
      <w:r w:rsidR="00BB7474" w:rsidRPr="00972555">
        <w:t xml:space="preserve"> entered the Active follow-up period for up to 1 year. During </w:t>
      </w:r>
      <w:r>
        <w:t>a</w:t>
      </w:r>
      <w:r w:rsidR="00BB7474" w:rsidRPr="00972555">
        <w:t>ctive follow-up,</w:t>
      </w:r>
      <w:r>
        <w:t xml:space="preserve"> </w:t>
      </w:r>
      <w:r w:rsidR="00BB7474" w:rsidRPr="00972555">
        <w:t>the following evaluations were performed approximately every 12 weeks at standard of care</w:t>
      </w:r>
      <w:r>
        <w:t xml:space="preserve"> </w:t>
      </w:r>
      <w:r w:rsidR="00BB7474" w:rsidRPr="00972555">
        <w:t>clinic visits: QoL, pain assessment, analgesic consumption, subsequent antineoplastic</w:t>
      </w:r>
      <w:r>
        <w:t xml:space="preserve"> </w:t>
      </w:r>
      <w:r w:rsidR="00BB7474" w:rsidRPr="00972555">
        <w:t>treatments for prostate cancer, SSEs, survival status, and study drug-related</w:t>
      </w:r>
      <w:r w:rsidR="0083673E">
        <w:t xml:space="preserve"> </w:t>
      </w:r>
      <w:r w:rsidR="00BB7474" w:rsidRPr="00972555">
        <w:t>SAEs.</w:t>
      </w:r>
    </w:p>
    <w:p w14:paraId="2BCC797C" w14:textId="77777777" w:rsidR="00BB7474" w:rsidRDefault="00BB7474" w:rsidP="0008560A">
      <w:r>
        <w:t>After active follow up, patients continued to be contacted about every 12 weeks in long term (survival) follow up to capture survival status, subsequent anti-neoplastic treatments for PC and study drug related SAEs.</w:t>
      </w:r>
    </w:p>
    <w:p w14:paraId="6123C60B" w14:textId="5A9B5FB0" w:rsidR="005058FF" w:rsidRDefault="00BB7474" w:rsidP="0008560A">
      <w:r>
        <w:t xml:space="preserve">Efficacy endpoints are as detailed below in Table </w:t>
      </w:r>
      <w:r w:rsidR="00163561">
        <w:t>6</w:t>
      </w:r>
      <w:r>
        <w:t>. The order of secondary endpoints reflects the hierarchical test procedure as indicated in the following information.</w:t>
      </w:r>
    </w:p>
    <w:p w14:paraId="04C73990" w14:textId="77777777" w:rsidR="0008560A" w:rsidRDefault="00BB7474" w:rsidP="00B744A9">
      <w:pPr>
        <w:pStyle w:val="TableTitle"/>
      </w:pPr>
      <w:r>
        <w:t xml:space="preserve">Table </w:t>
      </w:r>
      <w:r w:rsidR="00163561">
        <w:t>6</w:t>
      </w:r>
      <w:r w:rsidR="001B0B76">
        <w:t xml:space="preserve">. </w:t>
      </w:r>
      <w:r>
        <w:t>Efficacy endpoints in study 1777</w:t>
      </w:r>
    </w:p>
    <w:p w14:paraId="13545943" w14:textId="6573F825" w:rsidR="00B744A9" w:rsidRDefault="00B744A9" w:rsidP="00B744A9">
      <w:r w:rsidRPr="00CA399B">
        <w:rPr>
          <w:noProof/>
        </w:rPr>
        <w:drawing>
          <wp:inline distT="0" distB="0" distL="0" distR="0" wp14:anchorId="2E733CF3" wp14:editId="6E5CA9E7">
            <wp:extent cx="4528868" cy="3547612"/>
            <wp:effectExtent l="0" t="0" r="5080" b="0"/>
            <wp:docPr id="865879643" name="Picture 865879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BEBA8EAE-BF5A-486C-A8C5-ECC9F3942E4B}">
                          <a14:imgProps xmlns:a14="http://schemas.microsoft.com/office/drawing/2010/main">
                            <a14:imgLayer r:embed="rId31">
                              <a14:imgEffect>
                                <a14:sharpenSoften amount="25000"/>
                              </a14:imgEffect>
                              <a14:imgEffect>
                                <a14:brightnessContrast contrast="40000"/>
                              </a14:imgEffect>
                            </a14:imgLayer>
                          </a14:imgProps>
                        </a:ext>
                      </a:extLst>
                    </a:blip>
                    <a:stretch>
                      <a:fillRect/>
                    </a:stretch>
                  </pic:blipFill>
                  <pic:spPr>
                    <a:xfrm>
                      <a:off x="0" y="0"/>
                      <a:ext cx="4548164" cy="3562727"/>
                    </a:xfrm>
                    <a:prstGeom prst="rect">
                      <a:avLst/>
                    </a:prstGeom>
                  </pic:spPr>
                </pic:pic>
              </a:graphicData>
            </a:graphic>
          </wp:inline>
        </w:drawing>
      </w:r>
      <w:r w:rsidRPr="00CA399B">
        <w:rPr>
          <w:noProof/>
        </w:rPr>
        <w:drawing>
          <wp:inline distT="0" distB="0" distL="0" distR="0" wp14:anchorId="2AED5ECD" wp14:editId="71E125CC">
            <wp:extent cx="4606506" cy="3608429"/>
            <wp:effectExtent l="0" t="0" r="3810" b="0"/>
            <wp:docPr id="748810953" name="Picture 748810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BEBA8EAE-BF5A-486C-A8C5-ECC9F3942E4B}">
                          <a14:imgProps xmlns:a14="http://schemas.microsoft.com/office/drawing/2010/main">
                            <a14:imgLayer r:embed="rId31">
                              <a14:imgEffect>
                                <a14:sharpenSoften amount="25000"/>
                              </a14:imgEffect>
                              <a14:imgEffect>
                                <a14:brightnessContrast contrast="40000"/>
                              </a14:imgEffect>
                            </a14:imgLayer>
                          </a14:imgProps>
                        </a:ext>
                      </a:extLst>
                    </a:blip>
                    <a:stretch>
                      <a:fillRect/>
                    </a:stretch>
                  </pic:blipFill>
                  <pic:spPr>
                    <a:xfrm>
                      <a:off x="0" y="0"/>
                      <a:ext cx="4620392" cy="3619306"/>
                    </a:xfrm>
                    <a:prstGeom prst="rect">
                      <a:avLst/>
                    </a:prstGeom>
                  </pic:spPr>
                </pic:pic>
              </a:graphicData>
            </a:graphic>
          </wp:inline>
        </w:drawing>
      </w:r>
    </w:p>
    <w:p w14:paraId="461DBC9B" w14:textId="61275046" w:rsidR="00BB7474" w:rsidRDefault="00BB7474" w:rsidP="0008560A">
      <w:r w:rsidRPr="00CA399B">
        <w:rPr>
          <w:noProof/>
        </w:rPr>
        <w:drawing>
          <wp:inline distT="0" distB="0" distL="0" distR="0" wp14:anchorId="1B486194" wp14:editId="6F16C5FB">
            <wp:extent cx="5200249" cy="5719314"/>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204837" cy="5724360"/>
                    </a:xfrm>
                    <a:prstGeom prst="rect">
                      <a:avLst/>
                    </a:prstGeom>
                  </pic:spPr>
                </pic:pic>
              </a:graphicData>
            </a:graphic>
          </wp:inline>
        </w:drawing>
      </w:r>
    </w:p>
    <w:p w14:paraId="18BD32CC" w14:textId="77777777" w:rsidR="00BB7474" w:rsidRDefault="00BB7474" w:rsidP="00B744A9">
      <w:r>
        <w:t>The sample size of the study was based on the primary endpoint of OS. The study was designed</w:t>
      </w:r>
    </w:p>
    <w:p w14:paraId="2D5274AF" w14:textId="77777777" w:rsidR="00BB7474" w:rsidRDefault="00BB7474" w:rsidP="00B744A9">
      <w:r>
        <w:t xml:space="preserve">to have 90% power to detect a 25% decrease in the risk of death with </w:t>
      </w:r>
      <w:proofErr w:type="spellStart"/>
      <w:r>
        <w:t>darolutamide</w:t>
      </w:r>
      <w:proofErr w:type="spellEnd"/>
      <w:r>
        <w:t xml:space="preserve"> compared</w:t>
      </w:r>
    </w:p>
    <w:p w14:paraId="4F53165F" w14:textId="77777777" w:rsidR="00BB7474" w:rsidRDefault="00BB7474" w:rsidP="00B744A9">
      <w:r>
        <w:t>with placebo with a 1-sided test with a type I error of 0.025 (equivalent to a 2-sided test with a</w:t>
      </w:r>
    </w:p>
    <w:p w14:paraId="418E0836" w14:textId="77777777" w:rsidR="00BB7474" w:rsidRDefault="00BB7474" w:rsidP="00B744A9">
      <w:r>
        <w:t>type I error of 0.05). The OS data were considered mature when approximately 509 deaths</w:t>
      </w:r>
    </w:p>
    <w:p w14:paraId="00DDE752" w14:textId="77777777" w:rsidR="00BB7474" w:rsidRDefault="00BB7474" w:rsidP="00B744A9">
      <w:r>
        <w:t>were observed.</w:t>
      </w:r>
    </w:p>
    <w:p w14:paraId="05BD3084" w14:textId="77777777" w:rsidR="00BB7474" w:rsidRDefault="00BB7474" w:rsidP="00B744A9">
      <w:r>
        <w:t>The analyses sets were as follows:</w:t>
      </w:r>
    </w:p>
    <w:p w14:paraId="364E288A" w14:textId="5995215C" w:rsidR="001B0B76" w:rsidRDefault="00BB7474" w:rsidP="00E40253">
      <w:pPr>
        <w:pStyle w:val="ListBullet"/>
      </w:pPr>
      <w:r w:rsidRPr="00B744A9">
        <w:rPr>
          <w:b/>
          <w:bCs/>
        </w:rPr>
        <w:t>Full analysis set (FAS)</w:t>
      </w:r>
      <w:r>
        <w:t>: All patients who were randomised were included in the FAS,</w:t>
      </w:r>
      <w:r w:rsidR="00B744A9">
        <w:t xml:space="preserve"> </w:t>
      </w:r>
      <w:r>
        <w:t xml:space="preserve">except for cases with critical Good Clinical Practices (GCP) violations. Following the intent to treat principle, the patients in this set were grouped according to the planned treatment they were allocated to receive at </w:t>
      </w:r>
      <w:r w:rsidR="005D5AE0">
        <w:t>randomisation</w:t>
      </w:r>
      <w:r>
        <w:t>, irrespective of actual treatment.</w:t>
      </w:r>
    </w:p>
    <w:p w14:paraId="22902045" w14:textId="46B56A82" w:rsidR="00BB7474" w:rsidRDefault="00BB7474" w:rsidP="003C131F">
      <w:pPr>
        <w:pStyle w:val="ListBullet"/>
      </w:pPr>
      <w:r w:rsidRPr="00B744A9">
        <w:rPr>
          <w:b/>
          <w:bCs/>
        </w:rPr>
        <w:t>Safety analysis set (SAF)</w:t>
      </w:r>
      <w:r>
        <w:t>: All randomised patients who received at least 1 dose of study</w:t>
      </w:r>
      <w:r w:rsidR="00B744A9">
        <w:t xml:space="preserve"> </w:t>
      </w:r>
      <w:r>
        <w:t>drug (</w:t>
      </w:r>
      <w:proofErr w:type="spellStart"/>
      <w:r>
        <w:t>darolutamide</w:t>
      </w:r>
      <w:proofErr w:type="spellEnd"/>
      <w:r>
        <w:t xml:space="preserve">/placebo) were included in the SAF, except for cases with critical GCP violations. Patients were included in the analyses according to the treatment they </w:t>
      </w:r>
      <w:proofErr w:type="gramStart"/>
      <w:r>
        <w:t>actually received</w:t>
      </w:r>
      <w:proofErr w:type="gramEnd"/>
      <w:r>
        <w:t xml:space="preserve">. Patients were included in the </w:t>
      </w:r>
      <w:proofErr w:type="spellStart"/>
      <w:r>
        <w:t>darolutamide</w:t>
      </w:r>
      <w:proofErr w:type="spellEnd"/>
      <w:r w:rsidR="00AD4903">
        <w:t xml:space="preserve"> </w:t>
      </w:r>
      <w:r>
        <w:t>+</w:t>
      </w:r>
      <w:r w:rsidR="00AD4903">
        <w:t xml:space="preserve"> </w:t>
      </w:r>
      <w:r>
        <w:t xml:space="preserve">docetaxel arm if they had received any dose of </w:t>
      </w:r>
      <w:proofErr w:type="spellStart"/>
      <w:r>
        <w:t>darolutamide</w:t>
      </w:r>
      <w:proofErr w:type="spellEnd"/>
      <w:r>
        <w:t>.</w:t>
      </w:r>
    </w:p>
    <w:p w14:paraId="49939663" w14:textId="03BDD17D" w:rsidR="00BB7474" w:rsidRDefault="00BB7474" w:rsidP="00F92D26">
      <w:pPr>
        <w:pStyle w:val="ListBullet"/>
      </w:pPr>
      <w:r w:rsidRPr="00B744A9">
        <w:rPr>
          <w:b/>
          <w:bCs/>
        </w:rPr>
        <w:t>Pharmacokinetic Analysis Set (PKS)</w:t>
      </w:r>
      <w:r>
        <w:t>: At least the first 20 randomised patients who</w:t>
      </w:r>
      <w:r w:rsidR="00B744A9">
        <w:t xml:space="preserve"> </w:t>
      </w:r>
      <w:r>
        <w:t>received at least 1 cycle of docetaxel and for whom mandatory dense PK sampling was performed were included in the PKS, except for cases with critical GCP violations. These</w:t>
      </w:r>
      <w:r w:rsidR="00B744A9">
        <w:t xml:space="preserve"> </w:t>
      </w:r>
      <w:r>
        <w:t>patients should have received at least 3 days of uninterrupted study drug treatment, as well as one cycle of docetaxel and had at least one post-dose PK measurement.</w:t>
      </w:r>
    </w:p>
    <w:p w14:paraId="5DEEED5E" w14:textId="64D16A1C" w:rsidR="00BB7474" w:rsidRDefault="00BB7474" w:rsidP="00B744A9">
      <w:r>
        <w:t>All safety analyses were performed in the SAF. The PK data was analysed in the PKS. The FAS</w:t>
      </w:r>
      <w:r w:rsidR="00B744A9">
        <w:t xml:space="preserve"> </w:t>
      </w:r>
      <w:r>
        <w:t>was used for efficacy analyses and all other data analyses.</w:t>
      </w:r>
    </w:p>
    <w:p w14:paraId="4B23EA3D" w14:textId="427C2E61" w:rsidR="00BB7474" w:rsidRPr="00FB0AAE" w:rsidRDefault="00BB7474" w:rsidP="00012E8D">
      <w:pPr>
        <w:pStyle w:val="Heading6"/>
      </w:pPr>
      <w:r w:rsidRPr="00FB0AAE">
        <w:t>Primary</w:t>
      </w:r>
      <w:r>
        <w:t xml:space="preserve"> efficacy </w:t>
      </w:r>
      <w:r w:rsidRPr="00FB0AAE">
        <w:t>endpoint</w:t>
      </w:r>
    </w:p>
    <w:p w14:paraId="2D0C17EA" w14:textId="7FECD09A" w:rsidR="00BB7474" w:rsidRDefault="00BB7474" w:rsidP="00B744A9">
      <w:r w:rsidRPr="00FB0AAE">
        <w:t xml:space="preserve">The primary efficacy endpoint was OS, defined as the time from </w:t>
      </w:r>
      <w:r w:rsidR="005D5AE0">
        <w:t>randomisation</w:t>
      </w:r>
      <w:r w:rsidRPr="00FB0AAE">
        <w:t xml:space="preserve"> until death</w:t>
      </w:r>
      <w:r w:rsidR="00B744A9">
        <w:t xml:space="preserve"> </w:t>
      </w:r>
      <w:r w:rsidRPr="00FB0AAE">
        <w:t>from any cause. Overall survival of patients not known to have died at or before the database</w:t>
      </w:r>
      <w:r w:rsidR="00B744A9">
        <w:t xml:space="preserve"> </w:t>
      </w:r>
      <w:r w:rsidRPr="00FB0AAE">
        <w:t>cut</w:t>
      </w:r>
      <w:r>
        <w:t>-</w:t>
      </w:r>
      <w:r w:rsidRPr="00FB0AAE">
        <w:t>off were censored in the analysis at their last date of being known to be alive, or at the</w:t>
      </w:r>
      <w:r w:rsidR="00B744A9">
        <w:t xml:space="preserve"> </w:t>
      </w:r>
      <w:r w:rsidRPr="00FB0AAE">
        <w:t>database cut</w:t>
      </w:r>
      <w:r>
        <w:t>-</w:t>
      </w:r>
      <w:r w:rsidRPr="00FB0AAE">
        <w:t>off date, whichever came first.</w:t>
      </w:r>
    </w:p>
    <w:p w14:paraId="463CED10" w14:textId="45DC37A0" w:rsidR="00BB7474" w:rsidRDefault="00BB7474" w:rsidP="00B744A9">
      <w:r w:rsidRPr="00FB0AAE">
        <w:t>The primary analysis of OS was a stratified log-rank test using the information collected from</w:t>
      </w:r>
      <w:r w:rsidR="00B744A9">
        <w:t xml:space="preserve"> </w:t>
      </w:r>
      <w:r w:rsidRPr="00FB0AAE">
        <w:t>the</w:t>
      </w:r>
      <w:r w:rsidR="007A29A6" w:rsidRPr="007A29A6">
        <w:rPr>
          <w:color w:val="212121"/>
          <w:sz w:val="30"/>
          <w:szCs w:val="30"/>
          <w:shd w:val="clear" w:color="auto" w:fill="FFFFFF"/>
        </w:rPr>
        <w:t xml:space="preserve"> </w:t>
      </w:r>
      <w:proofErr w:type="spellStart"/>
      <w:r w:rsidR="00886010" w:rsidRPr="00FB0AAE">
        <w:t>I</w:t>
      </w:r>
      <w:r w:rsidR="00886010">
        <w:t>xRS</w:t>
      </w:r>
      <w:proofErr w:type="spellEnd"/>
      <w:r w:rsidR="00886010">
        <w:t xml:space="preserve"> </w:t>
      </w:r>
      <w:r w:rsidRPr="00FB0AAE">
        <w:t xml:space="preserve">and the same stratification factors used for </w:t>
      </w:r>
      <w:r w:rsidR="005D5AE0">
        <w:t>randomisation</w:t>
      </w:r>
      <w:r w:rsidRPr="00FB0AAE">
        <w:t xml:space="preserve">. </w:t>
      </w:r>
    </w:p>
    <w:p w14:paraId="2A5F4AF1" w14:textId="3064F96D" w:rsidR="00BB7474" w:rsidRDefault="00BB7474" w:rsidP="00B744A9">
      <w:r w:rsidRPr="00FB0AAE">
        <w:t xml:space="preserve">The </w:t>
      </w:r>
      <w:r w:rsidR="00286AE8">
        <w:t>hazard ratio (</w:t>
      </w:r>
      <w:r w:rsidRPr="00FB0AAE">
        <w:t>HR</w:t>
      </w:r>
      <w:r w:rsidR="00286AE8">
        <w:t>)</w:t>
      </w:r>
      <w:r w:rsidRPr="00FB0AAE">
        <w:t xml:space="preserve"> (</w:t>
      </w:r>
      <w:proofErr w:type="spellStart"/>
      <w:r w:rsidRPr="00FB0AAE">
        <w:t>darolutamide</w:t>
      </w:r>
      <w:proofErr w:type="spellEnd"/>
      <w:r w:rsidR="003652A4">
        <w:t xml:space="preserve"> </w:t>
      </w:r>
      <w:r w:rsidRPr="00FB0AAE">
        <w:t>+</w:t>
      </w:r>
      <w:r w:rsidR="003652A4">
        <w:t xml:space="preserve"> </w:t>
      </w:r>
      <w:r w:rsidRPr="00FB0AAE">
        <w:t>docetaxel over placebo</w:t>
      </w:r>
      <w:r w:rsidR="00ED3D6C">
        <w:t xml:space="preserve"> </w:t>
      </w:r>
      <w:r w:rsidRPr="00FB0AAE">
        <w:t>+</w:t>
      </w:r>
      <w:r w:rsidR="00ED3D6C">
        <w:t xml:space="preserve"> </w:t>
      </w:r>
      <w:r w:rsidRPr="00FB0AAE">
        <w:t>docetaxel) for OS</w:t>
      </w:r>
      <w:r>
        <w:t xml:space="preserve"> </w:t>
      </w:r>
      <w:r w:rsidRPr="00FB0AAE">
        <w:t>and its 95% confidence interval (CI) were calculated using the Cox model, stratified by the</w:t>
      </w:r>
      <w:r>
        <w:t xml:space="preserve"> </w:t>
      </w:r>
      <w:r w:rsidRPr="00FB0AAE">
        <w:t xml:space="preserve">same factors as were used for </w:t>
      </w:r>
      <w:r w:rsidR="005D5AE0">
        <w:t>randomisation</w:t>
      </w:r>
      <w:r w:rsidRPr="00FB0AAE">
        <w:t>. An overall one-sided stratified log-rank test</w:t>
      </w:r>
      <w:r>
        <w:t xml:space="preserve"> </w:t>
      </w:r>
      <w:r w:rsidRPr="00FB0AAE">
        <w:t>with a type I error of 0.025 (equivalent to two-sided test with a type I error of 0.05) was used.</w:t>
      </w:r>
    </w:p>
    <w:p w14:paraId="0423D7BC" w14:textId="67D4E697" w:rsidR="00BB7474" w:rsidRDefault="00BB7474" w:rsidP="00B744A9">
      <w:r>
        <w:t>Sensitivity analyses of OS were performed to assess the robustness of the results of the</w:t>
      </w:r>
      <w:r w:rsidR="00B744A9">
        <w:t xml:space="preserve"> </w:t>
      </w:r>
      <w:r>
        <w:t>primary analysis of OS and included 1) an unstratified analysis, 2) a stratified analysis using</w:t>
      </w:r>
      <w:r w:rsidR="00B744A9">
        <w:t xml:space="preserve"> </w:t>
      </w:r>
      <w:r>
        <w:t>information collected from the eCRF and 3) a stratified analysis according to central imaging</w:t>
      </w:r>
      <w:r w:rsidR="00B744A9">
        <w:t xml:space="preserve"> </w:t>
      </w:r>
      <w:r>
        <w:t>review of extent of disease. The latter analysis was performed to address a discrepancy</w:t>
      </w:r>
      <w:r w:rsidR="00B744A9">
        <w:t xml:space="preserve"> </w:t>
      </w:r>
      <w:r>
        <w:t xml:space="preserve">observed between </w:t>
      </w:r>
      <w:proofErr w:type="spellStart"/>
      <w:r>
        <w:t>IxRS</w:t>
      </w:r>
      <w:proofErr w:type="spellEnd"/>
      <w:r>
        <w:t xml:space="preserve"> stratification and central review stratification.</w:t>
      </w:r>
    </w:p>
    <w:p w14:paraId="2C1F40BF" w14:textId="77777777" w:rsidR="00B744A9" w:rsidRDefault="00BB7474" w:rsidP="00B744A9">
      <w:r w:rsidRPr="00FB0AAE">
        <w:t>Pre-specified sensitivity analyses were also conducted, including an unstratified analysis</w:t>
      </w:r>
      <w:r w:rsidR="00B744A9">
        <w:t xml:space="preserve"> </w:t>
      </w:r>
      <w:r w:rsidRPr="00FB0AAE">
        <w:t xml:space="preserve">using information collected from the </w:t>
      </w:r>
      <w:proofErr w:type="spellStart"/>
      <w:r w:rsidRPr="00FB0AAE">
        <w:t>IxRS</w:t>
      </w:r>
      <w:proofErr w:type="spellEnd"/>
      <w:r w:rsidRPr="00FB0AAE">
        <w:t>, a stratified analysis according to central imaging</w:t>
      </w:r>
      <w:r w:rsidR="00B744A9">
        <w:t xml:space="preserve"> </w:t>
      </w:r>
      <w:r w:rsidRPr="00FB0AAE">
        <w:t>review, and a stratified analysis using information collected from the CRF. A post-hoc</w:t>
      </w:r>
      <w:r w:rsidR="00B744A9">
        <w:t xml:space="preserve"> </w:t>
      </w:r>
      <w:r w:rsidRPr="00FB0AAE">
        <w:t>sensitivity analysis by number of cycles of docetaxel received was also performed.</w:t>
      </w:r>
      <w:r w:rsidR="00B744A9">
        <w:t xml:space="preserve"> </w:t>
      </w:r>
    </w:p>
    <w:p w14:paraId="20B74B6E" w14:textId="5FE9879D" w:rsidR="00BB7474" w:rsidRDefault="00BB7474" w:rsidP="00B744A9">
      <w:r>
        <w:t xml:space="preserve">Subgroup analyses of OS were also conducted to determine whether </w:t>
      </w:r>
      <w:r w:rsidR="005D5AE0">
        <w:t>randomisation</w:t>
      </w:r>
      <w:r w:rsidR="00B744A9">
        <w:t xml:space="preserve"> </w:t>
      </w:r>
      <w:r>
        <w:t>stratification factors (extent of disease, ALP), selected demographics (age, race, geographical</w:t>
      </w:r>
      <w:r w:rsidR="00B744A9">
        <w:t xml:space="preserve"> </w:t>
      </w:r>
      <w:r>
        <w:t>region), and baseline cancer characteristics (PSA, ECOG PS, Gleason score, metastasis at initial</w:t>
      </w:r>
      <w:r w:rsidR="00B744A9">
        <w:t xml:space="preserve"> </w:t>
      </w:r>
      <w:r>
        <w:t>diagnosis) were consistent with the primary analysis of OS.</w:t>
      </w:r>
    </w:p>
    <w:p w14:paraId="41E925A0" w14:textId="77777777" w:rsidR="00BB7474" w:rsidRDefault="00BB7474" w:rsidP="00012E8D">
      <w:pPr>
        <w:pStyle w:val="Heading6"/>
      </w:pPr>
      <w:r w:rsidRPr="00FB0AAE">
        <w:t>Secondary efficacy endpoints</w:t>
      </w:r>
    </w:p>
    <w:p w14:paraId="2C285BC3" w14:textId="044A6034" w:rsidR="00BB7474" w:rsidRDefault="00BB7474" w:rsidP="00B744A9">
      <w:r w:rsidRPr="00FB0AAE">
        <w:t>The same overall one-sided test with a type I error of 0.025 used for the primary endpoint was</w:t>
      </w:r>
      <w:r w:rsidR="00B744A9">
        <w:t xml:space="preserve"> </w:t>
      </w:r>
      <w:r w:rsidRPr="00FB0AAE">
        <w:t>used for the secondary endpoints. The endpoints were tested in a pre-specified sequential</w:t>
      </w:r>
      <w:r w:rsidR="00B744A9">
        <w:t xml:space="preserve"> </w:t>
      </w:r>
      <w:r w:rsidRPr="00FB0AAE">
        <w:t xml:space="preserve">order. </w:t>
      </w:r>
    </w:p>
    <w:p w14:paraId="609BDD36" w14:textId="53DACABC" w:rsidR="00BB7474" w:rsidRDefault="00BB7474" w:rsidP="00B744A9">
      <w:r w:rsidRPr="00FB0AAE">
        <w:t>If the primary endpoint OS or a secondary endpoint was not statistically significant, the</w:t>
      </w:r>
      <w:r w:rsidR="00B744A9">
        <w:t xml:space="preserve"> </w:t>
      </w:r>
      <w:r w:rsidRPr="00FB0AAE">
        <w:t xml:space="preserve">hierarchical procedure was </w:t>
      </w:r>
      <w:proofErr w:type="gramStart"/>
      <w:r w:rsidRPr="00FB0AAE">
        <w:t>stopped</w:t>
      </w:r>
      <w:proofErr w:type="gramEnd"/>
      <w:r w:rsidRPr="00FB0AAE">
        <w:t xml:space="preserve"> and all subsequent analyses of the secondary endpoints</w:t>
      </w:r>
      <w:r w:rsidR="00B744A9">
        <w:t xml:space="preserve"> </w:t>
      </w:r>
      <w:r w:rsidRPr="00FB0AAE">
        <w:t>were considered exploratory.</w:t>
      </w:r>
    </w:p>
    <w:p w14:paraId="5CFB0CD2" w14:textId="77777777" w:rsidR="00BB7474" w:rsidRDefault="00BB7474" w:rsidP="00B744A9">
      <w:r w:rsidRPr="00FB0AAE">
        <w:t xml:space="preserve">The primary endpoint, OS, was first in order. </w:t>
      </w:r>
    </w:p>
    <w:p w14:paraId="5E5536DF" w14:textId="77777777" w:rsidR="00BB7474" w:rsidRPr="00FB0AAE" w:rsidRDefault="00BB7474" w:rsidP="00B744A9">
      <w:r w:rsidRPr="00FB0AAE">
        <w:t>The order of secondary endpoints was as follows:</w:t>
      </w:r>
    </w:p>
    <w:p w14:paraId="0626E660" w14:textId="5126EFBB" w:rsidR="00BB7474" w:rsidRDefault="00BB7474" w:rsidP="00B744A9">
      <w:pPr>
        <w:pStyle w:val="ListBullet"/>
      </w:pPr>
      <w:r w:rsidRPr="00FB0AAE">
        <w:t>Time to CRPC</w:t>
      </w:r>
    </w:p>
    <w:p w14:paraId="1D60B0CB" w14:textId="77777777" w:rsidR="00BB7474" w:rsidRDefault="00BB7474" w:rsidP="00B744A9">
      <w:pPr>
        <w:pStyle w:val="ListBullet"/>
      </w:pPr>
      <w:r w:rsidRPr="00FB0AAE">
        <w:t>Time to pain progression</w:t>
      </w:r>
    </w:p>
    <w:p w14:paraId="216B0CE7" w14:textId="2BBB6E63" w:rsidR="00BB7474" w:rsidRDefault="00BB7474" w:rsidP="00B744A9">
      <w:pPr>
        <w:pStyle w:val="ListBullet"/>
      </w:pPr>
      <w:r w:rsidRPr="00FB0AAE">
        <w:t>Symptomatic SSE-FS</w:t>
      </w:r>
    </w:p>
    <w:p w14:paraId="22DAB364" w14:textId="6DC1B5BD" w:rsidR="00BB7474" w:rsidRDefault="00BB7474" w:rsidP="00B744A9">
      <w:pPr>
        <w:pStyle w:val="ListBullet"/>
      </w:pPr>
      <w:r w:rsidRPr="00FB0AAE">
        <w:t>Time to first SSE</w:t>
      </w:r>
    </w:p>
    <w:p w14:paraId="3B20C305" w14:textId="77777777" w:rsidR="00BB7474" w:rsidRDefault="00BB7474" w:rsidP="00B744A9">
      <w:pPr>
        <w:pStyle w:val="ListBullet"/>
      </w:pPr>
      <w:r w:rsidRPr="00FB0AAE">
        <w:t>Time to initiation of subsequent systemic antineoplastic therapy</w:t>
      </w:r>
    </w:p>
    <w:p w14:paraId="72E6596D" w14:textId="77777777" w:rsidR="00BB7474" w:rsidRDefault="00BB7474" w:rsidP="00B744A9">
      <w:pPr>
        <w:pStyle w:val="ListBullet"/>
      </w:pPr>
      <w:r w:rsidRPr="00FB0AAE">
        <w:t>Time to worsening of disease-related physical symptoms</w:t>
      </w:r>
    </w:p>
    <w:p w14:paraId="0A0196CC" w14:textId="77777777" w:rsidR="00BB7474" w:rsidRDefault="00BB7474" w:rsidP="00B744A9">
      <w:pPr>
        <w:pStyle w:val="ListBullet"/>
      </w:pPr>
      <w:r w:rsidRPr="00FB0AAE">
        <w:t>Time to initiation of opioid use for ≥7 consecutive days</w:t>
      </w:r>
    </w:p>
    <w:p w14:paraId="05CE5B49" w14:textId="77777777" w:rsidR="00BB7474" w:rsidRDefault="00BB7474" w:rsidP="00B744A9">
      <w:r>
        <w:t xml:space="preserve">The definitions are as </w:t>
      </w:r>
      <w:proofErr w:type="gramStart"/>
      <w:r>
        <w:t>follows;</w:t>
      </w:r>
      <w:proofErr w:type="gramEnd"/>
    </w:p>
    <w:p w14:paraId="5890AC8D" w14:textId="302D625D" w:rsidR="00BB7474" w:rsidRDefault="00BB7474" w:rsidP="00B744A9">
      <w:pPr>
        <w:pStyle w:val="ListBullet"/>
      </w:pPr>
      <w:r>
        <w:t xml:space="preserve">Time to castration-resistant prostate cancer, defined as the time from </w:t>
      </w:r>
      <w:r w:rsidR="005D5AE0">
        <w:t>randomisation</w:t>
      </w:r>
      <w:r>
        <w:t xml:space="preserve"> to the first occurrence of one of the following events, according to the Prostate Cancer Working Group 3 criteria: (1) PSA progression (≥25% increase above the nadir value, confirmed by a second value ≥3 weeks later, and an increase in absolute value of ≥2 ng/mL above nadir, at least 12 weeks from baseline, with serum testosterone being at castrate level &lt;0.50 ng/mL), (2) Radiological progression by soft tissue and visceral lesions, (3) Radiological progression by bone lesions.</w:t>
      </w:r>
    </w:p>
    <w:p w14:paraId="41387D6E" w14:textId="4A59C2DF" w:rsidR="00BB7474" w:rsidRDefault="00BB7474" w:rsidP="00B744A9">
      <w:pPr>
        <w:pStyle w:val="ListBullet"/>
      </w:pPr>
      <w:r>
        <w:t xml:space="preserve">Time to pain progression, defined as the time from </w:t>
      </w:r>
      <w:r w:rsidR="005D5AE0">
        <w:t>randomisation</w:t>
      </w:r>
      <w:r>
        <w:t xml:space="preserve"> to the first date a patient experienced pain progression assessed using the BPI-SF questionnaire.</w:t>
      </w:r>
    </w:p>
    <w:p w14:paraId="2F30C77E" w14:textId="3A3014D3" w:rsidR="00BB7474" w:rsidRDefault="00BB7474" w:rsidP="00B744A9">
      <w:pPr>
        <w:pStyle w:val="ListBullet"/>
      </w:pPr>
      <w:r>
        <w:t>For asymptomatic patients, pain progression was defined as an increase of ≥2 points in the “worst pain in 24 hours” score from nadir (</w:t>
      </w:r>
      <w:r w:rsidR="00ED2E7D">
        <w:t>i.e.</w:t>
      </w:r>
      <w:r>
        <w:t>, zero) observed at 2 consecutive evaluations ≥4 weeks apart, or initiation of short- or long-acting opioid use for pain.</w:t>
      </w:r>
    </w:p>
    <w:p w14:paraId="7D620124" w14:textId="12D37E0E" w:rsidR="00BB7474" w:rsidRDefault="00BB7474" w:rsidP="00B744A9">
      <w:pPr>
        <w:pStyle w:val="ListBullet"/>
      </w:pPr>
      <w:r>
        <w:t>For symptomatic patients (score &gt;0 at baseline), pain progression was defined as an increase of ≥2 points in the “worst pain in 24 hours” score from nadir observed at 2 consecutive evaluations ≥4 weeks apart and a WPS of ≥4, or initiation of short- or long-acting opioid use for pain.</w:t>
      </w:r>
    </w:p>
    <w:p w14:paraId="33D2B026" w14:textId="4B8A0F9A" w:rsidR="00BB7474" w:rsidRDefault="00BB7474" w:rsidP="00B744A9">
      <w:pPr>
        <w:pStyle w:val="ListBullet"/>
      </w:pPr>
      <w:r>
        <w:t xml:space="preserve">Symptomatic skeletal event-free survival (SSE-FS), defined as the time from </w:t>
      </w:r>
      <w:r w:rsidR="005D5AE0">
        <w:t>randomisation</w:t>
      </w:r>
      <w:r>
        <w:t xml:space="preserve"> to the first occurrence of an SSE or death from any cause, whichever occurred first.</w:t>
      </w:r>
    </w:p>
    <w:p w14:paraId="34BC7533" w14:textId="0553AB67" w:rsidR="00BB7474" w:rsidRDefault="00BB7474" w:rsidP="00B744A9">
      <w:pPr>
        <w:pStyle w:val="ListBullet"/>
      </w:pPr>
      <w:r>
        <w:t>An SSE was defined as the first occurrence of one of the following: administration of external beam radiation therapy (EBRT) to relieve skeletal symptoms, new symptomatic pathologic bone fracture, spinal cord compression, or tumo</w:t>
      </w:r>
      <w:r w:rsidR="0022102E">
        <w:t>u</w:t>
      </w:r>
      <w:r>
        <w:t xml:space="preserve">r-related </w:t>
      </w:r>
      <w:r w:rsidR="00ED2E7D">
        <w:t>orthopaedic</w:t>
      </w:r>
      <w:r>
        <w:t xml:space="preserve"> surgical intervention.</w:t>
      </w:r>
    </w:p>
    <w:p w14:paraId="3CE905BC" w14:textId="4EC8A623" w:rsidR="00BB7474" w:rsidRDefault="00BB7474" w:rsidP="00B744A9">
      <w:pPr>
        <w:pStyle w:val="ListBullet"/>
      </w:pPr>
      <w:r>
        <w:t xml:space="preserve">Time to first SSE was defined as the time from </w:t>
      </w:r>
      <w:r w:rsidR="005D5AE0">
        <w:t>randomisation</w:t>
      </w:r>
      <w:r>
        <w:t xml:space="preserve"> to the first occurrence of an SSE. Death was not considered as an event in this endpoint.</w:t>
      </w:r>
    </w:p>
    <w:p w14:paraId="528DDFD4" w14:textId="436F3ECC" w:rsidR="00BB7474" w:rsidRDefault="00BB7474" w:rsidP="00B744A9">
      <w:pPr>
        <w:pStyle w:val="ListBullet"/>
      </w:pPr>
      <w:r>
        <w:t xml:space="preserve">Time to initiation of subsequent systemic antineoplastic therapy, defined as the time from </w:t>
      </w:r>
      <w:r w:rsidR="005D5AE0">
        <w:t>randomisation</w:t>
      </w:r>
      <w:r>
        <w:t xml:space="preserve"> to the initiation of first subsequent systemic antineoplastic therapy. Patients in the study may have received subsequent antineoplastic therapy for prostate cancer or for additional primary malignancies.</w:t>
      </w:r>
    </w:p>
    <w:p w14:paraId="27D09C63" w14:textId="27683D6E" w:rsidR="00BB7474" w:rsidRDefault="00BB7474" w:rsidP="00B744A9">
      <w:pPr>
        <w:pStyle w:val="ListBullet"/>
      </w:pPr>
      <w:r>
        <w:t xml:space="preserve">Time to worsening of disease-related physical symptoms was defined as the time from </w:t>
      </w:r>
      <w:r w:rsidR="005D5AE0">
        <w:t>randomisation</w:t>
      </w:r>
      <w:r>
        <w:t xml:space="preserve"> to the first date a patient experienced an increase in disease-related physical symptoms based on the NCCN-FACT-FPSI-17 questionnaire. </w:t>
      </w:r>
    </w:p>
    <w:p w14:paraId="090C49AD" w14:textId="013B95F9" w:rsidR="00BB7474" w:rsidRDefault="00BB7474" w:rsidP="00B744A9">
      <w:pPr>
        <w:pStyle w:val="ListBullet"/>
      </w:pPr>
      <w:r>
        <w:t>An increase in disease-related physical symptoms was defined as a 3-point decrease in FPSIDRS-P subscale from baseline in the disease-related physical symptoms subscale observed at 2 consecutive evaluations ≥4 weeks apart. A lower score indicates a higher symptom burden.</w:t>
      </w:r>
    </w:p>
    <w:p w14:paraId="37731ECE" w14:textId="11D55F01" w:rsidR="00BB7474" w:rsidRDefault="00BB7474" w:rsidP="00B744A9">
      <w:pPr>
        <w:pStyle w:val="ListBullet"/>
      </w:pPr>
      <w:r>
        <w:t xml:space="preserve">Time to the initiation of opioid use for ≥7 consecutive days, defined as the time from </w:t>
      </w:r>
      <w:r w:rsidR="005D5AE0">
        <w:t>randomisation</w:t>
      </w:r>
      <w:r>
        <w:t xml:space="preserve"> to the date of the first opioid use for ≥7 consecutive days. Data of opioid use related to cancer pain was included in the analysis, and opioid use for non-malignant causes was excluded.</w:t>
      </w:r>
    </w:p>
    <w:p w14:paraId="5FCA258D" w14:textId="77777777" w:rsidR="00BB7474" w:rsidRDefault="00BB7474" w:rsidP="00B744A9">
      <w:pPr>
        <w:pStyle w:val="ListBullet"/>
      </w:pPr>
      <w:r w:rsidRPr="00FB0AAE">
        <w:t>Two of the endpoints were QoL</w:t>
      </w:r>
      <w:r>
        <w:t xml:space="preserve"> </w:t>
      </w:r>
      <w:r w:rsidRPr="00FB0AAE">
        <w:t>endpoints:</w:t>
      </w:r>
    </w:p>
    <w:p w14:paraId="1907B9FD" w14:textId="137C1AB9" w:rsidR="00BB7474" w:rsidRDefault="00BB7474" w:rsidP="00B744A9">
      <w:pPr>
        <w:pStyle w:val="ListBullet"/>
      </w:pPr>
      <w:r w:rsidRPr="00FB0AAE">
        <w:t>Time to pain progression was assessed as Patient Reported Outcome (PRO) as</w:t>
      </w:r>
      <w:r w:rsidR="00800D6D">
        <w:t xml:space="preserve"> </w:t>
      </w:r>
      <w:r w:rsidRPr="00FB0AAE">
        <w:t>evaluated by Brief Pain Inventory-Short Form (BPI-SF) questionnaire and initiation of</w:t>
      </w:r>
      <w:r w:rsidR="00800D6D">
        <w:t xml:space="preserve"> </w:t>
      </w:r>
      <w:r w:rsidRPr="00FB0AAE">
        <w:t>short- or long- acting opioid use for pain.</w:t>
      </w:r>
    </w:p>
    <w:p w14:paraId="343C2D37" w14:textId="6DCCE7A6" w:rsidR="00BB7474" w:rsidRDefault="00BB7474" w:rsidP="00B744A9">
      <w:pPr>
        <w:pStyle w:val="ListBullet"/>
      </w:pPr>
      <w:r w:rsidRPr="00FB0AAE">
        <w:t>Time to worsening of disease-related physical symptoms was assessed as PRO as</w:t>
      </w:r>
      <w:r w:rsidR="00800D6D">
        <w:t xml:space="preserve"> </w:t>
      </w:r>
      <w:r w:rsidRPr="00FB0AAE">
        <w:t>evaluated by National Comprehensive Cancer Network/Functional Assessment of</w:t>
      </w:r>
      <w:r w:rsidR="00800D6D">
        <w:t xml:space="preserve"> </w:t>
      </w:r>
      <w:r w:rsidRPr="00FB0AAE">
        <w:t>Cancer Therapy-Prostate Symptom Index 17 (NCCN–FACT-FPSI-17) questionnaire</w:t>
      </w:r>
      <w:r w:rsidR="00800D6D">
        <w:t>.</w:t>
      </w:r>
    </w:p>
    <w:p w14:paraId="2616B211" w14:textId="6DF31A36" w:rsidR="00BB7474" w:rsidRDefault="00BB7474" w:rsidP="00B744A9">
      <w:r w:rsidRPr="00FB0AAE">
        <w:t>For all secondary efficacy endpoints, a log-rank test stratified by stratification factors of</w:t>
      </w:r>
      <w:r w:rsidR="00B744A9">
        <w:t xml:space="preserve"> </w:t>
      </w:r>
      <w:r w:rsidRPr="00FB0AAE">
        <w:t xml:space="preserve">extent of disease and ALP at baseline was used to compare the </w:t>
      </w:r>
      <w:proofErr w:type="spellStart"/>
      <w:r w:rsidRPr="00FB0AAE">
        <w:t>darolutamide</w:t>
      </w:r>
      <w:proofErr w:type="spellEnd"/>
      <w:r w:rsidR="00DD2207">
        <w:t xml:space="preserve"> </w:t>
      </w:r>
      <w:r w:rsidRPr="00FB0AAE">
        <w:t>+</w:t>
      </w:r>
      <w:r w:rsidR="00DD2207">
        <w:t xml:space="preserve"> </w:t>
      </w:r>
      <w:r w:rsidRPr="00FB0AAE">
        <w:t>docetaxel and</w:t>
      </w:r>
      <w:r w:rsidR="00B744A9">
        <w:t xml:space="preserve"> </w:t>
      </w:r>
      <w:r w:rsidRPr="00FB0AAE">
        <w:t>placebo</w:t>
      </w:r>
      <w:r w:rsidR="00DD2207">
        <w:t xml:space="preserve"> </w:t>
      </w:r>
      <w:r w:rsidRPr="00FB0AAE">
        <w:t>+</w:t>
      </w:r>
      <w:r w:rsidR="00DD2207">
        <w:t xml:space="preserve"> </w:t>
      </w:r>
      <w:r w:rsidRPr="00FB0AAE">
        <w:t>docetaxel arms. The hazard ratio as well as its 95% CI were presented based on</w:t>
      </w:r>
      <w:r w:rsidR="00B744A9">
        <w:t xml:space="preserve"> </w:t>
      </w:r>
      <w:r w:rsidRPr="00FB0AAE">
        <w:t xml:space="preserve">fitting a Cox regression model stratified by the same </w:t>
      </w:r>
      <w:r w:rsidR="005D5AE0">
        <w:t>randomisation</w:t>
      </w:r>
      <w:r w:rsidRPr="00FB0AAE">
        <w:t xml:space="preserve"> stratification factors.</w:t>
      </w:r>
    </w:p>
    <w:p w14:paraId="113D153E" w14:textId="77777777" w:rsidR="00BB7474" w:rsidRPr="00F3457D" w:rsidRDefault="00BB7474" w:rsidP="00012E8D">
      <w:pPr>
        <w:pStyle w:val="Heading6"/>
      </w:pPr>
      <w:r w:rsidRPr="00F3457D">
        <w:t>Exploratory endpoints</w:t>
      </w:r>
    </w:p>
    <w:p w14:paraId="03BB8316" w14:textId="1795891B" w:rsidR="00BB7474" w:rsidRDefault="00BB7474" w:rsidP="002A7976">
      <w:pPr>
        <w:pStyle w:val="ListBullet"/>
      </w:pPr>
      <w:r w:rsidRPr="00B744A9">
        <w:rPr>
          <w:b/>
          <w:bCs/>
        </w:rPr>
        <w:t>Time to PSA progression</w:t>
      </w:r>
      <w:r>
        <w:t xml:space="preserve">: the time to PSA progression was defined as the time from the date of </w:t>
      </w:r>
      <w:r w:rsidR="005D5AE0">
        <w:t>randomisation</w:t>
      </w:r>
      <w:r>
        <w:t xml:space="preserve"> to the date of first PSA progression with testosterone at castrate</w:t>
      </w:r>
      <w:r w:rsidR="00B744A9">
        <w:t xml:space="preserve"> </w:t>
      </w:r>
      <w:r>
        <w:t>&lt;0.5 ng/</w:t>
      </w:r>
      <w:proofErr w:type="spellStart"/>
      <w:r>
        <w:t>mL.</w:t>
      </w:r>
      <w:proofErr w:type="spellEnd"/>
    </w:p>
    <w:p w14:paraId="4BA0A527" w14:textId="77777777" w:rsidR="00BB7474" w:rsidRDefault="00BB7474" w:rsidP="00B744A9">
      <w:pPr>
        <w:pStyle w:val="ListBullet"/>
      </w:pPr>
      <w:r w:rsidRPr="001B0B76">
        <w:rPr>
          <w:b/>
          <w:bCs/>
        </w:rPr>
        <w:t>Rate of absolute and relative PSA response</w:t>
      </w:r>
      <w:r>
        <w:t xml:space="preserve">: for PSA response assessments, the baseline PSA value was to be above the detection limit. </w:t>
      </w:r>
    </w:p>
    <w:p w14:paraId="6CECB1EA" w14:textId="77777777" w:rsidR="00BB7474" w:rsidRDefault="00BB7474" w:rsidP="00B744A9">
      <w:pPr>
        <w:pStyle w:val="ListBullet"/>
      </w:pPr>
      <w:r>
        <w:t xml:space="preserve">Comparisons between the 2 treatment arms for the PSA response assessments were performed using the Cochran–Mantel–Haenszel test stratified by the </w:t>
      </w:r>
      <w:proofErr w:type="spellStart"/>
      <w:r>
        <w:t>IxRS</w:t>
      </w:r>
      <w:proofErr w:type="spellEnd"/>
      <w:r>
        <w:t xml:space="preserve"> stratification factors:</w:t>
      </w:r>
    </w:p>
    <w:p w14:paraId="4F725BA9" w14:textId="747BC812" w:rsidR="00BB7474" w:rsidRDefault="00BB7474" w:rsidP="00B744A9">
      <w:pPr>
        <w:pStyle w:val="ListBullet2"/>
      </w:pPr>
      <w:r>
        <w:t>Rate of absolute PSA response at 6 and 12 months. Absolute PSA response was defined as blood PSA level &lt;0.2 ng/mL, which was confirmed 3 or more weeks later by a subsequent PSA value &lt;0.2 ng/</w:t>
      </w:r>
      <w:proofErr w:type="spellStart"/>
      <w:r>
        <w:t>mL.</w:t>
      </w:r>
      <w:proofErr w:type="spellEnd"/>
    </w:p>
    <w:p w14:paraId="713353C2" w14:textId="69AD34C4" w:rsidR="00BB7474" w:rsidRDefault="00BB7474" w:rsidP="00B744A9">
      <w:pPr>
        <w:pStyle w:val="ListBullet2"/>
      </w:pPr>
      <w:r>
        <w:t xml:space="preserve">Rate of relative PSA response at 3, 6, and 12 months. Relative 30% PSA response was defined as a ≥30% reduction of the blood PSA level compared with </w:t>
      </w:r>
      <w:proofErr w:type="gramStart"/>
      <w:r>
        <w:t>the  baseline</w:t>
      </w:r>
      <w:proofErr w:type="gramEnd"/>
      <w:r>
        <w:t xml:space="preserve"> value, confirmed 3 or more weeks later by a subsequent PSA value with a ≥30% reduction  from baseline. Relative 50% and 90% PSA response were defined in the same way.</w:t>
      </w:r>
    </w:p>
    <w:p w14:paraId="592132DC" w14:textId="77777777" w:rsidR="00BB7474" w:rsidRDefault="00BB7474" w:rsidP="00B744A9">
      <w:pPr>
        <w:pStyle w:val="ListBullet"/>
      </w:pPr>
      <w:r w:rsidRPr="001B0B76">
        <w:rPr>
          <w:b/>
          <w:bCs/>
        </w:rPr>
        <w:t>ECOG performance status</w:t>
      </w:r>
      <w:r>
        <w:t>:</w:t>
      </w:r>
      <w:r w:rsidRPr="006327B0">
        <w:t xml:space="preserve"> </w:t>
      </w:r>
      <w:r>
        <w:t>summary group comparison of ECOG PS values by visit and changes from baseline.</w:t>
      </w:r>
    </w:p>
    <w:p w14:paraId="144AA872" w14:textId="166A93CF" w:rsidR="00BB7474" w:rsidRDefault="00BB7474" w:rsidP="00026F32">
      <w:pPr>
        <w:pStyle w:val="ListBullet"/>
      </w:pPr>
      <w:r w:rsidRPr="00BF00A1">
        <w:rPr>
          <w:b/>
          <w:bCs/>
        </w:rPr>
        <w:t>Quality of Life (QOL)</w:t>
      </w:r>
      <w:r>
        <w:t>: ePRO data, as collected using the NCCN-FACT-FPSI-17 and BPI-SF</w:t>
      </w:r>
      <w:r w:rsidR="00BF00A1">
        <w:t xml:space="preserve"> </w:t>
      </w:r>
      <w:r>
        <w:t>questionnaires were analysed to assess differences in QoL between the treatment arms.</w:t>
      </w:r>
    </w:p>
    <w:p w14:paraId="1AFFEE05" w14:textId="6DDF8D0E" w:rsidR="00BB7474" w:rsidRDefault="00BB7474" w:rsidP="00BF00A1">
      <w:r>
        <w:t>The study was conducted at 301 cent</w:t>
      </w:r>
      <w:r w:rsidR="00E97938">
        <w:t>re</w:t>
      </w:r>
      <w:r>
        <w:t>s in 23 countries/regions, including North America</w:t>
      </w:r>
      <w:r w:rsidR="00BF00A1">
        <w:t xml:space="preserve"> </w:t>
      </w:r>
      <w:r>
        <w:t xml:space="preserve">(Canada and US), Asia Pacific (mainland China, Japan, South </w:t>
      </w:r>
      <w:proofErr w:type="gramStart"/>
      <w:r>
        <w:t>Korea</w:t>
      </w:r>
      <w:proofErr w:type="gramEnd"/>
      <w:r>
        <w:t xml:space="preserve"> and Taiwan), and the ROW</w:t>
      </w:r>
      <w:r w:rsidR="00BF00A1">
        <w:t xml:space="preserve"> </w:t>
      </w:r>
      <w:r>
        <w:t>(Australia, Belgium, Brazil, Bulgaria, Czech Republic, Finland, France, Germany, Israel, Italy,</w:t>
      </w:r>
      <w:r w:rsidR="00BF00A1">
        <w:t xml:space="preserve"> </w:t>
      </w:r>
      <w:r>
        <w:t>Mexico, Netherlands, Poland, Russian Federation, Spain, Sweden, and UK).</w:t>
      </w:r>
      <w:r w:rsidR="001B0B76">
        <w:t xml:space="preserve"> </w:t>
      </w:r>
      <w:r>
        <w:t>A total of 1686 patients were enrolled in the study between 30 N</w:t>
      </w:r>
      <w:r w:rsidR="00700636">
        <w:t>ovember</w:t>
      </w:r>
      <w:r>
        <w:t xml:space="preserve"> 2016 (first patient first</w:t>
      </w:r>
      <w:r w:rsidR="00700636">
        <w:t xml:space="preserve"> </w:t>
      </w:r>
      <w:r>
        <w:t>visit) and 5 J</w:t>
      </w:r>
      <w:r w:rsidR="00700636">
        <w:t>une</w:t>
      </w:r>
      <w:r>
        <w:t xml:space="preserve"> 2018 (last patient first visit). The database cut-off date for the primary</w:t>
      </w:r>
      <w:r w:rsidR="00BF00A1">
        <w:t xml:space="preserve"> </w:t>
      </w:r>
      <w:r>
        <w:t>completion analyses was 25 O</w:t>
      </w:r>
      <w:r w:rsidR="00700636">
        <w:t>ctober</w:t>
      </w:r>
      <w:r>
        <w:t xml:space="preserve"> 2021.</w:t>
      </w:r>
    </w:p>
    <w:p w14:paraId="2883F8D0" w14:textId="618D7A23" w:rsidR="00BB7474" w:rsidRDefault="00BB7474" w:rsidP="00BF00A1">
      <w:r w:rsidRPr="003262D0">
        <w:t xml:space="preserve">A total of 1306 patients were randomly assigned in a 1:1 ratio to study treatment. </w:t>
      </w:r>
      <w:r>
        <w:t>Of the</w:t>
      </w:r>
      <w:r w:rsidR="00BF00A1">
        <w:t xml:space="preserve"> </w:t>
      </w:r>
      <w:r>
        <w:t xml:space="preserve">randomised patients, 100% of the patients in the </w:t>
      </w:r>
      <w:proofErr w:type="spellStart"/>
      <w:r>
        <w:t>darolutamide</w:t>
      </w:r>
      <w:proofErr w:type="spellEnd"/>
      <w:r w:rsidR="00700636">
        <w:t xml:space="preserve"> </w:t>
      </w:r>
      <w:r>
        <w:t>+</w:t>
      </w:r>
      <w:r w:rsidR="00700636">
        <w:t xml:space="preserve"> </w:t>
      </w:r>
      <w:r>
        <w:t>docetaxel arm and 99.5% of the</w:t>
      </w:r>
      <w:r w:rsidR="00700636">
        <w:t xml:space="preserve"> </w:t>
      </w:r>
      <w:r>
        <w:t>patients in the placebo</w:t>
      </w:r>
      <w:r w:rsidR="00700636">
        <w:t xml:space="preserve"> </w:t>
      </w:r>
      <w:r>
        <w:t>+</w:t>
      </w:r>
      <w:r w:rsidR="00700636">
        <w:t xml:space="preserve"> </w:t>
      </w:r>
      <w:r>
        <w:t>docetaxel arm received at least 1 dose of study drug.</w:t>
      </w:r>
      <w:r w:rsidRPr="003262D0">
        <w:t xml:space="preserve"> </w:t>
      </w:r>
      <w:r>
        <w:t>At the time of the data cut-off date for the primary completion analysis (25 O</w:t>
      </w:r>
      <w:r w:rsidR="001B0B76">
        <w:t xml:space="preserve">ctober </w:t>
      </w:r>
      <w:r>
        <w:t xml:space="preserve">2021), 45.9% of the patients in the </w:t>
      </w:r>
      <w:proofErr w:type="spellStart"/>
      <w:r>
        <w:t>darolutamide</w:t>
      </w:r>
      <w:proofErr w:type="spellEnd"/>
      <w:r w:rsidR="00700636">
        <w:t xml:space="preserve"> </w:t>
      </w:r>
      <w:r>
        <w:t>+</w:t>
      </w:r>
      <w:r w:rsidR="00700636">
        <w:t xml:space="preserve"> </w:t>
      </w:r>
      <w:r>
        <w:t>docetaxel arm and 19.1% of the patients in the placebo</w:t>
      </w:r>
      <w:r w:rsidR="00700636">
        <w:t xml:space="preserve"> </w:t>
      </w:r>
      <w:r>
        <w:t>+</w:t>
      </w:r>
      <w:r w:rsidR="00700636">
        <w:t xml:space="preserve"> </w:t>
      </w:r>
      <w:r>
        <w:t xml:space="preserve">docetaxel arm </w:t>
      </w:r>
      <w:proofErr w:type="gramStart"/>
      <w:r>
        <w:t>were</w:t>
      </w:r>
      <w:proofErr w:type="gramEnd"/>
      <w:r>
        <w:t xml:space="preserve"> ongoing with study treatment.</w:t>
      </w:r>
    </w:p>
    <w:p w14:paraId="341DF479" w14:textId="0419965E" w:rsidR="00BB7474" w:rsidRPr="0018241D" w:rsidRDefault="00BB7474" w:rsidP="00BF00A1">
      <w:r>
        <w:t xml:space="preserve">Discontinuation of treatment was 54.1% in the </w:t>
      </w:r>
      <w:proofErr w:type="spellStart"/>
      <w:r>
        <w:t>darolutamide</w:t>
      </w:r>
      <w:proofErr w:type="spellEnd"/>
      <w:r w:rsidR="00700636">
        <w:t xml:space="preserve"> </w:t>
      </w:r>
      <w:r>
        <w:t>+</w:t>
      </w:r>
      <w:r w:rsidR="00700636">
        <w:t xml:space="preserve"> </w:t>
      </w:r>
      <w:r>
        <w:t>docetaxel arm versus 80.4% in placebo</w:t>
      </w:r>
      <w:r w:rsidR="00700636">
        <w:t xml:space="preserve"> </w:t>
      </w:r>
      <w:r>
        <w:t>+</w:t>
      </w:r>
      <w:r w:rsidR="00700636">
        <w:t xml:space="preserve"> </w:t>
      </w:r>
      <w:r>
        <w:t>docetaxel arm.</w:t>
      </w:r>
      <w:r w:rsidR="00700636">
        <w:t xml:space="preserve"> </w:t>
      </w:r>
      <w:r>
        <w:t>The most common reason for treatment discontinuation in both arms was progressive disease,</w:t>
      </w:r>
      <w:r w:rsidR="00700636">
        <w:t xml:space="preserve"> </w:t>
      </w:r>
      <w:r>
        <w:t xml:space="preserve">reported in a lower percentage of patients in the </w:t>
      </w:r>
      <w:proofErr w:type="spellStart"/>
      <w:r>
        <w:t>darolutamide</w:t>
      </w:r>
      <w:proofErr w:type="spellEnd"/>
      <w:r w:rsidR="00700636">
        <w:t xml:space="preserve"> </w:t>
      </w:r>
      <w:r>
        <w:t>+</w:t>
      </w:r>
      <w:r w:rsidR="00700636">
        <w:t xml:space="preserve"> </w:t>
      </w:r>
      <w:r>
        <w:t>docetaxel arm compared with</w:t>
      </w:r>
      <w:r w:rsidR="00700636">
        <w:t xml:space="preserve"> </w:t>
      </w:r>
      <w:r>
        <w:t>the placebo</w:t>
      </w:r>
      <w:r w:rsidR="00700636">
        <w:t xml:space="preserve"> </w:t>
      </w:r>
      <w:r>
        <w:t>+</w:t>
      </w:r>
      <w:r w:rsidR="00700636">
        <w:t xml:space="preserve"> </w:t>
      </w:r>
      <w:r>
        <w:t>docetaxel arm (clinical progression, 19.5% vs. 41.6%, respectively; radiological</w:t>
      </w:r>
      <w:r w:rsidR="00700636">
        <w:t xml:space="preserve"> </w:t>
      </w:r>
      <w:r>
        <w:t>progression, 12.9% vs. 20.2%, respectively).</w:t>
      </w:r>
    </w:p>
    <w:p w14:paraId="204F09B4" w14:textId="29680067" w:rsidR="00BB7474" w:rsidRDefault="00BB7474" w:rsidP="00BF00A1">
      <w:r w:rsidRPr="0018241D">
        <w:t>Demographic and baseline characteristics appeared to be balanced</w:t>
      </w:r>
      <w:r>
        <w:t xml:space="preserve">. There was a higher baseline PSA in the experimental arm, </w:t>
      </w:r>
      <w:r w:rsidRPr="0018241D">
        <w:t xml:space="preserve">as shown in Table </w:t>
      </w:r>
      <w:r w:rsidR="00163561">
        <w:t>7</w:t>
      </w:r>
      <w:r>
        <w:t>.</w:t>
      </w:r>
    </w:p>
    <w:p w14:paraId="2E9581E4" w14:textId="77777777" w:rsidR="00BF00A1" w:rsidRDefault="00BB7474" w:rsidP="00700636">
      <w:pPr>
        <w:pStyle w:val="TableTitle"/>
      </w:pPr>
      <w:r w:rsidRPr="0018241D">
        <w:t>Table</w:t>
      </w:r>
      <w:r w:rsidR="00163561">
        <w:t xml:space="preserve"> 7</w:t>
      </w:r>
      <w:r w:rsidRPr="0018241D">
        <w:t>: Demographic and baseline characteristics</w:t>
      </w:r>
    </w:p>
    <w:p w14:paraId="17116C02" w14:textId="34334973" w:rsidR="00BB7474" w:rsidRPr="0018241D" w:rsidRDefault="00BB7474" w:rsidP="00BF00A1">
      <w:r w:rsidRPr="0018241D">
        <w:rPr>
          <w:noProof/>
        </w:rPr>
        <w:drawing>
          <wp:inline distT="0" distB="0" distL="0" distR="0" wp14:anchorId="62C931F4" wp14:editId="16FF2F6B">
            <wp:extent cx="5337282" cy="7211683"/>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BEBA8EAE-BF5A-486C-A8C5-ECC9F3942E4B}">
                          <a14:imgProps xmlns:a14="http://schemas.microsoft.com/office/drawing/2010/main">
                            <a14:imgLayer r:embed="rId34">
                              <a14:imgEffect>
                                <a14:sharpenSoften amount="25000"/>
                              </a14:imgEffect>
                            </a14:imgLayer>
                          </a14:imgProps>
                        </a:ext>
                      </a:extLst>
                    </a:blip>
                    <a:stretch>
                      <a:fillRect/>
                    </a:stretch>
                  </pic:blipFill>
                  <pic:spPr>
                    <a:xfrm>
                      <a:off x="0" y="0"/>
                      <a:ext cx="5360453" cy="7242992"/>
                    </a:xfrm>
                    <a:prstGeom prst="rect">
                      <a:avLst/>
                    </a:prstGeom>
                  </pic:spPr>
                </pic:pic>
              </a:graphicData>
            </a:graphic>
          </wp:inline>
        </w:drawing>
      </w:r>
    </w:p>
    <w:p w14:paraId="12694CC4" w14:textId="77777777" w:rsidR="00BB7474" w:rsidRDefault="00BB7474" w:rsidP="00BB7474">
      <w:pPr>
        <w:spacing w:after="0"/>
        <w:rPr>
          <w:u w:val="single"/>
        </w:rPr>
      </w:pPr>
      <w:r>
        <w:rPr>
          <w:noProof/>
          <w:u w:val="single"/>
        </w:rPr>
        <w:drawing>
          <wp:inline distT="0" distB="0" distL="0" distR="0" wp14:anchorId="7F3D1E70" wp14:editId="166C88BD">
            <wp:extent cx="5322498" cy="372045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5">
                      <a:extLst>
                        <a:ext uri="{BEBA8EAE-BF5A-486C-A8C5-ECC9F3942E4B}">
                          <a14:imgProps xmlns:a14="http://schemas.microsoft.com/office/drawing/2010/main">
                            <a14:imgLayer r:embed="rId36">
                              <a14:imgEffect>
                                <a14:sharpenSoften amount="25000"/>
                              </a14:imgEffect>
                            </a14:imgLayer>
                          </a14:imgProps>
                        </a:ext>
                        <a:ext uri="{28A0092B-C50C-407E-A947-70E740481C1C}">
                          <a14:useLocalDpi xmlns:a14="http://schemas.microsoft.com/office/drawing/2010/main" val="0"/>
                        </a:ext>
                      </a:extLst>
                    </a:blip>
                    <a:srcRect b="2826"/>
                    <a:stretch/>
                  </pic:blipFill>
                  <pic:spPr bwMode="auto">
                    <a:xfrm>
                      <a:off x="0" y="0"/>
                      <a:ext cx="5335245" cy="3729366"/>
                    </a:xfrm>
                    <a:prstGeom prst="rect">
                      <a:avLst/>
                    </a:prstGeom>
                    <a:noFill/>
                    <a:ln>
                      <a:noFill/>
                    </a:ln>
                    <a:extLst>
                      <a:ext uri="{53640926-AAD7-44D8-BBD7-CCE9431645EC}">
                        <a14:shadowObscured xmlns:a14="http://schemas.microsoft.com/office/drawing/2010/main"/>
                      </a:ext>
                    </a:extLst>
                  </pic:spPr>
                </pic:pic>
              </a:graphicData>
            </a:graphic>
          </wp:inline>
        </w:drawing>
      </w:r>
    </w:p>
    <w:p w14:paraId="7AE4F2EB" w14:textId="77777777" w:rsidR="00BF00A1" w:rsidRDefault="00BF00A1" w:rsidP="00BF00A1"/>
    <w:p w14:paraId="51014594" w14:textId="11335F8A" w:rsidR="00BB7474" w:rsidRDefault="00BB7474" w:rsidP="00BF00A1">
      <w:r w:rsidRPr="00B62A11">
        <w:t>Base</w:t>
      </w:r>
      <w:r>
        <w:t>line cancer characteristics appeared balanced between the two groups</w:t>
      </w:r>
      <w:r w:rsidR="00700636">
        <w:t xml:space="preserve"> (</w:t>
      </w:r>
      <w:r>
        <w:t xml:space="preserve">Table </w:t>
      </w:r>
      <w:r w:rsidR="00D21F66">
        <w:t>8</w:t>
      </w:r>
      <w:r w:rsidR="00700636">
        <w:t>)</w:t>
      </w:r>
      <w:r>
        <w:t>.</w:t>
      </w:r>
    </w:p>
    <w:p w14:paraId="778AABDC" w14:textId="0F9E7733" w:rsidR="00BB7474" w:rsidRDefault="00BB7474" w:rsidP="00BF00A1">
      <w:pPr>
        <w:pStyle w:val="TableTitle"/>
      </w:pPr>
      <w:r w:rsidRPr="00B62A11">
        <w:t xml:space="preserve">Table </w:t>
      </w:r>
      <w:r w:rsidR="00D21F66">
        <w:t>8</w:t>
      </w:r>
      <w:r w:rsidRPr="00B62A11">
        <w:t>: Baseline Cancer Characteristics</w:t>
      </w:r>
    </w:p>
    <w:p w14:paraId="1DF0206B" w14:textId="77777777" w:rsidR="00BB7474" w:rsidRPr="00B62A11" w:rsidRDefault="00BB7474" w:rsidP="00BF00A1">
      <w:r w:rsidRPr="00B62A11">
        <w:rPr>
          <w:noProof/>
        </w:rPr>
        <w:drawing>
          <wp:inline distT="0" distB="0" distL="0" distR="0" wp14:anchorId="4B14F881" wp14:editId="40E0F568">
            <wp:extent cx="5782105" cy="332117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817403" cy="3341445"/>
                    </a:xfrm>
                    <a:prstGeom prst="rect">
                      <a:avLst/>
                    </a:prstGeom>
                  </pic:spPr>
                </pic:pic>
              </a:graphicData>
            </a:graphic>
          </wp:inline>
        </w:drawing>
      </w:r>
    </w:p>
    <w:p w14:paraId="3340388D" w14:textId="77777777" w:rsidR="00BF00A1" w:rsidRDefault="00700636" w:rsidP="00BB7474">
      <w:pPr>
        <w:spacing w:after="0"/>
      </w:pPr>
      <w:r w:rsidRPr="00B62A11">
        <w:rPr>
          <w:noProof/>
          <w:u w:val="single"/>
        </w:rPr>
        <w:drawing>
          <wp:inline distT="0" distB="0" distL="0" distR="0" wp14:anchorId="642F7A6F" wp14:editId="3DDE7202">
            <wp:extent cx="5313872" cy="6522016"/>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322996" cy="6533215"/>
                    </a:xfrm>
                    <a:prstGeom prst="rect">
                      <a:avLst/>
                    </a:prstGeom>
                  </pic:spPr>
                </pic:pic>
              </a:graphicData>
            </a:graphic>
          </wp:inline>
        </w:drawing>
      </w:r>
      <w:r w:rsidRPr="00700636">
        <w:t xml:space="preserve"> </w:t>
      </w:r>
    </w:p>
    <w:p w14:paraId="6EF4CF6C" w14:textId="77777777" w:rsidR="00BF00A1" w:rsidRDefault="00BF00A1" w:rsidP="00BB7474">
      <w:pPr>
        <w:spacing w:after="0"/>
      </w:pPr>
    </w:p>
    <w:p w14:paraId="1522A06F" w14:textId="41C6493F" w:rsidR="00BB7474" w:rsidRDefault="00700636" w:rsidP="00BF00A1">
      <w:proofErr w:type="gramStart"/>
      <w:r w:rsidRPr="00700636">
        <w:t>The majority of</w:t>
      </w:r>
      <w:proofErr w:type="gramEnd"/>
      <w:r w:rsidRPr="00700636">
        <w:t xml:space="preserve"> patients had de novo metastatic disease (stage IV: 87.6% of total study </w:t>
      </w:r>
      <w:r w:rsidR="00BB7474" w:rsidRPr="00E34439">
        <w:t>population)</w:t>
      </w:r>
      <w:r w:rsidR="00BB7474">
        <w:t xml:space="preserve"> and</w:t>
      </w:r>
      <w:r w:rsidR="00BB7474" w:rsidRPr="00E34439">
        <w:t xml:space="preserve"> most</w:t>
      </w:r>
      <w:r w:rsidR="00BB7474">
        <w:t xml:space="preserve"> had</w:t>
      </w:r>
      <w:r w:rsidR="00BB7474" w:rsidRPr="00E34439">
        <w:t xml:space="preserve"> M1b (bone metastases, with or without lymph node metastases) at study entry</w:t>
      </w:r>
      <w:r w:rsidR="00D20291" w:rsidRPr="00E34439">
        <w:t xml:space="preserve">. </w:t>
      </w:r>
      <w:r w:rsidR="00BB7474" w:rsidRPr="00E34439">
        <w:t xml:space="preserve">Only a small </w:t>
      </w:r>
      <w:r w:rsidR="00BB7474">
        <w:t>percentage</w:t>
      </w:r>
      <w:r w:rsidR="00BB7474" w:rsidRPr="00E34439">
        <w:t xml:space="preserve"> of patients (3.3% per the </w:t>
      </w:r>
      <w:proofErr w:type="spellStart"/>
      <w:r w:rsidR="00BB7474" w:rsidRPr="00E34439">
        <w:t>IxRS</w:t>
      </w:r>
      <w:proofErr w:type="spellEnd"/>
      <w:r w:rsidR="00BB7474" w:rsidRPr="00E34439">
        <w:t>; 3.0% by eCRF) had M1a (non-regional lymph node metastases only) disease</w:t>
      </w:r>
      <w:r w:rsidR="00BB7474">
        <w:t>.</w:t>
      </w:r>
    </w:p>
    <w:p w14:paraId="4748900D" w14:textId="0372A85B" w:rsidR="00BB7474" w:rsidRPr="00F72754" w:rsidRDefault="00BB7474" w:rsidP="00BF00A1">
      <w:r w:rsidRPr="00F72754">
        <w:t xml:space="preserve">Table </w:t>
      </w:r>
      <w:r w:rsidR="00D21F66">
        <w:t>9</w:t>
      </w:r>
      <w:r w:rsidRPr="00F72754">
        <w:t xml:space="preserve"> shows the patient disposition for the study period and follow up periods as of the database cut off.</w:t>
      </w:r>
    </w:p>
    <w:p w14:paraId="464DF8D3" w14:textId="1219A1B3" w:rsidR="00BB7474" w:rsidRDefault="00BB7474" w:rsidP="005B522C">
      <w:pPr>
        <w:pStyle w:val="TableTitle"/>
        <w:rPr>
          <w:u w:val="single"/>
        </w:rPr>
      </w:pPr>
      <w:r>
        <w:t xml:space="preserve">Table </w:t>
      </w:r>
      <w:r w:rsidR="00D21F66">
        <w:t>9</w:t>
      </w:r>
      <w:r>
        <w:t>: Patient disposition at the time of study completion</w:t>
      </w:r>
    </w:p>
    <w:p w14:paraId="384F80E8" w14:textId="77777777" w:rsidR="00BB7474" w:rsidRDefault="00BB7474" w:rsidP="00BB7474">
      <w:pPr>
        <w:spacing w:after="0"/>
        <w:rPr>
          <w:u w:val="single"/>
        </w:rPr>
      </w:pPr>
      <w:r w:rsidRPr="00F72754">
        <w:rPr>
          <w:noProof/>
          <w:u w:val="single"/>
        </w:rPr>
        <w:drawing>
          <wp:inline distT="0" distB="0" distL="0" distR="0" wp14:anchorId="4A13B626" wp14:editId="28103375">
            <wp:extent cx="5700395" cy="4884058"/>
            <wp:effectExtent l="0" t="0" r="0" b="0"/>
            <wp:docPr id="347480681" name="Picture 347480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b="4800"/>
                    <a:stretch/>
                  </pic:blipFill>
                  <pic:spPr bwMode="auto">
                    <a:xfrm>
                      <a:off x="0" y="0"/>
                      <a:ext cx="5705952" cy="4888819"/>
                    </a:xfrm>
                    <a:prstGeom prst="rect">
                      <a:avLst/>
                    </a:prstGeom>
                    <a:ln>
                      <a:noFill/>
                    </a:ln>
                    <a:extLst>
                      <a:ext uri="{53640926-AAD7-44D8-BBD7-CCE9431645EC}">
                        <a14:shadowObscured xmlns:a14="http://schemas.microsoft.com/office/drawing/2010/main"/>
                      </a:ext>
                    </a:extLst>
                  </pic:spPr>
                </pic:pic>
              </a:graphicData>
            </a:graphic>
          </wp:inline>
        </w:drawing>
      </w:r>
    </w:p>
    <w:p w14:paraId="0769D717" w14:textId="77777777" w:rsidR="00BF00A1" w:rsidRDefault="00BF00A1" w:rsidP="00BF00A1"/>
    <w:p w14:paraId="4DAEE51D" w14:textId="38D7571D" w:rsidR="00BB7474" w:rsidRPr="00F72754" w:rsidRDefault="00BB7474" w:rsidP="00BF00A1">
      <w:r w:rsidRPr="00F72754">
        <w:t>Treatment compliance was high in both treatment arms. The mean percentage of the planned</w:t>
      </w:r>
      <w:r w:rsidR="00BF00A1">
        <w:t xml:space="preserve"> </w:t>
      </w:r>
      <w:r w:rsidRPr="00F72754">
        <w:t>dose of study drug (</w:t>
      </w:r>
      <w:proofErr w:type="spellStart"/>
      <w:r w:rsidRPr="00F72754">
        <w:t>darolutamide</w:t>
      </w:r>
      <w:proofErr w:type="spellEnd"/>
      <w:r w:rsidRPr="00F72754">
        <w:t xml:space="preserve"> or placebo) taken was above 97% and the median was 100%</w:t>
      </w:r>
      <w:r w:rsidR="00BF00A1">
        <w:t xml:space="preserve"> </w:t>
      </w:r>
      <w:r w:rsidRPr="00F72754">
        <w:t xml:space="preserve">in both treatment arms. Most patients (87.6% in the </w:t>
      </w:r>
      <w:proofErr w:type="spellStart"/>
      <w:r w:rsidRPr="00F72754">
        <w:t>darolutamide</w:t>
      </w:r>
      <w:proofErr w:type="spellEnd"/>
      <w:r w:rsidR="008E7EC0">
        <w:t xml:space="preserve"> </w:t>
      </w:r>
      <w:r w:rsidRPr="00F72754">
        <w:t>+</w:t>
      </w:r>
      <w:r w:rsidR="008E7EC0">
        <w:t xml:space="preserve"> </w:t>
      </w:r>
      <w:r w:rsidRPr="00F72754">
        <w:t>docetaxel arm and 85.5% in</w:t>
      </w:r>
      <w:r w:rsidR="005B522C">
        <w:t xml:space="preserve"> </w:t>
      </w:r>
      <w:r w:rsidRPr="00F72754">
        <w:t>the placebo</w:t>
      </w:r>
      <w:r w:rsidR="008E7EC0">
        <w:t xml:space="preserve"> </w:t>
      </w:r>
      <w:r w:rsidRPr="00F72754">
        <w:t>+</w:t>
      </w:r>
      <w:r w:rsidR="008E7EC0">
        <w:t xml:space="preserve"> </w:t>
      </w:r>
      <w:r w:rsidRPr="00F72754">
        <w:t>docetaxel arm) had completed 6 cycles of docetaxel</w:t>
      </w:r>
      <w:r w:rsidR="005B522C">
        <w:t>.</w:t>
      </w:r>
    </w:p>
    <w:p w14:paraId="23BD82AC" w14:textId="0B9AD6B5" w:rsidR="007A05B4" w:rsidRPr="00F72754" w:rsidRDefault="00BB7474" w:rsidP="00BF00A1">
      <w:r w:rsidRPr="00F72754">
        <w:t>During the study, nearly all (≥99%) patients in both treatment arms were administered at least</w:t>
      </w:r>
      <w:r w:rsidR="00BF00A1">
        <w:t xml:space="preserve"> </w:t>
      </w:r>
      <w:r w:rsidRPr="00F72754">
        <w:t>1 concomitant medication in the FAS. Overall, the most common concomitant medications</w:t>
      </w:r>
      <w:r w:rsidR="00BF00A1">
        <w:t xml:space="preserve"> </w:t>
      </w:r>
      <w:r w:rsidRPr="00F72754">
        <w:t>(≥90% of patients in either treatment arm) by ATC subclass were (percentage of patients in the</w:t>
      </w:r>
      <w:r w:rsidR="00BF00A1">
        <w:t xml:space="preserve"> </w:t>
      </w:r>
      <w:proofErr w:type="spellStart"/>
      <w:r w:rsidR="007D60AF">
        <w:t>d</w:t>
      </w:r>
      <w:r w:rsidRPr="00F72754">
        <w:t>arolutamide</w:t>
      </w:r>
      <w:proofErr w:type="spellEnd"/>
      <w:r w:rsidR="007D60AF">
        <w:t xml:space="preserve"> </w:t>
      </w:r>
      <w:r w:rsidRPr="00F72754">
        <w:t>+docetaxel vs. placebo</w:t>
      </w:r>
      <w:r w:rsidR="007D60AF">
        <w:t xml:space="preserve"> </w:t>
      </w:r>
      <w:r w:rsidRPr="00F72754">
        <w:t>+</w:t>
      </w:r>
      <w:r w:rsidR="007D60AF">
        <w:t xml:space="preserve"> </w:t>
      </w:r>
      <w:r w:rsidRPr="00F72754">
        <w:t>docetaxel arm):</w:t>
      </w:r>
    </w:p>
    <w:p w14:paraId="37888776" w14:textId="29E265AF" w:rsidR="00BB7474" w:rsidRPr="00BF00A1" w:rsidRDefault="00ED2E7D" w:rsidP="00BF00A1">
      <w:pPr>
        <w:pStyle w:val="ListBullet"/>
      </w:pPr>
      <w:r w:rsidRPr="00BF00A1">
        <w:t>Ophthalmological</w:t>
      </w:r>
      <w:r w:rsidR="00BB7474" w:rsidRPr="00BF00A1">
        <w:t xml:space="preserve"> (96.6% vs. 95.9%)</w:t>
      </w:r>
    </w:p>
    <w:p w14:paraId="0BC18F10" w14:textId="7101E71C" w:rsidR="00BB7474" w:rsidRPr="00BF00A1" w:rsidRDefault="00BB7474" w:rsidP="00BF00A1">
      <w:pPr>
        <w:pStyle w:val="ListBullet"/>
      </w:pPr>
      <w:r w:rsidRPr="00BF00A1">
        <w:t>Corticosteroids, dermatological preparations (93.4% vs. 92.7%)</w:t>
      </w:r>
    </w:p>
    <w:p w14:paraId="1B9A2072" w14:textId="545F5392" w:rsidR="00BB7474" w:rsidRPr="00BF00A1" w:rsidRDefault="00BB7474" w:rsidP="00BF00A1">
      <w:pPr>
        <w:pStyle w:val="ListBullet"/>
      </w:pPr>
      <w:proofErr w:type="spellStart"/>
      <w:r w:rsidRPr="00BF00A1">
        <w:t>Stomatological</w:t>
      </w:r>
      <w:proofErr w:type="spellEnd"/>
      <w:r w:rsidRPr="00BF00A1">
        <w:t xml:space="preserve"> preparations (92.9% vs. 93.1%)</w:t>
      </w:r>
    </w:p>
    <w:p w14:paraId="02DB81C5" w14:textId="7AAC51B1" w:rsidR="00BB7474" w:rsidRPr="00BF00A1" w:rsidRDefault="00BB7474" w:rsidP="00BF00A1">
      <w:pPr>
        <w:pStyle w:val="ListBullet"/>
      </w:pPr>
      <w:r w:rsidRPr="00BF00A1">
        <w:t>Corticosteroids for systemic use (92.9% vs. 92.7%)</w:t>
      </w:r>
    </w:p>
    <w:p w14:paraId="3A0E1991" w14:textId="2B9AC655" w:rsidR="00BB7474" w:rsidRPr="00BF00A1" w:rsidRDefault="00BB7474" w:rsidP="00BF00A1">
      <w:pPr>
        <w:pStyle w:val="ListBullet"/>
      </w:pPr>
      <w:proofErr w:type="spellStart"/>
      <w:r w:rsidRPr="00BF00A1">
        <w:t>Otologicals</w:t>
      </w:r>
      <w:proofErr w:type="spellEnd"/>
      <w:r w:rsidRPr="00BF00A1">
        <w:t xml:space="preserve"> (91.2% vs. 92.4%)</w:t>
      </w:r>
    </w:p>
    <w:p w14:paraId="49F78F97" w14:textId="270C1C11" w:rsidR="00BB7474" w:rsidRPr="00BF00A1" w:rsidRDefault="00BB7474" w:rsidP="00BF00A1">
      <w:pPr>
        <w:pStyle w:val="ListBullet"/>
      </w:pPr>
      <w:proofErr w:type="spellStart"/>
      <w:r w:rsidRPr="00BF00A1">
        <w:t>Vasoprotectives</w:t>
      </w:r>
      <w:proofErr w:type="spellEnd"/>
      <w:r w:rsidRPr="00BF00A1">
        <w:t xml:space="preserve"> (90.9% vs. 90.5%)</w:t>
      </w:r>
    </w:p>
    <w:p w14:paraId="394C8260" w14:textId="5EF93AEF" w:rsidR="00BB7474" w:rsidRPr="00BF00A1" w:rsidRDefault="00BB7474" w:rsidP="00BF00A1">
      <w:pPr>
        <w:pStyle w:val="ListBullet"/>
      </w:pPr>
      <w:r w:rsidRPr="00BF00A1">
        <w:t>Ophthalmological and ontological preparations (89.6% and 90.2% of patients, respectively)</w:t>
      </w:r>
    </w:p>
    <w:p w14:paraId="758B4174" w14:textId="4D486AE2" w:rsidR="00BB7474" w:rsidRPr="00BF00A1" w:rsidRDefault="00BB7474" w:rsidP="00BF00A1">
      <w:pPr>
        <w:pStyle w:val="ListBullet"/>
      </w:pPr>
      <w:r w:rsidRPr="00BF00A1">
        <w:t>Nasal preparations (88.5% and 90.4% of patients, respectively)</w:t>
      </w:r>
    </w:p>
    <w:p w14:paraId="65466921" w14:textId="778443B0" w:rsidR="00BB7474" w:rsidRDefault="00BB7474" w:rsidP="00BF00A1">
      <w:r w:rsidRPr="00F72754">
        <w:t xml:space="preserve">In total, 27.6% of patients in the </w:t>
      </w:r>
      <w:proofErr w:type="spellStart"/>
      <w:r w:rsidRPr="00F72754">
        <w:t>darolutamide</w:t>
      </w:r>
      <w:proofErr w:type="spellEnd"/>
      <w:r w:rsidR="007D60AF">
        <w:t xml:space="preserve"> </w:t>
      </w:r>
      <w:r w:rsidRPr="00F72754">
        <w:t>+</w:t>
      </w:r>
      <w:r w:rsidR="007D60AF">
        <w:t xml:space="preserve"> </w:t>
      </w:r>
      <w:r w:rsidRPr="00F72754">
        <w:t>docetaxel arm and 23.2% in the</w:t>
      </w:r>
      <w:r>
        <w:t xml:space="preserve"> </w:t>
      </w:r>
      <w:r w:rsidRPr="00F72754">
        <w:t>placebo</w:t>
      </w:r>
      <w:r w:rsidR="007D60AF">
        <w:t xml:space="preserve"> </w:t>
      </w:r>
      <w:r w:rsidRPr="00F72754">
        <w:t>+</w:t>
      </w:r>
      <w:r w:rsidR="007D60AF">
        <w:t xml:space="preserve"> </w:t>
      </w:r>
      <w:r w:rsidRPr="00F72754">
        <w:t>docetaxel arm received drugs for the treatment of bone diseases during the</w:t>
      </w:r>
      <w:r w:rsidR="007D60AF">
        <w:t xml:space="preserve"> </w:t>
      </w:r>
      <w:r>
        <w:t>t</w:t>
      </w:r>
      <w:r w:rsidRPr="00F72754">
        <w:t xml:space="preserve">reatment period. Post study entry, 23.3% of patients in the </w:t>
      </w:r>
      <w:proofErr w:type="spellStart"/>
      <w:r w:rsidRPr="00F72754">
        <w:t>darolutamide</w:t>
      </w:r>
      <w:proofErr w:type="spellEnd"/>
      <w:r w:rsidR="007D60AF">
        <w:t xml:space="preserve"> </w:t>
      </w:r>
      <w:r w:rsidRPr="00F72754">
        <w:t>+</w:t>
      </w:r>
      <w:r w:rsidR="007D60AF">
        <w:t xml:space="preserve"> </w:t>
      </w:r>
      <w:r w:rsidRPr="00F72754">
        <w:t>docetaxel arm</w:t>
      </w:r>
      <w:r w:rsidR="007D60AF">
        <w:t xml:space="preserve"> </w:t>
      </w:r>
      <w:r w:rsidRPr="00F72754">
        <w:t>21.5% in the placebo</w:t>
      </w:r>
      <w:r w:rsidR="007D60AF">
        <w:t xml:space="preserve"> </w:t>
      </w:r>
      <w:r w:rsidRPr="00F72754">
        <w:t>+docetaxel arm received bone health agents (bisphosphonates and</w:t>
      </w:r>
      <w:r w:rsidR="00E21BDE">
        <w:t xml:space="preserve"> </w:t>
      </w:r>
      <w:r w:rsidRPr="00F72754">
        <w:t>denosumab).</w:t>
      </w:r>
    </w:p>
    <w:p w14:paraId="593BF3AC" w14:textId="029822B8" w:rsidR="00BB7474" w:rsidRDefault="00BB7474" w:rsidP="00BF00A1">
      <w:r w:rsidRPr="00555067">
        <w:t>Treatment compliance and concomitant medication usage appeared comparable between the arms</w:t>
      </w:r>
      <w:r>
        <w:t>.</w:t>
      </w:r>
      <w:r w:rsidRPr="00046AD5">
        <w:t xml:space="preserve"> The mean percentage of the planned dose of study drug (</w:t>
      </w:r>
      <w:proofErr w:type="spellStart"/>
      <w:r w:rsidRPr="00046AD5">
        <w:t>darolutamide</w:t>
      </w:r>
      <w:proofErr w:type="spellEnd"/>
      <w:r w:rsidRPr="00046AD5">
        <w:t xml:space="preserve"> or placebo) taken was above 97% and the median was 100% in both treatment arms. The median time under study drug treatment (including dose interruptions/delays) for patients in the</w:t>
      </w:r>
      <w:r>
        <w:t xml:space="preserve"> </w:t>
      </w:r>
      <w:proofErr w:type="spellStart"/>
      <w:r w:rsidRPr="00046AD5">
        <w:t>darolutamide</w:t>
      </w:r>
      <w:proofErr w:type="spellEnd"/>
      <w:r w:rsidR="00E21BDE">
        <w:t xml:space="preserve"> </w:t>
      </w:r>
      <w:r w:rsidRPr="00046AD5">
        <w:t>+</w:t>
      </w:r>
      <w:r w:rsidR="00E21BDE">
        <w:t xml:space="preserve"> </w:t>
      </w:r>
      <w:r w:rsidRPr="00046AD5">
        <w:t>docetaxel arm was 41.0 months (range: 0.1 to 56.5 months), and 16.7 months (range: 0.3 to 55.8 months) for patients in the placebo</w:t>
      </w:r>
      <w:r w:rsidR="00E21BDE">
        <w:t xml:space="preserve"> </w:t>
      </w:r>
      <w:r w:rsidRPr="00046AD5">
        <w:t>+</w:t>
      </w:r>
      <w:r w:rsidR="00E21BDE">
        <w:t xml:space="preserve"> </w:t>
      </w:r>
      <w:r w:rsidRPr="00046AD5">
        <w:t xml:space="preserve">docetaxel arm. </w:t>
      </w:r>
      <w:proofErr w:type="gramStart"/>
      <w:r w:rsidRPr="00046AD5">
        <w:t>The majority of</w:t>
      </w:r>
      <w:proofErr w:type="gramEnd"/>
      <w:r w:rsidRPr="00046AD5">
        <w:t xml:space="preserve"> patients (87.6% in the </w:t>
      </w:r>
      <w:proofErr w:type="spellStart"/>
      <w:r w:rsidRPr="00046AD5">
        <w:t>darolutamide</w:t>
      </w:r>
      <w:proofErr w:type="spellEnd"/>
      <w:r w:rsidR="00E21BDE">
        <w:t xml:space="preserve"> </w:t>
      </w:r>
      <w:r w:rsidRPr="00046AD5">
        <w:t>+</w:t>
      </w:r>
      <w:r w:rsidR="00E21BDE">
        <w:t xml:space="preserve"> </w:t>
      </w:r>
      <w:r w:rsidRPr="00046AD5">
        <w:t>docetaxel arm and 85.5% in the placebo</w:t>
      </w:r>
      <w:r w:rsidR="00E21BDE">
        <w:t xml:space="preserve"> </w:t>
      </w:r>
      <w:r w:rsidRPr="00046AD5">
        <w:t>+</w:t>
      </w:r>
      <w:r w:rsidR="00E21BDE">
        <w:t xml:space="preserve"> </w:t>
      </w:r>
      <w:r w:rsidRPr="00046AD5">
        <w:t>docetaxel arm) completed the full 6 cycles of docetaxel.</w:t>
      </w:r>
    </w:p>
    <w:p w14:paraId="5750DF2C" w14:textId="35F066AC" w:rsidR="00BB7474" w:rsidRDefault="00BB7474" w:rsidP="00012E8D">
      <w:pPr>
        <w:pStyle w:val="Heading6"/>
        <w:rPr>
          <w:color w:val="7295D2" w:themeColor="accent1" w:themeTint="BF"/>
        </w:rPr>
      </w:pPr>
      <w:r w:rsidRPr="00AA53F4">
        <w:t>Pharmacokinetics</w:t>
      </w:r>
    </w:p>
    <w:p w14:paraId="3041F19B" w14:textId="0F55D4C6" w:rsidR="00BB7474" w:rsidRDefault="00BB7474" w:rsidP="00BF00A1">
      <w:r>
        <w:t>There were small differences observed in the</w:t>
      </w:r>
      <w:r w:rsidRPr="002A7200">
        <w:t xml:space="preserve"> </w:t>
      </w:r>
      <w:proofErr w:type="spellStart"/>
      <w:r>
        <w:t>darolutamide</w:t>
      </w:r>
      <w:proofErr w:type="spellEnd"/>
      <w:r>
        <w:t xml:space="preserve"> </w:t>
      </w:r>
      <w:r w:rsidR="00800D6D">
        <w:t>p</w:t>
      </w:r>
      <w:r w:rsidR="00800D6D" w:rsidRPr="00800D6D">
        <w:t>harmacokinetics</w:t>
      </w:r>
      <w:r w:rsidR="00800D6D">
        <w:t xml:space="preserve"> (</w:t>
      </w:r>
      <w:r>
        <w:t>PK</w:t>
      </w:r>
      <w:r w:rsidR="00800D6D">
        <w:t>)</w:t>
      </w:r>
      <w:r>
        <w:t xml:space="preserve"> profiles between </w:t>
      </w:r>
      <w:proofErr w:type="spellStart"/>
      <w:r>
        <w:t>mHSPC</w:t>
      </w:r>
      <w:proofErr w:type="spellEnd"/>
      <w:r w:rsidR="00800D6D">
        <w:t xml:space="preserve"> </w:t>
      </w:r>
      <w:r>
        <w:t xml:space="preserve">patients treated with </w:t>
      </w:r>
      <w:proofErr w:type="spellStart"/>
      <w:r>
        <w:t>darolutamide</w:t>
      </w:r>
      <w:proofErr w:type="spellEnd"/>
      <w:r>
        <w:t xml:space="preserve"> in combination with docetaxel in Study 17777</w:t>
      </w:r>
      <w:r w:rsidR="00800D6D">
        <w:t xml:space="preserve"> </w:t>
      </w:r>
      <w:r>
        <w:t xml:space="preserve">(ARASENS) and </w:t>
      </w:r>
      <w:proofErr w:type="spellStart"/>
      <w:r>
        <w:t>nmCRPC</w:t>
      </w:r>
      <w:proofErr w:type="spellEnd"/>
      <w:r>
        <w:t xml:space="preserve"> patients treated with </w:t>
      </w:r>
      <w:proofErr w:type="spellStart"/>
      <w:r>
        <w:t>darolutamide</w:t>
      </w:r>
      <w:proofErr w:type="spellEnd"/>
      <w:r>
        <w:t xml:space="preserve"> in Study 17712 (ARAMIS).</w:t>
      </w:r>
    </w:p>
    <w:p w14:paraId="3367E9AE" w14:textId="3882E620" w:rsidR="00D7494A" w:rsidRDefault="00BB7474" w:rsidP="00BF00A1">
      <w:r>
        <w:t>These were not considered clinically relevant with respect to efficacy and safety.</w:t>
      </w:r>
      <w:r w:rsidRPr="00460BCC">
        <w:t xml:space="preserve"> </w:t>
      </w:r>
      <w:r>
        <w:t xml:space="preserve">Given that </w:t>
      </w:r>
      <w:r w:rsidRPr="00460BCC">
        <w:t xml:space="preserve">there appeared to be a flat exposure-response </w:t>
      </w:r>
      <w:r w:rsidR="006E7DC0">
        <w:t xml:space="preserve">(E-R) </w:t>
      </w:r>
      <w:r w:rsidRPr="00460BCC">
        <w:t xml:space="preserve">relationship between </w:t>
      </w:r>
      <w:proofErr w:type="spellStart"/>
      <w:r w:rsidRPr="00460BCC">
        <w:t>darolutamide</w:t>
      </w:r>
      <w:proofErr w:type="spellEnd"/>
      <w:r w:rsidRPr="00460BCC">
        <w:t xml:space="preserve"> AUC</w:t>
      </w:r>
      <w:r w:rsidRPr="00460BCC">
        <w:rPr>
          <w:vertAlign w:val="subscript"/>
        </w:rPr>
        <w:t>0-12ss</w:t>
      </w:r>
      <w:r w:rsidRPr="00460BCC">
        <w:t xml:space="preserve"> and overall survival in the context of the 600 mg twice-daily dose, a 10% reduction in exposure was not considered to have a meaningful impact on efficacy.</w:t>
      </w:r>
    </w:p>
    <w:p w14:paraId="5A1AE2DE" w14:textId="3B2BEA06" w:rsidR="00BB7474" w:rsidRDefault="00BB7474" w:rsidP="00BF00A1">
      <w:r>
        <w:t xml:space="preserve">Based on a </w:t>
      </w:r>
      <w:proofErr w:type="spellStart"/>
      <w:r>
        <w:t>popPK</w:t>
      </w:r>
      <w:proofErr w:type="spellEnd"/>
      <w:r>
        <w:t xml:space="preserve"> meta-analysis with consideration of covariate influence, </w:t>
      </w:r>
      <w:proofErr w:type="spellStart"/>
      <w:r>
        <w:t>darolutamide</w:t>
      </w:r>
      <w:proofErr w:type="spellEnd"/>
      <w:r>
        <w:t xml:space="preserve"> exposure in Study 17777 was 10% lower compared with Study 17712.</w:t>
      </w:r>
      <w:r w:rsidR="00FB11EE">
        <w:t xml:space="preserve"> </w:t>
      </w:r>
      <w:r>
        <w:t xml:space="preserve">There were no clinically relevant effects (with respect to efficacy or safety) on </w:t>
      </w:r>
      <w:proofErr w:type="spellStart"/>
      <w:r>
        <w:t>darolutamide</w:t>
      </w:r>
      <w:proofErr w:type="spellEnd"/>
      <w:r>
        <w:t xml:space="preserve"> PK in </w:t>
      </w:r>
      <w:proofErr w:type="spellStart"/>
      <w:r>
        <w:t>mHSPC</w:t>
      </w:r>
      <w:proofErr w:type="spellEnd"/>
      <w:r>
        <w:t xml:space="preserve"> patients by age, race, geographical region (</w:t>
      </w:r>
      <w:r w:rsidR="00B8378D">
        <w:t>e.g.</w:t>
      </w:r>
      <w:r>
        <w:t>, Japan and mainland China), body weight, mild or moderate renal impairment, or mild hepatic impairment.</w:t>
      </w:r>
    </w:p>
    <w:p w14:paraId="2E05D8C1" w14:textId="050C34E0" w:rsidR="00BB7474" w:rsidRDefault="00BB7474" w:rsidP="00BF00A1">
      <w:r>
        <w:t xml:space="preserve">The administration of </w:t>
      </w:r>
      <w:proofErr w:type="spellStart"/>
      <w:r>
        <w:t>darolutamide</w:t>
      </w:r>
      <w:proofErr w:type="spellEnd"/>
      <w:r>
        <w:t xml:space="preserve"> in combination with docetaxel in Study 17777</w:t>
      </w:r>
      <w:r w:rsidR="00D7494A">
        <w:t xml:space="preserve"> </w:t>
      </w:r>
      <w:r>
        <w:t>resulted in</w:t>
      </w:r>
      <w:r w:rsidR="00D7494A">
        <w:t xml:space="preserve"> </w:t>
      </w:r>
      <w:r>
        <w:t>no clinically relevant changes in the PK of either drug, considering the</w:t>
      </w:r>
      <w:r w:rsidR="00D7494A">
        <w:t xml:space="preserve"> </w:t>
      </w:r>
      <w:r>
        <w:t xml:space="preserve">variability associated with exposure, and the </w:t>
      </w:r>
      <w:r w:rsidR="006E7DC0" w:rsidRPr="006E7DC0">
        <w:t>E-R</w:t>
      </w:r>
      <w:r>
        <w:t xml:space="preserve"> relationship of the corresponding drug.</w:t>
      </w:r>
    </w:p>
    <w:p w14:paraId="69F65897" w14:textId="74BAB276" w:rsidR="00BB7474" w:rsidRDefault="00BB7474" w:rsidP="00BF00A1">
      <w:r>
        <w:t>The E-R analyses of efficacy and safety for Study 17777 showed that both efficacy (OS</w:t>
      </w:r>
      <w:r w:rsidR="00D7494A">
        <w:t xml:space="preserve"> </w:t>
      </w:r>
      <w:r>
        <w:t>and prostate-specific antigen [PSA] response) and safety laboratory value (increase in</w:t>
      </w:r>
      <w:r w:rsidR="00D7494A">
        <w:t xml:space="preserve"> </w:t>
      </w:r>
      <w:r>
        <w:t xml:space="preserve">bilirubin) in </w:t>
      </w:r>
      <w:proofErr w:type="spellStart"/>
      <w:r>
        <w:t>mHSPC</w:t>
      </w:r>
      <w:proofErr w:type="spellEnd"/>
      <w:r>
        <w:t xml:space="preserve"> patients were consistent across the </w:t>
      </w:r>
      <w:proofErr w:type="spellStart"/>
      <w:r>
        <w:t>darolutamide</w:t>
      </w:r>
      <w:proofErr w:type="spellEnd"/>
      <w:r>
        <w:t xml:space="preserve"> exposure range at</w:t>
      </w:r>
      <w:r w:rsidR="00D7494A">
        <w:t xml:space="preserve"> </w:t>
      </w:r>
      <w:r>
        <w:t>600 mg BID dose.</w:t>
      </w:r>
    </w:p>
    <w:p w14:paraId="76785217" w14:textId="77777777" w:rsidR="00BB7474" w:rsidRDefault="00BB7474" w:rsidP="00012E8D">
      <w:pPr>
        <w:pStyle w:val="Heading4"/>
      </w:pPr>
      <w:bookmarkStart w:id="34" w:name="_Toc179287292"/>
      <w:r w:rsidRPr="00AA53F4">
        <w:t>Efficacy</w:t>
      </w:r>
      <w:bookmarkEnd w:id="34"/>
    </w:p>
    <w:p w14:paraId="00F229D4" w14:textId="77777777" w:rsidR="00BB7474" w:rsidRDefault="00BB7474" w:rsidP="00012E8D">
      <w:pPr>
        <w:pStyle w:val="Heading5"/>
      </w:pPr>
      <w:r w:rsidRPr="00601A5A">
        <w:t>Primary endpoint</w:t>
      </w:r>
    </w:p>
    <w:p w14:paraId="653B6C07" w14:textId="53836C22" w:rsidR="00BB7474" w:rsidRPr="00046AD5" w:rsidRDefault="00BB7474" w:rsidP="00BF00A1">
      <w:r w:rsidRPr="00046AD5">
        <w:t xml:space="preserve">The primary efficacy endpoint OS was defined as the time from the date of </w:t>
      </w:r>
      <w:r w:rsidR="005D5AE0">
        <w:t>randomisation</w:t>
      </w:r>
      <w:r w:rsidRPr="00046AD5">
        <w:t xml:space="preserve"> until death from any cause. The primary OS analysis used stratification factors from </w:t>
      </w:r>
      <w:proofErr w:type="spellStart"/>
      <w:r w:rsidRPr="00046AD5">
        <w:t>IxRS</w:t>
      </w:r>
      <w:proofErr w:type="spellEnd"/>
      <w:r w:rsidRPr="00046AD5">
        <w:t xml:space="preserve">. The significance threshold was a one-sided alpha of 0.025. The study met its primary objective, showing a statistically significant improvement of OS of </w:t>
      </w:r>
      <w:proofErr w:type="spellStart"/>
      <w:r w:rsidRPr="00046AD5">
        <w:t>darolutamide</w:t>
      </w:r>
      <w:proofErr w:type="spellEnd"/>
      <w:r w:rsidRPr="00046AD5">
        <w:t xml:space="preserve"> in combination with docetaxel and ADT over placebo in addition to docetaxel and ADT. The median follow-up time from </w:t>
      </w:r>
      <w:r w:rsidR="005D5AE0">
        <w:t>randomisation</w:t>
      </w:r>
      <w:r w:rsidRPr="00046AD5">
        <w:t xml:space="preserve"> to the last contact or death was 43.7 months in the </w:t>
      </w:r>
      <w:proofErr w:type="spellStart"/>
      <w:r w:rsidRPr="00046AD5">
        <w:t>darolutamide</w:t>
      </w:r>
      <w:proofErr w:type="spellEnd"/>
      <w:r w:rsidR="00FD295D">
        <w:t xml:space="preserve"> </w:t>
      </w:r>
      <w:r w:rsidRPr="00046AD5">
        <w:t>+</w:t>
      </w:r>
      <w:r w:rsidR="00FD295D">
        <w:t xml:space="preserve"> </w:t>
      </w:r>
      <w:r w:rsidRPr="00046AD5">
        <w:t>docetaxel arm and 42.4 months in the placebo</w:t>
      </w:r>
      <w:r w:rsidR="00FD295D">
        <w:t xml:space="preserve"> </w:t>
      </w:r>
      <w:r w:rsidRPr="00046AD5">
        <w:t>+</w:t>
      </w:r>
      <w:r w:rsidR="00FD295D">
        <w:t xml:space="preserve"> </w:t>
      </w:r>
      <w:r w:rsidRPr="00046AD5">
        <w:t>docetaxel arm.</w:t>
      </w:r>
    </w:p>
    <w:p w14:paraId="33AC235C" w14:textId="4547622D" w:rsidR="00BB7474" w:rsidRDefault="00BB7474" w:rsidP="00BF00A1">
      <w:r w:rsidRPr="00046AD5">
        <w:t>At the time of the database cut-off date for the primary completion analysis (25 O</w:t>
      </w:r>
      <w:r w:rsidR="001B0B76">
        <w:t>ctober</w:t>
      </w:r>
      <w:r w:rsidRPr="00046AD5">
        <w:t xml:space="preserve"> 2021), 533 OS events had occurred, with 229 deaths (35.2% of patients) in the </w:t>
      </w:r>
      <w:proofErr w:type="spellStart"/>
      <w:r w:rsidRPr="00046AD5">
        <w:t>darolutamide</w:t>
      </w:r>
      <w:proofErr w:type="spellEnd"/>
      <w:r w:rsidR="00FD295D">
        <w:t xml:space="preserve"> </w:t>
      </w:r>
      <w:r w:rsidRPr="00046AD5">
        <w:t>+</w:t>
      </w:r>
      <w:r w:rsidR="00FD295D">
        <w:t xml:space="preserve"> </w:t>
      </w:r>
      <w:r w:rsidRPr="00046AD5">
        <w:t>docetaxel arm and 304 deaths (46.5% of patients) in the placebo</w:t>
      </w:r>
      <w:r w:rsidR="00FD295D">
        <w:t xml:space="preserve"> </w:t>
      </w:r>
      <w:r w:rsidRPr="00046AD5">
        <w:t>+</w:t>
      </w:r>
      <w:r w:rsidR="00FD295D">
        <w:t xml:space="preserve"> </w:t>
      </w:r>
      <w:r w:rsidRPr="00046AD5">
        <w:t xml:space="preserve">docetaxel arm. </w:t>
      </w:r>
    </w:p>
    <w:p w14:paraId="6DD5450E" w14:textId="3CDD888E" w:rsidR="00BB7474" w:rsidRDefault="00BB7474" w:rsidP="00BF00A1">
      <w:r w:rsidRPr="00046AD5">
        <w:t xml:space="preserve">The risk of death was lower in the </w:t>
      </w:r>
      <w:proofErr w:type="spellStart"/>
      <w:r w:rsidRPr="00046AD5">
        <w:t>darolutamide</w:t>
      </w:r>
      <w:proofErr w:type="spellEnd"/>
      <w:r w:rsidR="00FD295D">
        <w:t xml:space="preserve"> </w:t>
      </w:r>
      <w:r w:rsidRPr="00046AD5">
        <w:t>+</w:t>
      </w:r>
      <w:r w:rsidR="00FD295D">
        <w:t xml:space="preserve"> </w:t>
      </w:r>
      <w:r w:rsidRPr="00046AD5">
        <w:t>docetaxel arm than in the placebo</w:t>
      </w:r>
      <w:r w:rsidR="00FD295D">
        <w:t xml:space="preserve"> </w:t>
      </w:r>
      <w:r w:rsidRPr="00046AD5">
        <w:t>+</w:t>
      </w:r>
      <w:r w:rsidR="00FD295D">
        <w:t xml:space="preserve"> </w:t>
      </w:r>
      <w:r w:rsidRPr="00046AD5">
        <w:t xml:space="preserve">docetaxel arm (HR: 0.675; 95% CI: [0.568; 0.801]), and the log-rank test was statistically significant with a one-sided p&lt;0.0001. Median OS was not reached in the </w:t>
      </w:r>
      <w:proofErr w:type="spellStart"/>
      <w:r w:rsidRPr="00046AD5">
        <w:t>darolutamide</w:t>
      </w:r>
      <w:proofErr w:type="spellEnd"/>
      <w:r w:rsidR="00FD295D">
        <w:t xml:space="preserve"> </w:t>
      </w:r>
      <w:r w:rsidRPr="00046AD5">
        <w:t>+</w:t>
      </w:r>
      <w:r w:rsidR="00FD295D">
        <w:t xml:space="preserve"> </w:t>
      </w:r>
      <w:r w:rsidRPr="00046AD5">
        <w:t>docetaxel arm (95% CI: [A; A]) and was 48.9 months in the placebo</w:t>
      </w:r>
      <w:r w:rsidR="00FD295D">
        <w:t xml:space="preserve"> </w:t>
      </w:r>
      <w:r w:rsidRPr="00046AD5">
        <w:t>+</w:t>
      </w:r>
      <w:r w:rsidR="00FD295D">
        <w:t xml:space="preserve"> </w:t>
      </w:r>
      <w:r w:rsidRPr="00046AD5">
        <w:t>docetaxel arm (95% CI: [44.4; A]).</w:t>
      </w:r>
    </w:p>
    <w:p w14:paraId="29C7129D" w14:textId="2BE6B265" w:rsidR="00BB7474" w:rsidRPr="00C7338E" w:rsidRDefault="00BB7474" w:rsidP="00BF00A1">
      <w:r w:rsidRPr="001102E5">
        <w:t xml:space="preserve">64.8% of patients in the </w:t>
      </w:r>
      <w:proofErr w:type="spellStart"/>
      <w:r w:rsidRPr="001102E5">
        <w:t>darolutamide</w:t>
      </w:r>
      <w:proofErr w:type="spellEnd"/>
      <w:r w:rsidRPr="001102E5">
        <w:t xml:space="preserve"> arm and 53.5% of patients in the control arm were censored. 393 patients in the </w:t>
      </w:r>
      <w:proofErr w:type="spellStart"/>
      <w:r w:rsidRPr="001102E5">
        <w:t>darolutamide</w:t>
      </w:r>
      <w:proofErr w:type="spellEnd"/>
      <w:r w:rsidRPr="001102E5">
        <w:t xml:space="preserve"> arm (60%) and 320 patients in the control arm (49%) were ongoing with study treatment, active follow-up, or survival follow-up</w:t>
      </w:r>
      <w:r>
        <w:t xml:space="preserve">. Treatment arms were comparable with respect to numbers of patients who withdrew or were lost to follow </w:t>
      </w:r>
      <w:proofErr w:type="gramStart"/>
      <w:r>
        <w:t>up.</w:t>
      </w:r>
      <w:r w:rsidR="00C83ACE">
        <w:t>-</w:t>
      </w:r>
      <w:proofErr w:type="gramEnd"/>
    </w:p>
    <w:p w14:paraId="240D6FC2" w14:textId="12ACFAF0" w:rsidR="001B0B76" w:rsidRDefault="00BB7474" w:rsidP="00BF00A1">
      <w:r>
        <w:t xml:space="preserve">The results of the primary efficacy analysis in the FAS are shown below in Table </w:t>
      </w:r>
      <w:r w:rsidR="00FB5CAB">
        <w:t>10</w:t>
      </w:r>
      <w:r>
        <w:t>.</w:t>
      </w:r>
      <w:r w:rsidR="00FD295D">
        <w:t xml:space="preserve"> </w:t>
      </w:r>
      <w:r w:rsidR="00FD295D" w:rsidRPr="00FD295D">
        <w:t>Figure 3 illustrates the K</w:t>
      </w:r>
      <w:r w:rsidR="00FD295D">
        <w:t>aplan-</w:t>
      </w:r>
      <w:r w:rsidR="00FD295D" w:rsidRPr="00FD295D">
        <w:t>M</w:t>
      </w:r>
      <w:r w:rsidR="00FD295D">
        <w:t>eier</w:t>
      </w:r>
      <w:r w:rsidR="00FD295D" w:rsidRPr="00FD295D">
        <w:t xml:space="preserve"> curves for OS.</w:t>
      </w:r>
    </w:p>
    <w:p w14:paraId="7DD781C8" w14:textId="6F47FCB6" w:rsidR="001B0B76" w:rsidRDefault="00BB7474" w:rsidP="001B0B76">
      <w:pPr>
        <w:pStyle w:val="TableTitle"/>
      </w:pPr>
      <w:r w:rsidRPr="0019069D">
        <w:t xml:space="preserve">Table </w:t>
      </w:r>
      <w:r w:rsidR="00FB5CAB">
        <w:t>10</w:t>
      </w:r>
      <w:r w:rsidRPr="0019069D">
        <w:t>: Overall Survival in study 17777</w:t>
      </w:r>
    </w:p>
    <w:p w14:paraId="7E7EB471" w14:textId="1D19B23D" w:rsidR="00BB7474" w:rsidRDefault="00BB7474" w:rsidP="001B0B76">
      <w:pPr>
        <w:spacing w:after="0"/>
      </w:pPr>
      <w:r>
        <w:rPr>
          <w:noProof/>
        </w:rPr>
        <w:drawing>
          <wp:inline distT="0" distB="0" distL="0" distR="0" wp14:anchorId="31BAF7DB" wp14:editId="72951D6E">
            <wp:extent cx="5149564" cy="275182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158563" cy="2756635"/>
                    </a:xfrm>
                    <a:prstGeom prst="rect">
                      <a:avLst/>
                    </a:prstGeom>
                    <a:noFill/>
                  </pic:spPr>
                </pic:pic>
              </a:graphicData>
            </a:graphic>
          </wp:inline>
        </w:drawing>
      </w:r>
    </w:p>
    <w:p w14:paraId="72BB8475" w14:textId="24794A8C" w:rsidR="00FD295D" w:rsidRDefault="00FD295D" w:rsidP="00FD295D">
      <w:pPr>
        <w:pStyle w:val="TableTitle"/>
      </w:pPr>
      <w:r w:rsidRPr="00FD295D">
        <w:t>Figure 3: Kaplan-Meier curves of OS in study 1777</w:t>
      </w:r>
    </w:p>
    <w:p w14:paraId="7AF38D67" w14:textId="6C84A28C" w:rsidR="00FD295D" w:rsidRDefault="00FD295D" w:rsidP="00BB7474">
      <w:pPr>
        <w:spacing w:after="0"/>
      </w:pPr>
      <w:r>
        <w:rPr>
          <w:noProof/>
        </w:rPr>
        <w:drawing>
          <wp:inline distT="0" distB="0" distL="0" distR="0" wp14:anchorId="375CD80F" wp14:editId="2EF61B82">
            <wp:extent cx="5012883" cy="3588589"/>
            <wp:effectExtent l="0" t="0" r="0" b="0"/>
            <wp:docPr id="15" name="Picture 15" descr="A graph of a patient's growt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graph of a patient's growth&#10;&#10;Description automatically generated"/>
                    <pic:cNvPicPr>
                      <a:picLocks noChangeAspect="1" noChangeArrowheads="1"/>
                    </pic:cNvPicPr>
                  </pic:nvPicPr>
                  <pic:blipFill rotWithShape="1">
                    <a:blip r:embed="rId41">
                      <a:extLst>
                        <a:ext uri="{28A0092B-C50C-407E-A947-70E740481C1C}">
                          <a14:useLocalDpi xmlns:a14="http://schemas.microsoft.com/office/drawing/2010/main" val="0"/>
                        </a:ext>
                      </a:extLst>
                    </a:blip>
                    <a:srcRect l="3365" r="4435" b="4266"/>
                    <a:stretch/>
                  </pic:blipFill>
                  <pic:spPr bwMode="auto">
                    <a:xfrm>
                      <a:off x="0" y="0"/>
                      <a:ext cx="5041170" cy="3608839"/>
                    </a:xfrm>
                    <a:prstGeom prst="rect">
                      <a:avLst/>
                    </a:prstGeom>
                    <a:noFill/>
                    <a:ln>
                      <a:noFill/>
                    </a:ln>
                    <a:extLst>
                      <a:ext uri="{53640926-AAD7-44D8-BBD7-CCE9431645EC}">
                        <a14:shadowObscured xmlns:a14="http://schemas.microsoft.com/office/drawing/2010/main"/>
                      </a:ext>
                    </a:extLst>
                  </pic:spPr>
                </pic:pic>
              </a:graphicData>
            </a:graphic>
          </wp:inline>
        </w:drawing>
      </w:r>
    </w:p>
    <w:p w14:paraId="62252146" w14:textId="62A286D6" w:rsidR="001B0B76" w:rsidRDefault="00BB7474" w:rsidP="00BF00A1">
      <w:r w:rsidRPr="0019069D">
        <w:t xml:space="preserve">OS was longer for patients in the </w:t>
      </w:r>
      <w:proofErr w:type="spellStart"/>
      <w:r w:rsidR="00562B10">
        <w:t>darolutamide</w:t>
      </w:r>
      <w:proofErr w:type="spellEnd"/>
      <w:r w:rsidR="00562B10">
        <w:t xml:space="preserve"> + docetaxel</w:t>
      </w:r>
      <w:r w:rsidRPr="0019069D">
        <w:t xml:space="preserve"> arm than in the </w:t>
      </w:r>
      <w:r w:rsidR="00562B10">
        <w:t>placebo + docetaxel</w:t>
      </w:r>
      <w:r w:rsidR="00BF00A1">
        <w:t xml:space="preserve"> </w:t>
      </w:r>
      <w:r w:rsidRPr="0019069D">
        <w:t xml:space="preserve">arm despite a higher proportion of patients receiving subsequent therapy after discontinuation of study treatment in the </w:t>
      </w:r>
      <w:r w:rsidR="00562B10">
        <w:t>placebo + docetaxel</w:t>
      </w:r>
      <w:r w:rsidRPr="0019069D">
        <w:t xml:space="preserve"> arm (75.6%)</w:t>
      </w:r>
      <w:r>
        <w:t xml:space="preserve"> </w:t>
      </w:r>
      <w:r w:rsidRPr="0019069D">
        <w:t>compared with the</w:t>
      </w:r>
      <w:r>
        <w:t xml:space="preserve"> </w:t>
      </w:r>
      <w:proofErr w:type="spellStart"/>
      <w:r w:rsidRPr="0019069D">
        <w:t>darolutamide</w:t>
      </w:r>
      <w:proofErr w:type="spellEnd"/>
      <w:r>
        <w:t xml:space="preserve"> </w:t>
      </w:r>
      <w:r w:rsidRPr="0019069D">
        <w:t>+</w:t>
      </w:r>
      <w:r>
        <w:t xml:space="preserve"> </w:t>
      </w:r>
      <w:r w:rsidRPr="0019069D">
        <w:t>docetaxel arm (56.8%).</w:t>
      </w:r>
      <w:r>
        <w:t xml:space="preserve"> Subsequent systemic therapies are shown in Table</w:t>
      </w:r>
      <w:r w:rsidR="00FB5CAB">
        <w:t xml:space="preserve"> 11</w:t>
      </w:r>
      <w:r>
        <w:t>.</w:t>
      </w:r>
    </w:p>
    <w:p w14:paraId="041C52FA" w14:textId="685E5489" w:rsidR="00BB7474" w:rsidRDefault="00BB7474" w:rsidP="00BF00A1">
      <w:pPr>
        <w:pStyle w:val="TableTitle"/>
        <w:rPr>
          <w:u w:val="single"/>
        </w:rPr>
      </w:pPr>
      <w:r w:rsidRPr="001A5342">
        <w:t xml:space="preserve">Table </w:t>
      </w:r>
      <w:r w:rsidR="00FB5CAB">
        <w:t>11</w:t>
      </w:r>
      <w:r w:rsidRPr="001A5342">
        <w:t>: Summary of subsequent life-prolonging systemic antineoplastic medication by</w:t>
      </w:r>
      <w:r w:rsidR="00FD295D">
        <w:t xml:space="preserve"> </w:t>
      </w:r>
      <w:r w:rsidRPr="00BF00A1">
        <w:t>preferred drug name based on WHO-DD drug record number in Study 17777</w:t>
      </w:r>
      <w:r w:rsidR="00FD295D" w:rsidRPr="00BF00A1">
        <w:t xml:space="preserve"> </w:t>
      </w:r>
      <w:r w:rsidRPr="00BF00A1">
        <w:t>(FAS).</w:t>
      </w:r>
    </w:p>
    <w:p w14:paraId="4DA80441" w14:textId="77777777" w:rsidR="00BB7474" w:rsidRDefault="00BB7474" w:rsidP="00BF00A1">
      <w:r>
        <w:t xml:space="preserve"> </w:t>
      </w:r>
      <w:r>
        <w:rPr>
          <w:noProof/>
        </w:rPr>
        <w:drawing>
          <wp:inline distT="0" distB="0" distL="0" distR="0" wp14:anchorId="5946EC25" wp14:editId="4B9895D5">
            <wp:extent cx="5686455" cy="3839029"/>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2">
                      <a:extLst>
                        <a:ext uri="{BEBA8EAE-BF5A-486C-A8C5-ECC9F3942E4B}">
                          <a14:imgProps xmlns:a14="http://schemas.microsoft.com/office/drawing/2010/main">
                            <a14:imgLayer r:embed="rId43">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l="1604" r="2959" b="4613"/>
                    <a:stretch/>
                  </pic:blipFill>
                  <pic:spPr bwMode="auto">
                    <a:xfrm>
                      <a:off x="0" y="0"/>
                      <a:ext cx="5708077" cy="3853627"/>
                    </a:xfrm>
                    <a:prstGeom prst="rect">
                      <a:avLst/>
                    </a:prstGeom>
                    <a:noFill/>
                    <a:ln>
                      <a:noFill/>
                    </a:ln>
                    <a:extLst>
                      <a:ext uri="{53640926-AAD7-44D8-BBD7-CCE9431645EC}">
                        <a14:shadowObscured xmlns:a14="http://schemas.microsoft.com/office/drawing/2010/main"/>
                      </a:ext>
                    </a:extLst>
                  </pic:spPr>
                </pic:pic>
              </a:graphicData>
            </a:graphic>
          </wp:inline>
        </w:drawing>
      </w:r>
    </w:p>
    <w:p w14:paraId="41B81DBC" w14:textId="77777777" w:rsidR="00BB7474" w:rsidRDefault="00BB7474" w:rsidP="00BF00A1">
      <w:r>
        <w:t>Sensitivity analyses of the OS were in line with the primary findings:</w:t>
      </w:r>
    </w:p>
    <w:p w14:paraId="4F599342" w14:textId="20A692AF" w:rsidR="00BB7474" w:rsidRPr="00BF00A1" w:rsidRDefault="00BB7474" w:rsidP="00BF00A1">
      <w:pPr>
        <w:pStyle w:val="ListBullet"/>
      </w:pPr>
      <w:r w:rsidRPr="00BF00A1">
        <w:t>An analysis without including stratification factors in the model: HR: 0.689; 95% CI: [0.580; 0.818]; p&lt;0.0001</w:t>
      </w:r>
    </w:p>
    <w:p w14:paraId="3A731C46" w14:textId="4C9D9AA6" w:rsidR="00BB7474" w:rsidRPr="00BF00A1" w:rsidRDefault="00BB7474" w:rsidP="00BF00A1">
      <w:pPr>
        <w:pStyle w:val="ListBullet"/>
      </w:pPr>
      <w:r w:rsidRPr="00BF00A1">
        <w:t>An analysis using stratification data from the eCRF: HR: 0.678; 95% CI: [0.571; 0.806]; p&lt;0.0001</w:t>
      </w:r>
    </w:p>
    <w:p w14:paraId="4D14E5FD" w14:textId="77777777" w:rsidR="001B0B76" w:rsidRPr="00BF00A1" w:rsidRDefault="00BB7474" w:rsidP="00BF00A1">
      <w:pPr>
        <w:pStyle w:val="ListBullet"/>
      </w:pPr>
      <w:r w:rsidRPr="00BF00A1">
        <w:t xml:space="preserve">An analysis using extent of disease stratification data according to central imaging </w:t>
      </w:r>
      <w:proofErr w:type="gramStart"/>
      <w:r w:rsidRPr="00BF00A1">
        <w:t>review;</w:t>
      </w:r>
      <w:proofErr w:type="gramEnd"/>
    </w:p>
    <w:p w14:paraId="2DFE9A70" w14:textId="5FE0C5E6" w:rsidR="00BB7474" w:rsidRPr="00BF00A1" w:rsidRDefault="00BB7474" w:rsidP="00BF00A1">
      <w:pPr>
        <w:pStyle w:val="ListBullet"/>
      </w:pPr>
      <w:r w:rsidRPr="00BF00A1">
        <w:t>HR: 0.678; 95% CI: [0.571; 0.805]; p&lt;0.0001</w:t>
      </w:r>
    </w:p>
    <w:p w14:paraId="53286C22" w14:textId="77777777" w:rsidR="00BB7474" w:rsidRDefault="00BB7474" w:rsidP="00BF00A1">
      <w:r>
        <w:t>The post-hoc analyses of OS by number of docetaxel cycles (6 vs ≤5, and 5-6 vs ≤4) were also consistent with the primary analysis. In patients with 4 or less cycles of docetaxel, the confidence interval included 1 (0.713 [95%CI 0.44, 1.14], p 0.0790). There was however a low number of patients in this subgroup (70 in each arm).</w:t>
      </w:r>
    </w:p>
    <w:p w14:paraId="4F9F2F40" w14:textId="77777777" w:rsidR="00BB7474" w:rsidRPr="0058774E" w:rsidRDefault="00BB7474" w:rsidP="00BF00A1">
      <w:r>
        <w:t xml:space="preserve">An OS subgroup analysis is shown in Figure 4 and is consistent in </w:t>
      </w:r>
      <w:proofErr w:type="gramStart"/>
      <w:r>
        <w:t>a number of</w:t>
      </w:r>
      <w:proofErr w:type="gramEnd"/>
      <w:r>
        <w:t xml:space="preserve"> subgroups. There are some subgroups that appeared to have less benefit e.g. 65-74 years, Asians, visceral metastases, Asia-Pacific but the reasons are unclear and likely to be multifactorial.</w:t>
      </w:r>
    </w:p>
    <w:p w14:paraId="623631D1" w14:textId="6D0A731D" w:rsidR="00BB7474" w:rsidRDefault="00BB7474" w:rsidP="00BF00A1">
      <w:r>
        <w:t xml:space="preserve">An analysis was conducted applying the CHAARTED volume criteria at the request of an Orbis partner. The </w:t>
      </w:r>
      <w:r w:rsidR="008A7024">
        <w:t>Sponsor</w:t>
      </w:r>
      <w:r>
        <w:t xml:space="preserve"> notes that this was not a pre-specified analysis in ARASENS and that the study did not prospectively define and collect high and low volume strata in the same way as the CHAARTED study. This information was derived based on the data as it was collected in </w:t>
      </w:r>
      <w:proofErr w:type="gramStart"/>
      <w:r>
        <w:t>ARASENS</w:t>
      </w:r>
      <w:proofErr w:type="gramEnd"/>
      <w:r>
        <w:t xml:space="preserve"> and high and low-volume groups were defined as follows:</w:t>
      </w:r>
    </w:p>
    <w:p w14:paraId="542218AF" w14:textId="665CDAAC" w:rsidR="00BB7474" w:rsidRDefault="00BB7474" w:rsidP="00BF00A1">
      <w:pPr>
        <w:pStyle w:val="ListBullet"/>
      </w:pPr>
      <w:r>
        <w:t>Patients with non-regional lymph nodes metastases only (M1a) were assigned to the low volume group</w:t>
      </w:r>
    </w:p>
    <w:p w14:paraId="6891C82F" w14:textId="2A74E8F6" w:rsidR="00BB7474" w:rsidRDefault="00BB7474" w:rsidP="00021935">
      <w:pPr>
        <w:pStyle w:val="ListBullet"/>
      </w:pPr>
      <w:r>
        <w:t>Patients with metastases with or without lymph node metastases (M1b) were assigned to groups according to CHAARTED criteria. Patients with ≤ 4 bone metastases were</w:t>
      </w:r>
      <w:r w:rsidR="00BF00A1">
        <w:t xml:space="preserve"> </w:t>
      </w:r>
      <w:r>
        <w:t xml:space="preserve">assigned to the low-volume group and patients &gt; 4 bone metastases or </w:t>
      </w:r>
      <w:proofErr w:type="spellStart"/>
      <w:r>
        <w:t>superscan</w:t>
      </w:r>
      <w:proofErr w:type="spellEnd"/>
      <w:r>
        <w:t xml:space="preserve"> were assigned to the high-volume group.</w:t>
      </w:r>
    </w:p>
    <w:p w14:paraId="3BB9ADCF" w14:textId="1539014A" w:rsidR="00BB7474" w:rsidRDefault="00BB7474" w:rsidP="00BF00A1">
      <w:pPr>
        <w:pStyle w:val="ListBullet"/>
      </w:pPr>
      <w:r>
        <w:t>Patients with visceral metastases with or without lymph node metastases or with or</w:t>
      </w:r>
    </w:p>
    <w:p w14:paraId="3B9F552F" w14:textId="708D8BAE" w:rsidR="00BB7474" w:rsidRDefault="00BB7474" w:rsidP="00BF00A1">
      <w:pPr>
        <w:pStyle w:val="ListBullet"/>
      </w:pPr>
      <w:r>
        <w:t>without bone metastases (M1c) were assigned to the high-volume group.</w:t>
      </w:r>
    </w:p>
    <w:p w14:paraId="6557FBC5" w14:textId="2176CBE1" w:rsidR="000D16D4" w:rsidRDefault="00BB7474" w:rsidP="00BF00A1">
      <w:r>
        <w:t xml:space="preserve">The </w:t>
      </w:r>
      <w:r w:rsidR="008A7024">
        <w:t>Sponsor</w:t>
      </w:r>
      <w:r>
        <w:t xml:space="preserve">’s analysis showed the following in </w:t>
      </w:r>
      <w:r w:rsidRPr="00F4017C">
        <w:t>subgroups of high- and low-volume with the</w:t>
      </w:r>
      <w:r>
        <w:t xml:space="preserve"> </w:t>
      </w:r>
      <w:r w:rsidRPr="00F4017C">
        <w:t xml:space="preserve">addition of </w:t>
      </w:r>
      <w:proofErr w:type="spellStart"/>
      <w:r w:rsidRPr="00F4017C">
        <w:t>darolutamide</w:t>
      </w:r>
      <w:proofErr w:type="spellEnd"/>
      <w:r w:rsidRPr="00F4017C">
        <w:t xml:space="preserve"> to ADT</w:t>
      </w:r>
      <w:r w:rsidR="006E5108">
        <w:t xml:space="preserve"> </w:t>
      </w:r>
      <w:r w:rsidRPr="00F4017C">
        <w:t>+</w:t>
      </w:r>
      <w:r w:rsidR="006E5108">
        <w:t xml:space="preserve"> </w:t>
      </w:r>
      <w:r w:rsidRPr="00F4017C">
        <w:t>docetaxel over ADT</w:t>
      </w:r>
      <w:r w:rsidR="006E5108">
        <w:t xml:space="preserve"> </w:t>
      </w:r>
      <w:r w:rsidRPr="00F4017C">
        <w:t>+</w:t>
      </w:r>
      <w:r w:rsidR="006E5108">
        <w:t xml:space="preserve"> </w:t>
      </w:r>
      <w:r w:rsidRPr="00F4017C">
        <w:t>docetaxel:</w:t>
      </w:r>
    </w:p>
    <w:p w14:paraId="4407FD91" w14:textId="513567FE" w:rsidR="00BB7474" w:rsidRDefault="00BB7474" w:rsidP="00BF00A1">
      <w:pPr>
        <w:pStyle w:val="ListBullet"/>
      </w:pPr>
      <w:r w:rsidRPr="00F4017C">
        <w:t>high-volume HR= 0.685</w:t>
      </w:r>
      <w:r>
        <w:t xml:space="preserve"> </w:t>
      </w:r>
      <w:r w:rsidRPr="00F4017C">
        <w:t>(95%</w:t>
      </w:r>
      <w:proofErr w:type="gramStart"/>
      <w:r w:rsidRPr="00F4017C">
        <w:t>CI:[</w:t>
      </w:r>
      <w:proofErr w:type="gramEnd"/>
      <w:r w:rsidRPr="00F4017C">
        <w:t>0.571; 0.822])</w:t>
      </w:r>
    </w:p>
    <w:p w14:paraId="01976EE8" w14:textId="087934EC" w:rsidR="00BB7474" w:rsidRDefault="00BB7474" w:rsidP="00BF00A1">
      <w:pPr>
        <w:pStyle w:val="ListBullet"/>
      </w:pPr>
      <w:r w:rsidRPr="00F4017C">
        <w:t>low-volume HR = 0.682 (95%</w:t>
      </w:r>
      <w:proofErr w:type="gramStart"/>
      <w:r w:rsidRPr="00F4017C">
        <w:t>CI:[</w:t>
      </w:r>
      <w:proofErr w:type="gramEnd"/>
      <w:r w:rsidRPr="00F4017C">
        <w:t>0.412; 1.130])</w:t>
      </w:r>
      <w:r>
        <w:t xml:space="preserve">. </w:t>
      </w:r>
    </w:p>
    <w:p w14:paraId="29867BD8" w14:textId="36999653" w:rsidR="00BB7474" w:rsidRPr="00F4017C" w:rsidRDefault="00BB7474" w:rsidP="00BF00A1">
      <w:r>
        <w:t xml:space="preserve">The OS benefit in the high volume subgroup appears to be in keeping with the </w:t>
      </w:r>
      <w:r w:rsidRPr="00F4017C">
        <w:t xml:space="preserve">overall study population results </w:t>
      </w:r>
      <w:r>
        <w:t xml:space="preserve">of </w:t>
      </w:r>
      <w:r w:rsidRPr="00F4017C">
        <w:t>HR = 0.675 (95%</w:t>
      </w:r>
      <w:proofErr w:type="gramStart"/>
      <w:r w:rsidRPr="00F4017C">
        <w:t>CI:[</w:t>
      </w:r>
      <w:proofErr w:type="gramEnd"/>
      <w:r w:rsidRPr="00F4017C">
        <w:t>0.568, 0.801]).</w:t>
      </w:r>
      <w:r>
        <w:t xml:space="preserve"> The benefit in the low volume disease did not appear to be as certain.</w:t>
      </w:r>
    </w:p>
    <w:p w14:paraId="58DCC324" w14:textId="36FFEACC" w:rsidR="00BB7474" w:rsidRDefault="00BB7474" w:rsidP="000D16D4">
      <w:pPr>
        <w:pStyle w:val="FigureTitle"/>
      </w:pPr>
      <w:r w:rsidRPr="00717EA8">
        <w:t xml:space="preserve">Figure </w:t>
      </w:r>
      <w:r>
        <w:t>4</w:t>
      </w:r>
      <w:r w:rsidR="000D16D4">
        <w:t>.</w:t>
      </w:r>
      <w:r w:rsidRPr="00717EA8">
        <w:t xml:space="preserve"> Forest plot of subgroup analyses; OS and 95%</w:t>
      </w:r>
      <w:r>
        <w:t xml:space="preserve"> </w:t>
      </w:r>
      <w:r w:rsidRPr="00717EA8">
        <w:t>C</w:t>
      </w:r>
      <w:r>
        <w:t>I</w:t>
      </w:r>
      <w:r w:rsidRPr="00717EA8">
        <w:t>s in study 1777</w:t>
      </w:r>
    </w:p>
    <w:p w14:paraId="63D39FA1" w14:textId="6A89F8A4" w:rsidR="00BB7474" w:rsidRDefault="000D16D4" w:rsidP="00BB7474">
      <w:r>
        <w:rPr>
          <w:noProof/>
        </w:rPr>
        <w:drawing>
          <wp:inline distT="0" distB="0" distL="0" distR="0" wp14:anchorId="4A148F3C" wp14:editId="656C897A">
            <wp:extent cx="5759450" cy="3855720"/>
            <wp:effectExtent l="0" t="0" r="0" b="0"/>
            <wp:docPr id="1662260942" name="Picture 1" descr="A chart of a number of patien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260942" name="Picture 1" descr="A chart of a number of patients&#10;&#10;Description automatically generated with medium confidence"/>
                    <pic:cNvPicPr/>
                  </pic:nvPicPr>
                  <pic:blipFill>
                    <a:blip r:embed="rId44"/>
                    <a:stretch>
                      <a:fillRect/>
                    </a:stretch>
                  </pic:blipFill>
                  <pic:spPr>
                    <a:xfrm>
                      <a:off x="0" y="0"/>
                      <a:ext cx="5759450" cy="3855720"/>
                    </a:xfrm>
                    <a:prstGeom prst="rect">
                      <a:avLst/>
                    </a:prstGeom>
                  </pic:spPr>
                </pic:pic>
              </a:graphicData>
            </a:graphic>
          </wp:inline>
        </w:drawing>
      </w:r>
    </w:p>
    <w:p w14:paraId="237E6063" w14:textId="7A1872A3" w:rsidR="006E5108" w:rsidRDefault="006E5108" w:rsidP="00BB7474">
      <w:r>
        <w:rPr>
          <w:noProof/>
        </w:rPr>
        <w:drawing>
          <wp:inline distT="0" distB="0" distL="0" distR="0" wp14:anchorId="16F2E31C" wp14:editId="11AEC276">
            <wp:extent cx="5759450" cy="585470"/>
            <wp:effectExtent l="0" t="0" r="0" b="5080"/>
            <wp:docPr id="4270221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022155" name=""/>
                    <pic:cNvPicPr/>
                  </pic:nvPicPr>
                  <pic:blipFill>
                    <a:blip r:embed="rId45"/>
                    <a:stretch>
                      <a:fillRect/>
                    </a:stretch>
                  </pic:blipFill>
                  <pic:spPr>
                    <a:xfrm>
                      <a:off x="0" y="0"/>
                      <a:ext cx="5759450" cy="585470"/>
                    </a:xfrm>
                    <a:prstGeom prst="rect">
                      <a:avLst/>
                    </a:prstGeom>
                  </pic:spPr>
                </pic:pic>
              </a:graphicData>
            </a:graphic>
          </wp:inline>
        </w:drawing>
      </w:r>
    </w:p>
    <w:p w14:paraId="0A21D1BB" w14:textId="77777777" w:rsidR="00BF00A1" w:rsidRDefault="00BF00A1" w:rsidP="00BF00A1"/>
    <w:p w14:paraId="5F71593A" w14:textId="77777777" w:rsidR="00BF00A1" w:rsidRDefault="00BF00A1" w:rsidP="00BF00A1"/>
    <w:p w14:paraId="36766B6D" w14:textId="4E77A7E8" w:rsidR="00BB7474" w:rsidRDefault="00BB7474" w:rsidP="00012E8D">
      <w:pPr>
        <w:pStyle w:val="Heading5"/>
      </w:pPr>
      <w:r w:rsidRPr="00601A5A">
        <w:t xml:space="preserve">Secondary </w:t>
      </w:r>
      <w:r w:rsidR="00BF00A1">
        <w:t>e</w:t>
      </w:r>
      <w:r w:rsidRPr="00601A5A">
        <w:t>ndpoints</w:t>
      </w:r>
    </w:p>
    <w:p w14:paraId="7803FFE6" w14:textId="0D437F7F" w:rsidR="00BB7474" w:rsidRDefault="00BB7474" w:rsidP="00BF00A1">
      <w:r w:rsidRPr="00601A5A">
        <w:t xml:space="preserve">An overview of the secondary efficacy results is shown in </w:t>
      </w:r>
      <w:r>
        <w:t>T</w:t>
      </w:r>
      <w:r w:rsidRPr="00601A5A">
        <w:t xml:space="preserve">able </w:t>
      </w:r>
      <w:r w:rsidR="002723E2">
        <w:t>12</w:t>
      </w:r>
      <w:r>
        <w:t>.</w:t>
      </w:r>
    </w:p>
    <w:p w14:paraId="73E05405" w14:textId="77777777" w:rsidR="00BB7474" w:rsidRDefault="00BB7474" w:rsidP="00BF00A1">
      <w:r>
        <w:t xml:space="preserve">The following endpoints had a HR&lt; 1 and were statistically significant: </w:t>
      </w:r>
    </w:p>
    <w:p w14:paraId="00043C75" w14:textId="77777777" w:rsidR="00BB7474" w:rsidRDefault="00BB7474" w:rsidP="00BF00A1">
      <w:pPr>
        <w:pStyle w:val="ListBullet"/>
      </w:pPr>
      <w:r>
        <w:t xml:space="preserve">- time to castration-resistant prostate cancer, </w:t>
      </w:r>
    </w:p>
    <w:p w14:paraId="3D8FF2B3" w14:textId="77777777" w:rsidR="00BB7474" w:rsidRDefault="00BB7474" w:rsidP="00BF00A1">
      <w:pPr>
        <w:pStyle w:val="ListBullet"/>
      </w:pPr>
      <w:r>
        <w:t xml:space="preserve">- time to pain progression, </w:t>
      </w:r>
    </w:p>
    <w:p w14:paraId="565E9E96" w14:textId="071ACB64" w:rsidR="00BB7474" w:rsidRDefault="00BB7474" w:rsidP="00BF00A1">
      <w:pPr>
        <w:pStyle w:val="ListBullet"/>
      </w:pPr>
      <w:r>
        <w:t xml:space="preserve">- </w:t>
      </w:r>
      <w:r w:rsidR="00BE2D28">
        <w:t>SSE</w:t>
      </w:r>
      <w:r>
        <w:t xml:space="preserve">-free survival, </w:t>
      </w:r>
    </w:p>
    <w:p w14:paraId="06F6B4DE" w14:textId="5AA85A87" w:rsidR="00BB7474" w:rsidRDefault="00BB7474" w:rsidP="00BF00A1">
      <w:pPr>
        <w:pStyle w:val="ListBullet"/>
      </w:pPr>
      <w:r>
        <w:t xml:space="preserve">- time to first </w:t>
      </w:r>
      <w:r w:rsidR="00BE2D28">
        <w:t>SSE</w:t>
      </w:r>
    </w:p>
    <w:p w14:paraId="418549FE" w14:textId="77777777" w:rsidR="00BB7474" w:rsidRDefault="00BB7474" w:rsidP="00BF00A1">
      <w:pPr>
        <w:pStyle w:val="ListBullet"/>
      </w:pPr>
      <w:r>
        <w:t xml:space="preserve">- time to initiation of subsequent systemic antineoplastic </w:t>
      </w:r>
      <w:r w:rsidRPr="00714032">
        <w:t>therapy</w:t>
      </w:r>
      <w:r>
        <w:t>.</w:t>
      </w:r>
    </w:p>
    <w:p w14:paraId="59DD6875" w14:textId="77777777" w:rsidR="00BB7474" w:rsidRDefault="00BB7474" w:rsidP="00BF00A1">
      <w:r>
        <w:t>As per the hierarchical testing procedure, since time to worsening of disease-related physical symptoms was not statistically significant, the secondary endpoint time to initiation of</w:t>
      </w:r>
    </w:p>
    <w:p w14:paraId="1DFD3728" w14:textId="77777777" w:rsidR="00BB7474" w:rsidRDefault="00BB7474" w:rsidP="00BF00A1">
      <w:r>
        <w:t>opioid use was not tested for significance and was considered exploratory.</w:t>
      </w:r>
    </w:p>
    <w:p w14:paraId="428E7F45" w14:textId="3B3DFBBD" w:rsidR="00BB7474" w:rsidRPr="00601A5A" w:rsidRDefault="00BB7474" w:rsidP="00F849DF">
      <w:pPr>
        <w:pStyle w:val="TableTitle"/>
      </w:pPr>
      <w:r w:rsidRPr="00601A5A">
        <w:t xml:space="preserve">Table </w:t>
      </w:r>
      <w:r w:rsidR="002723E2">
        <w:t>12</w:t>
      </w:r>
      <w:r w:rsidR="00F849DF">
        <w:t>.</w:t>
      </w:r>
      <w:r w:rsidRPr="00601A5A">
        <w:t xml:space="preserve"> Results of the secondary efficacy endpoints in Study 17777</w:t>
      </w:r>
    </w:p>
    <w:p w14:paraId="6FB561FD" w14:textId="77777777" w:rsidR="00BB7474" w:rsidRDefault="00BB7474" w:rsidP="00BB7474">
      <w:r>
        <w:rPr>
          <w:noProof/>
        </w:rPr>
        <w:drawing>
          <wp:inline distT="0" distB="0" distL="0" distR="0" wp14:anchorId="589C4747" wp14:editId="6EF7126E">
            <wp:extent cx="5737177" cy="4910203"/>
            <wp:effectExtent l="0" t="0" r="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44223" cy="4916233"/>
                    </a:xfrm>
                    <a:prstGeom prst="rect">
                      <a:avLst/>
                    </a:prstGeom>
                    <a:noFill/>
                  </pic:spPr>
                </pic:pic>
              </a:graphicData>
            </a:graphic>
          </wp:inline>
        </w:drawing>
      </w:r>
    </w:p>
    <w:p w14:paraId="1C7D24A4" w14:textId="2D0AD720" w:rsidR="00BB7474" w:rsidRDefault="00BB7474" w:rsidP="00A237A2">
      <w:pPr>
        <w:pStyle w:val="Heading6"/>
      </w:pPr>
      <w:r w:rsidRPr="004C362F">
        <w:t>Time to CRPC</w:t>
      </w:r>
    </w:p>
    <w:p w14:paraId="07F379A1" w14:textId="11767831" w:rsidR="00BB7474" w:rsidRPr="00EB39D4" w:rsidRDefault="00BB7474" w:rsidP="00BF00A1">
      <w:r w:rsidRPr="00EB39D4">
        <w:t xml:space="preserve">Overall, 34.6% of patients in the </w:t>
      </w:r>
      <w:proofErr w:type="spellStart"/>
      <w:r w:rsidRPr="00EB39D4">
        <w:t>darolutamide</w:t>
      </w:r>
      <w:proofErr w:type="spellEnd"/>
      <w:r w:rsidR="00A237A2">
        <w:t xml:space="preserve"> </w:t>
      </w:r>
      <w:r w:rsidRPr="00EB39D4">
        <w:t>+</w:t>
      </w:r>
      <w:r w:rsidR="00A237A2">
        <w:t xml:space="preserve"> </w:t>
      </w:r>
      <w:r w:rsidRPr="00EB39D4">
        <w:t>docetaxel arm and 59.8% of patients in the</w:t>
      </w:r>
    </w:p>
    <w:p w14:paraId="228DC4FF" w14:textId="736BA197" w:rsidR="00BB7474" w:rsidRPr="00EB39D4" w:rsidRDefault="00A237A2" w:rsidP="00BF00A1">
      <w:r w:rsidRPr="00EB39D4">
        <w:t>P</w:t>
      </w:r>
      <w:r w:rsidR="00BB7474" w:rsidRPr="00EB39D4">
        <w:t>lacebo</w:t>
      </w:r>
      <w:r>
        <w:t xml:space="preserve"> </w:t>
      </w:r>
      <w:r w:rsidR="00BB7474" w:rsidRPr="00EB39D4">
        <w:t>+</w:t>
      </w:r>
      <w:r>
        <w:t xml:space="preserve"> </w:t>
      </w:r>
      <w:r w:rsidR="00BB7474" w:rsidRPr="00EB39D4">
        <w:t>docetaxel arm progressed to CRPC</w:t>
      </w:r>
      <w:r w:rsidR="00BB7474">
        <w:t>.</w:t>
      </w:r>
      <w:r w:rsidR="00BB7474" w:rsidRPr="00251DF0">
        <w:t xml:space="preserve"> The analysis was based on central laboratory PSA and testosterone assessments.</w:t>
      </w:r>
    </w:p>
    <w:p w14:paraId="133AC59B" w14:textId="77777777" w:rsidR="00BB7474" w:rsidRDefault="00BB7474" w:rsidP="00BF00A1">
      <w:r>
        <w:t xml:space="preserve">Figure 5 shows the KM curves for the main analysis based on central PSA and testosterone. </w:t>
      </w:r>
    </w:p>
    <w:p w14:paraId="27AA82B4" w14:textId="77777777" w:rsidR="00BF00A1" w:rsidRDefault="00BB7474" w:rsidP="00BF00A1">
      <w:pPr>
        <w:pStyle w:val="FigureTitle"/>
      </w:pPr>
      <w:r w:rsidRPr="004E6559">
        <w:t xml:space="preserve">Figure </w:t>
      </w:r>
      <w:r>
        <w:t xml:space="preserve">5: </w:t>
      </w:r>
      <w:r w:rsidRPr="00EC1D43">
        <w:t>KM curves for the main analysis based on central PSA and testosterone</w:t>
      </w:r>
    </w:p>
    <w:p w14:paraId="4BEA8BA1" w14:textId="0F2C0AE4" w:rsidR="00BB7474" w:rsidRDefault="00BB7474" w:rsidP="00BF00A1">
      <w:r>
        <w:rPr>
          <w:noProof/>
        </w:rPr>
        <w:drawing>
          <wp:inline distT="0" distB="0" distL="0" distR="0" wp14:anchorId="5CC4873B" wp14:editId="06CCB9DB">
            <wp:extent cx="5747684" cy="4296228"/>
            <wp:effectExtent l="0" t="0" r="571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7">
                      <a:extLst>
                        <a:ext uri="{BEBA8EAE-BF5A-486C-A8C5-ECC9F3942E4B}">
                          <a14:imgProps xmlns:a14="http://schemas.microsoft.com/office/drawing/2010/main">
                            <a14:imgLayer r:embed="rId48">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l="5073" t="4045" r="2343"/>
                    <a:stretch/>
                  </pic:blipFill>
                  <pic:spPr bwMode="auto">
                    <a:xfrm>
                      <a:off x="0" y="0"/>
                      <a:ext cx="5847367" cy="4370738"/>
                    </a:xfrm>
                    <a:prstGeom prst="rect">
                      <a:avLst/>
                    </a:prstGeom>
                    <a:noFill/>
                    <a:ln>
                      <a:noFill/>
                    </a:ln>
                    <a:extLst>
                      <a:ext uri="{53640926-AAD7-44D8-BBD7-CCE9431645EC}">
                        <a14:shadowObscured xmlns:a14="http://schemas.microsoft.com/office/drawing/2010/main"/>
                      </a:ext>
                    </a:extLst>
                  </pic:spPr>
                </pic:pic>
              </a:graphicData>
            </a:graphic>
          </wp:inline>
        </w:drawing>
      </w:r>
    </w:p>
    <w:p w14:paraId="7FFB902D" w14:textId="05D9E75E" w:rsidR="00BB7474" w:rsidRDefault="00BB7474" w:rsidP="00BF00A1">
      <w:r>
        <w:t xml:space="preserve">The median time to CRPC was not reached (95% CI: [A; A]) in the </w:t>
      </w:r>
      <w:proofErr w:type="spellStart"/>
      <w:r>
        <w:t>darolutamide</w:t>
      </w:r>
      <w:proofErr w:type="spellEnd"/>
      <w:r w:rsidR="009C20E4">
        <w:t xml:space="preserve"> </w:t>
      </w:r>
      <w:r>
        <w:t>+</w:t>
      </w:r>
      <w:r w:rsidR="009C20E4">
        <w:t xml:space="preserve"> </w:t>
      </w:r>
      <w:r>
        <w:t>docetaxel arm and was 19.1 months (95% CI: [16.5; 21.8]) in the placebo</w:t>
      </w:r>
      <w:r w:rsidR="009C20E4">
        <w:t xml:space="preserve"> </w:t>
      </w:r>
      <w:r>
        <w:t>+</w:t>
      </w:r>
      <w:r w:rsidR="009C20E4">
        <w:t xml:space="preserve"> </w:t>
      </w:r>
      <w:r>
        <w:t>docetaxel arm.</w:t>
      </w:r>
    </w:p>
    <w:p w14:paraId="70D715BE" w14:textId="4DB15EAE" w:rsidR="00BB7474" w:rsidRDefault="00BB7474" w:rsidP="00BF00A1">
      <w:r>
        <w:t xml:space="preserve">Of the patients who progressed to CRPC, the first progression event observed was (see Table </w:t>
      </w:r>
      <w:r w:rsidR="00482A9F">
        <w:t>13</w:t>
      </w:r>
      <w:r>
        <w:t xml:space="preserve"> below):</w:t>
      </w:r>
    </w:p>
    <w:p w14:paraId="2B0AA808" w14:textId="2A889AF9" w:rsidR="00BB7474" w:rsidRDefault="00BB7474" w:rsidP="00BF00A1">
      <w:pPr>
        <w:pStyle w:val="ListBullet"/>
      </w:pPr>
      <w:r>
        <w:t xml:space="preserve">PSA progression for 121/225 patients (53.8%) in the </w:t>
      </w:r>
      <w:proofErr w:type="spellStart"/>
      <w:r>
        <w:t>darolutamide</w:t>
      </w:r>
      <w:proofErr w:type="spellEnd"/>
      <w:r w:rsidR="00A237A2">
        <w:t xml:space="preserve"> </w:t>
      </w:r>
      <w:r>
        <w:t>+</w:t>
      </w:r>
      <w:r w:rsidR="00A237A2">
        <w:t xml:space="preserve"> </w:t>
      </w:r>
      <w:r>
        <w:t>docetaxel arm</w:t>
      </w:r>
      <w:r w:rsidR="009C20E4">
        <w:t xml:space="preserve"> </w:t>
      </w:r>
      <w:r>
        <w:t>compared with 289/391 patients (73.9%) in the placebo</w:t>
      </w:r>
      <w:r w:rsidR="00A237A2">
        <w:t xml:space="preserve"> </w:t>
      </w:r>
      <w:r>
        <w:t>+</w:t>
      </w:r>
      <w:r w:rsidR="00A237A2">
        <w:t xml:space="preserve"> </w:t>
      </w:r>
      <w:r>
        <w:t>docetaxel arm.</w:t>
      </w:r>
    </w:p>
    <w:p w14:paraId="04C56855" w14:textId="3E6DDC3A" w:rsidR="00BB7474" w:rsidRDefault="00BB7474" w:rsidP="00BF00A1">
      <w:pPr>
        <w:pStyle w:val="ListBullet"/>
      </w:pPr>
      <w:r>
        <w:t>Radiological progression by bone lesions for 53/225 patients (23.6%) compared</w:t>
      </w:r>
      <w:r w:rsidR="009C20E4">
        <w:t xml:space="preserve"> </w:t>
      </w:r>
      <w:r>
        <w:t>with 53/391 patients (13.6%), respectively.</w:t>
      </w:r>
    </w:p>
    <w:p w14:paraId="4EB62D1E" w14:textId="22054C1E" w:rsidR="00BB7474" w:rsidRDefault="00BB7474" w:rsidP="00BF00A1">
      <w:pPr>
        <w:pStyle w:val="ListBullet"/>
      </w:pPr>
      <w:r>
        <w:t>Radiological progression by soft tissue/visceral lesions for 51/225 patients (22.7%)</w:t>
      </w:r>
      <w:r w:rsidR="009C20E4">
        <w:t xml:space="preserve"> </w:t>
      </w:r>
      <w:r>
        <w:t>compared with 49/391 patients (12.5%), respectively.</w:t>
      </w:r>
    </w:p>
    <w:p w14:paraId="64917CC4" w14:textId="0120E6AF" w:rsidR="00BB7474" w:rsidRDefault="00BB7474" w:rsidP="009C20E4">
      <w:pPr>
        <w:pStyle w:val="TableTitle"/>
      </w:pPr>
      <w:r w:rsidRPr="00DC3E9C">
        <w:t xml:space="preserve">Table </w:t>
      </w:r>
      <w:r w:rsidR="00482A9F">
        <w:t>13</w:t>
      </w:r>
      <w:r w:rsidR="009C20E4">
        <w:t>.</w:t>
      </w:r>
      <w:r w:rsidRPr="00DC3E9C">
        <w:t xml:space="preserve"> Time to CRPC </w:t>
      </w:r>
      <w:r>
        <w:t>(</w:t>
      </w:r>
      <w:r w:rsidRPr="00DC3E9C">
        <w:t>FAS)</w:t>
      </w:r>
    </w:p>
    <w:p w14:paraId="3C6C67E2" w14:textId="77777777" w:rsidR="00BB7474" w:rsidRPr="00A06B0E" w:rsidRDefault="00BB7474" w:rsidP="00BB7474">
      <w:pPr>
        <w:spacing w:after="0"/>
        <w:rPr>
          <w:u w:val="single"/>
        </w:rPr>
      </w:pPr>
      <w:r w:rsidRPr="00A06B0E">
        <w:rPr>
          <w:noProof/>
          <w:u w:val="single"/>
        </w:rPr>
        <w:drawing>
          <wp:inline distT="0" distB="0" distL="0" distR="0" wp14:anchorId="52798C9E" wp14:editId="6DA77B9C">
            <wp:extent cx="5729942" cy="3876806"/>
            <wp:effectExtent l="0" t="0" r="444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38304" cy="3882464"/>
                    </a:xfrm>
                    <a:prstGeom prst="rect">
                      <a:avLst/>
                    </a:prstGeom>
                  </pic:spPr>
                </pic:pic>
              </a:graphicData>
            </a:graphic>
          </wp:inline>
        </w:drawing>
      </w:r>
    </w:p>
    <w:p w14:paraId="2CE90278" w14:textId="77777777" w:rsidR="006062C7" w:rsidRDefault="006062C7" w:rsidP="006062C7"/>
    <w:p w14:paraId="3DEB38AB" w14:textId="44E1FE63" w:rsidR="00BB7474" w:rsidRDefault="00BB7474" w:rsidP="006062C7">
      <w:r w:rsidRPr="00251DF0">
        <w:t xml:space="preserve">The </w:t>
      </w:r>
      <w:r w:rsidR="008A7024">
        <w:t>Sponsor</w:t>
      </w:r>
      <w:r w:rsidRPr="00251DF0">
        <w:t xml:space="preserve"> conducted a sensitivity analysis based on central and local PSA</w:t>
      </w:r>
      <w:r>
        <w:t xml:space="preserve">. </w:t>
      </w:r>
      <w:r w:rsidRPr="00251DF0">
        <w:t>Th</w:t>
      </w:r>
      <w:r>
        <w:t>is</w:t>
      </w:r>
      <w:r w:rsidRPr="00251DF0">
        <w:t xml:space="preserve"> sensitivity analysis</w:t>
      </w:r>
      <w:r>
        <w:t xml:space="preserve"> showed:</w:t>
      </w:r>
      <w:r w:rsidRPr="00251DF0">
        <w:t xml:space="preserve"> HR=0.361; 95% CI: 0.306, 0.426</w:t>
      </w:r>
      <w:r>
        <w:t>.</w:t>
      </w:r>
    </w:p>
    <w:p w14:paraId="3D874C43" w14:textId="4923E6CF" w:rsidR="00BB7474" w:rsidRDefault="00BB7474" w:rsidP="00A237A2">
      <w:pPr>
        <w:pStyle w:val="Heading6"/>
      </w:pPr>
      <w:r w:rsidRPr="00C51AF1">
        <w:t>Time to pain progression</w:t>
      </w:r>
    </w:p>
    <w:p w14:paraId="0A857BB0" w14:textId="77777777" w:rsidR="00BB7474" w:rsidRDefault="00BB7474" w:rsidP="006062C7">
      <w:r>
        <w:t xml:space="preserve">Time to pain progression was evaluated by BPI-SF and initiation of short or long-acting opioid use for pain and time to worsening of disease related physical symptoms was evaluated by NCCN-FACT-FPSI-17. </w:t>
      </w:r>
    </w:p>
    <w:p w14:paraId="3DE6BE25" w14:textId="66F57BC9" w:rsidR="00BB7474" w:rsidRDefault="00BB7474" w:rsidP="006062C7">
      <w:r>
        <w:t xml:space="preserve">There were 34.1% of patients in the </w:t>
      </w:r>
      <w:proofErr w:type="spellStart"/>
      <w:r w:rsidR="00562B10">
        <w:t>darolutamide</w:t>
      </w:r>
      <w:proofErr w:type="spellEnd"/>
      <w:r w:rsidR="00562B10">
        <w:t xml:space="preserve"> + docetaxel</w:t>
      </w:r>
      <w:r>
        <w:t xml:space="preserve"> arm and 37.9% in the placebo +docetaxel arm with pain progression.</w:t>
      </w:r>
    </w:p>
    <w:p w14:paraId="5819558D" w14:textId="77777777" w:rsidR="00BB7474" w:rsidRDefault="00BB7474" w:rsidP="006062C7">
      <w:r>
        <w:t>There was a delay in this parameter HR 0.792 (95% CI [0.660; 0.950], p=0.0058) with the experimental arm.</w:t>
      </w:r>
    </w:p>
    <w:p w14:paraId="5EF3E055" w14:textId="3980CBF1" w:rsidR="00BB7474" w:rsidRDefault="00BB7474" w:rsidP="006062C7">
      <w:r>
        <w:t xml:space="preserve">The sensitivity analysis showed HR 0.805 </w:t>
      </w:r>
      <w:r w:rsidRPr="005823A7">
        <w:t>(95% CI [0.6</w:t>
      </w:r>
      <w:r>
        <w:t>71</w:t>
      </w:r>
      <w:r w:rsidRPr="005823A7">
        <w:t>; 0.9</w:t>
      </w:r>
      <w:r>
        <w:t>65</w:t>
      </w:r>
      <w:r w:rsidRPr="005823A7">
        <w:t>],</w:t>
      </w:r>
      <w:r>
        <w:t xml:space="preserve"> p=0.0094 based of electronic patient reported outcome and paper </w:t>
      </w:r>
      <w:r w:rsidR="00ED2E7D">
        <w:t>questionnaires</w:t>
      </w:r>
      <w:r>
        <w:t>.</w:t>
      </w:r>
    </w:p>
    <w:p w14:paraId="4CF1FC1D" w14:textId="77777777" w:rsidR="00BB7474" w:rsidRDefault="00BB7474" w:rsidP="006062C7">
      <w:r>
        <w:t>KM curves are shown below in Figure 6.</w:t>
      </w:r>
    </w:p>
    <w:p w14:paraId="741C22AF" w14:textId="1FEC217F" w:rsidR="00BB7474" w:rsidRDefault="00BB7474" w:rsidP="006062C7">
      <w:pPr>
        <w:pStyle w:val="TableTitle"/>
      </w:pPr>
      <w:r>
        <w:t>Figure 6: Kaplan-Meier curve of time to pain progression</w:t>
      </w:r>
    </w:p>
    <w:p w14:paraId="14371754" w14:textId="77777777" w:rsidR="00BB7474" w:rsidRDefault="00BB7474" w:rsidP="00BB7474">
      <w:pPr>
        <w:spacing w:after="0"/>
        <w:rPr>
          <w:u w:val="single"/>
        </w:rPr>
      </w:pPr>
      <w:r w:rsidRPr="00133F47">
        <w:rPr>
          <w:noProof/>
          <w:u w:val="single"/>
        </w:rPr>
        <w:drawing>
          <wp:inline distT="0" distB="0" distL="0" distR="0" wp14:anchorId="54F66F6B" wp14:editId="1282C4A3">
            <wp:extent cx="5646378" cy="360123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663937" cy="3612432"/>
                    </a:xfrm>
                    <a:prstGeom prst="rect">
                      <a:avLst/>
                    </a:prstGeom>
                  </pic:spPr>
                </pic:pic>
              </a:graphicData>
            </a:graphic>
          </wp:inline>
        </w:drawing>
      </w:r>
    </w:p>
    <w:p w14:paraId="678300CE" w14:textId="78BBBEAD" w:rsidR="00BB7474" w:rsidRDefault="00BB7474" w:rsidP="00A237A2">
      <w:pPr>
        <w:pStyle w:val="Heading6"/>
      </w:pPr>
      <w:r>
        <w:t>Symptomatic skeletal event free survival (SSE-FS).</w:t>
      </w:r>
    </w:p>
    <w:p w14:paraId="7A049387" w14:textId="332928F5" w:rsidR="00BB7474" w:rsidRPr="00670B6E" w:rsidRDefault="00BB7474" w:rsidP="006062C7">
      <w:r w:rsidRPr="00670B6E">
        <w:t xml:space="preserve">There were 39.5% of patients in the </w:t>
      </w:r>
      <w:proofErr w:type="spellStart"/>
      <w:r w:rsidR="00562B10">
        <w:t>darolutamide</w:t>
      </w:r>
      <w:proofErr w:type="spellEnd"/>
      <w:r w:rsidR="00562B10">
        <w:t xml:space="preserve"> + docetaxel</w:t>
      </w:r>
      <w:r w:rsidRPr="00670B6E">
        <w:t xml:space="preserve"> arm and 50.3% in the</w:t>
      </w:r>
      <w:r w:rsidR="00A237A2">
        <w:t xml:space="preserve"> p</w:t>
      </w:r>
      <w:r w:rsidRPr="00670B6E">
        <w:t>lacebo</w:t>
      </w:r>
      <w:r w:rsidR="00A237A2">
        <w:t xml:space="preserve"> </w:t>
      </w:r>
      <w:r w:rsidRPr="00670B6E">
        <w:t>+</w:t>
      </w:r>
      <w:r w:rsidR="00A237A2">
        <w:t xml:space="preserve"> </w:t>
      </w:r>
      <w:r w:rsidRPr="00670B6E">
        <w:t>docetaxel arm with an SSE-FS event</w:t>
      </w:r>
      <w:r>
        <w:t>.</w:t>
      </w:r>
    </w:p>
    <w:p w14:paraId="1C9C8912" w14:textId="397E9526" w:rsidR="00BB7474" w:rsidRPr="00670B6E" w:rsidRDefault="00BB7474" w:rsidP="006062C7">
      <w:r w:rsidRPr="00670B6E">
        <w:t xml:space="preserve">SSE-FS was longer in the </w:t>
      </w:r>
      <w:proofErr w:type="spellStart"/>
      <w:r w:rsidR="00562B10">
        <w:t>darolutamide</w:t>
      </w:r>
      <w:proofErr w:type="spellEnd"/>
      <w:r w:rsidR="00562B10">
        <w:t xml:space="preserve"> + docetaxel</w:t>
      </w:r>
      <w:r w:rsidRPr="00670B6E">
        <w:t xml:space="preserve"> arm, with an HR of 0.609</w:t>
      </w:r>
      <w:r>
        <w:t xml:space="preserve"> </w:t>
      </w:r>
      <w:r w:rsidRPr="00670B6E">
        <w:t>(95% CI: [0.516; 0.718]); p&lt;0.0001</w:t>
      </w:r>
      <w:r>
        <w:t>.</w:t>
      </w:r>
    </w:p>
    <w:p w14:paraId="7C3157F1" w14:textId="77777777" w:rsidR="00BB7474" w:rsidRDefault="00BB7474" w:rsidP="006062C7">
      <w:r w:rsidRPr="00670B6E">
        <w:t>The KM</w:t>
      </w:r>
      <w:r>
        <w:t xml:space="preserve"> curves are shown below in Figure 7.</w:t>
      </w:r>
    </w:p>
    <w:p w14:paraId="210DC16E" w14:textId="1C40B086" w:rsidR="00BB7474" w:rsidRDefault="00BB7474" w:rsidP="00A237A2">
      <w:pPr>
        <w:pStyle w:val="FigureTitle"/>
      </w:pPr>
      <w:r w:rsidRPr="00670B6E">
        <w:t xml:space="preserve">Figure </w:t>
      </w:r>
      <w:r>
        <w:t>7</w:t>
      </w:r>
      <w:r w:rsidRPr="00670B6E">
        <w:t>: Kaplan-Meier curves of SSE-FS I study 17777</w:t>
      </w:r>
    </w:p>
    <w:p w14:paraId="651D894C" w14:textId="77777777" w:rsidR="00BB7474" w:rsidRPr="00670B6E" w:rsidRDefault="00BB7474" w:rsidP="00BB7474">
      <w:pPr>
        <w:spacing w:after="0"/>
      </w:pPr>
      <w:r w:rsidRPr="00670B6E">
        <w:rPr>
          <w:noProof/>
        </w:rPr>
        <w:drawing>
          <wp:inline distT="0" distB="0" distL="0" distR="0" wp14:anchorId="356B8FBD" wp14:editId="20CD8772">
            <wp:extent cx="5791772" cy="4096010"/>
            <wp:effectExtent l="0" t="0" r="0" b="0"/>
            <wp:docPr id="1344613474" name="Picture 1344613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b="3811"/>
                    <a:stretch/>
                  </pic:blipFill>
                  <pic:spPr bwMode="auto">
                    <a:xfrm>
                      <a:off x="0" y="0"/>
                      <a:ext cx="5814153" cy="4111838"/>
                    </a:xfrm>
                    <a:prstGeom prst="rect">
                      <a:avLst/>
                    </a:prstGeom>
                    <a:ln>
                      <a:noFill/>
                    </a:ln>
                    <a:extLst>
                      <a:ext uri="{53640926-AAD7-44D8-BBD7-CCE9431645EC}">
                        <a14:shadowObscured xmlns:a14="http://schemas.microsoft.com/office/drawing/2010/main"/>
                      </a:ext>
                    </a:extLst>
                  </pic:spPr>
                </pic:pic>
              </a:graphicData>
            </a:graphic>
          </wp:inline>
        </w:drawing>
      </w:r>
    </w:p>
    <w:p w14:paraId="761BDE44" w14:textId="4AA4B693" w:rsidR="00BB7474" w:rsidRDefault="00BB7474" w:rsidP="00A237A2">
      <w:pPr>
        <w:pStyle w:val="Heading6"/>
      </w:pPr>
      <w:r>
        <w:t>Time to first SSE</w:t>
      </w:r>
    </w:p>
    <w:p w14:paraId="71474EC8" w14:textId="147373B4" w:rsidR="00BB7474" w:rsidRDefault="00BB7474" w:rsidP="006062C7">
      <w:r w:rsidRPr="00BF093D">
        <w:t xml:space="preserve">Overall, SSEs were reported in 14.6% of patients in the </w:t>
      </w:r>
      <w:proofErr w:type="spellStart"/>
      <w:r w:rsidRPr="00BF093D">
        <w:t>darolutamide</w:t>
      </w:r>
      <w:proofErr w:type="spellEnd"/>
      <w:r w:rsidR="00B93CB6">
        <w:t xml:space="preserve"> </w:t>
      </w:r>
      <w:r w:rsidRPr="00BF093D">
        <w:t>+</w:t>
      </w:r>
      <w:r w:rsidR="00B93CB6">
        <w:t xml:space="preserve"> </w:t>
      </w:r>
      <w:r w:rsidRPr="00BF093D">
        <w:t>docetaxel arm</w:t>
      </w:r>
      <w:r w:rsidR="00B93CB6">
        <w:t xml:space="preserve"> </w:t>
      </w:r>
      <w:r w:rsidRPr="00BF093D">
        <w:t>compared with 16.5% in the placebo</w:t>
      </w:r>
      <w:r w:rsidR="0014309E">
        <w:t xml:space="preserve"> </w:t>
      </w:r>
      <w:r w:rsidRPr="00BF093D">
        <w:t>+</w:t>
      </w:r>
      <w:r w:rsidR="0014309E">
        <w:t xml:space="preserve"> </w:t>
      </w:r>
      <w:r w:rsidRPr="00BF093D">
        <w:t>docetaxel arm</w:t>
      </w:r>
      <w:r w:rsidR="00B93CB6">
        <w:t xml:space="preserve">. </w:t>
      </w:r>
      <w:r>
        <w:t xml:space="preserve">A delay in time to first SSE was observed for patients in the </w:t>
      </w:r>
      <w:proofErr w:type="spellStart"/>
      <w:r>
        <w:t>darolutamide</w:t>
      </w:r>
      <w:proofErr w:type="spellEnd"/>
      <w:r w:rsidR="00B93CB6">
        <w:t xml:space="preserve"> </w:t>
      </w:r>
      <w:r>
        <w:t>+</w:t>
      </w:r>
      <w:r w:rsidR="00B93CB6">
        <w:t xml:space="preserve"> </w:t>
      </w:r>
      <w:r>
        <w:t>docetaxel arm, with a HR of 0.712 (95% CI: [0.539; 0.940]); p=0.0081. The median time to first SSE was not reached (95% CI: [A; A]) in either treatment arm. See Figure 8.</w:t>
      </w:r>
    </w:p>
    <w:p w14:paraId="1F520085" w14:textId="6E29E898" w:rsidR="00BB7474" w:rsidRDefault="00BB7474" w:rsidP="006062C7">
      <w:r>
        <w:t xml:space="preserve">The majority of the first SSEs were EBRT to relieve skeletal symptoms, reported for 63.2% of patients with an SSE in the </w:t>
      </w:r>
      <w:proofErr w:type="spellStart"/>
      <w:r>
        <w:t>darolutamide</w:t>
      </w:r>
      <w:proofErr w:type="spellEnd"/>
      <w:r w:rsidR="0014309E">
        <w:t xml:space="preserve"> </w:t>
      </w:r>
      <w:r>
        <w:t>+</w:t>
      </w:r>
      <w:r w:rsidR="0014309E">
        <w:t xml:space="preserve"> </w:t>
      </w:r>
      <w:r>
        <w:t>docetaxel arm and 82.4% of patients with an SSE in the placebo</w:t>
      </w:r>
      <w:r w:rsidR="0014309E">
        <w:t xml:space="preserve"> </w:t>
      </w:r>
      <w:r>
        <w:t>+</w:t>
      </w:r>
      <w:r w:rsidR="0014309E">
        <w:t xml:space="preserve"> </w:t>
      </w:r>
      <w:r>
        <w:t>docetaxel arm.</w:t>
      </w:r>
    </w:p>
    <w:p w14:paraId="720BD4C8" w14:textId="0971DD81" w:rsidR="00BB7474" w:rsidRDefault="00BB7474" w:rsidP="00DC1ABF">
      <w:pPr>
        <w:pStyle w:val="FigureTitle"/>
        <w:rPr>
          <w:u w:val="single"/>
        </w:rPr>
      </w:pPr>
      <w:r>
        <w:t>Figure 8</w:t>
      </w:r>
      <w:r w:rsidR="00DC1ABF">
        <w:t>.</w:t>
      </w:r>
      <w:r>
        <w:t xml:space="preserve"> Kaplan-Meier curves of time to first SSE in study 17777.</w:t>
      </w:r>
    </w:p>
    <w:p w14:paraId="4AEEFBF6" w14:textId="77777777" w:rsidR="00BB7474" w:rsidRDefault="00BB7474" w:rsidP="00BB7474">
      <w:pPr>
        <w:spacing w:after="0"/>
        <w:rPr>
          <w:u w:val="single"/>
        </w:rPr>
      </w:pPr>
      <w:r>
        <w:rPr>
          <w:noProof/>
          <w:u w:val="single"/>
        </w:rPr>
        <w:drawing>
          <wp:inline distT="0" distB="0" distL="0" distR="0" wp14:anchorId="1D95665A" wp14:editId="3E703E80">
            <wp:extent cx="5055079" cy="3574493"/>
            <wp:effectExtent l="0" t="0" r="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2">
                      <a:extLst>
                        <a:ext uri="{28A0092B-C50C-407E-A947-70E740481C1C}">
                          <a14:useLocalDpi xmlns:a14="http://schemas.microsoft.com/office/drawing/2010/main" val="0"/>
                        </a:ext>
                      </a:extLst>
                    </a:blip>
                    <a:srcRect b="3616"/>
                    <a:stretch/>
                  </pic:blipFill>
                  <pic:spPr bwMode="auto">
                    <a:xfrm>
                      <a:off x="0" y="0"/>
                      <a:ext cx="5100413" cy="3606549"/>
                    </a:xfrm>
                    <a:prstGeom prst="rect">
                      <a:avLst/>
                    </a:prstGeom>
                    <a:noFill/>
                    <a:ln>
                      <a:noFill/>
                    </a:ln>
                    <a:extLst>
                      <a:ext uri="{53640926-AAD7-44D8-BBD7-CCE9431645EC}">
                        <a14:shadowObscured xmlns:a14="http://schemas.microsoft.com/office/drawing/2010/main"/>
                      </a:ext>
                    </a:extLst>
                  </pic:spPr>
                </pic:pic>
              </a:graphicData>
            </a:graphic>
          </wp:inline>
        </w:drawing>
      </w:r>
    </w:p>
    <w:p w14:paraId="65016ACA" w14:textId="6D4810C7" w:rsidR="00BB7474" w:rsidRDefault="00BB7474" w:rsidP="00DC1ABF">
      <w:pPr>
        <w:pStyle w:val="Heading6"/>
      </w:pPr>
      <w:r w:rsidRPr="00133F47">
        <w:t>Time to initiation of subsequent systemic antineoplastic therapy</w:t>
      </w:r>
      <w:r>
        <w:t>.</w:t>
      </w:r>
    </w:p>
    <w:p w14:paraId="635DECD3" w14:textId="7A3E6A10" w:rsidR="00BB7474" w:rsidRDefault="00BB7474" w:rsidP="006062C7">
      <w:r w:rsidRPr="00250290">
        <w:t xml:space="preserve">There were 33.6% of patients in the </w:t>
      </w:r>
      <w:proofErr w:type="spellStart"/>
      <w:r w:rsidRPr="00250290">
        <w:t>darolutamide</w:t>
      </w:r>
      <w:proofErr w:type="spellEnd"/>
      <w:r w:rsidR="00DC1ABF">
        <w:t xml:space="preserve"> </w:t>
      </w:r>
      <w:r w:rsidRPr="00250290">
        <w:t>+</w:t>
      </w:r>
      <w:r w:rsidR="00DC1ABF">
        <w:t xml:space="preserve"> </w:t>
      </w:r>
      <w:r w:rsidRPr="00250290">
        <w:t xml:space="preserve">docetaxel arm who started a new </w:t>
      </w:r>
      <w:proofErr w:type="spellStart"/>
      <w:r w:rsidRPr="00250290">
        <w:t>systemicantineoplastic</w:t>
      </w:r>
      <w:proofErr w:type="spellEnd"/>
      <w:r w:rsidRPr="00250290">
        <w:t xml:space="preserve"> therapy, compared with 60.4% in the placebo</w:t>
      </w:r>
      <w:r w:rsidR="00DC1ABF">
        <w:t xml:space="preserve"> </w:t>
      </w:r>
      <w:r w:rsidRPr="00250290">
        <w:t>+</w:t>
      </w:r>
      <w:r w:rsidR="00DC1ABF">
        <w:t xml:space="preserve"> </w:t>
      </w:r>
      <w:r w:rsidRPr="00250290">
        <w:t>docetaxel arm.</w:t>
      </w:r>
      <w:r w:rsidR="006062C7">
        <w:t xml:space="preserve"> </w:t>
      </w:r>
      <w:r>
        <w:t>Subsequent antineoplastic therapies were for prostate cancer, however 8 patients in the</w:t>
      </w:r>
      <w:r w:rsidR="006062C7">
        <w:t xml:space="preserve"> </w:t>
      </w:r>
      <w:r w:rsidR="00DC1ABF">
        <w:t>D</w:t>
      </w:r>
      <w:r>
        <w:t>arolutamide</w:t>
      </w:r>
      <w:r w:rsidR="00DC1ABF">
        <w:t xml:space="preserve"> </w:t>
      </w:r>
      <w:r>
        <w:t>+</w:t>
      </w:r>
      <w:r w:rsidR="00DC1ABF">
        <w:t xml:space="preserve"> </w:t>
      </w:r>
      <w:r>
        <w:t>docetaxel arm and 2 patients in the placebo</w:t>
      </w:r>
      <w:r w:rsidR="00DC1ABF">
        <w:t xml:space="preserve"> </w:t>
      </w:r>
      <w:r>
        <w:t>+</w:t>
      </w:r>
      <w:r w:rsidR="00DC1ABF">
        <w:t xml:space="preserve"> </w:t>
      </w:r>
      <w:r>
        <w:t>docetaxel arm received a first</w:t>
      </w:r>
      <w:r w:rsidR="006062C7">
        <w:t xml:space="preserve"> </w:t>
      </w:r>
      <w:r>
        <w:t>antineoplastic therapy for an additional primary malignancy.</w:t>
      </w:r>
    </w:p>
    <w:p w14:paraId="25534E92" w14:textId="61DDECF6" w:rsidR="00BB7474" w:rsidRDefault="00BB7474" w:rsidP="006062C7">
      <w:r>
        <w:t>A</w:t>
      </w:r>
      <w:r w:rsidRPr="00133F47">
        <w:t xml:space="preserve"> delay</w:t>
      </w:r>
      <w:r>
        <w:t xml:space="preserve"> was seen</w:t>
      </w:r>
      <w:r w:rsidRPr="00133F47">
        <w:t xml:space="preserve"> in the time to initiation of subsequent systemic antineoplastic</w:t>
      </w:r>
      <w:r>
        <w:t xml:space="preserve"> </w:t>
      </w:r>
      <w:r w:rsidRPr="00133F47">
        <w:t xml:space="preserve">therapy for patients in the </w:t>
      </w:r>
      <w:proofErr w:type="spellStart"/>
      <w:r w:rsidRPr="00133F47">
        <w:t>darolutamide</w:t>
      </w:r>
      <w:proofErr w:type="spellEnd"/>
      <w:r w:rsidR="00DC1ABF">
        <w:t xml:space="preserve"> </w:t>
      </w:r>
      <w:r w:rsidRPr="00133F47">
        <w:t>+</w:t>
      </w:r>
      <w:r w:rsidR="00DC1ABF">
        <w:t xml:space="preserve"> </w:t>
      </w:r>
      <w:r w:rsidRPr="00133F47">
        <w:t>docetaxel arm compared with the</w:t>
      </w:r>
      <w:r>
        <w:t xml:space="preserve"> </w:t>
      </w:r>
      <w:r w:rsidRPr="00133F47">
        <w:t>placebo</w:t>
      </w:r>
      <w:r w:rsidR="00DC1ABF">
        <w:t xml:space="preserve"> </w:t>
      </w:r>
      <w:r w:rsidRPr="00133F47">
        <w:t>+</w:t>
      </w:r>
      <w:r w:rsidR="00DC1ABF">
        <w:t xml:space="preserve"> </w:t>
      </w:r>
      <w:r w:rsidRPr="00133F47">
        <w:t>docetaxel arm (HR=0.388, 95% CI: [0.328; 0.458]; p&lt;0.0001)</w:t>
      </w:r>
      <w:r>
        <w:t xml:space="preserve">. The median time to initiation of subsequent systemic antineoplastic therapy was not reached (95% CI: [A; A]) in the </w:t>
      </w:r>
      <w:proofErr w:type="spellStart"/>
      <w:r>
        <w:t>darolutamide</w:t>
      </w:r>
      <w:proofErr w:type="spellEnd"/>
      <w:r w:rsidR="00DC1ABF">
        <w:t xml:space="preserve"> </w:t>
      </w:r>
      <w:r>
        <w:t>+</w:t>
      </w:r>
      <w:r w:rsidR="00DC1ABF">
        <w:t xml:space="preserve"> </w:t>
      </w:r>
      <w:r>
        <w:t>docetaxel arm and was 25.3 months (95% CI: [23.1; 28.8]) in the placebo</w:t>
      </w:r>
      <w:r w:rsidR="00DC1ABF">
        <w:t xml:space="preserve"> </w:t>
      </w:r>
      <w:r>
        <w:t>+</w:t>
      </w:r>
      <w:r w:rsidR="00DC1ABF">
        <w:t xml:space="preserve"> </w:t>
      </w:r>
      <w:r>
        <w:t>docetaxel arm. The KM curve is shown in Figure 9.</w:t>
      </w:r>
    </w:p>
    <w:p w14:paraId="19A3BBC2" w14:textId="19D87442" w:rsidR="00BB7474" w:rsidRDefault="00BB7474" w:rsidP="00DC1ABF">
      <w:pPr>
        <w:pStyle w:val="FigureTitle"/>
      </w:pPr>
      <w:r w:rsidRPr="00133F47">
        <w:t xml:space="preserve">Figure </w:t>
      </w:r>
      <w:r>
        <w:t>9</w:t>
      </w:r>
      <w:r w:rsidR="00DC1ABF">
        <w:t>.</w:t>
      </w:r>
      <w:r w:rsidRPr="00133F47">
        <w:t xml:space="preserve"> Kaplan-Meier curves of time to initiation of subsequent systemic antineoplastic therapy in study 1777.</w:t>
      </w:r>
    </w:p>
    <w:p w14:paraId="34C59FFA" w14:textId="77777777" w:rsidR="00BB7474" w:rsidRDefault="00BB7474" w:rsidP="00BB7474">
      <w:pPr>
        <w:spacing w:after="0"/>
      </w:pPr>
      <w:r>
        <w:rPr>
          <w:noProof/>
        </w:rPr>
        <w:drawing>
          <wp:inline distT="0" distB="0" distL="0" distR="0" wp14:anchorId="788861B0" wp14:editId="26D76626">
            <wp:extent cx="5644046" cy="3571336"/>
            <wp:effectExtent l="0" t="0" r="0" b="0"/>
            <wp:docPr id="23" name="Picture 23" descr="A graph of a patient's growt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graph of a patient's growth&#10;&#10;Description automatically generated with medium confidenc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15913" cy="3616811"/>
                    </a:xfrm>
                    <a:prstGeom prst="rect">
                      <a:avLst/>
                    </a:prstGeom>
                    <a:noFill/>
                  </pic:spPr>
                </pic:pic>
              </a:graphicData>
            </a:graphic>
          </wp:inline>
        </w:drawing>
      </w:r>
    </w:p>
    <w:p w14:paraId="1C970919" w14:textId="6BEA7222" w:rsidR="00BB7474" w:rsidRDefault="00BB7474" w:rsidP="00DC1ABF">
      <w:pPr>
        <w:pStyle w:val="Heading6"/>
      </w:pPr>
      <w:r>
        <w:t>Time to worsening of disease related symptoms.</w:t>
      </w:r>
    </w:p>
    <w:p w14:paraId="6944BE4D" w14:textId="1063F249" w:rsidR="00BB7474" w:rsidRDefault="00BB7474" w:rsidP="006062C7">
      <w:r>
        <w:t xml:space="preserve">The analysis of worsening of disease-related physical symptoms was based on the FPSIDRS-P subscale of the NCCN-FACT-FPSI-17 questionnaire. Worsening of disease-related physical symptoms was observed for 53.9% of patients in the </w:t>
      </w:r>
      <w:proofErr w:type="spellStart"/>
      <w:r>
        <w:t>darolutamide</w:t>
      </w:r>
      <w:proofErr w:type="spellEnd"/>
      <w:r w:rsidR="00DC1ABF">
        <w:t xml:space="preserve"> </w:t>
      </w:r>
      <w:r>
        <w:t>+</w:t>
      </w:r>
      <w:r w:rsidR="00DC1ABF">
        <w:t xml:space="preserve"> </w:t>
      </w:r>
      <w:r>
        <w:t>docetaxel arm and 47.1% of patients in the placebo</w:t>
      </w:r>
      <w:r w:rsidR="00DC1ABF">
        <w:t xml:space="preserve"> </w:t>
      </w:r>
      <w:r>
        <w:t>+</w:t>
      </w:r>
      <w:r w:rsidR="00DC1ABF">
        <w:t xml:space="preserve"> </w:t>
      </w:r>
      <w:r>
        <w:t>docetaxel arm.</w:t>
      </w:r>
    </w:p>
    <w:p w14:paraId="3BBF7950" w14:textId="77777777" w:rsidR="00BB7474" w:rsidRDefault="00BB7474" w:rsidP="006062C7">
      <w:r w:rsidRPr="0014309E">
        <w:t>There was no significant difference in time to worsening of disease-related physical</w:t>
      </w:r>
      <w:r>
        <w:t xml:space="preserve"> </w:t>
      </w:r>
      <w:r w:rsidRPr="009603EA">
        <w:t xml:space="preserve">symptoms between the treatment arms (HR=1.043; 95% CI: [0.894, 1.217]; p=0.7073). </w:t>
      </w:r>
    </w:p>
    <w:p w14:paraId="2D346AA8" w14:textId="77777777" w:rsidR="00BB7474" w:rsidRPr="009603EA" w:rsidRDefault="00BB7474" w:rsidP="006062C7">
      <w:r w:rsidRPr="009603EA">
        <w:t>The</w:t>
      </w:r>
      <w:r>
        <w:t xml:space="preserve"> </w:t>
      </w:r>
      <w:r w:rsidRPr="009603EA">
        <w:t>median time to worsening of disease-related physical symptoms was 19.3 months (95% CI:</w:t>
      </w:r>
    </w:p>
    <w:p w14:paraId="4EEC6DF8" w14:textId="334F2888" w:rsidR="00BB7474" w:rsidRDefault="00BB7474" w:rsidP="006062C7">
      <w:r w:rsidRPr="009603EA">
        <w:t xml:space="preserve">[13.8, 24.8]) in the </w:t>
      </w:r>
      <w:proofErr w:type="spellStart"/>
      <w:r w:rsidRPr="009603EA">
        <w:t>darolutamide</w:t>
      </w:r>
      <w:proofErr w:type="spellEnd"/>
      <w:r w:rsidR="00DC1ABF">
        <w:t xml:space="preserve"> </w:t>
      </w:r>
      <w:r w:rsidRPr="009603EA">
        <w:t>+</w:t>
      </w:r>
      <w:r w:rsidR="00DC1ABF">
        <w:t xml:space="preserve"> </w:t>
      </w:r>
      <w:r w:rsidRPr="009603EA">
        <w:t>docetaxel arm and 19.4 months (95% CI: [15.4, 27.6]) in</w:t>
      </w:r>
      <w:r>
        <w:t xml:space="preserve"> </w:t>
      </w:r>
      <w:r w:rsidRPr="009603EA">
        <w:t>the placebo</w:t>
      </w:r>
      <w:r w:rsidR="00DC1ABF">
        <w:t xml:space="preserve"> </w:t>
      </w:r>
      <w:r w:rsidRPr="009603EA">
        <w:t>+</w:t>
      </w:r>
      <w:r w:rsidR="00DC1ABF">
        <w:t xml:space="preserve"> </w:t>
      </w:r>
      <w:r w:rsidRPr="009603EA">
        <w:t>docetaxel arm.</w:t>
      </w:r>
      <w:r>
        <w:t xml:space="preserve"> See KM curve below in Figure 10.</w:t>
      </w:r>
    </w:p>
    <w:p w14:paraId="433B2837" w14:textId="7B7A13FA" w:rsidR="00BB7474" w:rsidRDefault="00BB7474" w:rsidP="00DC1ABF">
      <w:pPr>
        <w:pStyle w:val="FigureTitle"/>
      </w:pPr>
      <w:r w:rsidRPr="00275DC1">
        <w:t xml:space="preserve">Figure </w:t>
      </w:r>
      <w:r>
        <w:t>10</w:t>
      </w:r>
      <w:r w:rsidR="00DC1ABF">
        <w:t>.</w:t>
      </w:r>
      <w:r w:rsidRPr="00275DC1">
        <w:t xml:space="preserve"> Kaplan-Meier curves of time to worsening of disease related physical symptoms in study 17777.</w:t>
      </w:r>
    </w:p>
    <w:p w14:paraId="6253C049" w14:textId="77777777" w:rsidR="00BB7474" w:rsidRDefault="00BB7474" w:rsidP="00BB7474">
      <w:pPr>
        <w:spacing w:after="0"/>
        <w:rPr>
          <w:u w:val="single"/>
        </w:rPr>
      </w:pPr>
      <w:r>
        <w:rPr>
          <w:noProof/>
          <w:u w:val="single"/>
        </w:rPr>
        <w:drawing>
          <wp:inline distT="0" distB="0" distL="0" distR="0" wp14:anchorId="7ECAA86E" wp14:editId="44730083">
            <wp:extent cx="5844680" cy="4102274"/>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4">
                      <a:extLst>
                        <a:ext uri="{BEBA8EAE-BF5A-486C-A8C5-ECC9F3942E4B}">
                          <a14:imgProps xmlns:a14="http://schemas.microsoft.com/office/drawing/2010/main">
                            <a14:imgLayer r:embed="rId55">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b="3665"/>
                    <a:stretch/>
                  </pic:blipFill>
                  <pic:spPr bwMode="auto">
                    <a:xfrm>
                      <a:off x="0" y="0"/>
                      <a:ext cx="5860987" cy="4113720"/>
                    </a:xfrm>
                    <a:prstGeom prst="rect">
                      <a:avLst/>
                    </a:prstGeom>
                    <a:noFill/>
                    <a:ln>
                      <a:noFill/>
                    </a:ln>
                    <a:extLst>
                      <a:ext uri="{53640926-AAD7-44D8-BBD7-CCE9431645EC}">
                        <a14:shadowObscured xmlns:a14="http://schemas.microsoft.com/office/drawing/2010/main"/>
                      </a:ext>
                    </a:extLst>
                  </pic:spPr>
                </pic:pic>
              </a:graphicData>
            </a:graphic>
          </wp:inline>
        </w:drawing>
      </w:r>
    </w:p>
    <w:p w14:paraId="45E31E93" w14:textId="08F4344E" w:rsidR="00BB7474" w:rsidRDefault="00BB7474" w:rsidP="00DC1ABF">
      <w:pPr>
        <w:pStyle w:val="Heading6"/>
      </w:pPr>
      <w:r>
        <w:t>Time to initiation of opioid use for ≥ 7 consecutive days.</w:t>
      </w:r>
    </w:p>
    <w:p w14:paraId="3518B94E" w14:textId="77777777" w:rsidR="00BB7474" w:rsidRDefault="00BB7474" w:rsidP="006062C7">
      <w:r>
        <w:t>The secondary endpoints of the study were pre-specified in a hierarchical testing scheme to be</w:t>
      </w:r>
    </w:p>
    <w:p w14:paraId="1089BF41" w14:textId="0F8367C9" w:rsidR="00BB7474" w:rsidRDefault="00BB7474" w:rsidP="006062C7">
      <w:pPr>
        <w:rPr>
          <w:b/>
          <w:bCs/>
        </w:rPr>
      </w:pPr>
      <w:r>
        <w:t>tested for significance if the results of all previous endpoints were significant. As the preceding endpoint “Time to worsening of disease-related physical symptoms” did not reach the pre-</w:t>
      </w:r>
      <w:r w:rsidR="00DC1ABF">
        <w:t>s</w:t>
      </w:r>
      <w:r>
        <w:t xml:space="preserve">pecified significance level for this analysis was not tested for significance and was considered </w:t>
      </w:r>
      <w:r w:rsidRPr="00DC1ABF">
        <w:t>exploratory</w:t>
      </w:r>
      <w:r w:rsidRPr="00E62966">
        <w:rPr>
          <w:b/>
          <w:bCs/>
        </w:rPr>
        <w:t>.</w:t>
      </w:r>
    </w:p>
    <w:p w14:paraId="779C6FAE" w14:textId="4EC96E89" w:rsidR="00BB7474" w:rsidRDefault="00BB7474" w:rsidP="006062C7">
      <w:r w:rsidRPr="00E62966">
        <w:t xml:space="preserve">Overall, 14.1% of patients in the </w:t>
      </w:r>
      <w:proofErr w:type="spellStart"/>
      <w:r w:rsidRPr="00E62966">
        <w:t>darolutamide</w:t>
      </w:r>
      <w:proofErr w:type="spellEnd"/>
      <w:r w:rsidR="00DC1ABF">
        <w:t xml:space="preserve"> </w:t>
      </w:r>
      <w:r w:rsidRPr="00E62966">
        <w:t>+</w:t>
      </w:r>
      <w:r w:rsidR="00DC1ABF">
        <w:t xml:space="preserve"> </w:t>
      </w:r>
      <w:r w:rsidRPr="00E62966">
        <w:t>docetaxel arm and 17.9% in the</w:t>
      </w:r>
      <w:r w:rsidR="00DC1ABF">
        <w:t xml:space="preserve"> </w:t>
      </w:r>
      <w:r w:rsidRPr="00E62966">
        <w:t>placebo</w:t>
      </w:r>
      <w:r w:rsidR="00DC1ABF">
        <w:t xml:space="preserve"> </w:t>
      </w:r>
      <w:r w:rsidRPr="00E62966">
        <w:t>+</w:t>
      </w:r>
      <w:r w:rsidR="00DC1ABF">
        <w:t xml:space="preserve"> </w:t>
      </w:r>
      <w:r w:rsidRPr="00E62966">
        <w:t>docetaxel arm had initiated opioid treatment for cancer pain for ≥7 consecutive days</w:t>
      </w:r>
      <w:r w:rsidR="00DC1ABF">
        <w:t xml:space="preserve"> </w:t>
      </w:r>
      <w:r w:rsidRPr="00E62966">
        <w:t>as of the database cut-off date for the primary completion analysis</w:t>
      </w:r>
      <w:r>
        <w:t xml:space="preserve">. </w:t>
      </w:r>
    </w:p>
    <w:p w14:paraId="4C5A4D8E" w14:textId="77777777" w:rsidR="00BB7474" w:rsidRDefault="00BB7474" w:rsidP="00012E8D">
      <w:pPr>
        <w:pStyle w:val="Heading5"/>
      </w:pPr>
      <w:r w:rsidRPr="0088460D">
        <w:t>Exploratory endpoints</w:t>
      </w:r>
    </w:p>
    <w:p w14:paraId="3F5E261D" w14:textId="45EEF279" w:rsidR="00BB7474" w:rsidRDefault="00BB7474" w:rsidP="00DC1ABF">
      <w:pPr>
        <w:pStyle w:val="Heading6"/>
      </w:pPr>
      <w:r>
        <w:t>Time to PSA progression</w:t>
      </w:r>
    </w:p>
    <w:p w14:paraId="7EECFA3F" w14:textId="1BB542C5" w:rsidR="00BB7474" w:rsidRDefault="00BB7474" w:rsidP="006062C7">
      <w:r>
        <w:t xml:space="preserve">Treatment with </w:t>
      </w:r>
      <w:proofErr w:type="spellStart"/>
      <w:r>
        <w:t>darolutamide</w:t>
      </w:r>
      <w:proofErr w:type="spellEnd"/>
      <w:r>
        <w:t xml:space="preserve"> in combination with docetaxel resulted in a longer time to PSA</w:t>
      </w:r>
      <w:r w:rsidR="006062C7">
        <w:t xml:space="preserve"> </w:t>
      </w:r>
      <w:r>
        <w:t>progression than placebo in combination with docetaxel (HR=0.255; 95% CI: [0.208; 0.313];</w:t>
      </w:r>
      <w:r w:rsidR="006062C7">
        <w:t xml:space="preserve"> </w:t>
      </w:r>
      <w:r>
        <w:t xml:space="preserve">p&lt;0.0001). The median time to PSA progression was not reached in the </w:t>
      </w:r>
      <w:proofErr w:type="spellStart"/>
      <w:r>
        <w:t>darolutamide</w:t>
      </w:r>
      <w:proofErr w:type="spellEnd"/>
      <w:r w:rsidR="00DC1ABF">
        <w:t xml:space="preserve"> </w:t>
      </w:r>
      <w:r>
        <w:t>+</w:t>
      </w:r>
      <w:r w:rsidR="00DC1ABF">
        <w:t xml:space="preserve"> </w:t>
      </w:r>
      <w:r>
        <w:t>docetaxel arm and was 22.4 months (95% CI: [22.1; 27.6]) in the placebo</w:t>
      </w:r>
      <w:r w:rsidR="00DC1ABF">
        <w:t xml:space="preserve"> </w:t>
      </w:r>
      <w:r>
        <w:t>+</w:t>
      </w:r>
      <w:r w:rsidR="00DC1ABF">
        <w:t xml:space="preserve"> </w:t>
      </w:r>
      <w:r>
        <w:t>docetaxel arm.</w:t>
      </w:r>
      <w:r w:rsidR="006062C7">
        <w:t xml:space="preserve"> </w:t>
      </w:r>
      <w:r>
        <w:t xml:space="preserve">The proportion of patients with PSA progression was lower in the </w:t>
      </w:r>
      <w:proofErr w:type="spellStart"/>
      <w:r>
        <w:t>darolutamide</w:t>
      </w:r>
      <w:proofErr w:type="spellEnd"/>
      <w:r w:rsidR="00DC1ABF">
        <w:t xml:space="preserve"> </w:t>
      </w:r>
      <w:r>
        <w:t>+</w:t>
      </w:r>
      <w:r w:rsidR="00DC1ABF">
        <w:t xml:space="preserve"> </w:t>
      </w:r>
      <w:r>
        <w:t>docetaxel arm compared with the placebo</w:t>
      </w:r>
      <w:r w:rsidR="00DC1ABF">
        <w:t xml:space="preserve"> </w:t>
      </w:r>
      <w:r>
        <w:t>+</w:t>
      </w:r>
      <w:r w:rsidR="00DC1ABF">
        <w:t xml:space="preserve"> </w:t>
      </w:r>
      <w:r>
        <w:t>docetaxel arm: 20.9% vs. 47.4%, respectively.</w:t>
      </w:r>
    </w:p>
    <w:p w14:paraId="68C524EE" w14:textId="637FF429" w:rsidR="00BB7474" w:rsidRPr="0088460D" w:rsidRDefault="00BB7474" w:rsidP="00DC1ABF">
      <w:pPr>
        <w:pStyle w:val="Heading6"/>
      </w:pPr>
      <w:r w:rsidRPr="0088460D">
        <w:t>PSA response rates</w:t>
      </w:r>
    </w:p>
    <w:p w14:paraId="6E26A51C" w14:textId="50224CF6" w:rsidR="00BB7474" w:rsidRDefault="00BB7474" w:rsidP="006062C7">
      <w:r>
        <w:t xml:space="preserve">Patients receiving </w:t>
      </w:r>
      <w:proofErr w:type="spellStart"/>
      <w:r>
        <w:t>darolutamide</w:t>
      </w:r>
      <w:proofErr w:type="spellEnd"/>
      <w:r>
        <w:t xml:space="preserve"> in combination with docetaxel demonstrated a higher PSA response rate (defined as a ≥50% reduction from baseline) at 12 months after randomisation, compared with patients receiving placebo in combination with docetaxel: 89.6% versus 80.4% (difference=9.03%, 95% CI: [5.20; 12.86], p&lt;0.0001). Overall, both absolute PSA response rates (PSA level &lt;0.2 ng/mL) and relative PSA response rates (≥90% reduction in PSA from baseline) were higher in the </w:t>
      </w:r>
      <w:proofErr w:type="spellStart"/>
      <w:r>
        <w:t>darolutamide</w:t>
      </w:r>
      <w:proofErr w:type="spellEnd"/>
      <w:r w:rsidR="00DC1ABF">
        <w:t xml:space="preserve"> </w:t>
      </w:r>
      <w:r>
        <w:t>+</w:t>
      </w:r>
      <w:r w:rsidR="00DC1ABF">
        <w:t xml:space="preserve"> </w:t>
      </w:r>
      <w:r>
        <w:t>docetaxel arm than in the placebo</w:t>
      </w:r>
      <w:r w:rsidR="00DC1ABF">
        <w:t xml:space="preserve"> </w:t>
      </w:r>
      <w:r>
        <w:t>+</w:t>
      </w:r>
      <w:r w:rsidR="00DC1ABF">
        <w:t xml:space="preserve"> </w:t>
      </w:r>
      <w:r>
        <w:t>docetaxel arm at all evaluated time points.</w:t>
      </w:r>
    </w:p>
    <w:p w14:paraId="1C0EB5B6" w14:textId="6ECF2DB1" w:rsidR="00BB7474" w:rsidRDefault="005D4274" w:rsidP="005E45D8">
      <w:pPr>
        <w:pStyle w:val="Heading6"/>
      </w:pPr>
      <w:r w:rsidRPr="005D4274">
        <w:t xml:space="preserve">Eastern </w:t>
      </w:r>
      <w:r w:rsidR="006062C7" w:rsidRPr="005D4274">
        <w:t xml:space="preserve">cooperative oncology group </w:t>
      </w:r>
      <w:r>
        <w:t>(</w:t>
      </w:r>
      <w:r w:rsidR="00BB7474" w:rsidRPr="00D57D3F">
        <w:t>ECOG</w:t>
      </w:r>
      <w:r>
        <w:t>)</w:t>
      </w:r>
      <w:r w:rsidR="00BB7474" w:rsidRPr="00D57D3F">
        <w:t xml:space="preserve"> performance status</w:t>
      </w:r>
    </w:p>
    <w:p w14:paraId="7B5DCFA5" w14:textId="77777777" w:rsidR="00BB7474" w:rsidRDefault="00BB7474" w:rsidP="006062C7">
      <w:r w:rsidRPr="00D57D3F">
        <w:t>Most patients in both treatment arms</w:t>
      </w:r>
      <w:r>
        <w:t xml:space="preserve"> </w:t>
      </w:r>
      <w:r w:rsidRPr="00D57D3F">
        <w:t>maintained ECOG PS of 0 or 1 at all visits throughout the study</w:t>
      </w:r>
      <w:r>
        <w:t>.</w:t>
      </w:r>
    </w:p>
    <w:p w14:paraId="1FE08192" w14:textId="598C3B20" w:rsidR="00BB7474" w:rsidRDefault="00BB7474" w:rsidP="005E45D8">
      <w:pPr>
        <w:pStyle w:val="Heading6"/>
      </w:pPr>
      <w:r w:rsidRPr="00D57D3F">
        <w:t>QOL</w:t>
      </w:r>
    </w:p>
    <w:p w14:paraId="02D7896C" w14:textId="77777777" w:rsidR="00BB7474" w:rsidRPr="00D57D3F" w:rsidRDefault="00BB7474" w:rsidP="006062C7">
      <w:r w:rsidRPr="00D57D3F">
        <w:t>NCCN-FACT-FPSI-17 questionnaire</w:t>
      </w:r>
      <w:r>
        <w:t xml:space="preserve"> - there were </w:t>
      </w:r>
      <w:proofErr w:type="gramStart"/>
      <w:r>
        <w:t>no</w:t>
      </w:r>
      <w:proofErr w:type="gramEnd"/>
      <w:r>
        <w:t xml:space="preserve"> clinically meaningful nor statistically significant differences between the treatment arms.</w:t>
      </w:r>
    </w:p>
    <w:p w14:paraId="21BF9D5F" w14:textId="5D0F1D8E" w:rsidR="00BB7474" w:rsidRDefault="00BB7474" w:rsidP="006062C7">
      <w:r w:rsidRPr="001B7E29">
        <w:t>BPI-SF questionnaire – pain assessment</w:t>
      </w:r>
      <w:r>
        <w:t xml:space="preserve"> - there were no clinically meaningful differences (MID=2 points) between the treatment arms.</w:t>
      </w:r>
      <w:r w:rsidRPr="001B7E29">
        <w:t xml:space="preserve"> </w:t>
      </w:r>
      <w:r>
        <w:t xml:space="preserve">The pain interference score and pain severity score results favoured the </w:t>
      </w:r>
      <w:proofErr w:type="spellStart"/>
      <w:r>
        <w:t>darolutamide</w:t>
      </w:r>
      <w:proofErr w:type="spellEnd"/>
      <w:r w:rsidR="0014309E">
        <w:t xml:space="preserve"> </w:t>
      </w:r>
      <w:r>
        <w:t>+</w:t>
      </w:r>
      <w:r w:rsidR="0014309E">
        <w:t xml:space="preserve"> </w:t>
      </w:r>
      <w:r>
        <w:t xml:space="preserve">docetaxel arm (lower scores represent less pain) but were not statistically significant nor clinically meaningful, as the difference in least squares (LS) mean between the treatment arms did not </w:t>
      </w:r>
      <w:r w:rsidR="00ED2E7D">
        <w:t>meet</w:t>
      </w:r>
      <w:r>
        <w:t xml:space="preserve"> the MID threshold (MID=2 points).</w:t>
      </w:r>
    </w:p>
    <w:p w14:paraId="4F0514A3" w14:textId="77777777" w:rsidR="00BB7474" w:rsidRDefault="00BB7474" w:rsidP="006062C7">
      <w:r>
        <w:t>Health related QOL appeared to be maintained on the experimental arm.</w:t>
      </w:r>
    </w:p>
    <w:p w14:paraId="57C357CB" w14:textId="3D14E0C9" w:rsidR="00BB7474" w:rsidRPr="00060CAD" w:rsidRDefault="00BB7474" w:rsidP="00342D16">
      <w:pPr>
        <w:pStyle w:val="Heading6"/>
      </w:pPr>
      <w:r>
        <w:t xml:space="preserve">Comments on </w:t>
      </w:r>
      <w:proofErr w:type="spellStart"/>
      <w:r>
        <w:t>s</w:t>
      </w:r>
      <w:r w:rsidRPr="00060CAD">
        <w:t>P</w:t>
      </w:r>
      <w:r>
        <w:t>C</w:t>
      </w:r>
      <w:proofErr w:type="spellEnd"/>
      <w:r>
        <w:t>.</w:t>
      </w:r>
    </w:p>
    <w:p w14:paraId="7C0BFDA7" w14:textId="77777777" w:rsidR="00BB7474" w:rsidRDefault="00BB7474" w:rsidP="006062C7">
      <w:r w:rsidRPr="00060CAD">
        <w:t xml:space="preserve">There was an imbalance of the type of progression between the treatment arms as follows:  proportion of patients with PSA progression event was higher in the placebo arm (73.9% vs. 53.8%) and the rate of bone progression and soft tissue progression was higher in the </w:t>
      </w:r>
      <w:proofErr w:type="spellStart"/>
      <w:r w:rsidRPr="00060CAD">
        <w:t>darolutamide</w:t>
      </w:r>
      <w:proofErr w:type="spellEnd"/>
      <w:r w:rsidRPr="00060CAD">
        <w:t xml:space="preserve"> arm compared to placebo (23.6% vs. 13.6% and 22.7% vs. 12.5%, respectively).</w:t>
      </w:r>
    </w:p>
    <w:p w14:paraId="730EF9FC" w14:textId="77777777" w:rsidR="00BB7474" w:rsidRDefault="00BB7474" w:rsidP="006062C7">
      <w:r>
        <w:t xml:space="preserve">As per the response to an Orbis partner’s data request, the </w:t>
      </w:r>
      <w:r w:rsidRPr="00060CAD">
        <w:t xml:space="preserve">number of patients with simultaneous PSA and radiological progression (within +/- 7 days), </w:t>
      </w:r>
      <w:r>
        <w:t xml:space="preserve">appeared </w:t>
      </w:r>
      <w:r w:rsidRPr="00060CAD">
        <w:t>small in both treatment arms (</w:t>
      </w:r>
      <w:proofErr w:type="spellStart"/>
      <w:r w:rsidRPr="00060CAD">
        <w:t>darolutamide</w:t>
      </w:r>
      <w:proofErr w:type="spellEnd"/>
      <w:r w:rsidRPr="00060CAD">
        <w:t xml:space="preserve"> n=6, placebo n=8).</w:t>
      </w:r>
    </w:p>
    <w:p w14:paraId="2D2F1D05" w14:textId="1F7C46BB" w:rsidR="00BB7474" w:rsidRDefault="00BB7474" w:rsidP="006062C7">
      <w:r w:rsidRPr="00ED7C54">
        <w:t xml:space="preserve">A sensitivity analysis </w:t>
      </w:r>
      <w:r>
        <w:t xml:space="preserve">(SA) </w:t>
      </w:r>
      <w:r w:rsidRPr="00ED7C54">
        <w:t xml:space="preserve">excluding the component of PSA progression was provided by the </w:t>
      </w:r>
      <w:r w:rsidR="008A7024">
        <w:t>Sponsor</w:t>
      </w:r>
      <w:r w:rsidRPr="00ED7C54">
        <w:t xml:space="preserve"> at the request of an Orbis partner</w:t>
      </w:r>
      <w:r>
        <w:t>.</w:t>
      </w:r>
      <w:r w:rsidRPr="000F1F25">
        <w:t xml:space="preserve"> This sensitivity analysis showed a HR of 0.463 (95% CI: 0.375; 0.572; p&lt;0.0001)</w:t>
      </w:r>
      <w:r>
        <w:t xml:space="preserve">. </w:t>
      </w:r>
      <w:proofErr w:type="gramStart"/>
      <w:r>
        <w:t>With regard to</w:t>
      </w:r>
      <w:proofErr w:type="gramEnd"/>
      <w:r>
        <w:t xml:space="preserve"> imaging, </w:t>
      </w:r>
      <w:r w:rsidRPr="000F1F25">
        <w:t xml:space="preserve">apart from </w:t>
      </w:r>
      <w:r>
        <w:t xml:space="preserve">a </w:t>
      </w:r>
      <w:r w:rsidRPr="000F1F25">
        <w:t>yearly scan after docetaxel treatment, there was no standardi</w:t>
      </w:r>
      <w:r w:rsidR="002A5B4C">
        <w:t>s</w:t>
      </w:r>
      <w:r w:rsidRPr="000F1F25">
        <w:t xml:space="preserve">ed radiological assessment in </w:t>
      </w:r>
      <w:r>
        <w:t>the study.</w:t>
      </w:r>
    </w:p>
    <w:p w14:paraId="591979DE" w14:textId="77777777" w:rsidR="00BB7474" w:rsidRPr="00ED7C54" w:rsidRDefault="00BB7474" w:rsidP="006062C7">
      <w:r>
        <w:t>SA results suggest that the magnitude of treatment benefit in time to CRPC was affected when PSA progression was excluded. This suggests that time to CRPC was driven by PSA progression. Individual patient management decisions based on PSA results are variable as they are based on physician/patient choice.</w:t>
      </w:r>
    </w:p>
    <w:p w14:paraId="5D67570E" w14:textId="74FE26BD" w:rsidR="00BB7474" w:rsidRDefault="00BB7474" w:rsidP="00342D16">
      <w:pPr>
        <w:pStyle w:val="Heading6"/>
      </w:pPr>
      <w:r>
        <w:t>Time to pain progression.</w:t>
      </w:r>
    </w:p>
    <w:p w14:paraId="60839F88" w14:textId="77777777" w:rsidR="00BB7474" w:rsidRDefault="00BB7474" w:rsidP="00BB7474">
      <w:pPr>
        <w:spacing w:after="0"/>
      </w:pPr>
      <w:r w:rsidRPr="00997133">
        <w:t>In ARASENS, pain progression was defined as change from nadir</w:t>
      </w:r>
      <w:r>
        <w:t>. However, in the study ARAMIS, it was defined as change from baseline.</w:t>
      </w:r>
    </w:p>
    <w:p w14:paraId="348C1061" w14:textId="3BA95EC0" w:rsidR="00BB7474" w:rsidRDefault="00BB7474" w:rsidP="00BB7474">
      <w:pPr>
        <w:spacing w:after="0"/>
      </w:pPr>
      <w:r>
        <w:t xml:space="preserve">A high number of patients were censored at randomisation as they were on opioids. At the request of an Orbis partner, a SA was undertaken by the </w:t>
      </w:r>
      <w:r w:rsidR="008A7024">
        <w:t>Sponsor</w:t>
      </w:r>
      <w:r>
        <w:t xml:space="preserve"> wherein these patients were not censored but were permitted to have an increase of 2 or more points in WPS from nadir. The SA showed results consistent with the primary analysis with HR 0.81, 95% CI: 0.69.0.95).</w:t>
      </w:r>
    </w:p>
    <w:p w14:paraId="6D58B04C" w14:textId="4900D04C" w:rsidR="00BB7474" w:rsidRDefault="00BB7474" w:rsidP="00342D16">
      <w:pPr>
        <w:pStyle w:val="Heading6"/>
      </w:pPr>
      <w:r>
        <w:t>SSE – free survival</w:t>
      </w:r>
    </w:p>
    <w:p w14:paraId="7E704293" w14:textId="77777777" w:rsidR="00BB7474" w:rsidRDefault="00BB7474" w:rsidP="006062C7">
      <w:r>
        <w:t xml:space="preserve">These results were mainly driven by death and thus do not provide further clinically relevant information beyond OS. </w:t>
      </w:r>
    </w:p>
    <w:p w14:paraId="0ED6A848" w14:textId="1E085AA4" w:rsidR="00BB7474" w:rsidRDefault="00BB7474" w:rsidP="00103EB4">
      <w:pPr>
        <w:pStyle w:val="Heading6"/>
      </w:pPr>
      <w:r w:rsidRPr="00181AFD">
        <w:t>Time to first SSE</w:t>
      </w:r>
    </w:p>
    <w:p w14:paraId="5C0299C9" w14:textId="77777777" w:rsidR="00BB7474" w:rsidRDefault="00BB7474" w:rsidP="006062C7">
      <w:r>
        <w:t>Al</w:t>
      </w:r>
      <w:r w:rsidRPr="00E20B8C">
        <w:t xml:space="preserve">though the time to first SSE endpoint demonstrated a statistically significant benefit in the </w:t>
      </w:r>
      <w:proofErr w:type="spellStart"/>
      <w:r w:rsidRPr="00E20B8C">
        <w:t>darolutamide</w:t>
      </w:r>
      <w:proofErr w:type="spellEnd"/>
      <w:r w:rsidRPr="00E20B8C">
        <w:t xml:space="preserve"> arm over the control arm</w:t>
      </w:r>
      <w:r>
        <w:t xml:space="preserve"> and</w:t>
      </w:r>
      <w:r w:rsidRPr="00E20B8C">
        <w:t xml:space="preserve"> the numbers of events were low in both arms</w:t>
      </w:r>
      <w:r>
        <w:t>.</w:t>
      </w:r>
      <w:r w:rsidRPr="00E20B8C">
        <w:t xml:space="preserve"> The median time to first SSE could not be estimated for either treatment arm due to the low number of events in both arms at the time of data cut-off.</w:t>
      </w:r>
    </w:p>
    <w:p w14:paraId="2E5357A9" w14:textId="383B5AA1" w:rsidR="00BB7474" w:rsidRDefault="00BB7474" w:rsidP="00103EB4">
      <w:pPr>
        <w:pStyle w:val="Heading6"/>
      </w:pPr>
      <w:r w:rsidRPr="003F090E">
        <w:t xml:space="preserve">Time to Initiation of </w:t>
      </w:r>
      <w:r w:rsidR="006062C7" w:rsidRPr="003F090E">
        <w:t>subsequent antineoplastic therapy</w:t>
      </w:r>
    </w:p>
    <w:p w14:paraId="4E56AE75" w14:textId="77777777" w:rsidR="00BB7474" w:rsidRPr="00555067" w:rsidRDefault="00BB7474" w:rsidP="006062C7">
      <w:r>
        <w:t>This endpoint is subjective (dependant on the physician/patient decision) and as imaging was not routine following PSA progression in the study, it is unclear as to the clinical benefit of this.</w:t>
      </w:r>
    </w:p>
    <w:p w14:paraId="6E6FA3F4" w14:textId="77777777" w:rsidR="00BB7474" w:rsidRDefault="00BB7474" w:rsidP="00012E8D">
      <w:pPr>
        <w:pStyle w:val="Heading4"/>
      </w:pPr>
      <w:bookmarkStart w:id="35" w:name="_Toc179287293"/>
      <w:r w:rsidRPr="00AA53F4">
        <w:t>Safety</w:t>
      </w:r>
      <w:bookmarkEnd w:id="35"/>
    </w:p>
    <w:p w14:paraId="4BF1C598" w14:textId="73750A57" w:rsidR="00BB7474" w:rsidRPr="00C275E0" w:rsidRDefault="00BB7474" w:rsidP="006062C7">
      <w:r w:rsidRPr="00C275E0">
        <w:t>The safety analyses were done on the SAF which included all patients who were randomised and received at least one dose of study drug (</w:t>
      </w:r>
      <w:proofErr w:type="spellStart"/>
      <w:r w:rsidRPr="00C275E0">
        <w:t>darolutamide</w:t>
      </w:r>
      <w:proofErr w:type="spellEnd"/>
      <w:r w:rsidRPr="00C275E0">
        <w:t xml:space="preserve"> or placebo). One patient was randomised to the planned placebo</w:t>
      </w:r>
      <w:r w:rsidR="00910172">
        <w:t xml:space="preserve"> </w:t>
      </w:r>
      <w:r w:rsidRPr="00C275E0">
        <w:t>+</w:t>
      </w:r>
      <w:r w:rsidR="00910172">
        <w:t xml:space="preserve"> </w:t>
      </w:r>
      <w:r w:rsidRPr="00C275E0">
        <w:t xml:space="preserve">docetaxel arm but received at least one dose of </w:t>
      </w:r>
      <w:proofErr w:type="spellStart"/>
      <w:r w:rsidRPr="00C275E0">
        <w:t>darolutamide</w:t>
      </w:r>
      <w:proofErr w:type="spellEnd"/>
      <w:r w:rsidRPr="00C275E0">
        <w:t xml:space="preserve"> by mistake. This patient was included in the actual </w:t>
      </w:r>
      <w:proofErr w:type="spellStart"/>
      <w:r w:rsidRPr="00C275E0">
        <w:t>darolutamide</w:t>
      </w:r>
      <w:proofErr w:type="spellEnd"/>
      <w:r w:rsidR="00910172">
        <w:t xml:space="preserve"> </w:t>
      </w:r>
      <w:r w:rsidRPr="00C275E0">
        <w:t>+</w:t>
      </w:r>
      <w:r w:rsidR="00910172">
        <w:t xml:space="preserve"> </w:t>
      </w:r>
      <w:r w:rsidRPr="00C275E0">
        <w:t xml:space="preserve">docetaxel arm in the analysis of all safety variables presented in this section. Therefore, the SAF comprised of 652 patients in the actual </w:t>
      </w:r>
      <w:proofErr w:type="spellStart"/>
      <w:r w:rsidRPr="00C275E0">
        <w:t>darolutamide</w:t>
      </w:r>
      <w:proofErr w:type="spellEnd"/>
      <w:r w:rsidR="00250D10">
        <w:t xml:space="preserve"> </w:t>
      </w:r>
      <w:r w:rsidRPr="00C275E0">
        <w:t>+</w:t>
      </w:r>
      <w:r w:rsidR="00250D10">
        <w:t xml:space="preserve"> </w:t>
      </w:r>
      <w:r w:rsidRPr="00C275E0">
        <w:t>docetaxel arm and 650 patients in the actual placebo +docetaxel arm.</w:t>
      </w:r>
    </w:p>
    <w:p w14:paraId="15363F19" w14:textId="4923B882" w:rsidR="00BB7474" w:rsidRDefault="00BB7474" w:rsidP="006062C7">
      <w:r>
        <w:t>The median duration of treatment with study drug (</w:t>
      </w:r>
      <w:proofErr w:type="spellStart"/>
      <w:r>
        <w:t>darolutamide</w:t>
      </w:r>
      <w:proofErr w:type="spellEnd"/>
      <w:r>
        <w:t xml:space="preserve"> or placebo) was longer in the </w:t>
      </w:r>
      <w:proofErr w:type="spellStart"/>
      <w:r>
        <w:t>darolutamide</w:t>
      </w:r>
      <w:proofErr w:type="spellEnd"/>
      <w:r w:rsidR="00250D10">
        <w:t xml:space="preserve"> </w:t>
      </w:r>
      <w:r>
        <w:t>+</w:t>
      </w:r>
      <w:r w:rsidR="00250D10">
        <w:t xml:space="preserve"> </w:t>
      </w:r>
      <w:r>
        <w:t>docetaxel arm than in the placebo</w:t>
      </w:r>
      <w:r w:rsidR="00250D10">
        <w:t xml:space="preserve"> </w:t>
      </w:r>
      <w:r>
        <w:t>+</w:t>
      </w:r>
      <w:r w:rsidR="00250D10">
        <w:t xml:space="preserve"> </w:t>
      </w:r>
      <w:r>
        <w:t xml:space="preserve">docetaxel arm (41.0 vs. 16.7 months, respectively). The exposure to docetaxel was similar between the treatment arms, and </w:t>
      </w:r>
      <w:proofErr w:type="gramStart"/>
      <w:r>
        <w:t>a majority of</w:t>
      </w:r>
      <w:proofErr w:type="gramEnd"/>
      <w:r>
        <w:t xml:space="preserve"> the patients in both treatment arms (87.6% vs. 85.5%) received full 6 cycles of docetaxel.</w:t>
      </w:r>
    </w:p>
    <w:p w14:paraId="72699825" w14:textId="14244114" w:rsidR="00BB7474" w:rsidRDefault="00BB7474" w:rsidP="006062C7">
      <w:r>
        <w:t xml:space="preserve">The full dose of study drug was tolerated by </w:t>
      </w:r>
      <w:proofErr w:type="gramStart"/>
      <w:r>
        <w:t>the majority of</w:t>
      </w:r>
      <w:proofErr w:type="gramEnd"/>
      <w:r>
        <w:t xml:space="preserve"> patients in both treatment arms</w:t>
      </w:r>
      <w:r w:rsidR="006062C7">
        <w:t xml:space="preserve"> </w:t>
      </w:r>
      <w:r>
        <w:t>without any dose modifications (interruption/delay or reduction) during the treatment period.</w:t>
      </w:r>
      <w:r w:rsidR="006062C7">
        <w:t xml:space="preserve"> </w:t>
      </w:r>
      <w:r>
        <w:t>At least 1 study drug dose modification was reported for 29.1% of patients in the Darolutamide +docetaxel arm and 24.5% in the placebo</w:t>
      </w:r>
      <w:r w:rsidR="00103EB4">
        <w:t xml:space="preserve"> </w:t>
      </w:r>
      <w:r>
        <w:t>+</w:t>
      </w:r>
      <w:r w:rsidR="00103EB4">
        <w:t xml:space="preserve"> </w:t>
      </w:r>
      <w:r>
        <w:t>docetaxel arm. At least 1 study drug dose modification was reported for 29.1% vs. 24.5% of patients, respectively.</w:t>
      </w:r>
      <w:r w:rsidRPr="00C275E0">
        <w:t xml:space="preserve"> The median total</w:t>
      </w:r>
      <w:r>
        <w:t xml:space="preserve"> </w:t>
      </w:r>
      <w:r w:rsidRPr="00C275E0">
        <w:t>number of cycles was 6 in both treatment arms.</w:t>
      </w:r>
    </w:p>
    <w:p w14:paraId="46B818AE" w14:textId="4DE14F71" w:rsidR="00BB7474" w:rsidRDefault="00BB7474" w:rsidP="006062C7">
      <w:r>
        <w:t>A tr</w:t>
      </w:r>
      <w:r w:rsidRPr="00A52418">
        <w:t xml:space="preserve">eatment emergent adverse event </w:t>
      </w:r>
      <w:r>
        <w:t xml:space="preserve">(TEAE) was defined as any event arising or worsening after the first dose of study drug until 30 days after the last dose of study drug. TEAEs assessed as study drug-related by the investigator were reported with </w:t>
      </w:r>
      <w:proofErr w:type="gramStart"/>
      <w:r>
        <w:t>a  higher</w:t>
      </w:r>
      <w:proofErr w:type="gramEnd"/>
      <w:r>
        <w:t xml:space="preserve"> incidence in the </w:t>
      </w:r>
      <w:proofErr w:type="spellStart"/>
      <w:r>
        <w:t>darolutamide</w:t>
      </w:r>
      <w:proofErr w:type="spellEnd"/>
      <w:r w:rsidR="00103EB4">
        <w:t xml:space="preserve"> </w:t>
      </w:r>
      <w:r>
        <w:t>+</w:t>
      </w:r>
      <w:r w:rsidR="00103EB4">
        <w:t xml:space="preserve"> </w:t>
      </w:r>
      <w:r>
        <w:t>docetaxel arm (52.1%) than in the placebo</w:t>
      </w:r>
      <w:r w:rsidR="00103EB4">
        <w:t xml:space="preserve"> </w:t>
      </w:r>
      <w:r>
        <w:t>+</w:t>
      </w:r>
      <w:r w:rsidR="00103EB4">
        <w:t xml:space="preserve"> </w:t>
      </w:r>
      <w:r>
        <w:t xml:space="preserve">docetaxel arm (47.4%). The incidences of </w:t>
      </w:r>
      <w:proofErr w:type="gramStart"/>
      <w:r>
        <w:t>docetaxel-related</w:t>
      </w:r>
      <w:proofErr w:type="gramEnd"/>
      <w:r>
        <w:t xml:space="preserve"> TEAEs were comparable between the treatment arms (87.9% vs. 88.5%, respectively).</w:t>
      </w:r>
    </w:p>
    <w:p w14:paraId="0F0D5D79" w14:textId="7ADA8D74" w:rsidR="00BB7474" w:rsidRDefault="00BB7474" w:rsidP="006062C7">
      <w:pPr>
        <w:rPr>
          <w:u w:val="single"/>
        </w:rPr>
      </w:pPr>
      <w:r>
        <w:t>Study drug exposure is shown below in Table 1</w:t>
      </w:r>
      <w:r w:rsidR="00DE693B">
        <w:t>4</w:t>
      </w:r>
      <w:r>
        <w:t>.</w:t>
      </w:r>
    </w:p>
    <w:p w14:paraId="674D6E4F" w14:textId="768FFCAF" w:rsidR="00BB7474" w:rsidRDefault="00BB7474" w:rsidP="00611877">
      <w:pPr>
        <w:pStyle w:val="TableTitle"/>
      </w:pPr>
      <w:r w:rsidRPr="00EA4670">
        <w:t xml:space="preserve">Table </w:t>
      </w:r>
      <w:r>
        <w:t>1</w:t>
      </w:r>
      <w:r w:rsidR="00DE693B">
        <w:t>4</w:t>
      </w:r>
      <w:r w:rsidRPr="00EA4670">
        <w:t>: Study drug exposure in Study 17777</w:t>
      </w:r>
    </w:p>
    <w:p w14:paraId="208DBFA4" w14:textId="77777777" w:rsidR="00BB7474" w:rsidRDefault="00BB7474" w:rsidP="00BB7474">
      <w:pPr>
        <w:spacing w:after="0"/>
      </w:pPr>
      <w:r w:rsidRPr="00EA4670">
        <w:rPr>
          <w:noProof/>
        </w:rPr>
        <w:drawing>
          <wp:inline distT="0" distB="0" distL="0" distR="0" wp14:anchorId="57C47786" wp14:editId="272A3B6E">
            <wp:extent cx="5325218" cy="4963218"/>
            <wp:effectExtent l="0" t="0" r="8890"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325218" cy="4963218"/>
                    </a:xfrm>
                    <a:prstGeom prst="rect">
                      <a:avLst/>
                    </a:prstGeom>
                  </pic:spPr>
                </pic:pic>
              </a:graphicData>
            </a:graphic>
          </wp:inline>
        </w:drawing>
      </w:r>
    </w:p>
    <w:p w14:paraId="64B49FF9" w14:textId="07BE9B08" w:rsidR="00BB7474" w:rsidRDefault="00BB7474" w:rsidP="006062C7">
      <w:r>
        <w:t>Special topic AEs were identified as events/disorders representing potential or known risks</w:t>
      </w:r>
      <w:r w:rsidR="006062C7">
        <w:t xml:space="preserve"> </w:t>
      </w:r>
      <w:r>
        <w:t xml:space="preserve">associated with ADT or with anti-androgens. </w:t>
      </w:r>
    </w:p>
    <w:p w14:paraId="7ED1DF76" w14:textId="75B3F148" w:rsidR="00BB7474" w:rsidRDefault="00BB7474" w:rsidP="006062C7">
      <w:r>
        <w:t xml:space="preserve">Special topics associated with ADT include: fatigue/asthenic conditions, bone fractures, fall, vasodilatation and flushing, breast disorders/gynecomastia, hypertension, cardiac disorders, diabetes mellitus and </w:t>
      </w:r>
      <w:r w:rsidR="00ED2E7D">
        <w:t>hyperglycaemia</w:t>
      </w:r>
      <w:r>
        <w:t>, mental impairment disorders, depressed mood disorders, cerebrovascular disorders, and weight decreased (Michaelson et al. 2008, Rhee et al. 2015, Sharifi et al. 2005) while special topics rash and seizure are associated with anti-androgens (Hussain et al. 2018, Smith et al. 2018). Special topic AEs are presented as grouped terms.</w:t>
      </w:r>
    </w:p>
    <w:p w14:paraId="692FB5F2" w14:textId="3135E96C" w:rsidR="00BB7474" w:rsidRDefault="00BB7474" w:rsidP="006062C7">
      <w:r>
        <w:t>An overview of the TEAEs is shown in Table 1</w:t>
      </w:r>
      <w:r w:rsidR="00DE693B">
        <w:t>5</w:t>
      </w:r>
      <w:r>
        <w:t xml:space="preserve"> below.</w:t>
      </w:r>
    </w:p>
    <w:p w14:paraId="52E1FD64" w14:textId="06CA3470" w:rsidR="00BB7474" w:rsidRDefault="00BB7474" w:rsidP="00BA1719">
      <w:pPr>
        <w:pStyle w:val="TableTitle"/>
      </w:pPr>
      <w:r w:rsidRPr="005424E6">
        <w:t xml:space="preserve">Table </w:t>
      </w:r>
      <w:r>
        <w:t>1</w:t>
      </w:r>
      <w:r w:rsidR="00DE693B">
        <w:t>5</w:t>
      </w:r>
      <w:r w:rsidR="00BA1719">
        <w:t>.</w:t>
      </w:r>
      <w:r w:rsidRPr="005424E6">
        <w:t xml:space="preserve"> An overview of TEAEs (SAF)</w:t>
      </w:r>
    </w:p>
    <w:p w14:paraId="42C2BF2B" w14:textId="77777777" w:rsidR="00BB7474" w:rsidRPr="005424E6" w:rsidRDefault="00BB7474" w:rsidP="006062C7">
      <w:r w:rsidRPr="005424E6">
        <w:rPr>
          <w:noProof/>
        </w:rPr>
        <w:drawing>
          <wp:inline distT="0" distB="0" distL="0" distR="0" wp14:anchorId="1A36A615" wp14:editId="3D8E332B">
            <wp:extent cx="5601482" cy="7078063"/>
            <wp:effectExtent l="0" t="0" r="0"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601482" cy="7078063"/>
                    </a:xfrm>
                    <a:prstGeom prst="rect">
                      <a:avLst/>
                    </a:prstGeom>
                  </pic:spPr>
                </pic:pic>
              </a:graphicData>
            </a:graphic>
          </wp:inline>
        </w:drawing>
      </w:r>
    </w:p>
    <w:p w14:paraId="7FF464A2" w14:textId="342407E5" w:rsidR="00BB7474" w:rsidRDefault="00BB7474" w:rsidP="006062C7">
      <w:r w:rsidRPr="005424E6">
        <w:t>The overall incidence of TEAEs was comparable between the treatment arms.</w:t>
      </w:r>
      <w:r>
        <w:t xml:space="preserve"> There </w:t>
      </w:r>
      <w:proofErr w:type="gramStart"/>
      <w:r>
        <w:t>were</w:t>
      </w:r>
      <w:proofErr w:type="gramEnd"/>
      <w:r>
        <w:t xml:space="preserve"> more study drug-related TEAEs leading to study dose modification in the experimental arm (11.5% versus 6.3%).</w:t>
      </w:r>
      <w:r w:rsidRPr="005424E6">
        <w:t xml:space="preserve"> </w:t>
      </w:r>
      <w:r>
        <w:t xml:space="preserve">Similar incidences were observed for TEAEs with a worst grade of 1 or 2 (29.1% vs. 31.4% in the </w:t>
      </w:r>
      <w:proofErr w:type="spellStart"/>
      <w:r>
        <w:t>darolutamide</w:t>
      </w:r>
      <w:proofErr w:type="spellEnd"/>
      <w:r w:rsidR="00BA1719">
        <w:t xml:space="preserve"> </w:t>
      </w:r>
      <w:r>
        <w:t>+</w:t>
      </w:r>
      <w:r w:rsidR="00BA1719">
        <w:t xml:space="preserve"> </w:t>
      </w:r>
      <w:r>
        <w:t>docetaxel and placebo</w:t>
      </w:r>
      <w:r w:rsidR="00BA1719">
        <w:t xml:space="preserve"> </w:t>
      </w:r>
      <w:r>
        <w:t>+</w:t>
      </w:r>
      <w:r w:rsidR="00BA1719">
        <w:t xml:space="preserve"> </w:t>
      </w:r>
      <w:r>
        <w:t>docetaxel arm, respectively) and TEAEs with a worst grade of 3 or 4 (66.1% vs. 63.5%, respectively) in both treatment arms. The incidences of TEAEs with fatal outcome (Grade 5) were similar in both treatment arms (4.1% vs. 4.0%).</w:t>
      </w:r>
    </w:p>
    <w:p w14:paraId="5DC58F70" w14:textId="77777777" w:rsidR="00BB7474" w:rsidRDefault="00BB7474" w:rsidP="006062C7">
      <w:r>
        <w:t xml:space="preserve">Overall, drug discontinuation and modification of the study drug due to TEAES were higher in the combination arm. These were comparable for docetaxel. The added toxicity with </w:t>
      </w:r>
      <w:proofErr w:type="spellStart"/>
      <w:r>
        <w:t>darolutamide</w:t>
      </w:r>
      <w:proofErr w:type="spellEnd"/>
      <w:r>
        <w:t xml:space="preserve"> (added to docetaxel) appears acceptable.</w:t>
      </w:r>
    </w:p>
    <w:p w14:paraId="43511A40" w14:textId="3E55241E" w:rsidR="00BB7474" w:rsidRDefault="00BB7474" w:rsidP="006062C7">
      <w:r>
        <w:t>TEAEs that resulted in permanent discontinuation of study drug occurred in 13.5% vs.</w:t>
      </w:r>
      <w:r w:rsidR="006062C7">
        <w:t xml:space="preserve"> </w:t>
      </w:r>
      <w:r>
        <w:t xml:space="preserve">10.6% of patients in the </w:t>
      </w:r>
      <w:proofErr w:type="spellStart"/>
      <w:r>
        <w:t>darolutamide</w:t>
      </w:r>
      <w:proofErr w:type="spellEnd"/>
      <w:r>
        <w:t xml:space="preserve"> + docetaxel vs. placebo + docetaxel arms, respectively.</w:t>
      </w:r>
      <w:r w:rsidR="006062C7">
        <w:t xml:space="preserve"> </w:t>
      </w:r>
      <w:r>
        <w:t>The most common TEAEs leading to study drug discontinuation in ≥5 patients in either</w:t>
      </w:r>
      <w:r w:rsidR="006062C7">
        <w:t xml:space="preserve"> </w:t>
      </w:r>
      <w:r>
        <w:t xml:space="preserve">treatment arm </w:t>
      </w:r>
      <w:proofErr w:type="gramStart"/>
      <w:r>
        <w:t>were</w:t>
      </w:r>
      <w:proofErr w:type="gramEnd"/>
      <w:r>
        <w:t xml:space="preserve"> bone pain (0.3% vs. 1.4%), AST increased (0.9% vs. 0.3%), and ALT</w:t>
      </w:r>
      <w:r w:rsidR="006062C7">
        <w:t xml:space="preserve"> </w:t>
      </w:r>
      <w:r>
        <w:t xml:space="preserve">increased (0.8% vs. 0.2%), </w:t>
      </w:r>
      <w:proofErr w:type="spellStart"/>
      <w:r>
        <w:t>darolutamide</w:t>
      </w:r>
      <w:proofErr w:type="spellEnd"/>
      <w:r>
        <w:t xml:space="preserve"> + docetaxel vs. placebo + docetaxel </w:t>
      </w:r>
      <w:r w:rsidR="00D20291">
        <w:t>arms,</w:t>
      </w:r>
      <w:r>
        <w:t xml:space="preserve"> respectively.</w:t>
      </w:r>
    </w:p>
    <w:p w14:paraId="32523406" w14:textId="21A35277" w:rsidR="00BB7474" w:rsidRDefault="00BB7474" w:rsidP="006062C7">
      <w:r>
        <w:t>TEAEs that resulted in permanent discontinuation of docetaxel were observed in 8.0% of</w:t>
      </w:r>
      <w:r w:rsidR="006062C7">
        <w:t xml:space="preserve"> </w:t>
      </w:r>
      <w:r>
        <w:t xml:space="preserve">patients in the </w:t>
      </w:r>
      <w:proofErr w:type="spellStart"/>
      <w:r>
        <w:t>darolutamide</w:t>
      </w:r>
      <w:proofErr w:type="spellEnd"/>
      <w:r>
        <w:t xml:space="preserve"> + docetaxel arm and 10.3% of patients in the placebo</w:t>
      </w:r>
      <w:r w:rsidR="00BA1719">
        <w:t xml:space="preserve"> </w:t>
      </w:r>
      <w:r>
        <w:t>+</w:t>
      </w:r>
      <w:r w:rsidR="00BA1719">
        <w:t xml:space="preserve"> </w:t>
      </w:r>
      <w:r>
        <w:t>docetaxel</w:t>
      </w:r>
      <w:r w:rsidR="006062C7">
        <w:t xml:space="preserve"> </w:t>
      </w:r>
      <w:r>
        <w:t>arm. The most common TEAEs leading to docetaxel discontinuation in ≥5 patients in either</w:t>
      </w:r>
      <w:r w:rsidR="006062C7">
        <w:t xml:space="preserve"> </w:t>
      </w:r>
      <w:r>
        <w:t xml:space="preserve">treatment arm </w:t>
      </w:r>
      <w:proofErr w:type="gramStart"/>
      <w:r>
        <w:t>were</w:t>
      </w:r>
      <w:proofErr w:type="gramEnd"/>
      <w:r>
        <w:t xml:space="preserve"> neutrophil count decreased (0.8% vs. 0.5%), febrile neutropenia (0.5% vs.</w:t>
      </w:r>
      <w:r w:rsidR="006062C7">
        <w:t xml:space="preserve"> </w:t>
      </w:r>
      <w:r>
        <w:t>0.8%), neutropenia (0.5% vs. 0.8%), and WBC count decreased (0.2% vs. 0.9%),</w:t>
      </w:r>
      <w:r w:rsidR="006062C7">
        <w:t xml:space="preserve"> </w:t>
      </w:r>
      <w:r>
        <w:t xml:space="preserve">Darolutamide + docetaxel vs. placebo + docetaxel </w:t>
      </w:r>
      <w:r w:rsidR="00D20291">
        <w:t>arms,</w:t>
      </w:r>
      <w:r>
        <w:t xml:space="preserve"> respectively.</w:t>
      </w:r>
    </w:p>
    <w:p w14:paraId="45A1C478" w14:textId="05F62D95" w:rsidR="00BB7474" w:rsidRDefault="00BB7474" w:rsidP="006062C7">
      <w:r>
        <w:t>TEAEs that resulted in interruption of study drug occurred at a greater incidence in the</w:t>
      </w:r>
      <w:r w:rsidR="006062C7">
        <w:t xml:space="preserve"> </w:t>
      </w:r>
      <w:r>
        <w:t>Darolutamide + docetaxel arm (22.9%) than in the placebo + docetaxel arm (15.7%). The most</w:t>
      </w:r>
      <w:r w:rsidR="006062C7">
        <w:t xml:space="preserve"> </w:t>
      </w:r>
      <w:r>
        <w:t>common TEAEs leading to interruption of study drug (in ≥2% of patients in either treatment</w:t>
      </w:r>
      <w:r w:rsidR="006062C7">
        <w:t xml:space="preserve"> </w:t>
      </w:r>
      <w:r>
        <w:t>arm) were ALT increased (3.2% vs. 1.5%), AST increased (3.1% vs. 1.1%), and febrile</w:t>
      </w:r>
      <w:r w:rsidR="006062C7">
        <w:t xml:space="preserve"> </w:t>
      </w:r>
      <w:r>
        <w:t xml:space="preserve">neutropenia (2.1% vs. 1.4%) in the </w:t>
      </w:r>
      <w:proofErr w:type="spellStart"/>
      <w:r>
        <w:t>darolutamide</w:t>
      </w:r>
      <w:proofErr w:type="spellEnd"/>
      <w:r>
        <w:t xml:space="preserve"> + docetaxel arm and placebo + docetaxel arm,</w:t>
      </w:r>
      <w:r w:rsidR="006062C7">
        <w:t xml:space="preserve"> </w:t>
      </w:r>
      <w:r>
        <w:t>respectively. When adjusted for the difference in study drug treatment duration, the incidences of all TEAEs were comparable between the treatment arms, except for ALT increased, for which the e</w:t>
      </w:r>
      <w:r w:rsidRPr="00D06F38">
        <w:t xml:space="preserve">xposure adjusted incidence rate </w:t>
      </w:r>
      <w:r>
        <w:t xml:space="preserve">(EAIRs) were 1.2 vs. 0.8 per 100 PYs in the </w:t>
      </w:r>
      <w:proofErr w:type="spellStart"/>
      <w:r>
        <w:t>darolutamide</w:t>
      </w:r>
      <w:proofErr w:type="spellEnd"/>
      <w:r>
        <w:t xml:space="preserve"> + docetaxel and placebo + docetaxel arms, respectively, and AST increased (EAIRs 1.2 vs. 0.6 per 100 PYs, respectively).</w:t>
      </w:r>
    </w:p>
    <w:p w14:paraId="2983E534" w14:textId="3C40A1D5" w:rsidR="00BB7474" w:rsidRDefault="00BB7474" w:rsidP="006062C7">
      <w:r>
        <w:t>TEAEs that resulted in interruption of docetaxel occurred at a similar incidence between the</w:t>
      </w:r>
      <w:r w:rsidR="006062C7">
        <w:t xml:space="preserve"> </w:t>
      </w:r>
      <w:r>
        <w:t xml:space="preserve">treatment arms, in 21.9% of patients in the </w:t>
      </w:r>
      <w:proofErr w:type="spellStart"/>
      <w:r>
        <w:t>darolutamide</w:t>
      </w:r>
      <w:proofErr w:type="spellEnd"/>
      <w:r>
        <w:t xml:space="preserve"> + docetaxel arm and 20.6% of patients</w:t>
      </w:r>
      <w:r w:rsidR="006062C7">
        <w:t xml:space="preserve"> </w:t>
      </w:r>
      <w:r>
        <w:t>in the placebo + docetaxel arm. The most common TEAEs leading to interruption of docetaxel</w:t>
      </w:r>
      <w:r w:rsidR="006062C7">
        <w:t xml:space="preserve"> </w:t>
      </w:r>
      <w:r>
        <w:t xml:space="preserve">(in ≥2% of patients in either treatment arm) were ALT increased (4.0% vs. 3.4%), neutrophil count decreased (2.8% vs. 2.3%), and AST increased (2.8% vs. 1.7%) in the </w:t>
      </w:r>
      <w:proofErr w:type="spellStart"/>
      <w:r>
        <w:t>darolutamide</w:t>
      </w:r>
      <w:proofErr w:type="spellEnd"/>
      <w:r>
        <w:t xml:space="preserve"> + docetaxel arm and placebo + docetaxel arm, respectively.</w:t>
      </w:r>
    </w:p>
    <w:p w14:paraId="5B9E6D94" w14:textId="7E8D73FF" w:rsidR="00BB7474" w:rsidRDefault="00BB7474" w:rsidP="006062C7">
      <w:r>
        <w:t>TEAEs that resulted in dose reduction of study drug occurred at a greater incidence in the</w:t>
      </w:r>
      <w:r w:rsidR="006062C7">
        <w:t xml:space="preserve"> </w:t>
      </w:r>
      <w:r>
        <w:t>Darolutamide + docetaxel arm (8.7%) than in the placebo + docetaxel arm (4.3%). The most</w:t>
      </w:r>
      <w:r w:rsidR="006062C7">
        <w:t xml:space="preserve"> </w:t>
      </w:r>
      <w:r>
        <w:t>common TEAEs leading to dose reduction of study drug (in ≥2% of patients in either</w:t>
      </w:r>
      <w:r w:rsidR="006062C7">
        <w:t xml:space="preserve"> </w:t>
      </w:r>
      <w:r>
        <w:t>treatment arm) were ALT increased (2.8% vs. 1.2%) and AST increased (2.5% vs. 0.8%) in</w:t>
      </w:r>
      <w:r w:rsidR="006062C7">
        <w:t xml:space="preserve"> </w:t>
      </w:r>
      <w:r>
        <w:t xml:space="preserve">the </w:t>
      </w:r>
      <w:proofErr w:type="spellStart"/>
      <w:r>
        <w:t>darolutamide</w:t>
      </w:r>
      <w:proofErr w:type="spellEnd"/>
      <w:r>
        <w:t xml:space="preserve"> + docetaxel arm and placebo + docetaxel arm, respectively.</w:t>
      </w:r>
    </w:p>
    <w:p w14:paraId="6A1C5CB5" w14:textId="3ABF6FFB" w:rsidR="00BB7474" w:rsidRDefault="00BB7474" w:rsidP="006062C7">
      <w:r>
        <w:t>TEAEs that resulted in dose reduction of docetaxel occurred at a similar incidence between</w:t>
      </w:r>
      <w:r w:rsidR="006062C7">
        <w:t xml:space="preserve"> </w:t>
      </w:r>
      <w:r>
        <w:t xml:space="preserve">the treatment arms, in 19.9% of patients in the </w:t>
      </w:r>
      <w:proofErr w:type="spellStart"/>
      <w:r>
        <w:t>darolutamide</w:t>
      </w:r>
      <w:proofErr w:type="spellEnd"/>
      <w:r>
        <w:t xml:space="preserve"> + docetaxel arm and 19.5% of</w:t>
      </w:r>
      <w:r w:rsidR="006062C7">
        <w:t xml:space="preserve"> </w:t>
      </w:r>
      <w:r>
        <w:t>patients in the placebo + docetaxel arm. The most common TEAEs leading to reduction of</w:t>
      </w:r>
      <w:r w:rsidR="006062C7">
        <w:t xml:space="preserve"> </w:t>
      </w:r>
      <w:r>
        <w:t>docetaxel (in ≥2% of patients in either treatment arm) were neutrophil count decreased (5.4%</w:t>
      </w:r>
      <w:r w:rsidR="006062C7">
        <w:t xml:space="preserve"> </w:t>
      </w:r>
      <w:r>
        <w:t>vs. 6.0%), febrile neutropenia (3.7% vs. 3.8%), WBC count decreased (3.2% vs. 3.4%), and</w:t>
      </w:r>
      <w:r w:rsidR="006062C7">
        <w:t xml:space="preserve"> </w:t>
      </w:r>
      <w:r>
        <w:t xml:space="preserve">neutropenia (1.8% vs. 2.2%) in the </w:t>
      </w:r>
      <w:proofErr w:type="spellStart"/>
      <w:r>
        <w:t>darolutamide</w:t>
      </w:r>
      <w:proofErr w:type="spellEnd"/>
      <w:r>
        <w:t xml:space="preserve"> + docetaxel arm and placebo + docetaxel arm,</w:t>
      </w:r>
      <w:r w:rsidR="006062C7">
        <w:t xml:space="preserve"> </w:t>
      </w:r>
      <w:r>
        <w:t>respectively.</w:t>
      </w:r>
    </w:p>
    <w:p w14:paraId="5D1D81FD" w14:textId="77777777" w:rsidR="00BB7474" w:rsidRDefault="00BB7474" w:rsidP="006062C7">
      <w:r>
        <w:t xml:space="preserve">A general trend of decreasing incidence and severity of TEAEs after the first 6 months of study treatment was observed in both treatment arms, </w:t>
      </w:r>
      <w:proofErr w:type="gramStart"/>
      <w:r>
        <w:t>with the exception of</w:t>
      </w:r>
      <w:proofErr w:type="gramEnd"/>
      <w:r>
        <w:t xml:space="preserve"> hypertension.</w:t>
      </w:r>
    </w:p>
    <w:p w14:paraId="2C914DC8" w14:textId="0B829351" w:rsidR="00BB7474" w:rsidRDefault="00BB7474" w:rsidP="006062C7">
      <w:r>
        <w:t xml:space="preserve">The incidences of TEAEs in ≥10% of patients in either treatment arm </w:t>
      </w:r>
      <w:proofErr w:type="gramStart"/>
      <w:r>
        <w:t>are</w:t>
      </w:r>
      <w:proofErr w:type="gramEnd"/>
      <w:r>
        <w:t xml:space="preserve"> presented below (Table 1</w:t>
      </w:r>
      <w:r w:rsidR="00DE693B">
        <w:t>6</w:t>
      </w:r>
      <w:r>
        <w:t>).</w:t>
      </w:r>
      <w:r w:rsidR="00E66102">
        <w:t xml:space="preserve"> </w:t>
      </w:r>
      <w:r>
        <w:t>To adjust for differences in study drug treatment duration between the treatment arms, exposure-adjusted incidence rates (EAIRs) per 100 PYs are also summari</w:t>
      </w:r>
      <w:r w:rsidR="002A5B4C">
        <w:t>s</w:t>
      </w:r>
      <w:r>
        <w:t>ed.</w:t>
      </w:r>
    </w:p>
    <w:p w14:paraId="5D61B46A" w14:textId="77777777" w:rsidR="00BB7474" w:rsidRDefault="00BB7474" w:rsidP="00BB7474">
      <w:pPr>
        <w:spacing w:after="0"/>
      </w:pPr>
    </w:p>
    <w:p w14:paraId="45EDEEA1" w14:textId="42FC7673" w:rsidR="00BB7474" w:rsidRDefault="00BB7474" w:rsidP="00BA1719">
      <w:pPr>
        <w:pStyle w:val="TableTitle"/>
      </w:pPr>
      <w:r w:rsidRPr="007E4945">
        <w:t xml:space="preserve">Table </w:t>
      </w:r>
      <w:r>
        <w:t>1</w:t>
      </w:r>
      <w:r w:rsidR="00DE693B">
        <w:t>6</w:t>
      </w:r>
      <w:r w:rsidR="00BA1719">
        <w:t>.</w:t>
      </w:r>
      <w:r w:rsidRPr="007E4945">
        <w:t xml:space="preserve"> Incidences and exposure-adjusted incidence rates of the most common TEAEs by MedDRA PT </w:t>
      </w:r>
      <w:r w:rsidR="00E66102">
        <w:t xml:space="preserve">(preferred terms) </w:t>
      </w:r>
      <w:r w:rsidRPr="007E4945">
        <w:t>occurring in ≥10% of patients in either treatment arm (SAF)</w:t>
      </w:r>
    </w:p>
    <w:p w14:paraId="53E86CBB" w14:textId="77777777" w:rsidR="00BB7474" w:rsidRDefault="00BB7474" w:rsidP="00BB7474">
      <w:pPr>
        <w:spacing w:after="0"/>
      </w:pPr>
      <w:r w:rsidRPr="007E4945">
        <w:rPr>
          <w:noProof/>
        </w:rPr>
        <w:drawing>
          <wp:inline distT="0" distB="0" distL="0" distR="0" wp14:anchorId="134DD3A9" wp14:editId="42C411B9">
            <wp:extent cx="5565094" cy="6650966"/>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567121" cy="6653389"/>
                    </a:xfrm>
                    <a:prstGeom prst="rect">
                      <a:avLst/>
                    </a:prstGeom>
                  </pic:spPr>
                </pic:pic>
              </a:graphicData>
            </a:graphic>
          </wp:inline>
        </w:drawing>
      </w:r>
    </w:p>
    <w:p w14:paraId="16A01E66" w14:textId="77777777" w:rsidR="00BB7474" w:rsidRDefault="00BB7474" w:rsidP="00BB7474">
      <w:pPr>
        <w:spacing w:after="0"/>
      </w:pPr>
    </w:p>
    <w:p w14:paraId="78660381" w14:textId="22025E1E" w:rsidR="00BB7474" w:rsidRDefault="00BB7474" w:rsidP="00407F6E">
      <w:r w:rsidRPr="007234B1">
        <w:t xml:space="preserve">The </w:t>
      </w:r>
      <w:proofErr w:type="gramStart"/>
      <w:r w:rsidRPr="007234B1">
        <w:t>most commonly reported</w:t>
      </w:r>
      <w:proofErr w:type="gramEnd"/>
      <w:r w:rsidRPr="007234B1">
        <w:t xml:space="preserve"> TEAEs were generally similar between the treatment arms. The most common events (≥25% of patients in either treatment arm) included alopecia, fatigue, </w:t>
      </w:r>
      <w:r w:rsidR="00ED2E7D" w:rsidRPr="007234B1">
        <w:t>anaemia</w:t>
      </w:r>
      <w:r w:rsidRPr="007234B1">
        <w:t xml:space="preserve">, arthralgia, </w:t>
      </w:r>
      <w:r>
        <w:t>o</w:t>
      </w:r>
      <w:r w:rsidRPr="007234B1">
        <w:t>edema peripheral, neutrophil count decreased, and diarrhea. The most common TEAEs reported with ≥3 percentage points higher incidence in the</w:t>
      </w:r>
      <w:r>
        <w:t xml:space="preserve"> </w:t>
      </w:r>
      <w:proofErr w:type="spellStart"/>
      <w:proofErr w:type="gramStart"/>
      <w:r w:rsidRPr="007234B1">
        <w:t>darolutamide</w:t>
      </w:r>
      <w:proofErr w:type="spellEnd"/>
      <w:r>
        <w:t xml:space="preserve">  </w:t>
      </w:r>
      <w:r w:rsidRPr="007234B1">
        <w:t>+</w:t>
      </w:r>
      <w:proofErr w:type="gramEnd"/>
      <w:r>
        <w:t xml:space="preserve"> </w:t>
      </w:r>
      <w:r w:rsidRPr="007234B1">
        <w:t>docetaxel arm than in the placebo</w:t>
      </w:r>
      <w:r>
        <w:t xml:space="preserve"> </w:t>
      </w:r>
      <w:r w:rsidRPr="007234B1">
        <w:t>+</w:t>
      </w:r>
      <w:r>
        <w:t xml:space="preserve"> </w:t>
      </w:r>
      <w:r w:rsidRPr="007234B1">
        <w:t>docetaxel arm were decreased appetite, hypertension, AST increased, and pain in extremity.</w:t>
      </w:r>
    </w:p>
    <w:p w14:paraId="57F51756" w14:textId="301DE83D" w:rsidR="00BB7474" w:rsidRDefault="00BB7474" w:rsidP="00407F6E">
      <w:r>
        <w:t xml:space="preserve">The TEAE hypertension (PT) was reported in </w:t>
      </w:r>
      <w:proofErr w:type="spellStart"/>
      <w:r>
        <w:t>mHSPC</w:t>
      </w:r>
      <w:proofErr w:type="spellEnd"/>
      <w:r>
        <w:t xml:space="preserve"> patients at an incidence of 13.0% in the </w:t>
      </w:r>
      <w:proofErr w:type="spellStart"/>
      <w:r>
        <w:t>darolutamide</w:t>
      </w:r>
      <w:proofErr w:type="spellEnd"/>
      <w:r w:rsidR="00042F1F">
        <w:t xml:space="preserve"> </w:t>
      </w:r>
      <w:r>
        <w:t>+</w:t>
      </w:r>
      <w:r w:rsidR="00042F1F">
        <w:t xml:space="preserve"> </w:t>
      </w:r>
      <w:r>
        <w:t>docetaxel arm vs. 9.1% in the placebo</w:t>
      </w:r>
      <w:r w:rsidR="00042F1F">
        <w:t xml:space="preserve"> </w:t>
      </w:r>
      <w:r>
        <w:t>+</w:t>
      </w:r>
      <w:r w:rsidR="00042F1F">
        <w:t xml:space="preserve"> </w:t>
      </w:r>
      <w:r>
        <w:t>docetaxel arm.</w:t>
      </w:r>
    </w:p>
    <w:p w14:paraId="4FE1DD21" w14:textId="79349CB8" w:rsidR="00BB7474" w:rsidRDefault="00BB7474" w:rsidP="00407F6E">
      <w:r>
        <w:t xml:space="preserve">Alanine aminotransferase (ALT) </w:t>
      </w:r>
      <w:proofErr w:type="gramStart"/>
      <w:r>
        <w:t>increased</w:t>
      </w:r>
      <w:proofErr w:type="gramEnd"/>
      <w:r>
        <w:t xml:space="preserve"> and aspartate aminotransferase (AST) increased</w:t>
      </w:r>
      <w:r w:rsidR="00407F6E">
        <w:t xml:space="preserve"> </w:t>
      </w:r>
      <w:r>
        <w:t xml:space="preserve">were reported as a TEAE at a higher incidence in the </w:t>
      </w:r>
      <w:proofErr w:type="spellStart"/>
      <w:r>
        <w:t>darolutamide</w:t>
      </w:r>
      <w:proofErr w:type="spellEnd"/>
      <w:r>
        <w:t xml:space="preserve"> + docetaxel arm vs.</w:t>
      </w:r>
      <w:r w:rsidR="00407F6E">
        <w:t xml:space="preserve"> </w:t>
      </w:r>
      <w:r>
        <w:t>placebo + docetaxel arm (15.6% vs. 12.9%) and (14.0% vs. 10.5%), respectively.</w:t>
      </w:r>
      <w:r w:rsidR="00407F6E">
        <w:t xml:space="preserve"> </w:t>
      </w:r>
      <w:r>
        <w:t xml:space="preserve">Hypertension incidence (Grade 3: 6.4% vs. 3.2%) was greater in the </w:t>
      </w:r>
      <w:proofErr w:type="spellStart"/>
      <w:r>
        <w:t>darolutamide</w:t>
      </w:r>
      <w:proofErr w:type="spellEnd"/>
      <w:r>
        <w:t xml:space="preserve"> + docetaxel</w:t>
      </w:r>
      <w:r w:rsidR="00407F6E">
        <w:t xml:space="preserve"> </w:t>
      </w:r>
      <w:r>
        <w:t>arm, and neutropenia incidence (Grade 4: 5.8% vs. 7.7%) was greater in the placebo + docetaxel arm.</w:t>
      </w:r>
      <w:r w:rsidR="00407F6E">
        <w:t xml:space="preserve"> </w:t>
      </w:r>
    </w:p>
    <w:p w14:paraId="26ED2A55" w14:textId="28D3E73D" w:rsidR="00BB7474" w:rsidRDefault="00BB7474" w:rsidP="00407F6E">
      <w:r>
        <w:t>Grade 3 or 4 TEAEs – see Table 1</w:t>
      </w:r>
      <w:r w:rsidR="00DE693B">
        <w:t>7</w:t>
      </w:r>
      <w:r>
        <w:t xml:space="preserve"> below - occurring in 66.3% of patients in the </w:t>
      </w:r>
      <w:proofErr w:type="spellStart"/>
      <w:r>
        <w:t>darolutamide</w:t>
      </w:r>
      <w:proofErr w:type="spellEnd"/>
      <w:r>
        <w:t xml:space="preserve"> plus docetaxel arm and 63.5% of patients in the placebo plus docetaxel arm. </w:t>
      </w:r>
    </w:p>
    <w:p w14:paraId="28F46603" w14:textId="2BC81788" w:rsidR="00042F1F" w:rsidRDefault="00BB7474" w:rsidP="00407F6E">
      <w:r>
        <w:t>The most common TEAEs with a worst grade of 3 or 4 (≥5% of patients in either treatment arm)</w:t>
      </w:r>
      <w:r w:rsidR="00407F6E">
        <w:t xml:space="preserve"> </w:t>
      </w:r>
      <w:r>
        <w:t>were neutrophil count decreased, WBC count decreased, neutropenia, febrile neutropenia,</w:t>
      </w:r>
      <w:r w:rsidR="00407F6E">
        <w:t xml:space="preserve"> </w:t>
      </w:r>
      <w:r>
        <w:t xml:space="preserve">hypertension, and </w:t>
      </w:r>
      <w:r w:rsidR="00ED2E7D">
        <w:t>anaemia</w:t>
      </w:r>
      <w:r>
        <w:t xml:space="preserve">. </w:t>
      </w:r>
    </w:p>
    <w:p w14:paraId="28E0EF6C" w14:textId="1A6D8421" w:rsidR="00BB7474" w:rsidRDefault="00BB7474" w:rsidP="00407F6E">
      <w:r>
        <w:t xml:space="preserve">Hypertension was reported with ≥3 percentage point higher incidence in the </w:t>
      </w:r>
      <w:proofErr w:type="spellStart"/>
      <w:r>
        <w:t>darolutamide</w:t>
      </w:r>
      <w:proofErr w:type="spellEnd"/>
      <w:r w:rsidR="00042F1F">
        <w:t xml:space="preserve"> </w:t>
      </w:r>
      <w:r>
        <w:t>+</w:t>
      </w:r>
      <w:r w:rsidR="00042F1F">
        <w:t xml:space="preserve"> </w:t>
      </w:r>
      <w:r>
        <w:t>docetaxel arm (6.4%) than in the placebo</w:t>
      </w:r>
      <w:r w:rsidR="00D20291">
        <w:t xml:space="preserve"> </w:t>
      </w:r>
      <w:r>
        <w:t>+</w:t>
      </w:r>
      <w:r w:rsidR="00042F1F">
        <w:t xml:space="preserve"> </w:t>
      </w:r>
      <w:r>
        <w:t>docetaxel arm (3.2%).</w:t>
      </w:r>
    </w:p>
    <w:p w14:paraId="2C915DBB" w14:textId="6F649EA4" w:rsidR="00BB7474" w:rsidRDefault="00BB7474" w:rsidP="00407F6E">
      <w:pPr>
        <w:pStyle w:val="TableTitle"/>
        <w:rPr>
          <w:u w:val="single"/>
        </w:rPr>
      </w:pPr>
      <w:r w:rsidRPr="007C384D">
        <w:t xml:space="preserve">Table </w:t>
      </w:r>
      <w:r>
        <w:t>1</w:t>
      </w:r>
      <w:r w:rsidR="00DE693B">
        <w:t>7</w:t>
      </w:r>
      <w:r w:rsidR="00042F1F">
        <w:t>.</w:t>
      </w:r>
      <w:r w:rsidRPr="007C384D">
        <w:t xml:space="preserve"> Incidence of worst Grade 3 or 4 TEAEs by MedDRA PT occurring in ≥1.5% of patients in either arm in Study 17777 (SAF)</w:t>
      </w:r>
      <w:r>
        <w:t>.</w:t>
      </w:r>
    </w:p>
    <w:p w14:paraId="5FC59CA2" w14:textId="77777777" w:rsidR="00BB7474" w:rsidRPr="007C384D" w:rsidRDefault="00BB7474" w:rsidP="00BB7474">
      <w:pPr>
        <w:spacing w:after="0"/>
        <w:rPr>
          <w:u w:val="single"/>
        </w:rPr>
      </w:pPr>
      <w:r w:rsidRPr="007C384D">
        <w:rPr>
          <w:noProof/>
          <w:u w:val="single"/>
        </w:rPr>
        <w:drawing>
          <wp:inline distT="0" distB="0" distL="0" distR="0" wp14:anchorId="2AC087C6" wp14:editId="789049C5">
            <wp:extent cx="5656923" cy="3563258"/>
            <wp:effectExtent l="0" t="0" r="1270" b="0"/>
            <wp:docPr id="28" name="Picture 28" descr="A table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table with numbers and text&#10;&#10;Description automatically generated"/>
                    <pic:cNvPicPr/>
                  </pic:nvPicPr>
                  <pic:blipFill>
                    <a:blip r:embed="rId59"/>
                    <a:stretch>
                      <a:fillRect/>
                    </a:stretch>
                  </pic:blipFill>
                  <pic:spPr>
                    <a:xfrm>
                      <a:off x="0" y="0"/>
                      <a:ext cx="5661226" cy="3565968"/>
                    </a:xfrm>
                    <a:prstGeom prst="rect">
                      <a:avLst/>
                    </a:prstGeom>
                  </pic:spPr>
                </pic:pic>
              </a:graphicData>
            </a:graphic>
          </wp:inline>
        </w:drawing>
      </w:r>
    </w:p>
    <w:p w14:paraId="695D10CA" w14:textId="0AAC4612" w:rsidR="00983573" w:rsidRDefault="00BB7474" w:rsidP="00407F6E">
      <w:r>
        <w:t xml:space="preserve">The </w:t>
      </w:r>
      <w:r w:rsidR="008A7024">
        <w:t>Sponsor</w:t>
      </w:r>
      <w:r>
        <w:t xml:space="preserve"> provided a safety update dated 13</w:t>
      </w:r>
      <w:r w:rsidRPr="00EA2F9A">
        <w:rPr>
          <w:vertAlign w:val="superscript"/>
        </w:rPr>
        <w:t>th</w:t>
      </w:r>
      <w:r>
        <w:t xml:space="preserve"> October 2022 with a </w:t>
      </w:r>
      <w:r w:rsidR="00ED2E7D">
        <w:t>cutoff</w:t>
      </w:r>
      <w:r>
        <w:t xml:space="preserve"> date of 1</w:t>
      </w:r>
      <w:r w:rsidRPr="00EA2F9A">
        <w:rPr>
          <w:vertAlign w:val="superscript"/>
        </w:rPr>
        <w:t>st</w:t>
      </w:r>
      <w:r>
        <w:t xml:space="preserve"> August 2022.</w:t>
      </w:r>
      <w:r w:rsidRPr="00EA2F9A">
        <w:t xml:space="preserve"> Overall, 335 late entered AEs with an onset date prior to 25 O</w:t>
      </w:r>
      <w:r w:rsidR="00042F1F">
        <w:t>ctober</w:t>
      </w:r>
      <w:r w:rsidRPr="00EA2F9A">
        <w:t xml:space="preserve"> 2021 were identified</w:t>
      </w:r>
      <w:r w:rsidR="00983573">
        <w:t xml:space="preserve"> (</w:t>
      </w:r>
      <w:r>
        <w:t>Table 1</w:t>
      </w:r>
      <w:r w:rsidR="00DE693B">
        <w:t>8</w:t>
      </w:r>
      <w:r w:rsidR="00983573">
        <w:t>)</w:t>
      </w:r>
      <w:r>
        <w:t>.</w:t>
      </w:r>
      <w:r w:rsidR="00983573">
        <w:t xml:space="preserve"> </w:t>
      </w:r>
    </w:p>
    <w:p w14:paraId="5B2E0548" w14:textId="74B1F050" w:rsidR="00BB7474" w:rsidRDefault="00BB7474" w:rsidP="00407F6E">
      <w:r>
        <w:t xml:space="preserve">The following was seen with the safety update: </w:t>
      </w:r>
    </w:p>
    <w:p w14:paraId="0F8D7E37" w14:textId="77777777" w:rsidR="00BB7474" w:rsidRDefault="00BB7474" w:rsidP="00407F6E">
      <w:pPr>
        <w:pStyle w:val="ListBullet"/>
      </w:pPr>
      <w:r>
        <w:t>Minor changes were observed in the incidences of TEAEs with Grade 1, 2 or 3 as the</w:t>
      </w:r>
    </w:p>
    <w:p w14:paraId="422FBC67" w14:textId="77777777" w:rsidR="00BB7474" w:rsidRDefault="00BB7474" w:rsidP="00407F6E">
      <w:pPr>
        <w:pStyle w:val="ListBullet"/>
      </w:pPr>
      <w:r>
        <w:t>worst severity grade.</w:t>
      </w:r>
    </w:p>
    <w:p w14:paraId="3C5B8CA4" w14:textId="77777777" w:rsidR="00BB7474" w:rsidRDefault="00BB7474" w:rsidP="00407F6E">
      <w:pPr>
        <w:pStyle w:val="ListBullet"/>
      </w:pPr>
      <w:r>
        <w:t>Incidences of Grade 4 and 5 TEAEs were slightly increased in the study arm.</w:t>
      </w:r>
    </w:p>
    <w:p w14:paraId="1F2F4586" w14:textId="43A1FCAF" w:rsidR="00BB7474" w:rsidRDefault="00BB7474" w:rsidP="00407F6E">
      <w:pPr>
        <w:pStyle w:val="ListBullet"/>
      </w:pPr>
      <w:r>
        <w:t xml:space="preserve">TEAEs leading to permanent discontinuation of </w:t>
      </w:r>
      <w:proofErr w:type="spellStart"/>
      <w:r>
        <w:t>darolutamide</w:t>
      </w:r>
      <w:proofErr w:type="spellEnd"/>
      <w:r>
        <w:t xml:space="preserve"> reported 1 additional patient in the </w:t>
      </w:r>
      <w:proofErr w:type="spellStart"/>
      <w:r>
        <w:t>darolutamide</w:t>
      </w:r>
      <w:proofErr w:type="spellEnd"/>
      <w:r w:rsidR="00983573">
        <w:t xml:space="preserve"> </w:t>
      </w:r>
      <w:r>
        <w:t>+</w:t>
      </w:r>
      <w:r w:rsidR="00983573">
        <w:t xml:space="preserve"> </w:t>
      </w:r>
      <w:r>
        <w:t>docetaxel arm.</w:t>
      </w:r>
    </w:p>
    <w:p w14:paraId="738AE644" w14:textId="77777777" w:rsidR="00BB7474" w:rsidRDefault="00BB7474" w:rsidP="00BB7474">
      <w:pPr>
        <w:spacing w:after="0"/>
      </w:pPr>
    </w:p>
    <w:p w14:paraId="414853D2" w14:textId="02DFF8F5" w:rsidR="00BB7474" w:rsidRDefault="00BB7474" w:rsidP="00042F1F">
      <w:pPr>
        <w:pStyle w:val="TableTitle"/>
      </w:pPr>
      <w:r w:rsidRPr="00EA2F9A">
        <w:t xml:space="preserve">Table </w:t>
      </w:r>
      <w:r>
        <w:t>1</w:t>
      </w:r>
      <w:r w:rsidR="00DE693B">
        <w:t>8</w:t>
      </w:r>
      <w:r w:rsidRPr="00EA2F9A">
        <w:t>: Overview of TEAEs in Study 17777 (SAF)</w:t>
      </w:r>
      <w:r>
        <w:t>.</w:t>
      </w:r>
    </w:p>
    <w:p w14:paraId="206AEF8E" w14:textId="77777777" w:rsidR="00BB7474" w:rsidRDefault="00BB7474" w:rsidP="00BB7474">
      <w:pPr>
        <w:spacing w:after="0"/>
        <w:rPr>
          <w:u w:val="single"/>
        </w:rPr>
      </w:pPr>
      <w:r w:rsidRPr="00EA2F9A">
        <w:rPr>
          <w:noProof/>
          <w:u w:val="single"/>
        </w:rPr>
        <w:drawing>
          <wp:inline distT="0" distB="0" distL="0" distR="0" wp14:anchorId="365810F0" wp14:editId="59BC27BD">
            <wp:extent cx="5724235" cy="5994400"/>
            <wp:effectExtent l="0" t="0" r="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744860" cy="6015999"/>
                    </a:xfrm>
                    <a:prstGeom prst="rect">
                      <a:avLst/>
                    </a:prstGeom>
                  </pic:spPr>
                </pic:pic>
              </a:graphicData>
            </a:graphic>
          </wp:inline>
        </w:drawing>
      </w:r>
    </w:p>
    <w:p w14:paraId="72E29153" w14:textId="77777777" w:rsidR="00BB7474" w:rsidRPr="00544413" w:rsidRDefault="00BB7474" w:rsidP="00042F1F">
      <w:pPr>
        <w:pStyle w:val="Heading6"/>
      </w:pPr>
      <w:r w:rsidRPr="00544413">
        <w:t>Lab findings</w:t>
      </w:r>
    </w:p>
    <w:p w14:paraId="7BC80048" w14:textId="370D24F1" w:rsidR="00042F1F" w:rsidRPr="0057138A" w:rsidRDefault="00BB7474" w:rsidP="00407F6E">
      <w:r>
        <w:t>Blood bilirubin increased was observed as a laboratory abnormality (as previously seen in</w:t>
      </w:r>
      <w:r w:rsidR="00407F6E">
        <w:t xml:space="preserve"> </w:t>
      </w:r>
      <w:proofErr w:type="spellStart"/>
      <w:r>
        <w:t>nmCRPC</w:t>
      </w:r>
      <w:proofErr w:type="spellEnd"/>
      <w:r>
        <w:t xml:space="preserve">) more commonly in the </w:t>
      </w:r>
      <w:proofErr w:type="spellStart"/>
      <w:r>
        <w:t>darolutamide</w:t>
      </w:r>
      <w:proofErr w:type="spellEnd"/>
      <w:r w:rsidR="00042F1F">
        <w:t xml:space="preserve"> </w:t>
      </w:r>
      <w:r>
        <w:t>+</w:t>
      </w:r>
      <w:r w:rsidR="00042F1F">
        <w:t xml:space="preserve"> </w:t>
      </w:r>
      <w:r>
        <w:t>docetaxel arm than in the placebo</w:t>
      </w:r>
      <w:r w:rsidR="00042F1F">
        <w:t xml:space="preserve"> </w:t>
      </w:r>
      <w:r>
        <w:t>+</w:t>
      </w:r>
      <w:r w:rsidR="00042F1F">
        <w:t xml:space="preserve"> </w:t>
      </w:r>
      <w:r>
        <w:t>docetaxel</w:t>
      </w:r>
      <w:r w:rsidR="00407F6E">
        <w:t xml:space="preserve"> </w:t>
      </w:r>
      <w:r>
        <w:t>arm (19.6% vs 10.0% of patients, respectively). The bilirubin elevations were mainly Grade 1 or</w:t>
      </w:r>
      <w:r w:rsidR="00407F6E">
        <w:t xml:space="preserve"> </w:t>
      </w:r>
      <w:r>
        <w:t>2 and of no clear clinical significance, consistent with the low percentage of patients with a</w:t>
      </w:r>
      <w:r w:rsidR="00407F6E">
        <w:t xml:space="preserve"> </w:t>
      </w:r>
      <w:r>
        <w:t>TEAE of blood bilirubin increased (4.9% of patients in the</w:t>
      </w:r>
      <w:r w:rsidR="002A5B4C">
        <w:t xml:space="preserve"> </w:t>
      </w:r>
      <w:proofErr w:type="spellStart"/>
      <w:r>
        <w:t>darolutamide</w:t>
      </w:r>
      <w:proofErr w:type="spellEnd"/>
      <w:r w:rsidR="00042F1F">
        <w:t xml:space="preserve"> </w:t>
      </w:r>
      <w:r>
        <w:t>+</w:t>
      </w:r>
      <w:r w:rsidR="00042F1F">
        <w:t xml:space="preserve"> </w:t>
      </w:r>
      <w:r>
        <w:t>docetaxel arm and in 2.9% of patients in the placebo</w:t>
      </w:r>
      <w:r w:rsidR="00042F1F">
        <w:t xml:space="preserve"> </w:t>
      </w:r>
      <w:r>
        <w:t>+</w:t>
      </w:r>
      <w:r w:rsidR="00042F1F">
        <w:t xml:space="preserve"> </w:t>
      </w:r>
      <w:r>
        <w:t>docetaxel arm).</w:t>
      </w:r>
    </w:p>
    <w:p w14:paraId="6813593D" w14:textId="4D7FBB12" w:rsidR="00BB7474" w:rsidRDefault="00BB7474" w:rsidP="00407F6E">
      <w:r>
        <w:t xml:space="preserve">There was 1 patient (0.2%) in the </w:t>
      </w:r>
      <w:proofErr w:type="spellStart"/>
      <w:r>
        <w:t>darolutamide</w:t>
      </w:r>
      <w:proofErr w:type="spellEnd"/>
      <w:r w:rsidR="00042F1F">
        <w:t xml:space="preserve"> </w:t>
      </w:r>
      <w:r>
        <w:t>+</w:t>
      </w:r>
      <w:r w:rsidR="00042F1F">
        <w:t xml:space="preserve"> </w:t>
      </w:r>
      <w:r>
        <w:t>docetaxel arm with an event with a worst grade of 3 (no patients in the placebo</w:t>
      </w:r>
      <w:r w:rsidR="00042F1F">
        <w:t xml:space="preserve"> </w:t>
      </w:r>
      <w:r>
        <w:t>+</w:t>
      </w:r>
      <w:r w:rsidR="00042F1F">
        <w:t xml:space="preserve"> </w:t>
      </w:r>
      <w:r>
        <w:t>docetaxel arm). Hyperbilirubinemia was reported as a TEAE in 2 patients (0.3%) (1 patient had an event with a worst grade of 1 and 1 patient with a worst grade of 3) in the placebo</w:t>
      </w:r>
      <w:r w:rsidR="00042F1F">
        <w:t xml:space="preserve"> </w:t>
      </w:r>
      <w:r>
        <w:t>+</w:t>
      </w:r>
      <w:r w:rsidR="00042F1F">
        <w:t xml:space="preserve"> </w:t>
      </w:r>
      <w:r>
        <w:t xml:space="preserve">docetaxel arm (no patients in the </w:t>
      </w:r>
      <w:proofErr w:type="spellStart"/>
      <w:r>
        <w:t>darolutamide</w:t>
      </w:r>
      <w:proofErr w:type="spellEnd"/>
      <w:r w:rsidR="00042F1F">
        <w:t xml:space="preserve"> </w:t>
      </w:r>
      <w:r>
        <w:t>+</w:t>
      </w:r>
      <w:r w:rsidR="00042F1F">
        <w:t xml:space="preserve"> </w:t>
      </w:r>
      <w:r>
        <w:t>docetaxel arm).</w:t>
      </w:r>
    </w:p>
    <w:p w14:paraId="069C7586" w14:textId="3C05217E" w:rsidR="00BB7474" w:rsidRDefault="00BB7474" w:rsidP="00407F6E">
      <w:r>
        <w:t>ALT increased (PT) and AST increased (PT) were reported as a TEAE more commonly in the</w:t>
      </w:r>
      <w:r w:rsidR="00407F6E">
        <w:t xml:space="preserve"> </w:t>
      </w:r>
      <w:r w:rsidR="00BE36C1">
        <w:t>D</w:t>
      </w:r>
      <w:r>
        <w:t>arolutamide</w:t>
      </w:r>
      <w:r w:rsidR="00BE36C1">
        <w:t xml:space="preserve"> </w:t>
      </w:r>
      <w:r>
        <w:t>+</w:t>
      </w:r>
      <w:r w:rsidR="00BE36C1">
        <w:t xml:space="preserve"> </w:t>
      </w:r>
      <w:r>
        <w:t>docetaxel arm vs. placebo</w:t>
      </w:r>
      <w:r w:rsidR="00BE36C1">
        <w:t xml:space="preserve"> </w:t>
      </w:r>
      <w:r>
        <w:t>+</w:t>
      </w:r>
      <w:r w:rsidR="00BE36C1">
        <w:t xml:space="preserve"> </w:t>
      </w:r>
      <w:r>
        <w:t>docetaxel arm: ALT, 15.6% vs. 12.9%, respectively;</w:t>
      </w:r>
      <w:r w:rsidR="00407F6E">
        <w:t xml:space="preserve"> </w:t>
      </w:r>
      <w:r>
        <w:t>and AST, 14.0% vs. 10.5%, respectively.</w:t>
      </w:r>
    </w:p>
    <w:p w14:paraId="7B8EF4B2" w14:textId="3F04ED52" w:rsidR="00BB7474" w:rsidRDefault="00BB7474" w:rsidP="00407F6E">
      <w:r>
        <w:t>An evaluation of liver injury based on analyses of laboratory data and TEAEs was performed,</w:t>
      </w:r>
      <w:r w:rsidR="00407F6E">
        <w:t xml:space="preserve"> </w:t>
      </w:r>
      <w:r>
        <w:t xml:space="preserve">including review for potential Hy’s Law cases and drug-induced liver injury (DILI) cases. </w:t>
      </w:r>
      <w:r w:rsidRPr="00330A03">
        <w:t xml:space="preserve">Overall, 2 patients with hepatocellular DILI were identified in the </w:t>
      </w:r>
      <w:proofErr w:type="spellStart"/>
      <w:r w:rsidRPr="00330A03">
        <w:t>darolutamide</w:t>
      </w:r>
      <w:proofErr w:type="spellEnd"/>
      <w:r w:rsidR="007F3547">
        <w:t xml:space="preserve"> </w:t>
      </w:r>
      <w:r w:rsidRPr="00330A03">
        <w:t>+</w:t>
      </w:r>
      <w:r w:rsidR="007F3547">
        <w:t xml:space="preserve"> </w:t>
      </w:r>
      <w:r w:rsidRPr="00330A03">
        <w:t>docetaxel arm.</w:t>
      </w:r>
      <w:r w:rsidR="00407F6E">
        <w:t xml:space="preserve"> </w:t>
      </w:r>
      <w:r>
        <w:t xml:space="preserve">The overall incidence of TEAEs of DILI (MedDRA PT) was balanced between the treatment arms: 3 patients (0.5%) in the </w:t>
      </w:r>
      <w:proofErr w:type="spellStart"/>
      <w:r>
        <w:t>darolutamide</w:t>
      </w:r>
      <w:proofErr w:type="spellEnd"/>
      <w:r w:rsidR="007F3547">
        <w:t xml:space="preserve"> </w:t>
      </w:r>
      <w:r>
        <w:t>+</w:t>
      </w:r>
      <w:r w:rsidR="007F3547">
        <w:t xml:space="preserve"> </w:t>
      </w:r>
      <w:r>
        <w:t xml:space="preserve">docetaxel arm and 4 patients (0.6%) in the placebo + docetaxel arm. A total of 3 patients met potential Hy’s Law criteria, including 2 patients in the </w:t>
      </w:r>
      <w:proofErr w:type="spellStart"/>
      <w:r>
        <w:t>darolutamide</w:t>
      </w:r>
      <w:proofErr w:type="spellEnd"/>
      <w:r w:rsidR="007F3547">
        <w:t xml:space="preserve"> </w:t>
      </w:r>
      <w:r>
        <w:t>+</w:t>
      </w:r>
      <w:r w:rsidR="007F3547">
        <w:t xml:space="preserve"> </w:t>
      </w:r>
      <w:r>
        <w:t xml:space="preserve">docetaxel arm and 1 patient in the </w:t>
      </w:r>
      <w:proofErr w:type="gramStart"/>
      <w:r>
        <w:t>placebo</w:t>
      </w:r>
      <w:r w:rsidR="007F3547">
        <w:t xml:space="preserve">  </w:t>
      </w:r>
      <w:r>
        <w:t>+</w:t>
      </w:r>
      <w:proofErr w:type="gramEnd"/>
      <w:r>
        <w:t>docetaxel arm.</w:t>
      </w:r>
    </w:p>
    <w:p w14:paraId="364E50B8" w14:textId="3C6C8546" w:rsidR="00BB7474" w:rsidRPr="00582F1C" w:rsidRDefault="00BB7474" w:rsidP="007F3547">
      <w:pPr>
        <w:pStyle w:val="Heading6"/>
      </w:pPr>
      <w:r w:rsidRPr="00582F1C">
        <w:t xml:space="preserve">Safety </w:t>
      </w:r>
      <w:r w:rsidR="00407F6E">
        <w:t>a</w:t>
      </w:r>
      <w:r w:rsidRPr="00582F1C">
        <w:t>nalyses by subgroups</w:t>
      </w:r>
      <w:r>
        <w:t>.</w:t>
      </w:r>
    </w:p>
    <w:p w14:paraId="1A1DFD45" w14:textId="72CB4814" w:rsidR="00BB7474" w:rsidRPr="00582F1C" w:rsidRDefault="00BB7474" w:rsidP="00407F6E">
      <w:r>
        <w:t xml:space="preserve">Subgroup analyses for TEAEs were performed for age, geographical </w:t>
      </w:r>
      <w:proofErr w:type="gramStart"/>
      <w:r>
        <w:t>region ,</w:t>
      </w:r>
      <w:proofErr w:type="gramEnd"/>
      <w:r>
        <w:t xml:space="preserve"> renal function at baseline, hepatic function at baseline and concomitant statin use. No clinically meaningful differences in the incidence of TEAEs between the respective subgroups in either treatment arm </w:t>
      </w:r>
      <w:proofErr w:type="gramStart"/>
      <w:r>
        <w:t>were</w:t>
      </w:r>
      <w:proofErr w:type="gramEnd"/>
      <w:r>
        <w:t xml:space="preserve"> observed for age, renal function, hepatic function, or concomitant use of statins. It is noted that there were very few patients in the age group </w:t>
      </w:r>
      <m:oMath>
        <m:r>
          <w:rPr>
            <w:rFonts w:ascii="Cambria Math" w:hAnsi="Cambria Math"/>
          </w:rPr>
          <m:t>≥</m:t>
        </m:r>
      </m:oMath>
      <w:r>
        <w:t xml:space="preserve"> 85 years in each arm to draw any clear conclusions about safety in this age group.</w:t>
      </w:r>
    </w:p>
    <w:p w14:paraId="49984768" w14:textId="77777777" w:rsidR="00BB7474" w:rsidRDefault="00BB7474" w:rsidP="00407F6E">
      <w:r>
        <w:t xml:space="preserve">For geographical region subgroups, a difference was seen in both treatment arms between the Asia Pacific region and other regions: There were higher incidences of TEAEs with a worst grade of 4 and TESAEs reported in patients from the Asia Pacific region compared with patients from North America and ROW. </w:t>
      </w:r>
    </w:p>
    <w:p w14:paraId="71F82C15" w14:textId="0146F627" w:rsidR="00BB7474" w:rsidRDefault="00BB7474" w:rsidP="00407F6E">
      <w:r>
        <w:t xml:space="preserve">These differences were primarily driven by higher incidences of </w:t>
      </w:r>
      <w:r w:rsidR="00ED2E7D">
        <w:t>haematological</w:t>
      </w:r>
      <w:r>
        <w:t xml:space="preserve"> toxicities, mainly neutrophil count </w:t>
      </w:r>
      <w:proofErr w:type="gramStart"/>
      <w:r>
        <w:t>decreased</w:t>
      </w:r>
      <w:proofErr w:type="gramEnd"/>
      <w:r>
        <w:t xml:space="preserve"> and WBC count decreased. </w:t>
      </w:r>
      <w:r w:rsidR="00632ED0">
        <w:t>T</w:t>
      </w:r>
      <w:r>
        <w:t xml:space="preserve">he </w:t>
      </w:r>
      <w:r w:rsidR="008A7024">
        <w:t>Sponsor</w:t>
      </w:r>
      <w:r>
        <w:t xml:space="preserve"> </w:t>
      </w:r>
      <w:r w:rsidR="00632ED0">
        <w:t xml:space="preserve">considered these results to be </w:t>
      </w:r>
      <w:r>
        <w:t xml:space="preserve">in line with the literature showing higher incidences of severe </w:t>
      </w:r>
      <w:r w:rsidR="00ED2E7D">
        <w:t>haematological</w:t>
      </w:r>
      <w:r>
        <w:t xml:space="preserve"> toxicities (</w:t>
      </w:r>
      <w:r w:rsidR="00B8378D">
        <w:t>e.g.</w:t>
      </w:r>
      <w:r>
        <w:t xml:space="preserve">, neutropenia) in Asian patients treated with docetaxel compared with </w:t>
      </w:r>
      <w:proofErr w:type="spellStart"/>
      <w:r>
        <w:t>non-Asian</w:t>
      </w:r>
      <w:proofErr w:type="spellEnd"/>
      <w:r>
        <w:t xml:space="preserve"> patients treated with docetaxel</w:t>
      </w:r>
      <w:r w:rsidR="00ED1026" w:rsidRPr="00895EE9">
        <w:rPr>
          <w:rStyle w:val="FootnoteReference"/>
        </w:rPr>
        <w:footnoteReference w:id="15"/>
      </w:r>
      <w:r w:rsidR="003E2B3F" w:rsidRPr="00895EE9">
        <w:rPr>
          <w:vertAlign w:val="superscript"/>
        </w:rPr>
        <w:t>,</w:t>
      </w:r>
      <w:r w:rsidR="006C61F3" w:rsidRPr="00895EE9">
        <w:rPr>
          <w:rStyle w:val="FootnoteReference"/>
        </w:rPr>
        <w:footnoteReference w:id="16"/>
      </w:r>
      <w:r w:rsidR="003E2B3F" w:rsidRPr="00895EE9">
        <w:rPr>
          <w:vertAlign w:val="superscript"/>
        </w:rPr>
        <w:t>,</w:t>
      </w:r>
      <w:r w:rsidR="003E2B3F" w:rsidRPr="00895EE9">
        <w:rPr>
          <w:rStyle w:val="FootnoteReference"/>
        </w:rPr>
        <w:footnoteReference w:id="17"/>
      </w:r>
      <w:r w:rsidR="003E2B3F" w:rsidRPr="00895EE9">
        <w:rPr>
          <w:vertAlign w:val="superscript"/>
        </w:rPr>
        <w:t>,</w:t>
      </w:r>
      <w:r w:rsidR="005E4A8F" w:rsidRPr="00895EE9">
        <w:rPr>
          <w:rStyle w:val="FootnoteReference"/>
        </w:rPr>
        <w:footnoteReference w:id="18"/>
      </w:r>
      <w:r w:rsidR="005E4A8F" w:rsidRPr="00895EE9">
        <w:rPr>
          <w:vertAlign w:val="superscript"/>
        </w:rPr>
        <w:t>,</w:t>
      </w:r>
      <w:r w:rsidR="005E4A8F" w:rsidRPr="00895EE9">
        <w:rPr>
          <w:rStyle w:val="FootnoteReference"/>
        </w:rPr>
        <w:footnoteReference w:id="19"/>
      </w:r>
      <w:r w:rsidR="00895EE9">
        <w:t>.</w:t>
      </w:r>
      <w:r>
        <w:t xml:space="preserve"> </w:t>
      </w:r>
    </w:p>
    <w:p w14:paraId="430AD15E" w14:textId="77777777" w:rsidR="00BB7474" w:rsidRDefault="00BB7474" w:rsidP="007F3547">
      <w:pPr>
        <w:pStyle w:val="Heading6"/>
      </w:pPr>
      <w:r w:rsidRPr="00544413">
        <w:t>Analysis of special topics</w:t>
      </w:r>
    </w:p>
    <w:p w14:paraId="110EEDED" w14:textId="77777777" w:rsidR="00BB7474" w:rsidRDefault="00BB7474" w:rsidP="00407F6E">
      <w:r w:rsidRPr="00C04389">
        <w:t>Special topics were defined as events/disorders representing potential or known risks</w:t>
      </w:r>
      <w:r>
        <w:t xml:space="preserve"> </w:t>
      </w:r>
      <w:r w:rsidRPr="00C04389">
        <w:t xml:space="preserve">associated with ADT or with anti-androgens. </w:t>
      </w:r>
    </w:p>
    <w:p w14:paraId="04CA4A5C" w14:textId="7DCA9773" w:rsidR="00BB7474" w:rsidRDefault="00BB7474" w:rsidP="00407F6E">
      <w:r w:rsidRPr="00C04389">
        <w:t>Special topics associated with ADT included</w:t>
      </w:r>
      <w:r>
        <w:t xml:space="preserve"> </w:t>
      </w:r>
      <w:r w:rsidRPr="00C04389">
        <w:t>fatigue/asthenic conditions, bone fractures, fall, vasodilatation and flushing, breast</w:t>
      </w:r>
      <w:r>
        <w:t xml:space="preserve"> </w:t>
      </w:r>
      <w:r w:rsidRPr="00C04389">
        <w:t xml:space="preserve">disorders/gynecomastia, hypertension, cardiac disorders, diabetes mellitus and </w:t>
      </w:r>
      <w:r w:rsidR="00E468C9" w:rsidRPr="00C04389">
        <w:t>hyperglycaemia</w:t>
      </w:r>
      <w:r w:rsidRPr="00C04389">
        <w:t>,</w:t>
      </w:r>
      <w:r>
        <w:t xml:space="preserve"> </w:t>
      </w:r>
      <w:r w:rsidRPr="00C04389">
        <w:t>mental impairment disorders, depressed mood disorders, cerebrovascular disorders, and</w:t>
      </w:r>
      <w:r>
        <w:t xml:space="preserve"> </w:t>
      </w:r>
      <w:r w:rsidRPr="00C04389">
        <w:t>weight decreased</w:t>
      </w:r>
      <w:r w:rsidR="009854F9" w:rsidRPr="00054819">
        <w:rPr>
          <w:rStyle w:val="FootnoteReference"/>
        </w:rPr>
        <w:footnoteReference w:id="20"/>
      </w:r>
      <w:r w:rsidR="009854F9" w:rsidRPr="00054819">
        <w:rPr>
          <w:vertAlign w:val="superscript"/>
        </w:rPr>
        <w:t>,</w:t>
      </w:r>
      <w:r w:rsidR="00A566CE" w:rsidRPr="00054819">
        <w:rPr>
          <w:rStyle w:val="FootnoteReference"/>
        </w:rPr>
        <w:footnoteReference w:id="21"/>
      </w:r>
      <w:r w:rsidR="00A566CE" w:rsidRPr="00054819">
        <w:rPr>
          <w:vertAlign w:val="superscript"/>
        </w:rPr>
        <w:t>,</w:t>
      </w:r>
      <w:r w:rsidR="00A566CE" w:rsidRPr="00054819">
        <w:rPr>
          <w:rStyle w:val="FootnoteReference"/>
        </w:rPr>
        <w:footnoteReference w:id="22"/>
      </w:r>
      <w:r w:rsidRPr="00C04389">
        <w:t xml:space="preserve"> while special</w:t>
      </w:r>
      <w:r>
        <w:t xml:space="preserve"> </w:t>
      </w:r>
      <w:r w:rsidRPr="00C04389">
        <w:t>topics rash and seizure are associated with anti-androgens</w:t>
      </w:r>
      <w:r w:rsidR="00054819" w:rsidRPr="00AD1717">
        <w:rPr>
          <w:rStyle w:val="FootnoteReference"/>
        </w:rPr>
        <w:footnoteReference w:id="23"/>
      </w:r>
      <w:r w:rsidR="00054819" w:rsidRPr="00AD1717">
        <w:rPr>
          <w:vertAlign w:val="superscript"/>
        </w:rPr>
        <w:t>,</w:t>
      </w:r>
      <w:r w:rsidR="00AD1717" w:rsidRPr="00AD1717">
        <w:rPr>
          <w:rStyle w:val="FootnoteReference"/>
        </w:rPr>
        <w:footnoteReference w:id="24"/>
      </w:r>
      <w:r w:rsidR="00AD1717">
        <w:t>.</w:t>
      </w:r>
    </w:p>
    <w:p w14:paraId="387EA5A4" w14:textId="2CA35303" w:rsidR="00BB7474" w:rsidRPr="00C04389" w:rsidRDefault="00BB7474" w:rsidP="00407F6E">
      <w:r w:rsidRPr="00C04389">
        <w:t xml:space="preserve">For the analysis of special topics, TEAEs representing the same or </w:t>
      </w:r>
      <w:proofErr w:type="spellStart"/>
      <w:r w:rsidRPr="00C04389">
        <w:t>pathophysiologically</w:t>
      </w:r>
      <w:proofErr w:type="spellEnd"/>
      <w:r>
        <w:t xml:space="preserve"> </w:t>
      </w:r>
      <w:r w:rsidRPr="00C04389">
        <w:t>related</w:t>
      </w:r>
      <w:r w:rsidR="00407F6E">
        <w:t xml:space="preserve"> </w:t>
      </w:r>
      <w:r w:rsidRPr="00C04389">
        <w:t xml:space="preserve">clinical </w:t>
      </w:r>
      <w:r w:rsidR="00E468C9" w:rsidRPr="00C04389">
        <w:t>concepts</w:t>
      </w:r>
      <w:r w:rsidRPr="00C04389">
        <w:t xml:space="preserve"> were grouped. The grouped terms were selected and pre-defined based</w:t>
      </w:r>
      <w:r w:rsidR="00407F6E">
        <w:t xml:space="preserve"> </w:t>
      </w:r>
      <w:r w:rsidRPr="00C04389">
        <w:t xml:space="preserve">on the data from the Phase 3 Study 17712 in </w:t>
      </w:r>
      <w:proofErr w:type="spellStart"/>
      <w:r w:rsidRPr="00C04389">
        <w:t>nmCRPC</w:t>
      </w:r>
      <w:proofErr w:type="spellEnd"/>
      <w:r w:rsidR="007F3547">
        <w:t xml:space="preserve"> (</w:t>
      </w:r>
      <w:r w:rsidR="007F3547" w:rsidRPr="007F3547">
        <w:t>Table 1</w:t>
      </w:r>
      <w:r w:rsidR="00DE693B">
        <w:t>9</w:t>
      </w:r>
      <w:r w:rsidR="007F3547">
        <w:t>).</w:t>
      </w:r>
    </w:p>
    <w:p w14:paraId="2BD3F5CB" w14:textId="73A1BEFF" w:rsidR="00BB7474" w:rsidRPr="00D50D75" w:rsidRDefault="00E468C9" w:rsidP="00407F6E">
      <w:r w:rsidRPr="00D50D75">
        <w:t>Specific predefined safety topics</w:t>
      </w:r>
      <w:r w:rsidR="00BB7474" w:rsidRPr="00D50D75">
        <w:t xml:space="preserve"> included: fatigue, fractures, falls, vasodilatation and flushing, breast disorders/gynecomastia, cardiac disorders, diabetes mellitus and </w:t>
      </w:r>
      <w:r w:rsidRPr="00D50D75">
        <w:t>hyperglycaemia</w:t>
      </w:r>
      <w:r w:rsidR="00BB7474" w:rsidRPr="00D50D75">
        <w:t xml:space="preserve">, mental impairment disorders, depressed mood disorders, cerebrovascular disorders, </w:t>
      </w:r>
      <w:proofErr w:type="gramStart"/>
      <w:r w:rsidR="00BB7474" w:rsidRPr="00D50D75">
        <w:t>seizure</w:t>
      </w:r>
      <w:proofErr w:type="gramEnd"/>
      <w:r w:rsidR="00BB7474" w:rsidRPr="00D50D75">
        <w:t xml:space="preserve"> and weight decrease, which are known to be associated with the currently existing therapeutic options for </w:t>
      </w:r>
      <w:proofErr w:type="spellStart"/>
      <w:r w:rsidR="00BB7474" w:rsidRPr="00D50D75">
        <w:t>mHSPC</w:t>
      </w:r>
      <w:proofErr w:type="spellEnd"/>
      <w:r w:rsidR="00BB7474" w:rsidRPr="00D50D75">
        <w:t>.</w:t>
      </w:r>
    </w:p>
    <w:p w14:paraId="6A18D5ED" w14:textId="7B09C843" w:rsidR="00BB7474" w:rsidRPr="00FB3F83" w:rsidRDefault="00BB7474" w:rsidP="007F3547">
      <w:pPr>
        <w:pStyle w:val="TableTitle"/>
      </w:pPr>
      <w:r w:rsidRPr="00FB3F83">
        <w:t xml:space="preserve">Table </w:t>
      </w:r>
      <w:r>
        <w:t>1</w:t>
      </w:r>
      <w:r w:rsidR="00DE693B">
        <w:t>9</w:t>
      </w:r>
      <w:r w:rsidR="00562B10">
        <w:t>.</w:t>
      </w:r>
      <w:r w:rsidRPr="00FB3F83">
        <w:t xml:space="preserve"> Incidences and exposure-adjusted incidence rates of TEAEs of special topics associated with ADT or anti-androgens (SAF)</w:t>
      </w:r>
    </w:p>
    <w:p w14:paraId="55D3D8F0" w14:textId="77777777" w:rsidR="00BB7474" w:rsidRDefault="00BB7474" w:rsidP="00BB7474">
      <w:pPr>
        <w:spacing w:after="0"/>
      </w:pPr>
      <w:r w:rsidRPr="00FB3F83">
        <w:rPr>
          <w:noProof/>
        </w:rPr>
        <w:drawing>
          <wp:inline distT="0" distB="0" distL="0" distR="0" wp14:anchorId="5A06783D" wp14:editId="376BE38B">
            <wp:extent cx="5691372" cy="4471792"/>
            <wp:effectExtent l="0" t="0" r="5080"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700769" cy="4479175"/>
                    </a:xfrm>
                    <a:prstGeom prst="rect">
                      <a:avLst/>
                    </a:prstGeom>
                  </pic:spPr>
                </pic:pic>
              </a:graphicData>
            </a:graphic>
          </wp:inline>
        </w:drawing>
      </w:r>
    </w:p>
    <w:p w14:paraId="08BC2CA7" w14:textId="209FB3AF" w:rsidR="00BB7474" w:rsidRDefault="00BB7474" w:rsidP="00407F6E">
      <w:r>
        <w:t xml:space="preserve">In study 17777, the grouped term of coronary artery </w:t>
      </w:r>
      <w:proofErr w:type="gramStart"/>
      <w:r>
        <w:t>disorders  occurred</w:t>
      </w:r>
      <w:proofErr w:type="gramEnd"/>
      <w:r>
        <w:t xml:space="preserve"> at a higher incidence in patients on the </w:t>
      </w:r>
      <w:proofErr w:type="spellStart"/>
      <w:r>
        <w:t>darolutamide</w:t>
      </w:r>
      <w:proofErr w:type="spellEnd"/>
      <w:r>
        <w:t xml:space="preserve"> + docetaxel arm (2.9%) compared to placebo + docetaxel (2.0%).</w:t>
      </w:r>
      <w:r w:rsidRPr="00C23FEA">
        <w:t xml:space="preserve"> </w:t>
      </w:r>
      <w:r w:rsidRPr="00452FA5">
        <w:t>The most common PTs within this HLGT were myocardial infarction (0.9% vs. 0.3%), acute myocardial infarction (0.5% vs. 0.5%), angina pectoris (0.5% vs</w:t>
      </w:r>
      <w:r>
        <w:t xml:space="preserve"> </w:t>
      </w:r>
      <w:r w:rsidRPr="00452FA5">
        <w:t xml:space="preserve">0.3%) </w:t>
      </w:r>
      <w:r w:rsidRPr="00396545">
        <w:t xml:space="preserve">and myocardial </w:t>
      </w:r>
      <w:proofErr w:type="spellStart"/>
      <w:r w:rsidRPr="00396545">
        <w:t>ischaemia</w:t>
      </w:r>
      <w:proofErr w:type="spellEnd"/>
      <w:r w:rsidRPr="00396545">
        <w:t xml:space="preserve"> (0.5% vs 0.3%) </w:t>
      </w:r>
      <w:r w:rsidRPr="00452FA5">
        <w:t xml:space="preserve">in the </w:t>
      </w:r>
      <w:proofErr w:type="spellStart"/>
      <w:r w:rsidRPr="00452FA5">
        <w:t>darolutamide</w:t>
      </w:r>
      <w:proofErr w:type="spellEnd"/>
      <w:r w:rsidR="007F3547">
        <w:t xml:space="preserve"> </w:t>
      </w:r>
      <w:r w:rsidRPr="00452FA5">
        <w:t>+</w:t>
      </w:r>
      <w:r w:rsidR="007F3547">
        <w:t xml:space="preserve"> </w:t>
      </w:r>
      <w:r w:rsidRPr="00452FA5">
        <w:t>docetaxel arm and the placebo</w:t>
      </w:r>
      <w:r w:rsidR="007F3547">
        <w:t xml:space="preserve"> </w:t>
      </w:r>
      <w:r w:rsidRPr="00452FA5">
        <w:t>+</w:t>
      </w:r>
      <w:r w:rsidR="007F3547">
        <w:t xml:space="preserve"> </w:t>
      </w:r>
      <w:r w:rsidRPr="00452FA5">
        <w:t>docetaxel arm, respectively.</w:t>
      </w:r>
      <w:r>
        <w:t xml:space="preserve"> In the pivotal trial of patients with </w:t>
      </w:r>
      <w:proofErr w:type="spellStart"/>
      <w:r>
        <w:t>nmCRPC</w:t>
      </w:r>
      <w:proofErr w:type="spellEnd"/>
      <w:r>
        <w:t xml:space="preserve">, </w:t>
      </w:r>
      <w:r w:rsidR="007F3547" w:rsidRPr="007F3547">
        <w:t xml:space="preserve">ischemic heart disease </w:t>
      </w:r>
      <w:r w:rsidR="007F3547">
        <w:t>(</w:t>
      </w:r>
      <w:r>
        <w:t>IHD</w:t>
      </w:r>
      <w:r w:rsidR="007F3547">
        <w:t>)</w:t>
      </w:r>
      <w:r>
        <w:t xml:space="preserve"> occurred in 3.2% of patients treated with </w:t>
      </w:r>
      <w:proofErr w:type="spellStart"/>
      <w:r>
        <w:t>darolutamide</w:t>
      </w:r>
      <w:proofErr w:type="spellEnd"/>
      <w:r>
        <w:t xml:space="preserve"> and in 2.5% of those treated with placebo.</w:t>
      </w:r>
    </w:p>
    <w:p w14:paraId="2C58A9BB" w14:textId="52023BD9" w:rsidR="00BB7474" w:rsidRDefault="00BB7474" w:rsidP="00407F6E">
      <w:r>
        <w:t>T</w:t>
      </w:r>
      <w:r w:rsidRPr="00F06223">
        <w:t xml:space="preserve">here was an increased incidence of fall in the </w:t>
      </w:r>
      <w:proofErr w:type="gramStart"/>
      <w:r>
        <w:t xml:space="preserve">study </w:t>
      </w:r>
      <w:r w:rsidRPr="00F06223">
        <w:t xml:space="preserve"> arm</w:t>
      </w:r>
      <w:proofErr w:type="gramEnd"/>
      <w:r w:rsidRPr="00F06223">
        <w:t xml:space="preserve"> (6.6%) compared to the control arm (4.6%), although the EAIR was similar</w:t>
      </w:r>
      <w:r>
        <w:t>.</w:t>
      </w:r>
      <w:r w:rsidRPr="00F06223">
        <w:t xml:space="preserve"> </w:t>
      </w:r>
      <w:r w:rsidR="00C67E06">
        <w:t xml:space="preserve">A </w:t>
      </w:r>
      <w:r w:rsidR="00C67E06" w:rsidRPr="00F06223">
        <w:t>pooled analysis</w:t>
      </w:r>
      <w:r w:rsidRPr="00F06223">
        <w:t xml:space="preserve"> </w:t>
      </w:r>
      <w:r>
        <w:t xml:space="preserve">did not show any </w:t>
      </w:r>
      <w:proofErr w:type="gramStart"/>
      <w:r>
        <w:t xml:space="preserve">evidence </w:t>
      </w:r>
      <w:r w:rsidRPr="00F06223">
        <w:t xml:space="preserve"> for</w:t>
      </w:r>
      <w:proofErr w:type="gramEnd"/>
      <w:r w:rsidRPr="00F06223">
        <w:t xml:space="preserve"> an increased risk of fall for patients treated with </w:t>
      </w:r>
      <w:proofErr w:type="spellStart"/>
      <w:r w:rsidRPr="00F06223">
        <w:t>darolutamide</w:t>
      </w:r>
      <w:proofErr w:type="spellEnd"/>
      <w:r w:rsidRPr="00F06223">
        <w:t xml:space="preserve"> compared with placeb</w:t>
      </w:r>
      <w:r>
        <w:t>o.</w:t>
      </w:r>
      <w:r w:rsidR="00407F6E">
        <w:t xml:space="preserve"> </w:t>
      </w:r>
      <w:r>
        <w:t xml:space="preserve">Seizure occurred in 0.6% of patients receiving </w:t>
      </w:r>
      <w:proofErr w:type="spellStart"/>
      <w:r>
        <w:t>darolutamide</w:t>
      </w:r>
      <w:proofErr w:type="spellEnd"/>
      <w:r>
        <w:t xml:space="preserve"> + docetaxel compared to 0.2% receiving placebo + docetaxel. </w:t>
      </w:r>
    </w:p>
    <w:p w14:paraId="627A4B69" w14:textId="47FB7285" w:rsidR="00BB7474" w:rsidRDefault="00BB7474" w:rsidP="00407F6E">
      <w:r>
        <w:t xml:space="preserve">Fractures occurred at a higher incidence in patients on the </w:t>
      </w:r>
      <w:proofErr w:type="spellStart"/>
      <w:r>
        <w:t>darolutamide</w:t>
      </w:r>
      <w:proofErr w:type="spellEnd"/>
      <w:r>
        <w:t xml:space="preserve"> + docetaxel arm compared to placebo plus docetaxel (7.5% vs 5.1%).</w:t>
      </w:r>
      <w:r w:rsidRPr="00C23FEA">
        <w:t xml:space="preserve"> </w:t>
      </w:r>
      <w:r>
        <w:t xml:space="preserve">Despite the similar exposure adjusted incidence rates, the unadjusted incidence of fractures is higher in </w:t>
      </w:r>
      <w:proofErr w:type="gramStart"/>
      <w:r>
        <w:t>ARASENS</w:t>
      </w:r>
      <w:proofErr w:type="gramEnd"/>
      <w:r>
        <w:t xml:space="preserve"> and fractures are of concern in prostate cancer given its predilection for bone metastases. Although ADT is associated with BMD loss and increased risk of bone fracture, in the </w:t>
      </w:r>
      <w:r w:rsidRPr="00C23FEA">
        <w:t>ARAMIS study</w:t>
      </w:r>
      <w:r w:rsidR="00E66102">
        <w:rPr>
          <w:rStyle w:val="FootnoteReference"/>
        </w:rPr>
        <w:footnoteReference w:id="25"/>
      </w:r>
      <w:r w:rsidRPr="00C23FEA">
        <w:t xml:space="preserve"> in </w:t>
      </w:r>
      <w:proofErr w:type="spellStart"/>
      <w:r w:rsidRPr="00C23FEA">
        <w:t>nmCRPC</w:t>
      </w:r>
      <w:proofErr w:type="spellEnd"/>
      <w:r w:rsidRPr="00C23FEA">
        <w:t xml:space="preserve">, bone fractures occurred in 5.5% of patients receiving </w:t>
      </w:r>
      <w:proofErr w:type="spellStart"/>
      <w:r w:rsidRPr="00C23FEA">
        <w:t>darolutamide</w:t>
      </w:r>
      <w:proofErr w:type="spellEnd"/>
      <w:r w:rsidRPr="00C23FEA">
        <w:t xml:space="preserve"> compared with 3.6% of patients receiving placebo</w:t>
      </w:r>
      <w:r>
        <w:t>.</w:t>
      </w:r>
    </w:p>
    <w:p w14:paraId="431F38D5" w14:textId="7F5FFE69" w:rsidR="00BB7474" w:rsidRDefault="00BB7474" w:rsidP="00407F6E">
      <w:r>
        <w:t>B</w:t>
      </w:r>
      <w:r w:rsidRPr="00F06223">
        <w:t xml:space="preserve">reast disorders/gynecomastia were more commonly reported in the </w:t>
      </w:r>
      <w:proofErr w:type="spellStart"/>
      <w:r w:rsidRPr="00F06223">
        <w:t>darolutamide</w:t>
      </w:r>
      <w:proofErr w:type="spellEnd"/>
      <w:r w:rsidR="007F3547">
        <w:t xml:space="preserve"> </w:t>
      </w:r>
      <w:r w:rsidRPr="00F06223">
        <w:t>+</w:t>
      </w:r>
      <w:r w:rsidR="007F3547">
        <w:t xml:space="preserve"> </w:t>
      </w:r>
      <w:r w:rsidRPr="00F06223">
        <w:t>docetaxel arm than in the placebo</w:t>
      </w:r>
      <w:r w:rsidR="007F3547">
        <w:t xml:space="preserve"> </w:t>
      </w:r>
      <w:r w:rsidRPr="00F06223">
        <w:t>+</w:t>
      </w:r>
      <w:r w:rsidR="007F3547">
        <w:t xml:space="preserve"> </w:t>
      </w:r>
      <w:r w:rsidRPr="00F06223">
        <w:t>docetaxel arm (3.2% vs. 1.5%, respectively).</w:t>
      </w:r>
      <w:r>
        <w:t xml:space="preserve"> As these were G1 or 2 events and there were no changes to the dosing or treatment regimens, it is not considered to have a meaningful impact on the safety profile.</w:t>
      </w:r>
    </w:p>
    <w:p w14:paraId="25863522" w14:textId="58523D32" w:rsidR="00BB7474" w:rsidRDefault="00BB7474" w:rsidP="00407F6E">
      <w:r w:rsidRPr="00276413">
        <w:t>There was a</w:t>
      </w:r>
      <w:r>
        <w:t xml:space="preserve">n </w:t>
      </w:r>
      <w:r w:rsidRPr="00276413">
        <w:t xml:space="preserve">increased incidence of mental impairment disorders in the </w:t>
      </w:r>
      <w:proofErr w:type="spellStart"/>
      <w:r w:rsidRPr="00276413">
        <w:t>darolutamide</w:t>
      </w:r>
      <w:proofErr w:type="spellEnd"/>
      <w:r w:rsidRPr="00276413">
        <w:t xml:space="preserve"> arm compared with the control arm, although the EAIR was similar.</w:t>
      </w:r>
      <w:r w:rsidRPr="00EB1611">
        <w:t xml:space="preserve"> At the PT level, the </w:t>
      </w:r>
      <w:proofErr w:type="gramStart"/>
      <w:r w:rsidRPr="00EB1611">
        <w:t>most commonly reported</w:t>
      </w:r>
      <w:proofErr w:type="gramEnd"/>
      <w:r w:rsidRPr="00EB1611">
        <w:t xml:space="preserve"> TEAE within this group was memory impairment (1.2% vs. 0.9%), followed by cognitive disorder (0.9% vs. 0.5%) and disturbance in attention (0.8% vs. 0.5%) in both the </w:t>
      </w:r>
      <w:proofErr w:type="spellStart"/>
      <w:r w:rsidRPr="00EB1611">
        <w:t>darolutamide</w:t>
      </w:r>
      <w:proofErr w:type="spellEnd"/>
      <w:r w:rsidR="00E8443D">
        <w:t xml:space="preserve"> </w:t>
      </w:r>
      <w:r w:rsidRPr="00EB1611">
        <w:t>+</w:t>
      </w:r>
      <w:r w:rsidR="00E8443D">
        <w:t xml:space="preserve"> </w:t>
      </w:r>
      <w:r w:rsidRPr="00EB1611">
        <w:t>docetaxel arm and the placebo</w:t>
      </w:r>
      <w:r w:rsidR="00E8443D">
        <w:t xml:space="preserve"> </w:t>
      </w:r>
      <w:r w:rsidRPr="00EB1611">
        <w:t>+</w:t>
      </w:r>
      <w:r w:rsidR="00E8443D">
        <w:t xml:space="preserve"> </w:t>
      </w:r>
      <w:r w:rsidRPr="00EB1611">
        <w:t>docetaxel arm, respectively.</w:t>
      </w:r>
    </w:p>
    <w:p w14:paraId="2D53FB06" w14:textId="58560EB1" w:rsidR="00BB7474" w:rsidRDefault="00BB7474" w:rsidP="00407F6E">
      <w:r>
        <w:t xml:space="preserve">There also appeared to be a higher incidence of cerebral and intracranial haemorrhage </w:t>
      </w:r>
      <w:r w:rsidRPr="003D4684">
        <w:t xml:space="preserve">(0.9%) in the </w:t>
      </w:r>
      <w:proofErr w:type="spellStart"/>
      <w:r w:rsidRPr="003D4684">
        <w:t>darolutamide</w:t>
      </w:r>
      <w:proofErr w:type="spellEnd"/>
      <w:r>
        <w:t xml:space="preserve"> </w:t>
      </w:r>
      <w:r w:rsidRPr="003D4684">
        <w:t>+</w:t>
      </w:r>
      <w:r>
        <w:t xml:space="preserve"> </w:t>
      </w:r>
      <w:r w:rsidRPr="003D4684">
        <w:t xml:space="preserve">docetaxel arm </w:t>
      </w:r>
      <w:r>
        <w:t>compared to</w:t>
      </w:r>
      <w:r w:rsidRPr="003D4684">
        <w:t xml:space="preserve"> the placebo</w:t>
      </w:r>
      <w:r w:rsidR="00E8443D">
        <w:t xml:space="preserve"> </w:t>
      </w:r>
      <w:r w:rsidRPr="003D4684">
        <w:t>+</w:t>
      </w:r>
      <w:r w:rsidR="00E8443D">
        <w:t xml:space="preserve"> </w:t>
      </w:r>
      <w:r w:rsidRPr="003D4684">
        <w:t>docetaxel arm</w:t>
      </w:r>
      <w:r>
        <w:t xml:space="preserve"> </w:t>
      </w:r>
      <w:r w:rsidRPr="003D4684">
        <w:t>(0.2%)</w:t>
      </w:r>
      <w:r>
        <w:t>.</w:t>
      </w:r>
      <w:r w:rsidRPr="006C19E6">
        <w:t xml:space="preserve"> All 6 reports of cerebrovascular </w:t>
      </w:r>
      <w:proofErr w:type="gramStart"/>
      <w:r w:rsidRPr="006C19E6">
        <w:t>accident  in</w:t>
      </w:r>
      <w:proofErr w:type="gramEnd"/>
      <w:r w:rsidRPr="006C19E6">
        <w:t xml:space="preserve"> the </w:t>
      </w:r>
      <w:r>
        <w:t xml:space="preserve">study </w:t>
      </w:r>
      <w:r w:rsidRPr="006C19E6">
        <w:t xml:space="preserve"> arm </w:t>
      </w:r>
      <w:r>
        <w:t xml:space="preserve">had potentially confounding </w:t>
      </w:r>
      <w:r w:rsidRPr="006C19E6">
        <w:t xml:space="preserve"> preceding surgery, trauma, and underlying comorbidities.</w:t>
      </w:r>
    </w:p>
    <w:p w14:paraId="51F170D9" w14:textId="721ADEA2" w:rsidR="00BB7474" w:rsidRDefault="00BB7474" w:rsidP="00407F6E">
      <w:r w:rsidRPr="006C19E6">
        <w:t xml:space="preserve">During the study, seizure was reported in 4 patients (0.6%) in the </w:t>
      </w:r>
      <w:proofErr w:type="spellStart"/>
      <w:r w:rsidRPr="006C19E6">
        <w:t>darolutamide</w:t>
      </w:r>
      <w:proofErr w:type="spellEnd"/>
      <w:r w:rsidR="00E8443D">
        <w:t xml:space="preserve"> </w:t>
      </w:r>
      <w:r w:rsidRPr="006C19E6">
        <w:t>+</w:t>
      </w:r>
      <w:r w:rsidR="00E8443D">
        <w:t xml:space="preserve"> </w:t>
      </w:r>
      <w:r w:rsidRPr="006C19E6">
        <w:t>docetaxel arm and in 1 patient (0.2%) in the placebo</w:t>
      </w:r>
      <w:r w:rsidR="00E8443D">
        <w:t xml:space="preserve"> </w:t>
      </w:r>
      <w:r w:rsidRPr="006C19E6">
        <w:t>+</w:t>
      </w:r>
      <w:r w:rsidR="00E8443D">
        <w:t xml:space="preserve"> </w:t>
      </w:r>
      <w:r w:rsidRPr="006C19E6">
        <w:t xml:space="preserve">docetaxel arm. At the PT level, the events were seizure (3 patients) and focal dyscognitive seizures (1 patient) in the </w:t>
      </w:r>
      <w:proofErr w:type="spellStart"/>
      <w:r w:rsidR="00E8443D" w:rsidRPr="006C19E6">
        <w:t>darolutamide</w:t>
      </w:r>
      <w:proofErr w:type="spellEnd"/>
      <w:r w:rsidR="00E8443D">
        <w:t xml:space="preserve"> </w:t>
      </w:r>
      <w:r w:rsidRPr="006C19E6">
        <w:t>+</w:t>
      </w:r>
      <w:r w:rsidR="00E8443D">
        <w:t xml:space="preserve"> </w:t>
      </w:r>
      <w:r w:rsidRPr="006C19E6">
        <w:t>docetaxel arm, and epilepsy (1 patient) in the placebo</w:t>
      </w:r>
      <w:r w:rsidR="00E8443D">
        <w:t xml:space="preserve"> </w:t>
      </w:r>
      <w:r w:rsidRPr="006C19E6">
        <w:t>+</w:t>
      </w:r>
      <w:r w:rsidR="00E8443D">
        <w:t xml:space="preserve"> </w:t>
      </w:r>
      <w:r w:rsidRPr="006C19E6">
        <w:t xml:space="preserve">docetaxel arm All seizure events were of Grade 1 (0.2% vs. 0%) or Grade 2 (0.5% vs. 0.2%) in the </w:t>
      </w:r>
      <w:proofErr w:type="spellStart"/>
      <w:r w:rsidRPr="006C19E6">
        <w:t>darolutamide</w:t>
      </w:r>
      <w:proofErr w:type="spellEnd"/>
      <w:r w:rsidR="00E8443D">
        <w:t xml:space="preserve"> </w:t>
      </w:r>
      <w:r w:rsidRPr="006C19E6">
        <w:t>+</w:t>
      </w:r>
      <w:r w:rsidR="00E8443D">
        <w:t xml:space="preserve"> </w:t>
      </w:r>
      <w:r w:rsidRPr="006C19E6">
        <w:t>docetaxel arm and the placebo</w:t>
      </w:r>
      <w:r w:rsidR="00E8443D">
        <w:t xml:space="preserve"> </w:t>
      </w:r>
      <w:r w:rsidRPr="006C19E6">
        <w:t>+</w:t>
      </w:r>
      <w:r w:rsidR="00E8443D">
        <w:t xml:space="preserve"> </w:t>
      </w:r>
      <w:r w:rsidRPr="006C19E6">
        <w:t>docetaxel arm, respectively.</w:t>
      </w:r>
    </w:p>
    <w:p w14:paraId="59A043B9" w14:textId="48298B86" w:rsidR="00BB7474" w:rsidRDefault="00BB7474" w:rsidP="00407F6E">
      <w:r>
        <w:t>Darolutamide in combination with docetaxel and ADT contributed to an increased incidence of</w:t>
      </w:r>
      <w:r w:rsidR="00407F6E">
        <w:t xml:space="preserve"> </w:t>
      </w:r>
      <w:r>
        <w:t xml:space="preserve">rash and hypertension. </w:t>
      </w:r>
    </w:p>
    <w:p w14:paraId="2E6AA331" w14:textId="07EFA19C" w:rsidR="00BB7474" w:rsidRDefault="00BB7474" w:rsidP="00407F6E">
      <w:r w:rsidRPr="00A7436C">
        <w:t xml:space="preserve">Treatment-emergent events of rash were reported with a higher incidence in the </w:t>
      </w:r>
      <w:proofErr w:type="spellStart"/>
      <w:r w:rsidR="00562B10">
        <w:t>darolutamide</w:t>
      </w:r>
      <w:proofErr w:type="spellEnd"/>
      <w:r w:rsidR="00562B10">
        <w:t xml:space="preserve"> + docetaxel</w:t>
      </w:r>
      <w:r w:rsidRPr="00A7436C">
        <w:t xml:space="preserve"> arm compared with the </w:t>
      </w:r>
      <w:r w:rsidR="00562B10">
        <w:t>placebo + docetaxel</w:t>
      </w:r>
      <w:r w:rsidRPr="00A7436C">
        <w:t xml:space="preserve"> arm (16.6% vs. 13.5%, respectively). </w:t>
      </w:r>
      <w:proofErr w:type="gramStart"/>
      <w:r>
        <w:t>The</w:t>
      </w:r>
      <w:r w:rsidRPr="00A7436C">
        <w:t xml:space="preserve"> majority of</w:t>
      </w:r>
      <w:proofErr w:type="gramEnd"/>
      <w:r w:rsidRPr="00A7436C">
        <w:t xml:space="preserve"> events were grade 1 and 2</w:t>
      </w:r>
      <w:r>
        <w:t xml:space="preserve"> but </w:t>
      </w:r>
      <w:r w:rsidRPr="00A7436C">
        <w:t xml:space="preserve">there was a higher incidence of grade 3 events in the </w:t>
      </w:r>
      <w:proofErr w:type="spellStart"/>
      <w:r w:rsidRPr="00A7436C">
        <w:t>darolutamide</w:t>
      </w:r>
      <w:proofErr w:type="spellEnd"/>
      <w:r w:rsidRPr="00A7436C">
        <w:t xml:space="preserve"> arm (1.2%) than in the control arm (0.2%), a higher incidence of permanent discontinuation and dose reduction in the </w:t>
      </w:r>
      <w:proofErr w:type="spellStart"/>
      <w:r w:rsidRPr="00A7436C">
        <w:t>darolutamide</w:t>
      </w:r>
      <w:proofErr w:type="spellEnd"/>
      <w:r w:rsidRPr="00A7436C">
        <w:t xml:space="preserve"> arm, and a report of a grade 4 event (drug eruption) in the </w:t>
      </w:r>
      <w:proofErr w:type="spellStart"/>
      <w:r w:rsidRPr="00A7436C">
        <w:t>darolutamide</w:t>
      </w:r>
      <w:proofErr w:type="spellEnd"/>
      <w:r w:rsidRPr="00A7436C">
        <w:t xml:space="preserve"> arm but not in the control arm.</w:t>
      </w:r>
    </w:p>
    <w:p w14:paraId="3A05EAEC" w14:textId="60AC454B" w:rsidR="00BB7474" w:rsidRDefault="00BB7474" w:rsidP="00407F6E">
      <w:r>
        <w:t>H</w:t>
      </w:r>
      <w:r w:rsidRPr="003C5BEF">
        <w:t>ypertension w</w:t>
      </w:r>
      <w:r>
        <w:t>as</w:t>
      </w:r>
      <w:r w:rsidRPr="003C5BEF">
        <w:t xml:space="preserve"> more commonly reported in the </w:t>
      </w:r>
      <w:proofErr w:type="spellStart"/>
      <w:r w:rsidR="00562B10">
        <w:t>darolutamide</w:t>
      </w:r>
      <w:proofErr w:type="spellEnd"/>
      <w:r w:rsidR="00562B10">
        <w:t xml:space="preserve"> + docetaxel</w:t>
      </w:r>
      <w:r w:rsidRPr="003C5BEF">
        <w:t xml:space="preserve"> arm than in the </w:t>
      </w:r>
      <w:r w:rsidR="00562B10">
        <w:t>placebo + docetaxel</w:t>
      </w:r>
      <w:r w:rsidRPr="003C5BEF">
        <w:t xml:space="preserve"> arm 13.8% vs. 9.4%, respectively</w:t>
      </w:r>
      <w:r>
        <w:t xml:space="preserve">. </w:t>
      </w:r>
      <w:r w:rsidRPr="003C5BEF">
        <w:t xml:space="preserve">The incidence of Grade 3 events was higher in the </w:t>
      </w:r>
      <w:proofErr w:type="spellStart"/>
      <w:r w:rsidR="00562B10">
        <w:t>darolutamide</w:t>
      </w:r>
      <w:proofErr w:type="spellEnd"/>
      <w:r w:rsidR="00562B10">
        <w:t xml:space="preserve"> + docetaxel</w:t>
      </w:r>
      <w:r w:rsidRPr="003C5BEF">
        <w:t xml:space="preserve"> arm</w:t>
      </w:r>
      <w:r>
        <w:t xml:space="preserve"> as illustrated below in Table </w:t>
      </w:r>
      <w:r w:rsidR="00DE693B">
        <w:t>20</w:t>
      </w:r>
      <w:r>
        <w:t>.</w:t>
      </w:r>
    </w:p>
    <w:p w14:paraId="26880A74" w14:textId="702CE8BA" w:rsidR="00BB7474" w:rsidRPr="00246203" w:rsidRDefault="00BB7474" w:rsidP="00562B10">
      <w:pPr>
        <w:pStyle w:val="TableTitle"/>
      </w:pPr>
      <w:r w:rsidRPr="00246203">
        <w:t xml:space="preserve">Table </w:t>
      </w:r>
      <w:r w:rsidR="00DE693B">
        <w:t>20</w:t>
      </w:r>
      <w:r w:rsidR="00562B10">
        <w:t>.</w:t>
      </w:r>
      <w:r w:rsidRPr="00246203">
        <w:t xml:space="preserve"> Incidence of TEAEs hypertension (MLG) by present history of hypertension (MLG) and worst CTCAE grade (SAF)</w:t>
      </w:r>
    </w:p>
    <w:p w14:paraId="1804F927" w14:textId="77777777" w:rsidR="00BB7474" w:rsidRDefault="00BB7474" w:rsidP="00BB7474">
      <w:pPr>
        <w:spacing w:after="0"/>
      </w:pPr>
      <w:r w:rsidRPr="003C5BEF">
        <w:rPr>
          <w:noProof/>
        </w:rPr>
        <w:drawing>
          <wp:inline distT="0" distB="0" distL="0" distR="0" wp14:anchorId="3666ED46" wp14:editId="579312AB">
            <wp:extent cx="5674312" cy="2569029"/>
            <wp:effectExtent l="0" t="0" r="3175" b="3175"/>
            <wp:docPr id="34" name="Picture 34" descr="A table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table with numbers and text&#10;&#10;Description automatically generated"/>
                    <pic:cNvPicPr/>
                  </pic:nvPicPr>
                  <pic:blipFill>
                    <a:blip r:embed="rId62"/>
                    <a:stretch>
                      <a:fillRect/>
                    </a:stretch>
                  </pic:blipFill>
                  <pic:spPr>
                    <a:xfrm>
                      <a:off x="0" y="0"/>
                      <a:ext cx="5697972" cy="2579741"/>
                    </a:xfrm>
                    <a:prstGeom prst="rect">
                      <a:avLst/>
                    </a:prstGeom>
                  </pic:spPr>
                </pic:pic>
              </a:graphicData>
            </a:graphic>
          </wp:inline>
        </w:drawing>
      </w:r>
    </w:p>
    <w:p w14:paraId="3CA10F8D" w14:textId="32A19210" w:rsidR="00BB7474" w:rsidRPr="00330A03" w:rsidRDefault="00BB7474" w:rsidP="00407F6E">
      <w:pPr>
        <w:pStyle w:val="Heading5"/>
      </w:pPr>
      <w:r w:rsidRPr="00330A03">
        <w:t>Deaths</w:t>
      </w:r>
    </w:p>
    <w:p w14:paraId="347B64AB" w14:textId="48AE844B" w:rsidR="00BB7474" w:rsidRDefault="00BB7474" w:rsidP="00407F6E">
      <w:r>
        <w:t xml:space="preserve">A total of 229 patients (35.1%) in the </w:t>
      </w:r>
      <w:proofErr w:type="spellStart"/>
      <w:r w:rsidR="00562B10">
        <w:t>darolutamide</w:t>
      </w:r>
      <w:proofErr w:type="spellEnd"/>
      <w:r w:rsidR="00562B10">
        <w:t xml:space="preserve"> + docetaxel</w:t>
      </w:r>
      <w:r>
        <w:t xml:space="preserve"> arm and 304 patients (46.8%) in</w:t>
      </w:r>
      <w:r w:rsidR="00562B10">
        <w:t xml:space="preserve"> </w:t>
      </w:r>
      <w:r>
        <w:t xml:space="preserve">the </w:t>
      </w:r>
      <w:r w:rsidR="00562B10">
        <w:t>placebo + docetaxel</w:t>
      </w:r>
      <w:r>
        <w:t xml:space="preserve"> arm had died as of the database cut-off date. The most common cause of</w:t>
      </w:r>
      <w:r w:rsidR="00562B10">
        <w:t xml:space="preserve"> </w:t>
      </w:r>
      <w:r>
        <w:t xml:space="preserve">death was progressive disease in both the </w:t>
      </w:r>
      <w:proofErr w:type="spellStart"/>
      <w:r w:rsidR="00562B10">
        <w:t>darolutamide</w:t>
      </w:r>
      <w:proofErr w:type="spellEnd"/>
      <w:r w:rsidR="00562B10">
        <w:t xml:space="preserve"> + docetaxel</w:t>
      </w:r>
      <w:r>
        <w:t xml:space="preserve"> arm (26.1% of patients) and</w:t>
      </w:r>
      <w:r w:rsidR="00562B10">
        <w:t xml:space="preserve"> </w:t>
      </w:r>
      <w:r>
        <w:t xml:space="preserve">the </w:t>
      </w:r>
      <w:r w:rsidR="00562B10">
        <w:t>placebo + docetaxel</w:t>
      </w:r>
      <w:r>
        <w:t xml:space="preserve"> arm (36.0% of patients). An overview of the deaths is sown in Table </w:t>
      </w:r>
      <w:r w:rsidR="00DE693B">
        <w:t>21</w:t>
      </w:r>
      <w:r>
        <w:t>.</w:t>
      </w:r>
    </w:p>
    <w:p w14:paraId="18C5BD4F" w14:textId="05E39EF6" w:rsidR="00BB7474" w:rsidRPr="00E467D9" w:rsidRDefault="00BB7474" w:rsidP="00562B10">
      <w:pPr>
        <w:pStyle w:val="TableTitle"/>
      </w:pPr>
      <w:r w:rsidRPr="00E467D9">
        <w:t xml:space="preserve">Table </w:t>
      </w:r>
      <w:r w:rsidR="00DE693B">
        <w:t>21</w:t>
      </w:r>
      <w:r w:rsidRPr="00E467D9">
        <w:t>: overview of deaths in study 17777.</w:t>
      </w:r>
    </w:p>
    <w:p w14:paraId="0AB1521C" w14:textId="77777777" w:rsidR="00BB7474" w:rsidRPr="006E0268" w:rsidRDefault="00BB7474" w:rsidP="00BB7474">
      <w:pPr>
        <w:kinsoku w:val="0"/>
        <w:overflowPunct w:val="0"/>
        <w:autoSpaceDE w:val="0"/>
        <w:autoSpaceDN w:val="0"/>
        <w:adjustRightInd w:val="0"/>
        <w:spacing w:after="0" w:line="20" w:lineRule="exact"/>
        <w:ind w:left="100"/>
        <w:rPr>
          <w:rFonts w:ascii="Times New Roman" w:hAnsi="Times New Roman"/>
          <w:sz w:val="2"/>
          <w:szCs w:val="2"/>
        </w:rPr>
      </w:pPr>
    </w:p>
    <w:p w14:paraId="4FA7AC0D" w14:textId="77777777" w:rsidR="00BB7474" w:rsidRDefault="00BB7474" w:rsidP="00BB7474">
      <w:r w:rsidRPr="007E4945">
        <w:rPr>
          <w:noProof/>
        </w:rPr>
        <w:drawing>
          <wp:inline distT="0" distB="0" distL="0" distR="0" wp14:anchorId="6CE67F89" wp14:editId="563DF9FD">
            <wp:extent cx="5716991" cy="3483429"/>
            <wp:effectExtent l="0" t="0" r="0" b="31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726390" cy="3489156"/>
                    </a:xfrm>
                    <a:prstGeom prst="rect">
                      <a:avLst/>
                    </a:prstGeom>
                  </pic:spPr>
                </pic:pic>
              </a:graphicData>
            </a:graphic>
          </wp:inline>
        </w:drawing>
      </w:r>
    </w:p>
    <w:p w14:paraId="6E804B2F" w14:textId="06C4D392" w:rsidR="00BB7474" w:rsidRDefault="00BB7474" w:rsidP="001B27E2">
      <w:r>
        <w:t xml:space="preserve">As shown in Table </w:t>
      </w:r>
      <w:r w:rsidR="00A54C67">
        <w:t>22</w:t>
      </w:r>
      <w:r>
        <w:t xml:space="preserve"> below, the incidences of reported Grade 5 TEAES events appeared similar in both arms: 27 patients (4.1%) in the </w:t>
      </w:r>
      <w:proofErr w:type="spellStart"/>
      <w:r>
        <w:t>darolutamide</w:t>
      </w:r>
      <w:proofErr w:type="spellEnd"/>
      <w:r>
        <w:t xml:space="preserve"> + docetaxel arm and 26 patients (4.0%) in the placebo + docetaxel arm.</w:t>
      </w:r>
    </w:p>
    <w:p w14:paraId="2A90583F" w14:textId="1AD0E026" w:rsidR="00BB7474" w:rsidRDefault="00BB7474" w:rsidP="001B27E2">
      <w:r>
        <w:t xml:space="preserve">Five patients (0.8%) in the </w:t>
      </w:r>
      <w:proofErr w:type="spellStart"/>
      <w:r>
        <w:t>darolutamide</w:t>
      </w:r>
      <w:proofErr w:type="spellEnd"/>
      <w:r>
        <w:t xml:space="preserve"> + docetaxel treatment arm had fatal cardiac events,</w:t>
      </w:r>
      <w:r w:rsidR="001B27E2">
        <w:t xml:space="preserve"> </w:t>
      </w:r>
      <w:r>
        <w:t>which included myocardial infarction, acute myocardial infarction, cardiac disorder, cardiac</w:t>
      </w:r>
      <w:r w:rsidR="001B27E2">
        <w:t xml:space="preserve"> </w:t>
      </w:r>
      <w:r>
        <w:t>arrest, and cardiac failure acute (reported in 1 patient each). None of these events were</w:t>
      </w:r>
      <w:r w:rsidR="001B27E2">
        <w:t xml:space="preserve"> </w:t>
      </w:r>
      <w:r>
        <w:t xml:space="preserve">assessed as related to study drug, and the </w:t>
      </w:r>
      <w:r w:rsidR="008A7024">
        <w:t>Sponsor</w:t>
      </w:r>
      <w:r>
        <w:t xml:space="preserve"> reports that these patients had underlying confounders such as advanced age, hypertension, ischemic heart disease, chronic heart failure, and arterial hypertension. One patient was reported as having a fatal heart attack due to anaesthesia. Fatal cardiac events were reported in 3 patients (0.5%) in the placebo + docetaxel arm, which included cardiac arrest in 2 patients and cardiac failure in 1 patient.</w:t>
      </w:r>
    </w:p>
    <w:p w14:paraId="1A23E48E" w14:textId="78273350" w:rsidR="00BB7474" w:rsidRDefault="00BB7474" w:rsidP="001B27E2">
      <w:r>
        <w:t xml:space="preserve">No Grade 5 TEAEs </w:t>
      </w:r>
      <w:proofErr w:type="gramStart"/>
      <w:r>
        <w:t>were considered to be</w:t>
      </w:r>
      <w:proofErr w:type="gramEnd"/>
      <w:r>
        <w:t xml:space="preserve"> study drug-related by the investigator in the </w:t>
      </w:r>
      <w:proofErr w:type="spellStart"/>
      <w:r>
        <w:t>darolutamide</w:t>
      </w:r>
      <w:proofErr w:type="spellEnd"/>
      <w:r>
        <w:t xml:space="preserve"> + docetaxel arm. Study drug-related Grade 5 TEAEs were reported in 3 patients</w:t>
      </w:r>
      <w:r w:rsidR="001B27E2">
        <w:t xml:space="preserve"> </w:t>
      </w:r>
      <w:r>
        <w:t>(0.5%) in the placebo + docetaxel arm (cardiac arrest, general physical health deterioration, and</w:t>
      </w:r>
      <w:r w:rsidR="001B27E2">
        <w:t xml:space="preserve"> </w:t>
      </w:r>
      <w:r>
        <w:t>interstitial lung disease).</w:t>
      </w:r>
    </w:p>
    <w:p w14:paraId="3FABECEB" w14:textId="7421805E" w:rsidR="00562B10" w:rsidRDefault="00BB7474" w:rsidP="001B27E2">
      <w:r>
        <w:t xml:space="preserve">The most common (in ≥2 patients) fatal TEAEs in the </w:t>
      </w:r>
      <w:proofErr w:type="spellStart"/>
      <w:r>
        <w:t>darolutamide</w:t>
      </w:r>
      <w:proofErr w:type="spellEnd"/>
      <w:r>
        <w:t xml:space="preserve"> plus docetaxel arm included</w:t>
      </w:r>
      <w:r w:rsidR="001B27E2">
        <w:t xml:space="preserve"> </w:t>
      </w:r>
      <w:r>
        <w:t>COVID-19/COVID-19 pneumonia (0.8%), myocardial infarction (0.4%), and sudden death (0.3%).</w:t>
      </w:r>
    </w:p>
    <w:p w14:paraId="77141CA7" w14:textId="3F749BB2" w:rsidR="00BB7474" w:rsidRDefault="00BB7474" w:rsidP="001B27E2">
      <w:r>
        <w:t xml:space="preserve">The </w:t>
      </w:r>
      <w:r w:rsidR="008A7024">
        <w:t>Sponsor</w:t>
      </w:r>
      <w:r>
        <w:t xml:space="preserve"> reports that most deaths occurred more than 30 days after the last dose of study drug in both treatment arms, with progressive disease being the </w:t>
      </w:r>
      <w:proofErr w:type="gramStart"/>
      <w:r>
        <w:t>most commonly reported</w:t>
      </w:r>
      <w:proofErr w:type="gramEnd"/>
      <w:r>
        <w:t xml:space="preserve"> primary cause of death.</w:t>
      </w:r>
    </w:p>
    <w:p w14:paraId="599C2682" w14:textId="69EAFFDC" w:rsidR="00BB7474" w:rsidRDefault="00C67E06" w:rsidP="001B27E2">
      <w:r>
        <w:t>Overall,</w:t>
      </w:r>
      <w:r w:rsidR="00BB7474">
        <w:t xml:space="preserve"> the incidence of deaths due to a TEAE appeared similar between the arms.</w:t>
      </w:r>
    </w:p>
    <w:p w14:paraId="3C229448" w14:textId="2EB0E730" w:rsidR="00BB7474" w:rsidRDefault="00BB7474" w:rsidP="00DF217E">
      <w:pPr>
        <w:pStyle w:val="TableTitle"/>
      </w:pPr>
      <w:r w:rsidRPr="00FC5568">
        <w:t xml:space="preserve">Table </w:t>
      </w:r>
      <w:r w:rsidR="00A54C67">
        <w:t>22</w:t>
      </w:r>
      <w:r w:rsidR="00DF217E">
        <w:t>.</w:t>
      </w:r>
      <w:r w:rsidRPr="00FC5568">
        <w:t xml:space="preserve"> Incidence of all Grade 5 TEAEs by MedDRA PT in Study 17777 (SAF)</w:t>
      </w:r>
    </w:p>
    <w:p w14:paraId="159F6048" w14:textId="77777777" w:rsidR="00BB7474" w:rsidRPr="00FC5568" w:rsidRDefault="00BB7474" w:rsidP="00BB7474">
      <w:pPr>
        <w:rPr>
          <w:u w:val="single"/>
        </w:rPr>
      </w:pPr>
      <w:r w:rsidRPr="00A50A77">
        <w:rPr>
          <w:noProof/>
          <w:u w:val="single"/>
        </w:rPr>
        <w:drawing>
          <wp:inline distT="0" distB="0" distL="0" distR="0" wp14:anchorId="59A35831" wp14:editId="75FEB8C5">
            <wp:extent cx="5742536" cy="6618514"/>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767652" cy="6647461"/>
                    </a:xfrm>
                    <a:prstGeom prst="rect">
                      <a:avLst/>
                    </a:prstGeom>
                  </pic:spPr>
                </pic:pic>
              </a:graphicData>
            </a:graphic>
          </wp:inline>
        </w:drawing>
      </w:r>
    </w:p>
    <w:p w14:paraId="15E2CEB6" w14:textId="1AA58819" w:rsidR="00BB7474" w:rsidRPr="00A02D8B" w:rsidRDefault="001607DA" w:rsidP="002E16E5">
      <w:pPr>
        <w:pStyle w:val="Heading2"/>
      </w:pPr>
      <w:bookmarkStart w:id="36" w:name="_Toc179287294"/>
      <w:r>
        <w:t>Risk/benefit analysis</w:t>
      </w:r>
      <w:bookmarkEnd w:id="36"/>
    </w:p>
    <w:p w14:paraId="3920DB35" w14:textId="62E8A7C4" w:rsidR="00BB7474" w:rsidRPr="00046AD5" w:rsidRDefault="00BB7474" w:rsidP="001B27E2">
      <w:r w:rsidRPr="00046AD5">
        <w:t xml:space="preserve">The study met its primary objective, with an improvement in OS with HR 0.675 [0.568; 0.801] which was statistically significant with p &lt;0.0001, in patients treated with </w:t>
      </w:r>
      <w:proofErr w:type="spellStart"/>
      <w:r w:rsidRPr="00046AD5">
        <w:t>darolutamide</w:t>
      </w:r>
      <w:proofErr w:type="spellEnd"/>
      <w:r w:rsidRPr="00046AD5">
        <w:t xml:space="preserve"> in combination with docetaxel compared with placebo in combination with docetaxel. </w:t>
      </w:r>
      <w:r>
        <w:t xml:space="preserve">Of note, </w:t>
      </w:r>
      <w:r w:rsidRPr="001F3465">
        <w:t>a higher percentage of patients receiv</w:t>
      </w:r>
      <w:r>
        <w:t>ed</w:t>
      </w:r>
      <w:r w:rsidRPr="001F3465">
        <w:t xml:space="preserve"> subsequent life prolonging antineoplastic therapy after discontinuation of study treatment in the </w:t>
      </w:r>
      <w:r w:rsidR="00562B10">
        <w:t>placebo + docetaxel</w:t>
      </w:r>
      <w:r w:rsidRPr="001F3465">
        <w:t xml:space="preserve"> arm</w:t>
      </w:r>
      <w:r>
        <w:t>.</w:t>
      </w:r>
    </w:p>
    <w:p w14:paraId="3C8657D8" w14:textId="2A68F722" w:rsidR="00BB7474" w:rsidRDefault="00BB7474" w:rsidP="001B27E2">
      <w:r w:rsidRPr="00046AD5">
        <w:t xml:space="preserve">The median OS was not reached in the </w:t>
      </w:r>
      <w:proofErr w:type="spellStart"/>
      <w:r w:rsidR="00562B10">
        <w:t>darolutamide</w:t>
      </w:r>
      <w:proofErr w:type="spellEnd"/>
      <w:r w:rsidR="00562B10">
        <w:t xml:space="preserve"> + docetaxel</w:t>
      </w:r>
      <w:r w:rsidRPr="00046AD5">
        <w:t xml:space="preserve"> arm (95% CI: [A; A]) and was 48.9 months in the </w:t>
      </w:r>
      <w:r w:rsidR="00562B10">
        <w:t>placebo + docetaxel</w:t>
      </w:r>
      <w:r w:rsidRPr="00046AD5">
        <w:t xml:space="preserve"> arm</w:t>
      </w:r>
      <w:r w:rsidR="00DF217E">
        <w:t xml:space="preserve"> </w:t>
      </w:r>
      <w:r w:rsidRPr="00046AD5">
        <w:t>(95% CI: [44.4; A]).</w:t>
      </w:r>
    </w:p>
    <w:p w14:paraId="08E4E046" w14:textId="77777777" w:rsidR="00BB7474" w:rsidRDefault="00BB7474" w:rsidP="001B27E2">
      <w:r>
        <w:t>D</w:t>
      </w:r>
      <w:r w:rsidRPr="00EE4FFF">
        <w:t xml:space="preserve">eath events were reported in 35.2% of patients in the </w:t>
      </w:r>
      <w:proofErr w:type="spellStart"/>
      <w:r w:rsidRPr="00EE4FFF">
        <w:t>darolutamide</w:t>
      </w:r>
      <w:proofErr w:type="spellEnd"/>
      <w:r w:rsidRPr="00EE4FFF">
        <w:t xml:space="preserve"> arm and 46.5% of patients in the control arm </w:t>
      </w:r>
      <w:r>
        <w:t>a</w:t>
      </w:r>
      <w:r w:rsidRPr="00EE4FFF">
        <w:t xml:space="preserve">t </w:t>
      </w:r>
      <w:r>
        <w:t xml:space="preserve">the </w:t>
      </w:r>
      <w:r w:rsidRPr="00EE4FFF">
        <w:t xml:space="preserve">primary efficacy analysis. </w:t>
      </w:r>
      <w:r>
        <w:t>The s</w:t>
      </w:r>
      <w:r w:rsidRPr="00EE4FFF">
        <w:t xml:space="preserve">urvival curves separated at approximately 6 months, and survival rates at 12, 24, 36, and 48 months were consistently higher in the </w:t>
      </w:r>
      <w:proofErr w:type="spellStart"/>
      <w:r w:rsidRPr="00EE4FFF">
        <w:t>darolutamide</w:t>
      </w:r>
      <w:proofErr w:type="spellEnd"/>
      <w:r w:rsidRPr="00EE4FFF">
        <w:t xml:space="preserve"> arm than in the control arm.</w:t>
      </w:r>
    </w:p>
    <w:p w14:paraId="4F7C98FF" w14:textId="77777777" w:rsidR="00BB7474" w:rsidRDefault="00BB7474" w:rsidP="001B27E2">
      <w:r>
        <w:t xml:space="preserve">Subgroup analysis of the OS showed generally consistent results among the pre-specified subgroups. The number of patients in the non-regional LN metastases group was small and the confidence interval was wide </w:t>
      </w:r>
      <w:r w:rsidRPr="008119B3">
        <w:t>(HR=0.651; 95% CI: 0.188, 2.249)</w:t>
      </w:r>
      <w:r>
        <w:t xml:space="preserve"> with a resultant uncertainty as to the result in this group.</w:t>
      </w:r>
      <w:r w:rsidRPr="00FF604A">
        <w:t xml:space="preserve"> There are some subgroups that appeared to have less benefit e.g. 65-74 years, Asians, visceral metastases, Asia-Pacific but the reasons are unclear and likely to be multifactorial.</w:t>
      </w:r>
    </w:p>
    <w:p w14:paraId="7A0657FC" w14:textId="77777777" w:rsidR="00BB7474" w:rsidRDefault="00BB7474" w:rsidP="001B27E2">
      <w:r>
        <w:t>With respect to the seven secondary endpoints which were formally tested: the first five tested were statistically significant but the 6</w:t>
      </w:r>
      <w:r w:rsidRPr="00224C2E">
        <w:rPr>
          <w:vertAlign w:val="superscript"/>
        </w:rPr>
        <w:t>th</w:t>
      </w:r>
      <w:r>
        <w:t xml:space="preserve"> (time to worsening of disease related symptoms) was not and the 7</w:t>
      </w:r>
      <w:r w:rsidRPr="00224C2E">
        <w:rPr>
          <w:vertAlign w:val="superscript"/>
        </w:rPr>
        <w:t>th</w:t>
      </w:r>
      <w:r>
        <w:t xml:space="preserve"> endpoint (</w:t>
      </w:r>
      <w:r w:rsidRPr="00224C2E">
        <w:t>time to initiation of opioid use for ≥7 consecutive days</w:t>
      </w:r>
      <w:r>
        <w:t>) was not tested.</w:t>
      </w:r>
      <w:r w:rsidRPr="005A7902">
        <w:t xml:space="preserve"> </w:t>
      </w:r>
      <w:r>
        <w:t xml:space="preserve">These </w:t>
      </w:r>
      <w:r w:rsidRPr="005A7902">
        <w:t xml:space="preserve">were tested with a hierarchical </w:t>
      </w:r>
      <w:r>
        <w:t>approach</w:t>
      </w:r>
      <w:r w:rsidRPr="005A7902">
        <w:t xml:space="preserve"> (if the prior endpoint in the hierarchy was significant, then the next endpoint in the order was tested for significance).</w:t>
      </w:r>
      <w:r>
        <w:t xml:space="preserve"> </w:t>
      </w:r>
      <w:r w:rsidRPr="00EC7E3E">
        <w:t>Planned sensitivity analyses were consistent with the primary analyses for these secondary endpoints.</w:t>
      </w:r>
    </w:p>
    <w:p w14:paraId="683B261A" w14:textId="7B1159EA" w:rsidR="00BB7474" w:rsidRDefault="00BB7474" w:rsidP="001B27E2">
      <w:r w:rsidRPr="00470287">
        <w:t xml:space="preserve">The secondary endpoints </w:t>
      </w:r>
      <w:bookmarkStart w:id="37" w:name="_Hlk126244414"/>
      <w:r w:rsidRPr="00470287">
        <w:t xml:space="preserve">of time to castration-resistant prostate cancer, time to pain progression, </w:t>
      </w:r>
      <w:r w:rsidR="00BE2D28">
        <w:t>SSE</w:t>
      </w:r>
      <w:r w:rsidRPr="00470287">
        <w:t xml:space="preserve">-free survival, time to first </w:t>
      </w:r>
      <w:r w:rsidR="00BE2D28">
        <w:t>SSE</w:t>
      </w:r>
      <w:r w:rsidRPr="00470287">
        <w:t xml:space="preserve">, and time to initiation of subsequent systemic antineoplastic therapy </w:t>
      </w:r>
      <w:bookmarkEnd w:id="37"/>
      <w:r w:rsidRPr="00470287">
        <w:t xml:space="preserve">showed a statistically significant </w:t>
      </w:r>
      <w:r>
        <w:t>benefit</w:t>
      </w:r>
      <w:r w:rsidRPr="00470287">
        <w:t xml:space="preserve"> for </w:t>
      </w:r>
      <w:r>
        <w:t>the study arm</w:t>
      </w:r>
      <w:r w:rsidRPr="00470287">
        <w:t xml:space="preserve"> compared with </w:t>
      </w:r>
      <w:r>
        <w:t xml:space="preserve">the </w:t>
      </w:r>
      <w:r w:rsidRPr="00470287">
        <w:t xml:space="preserve">placebo </w:t>
      </w:r>
      <w:r>
        <w:t>arm. However, there were limitations with some these endpoints in relation to the timing of radiographic assessments, potential confounding by subsequent therapies and/or investigator subjectivity.</w:t>
      </w:r>
    </w:p>
    <w:p w14:paraId="4031AFD4" w14:textId="51BCDA7D" w:rsidR="00BB7474" w:rsidRDefault="00BB7474" w:rsidP="001B27E2">
      <w:r>
        <w:t>Regarding the secondary endpoint of time to CRPC,</w:t>
      </w:r>
      <w:r w:rsidRPr="006B45F9">
        <w:t xml:space="preserve"> 34.6% of patients in the</w:t>
      </w:r>
      <w:r>
        <w:t xml:space="preserve"> </w:t>
      </w:r>
      <w:proofErr w:type="spellStart"/>
      <w:r w:rsidRPr="006B45F9">
        <w:t>darolutamide</w:t>
      </w:r>
      <w:proofErr w:type="spellEnd"/>
      <w:r>
        <w:t xml:space="preserve"> </w:t>
      </w:r>
      <w:r w:rsidRPr="006B45F9">
        <w:t xml:space="preserve">+docetaxel arm and 59.8% of patients in the </w:t>
      </w:r>
      <w:r w:rsidR="00562B10">
        <w:t>placebo + docetaxel</w:t>
      </w:r>
      <w:r w:rsidRPr="006B45F9">
        <w:t xml:space="preserve"> arm progressed to CRPC.</w:t>
      </w:r>
      <w:r>
        <w:t xml:space="preserve"> T</w:t>
      </w:r>
      <w:r w:rsidRPr="00F83C2D">
        <w:t xml:space="preserve">reatment with </w:t>
      </w:r>
      <w:proofErr w:type="spellStart"/>
      <w:r w:rsidRPr="00F83C2D">
        <w:t>darolutamide</w:t>
      </w:r>
      <w:proofErr w:type="spellEnd"/>
      <w:r w:rsidRPr="00F83C2D">
        <w:t xml:space="preserve"> delayed the time to CRPC (HR: 0.357; 95% CI: 0.302, 0.421; p&lt;0.0001) compared to the control arm.</w:t>
      </w:r>
      <w:r>
        <w:t xml:space="preserve"> </w:t>
      </w:r>
    </w:p>
    <w:p w14:paraId="4D331F92" w14:textId="6356F34D" w:rsidR="00BB7474" w:rsidRDefault="00BB7474" w:rsidP="001B27E2">
      <w:r>
        <w:t xml:space="preserve">At the request of an Orbis partner, the </w:t>
      </w:r>
      <w:r w:rsidR="008A7024">
        <w:t>Sponsor</w:t>
      </w:r>
      <w:r>
        <w:t xml:space="preserve"> undertook a SA to exclude the </w:t>
      </w:r>
      <w:r w:rsidRPr="00687D95">
        <w:t>component PSA progression from time to CRPC. By excluding the component of PSA</w:t>
      </w:r>
      <w:r>
        <w:t xml:space="preserve"> </w:t>
      </w:r>
      <w:r w:rsidRPr="00687D95">
        <w:t>progression in this analysis, patients could still have radiological progression later in the</w:t>
      </w:r>
      <w:r>
        <w:t xml:space="preserve"> </w:t>
      </w:r>
      <w:r w:rsidRPr="00687D95">
        <w:t xml:space="preserve">trial. </w:t>
      </w:r>
      <w:r w:rsidRPr="0076785D">
        <w:t>This sensitivity analysis showed an HR of 0.463 (95% CI: [0.375; 0.572]; p&lt;0.0001.</w:t>
      </w:r>
      <w:r>
        <w:t xml:space="preserve"> </w:t>
      </w:r>
    </w:p>
    <w:p w14:paraId="1D1D7381" w14:textId="60D14E48" w:rsidR="00BB7474" w:rsidRDefault="00BB7474" w:rsidP="001B27E2">
      <w:r>
        <w:t xml:space="preserve">It is noted that the FDA did not include the following in the label: </w:t>
      </w:r>
      <w:r w:rsidRPr="00CF2ACB">
        <w:t>time to castration-resistant prostate cancer,</w:t>
      </w:r>
      <w:r w:rsidR="00BE2D28">
        <w:t xml:space="preserve"> SSE</w:t>
      </w:r>
      <w:r w:rsidRPr="00CF2ACB">
        <w:t xml:space="preserve">-free survival, time to first </w:t>
      </w:r>
      <w:r w:rsidR="00BE2D28">
        <w:t>SSE</w:t>
      </w:r>
      <w:r w:rsidRPr="00CF2ACB">
        <w:t xml:space="preserve"> and time to initiation of subsequent systemic antineoplastic therapy</w:t>
      </w:r>
      <w:r>
        <w:t>. Only OS and time to pain progression were included.</w:t>
      </w:r>
    </w:p>
    <w:p w14:paraId="1FC1D975" w14:textId="77777777" w:rsidR="00BB7474" w:rsidRDefault="00BB7474" w:rsidP="001B27E2">
      <w:r>
        <w:t xml:space="preserve">The </w:t>
      </w:r>
      <w:r w:rsidRPr="00C6683F">
        <w:t xml:space="preserve">clinical meaningfulness of PSA progression is </w:t>
      </w:r>
      <w:proofErr w:type="gramStart"/>
      <w:r w:rsidRPr="00C6683F">
        <w:t>unclear</w:t>
      </w:r>
      <w:proofErr w:type="gramEnd"/>
      <w:r>
        <w:t xml:space="preserve"> and it</w:t>
      </w:r>
      <w:r w:rsidRPr="00C6683F">
        <w:t xml:space="preserve"> has not been</w:t>
      </w:r>
      <w:r>
        <w:t xml:space="preserve"> unequivocally </w:t>
      </w:r>
      <w:r w:rsidRPr="00C6683F">
        <w:t xml:space="preserve">correlated with long-term outcomes in patients with </w:t>
      </w:r>
      <w:proofErr w:type="spellStart"/>
      <w:r w:rsidRPr="00C6683F">
        <w:t>mHSPC</w:t>
      </w:r>
      <w:proofErr w:type="spellEnd"/>
      <w:r>
        <w:t xml:space="preserve">. </w:t>
      </w:r>
    </w:p>
    <w:p w14:paraId="6AC02B94" w14:textId="77777777" w:rsidR="00BB7474" w:rsidRDefault="00BB7474" w:rsidP="001B27E2">
      <w:r w:rsidRPr="00D87877">
        <w:t xml:space="preserve">Given that radiographic imaging was not consistently performed at regular, frequent intervals in the study, there is uncertainty regarding the accuracy of the estimates. </w:t>
      </w:r>
      <w:r>
        <w:t xml:space="preserve">In addition, radiological imaging was assessed by investigator only and not by blinded independent review. </w:t>
      </w:r>
      <w:r w:rsidRPr="00D87877">
        <w:t>Thus,</w:t>
      </w:r>
      <w:r>
        <w:t xml:space="preserve"> </w:t>
      </w:r>
      <w:r w:rsidRPr="00D87877">
        <w:t>treatment benefit by radiological progression could not be reliably estimated.</w:t>
      </w:r>
    </w:p>
    <w:p w14:paraId="6954B0F1" w14:textId="77777777" w:rsidR="00BB7474" w:rsidRPr="007C39AD" w:rsidRDefault="00BB7474" w:rsidP="001B27E2">
      <w:r>
        <w:t>T</w:t>
      </w:r>
      <w:r w:rsidRPr="007C39AD">
        <w:t xml:space="preserve">he results of </w:t>
      </w:r>
      <w:r>
        <w:t>SSE-FS appear to be largely driven by death and thus does not add further clinically relevant information beyond OS.</w:t>
      </w:r>
    </w:p>
    <w:p w14:paraId="71150821" w14:textId="77777777" w:rsidR="00BB7474" w:rsidRDefault="00BB7474" w:rsidP="001B27E2">
      <w:r w:rsidRPr="00CA19BD">
        <w:t>Time to initiation of subsequent antineoplastic therapy appears to be subjective endpoint as it is governed by a physician-patient decision</w:t>
      </w:r>
      <w:r>
        <w:t>. As radiological imaging was at the discretion of the investigator and not routine following PSA progression, the utility of this endpoint regarding this is unclear.</w:t>
      </w:r>
    </w:p>
    <w:p w14:paraId="2B7822E7" w14:textId="39E0AB1D" w:rsidR="00BB7474" w:rsidRDefault="00BB7474" w:rsidP="001B27E2">
      <w:r w:rsidRPr="004820EB">
        <w:t xml:space="preserve">In general, the incidence, severity, and nature of the </w:t>
      </w:r>
      <w:proofErr w:type="gramStart"/>
      <w:r w:rsidRPr="004820EB">
        <w:t>most commonly reported</w:t>
      </w:r>
      <w:proofErr w:type="gramEnd"/>
      <w:r w:rsidRPr="004820EB">
        <w:t xml:space="preserve"> TEAEs in</w:t>
      </w:r>
      <w:r w:rsidR="001B27E2">
        <w:t xml:space="preserve"> </w:t>
      </w:r>
      <w:r w:rsidRPr="004820EB">
        <w:t xml:space="preserve">patients treated with </w:t>
      </w:r>
      <w:proofErr w:type="spellStart"/>
      <w:r w:rsidRPr="004820EB">
        <w:t>darolutamide</w:t>
      </w:r>
      <w:proofErr w:type="spellEnd"/>
      <w:r w:rsidRPr="004820EB">
        <w:t xml:space="preserve"> in combination with docetaxel were consistent with those</w:t>
      </w:r>
      <w:r w:rsidR="001B27E2">
        <w:t xml:space="preserve"> </w:t>
      </w:r>
      <w:r w:rsidRPr="004820EB">
        <w:t>expected of the individual compounds in the target population (patients with advanced age and</w:t>
      </w:r>
      <w:r w:rsidR="001B27E2">
        <w:t xml:space="preserve"> </w:t>
      </w:r>
      <w:r w:rsidRPr="004820EB">
        <w:t>underlying disease)</w:t>
      </w:r>
      <w:r>
        <w:t xml:space="preserve">. However, the study drug combination did lead to the following TEAEs in addition to hypertension and rash, occurring in ≥ 10% of patients with a </w:t>
      </w:r>
      <w:r w:rsidRPr="00D50D75">
        <w:t>≥2% absolute increase in frequency: an</w:t>
      </w:r>
      <w:r>
        <w:t>a</w:t>
      </w:r>
      <w:r w:rsidRPr="00D50D75">
        <w:t>emia, neutrophil count decreased, constipation, decreased appetite, weight</w:t>
      </w:r>
      <w:r>
        <w:t xml:space="preserve"> </w:t>
      </w:r>
      <w:r w:rsidRPr="00D50D75">
        <w:t xml:space="preserve">increased, </w:t>
      </w:r>
      <w:proofErr w:type="spellStart"/>
      <w:r w:rsidRPr="00D50D75">
        <w:t>hemorrhage</w:t>
      </w:r>
      <w:proofErr w:type="spellEnd"/>
      <w:r w:rsidRPr="00D50D75">
        <w:t xml:space="preserve"> (GT), ALT increased, AST increased, and </w:t>
      </w:r>
      <w:r w:rsidR="00C67E06" w:rsidRPr="00D50D75">
        <w:t>hyperglycaemia</w:t>
      </w:r>
      <w:r>
        <w:t xml:space="preserve">. Blood bilirubin increase was also noted to be higher in the </w:t>
      </w:r>
      <w:proofErr w:type="spellStart"/>
      <w:r w:rsidRPr="00D50D75">
        <w:t>darolutamide</w:t>
      </w:r>
      <w:proofErr w:type="spellEnd"/>
      <w:r w:rsidRPr="00D50D75">
        <w:t xml:space="preserve"> plus docetaxel</w:t>
      </w:r>
      <w:r>
        <w:t xml:space="preserve"> arm. Other clinically relevant </w:t>
      </w:r>
      <w:r w:rsidRPr="0047249B">
        <w:t>adverse events that occurred in &lt;10% of patients in th</w:t>
      </w:r>
      <w:r>
        <w:t>e study</w:t>
      </w:r>
      <w:r w:rsidRPr="0047249B">
        <w:t xml:space="preserve"> arm included</w:t>
      </w:r>
      <w:r>
        <w:t xml:space="preserve"> </w:t>
      </w:r>
      <w:r w:rsidRPr="0047249B">
        <w:t xml:space="preserve">fractures, </w:t>
      </w:r>
      <w:r>
        <w:t>IHD</w:t>
      </w:r>
      <w:r w:rsidRPr="0047249B">
        <w:t>, seizures, and drug induced liver injury.</w:t>
      </w:r>
      <w:r>
        <w:t xml:space="preserve"> </w:t>
      </w:r>
    </w:p>
    <w:p w14:paraId="4ED9B01F" w14:textId="2C305233" w:rsidR="00BB7474" w:rsidRDefault="00BB7474" w:rsidP="001B27E2">
      <w:r>
        <w:t>T</w:t>
      </w:r>
      <w:r w:rsidRPr="00D50D75">
        <w:t>he</w:t>
      </w:r>
      <w:r>
        <w:t xml:space="preserve"> </w:t>
      </w:r>
      <w:r w:rsidRPr="00D50D75">
        <w:t xml:space="preserve">incidences of permanent discontinuation, interruption, and dose reduction </w:t>
      </w:r>
      <w:r>
        <w:t>appeared</w:t>
      </w:r>
      <w:r w:rsidR="001B27E2">
        <w:t xml:space="preserve"> </w:t>
      </w:r>
      <w:r>
        <w:t>c</w:t>
      </w:r>
      <w:r w:rsidRPr="00D50D75">
        <w:t>omparable</w:t>
      </w:r>
      <w:r>
        <w:t xml:space="preserve"> between the arms. </w:t>
      </w:r>
      <w:r w:rsidRPr="00D50D75">
        <w:t xml:space="preserve">Overall, the combination of </w:t>
      </w:r>
      <w:proofErr w:type="spellStart"/>
      <w:r w:rsidRPr="00D50D75">
        <w:t>darolutamide</w:t>
      </w:r>
      <w:proofErr w:type="spellEnd"/>
      <w:r w:rsidRPr="00D50D75">
        <w:t xml:space="preserve"> plus docetaxel </w:t>
      </w:r>
      <w:r>
        <w:t>appears to have an</w:t>
      </w:r>
      <w:r w:rsidRPr="00D50D75">
        <w:t xml:space="preserve"> acceptable safety profile for the</w:t>
      </w:r>
      <w:r>
        <w:t xml:space="preserve"> </w:t>
      </w:r>
      <w:r w:rsidRPr="00D50D75">
        <w:t>indicated patient population.</w:t>
      </w:r>
    </w:p>
    <w:p w14:paraId="743AF73D" w14:textId="77777777" w:rsidR="00BB7474" w:rsidRPr="00CC52CC" w:rsidRDefault="00BB7474" w:rsidP="001B27E2">
      <w:r>
        <w:t xml:space="preserve">Overall, the addition of </w:t>
      </w:r>
      <w:proofErr w:type="spellStart"/>
      <w:r>
        <w:t>darolutamide</w:t>
      </w:r>
      <w:proofErr w:type="spellEnd"/>
      <w:r>
        <w:t xml:space="preserve"> to docetaxel showed a manageable toxicity profile in the above study and the safety profile is characterised in the product information to incorporate the above. </w:t>
      </w:r>
    </w:p>
    <w:p w14:paraId="152BC298" w14:textId="77777777" w:rsidR="00BB7474" w:rsidRDefault="00BB7474" w:rsidP="002E16E5">
      <w:pPr>
        <w:pStyle w:val="Heading3"/>
      </w:pPr>
      <w:bookmarkStart w:id="38" w:name="_Toc179287295"/>
      <w:r>
        <w:t>Conclusions</w:t>
      </w:r>
      <w:bookmarkEnd w:id="38"/>
    </w:p>
    <w:p w14:paraId="66F59FBF" w14:textId="42E04323" w:rsidR="00BB7474" w:rsidRDefault="00BB7474" w:rsidP="001B27E2">
      <w:r>
        <w:t xml:space="preserve">There is a positive benefit/risk for </w:t>
      </w:r>
      <w:proofErr w:type="spellStart"/>
      <w:r>
        <w:t>darolutamide</w:t>
      </w:r>
      <w:proofErr w:type="spellEnd"/>
      <w:r>
        <w:t xml:space="preserve"> (</w:t>
      </w:r>
      <w:r w:rsidRPr="002C25B4">
        <w:t>Nubeqa</w:t>
      </w:r>
      <w:r>
        <w:t>)</w:t>
      </w:r>
      <w:r w:rsidRPr="002C25B4">
        <w:t xml:space="preserve"> in combination with androgen deprivation therapy and docetaxel </w:t>
      </w:r>
      <w:r>
        <w:t xml:space="preserve">in </w:t>
      </w:r>
      <w:r w:rsidRPr="002C25B4">
        <w:t>the treatment of patients with metastatic hormone sensitive prostate cancer</w:t>
      </w:r>
      <w:r>
        <w:t xml:space="preserve">. The primary endpoint was met with a statistically significant improvement in OS compared to the </w:t>
      </w:r>
      <w:proofErr w:type="spellStart"/>
      <w:r>
        <w:t>darolutamide</w:t>
      </w:r>
      <w:proofErr w:type="spellEnd"/>
      <w:r>
        <w:t xml:space="preserve"> + placebo arm: </w:t>
      </w:r>
      <w:r w:rsidRPr="002C25B4">
        <w:t>HR</w:t>
      </w:r>
      <w:r>
        <w:t xml:space="preserve"> </w:t>
      </w:r>
      <w:r w:rsidRPr="002C25B4">
        <w:t>0.675 (95% CI: 0.568, 0.801; p&lt;0.0001)</w:t>
      </w:r>
      <w:r>
        <w:t>.</w:t>
      </w:r>
      <w:r w:rsidRPr="00CC52CC">
        <w:t xml:space="preserve"> </w:t>
      </w:r>
      <w:r>
        <w:t xml:space="preserve">The median OS in the </w:t>
      </w:r>
      <w:proofErr w:type="spellStart"/>
      <w:r>
        <w:t>darolutamide</w:t>
      </w:r>
      <w:proofErr w:type="spellEnd"/>
      <w:r>
        <w:t xml:space="preserve"> + docetaxel arm was not reached (NR, [NR, NR]) and was 48.9 months (44.4, NR) in the placebo +</w:t>
      </w:r>
      <w:r w:rsidR="008765FD">
        <w:t xml:space="preserve"> </w:t>
      </w:r>
      <w:r>
        <w:t>docetaxel arm.</w:t>
      </w:r>
    </w:p>
    <w:p w14:paraId="307F236C" w14:textId="77777777" w:rsidR="00C22214" w:rsidRPr="002E238E" w:rsidRDefault="00C22214" w:rsidP="002E16E5">
      <w:pPr>
        <w:pStyle w:val="Heading2"/>
      </w:pPr>
      <w:bookmarkStart w:id="39" w:name="_Toc247691532"/>
      <w:bookmarkStart w:id="40" w:name="_Toc314842516"/>
      <w:bookmarkStart w:id="41" w:name="_Toc103679300"/>
      <w:bookmarkStart w:id="42" w:name="_Toc179287296"/>
      <w:r>
        <w:t>Outcome</w:t>
      </w:r>
      <w:bookmarkEnd w:id="39"/>
      <w:bookmarkEnd w:id="40"/>
      <w:bookmarkEnd w:id="41"/>
      <w:bookmarkEnd w:id="42"/>
    </w:p>
    <w:p w14:paraId="32E0A9F5" w14:textId="00B4BD31" w:rsidR="008765FD" w:rsidRPr="008765FD" w:rsidRDefault="00C22214" w:rsidP="008765FD">
      <w:pPr>
        <w:rPr>
          <w:rFonts w:cs="Cambria"/>
          <w:color w:val="000000"/>
          <w:sz w:val="24"/>
          <w:szCs w:val="24"/>
        </w:rPr>
      </w:pPr>
      <w:r w:rsidRPr="0017005C">
        <w:t xml:space="preserve">Based on a review of quality, safety, and efficacy, the TGA </w:t>
      </w:r>
      <w:r w:rsidR="00B46DFB">
        <w:t>decided to</w:t>
      </w:r>
      <w:r w:rsidRPr="0017005C">
        <w:t xml:space="preserve"> regist</w:t>
      </w:r>
      <w:r w:rsidR="00B46DFB">
        <w:t>er</w:t>
      </w:r>
      <w:r w:rsidRPr="0017005C">
        <w:t xml:space="preserve"> </w:t>
      </w:r>
      <w:r w:rsidR="00DF217E">
        <w:t>Nubeqa</w:t>
      </w:r>
      <w:r w:rsidR="008765FD">
        <w:t xml:space="preserve"> </w:t>
      </w:r>
      <w:r w:rsidRPr="0017005C">
        <w:t>(</w:t>
      </w:r>
      <w:proofErr w:type="spellStart"/>
      <w:r w:rsidR="00DF217E">
        <w:t>darolutamide</w:t>
      </w:r>
      <w:proofErr w:type="spellEnd"/>
      <w:r w:rsidRPr="0017005C">
        <w:t>) for the following indications</w:t>
      </w:r>
      <w:r w:rsidR="008765FD">
        <w:t>:</w:t>
      </w:r>
      <w:bookmarkStart w:id="43" w:name="_Toc103679301"/>
    </w:p>
    <w:p w14:paraId="6FE4FCA9" w14:textId="34CDC46C" w:rsidR="008765FD" w:rsidRPr="008765FD" w:rsidRDefault="008765FD" w:rsidP="001F4323">
      <w:pPr>
        <w:ind w:left="360"/>
      </w:pPr>
      <w:r w:rsidRPr="008765FD">
        <w:t xml:space="preserve">NUBEQA is indicated for the treatment of patients with: </w:t>
      </w:r>
    </w:p>
    <w:p w14:paraId="3EBDC55F" w14:textId="0CF7758F" w:rsidR="008765FD" w:rsidRPr="008765FD" w:rsidRDefault="008765FD" w:rsidP="001F4323">
      <w:pPr>
        <w:pStyle w:val="ListBullet"/>
        <w:ind w:left="720"/>
      </w:pPr>
      <w:r w:rsidRPr="008765FD">
        <w:t>metastatic hormone-sensitive prostate cancer (</w:t>
      </w:r>
      <w:proofErr w:type="spellStart"/>
      <w:r w:rsidRPr="008765FD">
        <w:t>mHSPC</w:t>
      </w:r>
      <w:proofErr w:type="spellEnd"/>
      <w:r w:rsidRPr="008765FD">
        <w:t xml:space="preserve">) in combination with docetaxel </w:t>
      </w:r>
    </w:p>
    <w:p w14:paraId="1149AF99" w14:textId="30CABAA6" w:rsidR="008765FD" w:rsidRDefault="008765FD" w:rsidP="001F4323">
      <w:pPr>
        <w:ind w:left="360"/>
      </w:pPr>
      <w:r w:rsidRPr="008765FD">
        <w:t xml:space="preserve">The </w:t>
      </w:r>
      <w:r w:rsidRPr="008765FD">
        <w:rPr>
          <w:b/>
          <w:bCs/>
        </w:rPr>
        <w:t xml:space="preserve">full indications </w:t>
      </w:r>
      <w:r w:rsidRPr="008765FD">
        <w:t xml:space="preserve">are now: </w:t>
      </w:r>
    </w:p>
    <w:p w14:paraId="52E22B24" w14:textId="77777777" w:rsidR="008765FD" w:rsidRPr="008765FD" w:rsidRDefault="008765FD" w:rsidP="001F4323">
      <w:pPr>
        <w:ind w:left="360"/>
      </w:pPr>
      <w:r w:rsidRPr="008765FD">
        <w:t xml:space="preserve">NUBEQA is indicated for the treatment of patients with: </w:t>
      </w:r>
    </w:p>
    <w:p w14:paraId="735372DE" w14:textId="19FF0FB7" w:rsidR="008765FD" w:rsidRDefault="008765FD" w:rsidP="001F4323">
      <w:pPr>
        <w:pStyle w:val="ListBullet"/>
        <w:ind w:left="720"/>
      </w:pPr>
      <w:r w:rsidRPr="008765FD">
        <w:t>non-metastatic castration resistant prostate cancer (</w:t>
      </w:r>
      <w:proofErr w:type="spellStart"/>
      <w:r w:rsidRPr="008765FD">
        <w:t>nmCRPC</w:t>
      </w:r>
      <w:proofErr w:type="spellEnd"/>
      <w:r w:rsidRPr="008765FD">
        <w:t xml:space="preserve">) </w:t>
      </w:r>
    </w:p>
    <w:p w14:paraId="0D732DA4" w14:textId="551959A9" w:rsidR="00854D98" w:rsidRDefault="008765FD" w:rsidP="001F4323">
      <w:pPr>
        <w:pStyle w:val="ListBullet"/>
        <w:ind w:left="720"/>
      </w:pPr>
      <w:r w:rsidRPr="008765FD">
        <w:t>metastatic hormone-sensitive prostate cancer (</w:t>
      </w:r>
      <w:proofErr w:type="spellStart"/>
      <w:r w:rsidRPr="008765FD">
        <w:t>mHSPC</w:t>
      </w:r>
      <w:proofErr w:type="spellEnd"/>
      <w:r w:rsidRPr="008765FD">
        <w:t xml:space="preserve">) in combination with docetaxel </w:t>
      </w:r>
      <w:r w:rsidR="00854D98" w:rsidRPr="00D23139">
        <w:t>Specific conditions of registration applying to these goods</w:t>
      </w:r>
      <w:bookmarkEnd w:id="43"/>
    </w:p>
    <w:p w14:paraId="451DC3FC" w14:textId="2D1EC6E2" w:rsidR="00C22214" w:rsidRDefault="00C22214" w:rsidP="001F4323">
      <w:pPr>
        <w:pStyle w:val="Heading2"/>
      </w:pPr>
      <w:bookmarkStart w:id="44" w:name="_Toc103679303"/>
      <w:bookmarkStart w:id="45" w:name="_Toc179287297"/>
      <w:r>
        <w:t>Attachment 1. Product Information</w:t>
      </w:r>
      <w:bookmarkEnd w:id="44"/>
      <w:bookmarkEnd w:id="45"/>
    </w:p>
    <w:p w14:paraId="74F59983" w14:textId="20D6366D" w:rsidR="00675F81" w:rsidRPr="00BD5DBD" w:rsidRDefault="00675F81" w:rsidP="00675F81">
      <w:pPr>
        <w:rPr>
          <w:szCs w:val="22"/>
        </w:rPr>
      </w:pPr>
      <w:r w:rsidRPr="00BD5DBD">
        <w:rPr>
          <w:szCs w:val="22"/>
        </w:rPr>
        <w:t xml:space="preserve">The </w:t>
      </w:r>
      <w:hyperlink r:id="rId65" w:history="1">
        <w:r w:rsidRPr="00BD5DBD">
          <w:rPr>
            <w:rStyle w:val="Hyperlink"/>
            <w:szCs w:val="22"/>
          </w:rPr>
          <w:t>Product Information</w:t>
        </w:r>
      </w:hyperlink>
      <w:r w:rsidRPr="00BD5DBD">
        <w:rPr>
          <w:szCs w:val="22"/>
        </w:rPr>
        <w:t xml:space="preserve"> (</w:t>
      </w:r>
      <w:hyperlink r:id="rId66" w:history="1">
        <w:r w:rsidRPr="00BD5DBD">
          <w:rPr>
            <w:rStyle w:val="Hyperlink"/>
            <w:szCs w:val="22"/>
          </w:rPr>
          <w:t>PI</w:t>
        </w:r>
      </w:hyperlink>
      <w:r w:rsidRPr="00BD5DBD">
        <w:rPr>
          <w:szCs w:val="22"/>
        </w:rPr>
        <w:t>) approved with the submission</w:t>
      </w:r>
      <w:r w:rsidR="0017005C" w:rsidRPr="0017005C">
        <w:rPr>
          <w:szCs w:val="22"/>
        </w:rPr>
        <w:t xml:space="preserve"> </w:t>
      </w:r>
      <w:r w:rsidR="0017005C" w:rsidRPr="00BD5DBD">
        <w:rPr>
          <w:szCs w:val="22"/>
        </w:rPr>
        <w:t xml:space="preserve">for </w:t>
      </w:r>
      <w:r w:rsidR="00FE6E8F">
        <w:t>Nubeqa</w:t>
      </w:r>
      <w:r w:rsidR="003163BC">
        <w:t xml:space="preserve"> </w:t>
      </w:r>
      <w:r w:rsidRPr="00BD5DBD">
        <w:rPr>
          <w:szCs w:val="22"/>
        </w:rPr>
        <w:t xml:space="preserve">which is described in this AusPAR can be found as Attachment 1. </w:t>
      </w:r>
      <w:r w:rsidR="0025785B">
        <w:t xml:space="preserve">It may have been superseded. </w:t>
      </w:r>
      <w:r w:rsidRPr="00BD5DBD">
        <w:rPr>
          <w:szCs w:val="22"/>
        </w:rPr>
        <w:t xml:space="preserve">For the most recent PI and </w:t>
      </w:r>
      <w:hyperlink r:id="rId67" w:history="1">
        <w:r w:rsidRPr="00BD5DBD">
          <w:rPr>
            <w:rStyle w:val="Hyperlink"/>
            <w:szCs w:val="22"/>
          </w:rPr>
          <w:t>Consumer Medicines Information</w:t>
        </w:r>
      </w:hyperlink>
      <w:r w:rsidRPr="00BD5DBD">
        <w:rPr>
          <w:szCs w:val="22"/>
        </w:rPr>
        <w:t xml:space="preserve"> (CMI), please refer to the TGA </w:t>
      </w:r>
      <w:hyperlink r:id="rId68" w:history="1">
        <w:r w:rsidRPr="00BD5DBD">
          <w:rPr>
            <w:rStyle w:val="Hyperlink"/>
            <w:szCs w:val="22"/>
          </w:rPr>
          <w:t>PI/CMI search facility.</w:t>
        </w:r>
      </w:hyperlink>
    </w:p>
    <w:p w14:paraId="40740B65" w14:textId="5819D664" w:rsidR="00C22214" w:rsidRPr="008B4DA3" w:rsidRDefault="00C22214" w:rsidP="00C22214">
      <w:pPr>
        <w:autoSpaceDE w:val="0"/>
        <w:autoSpaceDN w:val="0"/>
        <w:adjustRightInd w:val="0"/>
        <w:spacing w:after="0"/>
      </w:pPr>
    </w:p>
    <w:p w14:paraId="53357BF3" w14:textId="276457B5" w:rsidR="00C22214" w:rsidRDefault="00C22214" w:rsidP="00C22214">
      <w:pPr>
        <w:rPr>
          <w:lang w:eastAsia="ja-JP"/>
        </w:rPr>
        <w:sectPr w:rsidR="00C22214" w:rsidSect="00ED44F8">
          <w:headerReference w:type="default" r:id="rId69"/>
          <w:footerReference w:type="default" r:id="rId70"/>
          <w:pgSz w:w="11906" w:h="16838" w:code="9"/>
          <w:pgMar w:top="993" w:right="1440" w:bottom="1440" w:left="1440" w:header="573" w:footer="567" w:gutter="0"/>
          <w:cols w:space="708"/>
          <w:docGrid w:linePitch="360"/>
        </w:sectPr>
      </w:pPr>
    </w:p>
    <w:tbl>
      <w:tblPr>
        <w:tblW w:w="9145" w:type="dxa"/>
        <w:jc w:val="center"/>
        <w:tblLayout w:type="fixed"/>
        <w:tblCellMar>
          <w:left w:w="0" w:type="dxa"/>
          <w:right w:w="0" w:type="dxa"/>
        </w:tblCellMar>
        <w:tblLook w:val="04A0" w:firstRow="1" w:lastRow="0" w:firstColumn="1" w:lastColumn="0" w:noHBand="0" w:noVBand="1"/>
      </w:tblPr>
      <w:tblGrid>
        <w:gridCol w:w="9145"/>
      </w:tblGrid>
      <w:tr w:rsidR="00F02AEC" w:rsidRPr="00215D48" w14:paraId="3C0C07BF" w14:textId="77777777" w:rsidTr="007452E8">
        <w:trPr>
          <w:trHeight w:hRule="exact" w:val="565"/>
          <w:jc w:val="center"/>
        </w:trPr>
        <w:tc>
          <w:tcPr>
            <w:tcW w:w="9145" w:type="dxa"/>
          </w:tcPr>
          <w:bookmarkEnd w:id="5"/>
          <w:bookmarkEnd w:id="6"/>
          <w:p w14:paraId="7E090B86" w14:textId="77777777" w:rsidR="00F02AEC" w:rsidRPr="00215D48" w:rsidRDefault="00F02AEC" w:rsidP="007452E8">
            <w:pPr>
              <w:pStyle w:val="TGASignoff"/>
            </w:pPr>
            <w:r w:rsidRPr="00215D48">
              <w:t>Therapeutic Goods Administration</w:t>
            </w:r>
          </w:p>
        </w:tc>
      </w:tr>
      <w:tr w:rsidR="00F02AEC" w:rsidRPr="00215D48" w14:paraId="70F47EA1" w14:textId="77777777" w:rsidTr="007452E8">
        <w:trPr>
          <w:trHeight w:val="963"/>
          <w:jc w:val="center"/>
        </w:trPr>
        <w:tc>
          <w:tcPr>
            <w:tcW w:w="9145" w:type="dxa"/>
            <w:tcMar>
              <w:top w:w="28" w:type="dxa"/>
            </w:tcMar>
          </w:tcPr>
          <w:p w14:paraId="3491EBCD" w14:textId="77777777" w:rsidR="00F02AEC" w:rsidRPr="00215D48" w:rsidRDefault="00F02AEC" w:rsidP="007452E8">
            <w:pPr>
              <w:pStyle w:val="Address"/>
              <w:jc w:val="center"/>
            </w:pPr>
            <w:r w:rsidRPr="00215D48">
              <w:t>PO Box 100 Woden ACT 2606 Australia</w:t>
            </w:r>
          </w:p>
          <w:p w14:paraId="5D0FE0E7" w14:textId="53CB9479" w:rsidR="00F02AEC" w:rsidRDefault="00F02AEC">
            <w:pPr>
              <w:pStyle w:val="Address"/>
              <w:jc w:val="center"/>
              <w:rPr>
                <w:sz w:val="22"/>
                <w:szCs w:val="22"/>
              </w:rPr>
            </w:pPr>
            <w:r w:rsidRPr="00215D48">
              <w:t xml:space="preserve">Email: </w:t>
            </w:r>
            <w:hyperlink r:id="rId71" w:history="1">
              <w:r w:rsidRPr="00215D48">
                <w:rPr>
                  <w:rStyle w:val="Hyperlink"/>
                </w:rPr>
                <w:t>info@tga.gov.au</w:t>
              </w:r>
            </w:hyperlink>
            <w:r w:rsidRPr="00215D48">
              <w:t xml:space="preserve">  Phone: 1800 020 </w:t>
            </w:r>
            <w:proofErr w:type="gramStart"/>
            <w:r w:rsidRPr="00215D48">
              <w:t>653  Fax</w:t>
            </w:r>
            <w:proofErr w:type="gramEnd"/>
            <w:r w:rsidRPr="00215D48">
              <w:t xml:space="preserve">: </w:t>
            </w:r>
            <w:r w:rsidRPr="00BA0DFC">
              <w:t>02 6203 1605</w:t>
            </w:r>
          </w:p>
          <w:p w14:paraId="4533D80F" w14:textId="1519D7A3" w:rsidR="00F02AEC" w:rsidRPr="00215D48" w:rsidRDefault="001F4323">
            <w:pPr>
              <w:pStyle w:val="Address"/>
              <w:jc w:val="center"/>
              <w:rPr>
                <w:rStyle w:val="Hyperlink"/>
                <w:b/>
                <w:color w:val="auto"/>
                <w:sz w:val="22"/>
              </w:rPr>
            </w:pPr>
            <w:hyperlink r:id="rId72" w:history="1">
              <w:r w:rsidR="00F02AEC" w:rsidRPr="00C4721A">
                <w:rPr>
                  <w:rStyle w:val="Hyperlink"/>
                  <w:b/>
                </w:rPr>
                <w:t>https://www.tga.gov.au</w:t>
              </w:r>
            </w:hyperlink>
          </w:p>
        </w:tc>
      </w:tr>
      <w:tr w:rsidR="00F02AEC" w:rsidRPr="00215D48" w14:paraId="2AD74347" w14:textId="77777777" w:rsidTr="007452E8">
        <w:trPr>
          <w:trHeight w:val="251"/>
          <w:jc w:val="center"/>
        </w:trPr>
        <w:tc>
          <w:tcPr>
            <w:tcW w:w="9145" w:type="dxa"/>
            <w:tcMar>
              <w:top w:w="28" w:type="dxa"/>
            </w:tcMar>
          </w:tcPr>
          <w:p w14:paraId="6EAAD5C1" w14:textId="369ECD9A" w:rsidR="00F02AEC" w:rsidRPr="00215D48" w:rsidRDefault="00F02AEC" w:rsidP="007452E8">
            <w:pPr>
              <w:pStyle w:val="Address"/>
              <w:jc w:val="center"/>
            </w:pPr>
          </w:p>
        </w:tc>
      </w:tr>
    </w:tbl>
    <w:p w14:paraId="788B80FD" w14:textId="77777777" w:rsidR="007452E8" w:rsidRDefault="007452E8"/>
    <w:sectPr w:rsidR="007452E8" w:rsidSect="007452E8">
      <w:headerReference w:type="first" r:id="rId73"/>
      <w:footerReference w:type="first" r:id="rId74"/>
      <w:pgSz w:w="11906" w:h="16838" w:code="9"/>
      <w:pgMar w:top="13571" w:right="1701" w:bottom="567" w:left="1701" w:header="1134" w:footer="7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4056AF" w14:textId="77777777" w:rsidR="00525D99" w:rsidRDefault="00525D99" w:rsidP="00F02AEC">
      <w:pPr>
        <w:spacing w:after="0" w:line="240" w:lineRule="auto"/>
      </w:pPr>
      <w:r>
        <w:separator/>
      </w:r>
    </w:p>
  </w:endnote>
  <w:endnote w:type="continuationSeparator" w:id="0">
    <w:p w14:paraId="3C017DB1" w14:textId="77777777" w:rsidR="00525D99" w:rsidRDefault="00525D99" w:rsidP="00F02A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0"/>
      <w:gridCol w:w="4360"/>
    </w:tblGrid>
    <w:tr w:rsidR="007452E8" w:rsidRPr="00257138" w14:paraId="162D69C2" w14:textId="77777777" w:rsidTr="007452E8">
      <w:trPr>
        <w:trHeight w:val="423"/>
      </w:trPr>
      <w:tc>
        <w:tcPr>
          <w:tcW w:w="4360" w:type="dxa"/>
          <w:tcBorders>
            <w:top w:val="single" w:sz="4" w:space="0" w:color="auto"/>
          </w:tcBorders>
        </w:tcPr>
        <w:p w14:paraId="32E1B782" w14:textId="77777777" w:rsidR="007452E8" w:rsidRDefault="007452E8" w:rsidP="007452E8">
          <w:pPr>
            <w:pStyle w:val="Footer"/>
          </w:pPr>
        </w:p>
        <w:p w14:paraId="1849C07C" w14:textId="77777777" w:rsidR="007452E8" w:rsidRPr="00257138" w:rsidRDefault="007452E8" w:rsidP="007452E8">
          <w:pPr>
            <w:pStyle w:val="Footer"/>
          </w:pPr>
          <w:r w:rsidRPr="00257138">
            <w:t>Document title</w:t>
          </w:r>
        </w:p>
      </w:tc>
      <w:tc>
        <w:tcPr>
          <w:tcW w:w="4360" w:type="dxa"/>
          <w:tcBorders>
            <w:top w:val="single" w:sz="4" w:space="0" w:color="auto"/>
          </w:tcBorders>
        </w:tcPr>
        <w:sdt>
          <w:sdtPr>
            <w:id w:val="1087729233"/>
            <w:docPartObj>
              <w:docPartGallery w:val="Page Numbers (Top of Page)"/>
              <w:docPartUnique/>
            </w:docPartObj>
          </w:sdtPr>
          <w:sdtEndPr/>
          <w:sdtContent>
            <w:p w14:paraId="606A08BF" w14:textId="77777777" w:rsidR="007452E8" w:rsidRDefault="007452E8" w:rsidP="007452E8">
              <w:pPr>
                <w:pStyle w:val="Footer"/>
                <w:jc w:val="right"/>
              </w:pPr>
            </w:p>
            <w:p w14:paraId="5EDE6DF6" w14:textId="77777777" w:rsidR="007452E8" w:rsidRPr="00257138" w:rsidRDefault="007452E8" w:rsidP="007452E8">
              <w:pPr>
                <w:pStyle w:val="Footer"/>
                <w:jc w:val="right"/>
              </w:pPr>
              <w:r w:rsidRPr="00257138">
                <w:t xml:space="preserve">Page </w:t>
              </w:r>
              <w:r>
                <w:fldChar w:fldCharType="begin"/>
              </w:r>
              <w:r>
                <w:instrText xml:space="preserve"> PAGE </w:instrText>
              </w:r>
              <w:r>
                <w:fldChar w:fldCharType="separate"/>
              </w:r>
              <w:r>
                <w:rPr>
                  <w:noProof/>
                </w:rPr>
                <w:t>2</w:t>
              </w:r>
              <w:r>
                <w:rPr>
                  <w:noProof/>
                </w:rPr>
                <w:fldChar w:fldCharType="end"/>
              </w:r>
              <w:r w:rsidRPr="00257138">
                <w:t xml:space="preserve"> of </w:t>
              </w:r>
              <w:r w:rsidR="007F1E37">
                <w:fldChar w:fldCharType="begin"/>
              </w:r>
              <w:r w:rsidR="007F1E37">
                <w:instrText xml:space="preserve"> NUMPAGES  </w:instrText>
              </w:r>
              <w:r w:rsidR="007F1E37">
                <w:fldChar w:fldCharType="separate"/>
              </w:r>
              <w:r>
                <w:rPr>
                  <w:noProof/>
                </w:rPr>
                <w:t>2</w:t>
              </w:r>
              <w:r w:rsidR="007F1E37">
                <w:rPr>
                  <w:noProof/>
                </w:rPr>
                <w:fldChar w:fldCharType="end"/>
              </w:r>
            </w:p>
          </w:sdtContent>
        </w:sdt>
      </w:tc>
    </w:tr>
    <w:tr w:rsidR="007452E8" w:rsidRPr="00257138" w14:paraId="280F09C8" w14:textId="77777777" w:rsidTr="007452E8">
      <w:trPr>
        <w:trHeight w:val="263"/>
      </w:trPr>
      <w:tc>
        <w:tcPr>
          <w:tcW w:w="4360" w:type="dxa"/>
        </w:tcPr>
        <w:p w14:paraId="673F06D3" w14:textId="77777777" w:rsidR="007452E8" w:rsidRPr="00257138" w:rsidRDefault="007452E8" w:rsidP="007452E8">
          <w:pPr>
            <w:pStyle w:val="Footer"/>
          </w:pPr>
          <w:r w:rsidRPr="00257138">
            <w:t xml:space="preserve">V1.0 </w:t>
          </w:r>
          <w:r>
            <w:t>Month</w:t>
          </w:r>
          <w:r w:rsidRPr="00257138">
            <w:t xml:space="preserve"> 201</w:t>
          </w:r>
          <w:r>
            <w:t>2</w:t>
          </w:r>
        </w:p>
      </w:tc>
      <w:tc>
        <w:tcPr>
          <w:tcW w:w="4360" w:type="dxa"/>
        </w:tcPr>
        <w:p w14:paraId="77F5B433" w14:textId="77777777" w:rsidR="007452E8" w:rsidRPr="00257138" w:rsidRDefault="007452E8" w:rsidP="007452E8">
          <w:pPr>
            <w:pStyle w:val="Footer"/>
            <w:jc w:val="right"/>
          </w:pPr>
        </w:p>
      </w:tc>
    </w:tr>
  </w:tbl>
  <w:p w14:paraId="63F6FDDE" w14:textId="77777777" w:rsidR="007452E8" w:rsidRPr="00826007" w:rsidRDefault="007452E8" w:rsidP="007452E8">
    <w:pPr>
      <w:pStyle w:val="Footer"/>
      <w:tabs>
        <w:tab w:val="left" w:pos="7620"/>
        <w:tab w:val="right" w:pos="8504"/>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AA29C" w14:textId="77777777" w:rsidR="007452E8" w:rsidRDefault="007452E8" w:rsidP="007452E8">
    <w:pPr>
      <w:pStyle w:val="Footer"/>
      <w:ind w:left="-1701"/>
    </w:pPr>
    <w:r w:rsidRPr="002B29B2">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tblCellMar>
      <w:tblLook w:val="04A0" w:firstRow="1" w:lastRow="0" w:firstColumn="1" w:lastColumn="0" w:noHBand="0" w:noVBand="1"/>
    </w:tblPr>
    <w:tblGrid>
      <w:gridCol w:w="7338"/>
      <w:gridCol w:w="1734"/>
    </w:tblGrid>
    <w:tr w:rsidR="007452E8" w:rsidRPr="004A3084" w14:paraId="6266BC33" w14:textId="77777777" w:rsidTr="007452E8">
      <w:trPr>
        <w:trHeight w:val="423"/>
      </w:trPr>
      <w:tc>
        <w:tcPr>
          <w:tcW w:w="7338" w:type="dxa"/>
          <w:tcBorders>
            <w:top w:val="single" w:sz="4" w:space="0" w:color="auto"/>
          </w:tcBorders>
        </w:tcPr>
        <w:p w14:paraId="3C421323" w14:textId="2B743046" w:rsidR="007452E8" w:rsidRPr="004A3084" w:rsidRDefault="007452E8" w:rsidP="007452E8">
          <w:pPr>
            <w:pStyle w:val="Footer"/>
          </w:pPr>
          <w:r w:rsidRPr="00487162">
            <w:t>AusPA</w:t>
          </w:r>
          <w:r>
            <w:t xml:space="preserve">R - </w:t>
          </w:r>
          <w:r w:rsidR="00BA7CAB" w:rsidRPr="00BA7CAB">
            <w:t xml:space="preserve">Nubeqa </w:t>
          </w:r>
          <w:r>
            <w:t>-</w:t>
          </w:r>
          <w:r w:rsidRPr="00460036">
            <w:t xml:space="preserve"> </w:t>
          </w:r>
          <w:proofErr w:type="spellStart"/>
          <w:r w:rsidR="00BA7CAB" w:rsidRPr="00BA7CAB">
            <w:t>darolutamide</w:t>
          </w:r>
          <w:proofErr w:type="spellEnd"/>
          <w:r w:rsidRPr="00460036">
            <w:t xml:space="preserve"> </w:t>
          </w:r>
          <w:r w:rsidR="008C754C">
            <w:t>-</w:t>
          </w:r>
          <w:r>
            <w:t xml:space="preserve"> </w:t>
          </w:r>
          <w:r w:rsidR="00BA7CAB" w:rsidRPr="00BA7CAB">
            <w:t xml:space="preserve">Bayer Australia Ltd </w:t>
          </w:r>
          <w:r w:rsidR="00BA7CAB">
            <w:t>–</w:t>
          </w:r>
          <w:r>
            <w:t xml:space="preserve"> </w:t>
          </w:r>
          <w:r w:rsidR="00BA7CAB">
            <w:t xml:space="preserve">Type C - </w:t>
          </w:r>
          <w:r w:rsidR="00BA7CAB" w:rsidRPr="00BA7CAB">
            <w:t>PM-2022-00878-1-4</w:t>
          </w:r>
          <w:r>
            <w:br/>
          </w:r>
          <w:r w:rsidRPr="00487162">
            <w:t>Date of Finalisation</w:t>
          </w:r>
          <w:r w:rsidR="00D21F66">
            <w:t>: 30 September 2024</w:t>
          </w:r>
        </w:p>
      </w:tc>
      <w:tc>
        <w:tcPr>
          <w:tcW w:w="1734" w:type="dxa"/>
          <w:tcBorders>
            <w:top w:val="single" w:sz="4" w:space="0" w:color="auto"/>
          </w:tcBorders>
        </w:tcPr>
        <w:sdt>
          <w:sdtPr>
            <w:id w:val="11571659"/>
            <w:docPartObj>
              <w:docPartGallery w:val="Page Numbers (Top of Page)"/>
              <w:docPartUnique/>
            </w:docPartObj>
          </w:sdtPr>
          <w:sdtEndPr/>
          <w:sdtContent>
            <w:p w14:paraId="4DE4ED0C" w14:textId="29F65FFD" w:rsidR="007452E8" w:rsidRPr="004A3084" w:rsidRDefault="007452E8" w:rsidP="007452E8">
              <w:pPr>
                <w:pStyle w:val="Footer"/>
                <w:jc w:val="right"/>
              </w:pPr>
              <w:r w:rsidRPr="004A3084">
                <w:t xml:space="preserve">Page </w:t>
              </w:r>
              <w:r>
                <w:fldChar w:fldCharType="begin"/>
              </w:r>
              <w:r>
                <w:instrText xml:space="preserve"> PAGE </w:instrText>
              </w:r>
              <w:r>
                <w:fldChar w:fldCharType="separate"/>
              </w:r>
              <w:r w:rsidR="006D6B44">
                <w:rPr>
                  <w:noProof/>
                </w:rPr>
                <w:t>13</w:t>
              </w:r>
              <w:r>
                <w:rPr>
                  <w:noProof/>
                </w:rPr>
                <w:fldChar w:fldCharType="end"/>
              </w:r>
              <w:r w:rsidRPr="004A3084">
                <w:t xml:space="preserve"> of </w:t>
              </w:r>
              <w:r w:rsidR="007F1E37">
                <w:fldChar w:fldCharType="begin"/>
              </w:r>
              <w:r w:rsidR="007F1E37">
                <w:instrText xml:space="preserve"> NUMPAGES  </w:instrText>
              </w:r>
              <w:r w:rsidR="007F1E37">
                <w:fldChar w:fldCharType="separate"/>
              </w:r>
              <w:r w:rsidR="006D6B44">
                <w:rPr>
                  <w:noProof/>
                </w:rPr>
                <w:t>17</w:t>
              </w:r>
              <w:r w:rsidR="007F1E37">
                <w:rPr>
                  <w:noProof/>
                </w:rPr>
                <w:fldChar w:fldCharType="end"/>
              </w:r>
            </w:p>
          </w:sdtContent>
        </w:sdt>
      </w:tc>
    </w:tr>
  </w:tbl>
  <w:p w14:paraId="1A4EDE60" w14:textId="77777777" w:rsidR="007452E8" w:rsidRPr="00826007" w:rsidRDefault="007452E8" w:rsidP="007452E8">
    <w:pPr>
      <w:pStyle w:val="Footer"/>
      <w:tabs>
        <w:tab w:val="left" w:pos="7620"/>
        <w:tab w:val="right" w:pos="8504"/>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3F70A" w14:textId="77777777" w:rsidR="007452E8" w:rsidRPr="008E3C43" w:rsidRDefault="007452E8" w:rsidP="007452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0ED982" w14:textId="77777777" w:rsidR="00525D99" w:rsidRDefault="00525D99" w:rsidP="00F02AEC">
      <w:pPr>
        <w:spacing w:after="0" w:line="240" w:lineRule="auto"/>
      </w:pPr>
      <w:r>
        <w:separator/>
      </w:r>
    </w:p>
  </w:footnote>
  <w:footnote w:type="continuationSeparator" w:id="0">
    <w:p w14:paraId="6FABDDFA" w14:textId="77777777" w:rsidR="00525D99" w:rsidRDefault="00525D99" w:rsidP="00F02AEC">
      <w:pPr>
        <w:spacing w:after="0" w:line="240" w:lineRule="auto"/>
      </w:pPr>
      <w:r>
        <w:continuationSeparator/>
      </w:r>
    </w:p>
  </w:footnote>
  <w:footnote w:id="1">
    <w:p w14:paraId="6CAA32D3" w14:textId="3BE7A714" w:rsidR="003A5CCE" w:rsidRDefault="003A5CCE">
      <w:pPr>
        <w:pStyle w:val="FootnoteText"/>
      </w:pPr>
      <w:r>
        <w:rPr>
          <w:rStyle w:val="FootnoteReference"/>
        </w:rPr>
        <w:footnoteRef/>
      </w:r>
      <w:r>
        <w:t xml:space="preserve"> </w:t>
      </w:r>
      <w:r w:rsidR="00A36E1A" w:rsidRPr="00A36E1A">
        <w:t xml:space="preserve">Sung H, </w:t>
      </w:r>
      <w:proofErr w:type="spellStart"/>
      <w:r w:rsidR="00A36E1A" w:rsidRPr="00A36E1A">
        <w:t>Ferlay</w:t>
      </w:r>
      <w:proofErr w:type="spellEnd"/>
      <w:r w:rsidR="00A36E1A" w:rsidRPr="00A36E1A">
        <w:t xml:space="preserve"> J, Siegel RL, </w:t>
      </w:r>
      <w:proofErr w:type="spellStart"/>
      <w:r w:rsidR="00A36E1A" w:rsidRPr="00A36E1A">
        <w:t>Laversanne</w:t>
      </w:r>
      <w:proofErr w:type="spellEnd"/>
      <w:r w:rsidR="00A36E1A" w:rsidRPr="00A36E1A">
        <w:t xml:space="preserve"> M, </w:t>
      </w:r>
      <w:proofErr w:type="spellStart"/>
      <w:r w:rsidR="00A36E1A" w:rsidRPr="00A36E1A">
        <w:t>Soerjomataram</w:t>
      </w:r>
      <w:proofErr w:type="spellEnd"/>
      <w:r w:rsidR="00A36E1A" w:rsidRPr="00A36E1A">
        <w:t xml:space="preserve"> I, Jemal A, Bray F. Global Cancer Statistics 2020: GLOBOCAN Estimates of Incidence and Mortality Worldwide for 36 Cancers in 185 Countries. CA Cancer J Clin. 2021 May;71(3):209-249. </w:t>
      </w:r>
      <w:proofErr w:type="spellStart"/>
      <w:r w:rsidR="00A36E1A" w:rsidRPr="00A36E1A">
        <w:t>doi</w:t>
      </w:r>
      <w:proofErr w:type="spellEnd"/>
      <w:r w:rsidR="00A36E1A" w:rsidRPr="00A36E1A">
        <w:t xml:space="preserve">: 10.3322/caac.21660. </w:t>
      </w:r>
      <w:proofErr w:type="spellStart"/>
      <w:r w:rsidR="00A36E1A" w:rsidRPr="00A36E1A">
        <w:t>Epub</w:t>
      </w:r>
      <w:proofErr w:type="spellEnd"/>
      <w:r w:rsidR="00A36E1A" w:rsidRPr="00A36E1A">
        <w:t xml:space="preserve"> 2021 Feb 4. PMID: 33538338.</w:t>
      </w:r>
    </w:p>
  </w:footnote>
  <w:footnote w:id="2">
    <w:p w14:paraId="3B075863" w14:textId="6594A00F" w:rsidR="00E20BA5" w:rsidRDefault="00E20BA5">
      <w:pPr>
        <w:pStyle w:val="FootnoteText"/>
      </w:pPr>
      <w:r>
        <w:rPr>
          <w:rStyle w:val="FootnoteReference"/>
        </w:rPr>
        <w:footnoteRef/>
      </w:r>
      <w:r>
        <w:t xml:space="preserve"> Cancer Australia. </w:t>
      </w:r>
      <w:r w:rsidR="00E10645" w:rsidRPr="00E10645">
        <w:t>Prostate cancer in Australia statistics</w:t>
      </w:r>
      <w:r w:rsidR="00E10645">
        <w:t xml:space="preserve">. </w:t>
      </w:r>
      <w:hyperlink r:id="rId1" w:history="1">
        <w:r w:rsidR="00E10645" w:rsidRPr="007A4D77">
          <w:rPr>
            <w:rStyle w:val="Hyperlink"/>
          </w:rPr>
          <w:t>https://www.canceraustralia.gov.au/cancer-types/prostate-cancer/statistics</w:t>
        </w:r>
      </w:hyperlink>
      <w:r w:rsidR="00E10645">
        <w:t xml:space="preserve"> </w:t>
      </w:r>
    </w:p>
  </w:footnote>
  <w:footnote w:id="3">
    <w:p w14:paraId="00256021" w14:textId="52A77603" w:rsidR="003B489D" w:rsidRDefault="003B489D" w:rsidP="00994850">
      <w:pPr>
        <w:pStyle w:val="FootnoteText"/>
      </w:pPr>
      <w:r>
        <w:rPr>
          <w:rStyle w:val="FootnoteReference"/>
        </w:rPr>
        <w:footnoteRef/>
      </w:r>
      <w:r>
        <w:t xml:space="preserve"> </w:t>
      </w:r>
      <w:r w:rsidR="00994850">
        <w:t xml:space="preserve">NCI. National Cancer Institute (NCI) Surveillance, Epidemiology, and End Results Program; Cancer Stat Facts: Prostate Cancer. </w:t>
      </w:r>
      <w:hyperlink r:id="rId2" w:history="1">
        <w:r w:rsidR="00994850" w:rsidRPr="007A4D77">
          <w:rPr>
            <w:rStyle w:val="Hyperlink"/>
          </w:rPr>
          <w:t>https://seer.cancer.gov/statfacts/html/prost.html</w:t>
        </w:r>
      </w:hyperlink>
      <w:r w:rsidR="00994850">
        <w:t xml:space="preserve"> 2021 </w:t>
      </w:r>
    </w:p>
  </w:footnote>
  <w:footnote w:id="4">
    <w:p w14:paraId="3006E4F7" w14:textId="6BEEBC11" w:rsidR="00E823D9" w:rsidRDefault="00E823D9" w:rsidP="00E823D9">
      <w:pPr>
        <w:pStyle w:val="FootnoteText"/>
      </w:pPr>
      <w:r>
        <w:rPr>
          <w:rStyle w:val="FootnoteReference"/>
        </w:rPr>
        <w:footnoteRef/>
      </w:r>
      <w:r>
        <w:t xml:space="preserve"> Wenzel M, </w:t>
      </w:r>
      <w:proofErr w:type="spellStart"/>
      <w:r>
        <w:t>Preisser</w:t>
      </w:r>
      <w:proofErr w:type="spellEnd"/>
      <w:r>
        <w:t xml:space="preserve"> F, </w:t>
      </w:r>
      <w:proofErr w:type="spellStart"/>
      <w:r>
        <w:t>Hoeh</w:t>
      </w:r>
      <w:proofErr w:type="spellEnd"/>
      <w:r>
        <w:t xml:space="preserve"> B, Schroeder M, </w:t>
      </w:r>
      <w:proofErr w:type="spellStart"/>
      <w:r>
        <w:t>Würnschimmel</w:t>
      </w:r>
      <w:proofErr w:type="spellEnd"/>
      <w:r>
        <w:t xml:space="preserve"> C, </w:t>
      </w:r>
      <w:proofErr w:type="spellStart"/>
      <w:r>
        <w:t>Steuber</w:t>
      </w:r>
      <w:proofErr w:type="spellEnd"/>
      <w:r>
        <w:t xml:space="preserve"> T, et al. Impact of Time to Castration Resistance on Survival in Metastatic Hormone Sensitive Prostate Cancer Patients in the Era of Combination Therapies. Front Oncol. </w:t>
      </w:r>
      <w:proofErr w:type="gramStart"/>
      <w:r>
        <w:t>2021;11:659135</w:t>
      </w:r>
      <w:proofErr w:type="gramEnd"/>
      <w:r>
        <w:t>.</w:t>
      </w:r>
    </w:p>
  </w:footnote>
  <w:footnote w:id="5">
    <w:p w14:paraId="7404147D" w14:textId="2152F87F" w:rsidR="00CA3C9D" w:rsidRDefault="00CA3C9D">
      <w:pPr>
        <w:pStyle w:val="FootnoteText"/>
      </w:pPr>
      <w:r>
        <w:rPr>
          <w:rStyle w:val="FootnoteReference"/>
        </w:rPr>
        <w:footnoteRef/>
      </w:r>
      <w:r>
        <w:t xml:space="preserve"> </w:t>
      </w:r>
      <w:hyperlink r:id="rId3" w:history="1">
        <w:r w:rsidR="00D05B3F" w:rsidRPr="007A4D77">
          <w:rPr>
            <w:rStyle w:val="Hyperlink"/>
          </w:rPr>
          <w:t>https://www.eviq.org.au/medical-oncology/urogenital/prostate</w:t>
        </w:r>
      </w:hyperlink>
      <w:r w:rsidR="00D05B3F">
        <w:t xml:space="preserve"> </w:t>
      </w:r>
    </w:p>
  </w:footnote>
  <w:footnote w:id="6">
    <w:p w14:paraId="3A89151C" w14:textId="45125449" w:rsidR="00AD74A2" w:rsidRDefault="00AD74A2">
      <w:pPr>
        <w:pStyle w:val="FootnoteText"/>
      </w:pPr>
      <w:r>
        <w:rPr>
          <w:rStyle w:val="FootnoteReference"/>
        </w:rPr>
        <w:footnoteRef/>
      </w:r>
      <w:r>
        <w:t xml:space="preserve"> </w:t>
      </w:r>
      <w:r w:rsidR="005C4FB0">
        <w:t xml:space="preserve">Dawson, NA. </w:t>
      </w:r>
      <w:r w:rsidRPr="00AD74A2">
        <w:t>Patient education: Treatment for advanced prostate cancer (Beyond the Basics)</w:t>
      </w:r>
      <w:r w:rsidR="00337E6F">
        <w:t xml:space="preserve">. </w:t>
      </w:r>
      <w:r w:rsidR="00746ABC">
        <w:t>In UpToDate</w:t>
      </w:r>
      <w:r w:rsidR="000F7C59">
        <w:t>:</w:t>
      </w:r>
      <w:r w:rsidR="00286984">
        <w:t xml:space="preserve"> </w:t>
      </w:r>
      <w:hyperlink r:id="rId4" w:history="1">
        <w:r w:rsidR="00286984" w:rsidRPr="007A4D77">
          <w:rPr>
            <w:rStyle w:val="Hyperlink"/>
          </w:rPr>
          <w:t>https://www.uptodate.com/contents/treatment-for-advanced-prostate-cancer-beyond-the-basics</w:t>
        </w:r>
      </w:hyperlink>
      <w:r w:rsidR="00286984">
        <w:t xml:space="preserve"> </w:t>
      </w:r>
    </w:p>
  </w:footnote>
  <w:footnote w:id="7">
    <w:p w14:paraId="3927C594" w14:textId="46C03D6F" w:rsidR="007204A4" w:rsidRDefault="007204A4" w:rsidP="007204A4">
      <w:pPr>
        <w:pStyle w:val="FootnoteText"/>
      </w:pPr>
      <w:r>
        <w:rPr>
          <w:rStyle w:val="FootnoteReference"/>
        </w:rPr>
        <w:footnoteRef/>
      </w:r>
      <w:r>
        <w:t xml:space="preserve"> Baumgart SJ, </w:t>
      </w:r>
      <w:proofErr w:type="spellStart"/>
      <w:r>
        <w:t>Nevedomskaya</w:t>
      </w:r>
      <w:proofErr w:type="spellEnd"/>
      <w:r>
        <w:t xml:space="preserve"> E, </w:t>
      </w:r>
      <w:proofErr w:type="spellStart"/>
      <w:r>
        <w:t>Lesche</w:t>
      </w:r>
      <w:proofErr w:type="spellEnd"/>
      <w:r>
        <w:t xml:space="preserve"> R, Newman R, </w:t>
      </w:r>
      <w:proofErr w:type="spellStart"/>
      <w:r>
        <w:t>Mumberg</w:t>
      </w:r>
      <w:proofErr w:type="spellEnd"/>
      <w:r>
        <w:t xml:space="preserve"> D, </w:t>
      </w:r>
      <w:proofErr w:type="spellStart"/>
      <w:r>
        <w:t>Haendler</w:t>
      </w:r>
      <w:proofErr w:type="spellEnd"/>
      <w:r>
        <w:t xml:space="preserve"> B. Darolutamide antagonizes androgen </w:t>
      </w:r>
      <w:proofErr w:type="spellStart"/>
      <w:r>
        <w:t>signaling</w:t>
      </w:r>
      <w:proofErr w:type="spellEnd"/>
      <w:r>
        <w:t xml:space="preserve"> by blocking enhancer and </w:t>
      </w:r>
      <w:proofErr w:type="spellStart"/>
      <w:r>
        <w:t>superenhancer</w:t>
      </w:r>
      <w:proofErr w:type="spellEnd"/>
      <w:r>
        <w:t xml:space="preserve"> activation. Molecular Oncology. 2020 2020/09/01;14(9):2022-39.</w:t>
      </w:r>
    </w:p>
  </w:footnote>
  <w:footnote w:id="8">
    <w:p w14:paraId="6B8C0352" w14:textId="0F9B7952" w:rsidR="000C6577" w:rsidRDefault="000C6577" w:rsidP="000C6577">
      <w:pPr>
        <w:pStyle w:val="FootnoteText"/>
      </w:pPr>
      <w:r>
        <w:rPr>
          <w:rStyle w:val="FootnoteReference"/>
        </w:rPr>
        <w:footnoteRef/>
      </w:r>
      <w:r>
        <w:t xml:space="preserve"> </w:t>
      </w:r>
      <w:proofErr w:type="spellStart"/>
      <w:r>
        <w:t>Moilanen</w:t>
      </w:r>
      <w:proofErr w:type="spellEnd"/>
      <w:r>
        <w:t xml:space="preserve"> AM, </w:t>
      </w:r>
      <w:proofErr w:type="spellStart"/>
      <w:r>
        <w:t>Riikonen</w:t>
      </w:r>
      <w:proofErr w:type="spellEnd"/>
      <w:r>
        <w:t xml:space="preserve"> R, </w:t>
      </w:r>
      <w:proofErr w:type="spellStart"/>
      <w:r>
        <w:t>Oksala</w:t>
      </w:r>
      <w:proofErr w:type="spellEnd"/>
      <w:r>
        <w:t xml:space="preserve"> R, </w:t>
      </w:r>
      <w:proofErr w:type="spellStart"/>
      <w:r>
        <w:t>Ravanti</w:t>
      </w:r>
      <w:proofErr w:type="spellEnd"/>
      <w:r>
        <w:t xml:space="preserve"> L, </w:t>
      </w:r>
      <w:proofErr w:type="spellStart"/>
      <w:r>
        <w:t>Aho</w:t>
      </w:r>
      <w:proofErr w:type="spellEnd"/>
      <w:r>
        <w:t xml:space="preserve"> E, </w:t>
      </w:r>
      <w:proofErr w:type="spellStart"/>
      <w:r>
        <w:t>Wohlfahrt</w:t>
      </w:r>
      <w:proofErr w:type="spellEnd"/>
      <w:r>
        <w:t xml:space="preserve"> G, et al. Discovery of ODM-201, a new-generation androgen receptor inhibitor targeting resistance mechanisms to androgen </w:t>
      </w:r>
      <w:proofErr w:type="spellStart"/>
      <w:r>
        <w:t>signaling</w:t>
      </w:r>
      <w:proofErr w:type="spellEnd"/>
      <w:r>
        <w:t>-directed prostate cancer therapies. Sci Rep. 2015</w:t>
      </w:r>
    </w:p>
    <w:p w14:paraId="64EF90C1" w14:textId="75684BC9" w:rsidR="000C6577" w:rsidRDefault="000C6577" w:rsidP="000C6577">
      <w:pPr>
        <w:pStyle w:val="FootnoteText"/>
      </w:pPr>
      <w:r>
        <w:t xml:space="preserve">Jul </w:t>
      </w:r>
      <w:proofErr w:type="gramStart"/>
      <w:r>
        <w:t>3;5:12007</w:t>
      </w:r>
      <w:proofErr w:type="gramEnd"/>
      <w:r>
        <w:t>.</w:t>
      </w:r>
    </w:p>
  </w:footnote>
  <w:footnote w:id="9">
    <w:p w14:paraId="252700B4" w14:textId="741C6BD7" w:rsidR="005F4DAA" w:rsidRDefault="005F4DAA" w:rsidP="005F4DAA">
      <w:pPr>
        <w:pStyle w:val="FootnoteText"/>
      </w:pPr>
      <w:r>
        <w:rPr>
          <w:rStyle w:val="FootnoteReference"/>
        </w:rPr>
        <w:footnoteRef/>
      </w:r>
      <w:r>
        <w:t xml:space="preserve"> Palmieri VE, </w:t>
      </w:r>
      <w:proofErr w:type="spellStart"/>
      <w:r>
        <w:t>Roviello</w:t>
      </w:r>
      <w:proofErr w:type="spellEnd"/>
      <w:r>
        <w:t xml:space="preserve"> G, D'Angelo A, </w:t>
      </w:r>
      <w:proofErr w:type="spellStart"/>
      <w:r>
        <w:t>Casadei</w:t>
      </w:r>
      <w:proofErr w:type="spellEnd"/>
      <w:r>
        <w:t xml:space="preserve"> C, De Giorgi U, Giorgione R. Darolutamide in hormone-sensitive and castration-resistant prostate cancer. Expert Rev Clin </w:t>
      </w:r>
      <w:proofErr w:type="spellStart"/>
      <w:r>
        <w:t>Pharmacol</w:t>
      </w:r>
      <w:proofErr w:type="spellEnd"/>
      <w:r>
        <w:t>. 2021 May;14(5):535-44.</w:t>
      </w:r>
    </w:p>
  </w:footnote>
  <w:footnote w:id="10">
    <w:p w14:paraId="343CA568" w14:textId="75F79F01" w:rsidR="00EA0CE8" w:rsidRDefault="00EA0CE8" w:rsidP="00EA0CE8">
      <w:pPr>
        <w:pStyle w:val="FootnoteText"/>
      </w:pPr>
      <w:r>
        <w:rPr>
          <w:rStyle w:val="FootnoteReference"/>
        </w:rPr>
        <w:footnoteRef/>
      </w:r>
      <w:r>
        <w:t xml:space="preserve"> Williams S, </w:t>
      </w:r>
      <w:proofErr w:type="spellStart"/>
      <w:r>
        <w:t>Mazibuko</w:t>
      </w:r>
      <w:proofErr w:type="spellEnd"/>
      <w:r>
        <w:t xml:space="preserve"> N, </w:t>
      </w:r>
      <w:proofErr w:type="spellStart"/>
      <w:r>
        <w:t>O’Daly</w:t>
      </w:r>
      <w:proofErr w:type="spellEnd"/>
      <w:r>
        <w:t xml:space="preserve"> O, </w:t>
      </w:r>
      <w:proofErr w:type="spellStart"/>
      <w:r>
        <w:t>Zurth</w:t>
      </w:r>
      <w:proofErr w:type="spellEnd"/>
      <w:r>
        <w:t xml:space="preserve"> C, Patrick F, Wooldridge C, et al. Significant localized reduction in cerebral blood flow (CBF) in regions relevant to cognitive function with enzalutamide (ENZA) compared to </w:t>
      </w:r>
      <w:proofErr w:type="spellStart"/>
      <w:r>
        <w:t>darolutamide</w:t>
      </w:r>
      <w:proofErr w:type="spellEnd"/>
      <w:r>
        <w:t xml:space="preserve"> (DARO) and placebo (PBO) in healthy volunteers. J Clin Oncol. 2020;38(6_suppl):326.</w:t>
      </w:r>
    </w:p>
  </w:footnote>
  <w:footnote w:id="11">
    <w:p w14:paraId="5887F8B2" w14:textId="4D21EFF1" w:rsidR="00AD39E5" w:rsidRDefault="00AD39E5" w:rsidP="00AD39E5">
      <w:pPr>
        <w:pStyle w:val="FootnoteText"/>
      </w:pPr>
      <w:r>
        <w:rPr>
          <w:rStyle w:val="FootnoteReference"/>
        </w:rPr>
        <w:footnoteRef/>
      </w:r>
      <w:r>
        <w:t xml:space="preserve"> Shore N, </w:t>
      </w:r>
      <w:proofErr w:type="spellStart"/>
      <w:r>
        <w:t>Zurth</w:t>
      </w:r>
      <w:proofErr w:type="spellEnd"/>
      <w:r>
        <w:t xml:space="preserve"> C, Fricke R, Gieschen H, </w:t>
      </w:r>
      <w:proofErr w:type="spellStart"/>
      <w:r>
        <w:t>Graudenz</w:t>
      </w:r>
      <w:proofErr w:type="spellEnd"/>
      <w:r>
        <w:t xml:space="preserve"> K, Koskinen M, et al. Evaluation of Clinically Relevant Drug-Drug Interactions and Population Pharmacokinetics of Darolutamide in Patients with Nonmetastatic Castration-Resistant Prostate Cancer: Results of Pre-Specified and Post Hoc Analyses of the Phase III ARAMIS Trial. Target Oncol. 2019 Oct;14(5):527-39</w:t>
      </w:r>
    </w:p>
  </w:footnote>
  <w:footnote w:id="12">
    <w:p w14:paraId="50AD7D8F" w14:textId="733484C9" w:rsidR="00404710" w:rsidRDefault="00404710">
      <w:pPr>
        <w:pStyle w:val="FootnoteText"/>
      </w:pPr>
      <w:r>
        <w:rPr>
          <w:rStyle w:val="FootnoteReference"/>
        </w:rPr>
        <w:footnoteRef/>
      </w:r>
      <w:r>
        <w:t xml:space="preserve"> Nubeqa AusPAR, </w:t>
      </w:r>
      <w:r w:rsidRPr="00404710">
        <w:t>2 July 2020</w:t>
      </w:r>
      <w:r>
        <w:t xml:space="preserve">: </w:t>
      </w:r>
      <w:hyperlink r:id="rId5" w:history="1">
        <w:r w:rsidRPr="00D019F1">
          <w:rPr>
            <w:rStyle w:val="Hyperlink"/>
          </w:rPr>
          <w:t>https://www.tga.gov.au/resources/auspar/auspar-darolutamide</w:t>
        </w:r>
      </w:hyperlink>
      <w:r>
        <w:t xml:space="preserve"> </w:t>
      </w:r>
    </w:p>
  </w:footnote>
  <w:footnote w:id="13">
    <w:p w14:paraId="224CD836" w14:textId="3E3D94D5" w:rsidR="00500D68" w:rsidRDefault="00500D68">
      <w:pPr>
        <w:pStyle w:val="FootnoteText"/>
      </w:pPr>
      <w:r>
        <w:rPr>
          <w:rStyle w:val="FootnoteReference"/>
        </w:rPr>
        <w:footnoteRef/>
      </w:r>
      <w:r>
        <w:t xml:space="preserve"> </w:t>
      </w:r>
      <w:r w:rsidR="00AD0111" w:rsidRPr="00AD0111">
        <w:t xml:space="preserve"> </w:t>
      </w:r>
      <w:r w:rsidR="00A25E6E" w:rsidRPr="00A25E6E">
        <w:t>The ‘Delegate’ is the Delegate of the Secretary of the Department of Health and Aged Care who made the final decision to either include the new medicine/indication on the ARTG or reject the submission, under section 25 of the Therapeutic Goods Act</w:t>
      </w:r>
    </w:p>
  </w:footnote>
  <w:footnote w:id="14">
    <w:p w14:paraId="41E61997" w14:textId="3E4F8451" w:rsidR="005D5AE0" w:rsidRDefault="005D5AE0">
      <w:pPr>
        <w:pStyle w:val="FootnoteText"/>
      </w:pPr>
      <w:r>
        <w:rPr>
          <w:rStyle w:val="FootnoteReference"/>
        </w:rPr>
        <w:footnoteRef/>
      </w:r>
      <w:r>
        <w:t xml:space="preserve"> </w:t>
      </w:r>
      <w:hyperlink r:id="rId6" w:history="1">
        <w:r w:rsidRPr="007A4D77">
          <w:rPr>
            <w:rStyle w:val="Hyperlink"/>
          </w:rPr>
          <w:t>https://recist.eortc.org/recist-1-1-2/</w:t>
        </w:r>
      </w:hyperlink>
      <w:r>
        <w:t xml:space="preserve"> </w:t>
      </w:r>
    </w:p>
  </w:footnote>
  <w:footnote w:id="15">
    <w:p w14:paraId="287687B9" w14:textId="5D328DCD" w:rsidR="00ED1026" w:rsidRDefault="00ED1026" w:rsidP="00ED1026">
      <w:pPr>
        <w:pStyle w:val="FootnoteText"/>
      </w:pPr>
      <w:r>
        <w:rPr>
          <w:rStyle w:val="FootnoteReference"/>
        </w:rPr>
        <w:footnoteRef/>
      </w:r>
      <w:r>
        <w:t xml:space="preserve"> </w:t>
      </w:r>
      <w:proofErr w:type="spellStart"/>
      <w:r>
        <w:t>Hor</w:t>
      </w:r>
      <w:proofErr w:type="spellEnd"/>
      <w:r>
        <w:t xml:space="preserve"> SY, Lee SC, Wong CI, Lim YW, Lim RC, Wang LZ, et al. PXR, CAR and HNF4α genotypes and their association with pharmacokinetics and pharmacodynamics of docetaxel and doxorubicin in Asian patients. Pharmacogenomics J. 2008</w:t>
      </w:r>
    </w:p>
    <w:p w14:paraId="1EE99171" w14:textId="7776D101" w:rsidR="00ED1026" w:rsidRDefault="00ED1026" w:rsidP="00ED1026">
      <w:pPr>
        <w:pStyle w:val="FootnoteText"/>
      </w:pPr>
      <w:r>
        <w:t xml:space="preserve">04/01;8(2):139-46. </w:t>
      </w:r>
    </w:p>
  </w:footnote>
  <w:footnote w:id="16">
    <w:p w14:paraId="542B6DE5" w14:textId="6197AED9" w:rsidR="006C61F3" w:rsidRDefault="006C61F3" w:rsidP="006C61F3">
      <w:pPr>
        <w:pStyle w:val="FootnoteText"/>
      </w:pPr>
      <w:r>
        <w:rPr>
          <w:rStyle w:val="FootnoteReference"/>
        </w:rPr>
        <w:footnoteRef/>
      </w:r>
      <w:r>
        <w:t xml:space="preserve"> </w:t>
      </w:r>
      <w:proofErr w:type="spellStart"/>
      <w:r>
        <w:t>Kenmotsu</w:t>
      </w:r>
      <w:proofErr w:type="spellEnd"/>
      <w:r>
        <w:t xml:space="preserve"> H, </w:t>
      </w:r>
      <w:proofErr w:type="spellStart"/>
      <w:r>
        <w:t>Tanigawara</w:t>
      </w:r>
      <w:proofErr w:type="spellEnd"/>
      <w:r>
        <w:t xml:space="preserve"> Y. Pharmacokinetics, </w:t>
      </w:r>
      <w:proofErr w:type="gramStart"/>
      <w:r>
        <w:t>dynamics</w:t>
      </w:r>
      <w:proofErr w:type="gramEnd"/>
      <w:r>
        <w:t xml:space="preserve"> and toxicity of docetaxel: Why the Japanese dose differs from the Western dose. Cancer Sci. 2015 May;106(5):497-504. </w:t>
      </w:r>
    </w:p>
  </w:footnote>
  <w:footnote w:id="17">
    <w:p w14:paraId="0B569195" w14:textId="41CF3877" w:rsidR="003E2B3F" w:rsidRDefault="003E2B3F" w:rsidP="003E2B3F">
      <w:pPr>
        <w:pStyle w:val="FootnoteText"/>
      </w:pPr>
      <w:r>
        <w:rPr>
          <w:rStyle w:val="FootnoteReference"/>
        </w:rPr>
        <w:footnoteRef/>
      </w:r>
      <w:r>
        <w:t xml:space="preserve"> Poon DM, Ng J, Chan K. Importance of cycles of chemotherapy and </w:t>
      </w:r>
      <w:proofErr w:type="spellStart"/>
      <w:r>
        <w:t>postdocetaxel</w:t>
      </w:r>
      <w:proofErr w:type="spellEnd"/>
      <w:r>
        <w:t xml:space="preserve"> novel therapies in metastatic castration-resistant prostate cancer. Prostate Int. 2015 Jun;3(2):51-5.</w:t>
      </w:r>
    </w:p>
  </w:footnote>
  <w:footnote w:id="18">
    <w:p w14:paraId="7E0314A5" w14:textId="2CCF6C57" w:rsidR="005E4A8F" w:rsidRDefault="005E4A8F" w:rsidP="005E4A8F">
      <w:pPr>
        <w:pStyle w:val="FootnoteText"/>
      </w:pPr>
      <w:r>
        <w:rPr>
          <w:rStyle w:val="FootnoteReference"/>
        </w:rPr>
        <w:footnoteRef/>
      </w:r>
      <w:r>
        <w:t xml:space="preserve"> Poon DMC, Chan T, Chan K, Chan M, Lee EKC, Law K, et al. Preliminary efficacy and tolerability of </w:t>
      </w:r>
      <w:proofErr w:type="spellStart"/>
      <w:r>
        <w:t>chemohormonal</w:t>
      </w:r>
      <w:proofErr w:type="spellEnd"/>
      <w:r>
        <w:t xml:space="preserve"> therapy in metastatic hormone-naïve prostate </w:t>
      </w:r>
      <w:proofErr w:type="spellStart"/>
      <w:proofErr w:type="gramStart"/>
      <w:r>
        <w:t>cancer:The</w:t>
      </w:r>
      <w:proofErr w:type="spellEnd"/>
      <w:proofErr w:type="gramEnd"/>
      <w:r>
        <w:t xml:space="preserve"> first real-life experience in Asia. Asia Pac J Clin Oncol. 2018 Aug;14(4):347-52.</w:t>
      </w:r>
    </w:p>
  </w:footnote>
  <w:footnote w:id="19">
    <w:p w14:paraId="095D480C" w14:textId="65F3B161" w:rsidR="005E4A8F" w:rsidRDefault="005E4A8F" w:rsidP="00895EE9">
      <w:pPr>
        <w:pStyle w:val="FootnoteText"/>
      </w:pPr>
      <w:r>
        <w:rPr>
          <w:rStyle w:val="FootnoteReference"/>
        </w:rPr>
        <w:footnoteRef/>
      </w:r>
      <w:r>
        <w:t xml:space="preserve"> </w:t>
      </w:r>
      <w:r w:rsidR="00895EE9">
        <w:t>Poon DMC, Chan K, Chan TW, Ng B, Siu S, Ng J, et al. Prevention of docetaxel-associated febrile neutropenia with primary granulocyte colony-stimulating factor in Chinese metastatic hormone-sensitive and castration-resistant prostate cancer patients. Asia Pac J Clin Oncol. 2021 Apr;17 Suppl 3:39-</w:t>
      </w:r>
      <w:proofErr w:type="gramStart"/>
      <w:r w:rsidR="00895EE9">
        <w:t>47.</w:t>
      </w:r>
      <w:r>
        <w:t>.</w:t>
      </w:r>
      <w:proofErr w:type="gramEnd"/>
    </w:p>
  </w:footnote>
  <w:footnote w:id="20">
    <w:p w14:paraId="63BFFB82" w14:textId="4300719E" w:rsidR="009854F9" w:rsidRDefault="009854F9" w:rsidP="009854F9">
      <w:pPr>
        <w:pStyle w:val="FootnoteText"/>
      </w:pPr>
      <w:r>
        <w:rPr>
          <w:rStyle w:val="FootnoteReference"/>
        </w:rPr>
        <w:footnoteRef/>
      </w:r>
      <w:r>
        <w:t xml:space="preserve"> Michaelson MD, Cotter SE, </w:t>
      </w:r>
      <w:proofErr w:type="spellStart"/>
      <w:r>
        <w:t>Gargollo</w:t>
      </w:r>
      <w:proofErr w:type="spellEnd"/>
      <w:r>
        <w:t xml:space="preserve"> PC, </w:t>
      </w:r>
      <w:proofErr w:type="spellStart"/>
      <w:r>
        <w:t>Zietman</w:t>
      </w:r>
      <w:proofErr w:type="spellEnd"/>
      <w:r>
        <w:t xml:space="preserve"> AL, Dahl DM, Smith MR. Management of complications of prostate cancer treatment. CA Cancer J Clin. 2008 Jul- Aug;58(4):196-213.</w:t>
      </w:r>
    </w:p>
  </w:footnote>
  <w:footnote w:id="21">
    <w:p w14:paraId="47A6EE4F" w14:textId="74652AEE" w:rsidR="00A566CE" w:rsidRDefault="00A566CE" w:rsidP="00A566CE">
      <w:pPr>
        <w:pStyle w:val="FootnoteText"/>
      </w:pPr>
      <w:r>
        <w:rPr>
          <w:rStyle w:val="FootnoteReference"/>
        </w:rPr>
        <w:footnoteRef/>
      </w:r>
      <w:r>
        <w:t xml:space="preserve"> Rhee H, Gunter JH, Heathcote P, Ho K, Stricker P, Corcoran NM, et al. Adverse effects of androgen-deprivation therapy in prostate cancer and their management. BJU Int. 2015 Apr;115 Suppl 5:3-13</w:t>
      </w:r>
    </w:p>
  </w:footnote>
  <w:footnote w:id="22">
    <w:p w14:paraId="4E6B403F" w14:textId="49812E13" w:rsidR="00A566CE" w:rsidRDefault="00A566CE" w:rsidP="00A566CE">
      <w:pPr>
        <w:pStyle w:val="FootnoteText"/>
      </w:pPr>
      <w:r>
        <w:rPr>
          <w:rStyle w:val="FootnoteReference"/>
        </w:rPr>
        <w:footnoteRef/>
      </w:r>
      <w:r>
        <w:t xml:space="preserve"> Sharifi N, Gulley JL, </w:t>
      </w:r>
      <w:proofErr w:type="spellStart"/>
      <w:r>
        <w:t>Dahut</w:t>
      </w:r>
      <w:proofErr w:type="spellEnd"/>
      <w:r>
        <w:t xml:space="preserve"> WL. Androgen deprivation therapy for prostate cancer. JAMA. 2005 Jul 13;294(2):238-44.</w:t>
      </w:r>
    </w:p>
  </w:footnote>
  <w:footnote w:id="23">
    <w:p w14:paraId="37B1AB99" w14:textId="0A3C3FB7" w:rsidR="00054819" w:rsidRDefault="00054819" w:rsidP="00054819">
      <w:pPr>
        <w:pStyle w:val="FootnoteText"/>
      </w:pPr>
      <w:r>
        <w:rPr>
          <w:rStyle w:val="FootnoteReference"/>
        </w:rPr>
        <w:footnoteRef/>
      </w:r>
      <w:r>
        <w:t xml:space="preserve"> Hussain M, </w:t>
      </w:r>
      <w:proofErr w:type="spellStart"/>
      <w:r>
        <w:t>Fizazi</w:t>
      </w:r>
      <w:proofErr w:type="spellEnd"/>
      <w:r>
        <w:t xml:space="preserve"> K, Saad F, </w:t>
      </w:r>
      <w:proofErr w:type="spellStart"/>
      <w:r>
        <w:t>Rathenborg</w:t>
      </w:r>
      <w:proofErr w:type="spellEnd"/>
      <w:r>
        <w:t xml:space="preserve"> P, Shore N, Ferreira U, et al. Enzalutamide in Men with Nonmetastatic, Castration-Resistant Prostate Cancer. N Engl J Med. 2018 Jun 28;378(26):2465-74</w:t>
      </w:r>
    </w:p>
  </w:footnote>
  <w:footnote w:id="24">
    <w:p w14:paraId="22038266" w14:textId="1E4DFBFD" w:rsidR="00AD1717" w:rsidRDefault="00AD1717" w:rsidP="00AD1717">
      <w:pPr>
        <w:pStyle w:val="FootnoteText"/>
      </w:pPr>
      <w:r>
        <w:rPr>
          <w:rStyle w:val="FootnoteReference"/>
        </w:rPr>
        <w:footnoteRef/>
      </w:r>
      <w:r>
        <w:t xml:space="preserve"> Smith MR, Saad F, Chowdhury S, </w:t>
      </w:r>
      <w:proofErr w:type="spellStart"/>
      <w:r>
        <w:t>Oudard</w:t>
      </w:r>
      <w:proofErr w:type="spellEnd"/>
      <w:r>
        <w:t xml:space="preserve"> S, </w:t>
      </w:r>
      <w:proofErr w:type="spellStart"/>
      <w:r>
        <w:t>Hadaschik</w:t>
      </w:r>
      <w:proofErr w:type="spellEnd"/>
      <w:r>
        <w:t xml:space="preserve"> BA, Graff JN, et al. Apalutamide Treatment and Metastasis-free Survival in Prostate Cancer. N Engl J Med. 2018 Apr 12;378(15):1408-18</w:t>
      </w:r>
    </w:p>
  </w:footnote>
  <w:footnote w:id="25">
    <w:p w14:paraId="14652BCA" w14:textId="79C762E2" w:rsidR="00E66102" w:rsidRDefault="00E66102">
      <w:pPr>
        <w:pStyle w:val="FootnoteText"/>
      </w:pPr>
      <w:r>
        <w:rPr>
          <w:rStyle w:val="FootnoteReference"/>
        </w:rPr>
        <w:footnoteRef/>
      </w:r>
      <w:r>
        <w:t xml:space="preserve"> </w:t>
      </w:r>
      <w:r w:rsidRPr="00E66102">
        <w:t xml:space="preserve">Shore ND, Luz M, </w:t>
      </w:r>
      <w:proofErr w:type="spellStart"/>
      <w:r w:rsidRPr="00E66102">
        <w:t>Ulys</w:t>
      </w:r>
      <w:proofErr w:type="spellEnd"/>
      <w:r w:rsidRPr="00E66102">
        <w:t xml:space="preserve"> A, Ortiz J, Srinivasan S, Kurland E, et al. MP11-14 TREATMENT DURATION AND LONG-TERM SAFETY AND TOLERABILITY WITH DAROLUTAMIDE IN NONMETASTATIC CASTRATION-RESISTANT PROSTATE CANCER (</w:t>
      </w:r>
      <w:proofErr w:type="spellStart"/>
      <w:r w:rsidRPr="00E66102">
        <w:t>nmCRPC</w:t>
      </w:r>
      <w:proofErr w:type="spellEnd"/>
      <w:r w:rsidRPr="00E66102">
        <w:t>): ARAMIS ROLLOVER STUDY. Journal of Urology [Internet]. 2023 Apr 1 [cited 2024 Aug 25];209(Supplement 4</w:t>
      </w:r>
      <w:proofErr w:type="gramStart"/>
      <w:r w:rsidRPr="00E66102">
        <w:t>):e</w:t>
      </w:r>
      <w:proofErr w:type="gramEnd"/>
      <w:r w:rsidRPr="00E66102">
        <w:t>129. Available from: https://doi.org/10.1097/JU.0000000000003226.14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E3517" w14:textId="77777777" w:rsidR="007452E8" w:rsidRPr="00CB0550" w:rsidRDefault="007452E8" w:rsidP="00CB0550">
    <w:pPr>
      <w:pStyle w:val="Header"/>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leftFromText="181" w:rightFromText="181" w:vertAnchor="page" w:horzAnchor="page" w:tblpX="1" w:tblpY="8999"/>
      <w:tblOverlap w:val="never"/>
      <w:tblW w:w="11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964"/>
    </w:tblGrid>
    <w:tr w:rsidR="007452E8" w:rsidRPr="002B29B2" w14:paraId="3E15C3BC" w14:textId="77777777" w:rsidTr="007452E8">
      <w:trPr>
        <w:trHeight w:hRule="exact" w:val="8845"/>
      </w:trPr>
      <w:tc>
        <w:tcPr>
          <w:tcW w:w="11964" w:type="dxa"/>
          <w:vAlign w:val="center"/>
        </w:tcPr>
        <w:p w14:paraId="6FDE4BFB" w14:textId="77777777" w:rsidR="007452E8" w:rsidRPr="002B29B2" w:rsidRDefault="001F4323" w:rsidP="007452E8">
          <w:pPr>
            <w:ind w:left="-57"/>
            <w:rPr>
              <w:noProof/>
            </w:rPr>
          </w:pPr>
          <w:sdt>
            <w:sdtPr>
              <w:rPr>
                <w:noProof/>
              </w:rPr>
              <w:id w:val="1926993388"/>
              <w:showingPlcHdr/>
              <w:picture/>
            </w:sdtPr>
            <w:sdtEndPr/>
            <w:sdtContent>
              <w:r w:rsidR="007452E8" w:rsidRPr="00F71E1E">
                <w:rPr>
                  <w:noProof/>
                  <w:lang w:val="en-GB" w:eastAsia="en-GB"/>
                </w:rPr>
                <w:drawing>
                  <wp:inline distT="0" distB="0" distL="0" distR="0" wp14:anchorId="5C7F8AC9" wp14:editId="23FC1BBE">
                    <wp:extent cx="7631430" cy="5523865"/>
                    <wp:effectExtent l="0" t="0" r="762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1"/>
                            <pic:cNvPicPr>
                              <a:picLocks noChangeAspect="1" noChangeArrowheads="1"/>
                            </pic:cNvPicPr>
                          </pic:nvPicPr>
                          <pic:blipFill>
                            <a:blip r:embed="rId1" cstate="print"/>
                            <a:srcRect/>
                            <a:stretch>
                              <a:fillRect/>
                            </a:stretch>
                          </pic:blipFill>
                          <pic:spPr bwMode="auto">
                            <a:xfrm>
                              <a:off x="0" y="0"/>
                              <a:ext cx="7631430" cy="5523865"/>
                            </a:xfrm>
                            <a:prstGeom prst="rect">
                              <a:avLst/>
                            </a:prstGeom>
                            <a:noFill/>
                            <a:ln w="9525">
                              <a:noFill/>
                              <a:miter lim="800000"/>
                              <a:headEnd/>
                              <a:tailEnd/>
                            </a:ln>
                          </pic:spPr>
                        </pic:pic>
                      </a:graphicData>
                    </a:graphic>
                  </wp:inline>
                </w:drawing>
              </w:r>
            </w:sdtContent>
          </w:sdt>
        </w:p>
      </w:tc>
    </w:tr>
  </w:tbl>
  <w:p w14:paraId="6402DE55" w14:textId="77777777" w:rsidR="007452E8" w:rsidRDefault="007452E8" w:rsidP="007452E8">
    <w:pPr>
      <w:rPr>
        <w:noProof/>
      </w:rPr>
    </w:pPr>
    <w:r>
      <w:rPr>
        <w:noProof/>
        <w:lang w:val="en-GB" w:eastAsia="en-GB"/>
      </w:rPr>
      <w:drawing>
        <wp:anchor distT="0" distB="0" distL="114300" distR="114300" simplePos="0" relativeHeight="251661312" behindDoc="0" locked="0" layoutInCell="1" allowOverlap="1" wp14:anchorId="19C10218" wp14:editId="1C7A23CB">
          <wp:simplePos x="0" y="0"/>
          <wp:positionH relativeFrom="column">
            <wp:posOffset>-400050</wp:posOffset>
          </wp:positionH>
          <wp:positionV relativeFrom="paragraph">
            <wp:posOffset>-116205</wp:posOffset>
          </wp:positionV>
          <wp:extent cx="2676525" cy="621665"/>
          <wp:effectExtent l="0" t="0" r="9525" b="6985"/>
          <wp:wrapTopAndBottom/>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676525" cy="6216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2B29B2">
      <w:rPr>
        <w:noProof/>
        <w:lang w:val="en-GB" w:eastAsia="en-GB"/>
      </w:rPr>
      <w:drawing>
        <wp:anchor distT="0" distB="0" distL="114300" distR="114300" simplePos="0" relativeHeight="251660288" behindDoc="0" locked="0" layoutInCell="0" allowOverlap="1" wp14:anchorId="14BBEAC1" wp14:editId="0829B6F3">
          <wp:simplePos x="0" y="0"/>
          <wp:positionH relativeFrom="page">
            <wp:align>left</wp:align>
          </wp:positionH>
          <wp:positionV relativeFrom="page">
            <wp:posOffset>3239495</wp:posOffset>
          </wp:positionV>
          <wp:extent cx="7663815" cy="4323091"/>
          <wp:effectExtent l="0" t="0" r="0" b="127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7663815" cy="432309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1632D" w14:textId="5F0B337C" w:rsidR="007452E8" w:rsidRDefault="007452E8" w:rsidP="007452E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B477B" w14:textId="77777777" w:rsidR="007452E8" w:rsidRPr="00FE501F" w:rsidRDefault="007452E8" w:rsidP="007452E8">
    <w:pPr>
      <w:pStyle w:val="Headernoli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35978"/>
    <w:multiLevelType w:val="hybridMultilevel"/>
    <w:tmpl w:val="27BEEB3E"/>
    <w:lvl w:ilvl="0" w:tplc="0C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 w15:restartNumberingAfterBreak="0">
    <w:nsid w:val="063C5C75"/>
    <w:multiLevelType w:val="hybridMultilevel"/>
    <w:tmpl w:val="DE225562"/>
    <w:lvl w:ilvl="0" w:tplc="0C090001">
      <w:start w:val="1"/>
      <w:numFmt w:val="bullet"/>
      <w:lvlText w:val=""/>
      <w:lvlJc w:val="left"/>
      <w:pPr>
        <w:ind w:left="720" w:hanging="360"/>
      </w:pPr>
      <w:rPr>
        <w:rFonts w:ascii="Symbol" w:hAnsi="Symbol" w:hint="default"/>
      </w:rPr>
    </w:lvl>
    <w:lvl w:ilvl="1" w:tplc="ECC28798">
      <w:numFmt w:val="bullet"/>
      <w:lvlText w:val="-"/>
      <w:lvlJc w:val="left"/>
      <w:pPr>
        <w:ind w:left="1440" w:hanging="360"/>
      </w:pPr>
      <w:rPr>
        <w:rFonts w:ascii="Cambria" w:eastAsiaTheme="minorHAnsi" w:hAnsi="Cambria" w:cstheme="minorBid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0053F11"/>
    <w:multiLevelType w:val="multilevel"/>
    <w:tmpl w:val="9B4A173E"/>
    <w:styleLink w:val="NumberBullet"/>
    <w:lvl w:ilvl="0">
      <w:start w:val="1"/>
      <w:numFmt w:val="decimal"/>
      <w:pStyle w:val="Numberbullet0"/>
      <w:lvlText w:val="%1."/>
      <w:lvlJc w:val="left"/>
      <w:pPr>
        <w:ind w:left="360" w:hanging="360"/>
      </w:pPr>
      <w:rPr>
        <w:rFonts w:ascii="Arial" w:hAnsi="Arial" w:hint="default"/>
      </w:rPr>
    </w:lvl>
    <w:lvl w:ilvl="1">
      <w:start w:val="1"/>
      <w:numFmt w:val="lowerLetter"/>
      <w:pStyle w:val="Numberbullet2"/>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3" w15:restartNumberingAfterBreak="0">
    <w:nsid w:val="163F187C"/>
    <w:multiLevelType w:val="hybridMultilevel"/>
    <w:tmpl w:val="20409048"/>
    <w:lvl w:ilvl="0" w:tplc="669A989C">
      <w:start w:val="4"/>
      <w:numFmt w:val="bullet"/>
      <w:pStyle w:val="ListBullet3"/>
      <w:lvlText w:val="▪"/>
      <w:lvlJc w:val="left"/>
      <w:pPr>
        <w:ind w:left="1571" w:hanging="360"/>
      </w:pPr>
      <w:rPr>
        <w:rFonts w:ascii="Arial" w:eastAsia="Cambria" w:hAnsi="Aria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4" w15:restartNumberingAfterBreak="0">
    <w:nsid w:val="168F13E9"/>
    <w:multiLevelType w:val="multilevel"/>
    <w:tmpl w:val="520883D8"/>
    <w:styleLink w:val="ListBullets"/>
    <w:lvl w:ilvl="0">
      <w:start w:val="4"/>
      <w:numFmt w:val="bullet"/>
      <w:pStyle w:val="ListBullet"/>
      <w:lvlText w:val="•"/>
      <w:lvlJc w:val="left"/>
      <w:pPr>
        <w:ind w:left="360" w:hanging="360"/>
      </w:pPr>
      <w:rPr>
        <w:rFonts w:ascii="Cambria" w:eastAsia="Cambria" w:hAnsi="Cambria" w:hint="default"/>
      </w:rPr>
    </w:lvl>
    <w:lvl w:ilvl="1">
      <w:start w:val="1"/>
      <w:numFmt w:val="bullet"/>
      <w:pStyle w:val="ListBullet2"/>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5" w15:restartNumberingAfterBreak="0">
    <w:nsid w:val="1D6E2E27"/>
    <w:multiLevelType w:val="hybridMultilevel"/>
    <w:tmpl w:val="A856740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15:restartNumberingAfterBreak="0">
    <w:nsid w:val="23FB1C56"/>
    <w:multiLevelType w:val="multilevel"/>
    <w:tmpl w:val="339EBC96"/>
    <w:lvl w:ilvl="0">
      <w:start w:val="1"/>
      <w:numFmt w:val="bullet"/>
      <w:pStyle w:val="ListBullet-dotick"/>
      <w:lvlText w:val=""/>
      <w:lvlJc w:val="left"/>
      <w:pPr>
        <w:ind w:left="360" w:hanging="360"/>
      </w:pPr>
      <w:rPr>
        <w:rFonts w:ascii="Wingdings" w:hAnsi="Wingdings" w:hint="default"/>
        <w:b/>
        <w:i w:val="0"/>
        <w:color w:val="00B050"/>
        <w:sz w:val="24"/>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7" w15:restartNumberingAfterBreak="0">
    <w:nsid w:val="2B9B0D61"/>
    <w:multiLevelType w:val="hybridMultilevel"/>
    <w:tmpl w:val="C5B40E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E9125F1"/>
    <w:multiLevelType w:val="hybridMultilevel"/>
    <w:tmpl w:val="A7F04F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5E710E5"/>
    <w:multiLevelType w:val="hybridMultilevel"/>
    <w:tmpl w:val="868AE32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 w15:restartNumberingAfterBreak="0">
    <w:nsid w:val="37C36D37"/>
    <w:multiLevelType w:val="hybridMultilevel"/>
    <w:tmpl w:val="50CC12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89B15D7"/>
    <w:multiLevelType w:val="hybridMultilevel"/>
    <w:tmpl w:val="3D2E60CC"/>
    <w:lvl w:ilvl="0" w:tplc="04CEB5FC">
      <w:start w:val="1"/>
      <w:numFmt w:val="bullet"/>
      <w:pStyle w:val="Bulletpoint"/>
      <w:lvlText w:val=""/>
      <w:lvlJc w:val="left"/>
      <w:pPr>
        <w:tabs>
          <w:tab w:val="num" w:pos="369"/>
        </w:tabs>
        <w:ind w:left="369" w:hanging="227"/>
      </w:pPr>
      <w:rPr>
        <w:rFonts w:ascii="Symbol" w:hAnsi="Symbol" w:hint="default"/>
        <w:position w:val="0"/>
        <w:sz w:val="22"/>
        <w:szCs w:val="22"/>
      </w:rPr>
    </w:lvl>
    <w:lvl w:ilvl="1" w:tplc="0C090003" w:tentative="1">
      <w:start w:val="1"/>
      <w:numFmt w:val="bullet"/>
      <w:lvlText w:val="o"/>
      <w:lvlJc w:val="left"/>
      <w:pPr>
        <w:tabs>
          <w:tab w:val="num" w:pos="1440"/>
        </w:tabs>
        <w:ind w:left="1440" w:hanging="360"/>
      </w:pPr>
      <w:rPr>
        <w:rFonts w:ascii="Courier New" w:hAnsi="Courier New" w:cs="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F7912C9"/>
    <w:multiLevelType w:val="multilevel"/>
    <w:tmpl w:val="D6F4F1DE"/>
    <w:lvl w:ilvl="0">
      <w:start w:val="1"/>
      <w:numFmt w:val="bullet"/>
      <w:pStyle w:val="ListBullet-donotcross"/>
      <w:lvlText w:val=""/>
      <w:lvlJc w:val="left"/>
      <w:pPr>
        <w:ind w:left="785" w:hanging="360"/>
      </w:pPr>
      <w:rPr>
        <w:rFonts w:ascii="Wingdings" w:hAnsi="Wingdings" w:hint="default"/>
        <w:b/>
        <w:i w:val="0"/>
        <w:color w:val="800000"/>
        <w:sz w:val="26"/>
        <w:szCs w:val="22"/>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13" w15:restartNumberingAfterBreak="0">
    <w:nsid w:val="50336B0D"/>
    <w:multiLevelType w:val="hybridMultilevel"/>
    <w:tmpl w:val="5D54CD1A"/>
    <w:lvl w:ilvl="0" w:tplc="4EDE096A">
      <w:start w:val="1"/>
      <w:numFmt w:val="lowerRoman"/>
      <w:pStyle w:val="Numberbullet3"/>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526C3DA3"/>
    <w:multiLevelType w:val="hybridMultilevel"/>
    <w:tmpl w:val="B14AE338"/>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5" w15:restartNumberingAfterBreak="0">
    <w:nsid w:val="57E071A9"/>
    <w:multiLevelType w:val="hybridMultilevel"/>
    <w:tmpl w:val="626C544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 w15:restartNumberingAfterBreak="0">
    <w:nsid w:val="62E1248D"/>
    <w:multiLevelType w:val="hybridMultilevel"/>
    <w:tmpl w:val="62FA71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30E5C63"/>
    <w:multiLevelType w:val="hybridMultilevel"/>
    <w:tmpl w:val="3D7AE5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3B01D4B"/>
    <w:multiLevelType w:val="hybridMultilevel"/>
    <w:tmpl w:val="B7360D5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2417017"/>
    <w:multiLevelType w:val="hybridMultilevel"/>
    <w:tmpl w:val="E2C8B2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032997172">
    <w:abstractNumId w:val="4"/>
  </w:num>
  <w:num w:numId="2" w16cid:durableId="1856573705">
    <w:abstractNumId w:val="2"/>
  </w:num>
  <w:num w:numId="3" w16cid:durableId="357703499">
    <w:abstractNumId w:val="3"/>
  </w:num>
  <w:num w:numId="4" w16cid:durableId="1869176708">
    <w:abstractNumId w:val="13"/>
  </w:num>
  <w:num w:numId="5" w16cid:durableId="1652950129">
    <w:abstractNumId w:val="6"/>
  </w:num>
  <w:num w:numId="6" w16cid:durableId="1053193207">
    <w:abstractNumId w:val="12"/>
  </w:num>
  <w:num w:numId="7" w16cid:durableId="271322899">
    <w:abstractNumId w:val="11"/>
  </w:num>
  <w:num w:numId="8" w16cid:durableId="770048205">
    <w:abstractNumId w:val="16"/>
  </w:num>
  <w:num w:numId="9" w16cid:durableId="243341912">
    <w:abstractNumId w:val="1"/>
  </w:num>
  <w:num w:numId="10" w16cid:durableId="1691175780">
    <w:abstractNumId w:val="8"/>
  </w:num>
  <w:num w:numId="11" w16cid:durableId="1518807291">
    <w:abstractNumId w:val="7"/>
  </w:num>
  <w:num w:numId="12" w16cid:durableId="642660585">
    <w:abstractNumId w:val="18"/>
  </w:num>
  <w:num w:numId="13" w16cid:durableId="1847282096">
    <w:abstractNumId w:val="19"/>
  </w:num>
  <w:num w:numId="14" w16cid:durableId="20740009">
    <w:abstractNumId w:val="17"/>
  </w:num>
  <w:num w:numId="15" w16cid:durableId="1566138181">
    <w:abstractNumId w:val="10"/>
  </w:num>
  <w:num w:numId="16" w16cid:durableId="1415318947">
    <w:abstractNumId w:val="15"/>
  </w:num>
  <w:num w:numId="17" w16cid:durableId="369257747">
    <w:abstractNumId w:val="14"/>
  </w:num>
  <w:num w:numId="18" w16cid:durableId="527062502">
    <w:abstractNumId w:val="5"/>
  </w:num>
  <w:num w:numId="19" w16cid:durableId="380713861">
    <w:abstractNumId w:val="0"/>
  </w:num>
  <w:num w:numId="20" w16cid:durableId="335423107">
    <w:abstractNumId w:val="9"/>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6EC2"/>
    <w:rsid w:val="00000E6E"/>
    <w:rsid w:val="00004070"/>
    <w:rsid w:val="00004431"/>
    <w:rsid w:val="00005062"/>
    <w:rsid w:val="000050B5"/>
    <w:rsid w:val="00007991"/>
    <w:rsid w:val="0001064C"/>
    <w:rsid w:val="00012575"/>
    <w:rsid w:val="00012E8D"/>
    <w:rsid w:val="0001384A"/>
    <w:rsid w:val="00014DD5"/>
    <w:rsid w:val="00032A0F"/>
    <w:rsid w:val="000363FC"/>
    <w:rsid w:val="00040D8D"/>
    <w:rsid w:val="00042F1F"/>
    <w:rsid w:val="00046423"/>
    <w:rsid w:val="00054819"/>
    <w:rsid w:val="0006104E"/>
    <w:rsid w:val="000640BD"/>
    <w:rsid w:val="00065839"/>
    <w:rsid w:val="00065FDF"/>
    <w:rsid w:val="00077844"/>
    <w:rsid w:val="0008560A"/>
    <w:rsid w:val="000904B4"/>
    <w:rsid w:val="00090510"/>
    <w:rsid w:val="0009070F"/>
    <w:rsid w:val="000917AE"/>
    <w:rsid w:val="00094B81"/>
    <w:rsid w:val="00095ED7"/>
    <w:rsid w:val="000975AA"/>
    <w:rsid w:val="000A0C74"/>
    <w:rsid w:val="000A4577"/>
    <w:rsid w:val="000B6B15"/>
    <w:rsid w:val="000C25A7"/>
    <w:rsid w:val="000C6207"/>
    <w:rsid w:val="000C6577"/>
    <w:rsid w:val="000D106F"/>
    <w:rsid w:val="000D16D4"/>
    <w:rsid w:val="000D78EC"/>
    <w:rsid w:val="000D7934"/>
    <w:rsid w:val="000E2597"/>
    <w:rsid w:val="000E2724"/>
    <w:rsid w:val="000E64CD"/>
    <w:rsid w:val="000E6746"/>
    <w:rsid w:val="000E7BB1"/>
    <w:rsid w:val="000F44E8"/>
    <w:rsid w:val="000F7B51"/>
    <w:rsid w:val="000F7C59"/>
    <w:rsid w:val="00101BEE"/>
    <w:rsid w:val="00101CE6"/>
    <w:rsid w:val="00101FB1"/>
    <w:rsid w:val="00103EB4"/>
    <w:rsid w:val="00104F97"/>
    <w:rsid w:val="0010558A"/>
    <w:rsid w:val="001101FF"/>
    <w:rsid w:val="00113F9F"/>
    <w:rsid w:val="00121A16"/>
    <w:rsid w:val="0012473C"/>
    <w:rsid w:val="00127A74"/>
    <w:rsid w:val="0013132F"/>
    <w:rsid w:val="0013306D"/>
    <w:rsid w:val="0013528C"/>
    <w:rsid w:val="0014309E"/>
    <w:rsid w:val="001442A2"/>
    <w:rsid w:val="001468CA"/>
    <w:rsid w:val="001500A8"/>
    <w:rsid w:val="001516B3"/>
    <w:rsid w:val="00155D85"/>
    <w:rsid w:val="001607DA"/>
    <w:rsid w:val="00163561"/>
    <w:rsid w:val="00165D28"/>
    <w:rsid w:val="0017005C"/>
    <w:rsid w:val="00175CD8"/>
    <w:rsid w:val="00175D4F"/>
    <w:rsid w:val="001769BB"/>
    <w:rsid w:val="00182BD8"/>
    <w:rsid w:val="001A0C75"/>
    <w:rsid w:val="001A26EE"/>
    <w:rsid w:val="001A76F9"/>
    <w:rsid w:val="001B06FF"/>
    <w:rsid w:val="001B0B76"/>
    <w:rsid w:val="001B1703"/>
    <w:rsid w:val="001B27E2"/>
    <w:rsid w:val="001C0E6F"/>
    <w:rsid w:val="001C1C2E"/>
    <w:rsid w:val="001C31A1"/>
    <w:rsid w:val="001C3FA2"/>
    <w:rsid w:val="001C45E0"/>
    <w:rsid w:val="001C5EE2"/>
    <w:rsid w:val="001D0077"/>
    <w:rsid w:val="001E407B"/>
    <w:rsid w:val="001E7FC6"/>
    <w:rsid w:val="001F2502"/>
    <w:rsid w:val="001F4323"/>
    <w:rsid w:val="001F5B03"/>
    <w:rsid w:val="001F70A5"/>
    <w:rsid w:val="0020235D"/>
    <w:rsid w:val="002032C7"/>
    <w:rsid w:val="002035FB"/>
    <w:rsid w:val="0020369B"/>
    <w:rsid w:val="00204314"/>
    <w:rsid w:val="00205E1E"/>
    <w:rsid w:val="0020686C"/>
    <w:rsid w:val="00207B4D"/>
    <w:rsid w:val="002117B1"/>
    <w:rsid w:val="00217CCE"/>
    <w:rsid w:val="002203B1"/>
    <w:rsid w:val="0022102E"/>
    <w:rsid w:val="00226F39"/>
    <w:rsid w:val="00230202"/>
    <w:rsid w:val="002334AD"/>
    <w:rsid w:val="00234770"/>
    <w:rsid w:val="00241B60"/>
    <w:rsid w:val="00250D10"/>
    <w:rsid w:val="0025785B"/>
    <w:rsid w:val="00257969"/>
    <w:rsid w:val="0026214B"/>
    <w:rsid w:val="0027026D"/>
    <w:rsid w:val="002723E2"/>
    <w:rsid w:val="00280048"/>
    <w:rsid w:val="0028489E"/>
    <w:rsid w:val="002848DE"/>
    <w:rsid w:val="00284E9F"/>
    <w:rsid w:val="00286984"/>
    <w:rsid w:val="00286AE8"/>
    <w:rsid w:val="0028794E"/>
    <w:rsid w:val="002A5841"/>
    <w:rsid w:val="002A5B4C"/>
    <w:rsid w:val="002B1EDF"/>
    <w:rsid w:val="002B2061"/>
    <w:rsid w:val="002B2F04"/>
    <w:rsid w:val="002C1232"/>
    <w:rsid w:val="002C1E44"/>
    <w:rsid w:val="002C5C92"/>
    <w:rsid w:val="002C5E29"/>
    <w:rsid w:val="002D0478"/>
    <w:rsid w:val="002D7127"/>
    <w:rsid w:val="002E019A"/>
    <w:rsid w:val="002E16E5"/>
    <w:rsid w:val="002F599E"/>
    <w:rsid w:val="003004F6"/>
    <w:rsid w:val="003008D8"/>
    <w:rsid w:val="00301D9A"/>
    <w:rsid w:val="003035FD"/>
    <w:rsid w:val="00303959"/>
    <w:rsid w:val="00306E72"/>
    <w:rsid w:val="00312AC3"/>
    <w:rsid w:val="00314430"/>
    <w:rsid w:val="003163BC"/>
    <w:rsid w:val="0032351A"/>
    <w:rsid w:val="00324B33"/>
    <w:rsid w:val="00327488"/>
    <w:rsid w:val="00331E9E"/>
    <w:rsid w:val="00336FE1"/>
    <w:rsid w:val="00337E6F"/>
    <w:rsid w:val="00342D16"/>
    <w:rsid w:val="00342D56"/>
    <w:rsid w:val="003456E7"/>
    <w:rsid w:val="00346EC2"/>
    <w:rsid w:val="003477F9"/>
    <w:rsid w:val="0035444D"/>
    <w:rsid w:val="00356D62"/>
    <w:rsid w:val="003572E7"/>
    <w:rsid w:val="00363EE3"/>
    <w:rsid w:val="003652A4"/>
    <w:rsid w:val="003735F3"/>
    <w:rsid w:val="00374729"/>
    <w:rsid w:val="00376E41"/>
    <w:rsid w:val="00387298"/>
    <w:rsid w:val="00387631"/>
    <w:rsid w:val="00387984"/>
    <w:rsid w:val="00395140"/>
    <w:rsid w:val="003978B2"/>
    <w:rsid w:val="003A02EE"/>
    <w:rsid w:val="003A09F1"/>
    <w:rsid w:val="003A2422"/>
    <w:rsid w:val="003A5CCE"/>
    <w:rsid w:val="003B149C"/>
    <w:rsid w:val="003B2158"/>
    <w:rsid w:val="003B489D"/>
    <w:rsid w:val="003B6302"/>
    <w:rsid w:val="003C0FDB"/>
    <w:rsid w:val="003C1192"/>
    <w:rsid w:val="003C55E2"/>
    <w:rsid w:val="003C63D5"/>
    <w:rsid w:val="003C7AA8"/>
    <w:rsid w:val="003D71A1"/>
    <w:rsid w:val="003E2B3F"/>
    <w:rsid w:val="003E44A6"/>
    <w:rsid w:val="003F1269"/>
    <w:rsid w:val="00404710"/>
    <w:rsid w:val="00407F6E"/>
    <w:rsid w:val="00412AF2"/>
    <w:rsid w:val="004138CC"/>
    <w:rsid w:val="004143C0"/>
    <w:rsid w:val="0041688F"/>
    <w:rsid w:val="0042376F"/>
    <w:rsid w:val="004246B8"/>
    <w:rsid w:val="004248F1"/>
    <w:rsid w:val="00433318"/>
    <w:rsid w:val="00442A56"/>
    <w:rsid w:val="004444B0"/>
    <w:rsid w:val="0045060B"/>
    <w:rsid w:val="004626FF"/>
    <w:rsid w:val="00462C9E"/>
    <w:rsid w:val="00470A52"/>
    <w:rsid w:val="00471BD5"/>
    <w:rsid w:val="00477C4E"/>
    <w:rsid w:val="00477F07"/>
    <w:rsid w:val="00481503"/>
    <w:rsid w:val="00481D12"/>
    <w:rsid w:val="00482A9F"/>
    <w:rsid w:val="004854A6"/>
    <w:rsid w:val="00491A55"/>
    <w:rsid w:val="00494C3E"/>
    <w:rsid w:val="00497DF1"/>
    <w:rsid w:val="004A249C"/>
    <w:rsid w:val="004A318E"/>
    <w:rsid w:val="004A57E8"/>
    <w:rsid w:val="004B19FB"/>
    <w:rsid w:val="004B3081"/>
    <w:rsid w:val="004B4A09"/>
    <w:rsid w:val="004C41CE"/>
    <w:rsid w:val="004C631B"/>
    <w:rsid w:val="004D2F00"/>
    <w:rsid w:val="004D31D8"/>
    <w:rsid w:val="004D41F2"/>
    <w:rsid w:val="004D480D"/>
    <w:rsid w:val="004D5388"/>
    <w:rsid w:val="004D7EA5"/>
    <w:rsid w:val="004E2269"/>
    <w:rsid w:val="004E7F16"/>
    <w:rsid w:val="004F18EC"/>
    <w:rsid w:val="00500D68"/>
    <w:rsid w:val="005057A7"/>
    <w:rsid w:val="005058FF"/>
    <w:rsid w:val="005215CF"/>
    <w:rsid w:val="00525D99"/>
    <w:rsid w:val="00525E6B"/>
    <w:rsid w:val="0053377D"/>
    <w:rsid w:val="00535DFE"/>
    <w:rsid w:val="005373B5"/>
    <w:rsid w:val="00537AB7"/>
    <w:rsid w:val="0054669B"/>
    <w:rsid w:val="00556811"/>
    <w:rsid w:val="005610D1"/>
    <w:rsid w:val="00562B10"/>
    <w:rsid w:val="00562F42"/>
    <w:rsid w:val="00563BAF"/>
    <w:rsid w:val="00565739"/>
    <w:rsid w:val="0056766D"/>
    <w:rsid w:val="00575215"/>
    <w:rsid w:val="00575962"/>
    <w:rsid w:val="00576882"/>
    <w:rsid w:val="005811E4"/>
    <w:rsid w:val="0058575E"/>
    <w:rsid w:val="0058783C"/>
    <w:rsid w:val="005911AE"/>
    <w:rsid w:val="005926E2"/>
    <w:rsid w:val="0059313A"/>
    <w:rsid w:val="005A41E8"/>
    <w:rsid w:val="005A54EA"/>
    <w:rsid w:val="005B023F"/>
    <w:rsid w:val="005B0295"/>
    <w:rsid w:val="005B02A2"/>
    <w:rsid w:val="005B1417"/>
    <w:rsid w:val="005B3DC3"/>
    <w:rsid w:val="005B522C"/>
    <w:rsid w:val="005B69CF"/>
    <w:rsid w:val="005C3F07"/>
    <w:rsid w:val="005C45DB"/>
    <w:rsid w:val="005C4B46"/>
    <w:rsid w:val="005C4FB0"/>
    <w:rsid w:val="005C5355"/>
    <w:rsid w:val="005C5DC5"/>
    <w:rsid w:val="005D2089"/>
    <w:rsid w:val="005D4274"/>
    <w:rsid w:val="005D5AE0"/>
    <w:rsid w:val="005D7514"/>
    <w:rsid w:val="005E0FC6"/>
    <w:rsid w:val="005E1A7B"/>
    <w:rsid w:val="005E231F"/>
    <w:rsid w:val="005E45D8"/>
    <w:rsid w:val="005E4A8F"/>
    <w:rsid w:val="005F4DAA"/>
    <w:rsid w:val="00602D6E"/>
    <w:rsid w:val="006030F6"/>
    <w:rsid w:val="00605C05"/>
    <w:rsid w:val="006062C7"/>
    <w:rsid w:val="00607087"/>
    <w:rsid w:val="00611351"/>
    <w:rsid w:val="00611877"/>
    <w:rsid w:val="0061217D"/>
    <w:rsid w:val="006277A1"/>
    <w:rsid w:val="00631872"/>
    <w:rsid w:val="00632ED0"/>
    <w:rsid w:val="00633BD7"/>
    <w:rsid w:val="00634580"/>
    <w:rsid w:val="00634884"/>
    <w:rsid w:val="006351D9"/>
    <w:rsid w:val="00637130"/>
    <w:rsid w:val="00637F0E"/>
    <w:rsid w:val="006423F2"/>
    <w:rsid w:val="00650234"/>
    <w:rsid w:val="0066044B"/>
    <w:rsid w:val="006630AA"/>
    <w:rsid w:val="00663544"/>
    <w:rsid w:val="00665B1D"/>
    <w:rsid w:val="00666539"/>
    <w:rsid w:val="00666911"/>
    <w:rsid w:val="00670CDA"/>
    <w:rsid w:val="0067529A"/>
    <w:rsid w:val="00675F81"/>
    <w:rsid w:val="0067671A"/>
    <w:rsid w:val="0068143E"/>
    <w:rsid w:val="00683000"/>
    <w:rsid w:val="0068507D"/>
    <w:rsid w:val="00691AF2"/>
    <w:rsid w:val="00692B80"/>
    <w:rsid w:val="00692CCD"/>
    <w:rsid w:val="00692D51"/>
    <w:rsid w:val="0069377B"/>
    <w:rsid w:val="00694DD7"/>
    <w:rsid w:val="0069636B"/>
    <w:rsid w:val="006A1762"/>
    <w:rsid w:val="006A1F0B"/>
    <w:rsid w:val="006A277A"/>
    <w:rsid w:val="006A5973"/>
    <w:rsid w:val="006B7126"/>
    <w:rsid w:val="006B7659"/>
    <w:rsid w:val="006C61A0"/>
    <w:rsid w:val="006C61F3"/>
    <w:rsid w:val="006C6B86"/>
    <w:rsid w:val="006D379F"/>
    <w:rsid w:val="006D4553"/>
    <w:rsid w:val="006D4A35"/>
    <w:rsid w:val="006D6B44"/>
    <w:rsid w:val="006E27FE"/>
    <w:rsid w:val="006E5108"/>
    <w:rsid w:val="006E7DC0"/>
    <w:rsid w:val="00700636"/>
    <w:rsid w:val="00701110"/>
    <w:rsid w:val="00702E91"/>
    <w:rsid w:val="0070330F"/>
    <w:rsid w:val="00703624"/>
    <w:rsid w:val="007046ED"/>
    <w:rsid w:val="007072A1"/>
    <w:rsid w:val="007076FA"/>
    <w:rsid w:val="00710BC5"/>
    <w:rsid w:val="007121CA"/>
    <w:rsid w:val="0071334C"/>
    <w:rsid w:val="0072003B"/>
    <w:rsid w:val="007204A4"/>
    <w:rsid w:val="00721059"/>
    <w:rsid w:val="007211E6"/>
    <w:rsid w:val="007220C4"/>
    <w:rsid w:val="00732361"/>
    <w:rsid w:val="007357B9"/>
    <w:rsid w:val="00741AB9"/>
    <w:rsid w:val="007429D8"/>
    <w:rsid w:val="00742D03"/>
    <w:rsid w:val="00744216"/>
    <w:rsid w:val="007452E8"/>
    <w:rsid w:val="00746990"/>
    <w:rsid w:val="00746ABC"/>
    <w:rsid w:val="00747093"/>
    <w:rsid w:val="00750D70"/>
    <w:rsid w:val="00752AC0"/>
    <w:rsid w:val="007575D0"/>
    <w:rsid w:val="007662E0"/>
    <w:rsid w:val="00766583"/>
    <w:rsid w:val="00773739"/>
    <w:rsid w:val="00776E9C"/>
    <w:rsid w:val="007816D8"/>
    <w:rsid w:val="00784150"/>
    <w:rsid w:val="00793272"/>
    <w:rsid w:val="0079499A"/>
    <w:rsid w:val="00794B64"/>
    <w:rsid w:val="007967C3"/>
    <w:rsid w:val="007A05B4"/>
    <w:rsid w:val="007A0A33"/>
    <w:rsid w:val="007A29A6"/>
    <w:rsid w:val="007A578E"/>
    <w:rsid w:val="007B04DE"/>
    <w:rsid w:val="007B0AE6"/>
    <w:rsid w:val="007C0F0B"/>
    <w:rsid w:val="007C57BC"/>
    <w:rsid w:val="007D04CA"/>
    <w:rsid w:val="007D0A2B"/>
    <w:rsid w:val="007D12A1"/>
    <w:rsid w:val="007D40E5"/>
    <w:rsid w:val="007D4138"/>
    <w:rsid w:val="007D60AF"/>
    <w:rsid w:val="007E1479"/>
    <w:rsid w:val="007E269B"/>
    <w:rsid w:val="007E4178"/>
    <w:rsid w:val="007F0A77"/>
    <w:rsid w:val="007F1E37"/>
    <w:rsid w:val="007F3547"/>
    <w:rsid w:val="007F3FB9"/>
    <w:rsid w:val="007F50D3"/>
    <w:rsid w:val="007F6B1F"/>
    <w:rsid w:val="00800D6D"/>
    <w:rsid w:val="00804897"/>
    <w:rsid w:val="00807D48"/>
    <w:rsid w:val="008118A0"/>
    <w:rsid w:val="008329DB"/>
    <w:rsid w:val="008361C5"/>
    <w:rsid w:val="0083628F"/>
    <w:rsid w:val="0083673E"/>
    <w:rsid w:val="00837AB9"/>
    <w:rsid w:val="0084781B"/>
    <w:rsid w:val="00850637"/>
    <w:rsid w:val="00854D98"/>
    <w:rsid w:val="0085751E"/>
    <w:rsid w:val="00860B29"/>
    <w:rsid w:val="008622E8"/>
    <w:rsid w:val="008645EE"/>
    <w:rsid w:val="00866741"/>
    <w:rsid w:val="008672FE"/>
    <w:rsid w:val="00870144"/>
    <w:rsid w:val="00873D7A"/>
    <w:rsid w:val="008765FD"/>
    <w:rsid w:val="00877CB3"/>
    <w:rsid w:val="008804CF"/>
    <w:rsid w:val="00882D58"/>
    <w:rsid w:val="00882F19"/>
    <w:rsid w:val="00883D35"/>
    <w:rsid w:val="00884569"/>
    <w:rsid w:val="00886010"/>
    <w:rsid w:val="00886E8F"/>
    <w:rsid w:val="00887A51"/>
    <w:rsid w:val="00890D9B"/>
    <w:rsid w:val="00891C6C"/>
    <w:rsid w:val="00893CCD"/>
    <w:rsid w:val="00895EE9"/>
    <w:rsid w:val="008964B3"/>
    <w:rsid w:val="008A7024"/>
    <w:rsid w:val="008B1CB5"/>
    <w:rsid w:val="008C1C50"/>
    <w:rsid w:val="008C2D69"/>
    <w:rsid w:val="008C49C6"/>
    <w:rsid w:val="008C754C"/>
    <w:rsid w:val="008D56C9"/>
    <w:rsid w:val="008D6A54"/>
    <w:rsid w:val="008E2585"/>
    <w:rsid w:val="008E2D7A"/>
    <w:rsid w:val="008E4C7D"/>
    <w:rsid w:val="008E7EC0"/>
    <w:rsid w:val="008F3215"/>
    <w:rsid w:val="008F4A62"/>
    <w:rsid w:val="008F668B"/>
    <w:rsid w:val="008F7256"/>
    <w:rsid w:val="0090054A"/>
    <w:rsid w:val="009016C2"/>
    <w:rsid w:val="0090424C"/>
    <w:rsid w:val="0090605E"/>
    <w:rsid w:val="00910172"/>
    <w:rsid w:val="009108CE"/>
    <w:rsid w:val="00912940"/>
    <w:rsid w:val="00915A9F"/>
    <w:rsid w:val="00930D58"/>
    <w:rsid w:val="00935AAA"/>
    <w:rsid w:val="0095031E"/>
    <w:rsid w:val="00954297"/>
    <w:rsid w:val="00960A56"/>
    <w:rsid w:val="00966EF1"/>
    <w:rsid w:val="00967223"/>
    <w:rsid w:val="00967ECD"/>
    <w:rsid w:val="00972416"/>
    <w:rsid w:val="009751F7"/>
    <w:rsid w:val="0098350E"/>
    <w:rsid w:val="00983573"/>
    <w:rsid w:val="00984678"/>
    <w:rsid w:val="009854F9"/>
    <w:rsid w:val="009855C3"/>
    <w:rsid w:val="0099404F"/>
    <w:rsid w:val="00994850"/>
    <w:rsid w:val="00996FA5"/>
    <w:rsid w:val="009B5662"/>
    <w:rsid w:val="009B7A68"/>
    <w:rsid w:val="009C20E4"/>
    <w:rsid w:val="009C2211"/>
    <w:rsid w:val="009C40E8"/>
    <w:rsid w:val="009C45C5"/>
    <w:rsid w:val="009C4C30"/>
    <w:rsid w:val="009E0763"/>
    <w:rsid w:val="009E1278"/>
    <w:rsid w:val="009E3553"/>
    <w:rsid w:val="009E5441"/>
    <w:rsid w:val="009E6858"/>
    <w:rsid w:val="009E6F8C"/>
    <w:rsid w:val="009F405F"/>
    <w:rsid w:val="00A01C3F"/>
    <w:rsid w:val="00A01C56"/>
    <w:rsid w:val="00A055A1"/>
    <w:rsid w:val="00A16C7C"/>
    <w:rsid w:val="00A237A2"/>
    <w:rsid w:val="00A25E6E"/>
    <w:rsid w:val="00A267F4"/>
    <w:rsid w:val="00A32C50"/>
    <w:rsid w:val="00A358E7"/>
    <w:rsid w:val="00A36E1A"/>
    <w:rsid w:val="00A41156"/>
    <w:rsid w:val="00A4380B"/>
    <w:rsid w:val="00A51334"/>
    <w:rsid w:val="00A51A2D"/>
    <w:rsid w:val="00A54C67"/>
    <w:rsid w:val="00A5596B"/>
    <w:rsid w:val="00A566CE"/>
    <w:rsid w:val="00A63C07"/>
    <w:rsid w:val="00A63D9B"/>
    <w:rsid w:val="00A704DC"/>
    <w:rsid w:val="00A93DC6"/>
    <w:rsid w:val="00A9411A"/>
    <w:rsid w:val="00AA20F3"/>
    <w:rsid w:val="00AA4A4B"/>
    <w:rsid w:val="00AA6682"/>
    <w:rsid w:val="00AB0613"/>
    <w:rsid w:val="00AB398D"/>
    <w:rsid w:val="00AB6DEB"/>
    <w:rsid w:val="00AB7C5C"/>
    <w:rsid w:val="00AB7CBF"/>
    <w:rsid w:val="00AD0111"/>
    <w:rsid w:val="00AD03CD"/>
    <w:rsid w:val="00AD1717"/>
    <w:rsid w:val="00AD39E5"/>
    <w:rsid w:val="00AD4903"/>
    <w:rsid w:val="00AD4C72"/>
    <w:rsid w:val="00AD5451"/>
    <w:rsid w:val="00AD74A2"/>
    <w:rsid w:val="00AE1947"/>
    <w:rsid w:val="00AF1C8B"/>
    <w:rsid w:val="00AF299B"/>
    <w:rsid w:val="00AF6CFC"/>
    <w:rsid w:val="00AF7E43"/>
    <w:rsid w:val="00B02AE0"/>
    <w:rsid w:val="00B05326"/>
    <w:rsid w:val="00B14545"/>
    <w:rsid w:val="00B14E60"/>
    <w:rsid w:val="00B17BA2"/>
    <w:rsid w:val="00B23B0B"/>
    <w:rsid w:val="00B26DC3"/>
    <w:rsid w:val="00B30B9D"/>
    <w:rsid w:val="00B37FB4"/>
    <w:rsid w:val="00B412EF"/>
    <w:rsid w:val="00B4574D"/>
    <w:rsid w:val="00B468E1"/>
    <w:rsid w:val="00B46BC0"/>
    <w:rsid w:val="00B46DFB"/>
    <w:rsid w:val="00B5141B"/>
    <w:rsid w:val="00B53679"/>
    <w:rsid w:val="00B544BB"/>
    <w:rsid w:val="00B55681"/>
    <w:rsid w:val="00B57AAD"/>
    <w:rsid w:val="00B72B16"/>
    <w:rsid w:val="00B744A9"/>
    <w:rsid w:val="00B80408"/>
    <w:rsid w:val="00B80D2A"/>
    <w:rsid w:val="00B81397"/>
    <w:rsid w:val="00B8378D"/>
    <w:rsid w:val="00B925DB"/>
    <w:rsid w:val="00B93CB6"/>
    <w:rsid w:val="00B94010"/>
    <w:rsid w:val="00B967FF"/>
    <w:rsid w:val="00B974B9"/>
    <w:rsid w:val="00BA1719"/>
    <w:rsid w:val="00BA1E65"/>
    <w:rsid w:val="00BA3F6D"/>
    <w:rsid w:val="00BA4BE6"/>
    <w:rsid w:val="00BA4C0B"/>
    <w:rsid w:val="00BA4FC0"/>
    <w:rsid w:val="00BA61E0"/>
    <w:rsid w:val="00BA7CAB"/>
    <w:rsid w:val="00BA7F7D"/>
    <w:rsid w:val="00BB1C14"/>
    <w:rsid w:val="00BB6847"/>
    <w:rsid w:val="00BB7474"/>
    <w:rsid w:val="00BB7F8F"/>
    <w:rsid w:val="00BC716A"/>
    <w:rsid w:val="00BD07C3"/>
    <w:rsid w:val="00BD07DF"/>
    <w:rsid w:val="00BD26F4"/>
    <w:rsid w:val="00BD5DBD"/>
    <w:rsid w:val="00BD5DF6"/>
    <w:rsid w:val="00BE0041"/>
    <w:rsid w:val="00BE229E"/>
    <w:rsid w:val="00BE2D28"/>
    <w:rsid w:val="00BE36C1"/>
    <w:rsid w:val="00BE4386"/>
    <w:rsid w:val="00BE640F"/>
    <w:rsid w:val="00BE7D86"/>
    <w:rsid w:val="00BF00A1"/>
    <w:rsid w:val="00BF4638"/>
    <w:rsid w:val="00C059D0"/>
    <w:rsid w:val="00C07551"/>
    <w:rsid w:val="00C1109F"/>
    <w:rsid w:val="00C11DA5"/>
    <w:rsid w:val="00C12D65"/>
    <w:rsid w:val="00C133AB"/>
    <w:rsid w:val="00C20B56"/>
    <w:rsid w:val="00C22214"/>
    <w:rsid w:val="00C26F72"/>
    <w:rsid w:val="00C309A7"/>
    <w:rsid w:val="00C335AB"/>
    <w:rsid w:val="00C407AB"/>
    <w:rsid w:val="00C466C3"/>
    <w:rsid w:val="00C52B7B"/>
    <w:rsid w:val="00C53525"/>
    <w:rsid w:val="00C547CD"/>
    <w:rsid w:val="00C570FF"/>
    <w:rsid w:val="00C57CEA"/>
    <w:rsid w:val="00C60FEC"/>
    <w:rsid w:val="00C62B63"/>
    <w:rsid w:val="00C63BF1"/>
    <w:rsid w:val="00C6574E"/>
    <w:rsid w:val="00C67E06"/>
    <w:rsid w:val="00C707FD"/>
    <w:rsid w:val="00C76DEB"/>
    <w:rsid w:val="00C77DDB"/>
    <w:rsid w:val="00C816C6"/>
    <w:rsid w:val="00C83743"/>
    <w:rsid w:val="00C83ACE"/>
    <w:rsid w:val="00C863A7"/>
    <w:rsid w:val="00C912F4"/>
    <w:rsid w:val="00C9153D"/>
    <w:rsid w:val="00C9156F"/>
    <w:rsid w:val="00C93E65"/>
    <w:rsid w:val="00C9581A"/>
    <w:rsid w:val="00C97D29"/>
    <w:rsid w:val="00CA226F"/>
    <w:rsid w:val="00CA3C9D"/>
    <w:rsid w:val="00CB0550"/>
    <w:rsid w:val="00CB3D9A"/>
    <w:rsid w:val="00CB6813"/>
    <w:rsid w:val="00CC393D"/>
    <w:rsid w:val="00CD39A4"/>
    <w:rsid w:val="00CE78B7"/>
    <w:rsid w:val="00CF6A55"/>
    <w:rsid w:val="00CF6DC6"/>
    <w:rsid w:val="00CF6DCF"/>
    <w:rsid w:val="00CF7252"/>
    <w:rsid w:val="00D00F9E"/>
    <w:rsid w:val="00D01C37"/>
    <w:rsid w:val="00D01DDB"/>
    <w:rsid w:val="00D04918"/>
    <w:rsid w:val="00D05B3F"/>
    <w:rsid w:val="00D05E2A"/>
    <w:rsid w:val="00D078BE"/>
    <w:rsid w:val="00D13F8A"/>
    <w:rsid w:val="00D16F60"/>
    <w:rsid w:val="00D17BAB"/>
    <w:rsid w:val="00D20291"/>
    <w:rsid w:val="00D21F66"/>
    <w:rsid w:val="00D22981"/>
    <w:rsid w:val="00D3349B"/>
    <w:rsid w:val="00D36197"/>
    <w:rsid w:val="00D424A8"/>
    <w:rsid w:val="00D56F45"/>
    <w:rsid w:val="00D6036F"/>
    <w:rsid w:val="00D62877"/>
    <w:rsid w:val="00D63760"/>
    <w:rsid w:val="00D6703F"/>
    <w:rsid w:val="00D67706"/>
    <w:rsid w:val="00D734EB"/>
    <w:rsid w:val="00D7494A"/>
    <w:rsid w:val="00D75131"/>
    <w:rsid w:val="00D82713"/>
    <w:rsid w:val="00D86F00"/>
    <w:rsid w:val="00D918D5"/>
    <w:rsid w:val="00D9340C"/>
    <w:rsid w:val="00D93C26"/>
    <w:rsid w:val="00D94C8E"/>
    <w:rsid w:val="00D97AFC"/>
    <w:rsid w:val="00DA48E1"/>
    <w:rsid w:val="00DB1372"/>
    <w:rsid w:val="00DB192C"/>
    <w:rsid w:val="00DB1CF3"/>
    <w:rsid w:val="00DB5425"/>
    <w:rsid w:val="00DB72A6"/>
    <w:rsid w:val="00DC1ABF"/>
    <w:rsid w:val="00DC526B"/>
    <w:rsid w:val="00DC5652"/>
    <w:rsid w:val="00DC6611"/>
    <w:rsid w:val="00DD2207"/>
    <w:rsid w:val="00DD6F9D"/>
    <w:rsid w:val="00DE1344"/>
    <w:rsid w:val="00DE693B"/>
    <w:rsid w:val="00DF0A82"/>
    <w:rsid w:val="00DF217E"/>
    <w:rsid w:val="00DF5BFE"/>
    <w:rsid w:val="00E0523F"/>
    <w:rsid w:val="00E10645"/>
    <w:rsid w:val="00E15CAF"/>
    <w:rsid w:val="00E1777D"/>
    <w:rsid w:val="00E20BA5"/>
    <w:rsid w:val="00E21BDE"/>
    <w:rsid w:val="00E22C04"/>
    <w:rsid w:val="00E23907"/>
    <w:rsid w:val="00E23E50"/>
    <w:rsid w:val="00E26213"/>
    <w:rsid w:val="00E274DF"/>
    <w:rsid w:val="00E31A84"/>
    <w:rsid w:val="00E34D66"/>
    <w:rsid w:val="00E362C4"/>
    <w:rsid w:val="00E43502"/>
    <w:rsid w:val="00E468C9"/>
    <w:rsid w:val="00E46CC2"/>
    <w:rsid w:val="00E47E0C"/>
    <w:rsid w:val="00E51813"/>
    <w:rsid w:val="00E52C0B"/>
    <w:rsid w:val="00E53D3F"/>
    <w:rsid w:val="00E5579B"/>
    <w:rsid w:val="00E57FF4"/>
    <w:rsid w:val="00E66102"/>
    <w:rsid w:val="00E679D1"/>
    <w:rsid w:val="00E67C1C"/>
    <w:rsid w:val="00E74B37"/>
    <w:rsid w:val="00E823D9"/>
    <w:rsid w:val="00E82CA6"/>
    <w:rsid w:val="00E8443D"/>
    <w:rsid w:val="00E901B4"/>
    <w:rsid w:val="00E91474"/>
    <w:rsid w:val="00E91F11"/>
    <w:rsid w:val="00E9706D"/>
    <w:rsid w:val="00E97938"/>
    <w:rsid w:val="00EA0CE8"/>
    <w:rsid w:val="00EA328A"/>
    <w:rsid w:val="00EA3AF4"/>
    <w:rsid w:val="00EB20AB"/>
    <w:rsid w:val="00ED1026"/>
    <w:rsid w:val="00ED2E7D"/>
    <w:rsid w:val="00ED3D6C"/>
    <w:rsid w:val="00ED44F8"/>
    <w:rsid w:val="00EF3F0B"/>
    <w:rsid w:val="00EF5583"/>
    <w:rsid w:val="00F0289D"/>
    <w:rsid w:val="00F02AEC"/>
    <w:rsid w:val="00F04305"/>
    <w:rsid w:val="00F069A5"/>
    <w:rsid w:val="00F07572"/>
    <w:rsid w:val="00F11556"/>
    <w:rsid w:val="00F157FC"/>
    <w:rsid w:val="00F15B2A"/>
    <w:rsid w:val="00F306A1"/>
    <w:rsid w:val="00F30AF3"/>
    <w:rsid w:val="00F40079"/>
    <w:rsid w:val="00F43CD1"/>
    <w:rsid w:val="00F45AE0"/>
    <w:rsid w:val="00F475FB"/>
    <w:rsid w:val="00F50E1E"/>
    <w:rsid w:val="00F60CF2"/>
    <w:rsid w:val="00F657B4"/>
    <w:rsid w:val="00F7649F"/>
    <w:rsid w:val="00F8083B"/>
    <w:rsid w:val="00F849DF"/>
    <w:rsid w:val="00F865A7"/>
    <w:rsid w:val="00F956CF"/>
    <w:rsid w:val="00FA0754"/>
    <w:rsid w:val="00FA1BC9"/>
    <w:rsid w:val="00FA49C3"/>
    <w:rsid w:val="00FA7686"/>
    <w:rsid w:val="00FB11EE"/>
    <w:rsid w:val="00FB236E"/>
    <w:rsid w:val="00FB24FB"/>
    <w:rsid w:val="00FB3F7B"/>
    <w:rsid w:val="00FB4C2A"/>
    <w:rsid w:val="00FB5CAB"/>
    <w:rsid w:val="00FC2107"/>
    <w:rsid w:val="00FC48FE"/>
    <w:rsid w:val="00FC6F56"/>
    <w:rsid w:val="00FD295D"/>
    <w:rsid w:val="00FD721B"/>
    <w:rsid w:val="00FE087C"/>
    <w:rsid w:val="00FE6E8F"/>
    <w:rsid w:val="00FE79A0"/>
    <w:rsid w:val="00FF093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C4C024"/>
  <w15:chartTrackingRefBased/>
  <w15:docId w15:val="{3B7A0CE6-F5BB-4D40-8ED5-1531A62F0C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AU" w:eastAsia="en-US"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44F8"/>
    <w:rPr>
      <w:rFonts w:ascii="Cambria" w:hAnsi="Cambria"/>
      <w:sz w:val="22"/>
    </w:rPr>
  </w:style>
  <w:style w:type="paragraph" w:styleId="Heading1">
    <w:name w:val="heading 1"/>
    <w:basedOn w:val="Heading2"/>
    <w:next w:val="Normal"/>
    <w:link w:val="Heading1Char"/>
    <w:qFormat/>
    <w:rsid w:val="00BB7474"/>
    <w:pPr>
      <w:spacing w:before="120" w:after="360"/>
      <w:outlineLvl w:val="0"/>
    </w:pPr>
    <w:rPr>
      <w:rFonts w:asciiTheme="majorHAnsi" w:hAnsiTheme="majorHAnsi" w:cstheme="majorHAnsi"/>
      <w:color w:val="auto"/>
      <w:sz w:val="64"/>
      <w:szCs w:val="64"/>
    </w:rPr>
  </w:style>
  <w:style w:type="paragraph" w:styleId="Heading2">
    <w:name w:val="heading 2"/>
    <w:basedOn w:val="Normal"/>
    <w:next w:val="Normal"/>
    <w:link w:val="Heading2Char"/>
    <w:qFormat/>
    <w:rsid w:val="00F02AEC"/>
    <w:pPr>
      <w:keepNext/>
      <w:keepLines/>
      <w:spacing w:before="480" w:line="240" w:lineRule="atLeast"/>
      <w:outlineLvl w:val="1"/>
    </w:pPr>
    <w:rPr>
      <w:rFonts w:ascii="Arial" w:eastAsia="Times New Roman" w:hAnsi="Arial" w:cs="Times New Roman"/>
      <w:b/>
      <w:bCs/>
      <w:color w:val="001871"/>
      <w:sz w:val="38"/>
      <w:szCs w:val="38"/>
    </w:rPr>
  </w:style>
  <w:style w:type="paragraph" w:styleId="Heading3">
    <w:name w:val="heading 3"/>
    <w:basedOn w:val="Normal"/>
    <w:next w:val="Normal"/>
    <w:link w:val="Heading3Char"/>
    <w:qFormat/>
    <w:rsid w:val="00F02AEC"/>
    <w:pPr>
      <w:keepNext/>
      <w:keepLines/>
      <w:spacing w:before="480" w:line="240" w:lineRule="atLeast"/>
      <w:outlineLvl w:val="2"/>
    </w:pPr>
    <w:rPr>
      <w:rFonts w:ascii="Arial" w:eastAsia="Times New Roman" w:hAnsi="Arial" w:cs="Times New Roman"/>
      <w:b/>
      <w:bCs/>
      <w:color w:val="001871"/>
      <w:sz w:val="32"/>
      <w:szCs w:val="32"/>
    </w:rPr>
  </w:style>
  <w:style w:type="paragraph" w:styleId="Heading4">
    <w:name w:val="heading 4"/>
    <w:basedOn w:val="Normal"/>
    <w:next w:val="Normal"/>
    <w:link w:val="Heading4Char"/>
    <w:qFormat/>
    <w:rsid w:val="00F02AEC"/>
    <w:pPr>
      <w:keepNext/>
      <w:keepLines/>
      <w:spacing w:before="360" w:line="240" w:lineRule="atLeast"/>
      <w:outlineLvl w:val="3"/>
    </w:pPr>
    <w:rPr>
      <w:rFonts w:ascii="Arial" w:eastAsia="Cambria" w:hAnsi="Arial" w:cs="Times New Roman"/>
      <w:b/>
      <w:bCs/>
      <w:color w:val="001871"/>
      <w:sz w:val="28"/>
      <w:szCs w:val="26"/>
    </w:rPr>
  </w:style>
  <w:style w:type="paragraph" w:styleId="Heading5">
    <w:name w:val="heading 5"/>
    <w:basedOn w:val="Normal"/>
    <w:next w:val="Normal"/>
    <w:link w:val="Heading5Char"/>
    <w:uiPriority w:val="9"/>
    <w:qFormat/>
    <w:rsid w:val="00F02AEC"/>
    <w:pPr>
      <w:keepNext/>
      <w:keepLines/>
      <w:spacing w:before="240" w:line="240" w:lineRule="atLeast"/>
      <w:outlineLvl w:val="4"/>
    </w:pPr>
    <w:rPr>
      <w:rFonts w:ascii="Arial" w:eastAsia="Times New Roman" w:hAnsi="Arial" w:cs="Times New Roman"/>
      <w:b/>
      <w:bCs/>
      <w:i/>
      <w:color w:val="001871"/>
      <w:sz w:val="26"/>
      <w:szCs w:val="26"/>
    </w:rPr>
  </w:style>
  <w:style w:type="paragraph" w:styleId="Heading6">
    <w:name w:val="heading 6"/>
    <w:basedOn w:val="Normal"/>
    <w:next w:val="Normal"/>
    <w:link w:val="Heading6Char"/>
    <w:uiPriority w:val="9"/>
    <w:qFormat/>
    <w:rsid w:val="00A237A2"/>
    <w:pPr>
      <w:keepNext/>
      <w:keepLines/>
      <w:spacing w:before="240" w:line="240" w:lineRule="atLeast"/>
      <w:outlineLvl w:val="5"/>
    </w:pPr>
    <w:rPr>
      <w:rFonts w:ascii="Arial" w:eastAsia="Times New Roman" w:hAnsi="Arial" w:cs="Times New Roman"/>
      <w:b/>
      <w:bCs/>
      <w:i/>
      <w:color w:val="001871"/>
      <w:sz w:val="20"/>
      <w:szCs w:val="21"/>
    </w:rPr>
  </w:style>
  <w:style w:type="paragraph" w:styleId="Heading7">
    <w:name w:val="heading 7"/>
    <w:basedOn w:val="Normal"/>
    <w:next w:val="Normal"/>
    <w:link w:val="Heading7Char"/>
    <w:uiPriority w:val="9"/>
    <w:qFormat/>
    <w:rsid w:val="00BB7474"/>
    <w:pPr>
      <w:keepNext/>
      <w:spacing w:before="120" w:after="60" w:line="180" w:lineRule="atLeast"/>
      <w:outlineLvl w:val="6"/>
    </w:pPr>
    <w:rPr>
      <w:rFonts w:eastAsia="Times New Roman" w:cs="Times New Roman"/>
      <w:bCs/>
      <w:sz w:val="20"/>
      <w:szCs w:val="24"/>
    </w:rPr>
  </w:style>
  <w:style w:type="paragraph" w:styleId="Heading8">
    <w:name w:val="heading 8"/>
    <w:basedOn w:val="Normal"/>
    <w:next w:val="Normal"/>
    <w:link w:val="Heading8Char"/>
    <w:uiPriority w:val="9"/>
    <w:unhideWhenUsed/>
    <w:qFormat/>
    <w:rsid w:val="00A237A2"/>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TGAblue2023">
    <w:name w:val="Table TGA blue 2023"/>
    <w:basedOn w:val="TableNormal"/>
    <w:uiPriority w:val="99"/>
    <w:qFormat/>
    <w:rsid w:val="008329DB"/>
    <w:pPr>
      <w:spacing w:before="80" w:after="40" w:line="264" w:lineRule="auto"/>
      <w:ind w:left="113"/>
    </w:pPr>
    <w:rPr>
      <w:rFonts w:ascii="Arial" w:eastAsia="Cambria" w:hAnsi="Arial" w:cs="Times New Roman"/>
      <w:color w:val="000000"/>
      <w:sz w:val="18"/>
      <w:szCs w:val="21"/>
      <w:lang w:eastAsia="en-AU"/>
    </w:rPr>
    <w:tblPr>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Pr>
    <w:trPr>
      <w:cantSplit/>
    </w:trPr>
    <w:tcPr>
      <w:shd w:val="clear" w:color="auto" w:fill="FFFFFF" w:themeFill="background1"/>
    </w:tcPr>
    <w:tblStylePr w:type="firstRow">
      <w:pPr>
        <w:keepNext/>
        <w:wordWrap/>
      </w:pPr>
      <w:rPr>
        <w:rFonts w:ascii="Arial" w:hAnsi="Arial"/>
        <w:b/>
        <w:color w:val="263287"/>
        <w:sz w:val="22"/>
      </w:rPr>
      <w:tblPr/>
      <w:trPr>
        <w:tblHeader/>
      </w:trPr>
      <w:tcPr>
        <w:shd w:val="clear" w:color="auto" w:fill="DEEAF6" w:themeFill="accent5" w:themeFillTint="33"/>
      </w:tcPr>
    </w:tblStylePr>
    <w:tblStylePr w:type="firstCol">
      <w:pPr>
        <w:keepNext w:val="0"/>
        <w:wordWrap/>
      </w:pPr>
    </w:tblStylePr>
  </w:style>
  <w:style w:type="character" w:customStyle="1" w:styleId="Heading2Char">
    <w:name w:val="Heading 2 Char"/>
    <w:basedOn w:val="DefaultParagraphFont"/>
    <w:link w:val="Heading2"/>
    <w:rsid w:val="00F02AEC"/>
    <w:rPr>
      <w:rFonts w:ascii="Arial" w:eastAsia="Times New Roman" w:hAnsi="Arial" w:cs="Times New Roman"/>
      <w:b/>
      <w:bCs/>
      <w:color w:val="001871"/>
      <w:sz w:val="38"/>
      <w:szCs w:val="38"/>
    </w:rPr>
  </w:style>
  <w:style w:type="character" w:customStyle="1" w:styleId="Heading3Char">
    <w:name w:val="Heading 3 Char"/>
    <w:basedOn w:val="DefaultParagraphFont"/>
    <w:link w:val="Heading3"/>
    <w:rsid w:val="00F02AEC"/>
    <w:rPr>
      <w:rFonts w:ascii="Arial" w:eastAsia="Times New Roman" w:hAnsi="Arial" w:cs="Times New Roman"/>
      <w:b/>
      <w:bCs/>
      <w:color w:val="001871"/>
      <w:sz w:val="32"/>
      <w:szCs w:val="32"/>
    </w:rPr>
  </w:style>
  <w:style w:type="character" w:customStyle="1" w:styleId="Heading4Char">
    <w:name w:val="Heading 4 Char"/>
    <w:basedOn w:val="DefaultParagraphFont"/>
    <w:link w:val="Heading4"/>
    <w:rsid w:val="00F02AEC"/>
    <w:rPr>
      <w:rFonts w:ascii="Arial" w:eastAsia="Cambria" w:hAnsi="Arial" w:cs="Times New Roman"/>
      <w:b/>
      <w:bCs/>
      <w:color w:val="001871"/>
      <w:sz w:val="28"/>
      <w:szCs w:val="26"/>
    </w:rPr>
  </w:style>
  <w:style w:type="character" w:customStyle="1" w:styleId="Heading5Char">
    <w:name w:val="Heading 5 Char"/>
    <w:basedOn w:val="DefaultParagraphFont"/>
    <w:link w:val="Heading5"/>
    <w:uiPriority w:val="9"/>
    <w:rsid w:val="00F02AEC"/>
    <w:rPr>
      <w:rFonts w:ascii="Arial" w:eastAsia="Times New Roman" w:hAnsi="Arial" w:cs="Times New Roman"/>
      <w:b/>
      <w:bCs/>
      <w:i/>
      <w:color w:val="001871"/>
      <w:sz w:val="26"/>
      <w:szCs w:val="26"/>
    </w:rPr>
  </w:style>
  <w:style w:type="character" w:customStyle="1" w:styleId="Heading6Char">
    <w:name w:val="Heading 6 Char"/>
    <w:basedOn w:val="DefaultParagraphFont"/>
    <w:link w:val="Heading6"/>
    <w:uiPriority w:val="9"/>
    <w:rsid w:val="00A237A2"/>
    <w:rPr>
      <w:rFonts w:ascii="Arial" w:eastAsia="Times New Roman" w:hAnsi="Arial" w:cs="Times New Roman"/>
      <w:b/>
      <w:bCs/>
      <w:i/>
      <w:color w:val="001871"/>
      <w:szCs w:val="21"/>
    </w:rPr>
  </w:style>
  <w:style w:type="paragraph" w:styleId="Date">
    <w:name w:val="Date"/>
    <w:basedOn w:val="Normal"/>
    <w:next w:val="Normal"/>
    <w:link w:val="DateChar"/>
    <w:uiPriority w:val="99"/>
    <w:rsid w:val="00F02AEC"/>
    <w:pPr>
      <w:spacing w:before="120" w:after="0" w:line="240" w:lineRule="atLeast"/>
    </w:pPr>
    <w:rPr>
      <w:rFonts w:ascii="Arial" w:eastAsia="Cambria" w:hAnsi="Arial" w:cs="Times New Roman"/>
      <w:color w:val="333F4A"/>
      <w:sz w:val="28"/>
    </w:rPr>
  </w:style>
  <w:style w:type="character" w:customStyle="1" w:styleId="DateChar">
    <w:name w:val="Date Char"/>
    <w:basedOn w:val="DefaultParagraphFont"/>
    <w:link w:val="Date"/>
    <w:uiPriority w:val="99"/>
    <w:rsid w:val="00F02AEC"/>
    <w:rPr>
      <w:rFonts w:ascii="Arial" w:eastAsia="Cambria" w:hAnsi="Arial" w:cs="Times New Roman"/>
      <w:color w:val="333F4A"/>
      <w:sz w:val="28"/>
      <w:szCs w:val="20"/>
    </w:rPr>
  </w:style>
  <w:style w:type="paragraph" w:styleId="Footer">
    <w:name w:val="footer"/>
    <w:basedOn w:val="Normal"/>
    <w:link w:val="FooterChar"/>
    <w:uiPriority w:val="99"/>
    <w:qFormat/>
    <w:rsid w:val="0056766D"/>
    <w:pPr>
      <w:tabs>
        <w:tab w:val="center" w:pos="4513"/>
        <w:tab w:val="right" w:pos="9026"/>
      </w:tabs>
      <w:spacing w:after="0" w:line="240" w:lineRule="auto"/>
    </w:pPr>
    <w:rPr>
      <w:rFonts w:eastAsia="Cambria" w:cs="Times New Roman"/>
      <w:color w:val="333F4A"/>
      <w:sz w:val="17"/>
    </w:rPr>
  </w:style>
  <w:style w:type="character" w:customStyle="1" w:styleId="FooterChar">
    <w:name w:val="Footer Char"/>
    <w:basedOn w:val="DefaultParagraphFont"/>
    <w:link w:val="Footer"/>
    <w:uiPriority w:val="99"/>
    <w:rsid w:val="0056766D"/>
    <w:rPr>
      <w:rFonts w:ascii="Cambria" w:eastAsia="Cambria" w:hAnsi="Cambria" w:cs="Times New Roman"/>
      <w:color w:val="333F4A"/>
      <w:sz w:val="17"/>
    </w:rPr>
  </w:style>
  <w:style w:type="paragraph" w:styleId="Header">
    <w:name w:val="header"/>
    <w:basedOn w:val="Normal"/>
    <w:link w:val="HeaderChar"/>
    <w:rsid w:val="00F02AEC"/>
    <w:pPr>
      <w:pBdr>
        <w:bottom w:val="single" w:sz="4" w:space="3" w:color="auto"/>
      </w:pBdr>
      <w:tabs>
        <w:tab w:val="center" w:pos="4513"/>
        <w:tab w:val="right" w:pos="9026"/>
      </w:tabs>
      <w:spacing w:after="0" w:line="240" w:lineRule="auto"/>
      <w:jc w:val="right"/>
    </w:pPr>
    <w:rPr>
      <w:rFonts w:ascii="Arial" w:eastAsia="Cambria" w:hAnsi="Arial" w:cs="Times New Roman"/>
      <w:color w:val="333F4A"/>
      <w:sz w:val="17"/>
    </w:rPr>
  </w:style>
  <w:style w:type="character" w:customStyle="1" w:styleId="HeaderChar">
    <w:name w:val="Header Char"/>
    <w:basedOn w:val="DefaultParagraphFont"/>
    <w:link w:val="Header"/>
    <w:rsid w:val="00F02AEC"/>
    <w:rPr>
      <w:rFonts w:ascii="Arial" w:eastAsia="Cambria" w:hAnsi="Arial" w:cs="Times New Roman"/>
      <w:color w:val="333F4A"/>
      <w:sz w:val="17"/>
      <w:szCs w:val="20"/>
    </w:rPr>
  </w:style>
  <w:style w:type="character" w:styleId="Hyperlink">
    <w:name w:val="Hyperlink"/>
    <w:basedOn w:val="DefaultParagraphFont"/>
    <w:uiPriority w:val="99"/>
    <w:unhideWhenUsed/>
    <w:rsid w:val="0056766D"/>
    <w:rPr>
      <w:rFonts w:ascii="Cambria" w:hAnsi="Cambria"/>
      <w:color w:val="0000FF"/>
      <w:u w:val="single"/>
    </w:rPr>
  </w:style>
  <w:style w:type="paragraph" w:customStyle="1" w:styleId="LegalCopy">
    <w:name w:val="Legal Copy"/>
    <w:basedOn w:val="Footer"/>
    <w:qFormat/>
    <w:rsid w:val="0056766D"/>
  </w:style>
  <w:style w:type="paragraph" w:customStyle="1" w:styleId="LegalSubheading">
    <w:name w:val="Legal Subheading"/>
    <w:basedOn w:val="Footer"/>
    <w:qFormat/>
    <w:rsid w:val="0056766D"/>
    <w:pPr>
      <w:outlineLvl w:val="1"/>
    </w:pPr>
    <w:rPr>
      <w:b/>
    </w:rPr>
  </w:style>
  <w:style w:type="paragraph" w:styleId="ListBullet">
    <w:name w:val="List Bullet"/>
    <w:basedOn w:val="Normal"/>
    <w:uiPriority w:val="99"/>
    <w:qFormat/>
    <w:rsid w:val="00FC6F56"/>
    <w:pPr>
      <w:numPr>
        <w:numId w:val="1"/>
      </w:numPr>
      <w:spacing w:before="120" w:after="180" w:line="240" w:lineRule="atLeast"/>
    </w:pPr>
    <w:rPr>
      <w:rFonts w:eastAsia="Cambria" w:cs="Times New Roman"/>
      <w:color w:val="000000" w:themeColor="text1"/>
    </w:rPr>
  </w:style>
  <w:style w:type="paragraph" w:styleId="ListBullet2">
    <w:name w:val="List Bullet 2"/>
    <w:basedOn w:val="Normal"/>
    <w:uiPriority w:val="99"/>
    <w:qFormat/>
    <w:rsid w:val="00FC6F56"/>
    <w:pPr>
      <w:numPr>
        <w:ilvl w:val="1"/>
        <w:numId w:val="1"/>
      </w:numPr>
      <w:spacing w:before="120" w:after="180" w:line="240" w:lineRule="atLeast"/>
      <w:ind w:left="850" w:hanging="425"/>
    </w:pPr>
    <w:rPr>
      <w:rFonts w:eastAsia="Cambria" w:cs="Times New Roman"/>
      <w:color w:val="000000" w:themeColor="text1"/>
    </w:rPr>
  </w:style>
  <w:style w:type="paragraph" w:styleId="ListBullet3">
    <w:name w:val="List Bullet 3"/>
    <w:basedOn w:val="Normal"/>
    <w:uiPriority w:val="99"/>
    <w:qFormat/>
    <w:rsid w:val="00FC6F56"/>
    <w:pPr>
      <w:numPr>
        <w:numId w:val="3"/>
      </w:numPr>
      <w:spacing w:before="120" w:after="180" w:line="240" w:lineRule="atLeast"/>
      <w:ind w:left="1276" w:hanging="425"/>
    </w:pPr>
    <w:rPr>
      <w:rFonts w:eastAsia="Cambria" w:cs="Times New Roman"/>
    </w:rPr>
  </w:style>
  <w:style w:type="numbering" w:customStyle="1" w:styleId="ListBullets">
    <w:name w:val="ListBullets"/>
    <w:uiPriority w:val="99"/>
    <w:locked/>
    <w:rsid w:val="00F02AEC"/>
    <w:pPr>
      <w:numPr>
        <w:numId w:val="1"/>
      </w:numPr>
    </w:pPr>
  </w:style>
  <w:style w:type="paragraph" w:customStyle="1" w:styleId="Numberbullet0">
    <w:name w:val="Number bullet"/>
    <w:basedOn w:val="ListBullet"/>
    <w:qFormat/>
    <w:rsid w:val="00FC6F56"/>
    <w:pPr>
      <w:numPr>
        <w:numId w:val="2"/>
      </w:numPr>
    </w:pPr>
  </w:style>
  <w:style w:type="paragraph" w:customStyle="1" w:styleId="Numberbullet2">
    <w:name w:val="Number bullet 2"/>
    <w:basedOn w:val="ListBullet2"/>
    <w:qFormat/>
    <w:rsid w:val="00F02AEC"/>
    <w:pPr>
      <w:numPr>
        <w:numId w:val="2"/>
      </w:numPr>
      <w:ind w:left="850" w:hanging="425"/>
    </w:pPr>
  </w:style>
  <w:style w:type="paragraph" w:customStyle="1" w:styleId="Numberbullet3">
    <w:name w:val="Number bullet 3"/>
    <w:basedOn w:val="Normal"/>
    <w:qFormat/>
    <w:rsid w:val="00F02AEC"/>
    <w:pPr>
      <w:numPr>
        <w:numId w:val="4"/>
      </w:numPr>
      <w:spacing w:before="120" w:after="180" w:line="240" w:lineRule="atLeast"/>
      <w:ind w:left="1361" w:hanging="397"/>
    </w:pPr>
    <w:rPr>
      <w:rFonts w:ascii="Arial" w:eastAsia="Cambria" w:hAnsi="Arial" w:cs="Times New Roman"/>
      <w:color w:val="333F48"/>
    </w:rPr>
  </w:style>
  <w:style w:type="numbering" w:customStyle="1" w:styleId="NumberBullet">
    <w:name w:val="NumberBullet"/>
    <w:uiPriority w:val="99"/>
    <w:locked/>
    <w:rsid w:val="00F02AEC"/>
    <w:pPr>
      <w:numPr>
        <w:numId w:val="2"/>
      </w:numPr>
    </w:pPr>
  </w:style>
  <w:style w:type="paragraph" w:styleId="Subtitle">
    <w:name w:val="Subtitle"/>
    <w:basedOn w:val="Normal"/>
    <w:link w:val="SubtitleChar"/>
    <w:uiPriority w:val="11"/>
    <w:rsid w:val="00F02AEC"/>
    <w:pPr>
      <w:numPr>
        <w:ilvl w:val="1"/>
      </w:numPr>
      <w:spacing w:after="0" w:line="240" w:lineRule="atLeast"/>
      <w:ind w:left="170"/>
    </w:pPr>
    <w:rPr>
      <w:rFonts w:ascii="Arial" w:eastAsia="Times New Roman" w:hAnsi="Arial" w:cs="Times New Roman"/>
      <w:bCs/>
      <w:iCs/>
      <w:color w:val="006BA6"/>
      <w:sz w:val="40"/>
      <w:szCs w:val="24"/>
    </w:rPr>
  </w:style>
  <w:style w:type="character" w:customStyle="1" w:styleId="SubtitleChar">
    <w:name w:val="Subtitle Char"/>
    <w:basedOn w:val="DefaultParagraphFont"/>
    <w:link w:val="Subtitle"/>
    <w:uiPriority w:val="11"/>
    <w:rsid w:val="00F02AEC"/>
    <w:rPr>
      <w:rFonts w:ascii="Arial" w:eastAsia="Times New Roman" w:hAnsi="Arial" w:cs="Times New Roman"/>
      <w:bCs/>
      <w:iCs/>
      <w:color w:val="006BA6"/>
      <w:sz w:val="40"/>
      <w:szCs w:val="24"/>
    </w:rPr>
  </w:style>
  <w:style w:type="table" w:styleId="TableGrid">
    <w:name w:val="Table Grid"/>
    <w:basedOn w:val="TableNormal"/>
    <w:uiPriority w:val="59"/>
    <w:rsid w:val="00F02AEC"/>
    <w:pPr>
      <w:spacing w:after="0" w:line="240" w:lineRule="auto"/>
    </w:pPr>
    <w:rPr>
      <w:rFonts w:ascii="Cambria" w:eastAsia="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GASignoff">
    <w:name w:val="TGA Signoff"/>
    <w:basedOn w:val="Normal"/>
    <w:qFormat/>
    <w:rsid w:val="00F02AEC"/>
    <w:pPr>
      <w:spacing w:before="120" w:after="360" w:line="240" w:lineRule="atLeast"/>
      <w:jc w:val="center"/>
    </w:pPr>
    <w:rPr>
      <w:rFonts w:ascii="Arial" w:eastAsia="Cambria" w:hAnsi="Arial" w:cs="Times New Roman"/>
      <w:b/>
      <w:color w:val="333F48"/>
      <w:sz w:val="28"/>
    </w:rPr>
  </w:style>
  <w:style w:type="paragraph" w:styleId="Title">
    <w:name w:val="Title"/>
    <w:link w:val="TitleChar"/>
    <w:uiPriority w:val="10"/>
    <w:rsid w:val="00F02AEC"/>
    <w:pPr>
      <w:spacing w:line="240" w:lineRule="auto"/>
      <w:contextualSpacing/>
      <w:outlineLvl w:val="0"/>
    </w:pPr>
    <w:rPr>
      <w:rFonts w:ascii="Arial" w:eastAsia="Times New Roman" w:hAnsi="Arial" w:cs="Times New Roman"/>
      <w:color w:val="001871"/>
      <w:spacing w:val="5"/>
      <w:kern w:val="28"/>
      <w:sz w:val="52"/>
      <w:szCs w:val="52"/>
    </w:rPr>
  </w:style>
  <w:style w:type="character" w:customStyle="1" w:styleId="TitleChar">
    <w:name w:val="Title Char"/>
    <w:basedOn w:val="DefaultParagraphFont"/>
    <w:link w:val="Title"/>
    <w:uiPriority w:val="10"/>
    <w:rsid w:val="00F02AEC"/>
    <w:rPr>
      <w:rFonts w:ascii="Arial" w:eastAsia="Times New Roman" w:hAnsi="Arial" w:cs="Times New Roman"/>
      <w:color w:val="001871"/>
      <w:spacing w:val="5"/>
      <w:kern w:val="28"/>
      <w:sz w:val="52"/>
      <w:szCs w:val="52"/>
    </w:rPr>
  </w:style>
  <w:style w:type="paragraph" w:styleId="TOC1">
    <w:name w:val="toc 1"/>
    <w:basedOn w:val="Normal"/>
    <w:next w:val="Normal"/>
    <w:uiPriority w:val="39"/>
    <w:unhideWhenUsed/>
    <w:rsid w:val="00F02AEC"/>
    <w:pPr>
      <w:keepNext/>
      <w:keepLines/>
      <w:tabs>
        <w:tab w:val="right" w:leader="underscore" w:pos="8505"/>
      </w:tabs>
      <w:spacing w:before="120" w:after="200" w:line="240" w:lineRule="atLeast"/>
    </w:pPr>
    <w:rPr>
      <w:rFonts w:ascii="Arial" w:eastAsia="Cambria" w:hAnsi="Arial" w:cs="Times New Roman"/>
      <w:b/>
      <w:color w:val="333F48"/>
      <w:sz w:val="32"/>
    </w:rPr>
  </w:style>
  <w:style w:type="paragraph" w:styleId="TOC2">
    <w:name w:val="toc 2"/>
    <w:basedOn w:val="Normal"/>
    <w:next w:val="Normal"/>
    <w:uiPriority w:val="39"/>
    <w:unhideWhenUsed/>
    <w:rsid w:val="00F02AEC"/>
    <w:pPr>
      <w:keepNext/>
      <w:keepLines/>
      <w:tabs>
        <w:tab w:val="right" w:leader="underscore" w:pos="8505"/>
      </w:tabs>
      <w:spacing w:before="120" w:after="100" w:line="240" w:lineRule="atLeast"/>
      <w:ind w:left="425"/>
    </w:pPr>
    <w:rPr>
      <w:rFonts w:ascii="Arial" w:eastAsia="Cambria" w:hAnsi="Arial" w:cs="Times New Roman"/>
      <w:b/>
      <w:color w:val="333F48"/>
      <w:sz w:val="25"/>
    </w:rPr>
  </w:style>
  <w:style w:type="paragraph" w:styleId="TOC3">
    <w:name w:val="toc 3"/>
    <w:basedOn w:val="Normal"/>
    <w:next w:val="Normal"/>
    <w:uiPriority w:val="39"/>
    <w:unhideWhenUsed/>
    <w:rsid w:val="00F02AEC"/>
    <w:pPr>
      <w:keepNext/>
      <w:keepLines/>
      <w:tabs>
        <w:tab w:val="right" w:leader="hyphen" w:pos="8505"/>
      </w:tabs>
      <w:spacing w:before="120" w:after="100" w:line="240" w:lineRule="atLeast"/>
      <w:ind w:left="851"/>
    </w:pPr>
    <w:rPr>
      <w:rFonts w:ascii="Arial" w:eastAsia="Cambria" w:hAnsi="Arial" w:cs="Times New Roman"/>
      <w:b/>
      <w:color w:val="333F48"/>
    </w:rPr>
  </w:style>
  <w:style w:type="paragraph" w:styleId="FootnoteText">
    <w:name w:val="footnote text"/>
    <w:basedOn w:val="Normal"/>
    <w:link w:val="FootnoteTextChar"/>
    <w:uiPriority w:val="99"/>
    <w:qFormat/>
    <w:rsid w:val="00FE087C"/>
    <w:pPr>
      <w:keepLines/>
      <w:spacing w:after="0" w:line="240" w:lineRule="atLeast"/>
    </w:pPr>
    <w:rPr>
      <w:rFonts w:eastAsia="Cambria" w:cs="Times New Roman"/>
      <w:color w:val="333F48"/>
      <w:sz w:val="17"/>
    </w:rPr>
  </w:style>
  <w:style w:type="character" w:customStyle="1" w:styleId="FootnoteTextChar">
    <w:name w:val="Footnote Text Char"/>
    <w:basedOn w:val="DefaultParagraphFont"/>
    <w:link w:val="FootnoteText"/>
    <w:uiPriority w:val="99"/>
    <w:rsid w:val="00FE087C"/>
    <w:rPr>
      <w:rFonts w:ascii="Cambria" w:eastAsia="Cambria" w:hAnsi="Cambria" w:cs="Times New Roman"/>
      <w:color w:val="333F48"/>
      <w:sz w:val="17"/>
    </w:rPr>
  </w:style>
  <w:style w:type="character" w:styleId="FootnoteReference">
    <w:name w:val="footnote reference"/>
    <w:basedOn w:val="DefaultParagraphFont"/>
    <w:uiPriority w:val="99"/>
    <w:semiHidden/>
    <w:unhideWhenUsed/>
    <w:rsid w:val="00F02AEC"/>
    <w:rPr>
      <w:vertAlign w:val="superscript"/>
    </w:rPr>
  </w:style>
  <w:style w:type="paragraph" w:customStyle="1" w:styleId="NonTOCheading2">
    <w:name w:val="Non TOC heading 2"/>
    <w:basedOn w:val="Normal"/>
    <w:next w:val="Normal"/>
    <w:rsid w:val="00F02AEC"/>
    <w:pPr>
      <w:keepNext/>
      <w:keepLines/>
      <w:pageBreakBefore/>
      <w:spacing w:after="180" w:line="240" w:lineRule="atLeast"/>
      <w:outlineLvl w:val="1"/>
    </w:pPr>
    <w:rPr>
      <w:rFonts w:ascii="Arial" w:eastAsia="Cambria" w:hAnsi="Arial" w:cs="Times New Roman"/>
      <w:b/>
      <w:color w:val="001871"/>
      <w:sz w:val="38"/>
    </w:rPr>
  </w:style>
  <w:style w:type="paragraph" w:customStyle="1" w:styleId="Headernoline">
    <w:name w:val="Header no line"/>
    <w:basedOn w:val="Header"/>
    <w:rsid w:val="00F02AEC"/>
    <w:pPr>
      <w:pBdr>
        <w:bottom w:val="none" w:sz="0" w:space="0" w:color="auto"/>
      </w:pBdr>
      <w:spacing w:line="240" w:lineRule="atLeast"/>
    </w:pPr>
  </w:style>
  <w:style w:type="paragraph" w:customStyle="1" w:styleId="Address">
    <w:name w:val="Address"/>
    <w:basedOn w:val="Normal"/>
    <w:rsid w:val="00F02AEC"/>
    <w:pPr>
      <w:spacing w:after="0" w:line="240" w:lineRule="auto"/>
    </w:pPr>
    <w:rPr>
      <w:rFonts w:ascii="Arial" w:eastAsia="Cambria" w:hAnsi="Arial" w:cs="Times New Roman"/>
      <w:color w:val="333F48"/>
      <w:sz w:val="21"/>
    </w:rPr>
  </w:style>
  <w:style w:type="paragraph" w:customStyle="1" w:styleId="ListBullet-dotick">
    <w:name w:val="List Bullet - do (tick)"/>
    <w:basedOn w:val="ListBullet"/>
    <w:autoRedefine/>
    <w:uiPriority w:val="1"/>
    <w:rsid w:val="00F02AEC"/>
    <w:pPr>
      <w:numPr>
        <w:numId w:val="5"/>
      </w:numPr>
      <w:tabs>
        <w:tab w:val="left" w:pos="425"/>
      </w:tabs>
    </w:pPr>
  </w:style>
  <w:style w:type="paragraph" w:customStyle="1" w:styleId="ListBullet-donotcross">
    <w:name w:val="List Bullet - do not (cross)"/>
    <w:basedOn w:val="ListBullet"/>
    <w:autoRedefine/>
    <w:uiPriority w:val="1"/>
    <w:rsid w:val="00F02AEC"/>
    <w:pPr>
      <w:numPr>
        <w:numId w:val="6"/>
      </w:numPr>
      <w:ind w:left="357" w:hanging="357"/>
    </w:pPr>
    <w:rPr>
      <w:rFonts w:eastAsiaTheme="minorHAnsi" w:cstheme="minorBidi"/>
      <w:szCs w:val="22"/>
    </w:rPr>
  </w:style>
  <w:style w:type="table" w:customStyle="1" w:styleId="TGABlack2023">
    <w:name w:val="TGA Black 2023"/>
    <w:basedOn w:val="TableTGAblue2023"/>
    <w:uiPriority w:val="99"/>
    <w:rsid w:val="00FA49C3"/>
    <w:pPr>
      <w:spacing w:line="240" w:lineRule="auto"/>
    </w:pPr>
    <w:tblPr>
      <w:tbl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insideH w:val="single" w:sz="4" w:space="0" w:color="0D0D0D" w:themeColor="text1" w:themeTint="F2"/>
        <w:insideV w:val="single" w:sz="4" w:space="0" w:color="0D0D0D" w:themeColor="text1" w:themeTint="F2"/>
      </w:tblBorders>
    </w:tblPr>
    <w:tcPr>
      <w:shd w:val="clear" w:color="auto" w:fill="FFFFFF" w:themeFill="background1"/>
    </w:tcPr>
    <w:tblStylePr w:type="firstRow">
      <w:pPr>
        <w:keepNext/>
        <w:wordWrap/>
      </w:pPr>
      <w:rPr>
        <w:rFonts w:ascii="Arial" w:hAnsi="Arial"/>
        <w:b/>
        <w:color w:val="FFFFFF" w:themeColor="background1"/>
        <w:sz w:val="22"/>
      </w:rPr>
      <w:tblPr/>
      <w:trPr>
        <w:tblHeader/>
      </w:trPr>
      <w:tcPr>
        <w:shd w:val="clear" w:color="auto" w:fill="171717" w:themeFill="background2" w:themeFillShade="1A"/>
      </w:tcPr>
    </w:tblStylePr>
    <w:tblStylePr w:type="firstCol">
      <w:pPr>
        <w:keepNext w:val="0"/>
        <w:wordWrap/>
      </w:pPr>
    </w:tblStylePr>
  </w:style>
  <w:style w:type="paragraph" w:customStyle="1" w:styleId="NonTOCHeading20">
    <w:name w:val="Non TOC Heading 2"/>
    <w:basedOn w:val="Normal"/>
    <w:rsid w:val="00346EC2"/>
    <w:pPr>
      <w:spacing w:before="240" w:line="240" w:lineRule="atLeast"/>
      <w:outlineLvl w:val="1"/>
    </w:pPr>
    <w:rPr>
      <w:rFonts w:ascii="Arial" w:eastAsia="Cambria" w:hAnsi="Arial" w:cs="Times New Roman"/>
      <w:b/>
      <w:sz w:val="32"/>
      <w:szCs w:val="22"/>
    </w:rPr>
  </w:style>
  <w:style w:type="table" w:customStyle="1" w:styleId="TableTGAblue">
    <w:name w:val="Table TGA blue"/>
    <w:basedOn w:val="TableNormal"/>
    <w:uiPriority w:val="99"/>
    <w:qFormat/>
    <w:rsid w:val="00324B33"/>
    <w:pPr>
      <w:spacing w:after="0" w:line="240" w:lineRule="auto"/>
      <w:ind w:left="170" w:right="170"/>
    </w:pPr>
    <w:rPr>
      <w:rFonts w:ascii="Cambria" w:hAnsi="Cambria" w:cs="Times New Roman"/>
      <w:color w:val="000000" w:themeColor="text1"/>
      <w:sz w:val="22"/>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paragraph" w:customStyle="1" w:styleId="Instructions">
    <w:name w:val="Instructions"/>
    <w:basedOn w:val="Normal"/>
    <w:next w:val="Normal"/>
    <w:uiPriority w:val="1"/>
    <w:qFormat/>
    <w:rsid w:val="00324B33"/>
    <w:pPr>
      <w:spacing w:before="120" w:line="240" w:lineRule="atLeast"/>
    </w:pPr>
    <w:rPr>
      <w:rFonts w:eastAsia="Cambria" w:cs="Times New Roman"/>
      <w:i/>
      <w:color w:val="007099"/>
      <w:szCs w:val="22"/>
    </w:rPr>
  </w:style>
  <w:style w:type="paragraph" w:customStyle="1" w:styleId="TableTitle">
    <w:name w:val="Table Title"/>
    <w:basedOn w:val="Normal"/>
    <w:qFormat/>
    <w:rsid w:val="00324B33"/>
    <w:pPr>
      <w:keepNext/>
      <w:spacing w:before="120" w:line="240" w:lineRule="atLeast"/>
    </w:pPr>
    <w:rPr>
      <w:rFonts w:eastAsia="Cambria" w:cs="Times New Roman"/>
      <w:b/>
      <w:szCs w:val="22"/>
    </w:rPr>
  </w:style>
  <w:style w:type="paragraph" w:customStyle="1" w:styleId="TableDescription">
    <w:name w:val="Table Description"/>
    <w:basedOn w:val="Normal"/>
    <w:qFormat/>
    <w:rsid w:val="00854D98"/>
    <w:pPr>
      <w:spacing w:before="120" w:line="240" w:lineRule="auto"/>
    </w:pPr>
    <w:rPr>
      <w:rFonts w:eastAsia="Cambria" w:cs="Times New Roman"/>
      <w:sz w:val="18"/>
      <w:szCs w:val="19"/>
    </w:rPr>
  </w:style>
  <w:style w:type="character" w:styleId="CommentReference">
    <w:name w:val="annotation reference"/>
    <w:basedOn w:val="DefaultParagraphFont"/>
    <w:uiPriority w:val="99"/>
    <w:semiHidden/>
    <w:unhideWhenUsed/>
    <w:rsid w:val="00E47E0C"/>
    <w:rPr>
      <w:sz w:val="16"/>
      <w:szCs w:val="16"/>
    </w:rPr>
  </w:style>
  <w:style w:type="paragraph" w:styleId="CommentText">
    <w:name w:val="annotation text"/>
    <w:basedOn w:val="Normal"/>
    <w:link w:val="CommentTextChar"/>
    <w:uiPriority w:val="99"/>
    <w:unhideWhenUsed/>
    <w:rsid w:val="00E47E0C"/>
    <w:pPr>
      <w:spacing w:line="240" w:lineRule="auto"/>
    </w:pPr>
  </w:style>
  <w:style w:type="character" w:customStyle="1" w:styleId="CommentTextChar">
    <w:name w:val="Comment Text Char"/>
    <w:basedOn w:val="DefaultParagraphFont"/>
    <w:link w:val="CommentText"/>
    <w:uiPriority w:val="99"/>
    <w:rsid w:val="00E47E0C"/>
    <w:rPr>
      <w:rFonts w:ascii="Cambria" w:hAnsi="Cambria"/>
    </w:rPr>
  </w:style>
  <w:style w:type="paragraph" w:styleId="CommentSubject">
    <w:name w:val="annotation subject"/>
    <w:basedOn w:val="CommentText"/>
    <w:next w:val="CommentText"/>
    <w:link w:val="CommentSubjectChar"/>
    <w:uiPriority w:val="99"/>
    <w:semiHidden/>
    <w:unhideWhenUsed/>
    <w:rsid w:val="00E47E0C"/>
    <w:rPr>
      <w:b/>
      <w:bCs/>
    </w:rPr>
  </w:style>
  <w:style w:type="character" w:customStyle="1" w:styleId="CommentSubjectChar">
    <w:name w:val="Comment Subject Char"/>
    <w:basedOn w:val="CommentTextChar"/>
    <w:link w:val="CommentSubject"/>
    <w:uiPriority w:val="99"/>
    <w:semiHidden/>
    <w:rsid w:val="00E47E0C"/>
    <w:rPr>
      <w:rFonts w:ascii="Cambria" w:hAnsi="Cambria"/>
      <w:b/>
      <w:bCs/>
    </w:rPr>
  </w:style>
  <w:style w:type="paragraph" w:styleId="BalloonText">
    <w:name w:val="Balloon Text"/>
    <w:basedOn w:val="Normal"/>
    <w:link w:val="BalloonTextChar"/>
    <w:uiPriority w:val="99"/>
    <w:semiHidden/>
    <w:unhideWhenUsed/>
    <w:rsid w:val="00D637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3760"/>
    <w:rPr>
      <w:rFonts w:ascii="Segoe UI" w:hAnsi="Segoe UI" w:cs="Segoe UI"/>
      <w:sz w:val="18"/>
      <w:szCs w:val="18"/>
    </w:rPr>
  </w:style>
  <w:style w:type="character" w:styleId="FollowedHyperlink">
    <w:name w:val="FollowedHyperlink"/>
    <w:basedOn w:val="DefaultParagraphFont"/>
    <w:uiPriority w:val="99"/>
    <w:semiHidden/>
    <w:unhideWhenUsed/>
    <w:rsid w:val="001C1C2E"/>
    <w:rPr>
      <w:color w:val="954F72" w:themeColor="followedHyperlink"/>
      <w:u w:val="single"/>
    </w:rPr>
  </w:style>
  <w:style w:type="paragraph" w:styleId="Revision">
    <w:name w:val="Revision"/>
    <w:hidden/>
    <w:uiPriority w:val="99"/>
    <w:semiHidden/>
    <w:rsid w:val="008964B3"/>
    <w:pPr>
      <w:spacing w:after="0" w:line="240" w:lineRule="auto"/>
    </w:pPr>
    <w:rPr>
      <w:rFonts w:ascii="Cambria" w:hAnsi="Cambria"/>
    </w:rPr>
  </w:style>
  <w:style w:type="character" w:styleId="UnresolvedMention">
    <w:name w:val="Unresolved Mention"/>
    <w:basedOn w:val="DefaultParagraphFont"/>
    <w:uiPriority w:val="99"/>
    <w:semiHidden/>
    <w:unhideWhenUsed/>
    <w:rsid w:val="00966EF1"/>
    <w:rPr>
      <w:color w:val="605E5C"/>
      <w:shd w:val="clear" w:color="auto" w:fill="E1DFDD"/>
    </w:rPr>
  </w:style>
  <w:style w:type="paragraph" w:customStyle="1" w:styleId="TableText">
    <w:name w:val="Table Text"/>
    <w:basedOn w:val="FootnoteText"/>
    <w:qFormat/>
    <w:rsid w:val="005B69CF"/>
    <w:rPr>
      <w:color w:val="000000" w:themeColor="text1"/>
      <w:sz w:val="22"/>
      <w:lang w:val="en-GB"/>
    </w:rPr>
  </w:style>
  <w:style w:type="paragraph" w:customStyle="1" w:styleId="FigureTitle">
    <w:name w:val="Figure Title"/>
    <w:basedOn w:val="Normal"/>
    <w:qFormat/>
    <w:rsid w:val="00AB0613"/>
    <w:pPr>
      <w:keepNext/>
    </w:pPr>
    <w:rPr>
      <w:b/>
    </w:rPr>
  </w:style>
  <w:style w:type="paragraph" w:styleId="Caption">
    <w:name w:val="caption"/>
    <w:basedOn w:val="Normal"/>
    <w:next w:val="Normal"/>
    <w:uiPriority w:val="35"/>
    <w:unhideWhenUsed/>
    <w:qFormat/>
    <w:rsid w:val="0098350E"/>
    <w:pPr>
      <w:spacing w:after="200" w:line="240" w:lineRule="auto"/>
    </w:pPr>
    <w:rPr>
      <w:i/>
      <w:iCs/>
      <w:color w:val="44546A" w:themeColor="text2"/>
      <w:sz w:val="18"/>
      <w:szCs w:val="18"/>
    </w:rPr>
  </w:style>
  <w:style w:type="paragraph" w:customStyle="1" w:styleId="FigureDescription">
    <w:name w:val="Figure Description"/>
    <w:basedOn w:val="FigureTitle"/>
    <w:qFormat/>
    <w:rsid w:val="0010558A"/>
    <w:pPr>
      <w:spacing w:before="120"/>
    </w:pPr>
    <w:rPr>
      <w:b w:val="0"/>
      <w:sz w:val="19"/>
    </w:rPr>
  </w:style>
  <w:style w:type="paragraph" w:styleId="ListParagraph">
    <w:name w:val="List Paragraph"/>
    <w:basedOn w:val="Normal"/>
    <w:link w:val="ListParagraphChar"/>
    <w:autoRedefine/>
    <w:uiPriority w:val="34"/>
    <w:qFormat/>
    <w:rsid w:val="000C6207"/>
    <w:pPr>
      <w:spacing w:after="160"/>
      <w:ind w:left="720"/>
      <w:contextualSpacing/>
    </w:pPr>
    <w:rPr>
      <w:rFonts w:cs="Times New Roman"/>
      <w:szCs w:val="24"/>
    </w:rPr>
  </w:style>
  <w:style w:type="character" w:customStyle="1" w:styleId="ListParagraphChar">
    <w:name w:val="List Paragraph Char"/>
    <w:basedOn w:val="DefaultParagraphFont"/>
    <w:link w:val="ListParagraph"/>
    <w:uiPriority w:val="34"/>
    <w:locked/>
    <w:rsid w:val="000C6207"/>
    <w:rPr>
      <w:rFonts w:ascii="Cambria" w:hAnsi="Cambria" w:cs="Times New Roman"/>
      <w:sz w:val="22"/>
      <w:szCs w:val="24"/>
    </w:rPr>
  </w:style>
  <w:style w:type="paragraph" w:customStyle="1" w:styleId="Indication">
    <w:name w:val="Indication"/>
    <w:basedOn w:val="Normal"/>
    <w:next w:val="Normal"/>
    <w:qFormat/>
    <w:rsid w:val="00BA3F6D"/>
    <w:pPr>
      <w:spacing w:before="120" w:line="240" w:lineRule="atLeast"/>
      <w:ind w:left="720"/>
      <w:contextualSpacing/>
    </w:pPr>
    <w:rPr>
      <w:i/>
      <w:color w:val="000000" w:themeColor="text1"/>
    </w:rPr>
  </w:style>
  <w:style w:type="paragraph" w:customStyle="1" w:styleId="DelegatesQuestions">
    <w:name w:val="Delegate's Questions"/>
    <w:basedOn w:val="Numberbullet0"/>
    <w:qFormat/>
    <w:rsid w:val="007575D0"/>
    <w:rPr>
      <w:b/>
      <w:bCs/>
      <w:i/>
      <w:iCs/>
    </w:rPr>
  </w:style>
  <w:style w:type="character" w:customStyle="1" w:styleId="Heading1Char">
    <w:name w:val="Heading 1 Char"/>
    <w:basedOn w:val="DefaultParagraphFont"/>
    <w:link w:val="Heading1"/>
    <w:rsid w:val="00BB7474"/>
    <w:rPr>
      <w:rFonts w:asciiTheme="majorHAnsi" w:eastAsia="Times New Roman" w:hAnsiTheme="majorHAnsi" w:cstheme="majorHAnsi"/>
      <w:b/>
      <w:bCs/>
      <w:sz w:val="64"/>
      <w:szCs w:val="64"/>
    </w:rPr>
  </w:style>
  <w:style w:type="character" w:customStyle="1" w:styleId="Heading7Char">
    <w:name w:val="Heading 7 Char"/>
    <w:basedOn w:val="DefaultParagraphFont"/>
    <w:link w:val="Heading7"/>
    <w:uiPriority w:val="9"/>
    <w:rsid w:val="00BB7474"/>
    <w:rPr>
      <w:rFonts w:ascii="Cambria" w:eastAsia="Times New Roman" w:hAnsi="Cambria" w:cs="Times New Roman"/>
      <w:bCs/>
      <w:szCs w:val="24"/>
    </w:rPr>
  </w:style>
  <w:style w:type="paragraph" w:customStyle="1" w:styleId="AxisLabel">
    <w:name w:val="Axis Label"/>
    <w:basedOn w:val="Normal"/>
    <w:qFormat/>
    <w:rsid w:val="00BB7474"/>
    <w:pPr>
      <w:spacing w:before="120" w:after="0" w:line="240" w:lineRule="auto"/>
    </w:pPr>
    <w:rPr>
      <w:rFonts w:ascii="Arial" w:eastAsia="Cambria" w:hAnsi="Arial" w:cs="Times New Roman"/>
      <w:noProof/>
      <w:sz w:val="14"/>
      <w:szCs w:val="22"/>
      <w:lang w:eastAsia="en-AU"/>
    </w:rPr>
  </w:style>
  <w:style w:type="paragraph" w:customStyle="1" w:styleId="AxisTitle">
    <w:name w:val="Axis Title"/>
    <w:basedOn w:val="Normal"/>
    <w:qFormat/>
    <w:rsid w:val="00BB7474"/>
    <w:pPr>
      <w:spacing w:before="120" w:after="0" w:line="240" w:lineRule="auto"/>
    </w:pPr>
    <w:rPr>
      <w:rFonts w:ascii="Arial" w:eastAsia="Cambria" w:hAnsi="Arial" w:cs="Times New Roman"/>
      <w:sz w:val="16"/>
      <w:szCs w:val="22"/>
    </w:rPr>
  </w:style>
  <w:style w:type="paragraph" w:customStyle="1" w:styleId="Contents">
    <w:name w:val="Contents"/>
    <w:basedOn w:val="Normal"/>
    <w:rsid w:val="00BB7474"/>
    <w:pPr>
      <w:spacing w:after="0" w:line="240" w:lineRule="atLeast"/>
    </w:pPr>
    <w:rPr>
      <w:rFonts w:ascii="Arial" w:eastAsia="Cambria" w:hAnsi="Arial" w:cs="Times New Roman"/>
      <w:b/>
      <w:sz w:val="48"/>
      <w:szCs w:val="22"/>
    </w:rPr>
  </w:style>
  <w:style w:type="paragraph" w:customStyle="1" w:styleId="HeaderNoLine0">
    <w:name w:val="Header No Line"/>
    <w:basedOn w:val="Header"/>
    <w:rsid w:val="00BB7474"/>
    <w:pPr>
      <w:pBdr>
        <w:bottom w:val="none" w:sz="0" w:space="0" w:color="auto"/>
      </w:pBdr>
      <w:spacing w:before="120" w:after="240"/>
      <w:jc w:val="left"/>
    </w:pPr>
    <w:rPr>
      <w:rFonts w:ascii="Cambria" w:hAnsi="Cambria"/>
      <w:color w:val="auto"/>
      <w:szCs w:val="22"/>
    </w:rPr>
  </w:style>
  <w:style w:type="paragraph" w:customStyle="1" w:styleId="Key">
    <w:name w:val="Key"/>
    <w:basedOn w:val="Normal"/>
    <w:qFormat/>
    <w:rsid w:val="00BB7474"/>
    <w:pPr>
      <w:spacing w:before="120" w:line="240" w:lineRule="atLeast"/>
    </w:pPr>
    <w:rPr>
      <w:rFonts w:eastAsia="Cambria" w:cs="Times New Roman"/>
      <w:sz w:val="14"/>
      <w:szCs w:val="22"/>
    </w:rPr>
  </w:style>
  <w:style w:type="table" w:styleId="LightShading-Accent2">
    <w:name w:val="Light Shading Accent 2"/>
    <w:basedOn w:val="TableNormal"/>
    <w:uiPriority w:val="60"/>
    <w:rsid w:val="00BB7474"/>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MediumGrid2-Accent5">
    <w:name w:val="Medium Grid 2 Accent 5"/>
    <w:basedOn w:val="TableNormal"/>
    <w:uiPriority w:val="68"/>
    <w:rsid w:val="00BB7474"/>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tes">
    <w:name w:val="Notes"/>
    <w:basedOn w:val="Normal"/>
    <w:qFormat/>
    <w:locked/>
    <w:rsid w:val="00BB7474"/>
    <w:pPr>
      <w:spacing w:before="120" w:after="0" w:line="240" w:lineRule="auto"/>
    </w:pPr>
    <w:rPr>
      <w:rFonts w:ascii="Arial" w:eastAsia="Cambria" w:hAnsi="Arial" w:cs="Times New Roman"/>
      <w:sz w:val="16"/>
      <w:szCs w:val="22"/>
    </w:rPr>
  </w:style>
  <w:style w:type="character" w:styleId="PlaceholderText">
    <w:name w:val="Placeholder Text"/>
    <w:basedOn w:val="DefaultParagraphFont"/>
    <w:uiPriority w:val="99"/>
    <w:semiHidden/>
    <w:rsid w:val="00BB7474"/>
    <w:rPr>
      <w:color w:val="808080"/>
    </w:rPr>
  </w:style>
  <w:style w:type="paragraph" w:customStyle="1" w:styleId="Reference">
    <w:name w:val="Reference"/>
    <w:basedOn w:val="Normal"/>
    <w:rsid w:val="00BB7474"/>
    <w:pPr>
      <w:spacing w:before="40" w:after="0" w:line="180" w:lineRule="atLeast"/>
      <w:ind w:hanging="170"/>
    </w:pPr>
    <w:rPr>
      <w:rFonts w:eastAsia="Cambria" w:cs="Times New Roman"/>
      <w:sz w:val="19"/>
      <w:szCs w:val="22"/>
    </w:rPr>
  </w:style>
  <w:style w:type="paragraph" w:customStyle="1" w:styleId="Tabletext0">
    <w:name w:val="Table text"/>
    <w:basedOn w:val="Normal"/>
    <w:rsid w:val="00BB7474"/>
    <w:pPr>
      <w:spacing w:before="120" w:line="240" w:lineRule="atLeast"/>
    </w:pPr>
    <w:rPr>
      <w:rFonts w:eastAsia="Cambria" w:cs="Times New Roman"/>
      <w:sz w:val="19"/>
      <w:szCs w:val="22"/>
    </w:rPr>
  </w:style>
  <w:style w:type="table" w:customStyle="1" w:styleId="TableTGAblack">
    <w:name w:val="Table TGA black"/>
    <w:basedOn w:val="TableNormal"/>
    <w:uiPriority w:val="99"/>
    <w:rsid w:val="00BB7474"/>
    <w:pPr>
      <w:spacing w:before="60" w:after="0" w:line="240" w:lineRule="auto"/>
      <w:ind w:left="170" w:right="170"/>
    </w:pPr>
    <w:rPr>
      <w:rFonts w:ascii="Cambria" w:hAnsi="Cambria" w:cs="Times New Roman"/>
      <w:color w:val="000000"/>
      <w:sz w:val="22"/>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styleId="TOCHeading">
    <w:name w:val="TOC Heading"/>
    <w:basedOn w:val="Heading1"/>
    <w:next w:val="Normal"/>
    <w:uiPriority w:val="39"/>
    <w:semiHidden/>
    <w:unhideWhenUsed/>
    <w:qFormat/>
    <w:rsid w:val="00BB7474"/>
    <w:pPr>
      <w:framePr w:wrap="around" w:hAnchor="text"/>
      <w:spacing w:before="480" w:after="0" w:line="276" w:lineRule="auto"/>
      <w:outlineLvl w:val="9"/>
    </w:pPr>
    <w:rPr>
      <w:rFonts w:cstheme="minorBidi"/>
      <w:color w:val="002035"/>
      <w:sz w:val="28"/>
      <w:lang w:val="en-US"/>
    </w:rPr>
  </w:style>
  <w:style w:type="paragraph" w:customStyle="1" w:styleId="Quotation">
    <w:name w:val="Quotation"/>
    <w:basedOn w:val="Normal"/>
    <w:next w:val="Normal"/>
    <w:uiPriority w:val="4"/>
    <w:qFormat/>
    <w:rsid w:val="00BB7474"/>
    <w:pPr>
      <w:spacing w:before="120" w:after="180" w:line="240" w:lineRule="atLeast"/>
      <w:ind w:left="425"/>
    </w:pPr>
    <w:rPr>
      <w:rFonts w:eastAsiaTheme="minorEastAsia"/>
      <w:sz w:val="20"/>
      <w:szCs w:val="22"/>
      <w:lang w:eastAsia="zh-TW"/>
    </w:rPr>
  </w:style>
  <w:style w:type="paragraph" w:customStyle="1" w:styleId="Comment">
    <w:name w:val="Comment"/>
    <w:basedOn w:val="Normal"/>
    <w:next w:val="Normal"/>
    <w:uiPriority w:val="1"/>
    <w:qFormat/>
    <w:rsid w:val="00BB7474"/>
    <w:pPr>
      <w:spacing w:before="120" w:line="240" w:lineRule="atLeast"/>
      <w:ind w:left="992" w:hanging="992"/>
    </w:pPr>
    <w:rPr>
      <w:rFonts w:eastAsia="Cambria" w:cs="Times New Roman"/>
      <w:szCs w:val="22"/>
    </w:rPr>
  </w:style>
  <w:style w:type="paragraph" w:styleId="EndnoteText">
    <w:name w:val="endnote text"/>
    <w:basedOn w:val="Normal"/>
    <w:link w:val="EndnoteTextChar"/>
    <w:uiPriority w:val="99"/>
    <w:semiHidden/>
    <w:unhideWhenUsed/>
    <w:rsid w:val="00BB7474"/>
    <w:pPr>
      <w:spacing w:after="0" w:line="240" w:lineRule="auto"/>
    </w:pPr>
    <w:rPr>
      <w:rFonts w:eastAsia="Cambria" w:cs="Times New Roman"/>
      <w:sz w:val="20"/>
    </w:rPr>
  </w:style>
  <w:style w:type="character" w:customStyle="1" w:styleId="EndnoteTextChar">
    <w:name w:val="Endnote Text Char"/>
    <w:basedOn w:val="DefaultParagraphFont"/>
    <w:link w:val="EndnoteText"/>
    <w:uiPriority w:val="99"/>
    <w:semiHidden/>
    <w:rsid w:val="00BB7474"/>
    <w:rPr>
      <w:rFonts w:ascii="Cambria" w:eastAsia="Cambria" w:hAnsi="Cambria" w:cs="Times New Roman"/>
    </w:rPr>
  </w:style>
  <w:style w:type="character" w:styleId="EndnoteReference">
    <w:name w:val="endnote reference"/>
    <w:basedOn w:val="DefaultParagraphFont"/>
    <w:uiPriority w:val="99"/>
    <w:semiHidden/>
    <w:unhideWhenUsed/>
    <w:rsid w:val="00BB7474"/>
    <w:rPr>
      <w:vertAlign w:val="superscript"/>
    </w:rPr>
  </w:style>
  <w:style w:type="paragraph" w:customStyle="1" w:styleId="FigureCaption">
    <w:name w:val="Figure Caption"/>
    <w:basedOn w:val="Normal"/>
    <w:qFormat/>
    <w:rsid w:val="00BB7474"/>
    <w:pPr>
      <w:adjustRightInd w:val="0"/>
      <w:snapToGrid w:val="0"/>
      <w:spacing w:before="180" w:after="180" w:line="240" w:lineRule="atLeast"/>
    </w:pPr>
    <w:rPr>
      <w:rFonts w:eastAsia="MS Mincho" w:cs="Times New Roman"/>
      <w:lang w:eastAsia="ja-JP"/>
    </w:rPr>
  </w:style>
  <w:style w:type="paragraph" w:customStyle="1" w:styleId="TableCaption">
    <w:name w:val="Table Caption"/>
    <w:basedOn w:val="FigureCaption"/>
    <w:qFormat/>
    <w:rsid w:val="00BB7474"/>
    <w:pPr>
      <w:spacing w:after="240"/>
    </w:pPr>
    <w:rPr>
      <w:sz w:val="17"/>
    </w:rPr>
  </w:style>
  <w:style w:type="table" w:customStyle="1" w:styleId="TableTGA2">
    <w:name w:val="Table TGA 2"/>
    <w:basedOn w:val="TableNormal"/>
    <w:uiPriority w:val="99"/>
    <w:rsid w:val="00BB7474"/>
    <w:pPr>
      <w:spacing w:before="60" w:after="0" w:line="240" w:lineRule="auto"/>
    </w:pPr>
    <w:rPr>
      <w:rFonts w:ascii="Cambria" w:hAnsi="Cambria" w:cs="Times New Roman"/>
      <w:color w:val="000000"/>
      <w:sz w:val="22"/>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rPr>
      <w:cantSplit/>
    </w:trPr>
    <w:tcPr>
      <w:shd w:val="clear" w:color="auto" w:fill="auto"/>
    </w:tcPr>
    <w:tblStylePr w:type="firstRow">
      <w:pPr>
        <w:wordWrap/>
        <w:spacing w:beforeLines="0" w:beforeAutospacing="0" w:afterLines="0" w:afterAutospacing="0"/>
      </w:pPr>
      <w:rPr>
        <w:rFonts w:ascii="Cambria" w:hAnsi="Cambria"/>
        <w:b/>
        <w:color w:val="FFFFFF"/>
        <w:sz w:val="22"/>
      </w:rPr>
      <w:tblPr/>
      <w:trPr>
        <w:tblHeader/>
      </w:trPr>
      <w:tcPr>
        <w:shd w:val="clear" w:color="auto" w:fill="000000"/>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Subject">
    <w:name w:val="Subject"/>
    <w:basedOn w:val="Normal"/>
    <w:qFormat/>
    <w:rsid w:val="00BB7474"/>
    <w:pPr>
      <w:adjustRightInd w:val="0"/>
      <w:snapToGrid w:val="0"/>
      <w:spacing w:before="180" w:after="180" w:line="240" w:lineRule="atLeast"/>
    </w:pPr>
    <w:rPr>
      <w:rFonts w:eastAsia="MS Mincho" w:cs="Times New Roman"/>
      <w:b/>
      <w:lang w:eastAsia="ja-JP"/>
    </w:rPr>
  </w:style>
  <w:style w:type="paragraph" w:customStyle="1" w:styleId="Addressee">
    <w:name w:val="Addressee"/>
    <w:basedOn w:val="Normal"/>
    <w:qFormat/>
    <w:rsid w:val="00BB7474"/>
    <w:pPr>
      <w:adjustRightInd w:val="0"/>
      <w:snapToGrid w:val="0"/>
      <w:spacing w:before="180" w:after="180" w:line="240" w:lineRule="atLeast"/>
    </w:pPr>
    <w:rPr>
      <w:rFonts w:eastAsia="MS Mincho" w:cs="Times New Roman"/>
      <w:lang w:eastAsia="ja-JP"/>
    </w:rPr>
  </w:style>
  <w:style w:type="character" w:customStyle="1" w:styleId="ABN">
    <w:name w:val="ABN"/>
    <w:basedOn w:val="DefaultParagraphFont"/>
    <w:uiPriority w:val="1"/>
    <w:qFormat/>
    <w:rsid w:val="00BB7474"/>
    <w:rPr>
      <w:rFonts w:ascii="Arial" w:hAnsi="Arial"/>
      <w:color w:val="002C47"/>
      <w:sz w:val="14"/>
    </w:rPr>
  </w:style>
  <w:style w:type="paragraph" w:customStyle="1" w:styleId="BodyCopy">
    <w:name w:val="Body Copy"/>
    <w:basedOn w:val="Normal"/>
    <w:qFormat/>
    <w:rsid w:val="00BB7474"/>
    <w:pPr>
      <w:adjustRightInd w:val="0"/>
      <w:snapToGrid w:val="0"/>
      <w:spacing w:before="180" w:after="180" w:line="240" w:lineRule="atLeast"/>
    </w:pPr>
    <w:rPr>
      <w:rFonts w:eastAsia="MS Mincho" w:cs="Times New Roman"/>
      <w:lang w:eastAsia="ja-JP"/>
    </w:rPr>
  </w:style>
  <w:style w:type="paragraph" w:customStyle="1" w:styleId="Standard">
    <w:name w:val="Standard"/>
    <w:basedOn w:val="Normal"/>
    <w:link w:val="StandardChar"/>
    <w:qFormat/>
    <w:rsid w:val="00BB7474"/>
    <w:pPr>
      <w:spacing w:after="220" w:line="252" w:lineRule="auto"/>
    </w:pPr>
    <w:rPr>
      <w:rFonts w:eastAsia="Times New Roman" w:cs="Times New Roman"/>
      <w:snapToGrid w:val="0"/>
      <w:kern w:val="16"/>
      <w:sz w:val="23"/>
      <w:szCs w:val="24"/>
    </w:rPr>
  </w:style>
  <w:style w:type="character" w:customStyle="1" w:styleId="StandardChar">
    <w:name w:val="Standard Char"/>
    <w:basedOn w:val="DefaultParagraphFont"/>
    <w:link w:val="Standard"/>
    <w:rsid w:val="00BB7474"/>
    <w:rPr>
      <w:rFonts w:ascii="Cambria" w:eastAsia="Times New Roman" w:hAnsi="Cambria" w:cs="Times New Roman"/>
      <w:snapToGrid w:val="0"/>
      <w:kern w:val="16"/>
      <w:sz w:val="23"/>
      <w:szCs w:val="24"/>
    </w:rPr>
  </w:style>
  <w:style w:type="paragraph" w:customStyle="1" w:styleId="Bulletpoint">
    <w:name w:val="Bullet point"/>
    <w:basedOn w:val="Standard"/>
    <w:rsid w:val="00BB7474"/>
    <w:pPr>
      <w:numPr>
        <w:numId w:val="7"/>
      </w:numPr>
      <w:tabs>
        <w:tab w:val="clear" w:pos="369"/>
        <w:tab w:val="left" w:pos="397"/>
        <w:tab w:val="num" w:pos="511"/>
      </w:tabs>
      <w:spacing w:after="180"/>
      <w:ind w:left="0" w:firstLine="0"/>
    </w:pPr>
    <w:rPr>
      <w:sz w:val="22"/>
    </w:rPr>
  </w:style>
  <w:style w:type="paragraph" w:customStyle="1" w:styleId="PISubsection">
    <w:name w:val="PI Subsection"/>
    <w:basedOn w:val="Standard"/>
    <w:next w:val="Standard"/>
    <w:rsid w:val="00BB7474"/>
    <w:pPr>
      <w:keepNext/>
      <w:spacing w:after="120"/>
    </w:pPr>
    <w:rPr>
      <w:b/>
      <w:i/>
      <w:kern w:val="2"/>
      <w:sz w:val="22"/>
    </w:rPr>
  </w:style>
  <w:style w:type="character" w:customStyle="1" w:styleId="Heading8Char">
    <w:name w:val="Heading 8 Char"/>
    <w:basedOn w:val="DefaultParagraphFont"/>
    <w:link w:val="Heading8"/>
    <w:uiPriority w:val="9"/>
    <w:rsid w:val="00A237A2"/>
    <w:rPr>
      <w:rFonts w:asciiTheme="majorHAnsi" w:eastAsiaTheme="majorEastAsia" w:hAnsiTheme="majorHAnsi" w:cstheme="majorBidi"/>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4115028">
      <w:bodyDiv w:val="1"/>
      <w:marLeft w:val="0"/>
      <w:marRight w:val="0"/>
      <w:marTop w:val="0"/>
      <w:marBottom w:val="0"/>
      <w:divBdr>
        <w:top w:val="none" w:sz="0" w:space="0" w:color="auto"/>
        <w:left w:val="none" w:sz="0" w:space="0" w:color="auto"/>
        <w:bottom w:val="none" w:sz="0" w:space="0" w:color="auto"/>
        <w:right w:val="none" w:sz="0" w:space="0" w:color="auto"/>
      </w:divBdr>
    </w:div>
    <w:div w:id="695735718">
      <w:bodyDiv w:val="1"/>
      <w:marLeft w:val="0"/>
      <w:marRight w:val="0"/>
      <w:marTop w:val="0"/>
      <w:marBottom w:val="0"/>
      <w:divBdr>
        <w:top w:val="none" w:sz="0" w:space="0" w:color="auto"/>
        <w:left w:val="none" w:sz="0" w:space="0" w:color="auto"/>
        <w:bottom w:val="none" w:sz="0" w:space="0" w:color="auto"/>
        <w:right w:val="none" w:sz="0" w:space="0" w:color="auto"/>
      </w:divBdr>
    </w:div>
    <w:div w:id="1293705804">
      <w:bodyDiv w:val="1"/>
      <w:marLeft w:val="0"/>
      <w:marRight w:val="0"/>
      <w:marTop w:val="0"/>
      <w:marBottom w:val="0"/>
      <w:divBdr>
        <w:top w:val="none" w:sz="0" w:space="0" w:color="auto"/>
        <w:left w:val="none" w:sz="0" w:space="0" w:color="auto"/>
        <w:bottom w:val="none" w:sz="0" w:space="0" w:color="auto"/>
        <w:right w:val="none" w:sz="0" w:space="0" w:color="auto"/>
      </w:divBdr>
    </w:div>
    <w:div w:id="1350718737">
      <w:bodyDiv w:val="1"/>
      <w:marLeft w:val="0"/>
      <w:marRight w:val="0"/>
      <w:marTop w:val="0"/>
      <w:marBottom w:val="0"/>
      <w:divBdr>
        <w:top w:val="none" w:sz="0" w:space="0" w:color="auto"/>
        <w:left w:val="none" w:sz="0" w:space="0" w:color="auto"/>
        <w:bottom w:val="none" w:sz="0" w:space="0" w:color="auto"/>
        <w:right w:val="none" w:sz="0" w:space="0" w:color="auto"/>
      </w:divBdr>
      <w:divsChild>
        <w:div w:id="1159492441">
          <w:marLeft w:val="0"/>
          <w:marRight w:val="0"/>
          <w:marTop w:val="0"/>
          <w:marBottom w:val="0"/>
          <w:divBdr>
            <w:top w:val="none" w:sz="0" w:space="0" w:color="auto"/>
            <w:left w:val="none" w:sz="0" w:space="0" w:color="auto"/>
            <w:bottom w:val="none" w:sz="0" w:space="0" w:color="auto"/>
            <w:right w:val="none" w:sz="0" w:space="0" w:color="auto"/>
          </w:divBdr>
        </w:div>
      </w:divsChild>
    </w:div>
    <w:div w:id="1804224753">
      <w:bodyDiv w:val="1"/>
      <w:marLeft w:val="0"/>
      <w:marRight w:val="0"/>
      <w:marTop w:val="0"/>
      <w:marBottom w:val="0"/>
      <w:divBdr>
        <w:top w:val="none" w:sz="0" w:space="0" w:color="auto"/>
        <w:left w:val="none" w:sz="0" w:space="0" w:color="auto"/>
        <w:bottom w:val="none" w:sz="0" w:space="0" w:color="auto"/>
        <w:right w:val="none" w:sz="0" w:space="0" w:color="auto"/>
      </w:divBdr>
      <w:divsChild>
        <w:div w:id="58865707">
          <w:marLeft w:val="0"/>
          <w:marRight w:val="0"/>
          <w:marTop w:val="0"/>
          <w:marBottom w:val="0"/>
          <w:divBdr>
            <w:top w:val="none" w:sz="0" w:space="0" w:color="auto"/>
            <w:left w:val="none" w:sz="0" w:space="0" w:color="auto"/>
            <w:bottom w:val="none" w:sz="0" w:space="0" w:color="auto"/>
            <w:right w:val="none" w:sz="0" w:space="0" w:color="auto"/>
          </w:divBdr>
          <w:divsChild>
            <w:div w:id="2077583647">
              <w:marLeft w:val="0"/>
              <w:marRight w:val="0"/>
              <w:marTop w:val="0"/>
              <w:marBottom w:val="0"/>
              <w:divBdr>
                <w:top w:val="none" w:sz="0" w:space="0" w:color="auto"/>
                <w:left w:val="none" w:sz="0" w:space="0" w:color="auto"/>
                <w:bottom w:val="single" w:sz="6" w:space="0" w:color="DADADA"/>
                <w:right w:val="none" w:sz="0" w:space="0" w:color="auto"/>
              </w:divBdr>
            </w:div>
          </w:divsChild>
        </w:div>
      </w:divsChild>
    </w:div>
    <w:div w:id="1906212305">
      <w:bodyDiv w:val="1"/>
      <w:marLeft w:val="0"/>
      <w:marRight w:val="0"/>
      <w:marTop w:val="0"/>
      <w:marBottom w:val="0"/>
      <w:divBdr>
        <w:top w:val="none" w:sz="0" w:space="0" w:color="auto"/>
        <w:left w:val="none" w:sz="0" w:space="0" w:color="auto"/>
        <w:bottom w:val="none" w:sz="0" w:space="0" w:color="auto"/>
        <w:right w:val="none" w:sz="0" w:space="0" w:color="auto"/>
      </w:divBdr>
      <w:divsChild>
        <w:div w:id="191655036">
          <w:marLeft w:val="0"/>
          <w:marRight w:val="0"/>
          <w:marTop w:val="0"/>
          <w:marBottom w:val="0"/>
          <w:divBdr>
            <w:top w:val="none" w:sz="0" w:space="0" w:color="auto"/>
            <w:left w:val="none" w:sz="0" w:space="0" w:color="auto"/>
            <w:bottom w:val="none" w:sz="0" w:space="0" w:color="auto"/>
            <w:right w:val="none" w:sz="0" w:space="0" w:color="auto"/>
          </w:divBdr>
        </w:div>
      </w:divsChild>
    </w:div>
    <w:div w:id="2036957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tga.gov.au/australian-public-assessment-report-auspar-guidance" TargetMode="External"/><Relationship Id="rId18" Type="http://schemas.openxmlformats.org/officeDocument/2006/relationships/hyperlink" Target="https://www.tga.gov.au/obstetric-drug-information-services" TargetMode="External"/><Relationship Id="rId26" Type="http://schemas.openxmlformats.org/officeDocument/2006/relationships/image" Target="media/image8.png"/><Relationship Id="rId39" Type="http://schemas.openxmlformats.org/officeDocument/2006/relationships/image" Target="media/image17.png"/><Relationship Id="rId21" Type="http://schemas.openxmlformats.org/officeDocument/2006/relationships/hyperlink" Target="https://www.tga.gov.au/project-orbis" TargetMode="External"/><Relationship Id="rId34" Type="http://schemas.microsoft.com/office/2007/relationships/hdphoto" Target="media/hdphoto3.wdp"/><Relationship Id="rId42" Type="http://schemas.openxmlformats.org/officeDocument/2006/relationships/image" Target="media/image20.png"/><Relationship Id="rId47" Type="http://schemas.openxmlformats.org/officeDocument/2006/relationships/image" Target="media/image24.png"/><Relationship Id="rId50" Type="http://schemas.openxmlformats.org/officeDocument/2006/relationships/image" Target="media/image26.png"/><Relationship Id="rId55" Type="http://schemas.microsoft.com/office/2007/relationships/hdphoto" Target="media/hdphoto7.wdp"/><Relationship Id="rId63" Type="http://schemas.openxmlformats.org/officeDocument/2006/relationships/image" Target="media/image38.png"/><Relationship Id="rId68" Type="http://schemas.openxmlformats.org/officeDocument/2006/relationships/hyperlink" Target="https://www.tga.gov.au/picmi-search-facility" TargetMode="Externa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mailto:info@tga.gov.au" TargetMode="External"/><Relationship Id="rId2" Type="http://schemas.openxmlformats.org/officeDocument/2006/relationships/numbering" Target="numbering.xml"/><Relationship Id="rId16" Type="http://schemas.openxmlformats.org/officeDocument/2006/relationships/hyperlink" Target="https://www.ebs.tga.gov.au/ebs/picmi/picmirepository.nsf/pdf?OpenAgent&amp;id=CP-2020-PI-01276-1&amp;d=20240825172310101" TargetMode="External"/><Relationship Id="rId29" Type="http://schemas.microsoft.com/office/2007/relationships/hdphoto" Target="media/hdphoto1.wdp"/><Relationship Id="rId11" Type="http://schemas.openxmlformats.org/officeDocument/2006/relationships/footer" Target="footer2.xml"/><Relationship Id="rId24" Type="http://schemas.openxmlformats.org/officeDocument/2006/relationships/image" Target="media/image6.png"/><Relationship Id="rId32" Type="http://schemas.openxmlformats.org/officeDocument/2006/relationships/image" Target="media/image12.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2.png"/><Relationship Id="rId53" Type="http://schemas.openxmlformats.org/officeDocument/2006/relationships/image" Target="media/image29.png"/><Relationship Id="rId58" Type="http://schemas.openxmlformats.org/officeDocument/2006/relationships/image" Target="media/image33.png"/><Relationship Id="rId66" Type="http://schemas.openxmlformats.org/officeDocument/2006/relationships/hyperlink" Target="https://www.tga.gov.au/products/australian-register-therapeutic-goods-artg/product-information-one" TargetMode="External"/><Relationship Id="rId7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https://www.tga.gov.au/black-triangle-scheme" TargetMode="External"/><Relationship Id="rId23" Type="http://schemas.openxmlformats.org/officeDocument/2006/relationships/image" Target="media/image5.png"/><Relationship Id="rId28" Type="http://schemas.openxmlformats.org/officeDocument/2006/relationships/image" Target="media/image10.png"/><Relationship Id="rId36" Type="http://schemas.microsoft.com/office/2007/relationships/hdphoto" Target="media/hdphoto4.wdp"/><Relationship Id="rId49" Type="http://schemas.openxmlformats.org/officeDocument/2006/relationships/image" Target="media/image25.png"/><Relationship Id="rId57" Type="http://schemas.openxmlformats.org/officeDocument/2006/relationships/image" Target="media/image32.png"/><Relationship Id="rId61" Type="http://schemas.openxmlformats.org/officeDocument/2006/relationships/image" Target="media/image36.png"/><Relationship Id="rId10" Type="http://schemas.openxmlformats.org/officeDocument/2006/relationships/header" Target="header2.xml"/><Relationship Id="rId19" Type="http://schemas.openxmlformats.org/officeDocument/2006/relationships/hyperlink" Target="https://www.tga.gov.au/products/australian-register-therapeutic-goods-artg" TargetMode="External"/><Relationship Id="rId31" Type="http://schemas.microsoft.com/office/2007/relationships/hdphoto" Target="media/hdphoto2.wdp"/><Relationship Id="rId44" Type="http://schemas.openxmlformats.org/officeDocument/2006/relationships/image" Target="media/image21.png"/><Relationship Id="rId52" Type="http://schemas.openxmlformats.org/officeDocument/2006/relationships/image" Target="media/image28.png"/><Relationship Id="rId60" Type="http://schemas.openxmlformats.org/officeDocument/2006/relationships/image" Target="media/image35.png"/><Relationship Id="rId65" Type="http://schemas.openxmlformats.org/officeDocument/2006/relationships/hyperlink" Target="https://www.tga.gov.au/products/australian-register-therapeutic-goods-artg/product-information-one" TargetMode="External"/><Relationship Id="rId73" Type="http://schemas.openxmlformats.org/officeDocument/2006/relationships/header" Target="head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tga.copyright@tga.gov.au"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1.png"/><Relationship Id="rId35" Type="http://schemas.openxmlformats.org/officeDocument/2006/relationships/image" Target="media/image14.png"/><Relationship Id="rId43" Type="http://schemas.microsoft.com/office/2007/relationships/hdphoto" Target="media/hdphoto5.wdp"/><Relationship Id="rId48" Type="http://schemas.microsoft.com/office/2007/relationships/hdphoto" Target="media/hdphoto6.wdp"/><Relationship Id="rId56" Type="http://schemas.openxmlformats.org/officeDocument/2006/relationships/image" Target="media/image31.png"/><Relationship Id="rId64" Type="http://schemas.openxmlformats.org/officeDocument/2006/relationships/image" Target="media/image39.png"/><Relationship Id="rId69" Type="http://schemas.openxmlformats.org/officeDocument/2006/relationships/header" Target="header3.xml"/><Relationship Id="rId8" Type="http://schemas.openxmlformats.org/officeDocument/2006/relationships/header" Target="header1.xml"/><Relationship Id="rId51" Type="http://schemas.openxmlformats.org/officeDocument/2006/relationships/image" Target="media/image27.png"/><Relationship Id="rId72" Type="http://schemas.openxmlformats.org/officeDocument/2006/relationships/hyperlink" Target="https://www.tga.gov.au" TargetMode="External"/><Relationship Id="rId3" Type="http://schemas.openxmlformats.org/officeDocument/2006/relationships/styles" Target="styles.xml"/><Relationship Id="rId12" Type="http://schemas.openxmlformats.org/officeDocument/2006/relationships/hyperlink" Target="https://www.tga.gov.au/" TargetMode="External"/><Relationship Id="rId17" Type="http://schemas.openxmlformats.org/officeDocument/2006/relationships/hyperlink" Target="https://www.tga.gov.au/products/medicines/find-information-about-medicine/prescribing-medicines-pregnancy-database" TargetMode="External"/><Relationship Id="rId25" Type="http://schemas.openxmlformats.org/officeDocument/2006/relationships/image" Target="media/image7.png"/><Relationship Id="rId33" Type="http://schemas.openxmlformats.org/officeDocument/2006/relationships/image" Target="media/image13.png"/><Relationship Id="rId38" Type="http://schemas.openxmlformats.org/officeDocument/2006/relationships/image" Target="media/image16.png"/><Relationship Id="rId46" Type="http://schemas.openxmlformats.org/officeDocument/2006/relationships/image" Target="media/image23.png"/><Relationship Id="rId59" Type="http://schemas.openxmlformats.org/officeDocument/2006/relationships/image" Target="media/image34.png"/><Relationship Id="rId67" Type="http://schemas.openxmlformats.org/officeDocument/2006/relationships/hyperlink" Target="https://www.tga.gov.au/products/australian-register-therapeutic-goods-artg/consumer-medicines-information-cmi" TargetMode="External"/><Relationship Id="rId20" Type="http://schemas.openxmlformats.org/officeDocument/2006/relationships/hyperlink" Target="https://www.tga.gov.au/products/australian-register-therapeutic-goods-artg" TargetMode="External"/><Relationship Id="rId41" Type="http://schemas.openxmlformats.org/officeDocument/2006/relationships/image" Target="media/image19.png"/><Relationship Id="rId54" Type="http://schemas.openxmlformats.org/officeDocument/2006/relationships/image" Target="media/image30.png"/><Relationship Id="rId62" Type="http://schemas.openxmlformats.org/officeDocument/2006/relationships/image" Target="media/image37.png"/><Relationship Id="rId70" Type="http://schemas.openxmlformats.org/officeDocument/2006/relationships/footer" Target="footer3.xm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3" Type="http://schemas.openxmlformats.org/officeDocument/2006/relationships/hyperlink" Target="https://www.eviq.org.au/medical-oncology/urogenital/prostate" TargetMode="External"/><Relationship Id="rId2" Type="http://schemas.openxmlformats.org/officeDocument/2006/relationships/hyperlink" Target="https://seer.cancer.gov/statfacts/html/prost.html" TargetMode="External"/><Relationship Id="rId1" Type="http://schemas.openxmlformats.org/officeDocument/2006/relationships/hyperlink" Target="https://www.canceraustralia.gov.au/cancer-types/prostate-cancer/statistics" TargetMode="External"/><Relationship Id="rId6" Type="http://schemas.openxmlformats.org/officeDocument/2006/relationships/hyperlink" Target="https://recist.eortc.org/recist-1-1-2/" TargetMode="External"/><Relationship Id="rId5" Type="http://schemas.openxmlformats.org/officeDocument/2006/relationships/hyperlink" Target="https://www.tga.gov.au/resources/auspar/auspar-darolutamide" TargetMode="External"/><Relationship Id="rId4" Type="http://schemas.openxmlformats.org/officeDocument/2006/relationships/hyperlink" Target="https://www.uptodate.com/contents/treatment-for-advanced-prostate-cancer-beyond-the-basics"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11AE68-6449-47E6-9F10-0220946BAF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54</Pages>
  <Words>13065</Words>
  <Characters>74474</Characters>
  <Application>Microsoft Office Word</Application>
  <DocSecurity>0</DocSecurity>
  <Lines>620</Lines>
  <Paragraphs>174</Paragraphs>
  <ScaleCrop>false</ScaleCrop>
  <HeadingPairs>
    <vt:vector size="4" baseType="variant">
      <vt:variant>
        <vt:lpstr>Title</vt:lpstr>
      </vt:variant>
      <vt:variant>
        <vt:i4>1</vt:i4>
      </vt:variant>
      <vt:variant>
        <vt:lpstr>Headings</vt:lpstr>
      </vt:variant>
      <vt:variant>
        <vt:i4>16</vt:i4>
      </vt:variant>
    </vt:vector>
  </HeadingPairs>
  <TitlesOfParts>
    <vt:vector size="17" baseType="lpstr">
      <vt:lpstr>Australian public assessment report for Nubeqa</vt:lpstr>
      <vt:lpstr>    About the Therapeutic Goods Administration (TGA)</vt:lpstr>
      <vt:lpstr>    About AusPARs</vt:lpstr>
      <vt:lpstr>    Copyright</vt:lpstr>
      <vt:lpstr>    &lt;Contents</vt:lpstr>
      <vt:lpstr>    Nubeqa (darolutamide) submission</vt:lpstr>
      <vt:lpstr>        Nubeqa (darolutamide) – proposed indications</vt:lpstr>
      <vt:lpstr>        Metastatic hormone sensitive prostate cancer (mHSPC)</vt:lpstr>
      <vt:lpstr>        Current treatment options for mHSPC</vt:lpstr>
      <vt:lpstr>        Clinical rationale for Nubeqa use in mHSPC</vt:lpstr>
      <vt:lpstr>        Regulatory status</vt:lpstr>
      <vt:lpstr>    Registration timeline</vt:lpstr>
      <vt:lpstr>    Evaluation overview</vt:lpstr>
      <vt:lpstr>        Clinical evaluation summary</vt:lpstr>
      <vt:lpstr>    Risk/benefit analysis</vt:lpstr>
      <vt:lpstr>        Conclusions</vt:lpstr>
      <vt:lpstr>    Outcome</vt:lpstr>
    </vt:vector>
  </TitlesOfParts>
  <Company>Department of Health and Aged Care</Company>
  <LinksUpToDate>false</LinksUpToDate>
  <CharactersWithSpaces>87365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Nubeqa</dc:title>
  <dc:subject>Prescription medicines</dc:subject>
  <dc:creator>Therapeutic Goods Administration</dc:creator>
  <cp:keywords/>
  <dc:description/>
  <cp:lastModifiedBy>LACK, Janet</cp:lastModifiedBy>
  <cp:revision>3</cp:revision>
  <dcterms:created xsi:type="dcterms:W3CDTF">2024-10-08T00:12:00Z</dcterms:created>
  <dcterms:modified xsi:type="dcterms:W3CDTF">2024-10-08T02:41:00Z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f850223-87a8-40c3-9eb2-432606efca2a_Enabled">
    <vt:lpwstr>true</vt:lpwstr>
  </property>
  <property fmtid="{D5CDD505-2E9C-101B-9397-08002B2CF9AE}" pid="3" name="MSIP_Label_7f850223-87a8-40c3-9eb2-432606efca2a_SetDate">
    <vt:lpwstr>2024-08-27T08:18:08Z</vt:lpwstr>
  </property>
  <property fmtid="{D5CDD505-2E9C-101B-9397-08002B2CF9AE}" pid="4" name="MSIP_Label_7f850223-87a8-40c3-9eb2-432606efca2a_Method">
    <vt:lpwstr>Standard</vt:lpwstr>
  </property>
  <property fmtid="{D5CDD505-2E9C-101B-9397-08002B2CF9AE}" pid="5" name="MSIP_Label_7f850223-87a8-40c3-9eb2-432606efca2a_Name">
    <vt:lpwstr>7f850223-87a8-40c3-9eb2-432606efca2a</vt:lpwstr>
  </property>
  <property fmtid="{D5CDD505-2E9C-101B-9397-08002B2CF9AE}" pid="6" name="MSIP_Label_7f850223-87a8-40c3-9eb2-432606efca2a_SiteId">
    <vt:lpwstr>fcb2b37b-5da0-466b-9b83-0014b67a7c78</vt:lpwstr>
  </property>
  <property fmtid="{D5CDD505-2E9C-101B-9397-08002B2CF9AE}" pid="7" name="MSIP_Label_7f850223-87a8-40c3-9eb2-432606efca2a_ActionId">
    <vt:lpwstr>d0d4a5fc-649c-40d0-9b5b-c9a1e4060f90</vt:lpwstr>
  </property>
  <property fmtid="{D5CDD505-2E9C-101B-9397-08002B2CF9AE}" pid="8" name="MSIP_Label_7f850223-87a8-40c3-9eb2-432606efca2a_ContentBits">
    <vt:lpwstr>0</vt:lpwstr>
  </property>
</Properties>
</file>