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01A42C7" w:rsidR="00F02AEC" w:rsidRPr="00215D48" w:rsidRDefault="0007017B" w:rsidP="007452E8">
            <w:pPr>
              <w:pStyle w:val="Title"/>
            </w:pPr>
            <w:r>
              <w:t>A</w:t>
            </w:r>
            <w:r w:rsidR="00346EC2" w:rsidRPr="00346EC2">
              <w:t xml:space="preserve">ustralian Public Assessment Report for </w:t>
            </w:r>
            <w:proofErr w:type="spellStart"/>
            <w:r w:rsidR="00D5538A">
              <w:t>Vaxchora</w:t>
            </w:r>
            <w:proofErr w:type="spellEnd"/>
          </w:p>
        </w:tc>
      </w:tr>
      <w:tr w:rsidR="00F02AEC" w:rsidRPr="00215D48" w14:paraId="318A40A3" w14:textId="77777777" w:rsidTr="00346EC2">
        <w:trPr>
          <w:trHeight w:val="995"/>
        </w:trPr>
        <w:tc>
          <w:tcPr>
            <w:tcW w:w="8720" w:type="dxa"/>
          </w:tcPr>
          <w:p w14:paraId="1AA7C701" w14:textId="079F0276" w:rsidR="00313EC2" w:rsidRPr="00215D48" w:rsidRDefault="00406874" w:rsidP="007452E8">
            <w:pPr>
              <w:pStyle w:val="Subtitle"/>
              <w:ind w:left="0"/>
            </w:pPr>
            <w:r w:rsidRPr="00346EC2">
              <w:t xml:space="preserve">Active ingredients: </w:t>
            </w:r>
            <w:r w:rsidR="0036384B">
              <w:t>Cholera vaccine, recombinant, live, oral</w:t>
            </w:r>
          </w:p>
        </w:tc>
      </w:tr>
      <w:tr w:rsidR="00346EC2" w:rsidRPr="00215D48" w14:paraId="362CCAE4" w14:textId="77777777" w:rsidTr="007452E8">
        <w:trPr>
          <w:trHeight w:val="1916"/>
        </w:trPr>
        <w:tc>
          <w:tcPr>
            <w:tcW w:w="8720" w:type="dxa"/>
          </w:tcPr>
          <w:p w14:paraId="709C45C0" w14:textId="751C8141" w:rsidR="00346EC2" w:rsidRPr="00215D48" w:rsidRDefault="00346EC2" w:rsidP="007452E8">
            <w:pPr>
              <w:pStyle w:val="Subtitle"/>
              <w:ind w:left="0"/>
            </w:pPr>
            <w:r w:rsidRPr="00346EC2">
              <w:t xml:space="preserve">Sponsor: </w:t>
            </w:r>
            <w:bookmarkStart w:id="0" w:name="_Hlk182824424"/>
            <w:proofErr w:type="spellStart"/>
            <w:r w:rsidR="0036384B">
              <w:t>Biocelect</w:t>
            </w:r>
            <w:proofErr w:type="spellEnd"/>
            <w:r w:rsidR="0036384B">
              <w:t xml:space="preserve"> Australia Pty Ltd</w:t>
            </w:r>
            <w:bookmarkEnd w:id="0"/>
          </w:p>
        </w:tc>
      </w:tr>
      <w:tr w:rsidR="00F02AEC" w:rsidRPr="00215D48" w14:paraId="37F2AA1F" w14:textId="77777777" w:rsidTr="007452E8">
        <w:tc>
          <w:tcPr>
            <w:tcW w:w="8720" w:type="dxa"/>
          </w:tcPr>
          <w:p w14:paraId="1FDE8DCD" w14:textId="729CF4FA" w:rsidR="00F02AEC" w:rsidRPr="00215D48" w:rsidRDefault="00E455B0" w:rsidP="007452E8">
            <w:pPr>
              <w:pStyle w:val="Date"/>
            </w:pPr>
            <w:r>
              <w:t>October</w:t>
            </w:r>
            <w:r w:rsidR="006D7477">
              <w:t xml:space="preserve"> </w:t>
            </w:r>
            <w:r w:rsidR="00DA45AD">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1068A52"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37360C15"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406874">
      <w:pPr>
        <w:pStyle w:val="LegalSubheading"/>
        <w:spacing w:before="3360"/>
      </w:pPr>
      <w:r w:rsidRPr="00BA0DFC">
        <w:t>Copyright</w:t>
      </w:r>
    </w:p>
    <w:p w14:paraId="170A8A5D" w14:textId="23D68307" w:rsidR="00175CD8" w:rsidRPr="00346EC2" w:rsidRDefault="00F02AEC" w:rsidP="00346EC2">
      <w:pPr>
        <w:pStyle w:val="LegalCopy"/>
        <w:rPr>
          <w:rFonts w:cs="Arial"/>
        </w:rPr>
      </w:pPr>
      <w:r w:rsidRPr="00215D48">
        <w:rPr>
          <w:rFonts w:cs="Arial"/>
        </w:rPr>
        <w:t>© Commonwealth of Australia 20</w:t>
      </w:r>
      <w:r>
        <w:rPr>
          <w:rFonts w:cs="Arial"/>
        </w:rPr>
        <w:t>2</w:t>
      </w:r>
      <w:r w:rsidR="00DA45AD">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97B371C" w14:textId="502F2BDC" w:rsidR="00BA226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2833123" w:history="1">
            <w:r w:rsidR="00BA2268" w:rsidRPr="00475706">
              <w:rPr>
                <w:rStyle w:val="Hyperlink"/>
                <w:noProof/>
              </w:rPr>
              <w:t>List of abbreviations</w:t>
            </w:r>
            <w:r w:rsidR="00BA2268">
              <w:rPr>
                <w:noProof/>
                <w:webHidden/>
              </w:rPr>
              <w:tab/>
            </w:r>
            <w:r w:rsidR="00BA2268">
              <w:rPr>
                <w:noProof/>
                <w:webHidden/>
              </w:rPr>
              <w:fldChar w:fldCharType="begin"/>
            </w:r>
            <w:r w:rsidR="00BA2268">
              <w:rPr>
                <w:noProof/>
                <w:webHidden/>
              </w:rPr>
              <w:instrText xml:space="preserve"> PAGEREF _Toc182833123 \h </w:instrText>
            </w:r>
            <w:r w:rsidR="00BA2268">
              <w:rPr>
                <w:noProof/>
                <w:webHidden/>
              </w:rPr>
            </w:r>
            <w:r w:rsidR="00BA2268">
              <w:rPr>
                <w:noProof/>
                <w:webHidden/>
              </w:rPr>
              <w:fldChar w:fldCharType="separate"/>
            </w:r>
            <w:r w:rsidR="00BA2268">
              <w:rPr>
                <w:noProof/>
                <w:webHidden/>
              </w:rPr>
              <w:t>4</w:t>
            </w:r>
            <w:r w:rsidR="00BA2268">
              <w:rPr>
                <w:noProof/>
                <w:webHidden/>
              </w:rPr>
              <w:fldChar w:fldCharType="end"/>
            </w:r>
          </w:hyperlink>
        </w:p>
        <w:p w14:paraId="46FE00CB" w14:textId="490D35AF" w:rsidR="00BA2268" w:rsidRDefault="000A741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833124" w:history="1">
            <w:r w:rsidR="00BA2268" w:rsidRPr="00475706">
              <w:rPr>
                <w:rStyle w:val="Hyperlink"/>
                <w:noProof/>
              </w:rPr>
              <w:t>Product submission</w:t>
            </w:r>
            <w:r w:rsidR="00BA2268">
              <w:rPr>
                <w:noProof/>
                <w:webHidden/>
              </w:rPr>
              <w:tab/>
            </w:r>
            <w:r w:rsidR="00BA2268">
              <w:rPr>
                <w:noProof/>
                <w:webHidden/>
              </w:rPr>
              <w:fldChar w:fldCharType="begin"/>
            </w:r>
            <w:r w:rsidR="00BA2268">
              <w:rPr>
                <w:noProof/>
                <w:webHidden/>
              </w:rPr>
              <w:instrText xml:space="preserve"> PAGEREF _Toc182833124 \h </w:instrText>
            </w:r>
            <w:r w:rsidR="00BA2268">
              <w:rPr>
                <w:noProof/>
                <w:webHidden/>
              </w:rPr>
            </w:r>
            <w:r w:rsidR="00BA2268">
              <w:rPr>
                <w:noProof/>
                <w:webHidden/>
              </w:rPr>
              <w:fldChar w:fldCharType="separate"/>
            </w:r>
            <w:r w:rsidR="00BA2268">
              <w:rPr>
                <w:noProof/>
                <w:webHidden/>
              </w:rPr>
              <w:t>5</w:t>
            </w:r>
            <w:r w:rsidR="00BA2268">
              <w:rPr>
                <w:noProof/>
                <w:webHidden/>
              </w:rPr>
              <w:fldChar w:fldCharType="end"/>
            </w:r>
          </w:hyperlink>
        </w:p>
        <w:p w14:paraId="19713A80" w14:textId="4ADBC494"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25" w:history="1">
            <w:r w:rsidR="00BA2268" w:rsidRPr="00475706">
              <w:rPr>
                <w:rStyle w:val="Hyperlink"/>
                <w:noProof/>
                <w:lang w:eastAsia="en-AU"/>
              </w:rPr>
              <w:t xml:space="preserve">Submission </w:t>
            </w:r>
            <w:r w:rsidR="00BA2268" w:rsidRPr="00475706">
              <w:rPr>
                <w:rStyle w:val="Hyperlink"/>
                <w:noProof/>
              </w:rPr>
              <w:t>details</w:t>
            </w:r>
            <w:r w:rsidR="00BA2268">
              <w:rPr>
                <w:noProof/>
                <w:webHidden/>
              </w:rPr>
              <w:tab/>
            </w:r>
            <w:r w:rsidR="00BA2268">
              <w:rPr>
                <w:noProof/>
                <w:webHidden/>
              </w:rPr>
              <w:fldChar w:fldCharType="begin"/>
            </w:r>
            <w:r w:rsidR="00BA2268">
              <w:rPr>
                <w:noProof/>
                <w:webHidden/>
              </w:rPr>
              <w:instrText xml:space="preserve"> PAGEREF _Toc182833125 \h </w:instrText>
            </w:r>
            <w:r w:rsidR="00BA2268">
              <w:rPr>
                <w:noProof/>
                <w:webHidden/>
              </w:rPr>
            </w:r>
            <w:r w:rsidR="00BA2268">
              <w:rPr>
                <w:noProof/>
                <w:webHidden/>
              </w:rPr>
              <w:fldChar w:fldCharType="separate"/>
            </w:r>
            <w:r w:rsidR="00BA2268">
              <w:rPr>
                <w:noProof/>
                <w:webHidden/>
              </w:rPr>
              <w:t>5</w:t>
            </w:r>
            <w:r w:rsidR="00BA2268">
              <w:rPr>
                <w:noProof/>
                <w:webHidden/>
              </w:rPr>
              <w:fldChar w:fldCharType="end"/>
            </w:r>
          </w:hyperlink>
        </w:p>
        <w:p w14:paraId="27DDF04E" w14:textId="7F51EDEA"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26" w:history="1">
            <w:r w:rsidR="00BA2268" w:rsidRPr="00475706">
              <w:rPr>
                <w:rStyle w:val="Hyperlink"/>
                <w:noProof/>
              </w:rPr>
              <w:t>Product background</w:t>
            </w:r>
            <w:r w:rsidR="00BA2268">
              <w:rPr>
                <w:noProof/>
                <w:webHidden/>
              </w:rPr>
              <w:tab/>
            </w:r>
            <w:r w:rsidR="00BA2268">
              <w:rPr>
                <w:noProof/>
                <w:webHidden/>
              </w:rPr>
              <w:fldChar w:fldCharType="begin"/>
            </w:r>
            <w:r w:rsidR="00BA2268">
              <w:rPr>
                <w:noProof/>
                <w:webHidden/>
              </w:rPr>
              <w:instrText xml:space="preserve"> PAGEREF _Toc182833126 \h </w:instrText>
            </w:r>
            <w:r w:rsidR="00BA2268">
              <w:rPr>
                <w:noProof/>
                <w:webHidden/>
              </w:rPr>
            </w:r>
            <w:r w:rsidR="00BA2268">
              <w:rPr>
                <w:noProof/>
                <w:webHidden/>
              </w:rPr>
              <w:fldChar w:fldCharType="separate"/>
            </w:r>
            <w:r w:rsidR="00BA2268">
              <w:rPr>
                <w:noProof/>
                <w:webHidden/>
              </w:rPr>
              <w:t>6</w:t>
            </w:r>
            <w:r w:rsidR="00BA2268">
              <w:rPr>
                <w:noProof/>
                <w:webHidden/>
              </w:rPr>
              <w:fldChar w:fldCharType="end"/>
            </w:r>
          </w:hyperlink>
        </w:p>
        <w:p w14:paraId="0858B5D5" w14:textId="0906D594"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27" w:history="1">
            <w:r w:rsidR="00BA2268" w:rsidRPr="00475706">
              <w:rPr>
                <w:rStyle w:val="Hyperlink"/>
                <w:noProof/>
              </w:rPr>
              <w:t>Condition</w:t>
            </w:r>
            <w:r w:rsidR="00BA2268">
              <w:rPr>
                <w:noProof/>
                <w:webHidden/>
              </w:rPr>
              <w:tab/>
            </w:r>
            <w:r w:rsidR="00BA2268">
              <w:rPr>
                <w:noProof/>
                <w:webHidden/>
              </w:rPr>
              <w:fldChar w:fldCharType="begin"/>
            </w:r>
            <w:r w:rsidR="00BA2268">
              <w:rPr>
                <w:noProof/>
                <w:webHidden/>
              </w:rPr>
              <w:instrText xml:space="preserve"> PAGEREF _Toc182833127 \h </w:instrText>
            </w:r>
            <w:r w:rsidR="00BA2268">
              <w:rPr>
                <w:noProof/>
                <w:webHidden/>
              </w:rPr>
            </w:r>
            <w:r w:rsidR="00BA2268">
              <w:rPr>
                <w:noProof/>
                <w:webHidden/>
              </w:rPr>
              <w:fldChar w:fldCharType="separate"/>
            </w:r>
            <w:r w:rsidR="00BA2268">
              <w:rPr>
                <w:noProof/>
                <w:webHidden/>
              </w:rPr>
              <w:t>6</w:t>
            </w:r>
            <w:r w:rsidR="00BA2268">
              <w:rPr>
                <w:noProof/>
                <w:webHidden/>
              </w:rPr>
              <w:fldChar w:fldCharType="end"/>
            </w:r>
          </w:hyperlink>
        </w:p>
        <w:p w14:paraId="4E446985" w14:textId="10AA08B8"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28" w:history="1">
            <w:r w:rsidR="00BA2268" w:rsidRPr="00475706">
              <w:rPr>
                <w:rStyle w:val="Hyperlink"/>
                <w:noProof/>
              </w:rPr>
              <w:t>Current treatment options</w:t>
            </w:r>
            <w:r w:rsidR="00BA2268">
              <w:rPr>
                <w:noProof/>
                <w:webHidden/>
              </w:rPr>
              <w:tab/>
            </w:r>
            <w:r w:rsidR="00BA2268">
              <w:rPr>
                <w:noProof/>
                <w:webHidden/>
              </w:rPr>
              <w:fldChar w:fldCharType="begin"/>
            </w:r>
            <w:r w:rsidR="00BA2268">
              <w:rPr>
                <w:noProof/>
                <w:webHidden/>
              </w:rPr>
              <w:instrText xml:space="preserve"> PAGEREF _Toc182833128 \h </w:instrText>
            </w:r>
            <w:r w:rsidR="00BA2268">
              <w:rPr>
                <w:noProof/>
                <w:webHidden/>
              </w:rPr>
            </w:r>
            <w:r w:rsidR="00BA2268">
              <w:rPr>
                <w:noProof/>
                <w:webHidden/>
              </w:rPr>
              <w:fldChar w:fldCharType="separate"/>
            </w:r>
            <w:r w:rsidR="00BA2268">
              <w:rPr>
                <w:noProof/>
                <w:webHidden/>
              </w:rPr>
              <w:t>7</w:t>
            </w:r>
            <w:r w:rsidR="00BA2268">
              <w:rPr>
                <w:noProof/>
                <w:webHidden/>
              </w:rPr>
              <w:fldChar w:fldCharType="end"/>
            </w:r>
          </w:hyperlink>
        </w:p>
        <w:p w14:paraId="3190F58C" w14:textId="15730FFF"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29" w:history="1">
            <w:r w:rsidR="00BA2268" w:rsidRPr="00475706">
              <w:rPr>
                <w:rStyle w:val="Hyperlink"/>
                <w:noProof/>
              </w:rPr>
              <w:t>Clinical rationale</w:t>
            </w:r>
            <w:r w:rsidR="00BA2268">
              <w:rPr>
                <w:noProof/>
                <w:webHidden/>
              </w:rPr>
              <w:tab/>
            </w:r>
            <w:r w:rsidR="00BA2268">
              <w:rPr>
                <w:noProof/>
                <w:webHidden/>
              </w:rPr>
              <w:fldChar w:fldCharType="begin"/>
            </w:r>
            <w:r w:rsidR="00BA2268">
              <w:rPr>
                <w:noProof/>
                <w:webHidden/>
              </w:rPr>
              <w:instrText xml:space="preserve"> PAGEREF _Toc182833129 \h </w:instrText>
            </w:r>
            <w:r w:rsidR="00BA2268">
              <w:rPr>
                <w:noProof/>
                <w:webHidden/>
              </w:rPr>
            </w:r>
            <w:r w:rsidR="00BA2268">
              <w:rPr>
                <w:noProof/>
                <w:webHidden/>
              </w:rPr>
              <w:fldChar w:fldCharType="separate"/>
            </w:r>
            <w:r w:rsidR="00BA2268">
              <w:rPr>
                <w:noProof/>
                <w:webHidden/>
              </w:rPr>
              <w:t>7</w:t>
            </w:r>
            <w:r w:rsidR="00BA2268">
              <w:rPr>
                <w:noProof/>
                <w:webHidden/>
              </w:rPr>
              <w:fldChar w:fldCharType="end"/>
            </w:r>
          </w:hyperlink>
        </w:p>
        <w:p w14:paraId="2128DAB9" w14:textId="4344FA6F"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30" w:history="1">
            <w:r w:rsidR="00BA2268" w:rsidRPr="00475706">
              <w:rPr>
                <w:rStyle w:val="Hyperlink"/>
                <w:noProof/>
              </w:rPr>
              <w:t>Regulatory status</w:t>
            </w:r>
            <w:r w:rsidR="00BA2268">
              <w:rPr>
                <w:noProof/>
                <w:webHidden/>
              </w:rPr>
              <w:tab/>
            </w:r>
            <w:r w:rsidR="00BA2268">
              <w:rPr>
                <w:noProof/>
                <w:webHidden/>
              </w:rPr>
              <w:fldChar w:fldCharType="begin"/>
            </w:r>
            <w:r w:rsidR="00BA2268">
              <w:rPr>
                <w:noProof/>
                <w:webHidden/>
              </w:rPr>
              <w:instrText xml:space="preserve"> PAGEREF _Toc182833130 \h </w:instrText>
            </w:r>
            <w:r w:rsidR="00BA2268">
              <w:rPr>
                <w:noProof/>
                <w:webHidden/>
              </w:rPr>
            </w:r>
            <w:r w:rsidR="00BA2268">
              <w:rPr>
                <w:noProof/>
                <w:webHidden/>
              </w:rPr>
              <w:fldChar w:fldCharType="separate"/>
            </w:r>
            <w:r w:rsidR="00BA2268">
              <w:rPr>
                <w:noProof/>
                <w:webHidden/>
              </w:rPr>
              <w:t>8</w:t>
            </w:r>
            <w:r w:rsidR="00BA2268">
              <w:rPr>
                <w:noProof/>
                <w:webHidden/>
              </w:rPr>
              <w:fldChar w:fldCharType="end"/>
            </w:r>
          </w:hyperlink>
        </w:p>
        <w:p w14:paraId="375B9D09" w14:textId="21F52B94"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31" w:history="1">
            <w:r w:rsidR="00BA2268" w:rsidRPr="00475706">
              <w:rPr>
                <w:rStyle w:val="Hyperlink"/>
                <w:noProof/>
              </w:rPr>
              <w:t>Australian regulatory status</w:t>
            </w:r>
            <w:r w:rsidR="00BA2268">
              <w:rPr>
                <w:noProof/>
                <w:webHidden/>
              </w:rPr>
              <w:tab/>
            </w:r>
            <w:r w:rsidR="00BA2268">
              <w:rPr>
                <w:noProof/>
                <w:webHidden/>
              </w:rPr>
              <w:fldChar w:fldCharType="begin"/>
            </w:r>
            <w:r w:rsidR="00BA2268">
              <w:rPr>
                <w:noProof/>
                <w:webHidden/>
              </w:rPr>
              <w:instrText xml:space="preserve"> PAGEREF _Toc182833131 \h </w:instrText>
            </w:r>
            <w:r w:rsidR="00BA2268">
              <w:rPr>
                <w:noProof/>
                <w:webHidden/>
              </w:rPr>
            </w:r>
            <w:r w:rsidR="00BA2268">
              <w:rPr>
                <w:noProof/>
                <w:webHidden/>
              </w:rPr>
              <w:fldChar w:fldCharType="separate"/>
            </w:r>
            <w:r w:rsidR="00BA2268">
              <w:rPr>
                <w:noProof/>
                <w:webHidden/>
              </w:rPr>
              <w:t>8</w:t>
            </w:r>
            <w:r w:rsidR="00BA2268">
              <w:rPr>
                <w:noProof/>
                <w:webHidden/>
              </w:rPr>
              <w:fldChar w:fldCharType="end"/>
            </w:r>
          </w:hyperlink>
        </w:p>
        <w:p w14:paraId="50A43417" w14:textId="4D907330"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32" w:history="1">
            <w:r w:rsidR="00BA2268" w:rsidRPr="00475706">
              <w:rPr>
                <w:rStyle w:val="Hyperlink"/>
                <w:noProof/>
              </w:rPr>
              <w:t>Foreign regulatory status</w:t>
            </w:r>
            <w:r w:rsidR="00BA2268">
              <w:rPr>
                <w:noProof/>
                <w:webHidden/>
              </w:rPr>
              <w:tab/>
            </w:r>
            <w:r w:rsidR="00BA2268">
              <w:rPr>
                <w:noProof/>
                <w:webHidden/>
              </w:rPr>
              <w:fldChar w:fldCharType="begin"/>
            </w:r>
            <w:r w:rsidR="00BA2268">
              <w:rPr>
                <w:noProof/>
                <w:webHidden/>
              </w:rPr>
              <w:instrText xml:space="preserve"> PAGEREF _Toc182833132 \h </w:instrText>
            </w:r>
            <w:r w:rsidR="00BA2268">
              <w:rPr>
                <w:noProof/>
                <w:webHidden/>
              </w:rPr>
            </w:r>
            <w:r w:rsidR="00BA2268">
              <w:rPr>
                <w:noProof/>
                <w:webHidden/>
              </w:rPr>
              <w:fldChar w:fldCharType="separate"/>
            </w:r>
            <w:r w:rsidR="00BA2268">
              <w:rPr>
                <w:noProof/>
                <w:webHidden/>
              </w:rPr>
              <w:t>8</w:t>
            </w:r>
            <w:r w:rsidR="00BA2268">
              <w:rPr>
                <w:noProof/>
                <w:webHidden/>
              </w:rPr>
              <w:fldChar w:fldCharType="end"/>
            </w:r>
          </w:hyperlink>
        </w:p>
        <w:p w14:paraId="466F3DAE" w14:textId="015292B7" w:rsidR="00BA2268" w:rsidRDefault="000A741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833133" w:history="1">
            <w:r w:rsidR="00BA2268" w:rsidRPr="00475706">
              <w:rPr>
                <w:rStyle w:val="Hyperlink"/>
                <w:noProof/>
              </w:rPr>
              <w:t>Registration timeline</w:t>
            </w:r>
            <w:r w:rsidR="00BA2268">
              <w:rPr>
                <w:noProof/>
                <w:webHidden/>
              </w:rPr>
              <w:tab/>
            </w:r>
            <w:r w:rsidR="00BA2268">
              <w:rPr>
                <w:noProof/>
                <w:webHidden/>
              </w:rPr>
              <w:fldChar w:fldCharType="begin"/>
            </w:r>
            <w:r w:rsidR="00BA2268">
              <w:rPr>
                <w:noProof/>
                <w:webHidden/>
              </w:rPr>
              <w:instrText xml:space="preserve"> PAGEREF _Toc182833133 \h </w:instrText>
            </w:r>
            <w:r w:rsidR="00BA2268">
              <w:rPr>
                <w:noProof/>
                <w:webHidden/>
              </w:rPr>
            </w:r>
            <w:r w:rsidR="00BA2268">
              <w:rPr>
                <w:noProof/>
                <w:webHidden/>
              </w:rPr>
              <w:fldChar w:fldCharType="separate"/>
            </w:r>
            <w:r w:rsidR="00BA2268">
              <w:rPr>
                <w:noProof/>
                <w:webHidden/>
              </w:rPr>
              <w:t>10</w:t>
            </w:r>
            <w:r w:rsidR="00BA2268">
              <w:rPr>
                <w:noProof/>
                <w:webHidden/>
              </w:rPr>
              <w:fldChar w:fldCharType="end"/>
            </w:r>
          </w:hyperlink>
        </w:p>
        <w:p w14:paraId="349E288F" w14:textId="283C7B0A" w:rsidR="00BA2268" w:rsidRDefault="000A741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833134" w:history="1">
            <w:r w:rsidR="00BA2268" w:rsidRPr="00475706">
              <w:rPr>
                <w:rStyle w:val="Hyperlink"/>
                <w:noProof/>
              </w:rPr>
              <w:t>Submission overview and risk/benefit assessment</w:t>
            </w:r>
            <w:r w:rsidR="00BA2268">
              <w:rPr>
                <w:noProof/>
                <w:webHidden/>
              </w:rPr>
              <w:tab/>
            </w:r>
            <w:r w:rsidR="00BA2268">
              <w:rPr>
                <w:noProof/>
                <w:webHidden/>
              </w:rPr>
              <w:fldChar w:fldCharType="begin"/>
            </w:r>
            <w:r w:rsidR="00BA2268">
              <w:rPr>
                <w:noProof/>
                <w:webHidden/>
              </w:rPr>
              <w:instrText xml:space="preserve"> PAGEREF _Toc182833134 \h </w:instrText>
            </w:r>
            <w:r w:rsidR="00BA2268">
              <w:rPr>
                <w:noProof/>
                <w:webHidden/>
              </w:rPr>
            </w:r>
            <w:r w:rsidR="00BA2268">
              <w:rPr>
                <w:noProof/>
                <w:webHidden/>
              </w:rPr>
              <w:fldChar w:fldCharType="separate"/>
            </w:r>
            <w:r w:rsidR="00BA2268">
              <w:rPr>
                <w:noProof/>
                <w:webHidden/>
              </w:rPr>
              <w:t>10</w:t>
            </w:r>
            <w:r w:rsidR="00BA2268">
              <w:rPr>
                <w:noProof/>
                <w:webHidden/>
              </w:rPr>
              <w:fldChar w:fldCharType="end"/>
            </w:r>
          </w:hyperlink>
        </w:p>
        <w:p w14:paraId="3286C274" w14:textId="567F0B3F"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35" w:history="1">
            <w:r w:rsidR="00BA2268" w:rsidRPr="00475706">
              <w:rPr>
                <w:rStyle w:val="Hyperlink"/>
                <w:noProof/>
              </w:rPr>
              <w:t>Quality</w:t>
            </w:r>
            <w:r w:rsidR="00BA2268">
              <w:rPr>
                <w:noProof/>
                <w:webHidden/>
              </w:rPr>
              <w:tab/>
            </w:r>
            <w:r w:rsidR="00BA2268">
              <w:rPr>
                <w:noProof/>
                <w:webHidden/>
              </w:rPr>
              <w:fldChar w:fldCharType="begin"/>
            </w:r>
            <w:r w:rsidR="00BA2268">
              <w:rPr>
                <w:noProof/>
                <w:webHidden/>
              </w:rPr>
              <w:instrText xml:space="preserve"> PAGEREF _Toc182833135 \h </w:instrText>
            </w:r>
            <w:r w:rsidR="00BA2268">
              <w:rPr>
                <w:noProof/>
                <w:webHidden/>
              </w:rPr>
            </w:r>
            <w:r w:rsidR="00BA2268">
              <w:rPr>
                <w:noProof/>
                <w:webHidden/>
              </w:rPr>
              <w:fldChar w:fldCharType="separate"/>
            </w:r>
            <w:r w:rsidR="00BA2268">
              <w:rPr>
                <w:noProof/>
                <w:webHidden/>
              </w:rPr>
              <w:t>10</w:t>
            </w:r>
            <w:r w:rsidR="00BA2268">
              <w:rPr>
                <w:noProof/>
                <w:webHidden/>
              </w:rPr>
              <w:fldChar w:fldCharType="end"/>
            </w:r>
          </w:hyperlink>
        </w:p>
        <w:p w14:paraId="76DEA112" w14:textId="7253C0BD"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36" w:history="1">
            <w:r w:rsidR="00BA2268" w:rsidRPr="00475706">
              <w:rPr>
                <w:rStyle w:val="Hyperlink"/>
                <w:noProof/>
              </w:rPr>
              <w:t>Nonclinical</w:t>
            </w:r>
            <w:r w:rsidR="00BA2268">
              <w:rPr>
                <w:noProof/>
                <w:webHidden/>
              </w:rPr>
              <w:tab/>
            </w:r>
            <w:r w:rsidR="00BA2268">
              <w:rPr>
                <w:noProof/>
                <w:webHidden/>
              </w:rPr>
              <w:fldChar w:fldCharType="begin"/>
            </w:r>
            <w:r w:rsidR="00BA2268">
              <w:rPr>
                <w:noProof/>
                <w:webHidden/>
              </w:rPr>
              <w:instrText xml:space="preserve"> PAGEREF _Toc182833136 \h </w:instrText>
            </w:r>
            <w:r w:rsidR="00BA2268">
              <w:rPr>
                <w:noProof/>
                <w:webHidden/>
              </w:rPr>
            </w:r>
            <w:r w:rsidR="00BA2268">
              <w:rPr>
                <w:noProof/>
                <w:webHidden/>
              </w:rPr>
              <w:fldChar w:fldCharType="separate"/>
            </w:r>
            <w:r w:rsidR="00BA2268">
              <w:rPr>
                <w:noProof/>
                <w:webHidden/>
              </w:rPr>
              <w:t>11</w:t>
            </w:r>
            <w:r w:rsidR="00BA2268">
              <w:rPr>
                <w:noProof/>
                <w:webHidden/>
              </w:rPr>
              <w:fldChar w:fldCharType="end"/>
            </w:r>
          </w:hyperlink>
        </w:p>
        <w:p w14:paraId="55D633F0" w14:textId="6A3C425B"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37" w:history="1">
            <w:r w:rsidR="00BA2268" w:rsidRPr="00475706">
              <w:rPr>
                <w:rStyle w:val="Hyperlink"/>
                <w:noProof/>
              </w:rPr>
              <w:t>Clinical</w:t>
            </w:r>
            <w:r w:rsidR="00BA2268">
              <w:rPr>
                <w:noProof/>
                <w:webHidden/>
              </w:rPr>
              <w:tab/>
            </w:r>
            <w:r w:rsidR="00BA2268">
              <w:rPr>
                <w:noProof/>
                <w:webHidden/>
              </w:rPr>
              <w:fldChar w:fldCharType="begin"/>
            </w:r>
            <w:r w:rsidR="00BA2268">
              <w:rPr>
                <w:noProof/>
                <w:webHidden/>
              </w:rPr>
              <w:instrText xml:space="preserve"> PAGEREF _Toc182833137 \h </w:instrText>
            </w:r>
            <w:r w:rsidR="00BA2268">
              <w:rPr>
                <w:noProof/>
                <w:webHidden/>
              </w:rPr>
            </w:r>
            <w:r w:rsidR="00BA2268">
              <w:rPr>
                <w:noProof/>
                <w:webHidden/>
              </w:rPr>
              <w:fldChar w:fldCharType="separate"/>
            </w:r>
            <w:r w:rsidR="00BA2268">
              <w:rPr>
                <w:noProof/>
                <w:webHidden/>
              </w:rPr>
              <w:t>11</w:t>
            </w:r>
            <w:r w:rsidR="00BA2268">
              <w:rPr>
                <w:noProof/>
                <w:webHidden/>
              </w:rPr>
              <w:fldChar w:fldCharType="end"/>
            </w:r>
          </w:hyperlink>
        </w:p>
        <w:p w14:paraId="15935688" w14:textId="737DF1E7"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38" w:history="1">
            <w:r w:rsidR="00BA2268" w:rsidRPr="00475706">
              <w:rPr>
                <w:rStyle w:val="Hyperlink"/>
                <w:noProof/>
              </w:rPr>
              <w:t>Summary of clinical studies</w:t>
            </w:r>
            <w:r w:rsidR="00BA2268">
              <w:rPr>
                <w:noProof/>
                <w:webHidden/>
              </w:rPr>
              <w:tab/>
            </w:r>
            <w:r w:rsidR="00BA2268">
              <w:rPr>
                <w:noProof/>
                <w:webHidden/>
              </w:rPr>
              <w:fldChar w:fldCharType="begin"/>
            </w:r>
            <w:r w:rsidR="00BA2268">
              <w:rPr>
                <w:noProof/>
                <w:webHidden/>
              </w:rPr>
              <w:instrText xml:space="preserve"> PAGEREF _Toc182833138 \h </w:instrText>
            </w:r>
            <w:r w:rsidR="00BA2268">
              <w:rPr>
                <w:noProof/>
                <w:webHidden/>
              </w:rPr>
            </w:r>
            <w:r w:rsidR="00BA2268">
              <w:rPr>
                <w:noProof/>
                <w:webHidden/>
              </w:rPr>
              <w:fldChar w:fldCharType="separate"/>
            </w:r>
            <w:r w:rsidR="00BA2268">
              <w:rPr>
                <w:noProof/>
                <w:webHidden/>
              </w:rPr>
              <w:t>11</w:t>
            </w:r>
            <w:r w:rsidR="00BA2268">
              <w:rPr>
                <w:noProof/>
                <w:webHidden/>
              </w:rPr>
              <w:fldChar w:fldCharType="end"/>
            </w:r>
          </w:hyperlink>
        </w:p>
        <w:p w14:paraId="506B58CD" w14:textId="171ACC5C"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39" w:history="1">
            <w:r w:rsidR="00BA2268" w:rsidRPr="00475706">
              <w:rPr>
                <w:rStyle w:val="Hyperlink"/>
                <w:noProof/>
              </w:rPr>
              <w:t>Correlates of protection</w:t>
            </w:r>
            <w:r w:rsidR="00BA2268">
              <w:rPr>
                <w:noProof/>
                <w:webHidden/>
              </w:rPr>
              <w:tab/>
            </w:r>
            <w:r w:rsidR="00BA2268">
              <w:rPr>
                <w:noProof/>
                <w:webHidden/>
              </w:rPr>
              <w:fldChar w:fldCharType="begin"/>
            </w:r>
            <w:r w:rsidR="00BA2268">
              <w:rPr>
                <w:noProof/>
                <w:webHidden/>
              </w:rPr>
              <w:instrText xml:space="preserve"> PAGEREF _Toc182833139 \h </w:instrText>
            </w:r>
            <w:r w:rsidR="00BA2268">
              <w:rPr>
                <w:noProof/>
                <w:webHidden/>
              </w:rPr>
            </w:r>
            <w:r w:rsidR="00BA2268">
              <w:rPr>
                <w:noProof/>
                <w:webHidden/>
              </w:rPr>
              <w:fldChar w:fldCharType="separate"/>
            </w:r>
            <w:r w:rsidR="00BA2268">
              <w:rPr>
                <w:noProof/>
                <w:webHidden/>
              </w:rPr>
              <w:t>12</w:t>
            </w:r>
            <w:r w:rsidR="00BA2268">
              <w:rPr>
                <w:noProof/>
                <w:webHidden/>
              </w:rPr>
              <w:fldChar w:fldCharType="end"/>
            </w:r>
          </w:hyperlink>
        </w:p>
        <w:p w14:paraId="413A8F8F" w14:textId="1119D021"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40" w:history="1">
            <w:r w:rsidR="00BA2268" w:rsidRPr="00475706">
              <w:rPr>
                <w:rStyle w:val="Hyperlink"/>
                <w:noProof/>
              </w:rPr>
              <w:t>Efficacy</w:t>
            </w:r>
            <w:r w:rsidR="00BA2268">
              <w:rPr>
                <w:noProof/>
                <w:webHidden/>
              </w:rPr>
              <w:tab/>
            </w:r>
            <w:r w:rsidR="00BA2268">
              <w:rPr>
                <w:noProof/>
                <w:webHidden/>
              </w:rPr>
              <w:fldChar w:fldCharType="begin"/>
            </w:r>
            <w:r w:rsidR="00BA2268">
              <w:rPr>
                <w:noProof/>
                <w:webHidden/>
              </w:rPr>
              <w:instrText xml:space="preserve"> PAGEREF _Toc182833140 \h </w:instrText>
            </w:r>
            <w:r w:rsidR="00BA2268">
              <w:rPr>
                <w:noProof/>
                <w:webHidden/>
              </w:rPr>
            </w:r>
            <w:r w:rsidR="00BA2268">
              <w:rPr>
                <w:noProof/>
                <w:webHidden/>
              </w:rPr>
              <w:fldChar w:fldCharType="separate"/>
            </w:r>
            <w:r w:rsidR="00BA2268">
              <w:rPr>
                <w:noProof/>
                <w:webHidden/>
              </w:rPr>
              <w:t>12</w:t>
            </w:r>
            <w:r w:rsidR="00BA2268">
              <w:rPr>
                <w:noProof/>
                <w:webHidden/>
              </w:rPr>
              <w:fldChar w:fldCharType="end"/>
            </w:r>
          </w:hyperlink>
        </w:p>
        <w:p w14:paraId="7EA227AE" w14:textId="6A29C08B"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41" w:history="1">
            <w:r w:rsidR="00BA2268" w:rsidRPr="00475706">
              <w:rPr>
                <w:rStyle w:val="Hyperlink"/>
                <w:noProof/>
              </w:rPr>
              <w:t>Safety</w:t>
            </w:r>
            <w:r w:rsidR="00BA2268">
              <w:rPr>
                <w:noProof/>
                <w:webHidden/>
              </w:rPr>
              <w:tab/>
            </w:r>
            <w:r w:rsidR="00BA2268">
              <w:rPr>
                <w:noProof/>
                <w:webHidden/>
              </w:rPr>
              <w:fldChar w:fldCharType="begin"/>
            </w:r>
            <w:r w:rsidR="00BA2268">
              <w:rPr>
                <w:noProof/>
                <w:webHidden/>
              </w:rPr>
              <w:instrText xml:space="preserve"> PAGEREF _Toc182833141 \h </w:instrText>
            </w:r>
            <w:r w:rsidR="00BA2268">
              <w:rPr>
                <w:noProof/>
                <w:webHidden/>
              </w:rPr>
            </w:r>
            <w:r w:rsidR="00BA2268">
              <w:rPr>
                <w:noProof/>
                <w:webHidden/>
              </w:rPr>
              <w:fldChar w:fldCharType="separate"/>
            </w:r>
            <w:r w:rsidR="00BA2268">
              <w:rPr>
                <w:noProof/>
                <w:webHidden/>
              </w:rPr>
              <w:t>23</w:t>
            </w:r>
            <w:r w:rsidR="00BA2268">
              <w:rPr>
                <w:noProof/>
                <w:webHidden/>
              </w:rPr>
              <w:fldChar w:fldCharType="end"/>
            </w:r>
          </w:hyperlink>
        </w:p>
        <w:p w14:paraId="2DD92A09" w14:textId="58F96687"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42" w:history="1">
            <w:r w:rsidR="00BA2268" w:rsidRPr="00475706">
              <w:rPr>
                <w:rStyle w:val="Hyperlink"/>
                <w:noProof/>
                <w:lang w:eastAsia="en-AU"/>
              </w:rPr>
              <w:t>Risk management plan</w:t>
            </w:r>
            <w:r w:rsidR="00BA2268">
              <w:rPr>
                <w:noProof/>
                <w:webHidden/>
              </w:rPr>
              <w:tab/>
            </w:r>
            <w:r w:rsidR="00BA2268">
              <w:rPr>
                <w:noProof/>
                <w:webHidden/>
              </w:rPr>
              <w:fldChar w:fldCharType="begin"/>
            </w:r>
            <w:r w:rsidR="00BA2268">
              <w:rPr>
                <w:noProof/>
                <w:webHidden/>
              </w:rPr>
              <w:instrText xml:space="preserve"> PAGEREF _Toc182833142 \h </w:instrText>
            </w:r>
            <w:r w:rsidR="00BA2268">
              <w:rPr>
                <w:noProof/>
                <w:webHidden/>
              </w:rPr>
            </w:r>
            <w:r w:rsidR="00BA2268">
              <w:rPr>
                <w:noProof/>
                <w:webHidden/>
              </w:rPr>
              <w:fldChar w:fldCharType="separate"/>
            </w:r>
            <w:r w:rsidR="00BA2268">
              <w:rPr>
                <w:noProof/>
                <w:webHidden/>
              </w:rPr>
              <w:t>25</w:t>
            </w:r>
            <w:r w:rsidR="00BA2268">
              <w:rPr>
                <w:noProof/>
                <w:webHidden/>
              </w:rPr>
              <w:fldChar w:fldCharType="end"/>
            </w:r>
          </w:hyperlink>
        </w:p>
        <w:p w14:paraId="7F2E5D6D" w14:textId="25FD87FD"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43" w:history="1">
            <w:r w:rsidR="00BA2268" w:rsidRPr="00475706">
              <w:rPr>
                <w:rStyle w:val="Hyperlink"/>
                <w:noProof/>
              </w:rPr>
              <w:t>Risk-benefit analysis</w:t>
            </w:r>
            <w:r w:rsidR="00BA2268">
              <w:rPr>
                <w:noProof/>
                <w:webHidden/>
              </w:rPr>
              <w:tab/>
            </w:r>
            <w:r w:rsidR="00BA2268">
              <w:rPr>
                <w:noProof/>
                <w:webHidden/>
              </w:rPr>
              <w:fldChar w:fldCharType="begin"/>
            </w:r>
            <w:r w:rsidR="00BA2268">
              <w:rPr>
                <w:noProof/>
                <w:webHidden/>
              </w:rPr>
              <w:instrText xml:space="preserve"> PAGEREF _Toc182833143 \h </w:instrText>
            </w:r>
            <w:r w:rsidR="00BA2268">
              <w:rPr>
                <w:noProof/>
                <w:webHidden/>
              </w:rPr>
            </w:r>
            <w:r w:rsidR="00BA2268">
              <w:rPr>
                <w:noProof/>
                <w:webHidden/>
              </w:rPr>
              <w:fldChar w:fldCharType="separate"/>
            </w:r>
            <w:r w:rsidR="00BA2268">
              <w:rPr>
                <w:noProof/>
                <w:webHidden/>
              </w:rPr>
              <w:t>26</w:t>
            </w:r>
            <w:r w:rsidR="00BA2268">
              <w:rPr>
                <w:noProof/>
                <w:webHidden/>
              </w:rPr>
              <w:fldChar w:fldCharType="end"/>
            </w:r>
          </w:hyperlink>
        </w:p>
        <w:p w14:paraId="30C32DB6" w14:textId="49C0FA2B"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44" w:history="1">
            <w:r w:rsidR="00BA2268" w:rsidRPr="00475706">
              <w:rPr>
                <w:rStyle w:val="Hyperlink"/>
                <w:noProof/>
              </w:rPr>
              <w:t>Delegate’s considerations</w:t>
            </w:r>
            <w:r w:rsidR="00BA2268">
              <w:rPr>
                <w:noProof/>
                <w:webHidden/>
              </w:rPr>
              <w:tab/>
            </w:r>
            <w:r w:rsidR="00BA2268">
              <w:rPr>
                <w:noProof/>
                <w:webHidden/>
              </w:rPr>
              <w:fldChar w:fldCharType="begin"/>
            </w:r>
            <w:r w:rsidR="00BA2268">
              <w:rPr>
                <w:noProof/>
                <w:webHidden/>
              </w:rPr>
              <w:instrText xml:space="preserve"> PAGEREF _Toc182833144 \h </w:instrText>
            </w:r>
            <w:r w:rsidR="00BA2268">
              <w:rPr>
                <w:noProof/>
                <w:webHidden/>
              </w:rPr>
            </w:r>
            <w:r w:rsidR="00BA2268">
              <w:rPr>
                <w:noProof/>
                <w:webHidden/>
              </w:rPr>
              <w:fldChar w:fldCharType="separate"/>
            </w:r>
            <w:r w:rsidR="00BA2268">
              <w:rPr>
                <w:noProof/>
                <w:webHidden/>
              </w:rPr>
              <w:t>26</w:t>
            </w:r>
            <w:r w:rsidR="00BA2268">
              <w:rPr>
                <w:noProof/>
                <w:webHidden/>
              </w:rPr>
              <w:fldChar w:fldCharType="end"/>
            </w:r>
          </w:hyperlink>
        </w:p>
        <w:p w14:paraId="4ABD768F" w14:textId="64B2524B"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45" w:history="1">
            <w:r w:rsidR="00BA2268" w:rsidRPr="00475706">
              <w:rPr>
                <w:rStyle w:val="Hyperlink"/>
                <w:noProof/>
              </w:rPr>
              <w:t>Proposed action</w:t>
            </w:r>
            <w:r w:rsidR="00BA2268">
              <w:rPr>
                <w:noProof/>
                <w:webHidden/>
              </w:rPr>
              <w:tab/>
            </w:r>
            <w:r w:rsidR="00BA2268">
              <w:rPr>
                <w:noProof/>
                <w:webHidden/>
              </w:rPr>
              <w:fldChar w:fldCharType="begin"/>
            </w:r>
            <w:r w:rsidR="00BA2268">
              <w:rPr>
                <w:noProof/>
                <w:webHidden/>
              </w:rPr>
              <w:instrText xml:space="preserve"> PAGEREF _Toc182833145 \h </w:instrText>
            </w:r>
            <w:r w:rsidR="00BA2268">
              <w:rPr>
                <w:noProof/>
                <w:webHidden/>
              </w:rPr>
            </w:r>
            <w:r w:rsidR="00BA2268">
              <w:rPr>
                <w:noProof/>
                <w:webHidden/>
              </w:rPr>
              <w:fldChar w:fldCharType="separate"/>
            </w:r>
            <w:r w:rsidR="00BA2268">
              <w:rPr>
                <w:noProof/>
                <w:webHidden/>
              </w:rPr>
              <w:t>26</w:t>
            </w:r>
            <w:r w:rsidR="00BA2268">
              <w:rPr>
                <w:noProof/>
                <w:webHidden/>
              </w:rPr>
              <w:fldChar w:fldCharType="end"/>
            </w:r>
          </w:hyperlink>
        </w:p>
        <w:p w14:paraId="617A24D0" w14:textId="0CB63CF1" w:rsidR="00BA2268" w:rsidRDefault="000A741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2833146" w:history="1">
            <w:r w:rsidR="00BA2268" w:rsidRPr="00475706">
              <w:rPr>
                <w:rStyle w:val="Hyperlink"/>
                <w:noProof/>
              </w:rPr>
              <w:t>Advisory Committee considerations</w:t>
            </w:r>
            <w:r w:rsidR="00BA2268">
              <w:rPr>
                <w:noProof/>
                <w:webHidden/>
              </w:rPr>
              <w:tab/>
            </w:r>
            <w:r w:rsidR="00BA2268">
              <w:rPr>
                <w:noProof/>
                <w:webHidden/>
              </w:rPr>
              <w:fldChar w:fldCharType="begin"/>
            </w:r>
            <w:r w:rsidR="00BA2268">
              <w:rPr>
                <w:noProof/>
                <w:webHidden/>
              </w:rPr>
              <w:instrText xml:space="preserve"> PAGEREF _Toc182833146 \h </w:instrText>
            </w:r>
            <w:r w:rsidR="00BA2268">
              <w:rPr>
                <w:noProof/>
                <w:webHidden/>
              </w:rPr>
            </w:r>
            <w:r w:rsidR="00BA2268">
              <w:rPr>
                <w:noProof/>
                <w:webHidden/>
              </w:rPr>
              <w:fldChar w:fldCharType="separate"/>
            </w:r>
            <w:r w:rsidR="00BA2268">
              <w:rPr>
                <w:noProof/>
                <w:webHidden/>
              </w:rPr>
              <w:t>27</w:t>
            </w:r>
            <w:r w:rsidR="00BA2268">
              <w:rPr>
                <w:noProof/>
                <w:webHidden/>
              </w:rPr>
              <w:fldChar w:fldCharType="end"/>
            </w:r>
          </w:hyperlink>
        </w:p>
        <w:p w14:paraId="25E329BD" w14:textId="21F15620" w:rsidR="00BA2268" w:rsidRDefault="000A741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833147" w:history="1">
            <w:r w:rsidR="00BA2268" w:rsidRPr="00475706">
              <w:rPr>
                <w:rStyle w:val="Hyperlink"/>
                <w:noProof/>
              </w:rPr>
              <w:t>Outcome</w:t>
            </w:r>
            <w:r w:rsidR="00BA2268">
              <w:rPr>
                <w:noProof/>
                <w:webHidden/>
              </w:rPr>
              <w:tab/>
            </w:r>
            <w:r w:rsidR="00BA2268">
              <w:rPr>
                <w:noProof/>
                <w:webHidden/>
              </w:rPr>
              <w:fldChar w:fldCharType="begin"/>
            </w:r>
            <w:r w:rsidR="00BA2268">
              <w:rPr>
                <w:noProof/>
                <w:webHidden/>
              </w:rPr>
              <w:instrText xml:space="preserve"> PAGEREF _Toc182833147 \h </w:instrText>
            </w:r>
            <w:r w:rsidR="00BA2268">
              <w:rPr>
                <w:noProof/>
                <w:webHidden/>
              </w:rPr>
            </w:r>
            <w:r w:rsidR="00BA2268">
              <w:rPr>
                <w:noProof/>
                <w:webHidden/>
              </w:rPr>
              <w:fldChar w:fldCharType="separate"/>
            </w:r>
            <w:r w:rsidR="00BA2268">
              <w:rPr>
                <w:noProof/>
                <w:webHidden/>
              </w:rPr>
              <w:t>28</w:t>
            </w:r>
            <w:r w:rsidR="00BA2268">
              <w:rPr>
                <w:noProof/>
                <w:webHidden/>
              </w:rPr>
              <w:fldChar w:fldCharType="end"/>
            </w:r>
          </w:hyperlink>
        </w:p>
        <w:p w14:paraId="16C4F9E6" w14:textId="6419BE01" w:rsidR="00BA2268" w:rsidRDefault="000A741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2833148" w:history="1">
            <w:r w:rsidR="00BA2268" w:rsidRPr="00475706">
              <w:rPr>
                <w:rStyle w:val="Hyperlink"/>
                <w:noProof/>
              </w:rPr>
              <w:t>Specific conditions of registration applying to these goods</w:t>
            </w:r>
            <w:r w:rsidR="00BA2268">
              <w:rPr>
                <w:noProof/>
                <w:webHidden/>
              </w:rPr>
              <w:tab/>
            </w:r>
            <w:r w:rsidR="00BA2268">
              <w:rPr>
                <w:noProof/>
                <w:webHidden/>
              </w:rPr>
              <w:fldChar w:fldCharType="begin"/>
            </w:r>
            <w:r w:rsidR="00BA2268">
              <w:rPr>
                <w:noProof/>
                <w:webHidden/>
              </w:rPr>
              <w:instrText xml:space="preserve"> PAGEREF _Toc182833148 \h </w:instrText>
            </w:r>
            <w:r w:rsidR="00BA2268">
              <w:rPr>
                <w:noProof/>
                <w:webHidden/>
              </w:rPr>
            </w:r>
            <w:r w:rsidR="00BA2268">
              <w:rPr>
                <w:noProof/>
                <w:webHidden/>
              </w:rPr>
              <w:fldChar w:fldCharType="separate"/>
            </w:r>
            <w:r w:rsidR="00BA2268">
              <w:rPr>
                <w:noProof/>
                <w:webHidden/>
              </w:rPr>
              <w:t>29</w:t>
            </w:r>
            <w:r w:rsidR="00BA2268">
              <w:rPr>
                <w:noProof/>
                <w:webHidden/>
              </w:rPr>
              <w:fldChar w:fldCharType="end"/>
            </w:r>
          </w:hyperlink>
        </w:p>
        <w:p w14:paraId="1DB3B5E9" w14:textId="61CAF72F" w:rsidR="00BA2268" w:rsidRDefault="000A741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2833149" w:history="1">
            <w:r w:rsidR="00BA2268" w:rsidRPr="00475706">
              <w:rPr>
                <w:rStyle w:val="Hyperlink"/>
                <w:noProof/>
              </w:rPr>
              <w:t>Attachment 1. Product Information</w:t>
            </w:r>
            <w:r w:rsidR="00BA2268">
              <w:rPr>
                <w:noProof/>
                <w:webHidden/>
              </w:rPr>
              <w:tab/>
            </w:r>
            <w:r w:rsidR="00BA2268">
              <w:rPr>
                <w:noProof/>
                <w:webHidden/>
              </w:rPr>
              <w:fldChar w:fldCharType="begin"/>
            </w:r>
            <w:r w:rsidR="00BA2268">
              <w:rPr>
                <w:noProof/>
                <w:webHidden/>
              </w:rPr>
              <w:instrText xml:space="preserve"> PAGEREF _Toc182833149 \h </w:instrText>
            </w:r>
            <w:r w:rsidR="00BA2268">
              <w:rPr>
                <w:noProof/>
                <w:webHidden/>
              </w:rPr>
            </w:r>
            <w:r w:rsidR="00BA2268">
              <w:rPr>
                <w:noProof/>
                <w:webHidden/>
              </w:rPr>
              <w:fldChar w:fldCharType="separate"/>
            </w:r>
            <w:r w:rsidR="00BA2268">
              <w:rPr>
                <w:noProof/>
                <w:webHidden/>
              </w:rPr>
              <w:t>30</w:t>
            </w:r>
            <w:r w:rsidR="00BA2268">
              <w:rPr>
                <w:noProof/>
                <w:webHidden/>
              </w:rPr>
              <w:fldChar w:fldCharType="end"/>
            </w:r>
          </w:hyperlink>
        </w:p>
        <w:p w14:paraId="77659F2D" w14:textId="12567ED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06874">
      <w:pPr>
        <w:pStyle w:val="Heading2"/>
      </w:pPr>
      <w:bookmarkStart w:id="1" w:name="_Toc98931917"/>
      <w:bookmarkStart w:id="2" w:name="_Toc103679287"/>
      <w:bookmarkStart w:id="3" w:name="_Toc182833123"/>
      <w:bookmarkStart w:id="4" w:name="_Toc323739589"/>
      <w:bookmarkStart w:id="5" w:name="_Toc356305216"/>
      <w:r>
        <w:lastRenderedPageBreak/>
        <w:t xml:space="preserve">List of </w:t>
      </w:r>
      <w:r w:rsidRPr="00406874">
        <w:t>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FB7011" w:rsidRPr="00D01DDB" w14:paraId="0991A2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3E0D21" w14:textId="2ACC929A" w:rsidR="00FB7011" w:rsidRPr="00D01DDB" w:rsidRDefault="00FB7011" w:rsidP="00324B33">
            <w:pPr>
              <w:rPr>
                <w:szCs w:val="22"/>
              </w:rPr>
            </w:pPr>
            <w:r>
              <w:rPr>
                <w:szCs w:val="22"/>
              </w:rPr>
              <w:t>AE</w:t>
            </w:r>
          </w:p>
        </w:tc>
        <w:tc>
          <w:tcPr>
            <w:tcW w:w="3800" w:type="pct"/>
          </w:tcPr>
          <w:p w14:paraId="3D8A9C0E" w14:textId="7BED956F" w:rsidR="00FB7011" w:rsidRPr="00D01DDB" w:rsidRDefault="00FB701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7A2507FC"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915FA">
              <w:rPr>
                <w:szCs w:val="22"/>
              </w:rPr>
              <w:noBreakHyphen/>
            </w:r>
            <w:r w:rsidRPr="00D01DDB">
              <w:rPr>
                <w:szCs w:val="22"/>
              </w:rPr>
              <w:t>specific annex</w:t>
            </w:r>
          </w:p>
        </w:tc>
      </w:tr>
      <w:tr w:rsidR="00904939" w:rsidRPr="00D01DDB" w14:paraId="4CBFFB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3C7D0E" w14:textId="46B28CC0" w:rsidR="00904939" w:rsidRPr="00D01DDB" w:rsidRDefault="007F741F" w:rsidP="00324B33">
            <w:pPr>
              <w:rPr>
                <w:szCs w:val="22"/>
              </w:rPr>
            </w:pPr>
            <w:r>
              <w:rPr>
                <w:szCs w:val="22"/>
              </w:rPr>
              <w:t>CFU</w:t>
            </w:r>
          </w:p>
        </w:tc>
        <w:tc>
          <w:tcPr>
            <w:tcW w:w="3800" w:type="pct"/>
          </w:tcPr>
          <w:p w14:paraId="6596296C" w14:textId="1E63A752" w:rsidR="00904939" w:rsidRPr="00D01DDB" w:rsidRDefault="007F741F" w:rsidP="00324B33">
            <w:pPr>
              <w:cnfStyle w:val="000000000000" w:firstRow="0" w:lastRow="0" w:firstColumn="0" w:lastColumn="0" w:oddVBand="0" w:evenVBand="0" w:oddHBand="0" w:evenHBand="0" w:firstRowFirstColumn="0" w:firstRowLastColumn="0" w:lastRowFirstColumn="0" w:lastRowLastColumn="0"/>
              <w:rPr>
                <w:szCs w:val="22"/>
              </w:rPr>
            </w:pPr>
            <w:r>
              <w:rPr>
                <w:rFonts w:cstheme="minorBidi"/>
                <w:color w:val="auto"/>
                <w:szCs w:val="22"/>
              </w:rPr>
              <w:t>C</w:t>
            </w:r>
            <w:r w:rsidR="00904939">
              <w:rPr>
                <w:rFonts w:cstheme="minorBidi"/>
                <w:color w:val="auto"/>
                <w:szCs w:val="22"/>
              </w:rPr>
              <w:t>olony forming units</w:t>
            </w:r>
          </w:p>
        </w:tc>
      </w:tr>
      <w:tr w:rsidR="00425394" w:rsidRPr="00D01DDB" w14:paraId="01514C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9B28A5" w14:textId="088E584D" w:rsidR="00425394" w:rsidRDefault="00425394" w:rsidP="00324B33">
            <w:pPr>
              <w:rPr>
                <w:szCs w:val="22"/>
              </w:rPr>
            </w:pPr>
            <w:r>
              <w:rPr>
                <w:szCs w:val="22"/>
              </w:rPr>
              <w:t>CI</w:t>
            </w:r>
          </w:p>
        </w:tc>
        <w:tc>
          <w:tcPr>
            <w:tcW w:w="3800" w:type="pct"/>
          </w:tcPr>
          <w:p w14:paraId="4873109E" w14:textId="1ED71D41" w:rsidR="00425394" w:rsidRDefault="0042539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0A3E37" w:rsidRPr="00D01DDB" w14:paraId="3D0C55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073F75" w14:textId="7FF7DBA9" w:rsidR="000A3E37" w:rsidRPr="00D01DDB" w:rsidRDefault="000A3E37" w:rsidP="00324B33">
            <w:pPr>
              <w:rPr>
                <w:szCs w:val="22"/>
              </w:rPr>
            </w:pPr>
            <w:r>
              <w:rPr>
                <w:szCs w:val="22"/>
              </w:rPr>
              <w:t>CPD</w:t>
            </w:r>
          </w:p>
        </w:tc>
        <w:tc>
          <w:tcPr>
            <w:tcW w:w="3800" w:type="pct"/>
          </w:tcPr>
          <w:p w14:paraId="181A1E62" w14:textId="03BAC509" w:rsidR="000A3E37" w:rsidRPr="00D01DDB" w:rsidRDefault="000A3E3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Certified product details</w:t>
            </w:r>
          </w:p>
        </w:tc>
      </w:tr>
      <w:tr w:rsidR="00BB75E9" w:rsidRPr="00D01DDB" w14:paraId="563528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EB4FAC" w14:textId="1D2C9D0F" w:rsidR="00BB75E9" w:rsidRPr="00D01DDB" w:rsidRDefault="00BB75E9" w:rsidP="00324B33">
            <w:pPr>
              <w:rPr>
                <w:szCs w:val="22"/>
              </w:rPr>
            </w:pPr>
            <w:r>
              <w:rPr>
                <w:szCs w:val="22"/>
              </w:rPr>
              <w:t>CVD</w:t>
            </w:r>
          </w:p>
        </w:tc>
        <w:tc>
          <w:tcPr>
            <w:tcW w:w="3800" w:type="pct"/>
          </w:tcPr>
          <w:p w14:paraId="085C40F8" w14:textId="5AE738BF" w:rsidR="00BB75E9" w:rsidRPr="00D01DDB" w:rsidRDefault="00BB75E9" w:rsidP="00324B33">
            <w:pPr>
              <w:cnfStyle w:val="000000000000" w:firstRow="0" w:lastRow="0" w:firstColumn="0" w:lastColumn="0" w:oddVBand="0" w:evenVBand="0" w:oddHBand="0" w:evenHBand="0" w:firstRowFirstColumn="0" w:firstRowLastColumn="0" w:lastRowFirstColumn="0" w:lastRowLastColumn="0"/>
              <w:rPr>
                <w:szCs w:val="22"/>
              </w:rPr>
            </w:pPr>
            <w:proofErr w:type="spellStart"/>
            <w:r w:rsidRPr="00BB75E9">
              <w:rPr>
                <w:szCs w:val="22"/>
              </w:rPr>
              <w:t>Center</w:t>
            </w:r>
            <w:proofErr w:type="spellEnd"/>
            <w:r w:rsidRPr="00BB75E9">
              <w:rPr>
                <w:szCs w:val="22"/>
              </w:rPr>
              <w:t xml:space="preserve"> for Vaccine Development of the University of Maryland School of Medicine</w:t>
            </w:r>
            <w:r>
              <w:rPr>
                <w:szCs w:val="22"/>
              </w:rPr>
              <w:t>, USA</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8915FA" w:rsidRPr="00D01DDB" w14:paraId="3B1CC4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36A06F" w14:textId="61748748" w:rsidR="008915FA" w:rsidRPr="00D01DDB" w:rsidRDefault="008915FA" w:rsidP="00324B33">
            <w:pPr>
              <w:rPr>
                <w:szCs w:val="22"/>
              </w:rPr>
            </w:pPr>
            <w:r>
              <w:rPr>
                <w:szCs w:val="22"/>
              </w:rPr>
              <w:t>EMA</w:t>
            </w:r>
          </w:p>
        </w:tc>
        <w:tc>
          <w:tcPr>
            <w:tcW w:w="3800" w:type="pct"/>
          </w:tcPr>
          <w:p w14:paraId="3FB5C393" w14:textId="4F568726" w:rsidR="008915FA" w:rsidRPr="00D01DDB" w:rsidRDefault="008915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8915FA" w:rsidRPr="00D01DDB" w14:paraId="792EA40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2A7A37" w14:textId="6F387C58" w:rsidR="008915FA" w:rsidRDefault="008915FA" w:rsidP="00324B33">
            <w:pPr>
              <w:rPr>
                <w:szCs w:val="22"/>
              </w:rPr>
            </w:pPr>
            <w:r>
              <w:rPr>
                <w:szCs w:val="22"/>
              </w:rPr>
              <w:t>EU</w:t>
            </w:r>
          </w:p>
        </w:tc>
        <w:tc>
          <w:tcPr>
            <w:tcW w:w="3800" w:type="pct"/>
          </w:tcPr>
          <w:p w14:paraId="049F9548" w14:textId="1156A06C" w:rsidR="008915FA" w:rsidRDefault="008915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8E515A" w:rsidRPr="00D01DDB" w14:paraId="0EE384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0FD561" w14:textId="2650B902" w:rsidR="008E515A" w:rsidRPr="00D01DDB" w:rsidRDefault="008E515A" w:rsidP="00324B33">
            <w:pPr>
              <w:rPr>
                <w:szCs w:val="22"/>
              </w:rPr>
            </w:pPr>
            <w:r>
              <w:rPr>
                <w:szCs w:val="22"/>
              </w:rPr>
              <w:t>FDA</w:t>
            </w:r>
          </w:p>
        </w:tc>
        <w:tc>
          <w:tcPr>
            <w:tcW w:w="3800" w:type="pct"/>
          </w:tcPr>
          <w:p w14:paraId="02799F5E" w14:textId="2B7FD52A" w:rsidR="008E515A" w:rsidRPr="00D01DDB" w:rsidRDefault="008E515A" w:rsidP="00324B33">
            <w:pPr>
              <w:cnfStyle w:val="000000000000" w:firstRow="0" w:lastRow="0" w:firstColumn="0" w:lastColumn="0" w:oddVBand="0" w:evenVBand="0" w:oddHBand="0" w:evenHBand="0" w:firstRowFirstColumn="0" w:firstRowLastColumn="0" w:lastRowFirstColumn="0" w:lastRowLastColumn="0"/>
              <w:rPr>
                <w:szCs w:val="22"/>
              </w:rPr>
            </w:pPr>
            <w:r w:rsidRPr="00764F4C">
              <w:t>F</w:t>
            </w:r>
            <w:r>
              <w:t>ood and Drug Administration, United States of America</w:t>
            </w:r>
          </w:p>
        </w:tc>
      </w:tr>
      <w:tr w:rsidR="00B27056" w:rsidRPr="00D01DDB" w14:paraId="46FB02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32CEBA" w14:textId="0818906F" w:rsidR="00B27056" w:rsidRPr="00D01DDB" w:rsidRDefault="00B27056" w:rsidP="00324B33">
            <w:pPr>
              <w:rPr>
                <w:szCs w:val="22"/>
              </w:rPr>
            </w:pPr>
            <w:r>
              <w:rPr>
                <w:szCs w:val="22"/>
              </w:rPr>
              <w:t>GMT</w:t>
            </w:r>
          </w:p>
        </w:tc>
        <w:tc>
          <w:tcPr>
            <w:tcW w:w="3800" w:type="pct"/>
          </w:tcPr>
          <w:p w14:paraId="6C31A104" w14:textId="2794FA90" w:rsidR="00B27056" w:rsidRPr="00D01DDB" w:rsidRDefault="00B27056" w:rsidP="00324B33">
            <w:pPr>
              <w:cnfStyle w:val="000000000000" w:firstRow="0" w:lastRow="0" w:firstColumn="0" w:lastColumn="0" w:oddVBand="0" w:evenVBand="0" w:oddHBand="0" w:evenHBand="0" w:firstRowFirstColumn="0" w:firstRowLastColumn="0" w:lastRowFirstColumn="0" w:lastRowLastColumn="0"/>
              <w:rPr>
                <w:szCs w:val="22"/>
              </w:rPr>
            </w:pPr>
            <w:r>
              <w:t>Geometric mean titre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893D4A" w:rsidRPr="00D01DDB" w14:paraId="71E1C74D" w14:textId="77777777" w:rsidTr="0019099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2D9A4C" w14:textId="77777777" w:rsidR="00893D4A" w:rsidRPr="00D01DDB" w:rsidRDefault="00893D4A" w:rsidP="00190990">
            <w:pPr>
              <w:rPr>
                <w:szCs w:val="22"/>
              </w:rPr>
            </w:pPr>
            <w:r w:rsidRPr="00D01DDB">
              <w:rPr>
                <w:szCs w:val="22"/>
              </w:rPr>
              <w:t>PSUR</w:t>
            </w:r>
          </w:p>
        </w:tc>
        <w:tc>
          <w:tcPr>
            <w:tcW w:w="3800" w:type="pct"/>
          </w:tcPr>
          <w:p w14:paraId="4A852B7A" w14:textId="77777777" w:rsidR="00893D4A" w:rsidRPr="00D01DDB" w:rsidRDefault="00893D4A" w:rsidP="0019099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324B3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324B33" w:rsidRPr="00D01DDB" w:rsidRDefault="00324B33" w:rsidP="00324B33">
            <w:pPr>
              <w:rPr>
                <w:szCs w:val="22"/>
              </w:rPr>
            </w:pPr>
            <w:r w:rsidRPr="00D01DDB">
              <w:rPr>
                <w:szCs w:val="22"/>
              </w:rPr>
              <w:t>RMP</w:t>
            </w:r>
          </w:p>
        </w:tc>
        <w:tc>
          <w:tcPr>
            <w:tcW w:w="3800" w:type="pct"/>
          </w:tcPr>
          <w:p w14:paraId="2C862F75" w14:textId="2355E842"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24B3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24B33" w:rsidRPr="00D01DDB" w:rsidRDefault="00324B33" w:rsidP="00324B33">
            <w:pPr>
              <w:rPr>
                <w:szCs w:val="22"/>
              </w:rPr>
            </w:pPr>
            <w:r w:rsidRPr="00D01DDB">
              <w:rPr>
                <w:szCs w:val="22"/>
              </w:rPr>
              <w:t>TGA</w:t>
            </w:r>
          </w:p>
        </w:tc>
        <w:tc>
          <w:tcPr>
            <w:tcW w:w="3800" w:type="pct"/>
          </w:tcPr>
          <w:p w14:paraId="29EA6BA3" w14:textId="6F99059F"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44C2A39C" w14:textId="3C971CE6" w:rsidR="00324B33" w:rsidRDefault="00324B33" w:rsidP="00406874">
      <w:pPr>
        <w:pStyle w:val="Heading2"/>
        <w:pageBreakBefore/>
      </w:pPr>
      <w:bookmarkStart w:id="6" w:name="_Toc103679288"/>
      <w:bookmarkStart w:id="7" w:name="_Toc182833124"/>
      <w:r>
        <w:lastRenderedPageBreak/>
        <w:t>Product submission</w:t>
      </w:r>
      <w:bookmarkEnd w:id="6"/>
      <w:bookmarkEnd w:id="7"/>
    </w:p>
    <w:p w14:paraId="21D559DF" w14:textId="77777777" w:rsidR="00324B33" w:rsidRDefault="00324B33" w:rsidP="00406874">
      <w:pPr>
        <w:pStyle w:val="Heading3"/>
        <w:rPr>
          <w:lang w:eastAsia="en-AU"/>
        </w:rPr>
      </w:pPr>
      <w:bookmarkStart w:id="8" w:name="_Toc247691502"/>
      <w:bookmarkStart w:id="9" w:name="_Toc314842483"/>
      <w:bookmarkStart w:id="10" w:name="_Toc103679289"/>
      <w:bookmarkStart w:id="11" w:name="_Toc182833125"/>
      <w:r>
        <w:rPr>
          <w:lang w:eastAsia="en-AU"/>
        </w:rPr>
        <w:t xml:space="preserve">Submission </w:t>
      </w:r>
      <w:r w:rsidRPr="00406874">
        <w:t>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647210A4" w:rsidR="00324B33" w:rsidRPr="00BD5DBD" w:rsidRDefault="00324B33" w:rsidP="007452E8">
            <w:pPr>
              <w:rPr>
                <w:szCs w:val="22"/>
              </w:rPr>
            </w:pPr>
            <w:bookmarkStart w:id="12" w:name="_Hlk182824593"/>
            <w:r w:rsidRPr="00BD5DBD">
              <w:rPr>
                <w:szCs w:val="22"/>
              </w:rPr>
              <w:t xml:space="preserve">New </w:t>
            </w:r>
            <w:r w:rsidR="00573D50">
              <w:rPr>
                <w:szCs w:val="22"/>
              </w:rPr>
              <w:t xml:space="preserve">biological </w:t>
            </w:r>
            <w:r w:rsidRPr="00BD5DBD">
              <w:rPr>
                <w:szCs w:val="22"/>
              </w:rPr>
              <w:t>entity</w:t>
            </w:r>
            <w:bookmarkEnd w:id="12"/>
          </w:p>
        </w:tc>
      </w:tr>
      <w:tr w:rsidR="00324B33" w:rsidRPr="00BD5DBD" w14:paraId="13482B61" w14:textId="77777777" w:rsidTr="00F865A7">
        <w:tc>
          <w:tcPr>
            <w:tcW w:w="1577" w:type="pct"/>
          </w:tcPr>
          <w:p w14:paraId="2C427FCF" w14:textId="2EC92C70" w:rsidR="00324B33" w:rsidRPr="00BD5DBD" w:rsidRDefault="00324B33" w:rsidP="007452E8">
            <w:pPr>
              <w:rPr>
                <w:i/>
                <w:szCs w:val="22"/>
              </w:rPr>
            </w:pPr>
            <w:r w:rsidRPr="00BD5DBD">
              <w:rPr>
                <w:i/>
                <w:szCs w:val="22"/>
              </w:rPr>
              <w:t>Product name:</w:t>
            </w:r>
          </w:p>
        </w:tc>
        <w:tc>
          <w:tcPr>
            <w:tcW w:w="3423" w:type="pct"/>
          </w:tcPr>
          <w:p w14:paraId="04A75E08" w14:textId="77777777" w:rsidR="00324B33" w:rsidRDefault="00573D50" w:rsidP="007452E8">
            <w:pPr>
              <w:rPr>
                <w:szCs w:val="22"/>
              </w:rPr>
            </w:pPr>
            <w:proofErr w:type="spellStart"/>
            <w:r>
              <w:rPr>
                <w:szCs w:val="22"/>
              </w:rPr>
              <w:t>Vaxchora</w:t>
            </w:r>
            <w:proofErr w:type="spellEnd"/>
          </w:p>
          <w:p w14:paraId="0E2DEF76" w14:textId="07B045C4" w:rsidR="00607D6B" w:rsidRPr="00BD5DBD" w:rsidRDefault="00037580" w:rsidP="007452E8">
            <w:pPr>
              <w:rPr>
                <w:szCs w:val="22"/>
              </w:rPr>
            </w:pPr>
            <w:r w:rsidRPr="00037580">
              <w:t xml:space="preserve">Company code: </w:t>
            </w:r>
            <w:r w:rsidR="00607D6B" w:rsidRPr="00037580">
              <w:t>PXVX0200</w:t>
            </w:r>
          </w:p>
        </w:tc>
      </w:tr>
      <w:tr w:rsidR="00324B33" w:rsidRPr="00BD5DBD" w14:paraId="01255B5B" w14:textId="77777777" w:rsidTr="00F865A7">
        <w:tc>
          <w:tcPr>
            <w:tcW w:w="1577" w:type="pct"/>
          </w:tcPr>
          <w:p w14:paraId="52B4F3D7" w14:textId="0767AE3C" w:rsidR="00324B33" w:rsidRPr="00BD5DBD" w:rsidRDefault="00324B33" w:rsidP="007452E8">
            <w:pPr>
              <w:rPr>
                <w:i/>
                <w:szCs w:val="22"/>
              </w:rPr>
            </w:pPr>
            <w:r w:rsidRPr="00BD5DBD">
              <w:rPr>
                <w:i/>
                <w:szCs w:val="22"/>
              </w:rPr>
              <w:t>Active ingredient:</w:t>
            </w:r>
          </w:p>
        </w:tc>
        <w:tc>
          <w:tcPr>
            <w:tcW w:w="3423" w:type="pct"/>
          </w:tcPr>
          <w:p w14:paraId="02FB6383" w14:textId="4517AAA0" w:rsidR="00324B33" w:rsidRPr="00BD5DBD" w:rsidRDefault="00A73D70" w:rsidP="007452E8">
            <w:pPr>
              <w:rPr>
                <w:szCs w:val="22"/>
              </w:rPr>
            </w:pPr>
            <w:r w:rsidRPr="00A73D70">
              <w:rPr>
                <w:i/>
                <w:iCs/>
                <w:szCs w:val="22"/>
              </w:rPr>
              <w:t>Vibrio cholerae</w:t>
            </w:r>
            <w:r w:rsidRPr="00A73D70">
              <w:rPr>
                <w:szCs w:val="22"/>
              </w:rPr>
              <w:t xml:space="preserve"> bacteria cells (CVD 103-HgR strain) </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3964BD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69B983E" w:rsidR="00AE1947" w:rsidRPr="00BD5DBD" w:rsidRDefault="00AE1947" w:rsidP="00636900">
            <w:r w:rsidRPr="00BD5DBD">
              <w:rPr>
                <w:i/>
                <w:szCs w:val="22"/>
              </w:rPr>
              <w:t>Date of decision:</w:t>
            </w:r>
          </w:p>
        </w:tc>
        <w:tc>
          <w:tcPr>
            <w:tcW w:w="3423" w:type="pct"/>
          </w:tcPr>
          <w:p w14:paraId="7B381CD6" w14:textId="343DAEFA" w:rsidR="00AE1947" w:rsidRPr="00BD5DBD" w:rsidRDefault="00636900" w:rsidP="00602658">
            <w:pPr>
              <w:rPr>
                <w:szCs w:val="22"/>
              </w:rPr>
            </w:pPr>
            <w:r>
              <w:rPr>
                <w:szCs w:val="22"/>
              </w:rPr>
              <w:t>4 September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C8D4C5D" w:rsidR="00324B33" w:rsidRPr="00BD5DBD" w:rsidRDefault="00636900" w:rsidP="00313EC2">
            <w:r>
              <w:t>6 September 2023</w:t>
            </w:r>
          </w:p>
        </w:tc>
      </w:tr>
      <w:tr w:rsidR="00324B33" w:rsidRPr="00BD5DBD" w14:paraId="547E08D7" w14:textId="77777777" w:rsidTr="00F865A7">
        <w:tc>
          <w:tcPr>
            <w:tcW w:w="1577" w:type="pct"/>
          </w:tcPr>
          <w:p w14:paraId="5030EF30" w14:textId="64742C13" w:rsidR="00324B33" w:rsidRPr="00BD5DBD" w:rsidRDefault="00324B33" w:rsidP="007452E8">
            <w:pPr>
              <w:rPr>
                <w:i/>
                <w:szCs w:val="22"/>
              </w:rPr>
            </w:pPr>
            <w:r w:rsidRPr="00BD5DBD">
              <w:rPr>
                <w:i/>
                <w:szCs w:val="22"/>
              </w:rPr>
              <w:t>ARTG number:</w:t>
            </w:r>
          </w:p>
        </w:tc>
        <w:tc>
          <w:tcPr>
            <w:tcW w:w="3423" w:type="pct"/>
          </w:tcPr>
          <w:p w14:paraId="0054E912" w14:textId="69E75A92" w:rsidR="00324B33" w:rsidRPr="0055284D" w:rsidRDefault="00882B1B" w:rsidP="00313EC2">
            <w:pPr>
              <w:rPr>
                <w:b/>
                <w:bCs/>
              </w:rPr>
            </w:pPr>
            <w:r w:rsidRPr="00882B1B">
              <w:t>389746</w:t>
            </w:r>
          </w:p>
        </w:tc>
      </w:tr>
      <w:tr w:rsidR="00324B33" w:rsidRPr="00BD5DBD" w14:paraId="7618393F" w14:textId="77777777" w:rsidTr="00F865A7">
        <w:tc>
          <w:tcPr>
            <w:tcW w:w="1577" w:type="pct"/>
          </w:tcPr>
          <w:p w14:paraId="6C24CEB6" w14:textId="493AAF8F"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7457DCA2" w:rsidR="00324B33" w:rsidRPr="00BD5DBD" w:rsidRDefault="00324B33" w:rsidP="007452E8">
            <w:pPr>
              <w:rPr>
                <w:i/>
                <w:szCs w:val="22"/>
              </w:rPr>
            </w:pPr>
          </w:p>
        </w:tc>
        <w:tc>
          <w:tcPr>
            <w:tcW w:w="3423" w:type="pct"/>
          </w:tcPr>
          <w:p w14:paraId="08EF3693" w14:textId="6D6C55C2" w:rsidR="00324B33" w:rsidRPr="00BD5DBD" w:rsidRDefault="00324B33" w:rsidP="007452E8">
            <w:pPr>
              <w:rPr>
                <w:szCs w:val="22"/>
              </w:rPr>
            </w:pPr>
            <w:r w:rsidRPr="00BD5DBD">
              <w:rPr>
                <w:szCs w:val="22"/>
              </w:rPr>
              <w:t>Yes</w:t>
            </w:r>
          </w:p>
          <w:p w14:paraId="6FF3C6A2" w14:textId="54B72649" w:rsidR="00324B33" w:rsidRPr="00BD5DBD" w:rsidRDefault="00324B33" w:rsidP="00A43293">
            <w:pPr>
              <w:rPr>
                <w:szCs w:val="22"/>
              </w:rPr>
            </w:pPr>
            <w:r w:rsidRPr="00BD5DBD">
              <w:rPr>
                <w:szCs w:val="22"/>
              </w:rPr>
              <w:t>This product will remain in the scheme for 5 years, starting on the date the product is first supplied in Australia</w:t>
            </w:r>
            <w:r w:rsidR="00A43293">
              <w:rPr>
                <w:szCs w:val="22"/>
              </w:rPr>
              <w:t>.</w:t>
            </w:r>
          </w:p>
        </w:tc>
      </w:tr>
      <w:tr w:rsidR="00324B33" w:rsidRPr="00BD5DBD" w14:paraId="179E09FE" w14:textId="77777777" w:rsidTr="00F865A7">
        <w:tc>
          <w:tcPr>
            <w:tcW w:w="1577" w:type="pct"/>
          </w:tcPr>
          <w:p w14:paraId="1A592498" w14:textId="77777777" w:rsidR="00324B33" w:rsidRPr="00792FE4" w:rsidRDefault="00324B33" w:rsidP="007452E8">
            <w:pPr>
              <w:rPr>
                <w:i/>
                <w:szCs w:val="22"/>
              </w:rPr>
            </w:pPr>
            <w:r w:rsidRPr="00792FE4">
              <w:rPr>
                <w:i/>
                <w:szCs w:val="22"/>
              </w:rPr>
              <w:t>Sponsor’s name and address:</w:t>
            </w:r>
          </w:p>
        </w:tc>
        <w:tc>
          <w:tcPr>
            <w:tcW w:w="3423" w:type="pct"/>
          </w:tcPr>
          <w:p w14:paraId="502A1D1E" w14:textId="77777777" w:rsidR="00324B33" w:rsidRPr="00792FE4" w:rsidRDefault="0070690E" w:rsidP="00792FE4">
            <w:proofErr w:type="spellStart"/>
            <w:r w:rsidRPr="00792FE4">
              <w:t>Biocelect</w:t>
            </w:r>
            <w:proofErr w:type="spellEnd"/>
            <w:r w:rsidRPr="00792FE4">
              <w:t xml:space="preserve"> Pty Ltd</w:t>
            </w:r>
          </w:p>
          <w:p w14:paraId="634E8B7D" w14:textId="4E57538B" w:rsidR="00792FE4" w:rsidRPr="00792FE4" w:rsidRDefault="00792FE4" w:rsidP="00792FE4">
            <w:r w:rsidRPr="00792FE4">
              <w:t>Level 29</w:t>
            </w:r>
          </w:p>
          <w:p w14:paraId="574A30F2" w14:textId="0AE40A87" w:rsidR="00792FE4" w:rsidRPr="00792FE4" w:rsidRDefault="00792FE4" w:rsidP="00792FE4">
            <w:r w:rsidRPr="00792FE4">
              <w:t>66 Goulburn Street</w:t>
            </w:r>
          </w:p>
          <w:p w14:paraId="68DD94B0" w14:textId="46C4E723" w:rsidR="0070690E" w:rsidRPr="00BD5DBD" w:rsidRDefault="00792FE4" w:rsidP="00792FE4">
            <w:r w:rsidRPr="00792FE4">
              <w:t>Sydney   NSW   2000</w:t>
            </w:r>
          </w:p>
        </w:tc>
      </w:tr>
      <w:tr w:rsidR="00324B33" w:rsidRPr="00BD5DBD" w14:paraId="5322B989" w14:textId="77777777" w:rsidTr="00F865A7">
        <w:tc>
          <w:tcPr>
            <w:tcW w:w="1577" w:type="pct"/>
          </w:tcPr>
          <w:p w14:paraId="24F217E3" w14:textId="69CD8D11" w:rsidR="00324B33" w:rsidRPr="00BD5DBD" w:rsidRDefault="00324B33" w:rsidP="007452E8">
            <w:pPr>
              <w:rPr>
                <w:i/>
                <w:szCs w:val="22"/>
              </w:rPr>
            </w:pPr>
            <w:r w:rsidRPr="00BD5DBD">
              <w:rPr>
                <w:i/>
                <w:szCs w:val="22"/>
              </w:rPr>
              <w:t>Dose form:</w:t>
            </w:r>
          </w:p>
        </w:tc>
        <w:tc>
          <w:tcPr>
            <w:tcW w:w="3423" w:type="pct"/>
          </w:tcPr>
          <w:p w14:paraId="768B254C" w14:textId="54240D42" w:rsidR="00324B33" w:rsidRPr="00BD5DBD" w:rsidRDefault="003E77FC" w:rsidP="007452E8">
            <w:pPr>
              <w:rPr>
                <w:szCs w:val="22"/>
              </w:rPr>
            </w:pPr>
            <w:r>
              <w:rPr>
                <w:szCs w:val="22"/>
              </w:rPr>
              <w:t>Powder for suspension</w:t>
            </w:r>
          </w:p>
        </w:tc>
      </w:tr>
      <w:tr w:rsidR="00324B33" w:rsidRPr="00BD5DBD" w14:paraId="115243E6" w14:textId="77777777" w:rsidTr="00F865A7">
        <w:tc>
          <w:tcPr>
            <w:tcW w:w="1577" w:type="pct"/>
          </w:tcPr>
          <w:p w14:paraId="7634B062" w14:textId="01A9AC61" w:rsidR="00324B33" w:rsidRPr="00BD5DBD" w:rsidRDefault="00324B33" w:rsidP="007452E8">
            <w:pPr>
              <w:rPr>
                <w:i/>
                <w:szCs w:val="22"/>
              </w:rPr>
            </w:pPr>
            <w:r w:rsidRPr="00BD5DBD">
              <w:rPr>
                <w:i/>
                <w:szCs w:val="22"/>
              </w:rPr>
              <w:t>Strength:</w:t>
            </w:r>
          </w:p>
        </w:tc>
        <w:tc>
          <w:tcPr>
            <w:tcW w:w="3423" w:type="pct"/>
          </w:tcPr>
          <w:p w14:paraId="5E5F83DB" w14:textId="096B367A" w:rsidR="00324B33" w:rsidRPr="00BD5DBD" w:rsidRDefault="00236FEC" w:rsidP="00236FEC">
            <w:pPr>
              <w:pStyle w:val="Default"/>
              <w:rPr>
                <w:szCs w:val="22"/>
              </w:rPr>
            </w:pPr>
            <w:r>
              <w:rPr>
                <w:rFonts w:cstheme="minorBidi"/>
                <w:color w:val="auto"/>
                <w:sz w:val="22"/>
                <w:szCs w:val="22"/>
              </w:rPr>
              <w:t>4 </w:t>
            </w:r>
            <w:r w:rsidR="00DC59FC">
              <w:t>×</w:t>
            </w:r>
            <w:r>
              <w:rPr>
                <w:rFonts w:cstheme="minorBidi"/>
                <w:color w:val="auto"/>
                <w:sz w:val="22"/>
                <w:szCs w:val="22"/>
              </w:rPr>
              <w:t> </w:t>
            </w:r>
            <w:r w:rsidRPr="00236FEC">
              <w:rPr>
                <w:rFonts w:cstheme="minorBidi"/>
                <w:color w:val="auto"/>
                <w:sz w:val="22"/>
                <w:szCs w:val="22"/>
              </w:rPr>
              <w:t>10</w:t>
            </w:r>
            <w:r w:rsidRPr="00236FEC">
              <w:rPr>
                <w:rFonts w:cstheme="minorBidi"/>
                <w:color w:val="auto"/>
                <w:sz w:val="22"/>
                <w:szCs w:val="22"/>
                <w:vertAlign w:val="superscript"/>
              </w:rPr>
              <w:t>8</w:t>
            </w:r>
            <w:r w:rsidRPr="00236FEC">
              <w:rPr>
                <w:rFonts w:cstheme="minorBidi"/>
                <w:color w:val="auto"/>
                <w:sz w:val="22"/>
                <w:szCs w:val="22"/>
              </w:rPr>
              <w:t xml:space="preserve"> to 2</w:t>
            </w:r>
            <w:r>
              <w:rPr>
                <w:rFonts w:cstheme="minorBidi"/>
                <w:color w:val="auto"/>
                <w:sz w:val="22"/>
                <w:szCs w:val="22"/>
              </w:rPr>
              <w:t> </w:t>
            </w:r>
            <w:r w:rsidR="00DC59FC">
              <w:t>×</w:t>
            </w:r>
            <w:r>
              <w:rPr>
                <w:rFonts w:cstheme="minorBidi"/>
                <w:color w:val="auto"/>
                <w:sz w:val="22"/>
                <w:szCs w:val="22"/>
              </w:rPr>
              <w:t> </w:t>
            </w:r>
            <w:r w:rsidRPr="00236FEC">
              <w:rPr>
                <w:rFonts w:cstheme="minorBidi"/>
                <w:color w:val="auto"/>
                <w:sz w:val="22"/>
                <w:szCs w:val="22"/>
              </w:rPr>
              <w:t>10</w:t>
            </w:r>
            <w:r w:rsidRPr="00236FEC">
              <w:rPr>
                <w:rFonts w:cstheme="minorBidi"/>
                <w:color w:val="auto"/>
                <w:sz w:val="22"/>
                <w:szCs w:val="22"/>
                <w:vertAlign w:val="superscript"/>
              </w:rPr>
              <w:t>9</w:t>
            </w:r>
            <w:r w:rsidRPr="00236FEC">
              <w:rPr>
                <w:rFonts w:cstheme="minorBidi"/>
                <w:color w:val="auto"/>
                <w:sz w:val="22"/>
                <w:szCs w:val="22"/>
              </w:rPr>
              <w:t xml:space="preserve"> </w:t>
            </w:r>
            <w:r>
              <w:rPr>
                <w:rFonts w:cstheme="minorBidi"/>
                <w:color w:val="auto"/>
                <w:sz w:val="22"/>
                <w:szCs w:val="22"/>
              </w:rPr>
              <w:t>colony forming units</w:t>
            </w:r>
            <w:r w:rsidR="00904939">
              <w:rPr>
                <w:rFonts w:cstheme="minorBidi"/>
                <w:color w:val="auto"/>
                <w:sz w:val="22"/>
                <w:szCs w:val="22"/>
              </w:rPr>
              <w:t xml:space="preserve"> (CFU)</w:t>
            </w:r>
          </w:p>
        </w:tc>
      </w:tr>
      <w:tr w:rsidR="00324B33" w:rsidRPr="00BD5DBD" w14:paraId="34B07BA6" w14:textId="77777777" w:rsidTr="00F865A7">
        <w:tc>
          <w:tcPr>
            <w:tcW w:w="1577" w:type="pct"/>
          </w:tcPr>
          <w:p w14:paraId="1C039224" w14:textId="78AD14AE" w:rsidR="00324B33" w:rsidRPr="00BD5DBD" w:rsidRDefault="00324B33" w:rsidP="007452E8">
            <w:pPr>
              <w:rPr>
                <w:i/>
                <w:szCs w:val="22"/>
              </w:rPr>
            </w:pPr>
            <w:r w:rsidRPr="00BD5DBD">
              <w:rPr>
                <w:i/>
                <w:szCs w:val="22"/>
              </w:rPr>
              <w:t>Container:</w:t>
            </w:r>
          </w:p>
        </w:tc>
        <w:tc>
          <w:tcPr>
            <w:tcW w:w="3423" w:type="pct"/>
          </w:tcPr>
          <w:p w14:paraId="500A42C6" w14:textId="223CBE28" w:rsidR="00324B33" w:rsidRPr="00BD5DBD" w:rsidRDefault="003E77FC" w:rsidP="007452E8">
            <w:pPr>
              <w:rPr>
                <w:szCs w:val="22"/>
              </w:rPr>
            </w:pPr>
            <w:r>
              <w:rPr>
                <w:szCs w:val="22"/>
              </w:rPr>
              <w:t>Sachet</w:t>
            </w:r>
          </w:p>
        </w:tc>
      </w:tr>
      <w:tr w:rsidR="00324B33" w:rsidRPr="00BD5DBD" w14:paraId="176B6773" w14:textId="77777777" w:rsidTr="00F865A7">
        <w:tc>
          <w:tcPr>
            <w:tcW w:w="1577" w:type="pct"/>
          </w:tcPr>
          <w:p w14:paraId="71846159" w14:textId="2798F42B" w:rsidR="00324B33" w:rsidRPr="00BD5DBD" w:rsidRDefault="00324B33" w:rsidP="007A409B">
            <w:pPr>
              <w:rPr>
                <w:i/>
                <w:szCs w:val="22"/>
              </w:rPr>
            </w:pPr>
            <w:r w:rsidRPr="00BD5DBD">
              <w:rPr>
                <w:i/>
                <w:szCs w:val="22"/>
              </w:rPr>
              <w:t>Pack sizes:</w:t>
            </w:r>
          </w:p>
        </w:tc>
        <w:tc>
          <w:tcPr>
            <w:tcW w:w="3423" w:type="pct"/>
          </w:tcPr>
          <w:p w14:paraId="7E978F8F" w14:textId="73353663" w:rsidR="00324B33" w:rsidRPr="00BD5DBD" w:rsidRDefault="00A27BF4" w:rsidP="007A409B">
            <w:pPr>
              <w:pStyle w:val="Default"/>
              <w:spacing w:after="120"/>
              <w:rPr>
                <w:szCs w:val="22"/>
              </w:rPr>
            </w:pPr>
            <w:r>
              <w:rPr>
                <w:rFonts w:cstheme="minorBidi"/>
                <w:color w:val="auto"/>
                <w:sz w:val="22"/>
                <w:szCs w:val="22"/>
              </w:rPr>
              <w:t>Each c</w:t>
            </w:r>
            <w:r w:rsidRPr="00A27BF4">
              <w:rPr>
                <w:rFonts w:cstheme="minorBidi"/>
                <w:color w:val="auto"/>
                <w:sz w:val="22"/>
                <w:szCs w:val="22"/>
              </w:rPr>
              <w:t>arton contain</w:t>
            </w:r>
            <w:r>
              <w:rPr>
                <w:rFonts w:cstheme="minorBidi"/>
                <w:color w:val="auto"/>
                <w:sz w:val="22"/>
                <w:szCs w:val="22"/>
              </w:rPr>
              <w:t>s</w:t>
            </w:r>
            <w:r w:rsidRPr="00A27BF4">
              <w:rPr>
                <w:rFonts w:cstheme="minorBidi"/>
                <w:color w:val="auto"/>
                <w:sz w:val="22"/>
                <w:szCs w:val="22"/>
              </w:rPr>
              <w:t xml:space="preserve"> one active ingredient sachet (2</w:t>
            </w:r>
            <w:r>
              <w:rPr>
                <w:rFonts w:cstheme="minorBidi"/>
                <w:color w:val="auto"/>
                <w:sz w:val="22"/>
                <w:szCs w:val="22"/>
              </w:rPr>
              <w:t> </w:t>
            </w:r>
            <w:r w:rsidRPr="00A27BF4">
              <w:rPr>
                <w:rFonts w:cstheme="minorBidi"/>
                <w:color w:val="auto"/>
                <w:sz w:val="22"/>
                <w:szCs w:val="22"/>
              </w:rPr>
              <w:t>g of powder for suspension</w:t>
            </w:r>
            <w:r>
              <w:rPr>
                <w:rFonts w:cstheme="minorBidi"/>
                <w:color w:val="auto"/>
                <w:sz w:val="22"/>
                <w:szCs w:val="22"/>
              </w:rPr>
              <w:t xml:space="preserve">) and </w:t>
            </w:r>
            <w:r w:rsidRPr="00A27BF4">
              <w:rPr>
                <w:rFonts w:cstheme="minorBidi"/>
                <w:color w:val="auto"/>
                <w:sz w:val="22"/>
                <w:szCs w:val="22"/>
              </w:rPr>
              <w:t>one buffer sachet (</w:t>
            </w:r>
            <w:r>
              <w:rPr>
                <w:sz w:val="22"/>
                <w:szCs w:val="22"/>
              </w:rPr>
              <w:t>4.5 g of effervescent powder).</w:t>
            </w:r>
          </w:p>
        </w:tc>
      </w:tr>
      <w:tr w:rsidR="00324B33" w:rsidRPr="00BD5DBD" w14:paraId="19A2544A" w14:textId="77777777" w:rsidTr="00F865A7">
        <w:tc>
          <w:tcPr>
            <w:tcW w:w="1577" w:type="pct"/>
          </w:tcPr>
          <w:p w14:paraId="0E6C5C0E" w14:textId="7DB3FC66" w:rsidR="00324B33" w:rsidRPr="00BD5DBD" w:rsidRDefault="00324B33" w:rsidP="007A409B">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498BEA3" w:rsidR="003B28E9" w:rsidRPr="00BD5DBD" w:rsidRDefault="003B28E9" w:rsidP="007A409B">
            <w:pPr>
              <w:pStyle w:val="Default"/>
              <w:spacing w:after="120"/>
              <w:rPr>
                <w:szCs w:val="22"/>
              </w:rPr>
            </w:pPr>
            <w:proofErr w:type="spellStart"/>
            <w:r>
              <w:rPr>
                <w:i/>
                <w:iCs/>
                <w:sz w:val="22"/>
                <w:szCs w:val="22"/>
              </w:rPr>
              <w:t>V</w:t>
            </w:r>
            <w:r w:rsidR="00236FEC">
              <w:rPr>
                <w:i/>
                <w:iCs/>
                <w:sz w:val="22"/>
                <w:szCs w:val="22"/>
              </w:rPr>
              <w:t>axchora</w:t>
            </w:r>
            <w:proofErr w:type="spellEnd"/>
            <w:r>
              <w:rPr>
                <w:i/>
                <w:iCs/>
                <w:sz w:val="22"/>
                <w:szCs w:val="22"/>
              </w:rPr>
              <w:t xml:space="preserve"> vaccine is indicated for active immunisation against disease caused by Vibrio cholerae serogroup O1 in adults and children aged 2 years and older travelling to cholera-affected countries. </w:t>
            </w:r>
            <w:proofErr w:type="spellStart"/>
            <w:r>
              <w:rPr>
                <w:i/>
                <w:iCs/>
                <w:sz w:val="22"/>
                <w:szCs w:val="22"/>
              </w:rPr>
              <w:t>V</w:t>
            </w:r>
            <w:r w:rsidR="00236FEC">
              <w:rPr>
                <w:i/>
                <w:iCs/>
                <w:sz w:val="22"/>
                <w:szCs w:val="22"/>
              </w:rPr>
              <w:t>axchora</w:t>
            </w:r>
            <w:proofErr w:type="spellEnd"/>
            <w:r>
              <w:rPr>
                <w:i/>
                <w:iCs/>
                <w:sz w:val="22"/>
                <w:szCs w:val="22"/>
              </w:rPr>
              <w:t xml:space="preserve"> vaccine should be used in accordance with official recommendations.</w:t>
            </w:r>
            <w:r w:rsidR="006016C8">
              <w:rPr>
                <w:i/>
                <w:iCs/>
                <w:sz w:val="22"/>
                <w:szCs w:val="22"/>
              </w:rPr>
              <w:t xml:space="preserve"> </w:t>
            </w:r>
            <w:r>
              <w:rPr>
                <w:i/>
                <w:iCs/>
                <w:sz w:val="22"/>
                <w:szCs w:val="22"/>
              </w:rPr>
              <w:t>The vaccine should not replace standard preventive hygiene measures.</w:t>
            </w:r>
          </w:p>
        </w:tc>
      </w:tr>
      <w:tr w:rsidR="00324B33" w:rsidRPr="00BD5DBD" w14:paraId="5AFDEED3" w14:textId="77777777" w:rsidTr="00F865A7">
        <w:tc>
          <w:tcPr>
            <w:tcW w:w="1577" w:type="pct"/>
          </w:tcPr>
          <w:p w14:paraId="03884BD1" w14:textId="5E6589BD" w:rsidR="00324B33" w:rsidRPr="00BD5DBD" w:rsidRDefault="00324B33" w:rsidP="007452E8">
            <w:pPr>
              <w:rPr>
                <w:i/>
                <w:szCs w:val="22"/>
              </w:rPr>
            </w:pPr>
            <w:r w:rsidRPr="00BD5DBD">
              <w:rPr>
                <w:i/>
                <w:szCs w:val="22"/>
              </w:rPr>
              <w:t>Route of administration:</w:t>
            </w:r>
          </w:p>
        </w:tc>
        <w:tc>
          <w:tcPr>
            <w:tcW w:w="3423" w:type="pct"/>
          </w:tcPr>
          <w:p w14:paraId="1ED1357E" w14:textId="2F017B71" w:rsidR="00324B33" w:rsidRPr="00BD5DBD" w:rsidRDefault="008F2173"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46B144" w14:textId="47220297" w:rsidR="00324B33" w:rsidRDefault="00EC3CCB" w:rsidP="00BC5DBE">
            <w:r w:rsidRPr="00EC3CCB">
              <w:t>Adults and children aged 2 years and older:</w:t>
            </w:r>
            <w:r w:rsidR="00BC5DBE">
              <w:t xml:space="preserve"> </w:t>
            </w:r>
            <w:r>
              <w:t>A single oral dose should be administered at least 10 days prior to potential exposure to cholera.</w:t>
            </w:r>
          </w:p>
          <w:p w14:paraId="2B0A9046" w14:textId="6E08F6EA" w:rsidR="00BC5DBE" w:rsidRPr="00BD5DBD" w:rsidRDefault="00BC5DBE" w:rsidP="00BC5DBE">
            <w:r>
              <w:t>The safety and effectiveness of revaccination with VAXCHORA vaccine have not been established.</w:t>
            </w:r>
          </w:p>
          <w:p w14:paraId="3D0B2D5C" w14:textId="10ACC490" w:rsidR="00324B33" w:rsidRPr="00BD5DBD" w:rsidRDefault="00324B33" w:rsidP="00BC5DBE">
            <w:r w:rsidRPr="00BD5DBD">
              <w:t xml:space="preserve">For further information regarding </w:t>
            </w:r>
            <w:r w:rsidR="00BC5DBE">
              <w:t xml:space="preserve">preparation for use, </w:t>
            </w:r>
            <w:r w:rsidRPr="00BD5DBD">
              <w:t>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60B6BA2E" w14:textId="77777777" w:rsidR="005A3550" w:rsidRDefault="005A3550" w:rsidP="007452E8">
            <w:pPr>
              <w:rPr>
                <w:szCs w:val="22"/>
              </w:rPr>
            </w:pPr>
            <w:r>
              <w:rPr>
                <w:szCs w:val="22"/>
              </w:rPr>
              <w:t>B2</w:t>
            </w:r>
          </w:p>
          <w:p w14:paraId="54BE3997" w14:textId="77777777" w:rsidR="00E46038" w:rsidRPr="00E46038" w:rsidRDefault="00E46038" w:rsidP="00E46038">
            <w:pPr>
              <w:pStyle w:val="NormalWeb"/>
              <w:shd w:val="clear" w:color="auto" w:fill="FFFFFF"/>
              <w:rPr>
                <w:rFonts w:ascii="Cambria" w:eastAsiaTheme="minorHAnsi" w:hAnsi="Cambria" w:cstheme="minorBidi"/>
                <w:sz w:val="22"/>
                <w:szCs w:val="22"/>
                <w:lang w:eastAsia="en-US"/>
              </w:rPr>
            </w:pPr>
            <w:r w:rsidRPr="00E46038">
              <w:rPr>
                <w:rFonts w:ascii="Cambria" w:eastAsiaTheme="minorHAnsi" w:hAnsi="Cambria" w:cstheme="minorBidi"/>
                <w:sz w:val="22"/>
                <w:szCs w:val="22"/>
                <w:lang w:eastAsia="en-US"/>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E46038">
              <w:rPr>
                <w:rFonts w:ascii="Cambria" w:eastAsiaTheme="minorHAnsi" w:hAnsi="Cambria" w:cstheme="minorBidi"/>
                <w:sz w:val="22"/>
                <w:szCs w:val="22"/>
                <w:lang w:eastAsia="en-US"/>
              </w:rPr>
              <w:t>fetus</w:t>
            </w:r>
            <w:proofErr w:type="spellEnd"/>
            <w:r w:rsidRPr="00E46038">
              <w:rPr>
                <w:rFonts w:ascii="Cambria" w:eastAsiaTheme="minorHAnsi" w:hAnsi="Cambria" w:cstheme="minorBidi"/>
                <w:sz w:val="22"/>
                <w:szCs w:val="22"/>
                <w:lang w:eastAsia="en-US"/>
              </w:rPr>
              <w:t xml:space="preserve"> having been observed.</w:t>
            </w:r>
          </w:p>
          <w:p w14:paraId="20B42E6C" w14:textId="77777777" w:rsidR="00E46038" w:rsidRPr="00E46038" w:rsidRDefault="00E46038" w:rsidP="00E46038">
            <w:pPr>
              <w:pStyle w:val="NormalWeb"/>
              <w:shd w:val="clear" w:color="auto" w:fill="FFFFFF"/>
              <w:rPr>
                <w:rFonts w:ascii="Cambria" w:eastAsiaTheme="minorHAnsi" w:hAnsi="Cambria" w:cstheme="minorBidi"/>
                <w:sz w:val="22"/>
                <w:szCs w:val="22"/>
                <w:lang w:eastAsia="en-US"/>
              </w:rPr>
            </w:pPr>
            <w:r w:rsidRPr="00E46038">
              <w:rPr>
                <w:rFonts w:ascii="Cambria" w:eastAsiaTheme="minorHAnsi" w:hAnsi="Cambria" w:cstheme="minorBidi"/>
                <w:sz w:val="22"/>
                <w:szCs w:val="22"/>
                <w:lang w:eastAsia="en-US"/>
              </w:rPr>
              <w:t xml:space="preserve">Studies in animals are inadequate or may be lacking, but available data show no evidence of an increased occurrence of </w:t>
            </w:r>
            <w:proofErr w:type="spellStart"/>
            <w:r w:rsidRPr="00E46038">
              <w:rPr>
                <w:rFonts w:ascii="Cambria" w:eastAsiaTheme="minorHAnsi" w:hAnsi="Cambria" w:cstheme="minorBidi"/>
                <w:sz w:val="22"/>
                <w:szCs w:val="22"/>
                <w:lang w:eastAsia="en-US"/>
              </w:rPr>
              <w:t>fetal</w:t>
            </w:r>
            <w:proofErr w:type="spellEnd"/>
            <w:r w:rsidRPr="00E46038">
              <w:rPr>
                <w:rFonts w:ascii="Cambria" w:eastAsiaTheme="minorHAnsi" w:hAnsi="Cambria" w:cstheme="minorBidi"/>
                <w:sz w:val="22"/>
                <w:szCs w:val="22"/>
                <w:lang w:eastAsia="en-US"/>
              </w:rPr>
              <w:t xml:space="preserve"> damage.</w:t>
            </w:r>
          </w:p>
          <w:p w14:paraId="5E2AA3D6" w14:textId="69F6E1AF" w:rsidR="00324B33" w:rsidRPr="00BD5DBD" w:rsidRDefault="00324B33" w:rsidP="00E46038">
            <w:pPr>
              <w:rPr>
                <w:szCs w:val="22"/>
              </w:rPr>
            </w:pPr>
            <w:r w:rsidRPr="00BD5DBD">
              <w:rPr>
                <w:szCs w:val="22"/>
              </w:rPr>
              <w:t>The use of any medicine during pregnancy requires careful consideration of both risks and benefits by the treating health professional. Th</w:t>
            </w:r>
            <w:r w:rsidR="00BB1216">
              <w:rPr>
                <w:szCs w:val="22"/>
              </w:rPr>
              <w:t>e</w:t>
            </w:r>
            <w:r w:rsidRPr="00BD5DBD">
              <w:rPr>
                <w:szCs w:val="22"/>
              </w:rPr>
              <w:t xml:space="preserve"> </w:t>
            </w:r>
            <w:hyperlink r:id="rId16" w:history="1">
              <w:r w:rsidR="00BB1216" w:rsidRPr="00065FDF">
                <w:rPr>
                  <w:rStyle w:val="Hyperlink"/>
                  <w:szCs w:val="22"/>
                </w:rPr>
                <w:t>pregnancy database</w:t>
              </w:r>
            </w:hyperlink>
            <w:r w:rsidR="00BB1216">
              <w:rPr>
                <w:rStyle w:val="Hyperlink"/>
                <w:szCs w:val="22"/>
              </w:rP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00E34C65" w:rsidRPr="00C059D0">
                <w:rPr>
                  <w:rStyle w:val="Hyperlink"/>
                  <w:szCs w:val="22"/>
                </w:rPr>
                <w:t>obstetric drug information services</w:t>
              </w:r>
            </w:hyperlink>
            <w:r w:rsidRPr="00BD5DBD">
              <w:rPr>
                <w:szCs w:val="22"/>
              </w:rPr>
              <w:t xml:space="preserve"> in your </w:t>
            </w:r>
            <w:r w:rsidR="00E46038">
              <w:rPr>
                <w:szCs w:val="22"/>
              </w:rPr>
              <w:t>s</w:t>
            </w:r>
            <w:r w:rsidRPr="00BD5DBD">
              <w:rPr>
                <w:szCs w:val="22"/>
              </w:rPr>
              <w:t xml:space="preserve">tate or </w:t>
            </w:r>
            <w:r w:rsidR="00E46038">
              <w:rPr>
                <w:szCs w:val="22"/>
              </w:rPr>
              <w:t>t</w:t>
            </w:r>
            <w:r w:rsidRPr="00BD5DBD">
              <w:rPr>
                <w:szCs w:val="22"/>
              </w:rPr>
              <w:t>erritory.</w:t>
            </w:r>
          </w:p>
        </w:tc>
      </w:tr>
    </w:tbl>
    <w:p w14:paraId="51F2479F" w14:textId="77777777" w:rsidR="00324B33" w:rsidRDefault="00324B33" w:rsidP="00324B33">
      <w:pPr>
        <w:pStyle w:val="Heading3"/>
      </w:pPr>
      <w:bookmarkStart w:id="13" w:name="_Toc247691503"/>
      <w:bookmarkStart w:id="14" w:name="_Toc314842484"/>
      <w:bookmarkStart w:id="15" w:name="_Toc103679290"/>
      <w:bookmarkStart w:id="16" w:name="_Toc182833126"/>
      <w:r>
        <w:t>Product background</w:t>
      </w:r>
      <w:bookmarkEnd w:id="13"/>
      <w:bookmarkEnd w:id="14"/>
      <w:bookmarkEnd w:id="15"/>
      <w:bookmarkEnd w:id="16"/>
    </w:p>
    <w:p w14:paraId="56B27CF2" w14:textId="61E4D284" w:rsidR="00324B33" w:rsidRPr="00BD5DBD"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by </w:t>
      </w:r>
      <w:proofErr w:type="spellStart"/>
      <w:r w:rsidR="007A742C">
        <w:rPr>
          <w:szCs w:val="22"/>
        </w:rPr>
        <w:t>Biocelect</w:t>
      </w:r>
      <w:proofErr w:type="spellEnd"/>
      <w:r w:rsidR="007A742C">
        <w:rPr>
          <w:szCs w:val="22"/>
        </w:rPr>
        <w:t xml:space="preserve"> Pty Ltd</w:t>
      </w:r>
      <w:r w:rsidRPr="00BD5DBD">
        <w:rPr>
          <w:szCs w:val="22"/>
        </w:rPr>
        <w:t xml:space="preserve"> to register </w:t>
      </w:r>
      <w:proofErr w:type="spellStart"/>
      <w:r w:rsidR="007A742C" w:rsidRPr="00505694">
        <w:t>Vaxchora</w:t>
      </w:r>
      <w:proofErr w:type="spellEnd"/>
      <w:r w:rsidR="007A742C" w:rsidRPr="00505694">
        <w:t xml:space="preserve"> </w:t>
      </w:r>
      <w:r w:rsidR="007A742C">
        <w:t>(</w:t>
      </w:r>
      <w:r w:rsidR="007A742C" w:rsidRPr="00505694">
        <w:rPr>
          <w:i/>
          <w:iCs/>
        </w:rPr>
        <w:t>Vibrio cholerae</w:t>
      </w:r>
      <w:r w:rsidR="007A742C" w:rsidRPr="00505694">
        <w:t xml:space="preserve"> bacteria cells (CVD 103-HgR strain)</w:t>
      </w:r>
      <w:r w:rsidR="007A742C">
        <w:t>)</w:t>
      </w:r>
      <w:r w:rsidR="007A742C" w:rsidRPr="00505694">
        <w:t xml:space="preserve"> 4</w:t>
      </w:r>
      <w:r w:rsidR="007A742C">
        <w:t> </w:t>
      </w:r>
      <w:r w:rsidR="002A5E87">
        <w:t>×</w:t>
      </w:r>
      <w:r w:rsidR="007A742C">
        <w:t> </w:t>
      </w:r>
      <w:r w:rsidR="007A742C" w:rsidRPr="00505694">
        <w:t>10</w:t>
      </w:r>
      <w:r w:rsidR="007A742C" w:rsidRPr="00E317A8">
        <w:rPr>
          <w:vertAlign w:val="superscript"/>
        </w:rPr>
        <w:t>8</w:t>
      </w:r>
      <w:r w:rsidR="007A742C" w:rsidRPr="00505694">
        <w:t xml:space="preserve"> to 2</w:t>
      </w:r>
      <w:r w:rsidR="007A742C">
        <w:t> </w:t>
      </w:r>
      <w:r w:rsidR="002A5E87">
        <w:t>×</w:t>
      </w:r>
      <w:r w:rsidR="007A742C">
        <w:t> </w:t>
      </w:r>
      <w:r w:rsidR="007A742C" w:rsidRPr="00505694">
        <w:t>10</w:t>
      </w:r>
      <w:r w:rsidR="007A742C" w:rsidRPr="00E317A8">
        <w:rPr>
          <w:vertAlign w:val="superscript"/>
        </w:rPr>
        <w:t>9</w:t>
      </w:r>
      <w:r w:rsidR="007A742C" w:rsidRPr="00505694">
        <w:t xml:space="preserve"> CFU </w:t>
      </w:r>
      <w:r w:rsidR="007A742C">
        <w:t xml:space="preserve">powder for </w:t>
      </w:r>
      <w:r w:rsidR="007A742C" w:rsidRPr="00505694">
        <w:t>suspension</w:t>
      </w:r>
      <w:r w:rsidR="007A742C">
        <w:t xml:space="preserve"> in </w:t>
      </w:r>
      <w:r w:rsidR="007A742C" w:rsidRPr="00505694">
        <w:t>sachet</w:t>
      </w:r>
      <w:r w:rsidR="007A742C">
        <w:t>s</w:t>
      </w:r>
      <w:r w:rsidR="007A742C" w:rsidRPr="00BD5DBD">
        <w:t xml:space="preserve">, </w:t>
      </w:r>
      <w:r w:rsidRPr="00BD5DBD">
        <w:rPr>
          <w:szCs w:val="22"/>
        </w:rPr>
        <w:t>for the following proposed indication:</w:t>
      </w:r>
      <w:r w:rsidR="00D63760" w:rsidRPr="00BD5DBD">
        <w:rPr>
          <w:rStyle w:val="FootnoteReference"/>
          <w:szCs w:val="22"/>
        </w:rPr>
        <w:footnoteReference w:id="1"/>
      </w:r>
    </w:p>
    <w:p w14:paraId="1870361E" w14:textId="01A46743" w:rsidR="00324B33" w:rsidRPr="00DD46E2" w:rsidRDefault="00332BD0" w:rsidP="00DD46E2">
      <w:pPr>
        <w:ind w:left="720"/>
        <w:rPr>
          <w:i/>
          <w:iCs/>
        </w:rPr>
      </w:pPr>
      <w:r w:rsidRPr="00DD46E2">
        <w:rPr>
          <w:i/>
          <w:iCs/>
        </w:rPr>
        <w:t>Active immunisation against disease caused by Vibrio cholerae serogroup O1 in adults and children aged 2 years and older.</w:t>
      </w:r>
    </w:p>
    <w:p w14:paraId="6156BD8E" w14:textId="77777777" w:rsidR="002B7E82" w:rsidRPr="002B7E82" w:rsidRDefault="002B7E82" w:rsidP="002B7E82">
      <w:pPr>
        <w:pStyle w:val="Heading4"/>
      </w:pPr>
      <w:bookmarkStart w:id="17" w:name="_Toc182833127"/>
      <w:r w:rsidRPr="002B7E82">
        <w:t>Condition</w:t>
      </w:r>
      <w:bookmarkEnd w:id="17"/>
    </w:p>
    <w:p w14:paraId="57B2D61D" w14:textId="0C7DDB9F" w:rsidR="002B7E82" w:rsidRDefault="002B7E82" w:rsidP="002B7E82">
      <w:r w:rsidRPr="004D1173">
        <w:rPr>
          <w:i/>
          <w:iCs/>
        </w:rPr>
        <w:t>V</w:t>
      </w:r>
      <w:r w:rsidR="00753E01" w:rsidRPr="004D1173">
        <w:rPr>
          <w:i/>
          <w:iCs/>
        </w:rPr>
        <w:t>ibrio</w:t>
      </w:r>
      <w:r w:rsidRPr="004D1173">
        <w:rPr>
          <w:i/>
          <w:iCs/>
        </w:rPr>
        <w:t xml:space="preserve"> cholerae</w:t>
      </w:r>
      <w:r w:rsidRPr="004D1173">
        <w:t xml:space="preserve"> </w:t>
      </w:r>
      <w:r w:rsidR="00DE7667" w:rsidRPr="004D1173">
        <w:t>O</w:t>
      </w:r>
      <w:r w:rsidRPr="004D1173">
        <w:t>1 and 0139 strains are found in the faeces of infected people and are spread by</w:t>
      </w:r>
      <w:r>
        <w:t xml:space="preserve"> drinking contaminated water, eating food washed with contaminated water or prepared with soiled hands, or eating fish or shellfish caught in contaminated water. Person-to-person spread is reported but is much less common. The clinical manifestation of the infection is cholera, a potentially life-threatening, diarrhoeal disease, the result of the potent oligomeric cholera toxin that the bacteria produce in the small intestine.</w:t>
      </w:r>
    </w:p>
    <w:p w14:paraId="02CCF519" w14:textId="64D66FDE" w:rsidR="002B7E82" w:rsidRDefault="002B7E82" w:rsidP="002B7E82">
      <w:r w:rsidRPr="00F14A35">
        <w:t>Death rates in untreated patients with severe cholera can exceed 70%</w:t>
      </w:r>
      <w:r w:rsidR="001E5EDF">
        <w:t>.</w:t>
      </w:r>
      <w:r w:rsidR="006D4250">
        <w:rPr>
          <w:rStyle w:val="FootnoteReference"/>
        </w:rPr>
        <w:footnoteReference w:id="2"/>
      </w:r>
      <w:r w:rsidRPr="00F14A35">
        <w:t xml:space="preserve"> Children under </w:t>
      </w:r>
      <w:r w:rsidR="00F75164">
        <w:t>5 years of age</w:t>
      </w:r>
      <w:r w:rsidRPr="00F14A35">
        <w:t xml:space="preserve"> have the highest incidence of cholera and contribute to almost half of the mortality</w:t>
      </w:r>
      <w:r w:rsidR="001E5EDF">
        <w:t>.</w:t>
      </w:r>
      <w:r w:rsidR="001E5EDF">
        <w:rPr>
          <w:rStyle w:val="FootnoteReference"/>
        </w:rPr>
        <w:footnoteReference w:id="3"/>
      </w:r>
    </w:p>
    <w:p w14:paraId="0BE37C67" w14:textId="32E464A4" w:rsidR="002B7E82" w:rsidRDefault="002B7E82" w:rsidP="00406874">
      <w:r w:rsidRPr="004D1173">
        <w:rPr>
          <w:i/>
          <w:iCs/>
        </w:rPr>
        <w:t>V. cholerae</w:t>
      </w:r>
      <w:r w:rsidRPr="004D1173">
        <w:t xml:space="preserve"> O1 is classified by biotype (classical or El Tor) and is further divided into </w:t>
      </w:r>
      <w:r w:rsidR="003E41DB" w:rsidRPr="004D1173">
        <w:t>2</w:t>
      </w:r>
      <w:r w:rsidRPr="004D1173">
        <w:t xml:space="preserve"> main</w:t>
      </w:r>
      <w:r w:rsidRPr="008D2A85">
        <w:t xml:space="preserve"> serotypes, Inaba or Ogawa. Worldwide, </w:t>
      </w:r>
      <w:r w:rsidRPr="008D2A85">
        <w:rPr>
          <w:i/>
          <w:iCs/>
        </w:rPr>
        <w:t>V. cholerae</w:t>
      </w:r>
      <w:r w:rsidRPr="008D2A85">
        <w:t xml:space="preserve"> El Tor is currently the predominant </w:t>
      </w:r>
      <w:proofErr w:type="gramStart"/>
      <w:r w:rsidRPr="008D2A85">
        <w:t>biotype</w:t>
      </w:r>
      <w:proofErr w:type="gramEnd"/>
      <w:r w:rsidRPr="008D2A85">
        <w:t xml:space="preserve"> </w:t>
      </w:r>
      <w:r w:rsidRPr="008D2A85">
        <w:lastRenderedPageBreak/>
        <w:t>and the serotype varies over time and geography.</w:t>
      </w:r>
      <w:r>
        <w:t xml:space="preserve"> ‘H</w:t>
      </w:r>
      <w:r w:rsidRPr="008D2A85">
        <w:t>ybrid</w:t>
      </w:r>
      <w:r>
        <w:t>’</w:t>
      </w:r>
      <w:r w:rsidRPr="008D2A85">
        <w:t xml:space="preserve"> </w:t>
      </w:r>
      <w:r w:rsidRPr="008D2A85">
        <w:rPr>
          <w:i/>
          <w:iCs/>
        </w:rPr>
        <w:t>V. cholerae</w:t>
      </w:r>
      <w:r w:rsidRPr="008D2A85">
        <w:t xml:space="preserve"> O1 have emerged globally that are classified as El Tor biotype but express classical biotype cholera enterotoxin.</w:t>
      </w:r>
      <w:r>
        <w:t xml:space="preserve"> C</w:t>
      </w:r>
      <w:r w:rsidRPr="008D2A85">
        <w:t xml:space="preserve">holera due to </w:t>
      </w:r>
      <w:proofErr w:type="gramStart"/>
      <w:r w:rsidRPr="008D2A85">
        <w:t>these hybrid</w:t>
      </w:r>
      <w:proofErr w:type="gramEnd"/>
      <w:r w:rsidRPr="008D2A85">
        <w:t xml:space="preserve"> El Tor organisms is more severe than due to</w:t>
      </w:r>
      <w:r>
        <w:t xml:space="preserve"> the</w:t>
      </w:r>
      <w:r w:rsidRPr="008D2A85">
        <w:t xml:space="preserve"> El Tor strain that express El</w:t>
      </w:r>
      <w:r w:rsidR="007A409B">
        <w:t> </w:t>
      </w:r>
      <w:r w:rsidRPr="008D2A85">
        <w:t xml:space="preserve">Tor cholera toxin. Infections with O139 are currently rare and are found in </w:t>
      </w:r>
      <w:r>
        <w:t>only</w:t>
      </w:r>
      <w:r w:rsidRPr="008D2A85">
        <w:t xml:space="preserve"> a few areas of Asia</w:t>
      </w:r>
      <w:r>
        <w:t>.</w:t>
      </w:r>
    </w:p>
    <w:p w14:paraId="3128375D" w14:textId="77777777" w:rsidR="002B7E82" w:rsidRDefault="002B7E82" w:rsidP="002A4EAF">
      <w:pPr>
        <w:pStyle w:val="Heading5"/>
      </w:pPr>
      <w:r w:rsidRPr="00693AAD">
        <w:t>Epidemiology</w:t>
      </w:r>
    </w:p>
    <w:p w14:paraId="6EE0C13E" w14:textId="77777777" w:rsidR="002B7E82" w:rsidRDefault="002B7E82" w:rsidP="00406874">
      <w:r w:rsidRPr="00AC3F8C">
        <w:t>Cholera occurs in both endemic and epidemic patterns. It is endemic in many areas of Asia and Africa.</w:t>
      </w:r>
    </w:p>
    <w:p w14:paraId="3F6249A4" w14:textId="6227A9B1" w:rsidR="002B7E82" w:rsidRPr="00323544" w:rsidRDefault="002B7E82" w:rsidP="00693AAD">
      <w:r>
        <w:t xml:space="preserve">In Australia, approximately </w:t>
      </w:r>
      <w:r w:rsidRPr="005A10CE">
        <w:t>2</w:t>
      </w:r>
      <w:r w:rsidR="002A4EAF">
        <w:t xml:space="preserve"> to </w:t>
      </w:r>
      <w:r w:rsidRPr="005A10CE">
        <w:t>6 cases of cholera occur each year</w:t>
      </w:r>
      <w:r w:rsidR="004237A9">
        <w:t>,</w:t>
      </w:r>
      <w:r>
        <w:rPr>
          <w:rStyle w:val="FootnoteReference"/>
        </w:rPr>
        <w:footnoteReference w:id="4"/>
      </w:r>
      <w:r w:rsidRPr="005A10CE">
        <w:t xml:space="preserve"> and these are typically imported by Australians </w:t>
      </w:r>
      <w:r w:rsidR="007A409B">
        <w:t xml:space="preserve">returning </w:t>
      </w:r>
      <w:r w:rsidR="004237A9">
        <w:t>from</w:t>
      </w:r>
      <w:r w:rsidRPr="005A10CE">
        <w:t xml:space="preserve"> cholera endemic areas. A total of 19 cases of cholera were notified in Australia between 2011-2016</w:t>
      </w:r>
      <w:r w:rsidR="008757EB">
        <w:t>.</w:t>
      </w:r>
      <w:r>
        <w:rPr>
          <w:rStyle w:val="FootnoteReference"/>
        </w:rPr>
        <w:footnoteReference w:id="5"/>
      </w:r>
      <w:r>
        <w:t xml:space="preserve"> </w:t>
      </w:r>
      <w:r w:rsidRPr="00AC3F8C">
        <w:t xml:space="preserve">Australians of all ages, sex and race can contract the disease when travelling to </w:t>
      </w:r>
      <w:r>
        <w:t>p</w:t>
      </w:r>
      <w:r w:rsidRPr="00AC3F8C">
        <w:t>arts of Africa, Asia, South America, the Middle East and the Pacific Islands</w:t>
      </w:r>
      <w:r>
        <w:t>.</w:t>
      </w:r>
    </w:p>
    <w:p w14:paraId="38B00034" w14:textId="77777777" w:rsidR="002B7E82" w:rsidRDefault="002B7E82" w:rsidP="00693AAD">
      <w:pPr>
        <w:pStyle w:val="Heading4"/>
      </w:pPr>
      <w:bookmarkStart w:id="18" w:name="_Toc182833128"/>
      <w:r>
        <w:t xml:space="preserve">Current treatment </w:t>
      </w:r>
      <w:r w:rsidRPr="00693AAD">
        <w:t>options</w:t>
      </w:r>
      <w:bookmarkEnd w:id="18"/>
    </w:p>
    <w:p w14:paraId="68318B3B" w14:textId="374D7D64" w:rsidR="002B7E82" w:rsidRPr="00983CDB" w:rsidRDefault="002B7E82" w:rsidP="00693AAD">
      <w:r w:rsidRPr="000C0D5C">
        <w:t>There is currently one cholera vaccine registered in Australia</w:t>
      </w:r>
      <w:r w:rsidR="0058254C" w:rsidRPr="000C0D5C">
        <w:t xml:space="preserve">, </w:t>
      </w:r>
      <w:proofErr w:type="spellStart"/>
      <w:r w:rsidRPr="000C0D5C">
        <w:t>D</w:t>
      </w:r>
      <w:r w:rsidR="00710057">
        <w:t>ukoral</w:t>
      </w:r>
      <w:proofErr w:type="spellEnd"/>
      <w:r w:rsidR="006F5D04">
        <w:t xml:space="preserve">, </w:t>
      </w:r>
      <w:r w:rsidR="00AE3E66" w:rsidRPr="000C0D5C">
        <w:t xml:space="preserve">first registered in the </w:t>
      </w:r>
      <w:r w:rsidR="00AE3E66" w:rsidRPr="00D37401">
        <w:t xml:space="preserve">ARTG in </w:t>
      </w:r>
      <w:r w:rsidR="006F5D04" w:rsidRPr="00D37401">
        <w:t>2003</w:t>
      </w:r>
      <w:r w:rsidR="00AE3E66" w:rsidRPr="00D37401">
        <w:t xml:space="preserve">. </w:t>
      </w:r>
      <w:proofErr w:type="spellStart"/>
      <w:r w:rsidRPr="00D37401">
        <w:t>Dukoral</w:t>
      </w:r>
      <w:proofErr w:type="spellEnd"/>
      <w:r w:rsidRPr="00D37401">
        <w:t xml:space="preserve"> is an oral vaccine</w:t>
      </w:r>
      <w:r w:rsidR="00CB4E5A" w:rsidRPr="00D37401">
        <w:t xml:space="preserve"> containing</w:t>
      </w:r>
      <w:r w:rsidR="00E22D45">
        <w:t xml:space="preserve"> </w:t>
      </w:r>
      <w:r w:rsidRPr="00D37401">
        <w:t xml:space="preserve">inactivated whole-cell </w:t>
      </w:r>
      <w:r w:rsidRPr="00D37401">
        <w:rPr>
          <w:i/>
          <w:iCs/>
        </w:rPr>
        <w:t>V</w:t>
      </w:r>
      <w:r w:rsidR="007A409B">
        <w:rPr>
          <w:i/>
          <w:iCs/>
        </w:rPr>
        <w:t>. </w:t>
      </w:r>
      <w:r w:rsidRPr="00D37401">
        <w:rPr>
          <w:i/>
          <w:iCs/>
        </w:rPr>
        <w:t>cholerae</w:t>
      </w:r>
      <w:r w:rsidRPr="00D37401">
        <w:t xml:space="preserve"> O1</w:t>
      </w:r>
      <w:r w:rsidRPr="000C0D5C">
        <w:t xml:space="preserve"> </w:t>
      </w:r>
      <w:r w:rsidRPr="006F5F4C">
        <w:t>Inaba, Ogawa, classic and El Tor strains (31.25</w:t>
      </w:r>
      <w:r w:rsidR="006F5F4C" w:rsidRPr="006F5F4C">
        <w:t> </w:t>
      </w:r>
      <w:r w:rsidR="009E5A77">
        <w:t>×</w:t>
      </w:r>
      <w:r w:rsidR="006F5F4C" w:rsidRPr="006F5F4C">
        <w:t> </w:t>
      </w:r>
      <w:r w:rsidRPr="006F5F4C">
        <w:t>10</w:t>
      </w:r>
      <w:r w:rsidRPr="006F5F4C">
        <w:rPr>
          <w:vertAlign w:val="superscript"/>
        </w:rPr>
        <w:t>9</w:t>
      </w:r>
      <w:r w:rsidRPr="006F5F4C">
        <w:t xml:space="preserve"> vibrios of each)</w:t>
      </w:r>
      <w:r w:rsidR="00CB4E5A" w:rsidRPr="006F5F4C">
        <w:t xml:space="preserve"> and </w:t>
      </w:r>
      <w:r w:rsidRPr="006F5F4C">
        <w:t>1.0</w:t>
      </w:r>
      <w:r w:rsidR="00CB4E5A" w:rsidRPr="006F5F4C">
        <w:t> </w:t>
      </w:r>
      <w:r w:rsidRPr="006F5F4C">
        <w:t>mg recombinant</w:t>
      </w:r>
      <w:r w:rsidRPr="000C0D5C">
        <w:t xml:space="preserve"> cholera toxin B subunit</w:t>
      </w:r>
      <w:r w:rsidR="00CB4E5A" w:rsidRPr="000C0D5C">
        <w:t xml:space="preserve">. </w:t>
      </w:r>
      <w:r w:rsidR="00664F0E" w:rsidRPr="000C0D5C">
        <w:t xml:space="preserve">It is </w:t>
      </w:r>
      <w:r w:rsidRPr="000C0D5C">
        <w:t xml:space="preserve">indicated for the prevention of cholera caused by serogroup O1 </w:t>
      </w:r>
      <w:r w:rsidRPr="003D0069">
        <w:rPr>
          <w:i/>
          <w:iCs/>
        </w:rPr>
        <w:t>V</w:t>
      </w:r>
      <w:r w:rsidR="003D0069">
        <w:rPr>
          <w:i/>
          <w:iCs/>
        </w:rPr>
        <w:t>. </w:t>
      </w:r>
      <w:r w:rsidRPr="003D0069">
        <w:rPr>
          <w:i/>
          <w:iCs/>
        </w:rPr>
        <w:t>cholerae</w:t>
      </w:r>
      <w:r w:rsidR="00270404" w:rsidRPr="000C0D5C">
        <w:t xml:space="preserve">, for </w:t>
      </w:r>
      <w:r w:rsidRPr="000C0D5C">
        <w:t xml:space="preserve">adults and children from </w:t>
      </w:r>
      <w:r w:rsidR="00270404" w:rsidRPr="000C0D5C">
        <w:t>2</w:t>
      </w:r>
      <w:r w:rsidRPr="000C0D5C">
        <w:t xml:space="preserve"> years of age who will be visiting areas </w:t>
      </w:r>
      <w:r w:rsidR="007A409B">
        <w:t xml:space="preserve">with </w:t>
      </w:r>
      <w:r w:rsidRPr="000C0D5C">
        <w:t>epidemic or endemic cholera and who are at high risk of infection.</w:t>
      </w:r>
      <w:r w:rsidRPr="000C0D5C">
        <w:rPr>
          <w:rStyle w:val="FootnoteReference"/>
        </w:rPr>
        <w:footnoteReference w:id="6"/>
      </w:r>
      <w:r w:rsidR="003D6E0F" w:rsidRPr="000C0D5C">
        <w:t xml:space="preserve"> The dosage regimen is </w:t>
      </w:r>
      <w:r w:rsidRPr="000C0D5C">
        <w:t>2</w:t>
      </w:r>
      <w:r w:rsidR="003D6E0F" w:rsidRPr="000C0D5C">
        <w:t> </w:t>
      </w:r>
      <w:r w:rsidRPr="000C0D5C">
        <w:t>doses for adults and children over the age of 6</w:t>
      </w:r>
      <w:r w:rsidR="003C0435">
        <w:t> years</w:t>
      </w:r>
      <w:r w:rsidR="003D6E0F" w:rsidRPr="000C0D5C">
        <w:t xml:space="preserve">, and </w:t>
      </w:r>
      <w:r w:rsidR="00E7025A" w:rsidRPr="000C0D5C">
        <w:t>3 doses for c</w:t>
      </w:r>
      <w:r w:rsidRPr="000C0D5C">
        <w:t>hildren from 2 to 6 years of age</w:t>
      </w:r>
      <w:r w:rsidR="00E7025A" w:rsidRPr="000C0D5C">
        <w:t>.</w:t>
      </w:r>
      <w:r w:rsidRPr="000C0D5C">
        <w:t xml:space="preserve"> </w:t>
      </w:r>
      <w:r w:rsidRPr="00983CDB">
        <w:t xml:space="preserve">Satisfactory protection against cholera can be expected about </w:t>
      </w:r>
      <w:r w:rsidR="000F0C67" w:rsidRPr="00983CDB">
        <w:t>2</w:t>
      </w:r>
      <w:r w:rsidRPr="00983CDB">
        <w:t xml:space="preserve"> weeks after completing the primary immunisation course.</w:t>
      </w:r>
      <w:r w:rsidR="000F0C67" w:rsidRPr="00983CDB">
        <w:t xml:space="preserve"> No clinical efficacy data ha</w:t>
      </w:r>
      <w:r w:rsidR="008A2977">
        <w:t>ve</w:t>
      </w:r>
      <w:r w:rsidR="000F0C67" w:rsidRPr="00983CDB">
        <w:t xml:space="preserve"> been generated on repeat booster dosing.</w:t>
      </w:r>
    </w:p>
    <w:p w14:paraId="73774CD3" w14:textId="00C81CA7" w:rsidR="002B7E82" w:rsidRPr="007910BE" w:rsidRDefault="003B2FA8" w:rsidP="007A409B">
      <w:pPr>
        <w:pStyle w:val="Heading4"/>
      </w:pPr>
      <w:bookmarkStart w:id="19" w:name="_Toc182833129"/>
      <w:r>
        <w:t>Clinical rationale</w:t>
      </w:r>
      <w:bookmarkEnd w:id="19"/>
    </w:p>
    <w:p w14:paraId="0A3EAE11" w14:textId="0A3E6D66" w:rsidR="002B7E82" w:rsidRDefault="002B7E82" w:rsidP="002B7E82">
      <w:proofErr w:type="spellStart"/>
      <w:r>
        <w:t>V</w:t>
      </w:r>
      <w:r w:rsidR="00397BEC">
        <w:t>axchora</w:t>
      </w:r>
      <w:proofErr w:type="spellEnd"/>
      <w:r w:rsidR="00397BEC">
        <w:t xml:space="preserve"> is a</w:t>
      </w:r>
      <w:r w:rsidRPr="00397BEC">
        <w:t xml:space="preserve"> live attenuated</w:t>
      </w:r>
      <w:r>
        <w:t xml:space="preserve"> bacterial vaccine. The formulation was largely adopted from the previously </w:t>
      </w:r>
      <w:bookmarkStart w:id="20" w:name="_Hlk138259816"/>
      <w:r>
        <w:t xml:space="preserve">marketed </w:t>
      </w:r>
      <w:bookmarkEnd w:id="20"/>
      <w:r>
        <w:t xml:space="preserve">live, attenuated cholera vaccine of the same CVD 103-HgR </w:t>
      </w:r>
      <w:r w:rsidRPr="008619F2">
        <w:rPr>
          <w:i/>
          <w:iCs/>
        </w:rPr>
        <w:t>V.</w:t>
      </w:r>
      <w:r w:rsidR="007A409B">
        <w:rPr>
          <w:i/>
          <w:iCs/>
        </w:rPr>
        <w:t> </w:t>
      </w:r>
      <w:r w:rsidRPr="008619F2">
        <w:rPr>
          <w:i/>
          <w:iCs/>
        </w:rPr>
        <w:t xml:space="preserve">cholerae </w:t>
      </w:r>
      <w:r>
        <w:t>strain.</w:t>
      </w:r>
      <w:r w:rsidR="007A409B">
        <w:t xml:space="preserve"> </w:t>
      </w:r>
      <w:r w:rsidRPr="00070A87">
        <w:t xml:space="preserve">The original commercial formulation of CVD 103-HgR, launched in 1993, was licensed under the trade name </w:t>
      </w:r>
      <w:proofErr w:type="spellStart"/>
      <w:r w:rsidRPr="00070A87">
        <w:t>Orochol</w:t>
      </w:r>
      <w:proofErr w:type="spellEnd"/>
      <w:r w:rsidRPr="00070A87">
        <w:t xml:space="preserve"> vaccine </w:t>
      </w:r>
      <w:r w:rsidR="008B4469" w:rsidRPr="00070A87">
        <w:t>i</w:t>
      </w:r>
      <w:r w:rsidRPr="00070A87">
        <w:t>n Australia</w:t>
      </w:r>
      <w:r w:rsidR="007A409B">
        <w:t>,</w:t>
      </w:r>
      <w:r w:rsidRPr="00070A87">
        <w:t xml:space="preserve"> for the </w:t>
      </w:r>
      <w:r w:rsidR="003A38FC">
        <w:t xml:space="preserve">active immunisation against disease caused by </w:t>
      </w:r>
      <w:r w:rsidR="003A38FC" w:rsidRPr="003A38FC">
        <w:rPr>
          <w:i/>
          <w:iCs/>
        </w:rPr>
        <w:t>V. cholerae</w:t>
      </w:r>
      <w:r w:rsidR="003A38FC">
        <w:t xml:space="preserve"> O1 in travellers to cholera endemic area.</w:t>
      </w:r>
      <w:r w:rsidRPr="00070A87">
        <w:t xml:space="preserve"> For commercial reasons, production </w:t>
      </w:r>
      <w:r w:rsidR="00301678">
        <w:t xml:space="preserve">and supply </w:t>
      </w:r>
      <w:r w:rsidRPr="00070A87">
        <w:t xml:space="preserve">of the vaccine </w:t>
      </w:r>
      <w:r w:rsidR="00301678">
        <w:t xml:space="preserve">globally </w:t>
      </w:r>
      <w:r w:rsidRPr="00070A87">
        <w:t>ceased in 2001</w:t>
      </w:r>
      <w:r w:rsidR="00043B88" w:rsidRPr="00070A87">
        <w:t>.</w:t>
      </w:r>
      <w:r w:rsidR="00021194" w:rsidRPr="00070A87">
        <w:t xml:space="preserve"> </w:t>
      </w:r>
      <w:r w:rsidR="000F7DD7" w:rsidRPr="00070A87">
        <w:t>The current owner of</w:t>
      </w:r>
      <w:r w:rsidR="00336B7A" w:rsidRPr="00070A87">
        <w:t xml:space="preserve"> the </w:t>
      </w:r>
      <w:r w:rsidR="00C40A0A" w:rsidRPr="00070A87">
        <w:t>licence</w:t>
      </w:r>
      <w:r w:rsidR="00070A87" w:rsidRPr="00070A87">
        <w:t xml:space="preserve"> has reformulated </w:t>
      </w:r>
      <w:r w:rsidRPr="00070A87">
        <w:t>CVD 103-HgR</w:t>
      </w:r>
      <w:r w:rsidR="00070A87" w:rsidRPr="00070A87">
        <w:t xml:space="preserve"> into the </w:t>
      </w:r>
      <w:proofErr w:type="spellStart"/>
      <w:r w:rsidRPr="00070A87">
        <w:t>Vaxchora</w:t>
      </w:r>
      <w:proofErr w:type="spellEnd"/>
      <w:r w:rsidRPr="00070A87">
        <w:t xml:space="preserve"> vaccine.</w:t>
      </w:r>
      <w:bookmarkStart w:id="21" w:name="_Ref153441332"/>
      <w:r w:rsidRPr="00070A87">
        <w:rPr>
          <w:rStyle w:val="FootnoteReference"/>
        </w:rPr>
        <w:footnoteReference w:id="7"/>
      </w:r>
      <w:bookmarkEnd w:id="21"/>
    </w:p>
    <w:p w14:paraId="4AE3B913" w14:textId="6D95C798" w:rsidR="002B7E82" w:rsidRDefault="00002CB2" w:rsidP="00324B33">
      <w:r>
        <w:t>Further information on immunisation in Australia is available in the Australian Immunisation Handbook</w:t>
      </w:r>
      <w:r w:rsidR="00BB665C">
        <w:t>.</w:t>
      </w:r>
    </w:p>
    <w:p w14:paraId="0D615854" w14:textId="77777777" w:rsidR="00324B33" w:rsidRDefault="00324B33" w:rsidP="00693AAD">
      <w:pPr>
        <w:pStyle w:val="Heading3"/>
      </w:pPr>
      <w:bookmarkStart w:id="22" w:name="_Toc314842485"/>
      <w:bookmarkStart w:id="23" w:name="_Toc247691504"/>
      <w:bookmarkStart w:id="24" w:name="_Toc103679291"/>
      <w:bookmarkStart w:id="25" w:name="_Toc182833130"/>
      <w:r>
        <w:lastRenderedPageBreak/>
        <w:t xml:space="preserve">Regulatory </w:t>
      </w:r>
      <w:r w:rsidRPr="00693AAD">
        <w:t>status</w:t>
      </w:r>
      <w:bookmarkEnd w:id="22"/>
      <w:bookmarkEnd w:id="23"/>
      <w:bookmarkEnd w:id="24"/>
      <w:bookmarkEnd w:id="25"/>
    </w:p>
    <w:p w14:paraId="5F885D35" w14:textId="2488F6CC" w:rsidR="00754F56" w:rsidRPr="00754F56" w:rsidRDefault="00754F56" w:rsidP="00693AAD">
      <w:pPr>
        <w:pStyle w:val="Heading4"/>
      </w:pPr>
      <w:bookmarkStart w:id="26" w:name="_Toc182833131"/>
      <w:r>
        <w:t xml:space="preserve">Australian regulatory </w:t>
      </w:r>
      <w:r w:rsidRPr="00693AAD">
        <w:t>status</w:t>
      </w:r>
      <w:bookmarkEnd w:id="26"/>
    </w:p>
    <w:p w14:paraId="6A8633FA" w14:textId="5EEE6D38" w:rsidR="00324B33" w:rsidRDefault="00324B33" w:rsidP="00324B33">
      <w:pPr>
        <w:rPr>
          <w:szCs w:val="22"/>
        </w:rPr>
      </w:pPr>
      <w:r w:rsidRPr="00BD5DBD">
        <w:rPr>
          <w:szCs w:val="22"/>
        </w:rPr>
        <w:t>This product is considered a new biological entity for Australian regulatory purposes.</w:t>
      </w:r>
    </w:p>
    <w:p w14:paraId="408D9D24" w14:textId="7158BB80" w:rsidR="00754F56" w:rsidRDefault="00754F56" w:rsidP="00754F56">
      <w:pPr>
        <w:pStyle w:val="Heading4"/>
      </w:pPr>
      <w:bookmarkStart w:id="27" w:name="_Toc182833132"/>
      <w:r>
        <w:t>Foreign regulatory status</w:t>
      </w:r>
      <w:bookmarkEnd w:id="27"/>
    </w:p>
    <w:p w14:paraId="298EF89A" w14:textId="1FC229D5" w:rsidR="00D34AA3" w:rsidRPr="0013132F" w:rsidRDefault="00D34AA3" w:rsidP="00D34AA3">
      <w:pPr>
        <w:rPr>
          <w:szCs w:val="22"/>
        </w:rPr>
      </w:pPr>
      <w:r w:rsidRPr="00BD5DBD">
        <w:rPr>
          <w:szCs w:val="22"/>
        </w:rPr>
        <w:t xml:space="preserve">This submission was evaluated as part of the </w:t>
      </w:r>
      <w:hyperlink r:id="rId18" w:history="1">
        <w:r w:rsidRPr="00BD5DBD">
          <w:rPr>
            <w:rStyle w:val="Hyperlink"/>
            <w:szCs w:val="22"/>
          </w:rPr>
          <w:t>Australia-Canada-Singapore-Switzerland-United Kingdom (ACCESS) Consortium</w:t>
        </w:r>
      </w:hyperlink>
      <w:r w:rsidRPr="00BD5DBD">
        <w:rPr>
          <w:szCs w:val="22"/>
        </w:rPr>
        <w:t xml:space="preserve"> with work-sharing between the TGA</w:t>
      </w:r>
      <w:r>
        <w:rPr>
          <w:szCs w:val="22"/>
        </w:rPr>
        <w:t xml:space="preserve"> and</w:t>
      </w:r>
      <w:r w:rsidRPr="00BD5DBD">
        <w:rPr>
          <w:szCs w:val="22"/>
        </w:rPr>
        <w:t xml:space="preserve"> </w:t>
      </w:r>
      <w:r w:rsidRPr="00477C52">
        <w:rPr>
          <w:szCs w:val="22"/>
        </w:rPr>
        <w:t>Health Canada.</w:t>
      </w:r>
      <w:r w:rsidRPr="00BD5DBD">
        <w:rPr>
          <w:szCs w:val="22"/>
        </w:rPr>
        <w:t xml:space="preserve"> Each regulator made independent decisions regarding </w:t>
      </w:r>
      <w:r w:rsidRPr="00477C52">
        <w:rPr>
          <w:szCs w:val="22"/>
        </w:rPr>
        <w:t>market authorisation of the new medicine.</w:t>
      </w:r>
    </w:p>
    <w:p w14:paraId="1B9AB90D" w14:textId="07F162BC" w:rsidR="00324B33" w:rsidRPr="00BD5DBD" w:rsidRDefault="00324B33" w:rsidP="00324B33">
      <w:pPr>
        <w:rPr>
          <w:szCs w:val="22"/>
        </w:rPr>
      </w:pPr>
      <w:r w:rsidRPr="00BD5DBD">
        <w:rPr>
          <w:szCs w:val="22"/>
        </w:rPr>
        <w:t xml:space="preserve">At the time the TGA considered this submission, a similar submission had been approved in </w:t>
      </w:r>
      <w:r w:rsidR="00976522">
        <w:rPr>
          <w:szCs w:val="22"/>
        </w:rPr>
        <w:t>other jurisdictions</w:t>
      </w:r>
      <w:r w:rsidR="003D3564">
        <w:rPr>
          <w:szCs w:val="22"/>
        </w:rPr>
        <w:t xml:space="preserve">, as detailed in </w:t>
      </w:r>
      <w:r w:rsidR="003D3564">
        <w:rPr>
          <w:szCs w:val="22"/>
        </w:rPr>
        <w:fldChar w:fldCharType="begin"/>
      </w:r>
      <w:r w:rsidR="003D3564">
        <w:rPr>
          <w:szCs w:val="22"/>
        </w:rPr>
        <w:instrText xml:space="preserve"> REF _Ref99705479 \h </w:instrText>
      </w:r>
      <w:r w:rsidR="003D3564">
        <w:rPr>
          <w:szCs w:val="22"/>
        </w:rPr>
      </w:r>
      <w:r w:rsidR="003D3564">
        <w:rPr>
          <w:szCs w:val="22"/>
        </w:rPr>
        <w:fldChar w:fldCharType="separate"/>
      </w:r>
      <w:r w:rsidR="000206CE">
        <w:t xml:space="preserve">Table </w:t>
      </w:r>
      <w:r w:rsidR="000206CE">
        <w:rPr>
          <w:noProof/>
        </w:rPr>
        <w:t>1</w:t>
      </w:r>
      <w:r w:rsidR="003D3564">
        <w:rPr>
          <w:szCs w:val="22"/>
        </w:rPr>
        <w:fldChar w:fldCharType="end"/>
      </w:r>
      <w:r w:rsidR="00976522">
        <w:rPr>
          <w:szCs w:val="22"/>
        </w:rPr>
        <w:t>.</w:t>
      </w:r>
    </w:p>
    <w:p w14:paraId="19B9E0AC" w14:textId="492DDC52" w:rsidR="00324B33" w:rsidRDefault="00324B33" w:rsidP="00324B33">
      <w:pPr>
        <w:pStyle w:val="TableTitle"/>
      </w:pPr>
      <w:bookmarkStart w:id="28" w:name="_Ref99705479"/>
      <w:r>
        <w:t xml:space="preserve">Table </w:t>
      </w:r>
      <w:r>
        <w:fldChar w:fldCharType="begin"/>
      </w:r>
      <w:r>
        <w:instrText xml:space="preserve"> SEQ Table \* ARABIC </w:instrText>
      </w:r>
      <w:r>
        <w:fldChar w:fldCharType="separate"/>
      </w:r>
      <w:r w:rsidR="000206CE">
        <w:rPr>
          <w:noProof/>
        </w:rPr>
        <w:t>1</w:t>
      </w:r>
      <w:r>
        <w:rPr>
          <w:noProof/>
        </w:rPr>
        <w:fldChar w:fldCharType="end"/>
      </w:r>
      <w:bookmarkEnd w:id="28"/>
      <w:r>
        <w:t>: International regulatory status</w:t>
      </w:r>
    </w:p>
    <w:tbl>
      <w:tblPr>
        <w:tblStyle w:val="TableTGAblue2023"/>
        <w:tblW w:w="5000" w:type="pct"/>
        <w:tblLook w:val="04A0" w:firstRow="1" w:lastRow="0" w:firstColumn="1" w:lastColumn="0" w:noHBand="0" w:noVBand="1"/>
      </w:tblPr>
      <w:tblGrid>
        <w:gridCol w:w="1697"/>
        <w:gridCol w:w="1701"/>
        <w:gridCol w:w="1560"/>
        <w:gridCol w:w="4102"/>
      </w:tblGrid>
      <w:tr w:rsidR="00324B33" w:rsidRPr="00D01DDB" w14:paraId="405E5D78" w14:textId="16839333" w:rsidTr="009C3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85B099B" w14:textId="7A4C0E6C" w:rsidR="00324B33" w:rsidRPr="00D01DDB" w:rsidRDefault="00324B33" w:rsidP="00324B33">
            <w:pPr>
              <w:rPr>
                <w:szCs w:val="22"/>
              </w:rPr>
            </w:pPr>
            <w:r w:rsidRPr="00D01DDB">
              <w:rPr>
                <w:szCs w:val="22"/>
              </w:rPr>
              <w:t>Region</w:t>
            </w:r>
          </w:p>
        </w:tc>
        <w:tc>
          <w:tcPr>
            <w:tcW w:w="939"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861"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264"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21458A" w:rsidRPr="00D01DDB" w14:paraId="38D24E86" w14:textId="77777777" w:rsidTr="009C32A9">
        <w:tc>
          <w:tcPr>
            <w:cnfStyle w:val="001000000000" w:firstRow="0" w:lastRow="0" w:firstColumn="1" w:lastColumn="0" w:oddVBand="0" w:evenVBand="0" w:oddHBand="0" w:evenHBand="0" w:firstRowFirstColumn="0" w:firstRowLastColumn="0" w:lastRowFirstColumn="0" w:lastRowLastColumn="0"/>
            <w:tcW w:w="936" w:type="pct"/>
          </w:tcPr>
          <w:p w14:paraId="4C540DE5" w14:textId="4FF2742A" w:rsidR="0021458A" w:rsidRPr="00D01DDB" w:rsidRDefault="0021458A" w:rsidP="0021458A">
            <w:pPr>
              <w:rPr>
                <w:szCs w:val="22"/>
              </w:rPr>
            </w:pPr>
            <w:r>
              <w:rPr>
                <w:szCs w:val="22"/>
              </w:rPr>
              <w:t>United States of America</w:t>
            </w:r>
          </w:p>
        </w:tc>
        <w:tc>
          <w:tcPr>
            <w:tcW w:w="939" w:type="pct"/>
          </w:tcPr>
          <w:p w14:paraId="4FA5DDA9" w14:textId="085AC933" w:rsidR="0021458A" w:rsidRPr="00D01DDB" w:rsidRDefault="0021458A" w:rsidP="0021458A">
            <w:pPr>
              <w:cnfStyle w:val="000000000000" w:firstRow="0" w:lastRow="0" w:firstColumn="0" w:lastColumn="0" w:oddVBand="0" w:evenVBand="0" w:oddHBand="0" w:evenHBand="0" w:firstRowFirstColumn="0" w:firstRowLastColumn="0" w:lastRowFirstColumn="0" w:lastRowLastColumn="0"/>
              <w:rPr>
                <w:szCs w:val="22"/>
              </w:rPr>
            </w:pPr>
            <w:r>
              <w:rPr>
                <w:szCs w:val="22"/>
              </w:rPr>
              <w:t>16 October 2015</w:t>
            </w:r>
          </w:p>
        </w:tc>
        <w:tc>
          <w:tcPr>
            <w:tcW w:w="861" w:type="pct"/>
          </w:tcPr>
          <w:p w14:paraId="29358393" w14:textId="48A4B46A" w:rsidR="0021458A" w:rsidRPr="00D01DDB" w:rsidRDefault="0021458A" w:rsidP="0021458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426DB9">
              <w:rPr>
                <w:szCs w:val="22"/>
              </w:rPr>
              <w:t xml:space="preserve">10 June </w:t>
            </w:r>
            <w:r w:rsidR="00B53FD3">
              <w:rPr>
                <w:szCs w:val="22"/>
              </w:rPr>
              <w:t>20</w:t>
            </w:r>
            <w:r w:rsidR="00C24B87">
              <w:rPr>
                <w:szCs w:val="22"/>
              </w:rPr>
              <w:t>16</w:t>
            </w:r>
          </w:p>
        </w:tc>
        <w:tc>
          <w:tcPr>
            <w:tcW w:w="2264" w:type="pct"/>
          </w:tcPr>
          <w:p w14:paraId="5B74A19D" w14:textId="61AF9EAF" w:rsidR="0021458A" w:rsidRPr="0021458A" w:rsidRDefault="0021458A" w:rsidP="0021458A">
            <w:pPr>
              <w:cnfStyle w:val="000000000000" w:firstRow="0" w:lastRow="0" w:firstColumn="0" w:lastColumn="0" w:oddVBand="0" w:evenVBand="0" w:oddHBand="0" w:evenHBand="0" w:firstRowFirstColumn="0" w:firstRowLastColumn="0" w:lastRowFirstColumn="0" w:lastRowLastColumn="0"/>
              <w:rPr>
                <w:i/>
                <w:iCs/>
                <w:lang w:val="en-US"/>
              </w:rPr>
            </w:pPr>
            <w:r w:rsidRPr="0021458A">
              <w:rPr>
                <w:i/>
                <w:iCs/>
                <w:lang w:val="en-US"/>
              </w:rPr>
              <w:t>VAXCHORA is a vaccine indicated for active immunization against disease caused by Vibrio cholerae serogroup O1. VAXCHORA is approved for use in persons 2 through 64 years of age traveling to cholera-affected areas.</w:t>
            </w:r>
          </w:p>
          <w:p w14:paraId="2468FE2C" w14:textId="77777777" w:rsidR="0021458A" w:rsidRPr="0021458A" w:rsidRDefault="0021458A" w:rsidP="0021458A">
            <w:pPr>
              <w:cnfStyle w:val="000000000000" w:firstRow="0" w:lastRow="0" w:firstColumn="0" w:lastColumn="0" w:oddVBand="0" w:evenVBand="0" w:oddHBand="0" w:evenHBand="0" w:firstRowFirstColumn="0" w:firstRowLastColumn="0" w:lastRowFirstColumn="0" w:lastRowLastColumn="0"/>
              <w:rPr>
                <w:i/>
                <w:iCs/>
                <w:lang w:val="en-US"/>
              </w:rPr>
            </w:pPr>
            <w:r w:rsidRPr="0021458A">
              <w:rPr>
                <w:i/>
                <w:iCs/>
                <w:lang w:val="en-US"/>
              </w:rPr>
              <w:t>1.1 Limitations of Use</w:t>
            </w:r>
          </w:p>
          <w:p w14:paraId="05055674" w14:textId="67F2CB69" w:rsidR="0021458A" w:rsidRPr="00D01DDB" w:rsidRDefault="0021458A" w:rsidP="003C2565">
            <w:pPr>
              <w:cnfStyle w:val="000000000000" w:firstRow="0" w:lastRow="0" w:firstColumn="0" w:lastColumn="0" w:oddVBand="0" w:evenVBand="0" w:oddHBand="0" w:evenHBand="0" w:firstRowFirstColumn="0" w:firstRowLastColumn="0" w:lastRowFirstColumn="0" w:lastRowLastColumn="0"/>
              <w:rPr>
                <w:szCs w:val="22"/>
              </w:rPr>
            </w:pPr>
            <w:r w:rsidRPr="0021458A">
              <w:rPr>
                <w:i/>
                <w:iCs/>
                <w:lang w:val="en-US"/>
              </w:rPr>
              <w:t>The effectiveness of VAXCHORA has not been established in persons living in cholera-affected areas.</w:t>
            </w:r>
            <w:r w:rsidR="003C2565">
              <w:rPr>
                <w:i/>
                <w:iCs/>
                <w:lang w:val="en-US"/>
              </w:rPr>
              <w:t xml:space="preserve"> </w:t>
            </w:r>
            <w:r w:rsidRPr="0021458A">
              <w:rPr>
                <w:i/>
                <w:iCs/>
                <w:lang w:val="en-US"/>
              </w:rPr>
              <w:t>The effectiveness of VAXCHORA has not been established in persons who have pre-existing immunity due to previous exposure to V. cholerae or receipt of a cholera vaccine.</w:t>
            </w:r>
            <w:r w:rsidR="003C2565">
              <w:rPr>
                <w:i/>
                <w:iCs/>
                <w:lang w:val="en-US"/>
              </w:rPr>
              <w:t xml:space="preserve"> </w:t>
            </w:r>
            <w:r w:rsidRPr="0021458A">
              <w:rPr>
                <w:i/>
                <w:iCs/>
                <w:lang w:val="en-US"/>
              </w:rPr>
              <w:t>VAXCHORA has not been shown to protect against disease caused by V. cholerae serogroup O139 or other non-O1 serogroups.</w:t>
            </w:r>
          </w:p>
        </w:tc>
      </w:tr>
      <w:tr w:rsidR="0021458A" w:rsidRPr="00D01DDB" w14:paraId="18B6E2AA" w14:textId="7783D66F" w:rsidTr="009C32A9">
        <w:tc>
          <w:tcPr>
            <w:cnfStyle w:val="001000000000" w:firstRow="0" w:lastRow="0" w:firstColumn="1" w:lastColumn="0" w:oddVBand="0" w:evenVBand="0" w:oddHBand="0" w:evenHBand="0" w:firstRowFirstColumn="0" w:firstRowLastColumn="0" w:lastRowFirstColumn="0" w:lastRowLastColumn="0"/>
            <w:tcW w:w="936" w:type="pct"/>
          </w:tcPr>
          <w:p w14:paraId="7F348960" w14:textId="1EC247E4" w:rsidR="0021458A" w:rsidRPr="00D01DDB" w:rsidRDefault="004C5E85" w:rsidP="0021458A">
            <w:pPr>
              <w:rPr>
                <w:szCs w:val="22"/>
              </w:rPr>
            </w:pPr>
            <w:r>
              <w:rPr>
                <w:szCs w:val="22"/>
              </w:rPr>
              <w:t>Great Britain</w:t>
            </w:r>
          </w:p>
        </w:tc>
        <w:tc>
          <w:tcPr>
            <w:tcW w:w="939" w:type="pct"/>
          </w:tcPr>
          <w:p w14:paraId="1D871E57" w14:textId="69A1BA39" w:rsidR="0021458A" w:rsidRPr="00D01DDB" w:rsidRDefault="004C5E85" w:rsidP="0021458A">
            <w:pPr>
              <w:cnfStyle w:val="000000000000" w:firstRow="0" w:lastRow="0" w:firstColumn="0" w:lastColumn="0" w:oddVBand="0" w:evenVBand="0" w:oddHBand="0" w:evenHBand="0" w:firstRowFirstColumn="0" w:firstRowLastColumn="0" w:lastRowFirstColumn="0" w:lastRowLastColumn="0"/>
              <w:rPr>
                <w:szCs w:val="22"/>
              </w:rPr>
            </w:pPr>
            <w:r>
              <w:rPr>
                <w:szCs w:val="22"/>
              </w:rPr>
              <w:t>10 January 2019</w:t>
            </w:r>
          </w:p>
        </w:tc>
        <w:tc>
          <w:tcPr>
            <w:tcW w:w="861" w:type="pct"/>
          </w:tcPr>
          <w:p w14:paraId="6AE0A901" w14:textId="2F28EADF" w:rsidR="00107CFE" w:rsidRDefault="004C5E85" w:rsidP="00107CFE">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427157">
              <w:rPr>
                <w:szCs w:val="22"/>
              </w:rPr>
              <w:t>1 April 2020</w:t>
            </w:r>
          </w:p>
          <w:p w14:paraId="63A3A9D3" w14:textId="122D9848" w:rsidR="00107CFE" w:rsidRPr="00D01DDB" w:rsidRDefault="0015383C" w:rsidP="00693AAD">
            <w:pPr>
              <w:spacing w:before="960"/>
              <w:cnfStyle w:val="000000000000" w:firstRow="0" w:lastRow="0" w:firstColumn="0" w:lastColumn="0" w:oddVBand="0" w:evenVBand="0" w:oddHBand="0" w:evenHBand="0" w:firstRowFirstColumn="0" w:firstRowLastColumn="0" w:lastRowFirstColumn="0" w:lastRowLastColumn="0"/>
              <w:rPr>
                <w:szCs w:val="22"/>
              </w:rPr>
            </w:pPr>
            <w:r w:rsidRPr="008504AD">
              <w:rPr>
                <w:szCs w:val="22"/>
              </w:rPr>
              <w:t>Approved on 8 September</w:t>
            </w:r>
            <w:r w:rsidR="008504AD" w:rsidRPr="008504AD">
              <w:rPr>
                <w:szCs w:val="22"/>
              </w:rPr>
              <w:t xml:space="preserve"> </w:t>
            </w:r>
            <w:r w:rsidRPr="008504AD">
              <w:rPr>
                <w:szCs w:val="22"/>
              </w:rPr>
              <w:t>2021</w:t>
            </w:r>
          </w:p>
        </w:tc>
        <w:tc>
          <w:tcPr>
            <w:tcW w:w="2264" w:type="pct"/>
          </w:tcPr>
          <w:p w14:paraId="06EDA7FE" w14:textId="3DDB45F8" w:rsidR="00234883" w:rsidRDefault="00234883" w:rsidP="0021458A">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 xml:space="preserve">VAXCHORA is indicated for active </w:t>
            </w:r>
            <w:proofErr w:type="spellStart"/>
            <w:r w:rsidRPr="009C32A9">
              <w:rPr>
                <w:i/>
                <w:iCs/>
                <w:lang w:val="en-US"/>
              </w:rPr>
              <w:t>immunisation</w:t>
            </w:r>
            <w:proofErr w:type="spellEnd"/>
            <w:r w:rsidRPr="009C32A9">
              <w:rPr>
                <w:i/>
                <w:iCs/>
                <w:lang w:val="en-US"/>
              </w:rPr>
              <w:t xml:space="preserve"> against disease caused by </w:t>
            </w:r>
            <w:r w:rsidRPr="00A14E8D">
              <w:rPr>
                <w:i/>
                <w:iCs/>
                <w:lang w:val="en-US"/>
              </w:rPr>
              <w:t>Vibrio cholerae</w:t>
            </w:r>
            <w:r w:rsidRPr="009C32A9">
              <w:rPr>
                <w:i/>
                <w:iCs/>
                <w:lang w:val="en-US"/>
              </w:rPr>
              <w:t xml:space="preserve"> serogroup O1 in adults and children aged </w:t>
            </w:r>
            <w:r w:rsidR="003C2565">
              <w:rPr>
                <w:i/>
                <w:iCs/>
                <w:lang w:val="en-US"/>
              </w:rPr>
              <w:t>6</w:t>
            </w:r>
            <w:r w:rsidRPr="009C32A9">
              <w:rPr>
                <w:i/>
                <w:iCs/>
                <w:lang w:val="en-US"/>
              </w:rPr>
              <w:t xml:space="preserve"> years and older.</w:t>
            </w:r>
          </w:p>
          <w:p w14:paraId="013946E7" w14:textId="28DB93B4" w:rsidR="003C2565" w:rsidRPr="003C2565" w:rsidRDefault="003C2565" w:rsidP="0021458A">
            <w:pPr>
              <w:cnfStyle w:val="000000000000" w:firstRow="0" w:lastRow="0" w:firstColumn="0" w:lastColumn="0" w:oddVBand="0" w:evenVBand="0" w:oddHBand="0" w:evenHBand="0" w:firstRowFirstColumn="0" w:firstRowLastColumn="0" w:lastRowFirstColumn="0" w:lastRowLastColumn="0"/>
              <w:rPr>
                <w:lang w:val="en-US"/>
              </w:rPr>
            </w:pPr>
            <w:r>
              <w:rPr>
                <w:lang w:val="en-US"/>
              </w:rPr>
              <w:t>Extended to:</w:t>
            </w:r>
          </w:p>
          <w:p w14:paraId="17C650B8" w14:textId="0D61C52B" w:rsidR="003C2565" w:rsidRPr="009C32A9" w:rsidRDefault="003C2565" w:rsidP="0021458A">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 xml:space="preserve">VAXCHORA is indicated for active </w:t>
            </w:r>
            <w:proofErr w:type="spellStart"/>
            <w:r w:rsidRPr="009C32A9">
              <w:rPr>
                <w:i/>
                <w:iCs/>
                <w:lang w:val="en-US"/>
              </w:rPr>
              <w:t>immunisation</w:t>
            </w:r>
            <w:proofErr w:type="spellEnd"/>
            <w:r w:rsidRPr="009C32A9">
              <w:rPr>
                <w:i/>
                <w:iCs/>
                <w:lang w:val="en-US"/>
              </w:rPr>
              <w:t xml:space="preserve"> against disease caused by </w:t>
            </w:r>
            <w:r w:rsidRPr="00A14E8D">
              <w:rPr>
                <w:i/>
                <w:iCs/>
                <w:lang w:val="en-US"/>
              </w:rPr>
              <w:t>Vibrio cholerae</w:t>
            </w:r>
            <w:r w:rsidRPr="009C32A9">
              <w:rPr>
                <w:i/>
                <w:iCs/>
                <w:lang w:val="en-US"/>
              </w:rPr>
              <w:t xml:space="preserve"> serogroup O1 in adults and children aged 2 years and older.</w:t>
            </w:r>
          </w:p>
        </w:tc>
      </w:tr>
      <w:tr w:rsidR="00294DF6" w:rsidRPr="00D01DDB" w14:paraId="3C52093B" w14:textId="77777777" w:rsidTr="009C32A9">
        <w:tc>
          <w:tcPr>
            <w:cnfStyle w:val="001000000000" w:firstRow="0" w:lastRow="0" w:firstColumn="1" w:lastColumn="0" w:oddVBand="0" w:evenVBand="0" w:oddHBand="0" w:evenHBand="0" w:firstRowFirstColumn="0" w:firstRowLastColumn="0" w:lastRowFirstColumn="0" w:lastRowLastColumn="0"/>
            <w:tcW w:w="936" w:type="pct"/>
          </w:tcPr>
          <w:p w14:paraId="2726C86F" w14:textId="201F95CB" w:rsidR="00294DF6" w:rsidRDefault="00294DF6" w:rsidP="00294DF6">
            <w:pPr>
              <w:rPr>
                <w:szCs w:val="22"/>
              </w:rPr>
            </w:pPr>
            <w:r>
              <w:rPr>
                <w:szCs w:val="22"/>
              </w:rPr>
              <w:lastRenderedPageBreak/>
              <w:t>European Union</w:t>
            </w:r>
          </w:p>
        </w:tc>
        <w:tc>
          <w:tcPr>
            <w:tcW w:w="939" w:type="pct"/>
          </w:tcPr>
          <w:p w14:paraId="15E403F2" w14:textId="52AFA9CF" w:rsidR="00294DF6" w:rsidRDefault="00294DF6" w:rsidP="00294DF6">
            <w:pPr>
              <w:cnfStyle w:val="000000000000" w:firstRow="0" w:lastRow="0" w:firstColumn="0" w:lastColumn="0" w:oddVBand="0" w:evenVBand="0" w:oddHBand="0" w:evenHBand="0" w:firstRowFirstColumn="0" w:firstRowLastColumn="0" w:lastRowFirstColumn="0" w:lastRowLastColumn="0"/>
              <w:rPr>
                <w:szCs w:val="22"/>
              </w:rPr>
            </w:pPr>
            <w:r>
              <w:rPr>
                <w:szCs w:val="22"/>
              </w:rPr>
              <w:t>10 January 2019</w:t>
            </w:r>
          </w:p>
        </w:tc>
        <w:tc>
          <w:tcPr>
            <w:tcW w:w="861" w:type="pct"/>
          </w:tcPr>
          <w:p w14:paraId="575E1D90" w14:textId="6EC4E261" w:rsidR="0015383C" w:rsidRPr="008504AD" w:rsidRDefault="00294DF6" w:rsidP="0015383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586ED6">
              <w:rPr>
                <w:szCs w:val="22"/>
              </w:rPr>
              <w:t>1 April 2020</w:t>
            </w:r>
          </w:p>
          <w:p w14:paraId="3B2CABE2" w14:textId="77777777" w:rsidR="003C2565" w:rsidRDefault="003C2565" w:rsidP="0015383C">
            <w:pPr>
              <w:cnfStyle w:val="000000000000" w:firstRow="0" w:lastRow="0" w:firstColumn="0" w:lastColumn="0" w:oddVBand="0" w:evenVBand="0" w:oddHBand="0" w:evenHBand="0" w:firstRowFirstColumn="0" w:firstRowLastColumn="0" w:lastRowFirstColumn="0" w:lastRowLastColumn="0"/>
              <w:rPr>
                <w:szCs w:val="22"/>
              </w:rPr>
            </w:pPr>
          </w:p>
          <w:p w14:paraId="70FD9DB3" w14:textId="77777777" w:rsidR="003C2565" w:rsidRDefault="003C2565" w:rsidP="0015383C">
            <w:pPr>
              <w:cnfStyle w:val="000000000000" w:firstRow="0" w:lastRow="0" w:firstColumn="0" w:lastColumn="0" w:oddVBand="0" w:evenVBand="0" w:oddHBand="0" w:evenHBand="0" w:firstRowFirstColumn="0" w:firstRowLastColumn="0" w:lastRowFirstColumn="0" w:lastRowLastColumn="0"/>
              <w:rPr>
                <w:szCs w:val="22"/>
              </w:rPr>
            </w:pPr>
          </w:p>
          <w:p w14:paraId="79784EB6" w14:textId="77777777" w:rsidR="003C2565" w:rsidRDefault="003C2565" w:rsidP="0015383C">
            <w:pPr>
              <w:cnfStyle w:val="000000000000" w:firstRow="0" w:lastRow="0" w:firstColumn="0" w:lastColumn="0" w:oddVBand="0" w:evenVBand="0" w:oddHBand="0" w:evenHBand="0" w:firstRowFirstColumn="0" w:firstRowLastColumn="0" w:lastRowFirstColumn="0" w:lastRowLastColumn="0"/>
              <w:rPr>
                <w:szCs w:val="22"/>
              </w:rPr>
            </w:pPr>
          </w:p>
          <w:p w14:paraId="6778288A" w14:textId="131D86B1" w:rsidR="0015383C" w:rsidRDefault="0015383C" w:rsidP="0015383C">
            <w:pPr>
              <w:cnfStyle w:val="000000000000" w:firstRow="0" w:lastRow="0" w:firstColumn="0" w:lastColumn="0" w:oddVBand="0" w:evenVBand="0" w:oddHBand="0" w:evenHBand="0" w:firstRowFirstColumn="0" w:firstRowLastColumn="0" w:lastRowFirstColumn="0" w:lastRowLastColumn="0"/>
              <w:rPr>
                <w:szCs w:val="22"/>
              </w:rPr>
            </w:pPr>
            <w:r w:rsidRPr="008504AD">
              <w:rPr>
                <w:szCs w:val="22"/>
              </w:rPr>
              <w:t>Approved on 26 February 2021</w:t>
            </w:r>
          </w:p>
        </w:tc>
        <w:tc>
          <w:tcPr>
            <w:tcW w:w="2264" w:type="pct"/>
          </w:tcPr>
          <w:p w14:paraId="2E54D5E6" w14:textId="248D2EDD" w:rsidR="00294DF6" w:rsidRDefault="00294DF6" w:rsidP="00294DF6">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 xml:space="preserve">VAXCHORA is indicated for active </w:t>
            </w:r>
            <w:proofErr w:type="spellStart"/>
            <w:r w:rsidRPr="009C32A9">
              <w:rPr>
                <w:i/>
                <w:iCs/>
                <w:lang w:val="en-US"/>
              </w:rPr>
              <w:t>immunisation</w:t>
            </w:r>
            <w:proofErr w:type="spellEnd"/>
            <w:r w:rsidRPr="009C32A9">
              <w:rPr>
                <w:i/>
                <w:iCs/>
                <w:lang w:val="en-US"/>
              </w:rPr>
              <w:t xml:space="preserve"> against disease caused by </w:t>
            </w:r>
            <w:r w:rsidRPr="00A14E8D">
              <w:rPr>
                <w:i/>
                <w:iCs/>
                <w:lang w:val="en-US"/>
              </w:rPr>
              <w:t>Vibrio cholerae</w:t>
            </w:r>
            <w:r w:rsidRPr="009C32A9">
              <w:rPr>
                <w:i/>
                <w:iCs/>
                <w:lang w:val="en-US"/>
              </w:rPr>
              <w:t xml:space="preserve"> serogroup O1 in adults and children aged </w:t>
            </w:r>
            <w:r w:rsidR="003C2565">
              <w:rPr>
                <w:i/>
                <w:iCs/>
                <w:lang w:val="en-US"/>
              </w:rPr>
              <w:t>6</w:t>
            </w:r>
            <w:r w:rsidRPr="009C32A9">
              <w:rPr>
                <w:i/>
                <w:iCs/>
                <w:lang w:val="en-US"/>
              </w:rPr>
              <w:t xml:space="preserve"> years and older.</w:t>
            </w:r>
          </w:p>
          <w:p w14:paraId="722307A3" w14:textId="14934078" w:rsidR="003C2565" w:rsidRPr="003C2565" w:rsidRDefault="003C2565" w:rsidP="00294DF6">
            <w:pPr>
              <w:cnfStyle w:val="000000000000" w:firstRow="0" w:lastRow="0" w:firstColumn="0" w:lastColumn="0" w:oddVBand="0" w:evenVBand="0" w:oddHBand="0" w:evenHBand="0" w:firstRowFirstColumn="0" w:firstRowLastColumn="0" w:lastRowFirstColumn="0" w:lastRowLastColumn="0"/>
              <w:rPr>
                <w:lang w:val="en-US"/>
              </w:rPr>
            </w:pPr>
            <w:r>
              <w:rPr>
                <w:lang w:val="en-US"/>
              </w:rPr>
              <w:t>Extended to:</w:t>
            </w:r>
          </w:p>
          <w:p w14:paraId="07B816DE" w14:textId="6CE6ED1B" w:rsidR="003C2565" w:rsidRPr="009C32A9" w:rsidRDefault="003C2565" w:rsidP="00294DF6">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 xml:space="preserve">VAXCHORA is indicated for active </w:t>
            </w:r>
            <w:proofErr w:type="spellStart"/>
            <w:r w:rsidRPr="009C32A9">
              <w:rPr>
                <w:i/>
                <w:iCs/>
                <w:lang w:val="en-US"/>
              </w:rPr>
              <w:t>immunisation</w:t>
            </w:r>
            <w:proofErr w:type="spellEnd"/>
            <w:r w:rsidRPr="009C32A9">
              <w:rPr>
                <w:i/>
                <w:iCs/>
                <w:lang w:val="en-US"/>
              </w:rPr>
              <w:t xml:space="preserve"> against disease caused by </w:t>
            </w:r>
            <w:r w:rsidRPr="00A14E8D">
              <w:rPr>
                <w:i/>
                <w:iCs/>
                <w:lang w:val="en-US"/>
              </w:rPr>
              <w:t>Vibrio cholerae</w:t>
            </w:r>
            <w:r w:rsidRPr="009C32A9">
              <w:rPr>
                <w:i/>
                <w:iCs/>
                <w:lang w:val="en-US"/>
              </w:rPr>
              <w:t xml:space="preserve"> serogroup O1 in adults and children aged 2 years and older.</w:t>
            </w:r>
          </w:p>
        </w:tc>
      </w:tr>
      <w:tr w:rsidR="009C32A9" w:rsidRPr="00D01DDB" w14:paraId="4F972F88" w14:textId="77777777" w:rsidTr="009C32A9">
        <w:tc>
          <w:tcPr>
            <w:cnfStyle w:val="001000000000" w:firstRow="0" w:lastRow="0" w:firstColumn="1" w:lastColumn="0" w:oddVBand="0" w:evenVBand="0" w:oddHBand="0" w:evenHBand="0" w:firstRowFirstColumn="0" w:firstRowLastColumn="0" w:lastRowFirstColumn="0" w:lastRowLastColumn="0"/>
            <w:tcW w:w="936" w:type="pct"/>
          </w:tcPr>
          <w:p w14:paraId="6D98F5C5" w14:textId="26D6F40A" w:rsidR="009C32A9" w:rsidRDefault="009C32A9" w:rsidP="009C32A9">
            <w:pPr>
              <w:rPr>
                <w:szCs w:val="22"/>
              </w:rPr>
            </w:pPr>
            <w:r>
              <w:rPr>
                <w:szCs w:val="22"/>
              </w:rPr>
              <w:t>Canada</w:t>
            </w:r>
          </w:p>
        </w:tc>
        <w:tc>
          <w:tcPr>
            <w:tcW w:w="939" w:type="pct"/>
          </w:tcPr>
          <w:p w14:paraId="201978C2" w14:textId="5A8168B0" w:rsidR="009C32A9" w:rsidRDefault="00613AF5" w:rsidP="009C32A9">
            <w:pPr>
              <w:cnfStyle w:val="000000000000" w:firstRow="0" w:lastRow="0" w:firstColumn="0" w:lastColumn="0" w:oddVBand="0" w:evenVBand="0" w:oddHBand="0" w:evenHBand="0" w:firstRowFirstColumn="0" w:firstRowLastColumn="0" w:lastRowFirstColumn="0" w:lastRowLastColumn="0"/>
              <w:rPr>
                <w:szCs w:val="22"/>
              </w:rPr>
            </w:pPr>
            <w:r>
              <w:rPr>
                <w:szCs w:val="22"/>
              </w:rPr>
              <w:t>8</w:t>
            </w:r>
            <w:r w:rsidR="009C32A9">
              <w:rPr>
                <w:szCs w:val="22"/>
              </w:rPr>
              <w:t xml:space="preserve"> June 2022</w:t>
            </w:r>
          </w:p>
        </w:tc>
        <w:tc>
          <w:tcPr>
            <w:tcW w:w="861" w:type="pct"/>
          </w:tcPr>
          <w:p w14:paraId="0C3A7D6D" w14:textId="58486D23" w:rsidR="009C32A9" w:rsidRDefault="009C32A9" w:rsidP="009C32A9">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500828">
              <w:rPr>
                <w:szCs w:val="22"/>
              </w:rPr>
              <w:t>19 June 2023</w:t>
            </w:r>
          </w:p>
        </w:tc>
        <w:tc>
          <w:tcPr>
            <w:tcW w:w="2264" w:type="pct"/>
          </w:tcPr>
          <w:p w14:paraId="718F68B4" w14:textId="70DF32FE" w:rsidR="009C32A9" w:rsidRPr="009C32A9" w:rsidRDefault="009C32A9" w:rsidP="009C32A9">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VAXCHORA (Cholera Vaccine, Live Attenuated, Oral) is indicated for the active immunization against diarrheal disease caused by Vibrio cholerae serogroup O1 in persons 2 to 64 years of age travelling to cholera-affected countries.</w:t>
            </w:r>
          </w:p>
          <w:p w14:paraId="25B0A3EC" w14:textId="3DB430FF" w:rsidR="009C32A9" w:rsidRPr="009C32A9" w:rsidRDefault="009C32A9" w:rsidP="009C32A9">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The efficacy of VAXCHORA vaccine has not been evaluated in cholera endemic areas. However, it provides protection to vaccine recipients from areas not endemic for cholera, such as Canada, travelling to areas posing a threat of diarrheal disease caused by cholera. Onset of protection against cholera diarrhea can be expected one week after administration.</w:t>
            </w:r>
          </w:p>
          <w:p w14:paraId="048D692F" w14:textId="77777777" w:rsidR="009C32A9" w:rsidRPr="009C32A9" w:rsidRDefault="009C32A9" w:rsidP="009C32A9">
            <w:pPr>
              <w:cnfStyle w:val="000000000000" w:firstRow="0" w:lastRow="0" w:firstColumn="0" w:lastColumn="0" w:oddVBand="0" w:evenVBand="0" w:oddHBand="0" w:evenHBand="0" w:firstRowFirstColumn="0" w:firstRowLastColumn="0" w:lastRowFirstColumn="0" w:lastRowLastColumn="0"/>
              <w:rPr>
                <w:i/>
                <w:iCs/>
                <w:lang w:val="en-US"/>
              </w:rPr>
            </w:pPr>
            <w:r w:rsidRPr="009C32A9">
              <w:rPr>
                <w:i/>
                <w:iCs/>
                <w:lang w:val="en-US"/>
              </w:rPr>
              <w:t xml:space="preserve">VAXCHORA vaccine should be used in accordance with official recommendations, </w:t>
            </w:r>
            <w:proofErr w:type="gramStart"/>
            <w:r w:rsidRPr="009C32A9">
              <w:rPr>
                <w:i/>
                <w:iCs/>
                <w:lang w:val="en-US"/>
              </w:rPr>
              <w:t>taking into account</w:t>
            </w:r>
            <w:proofErr w:type="gramEnd"/>
            <w:r w:rsidRPr="009C32A9">
              <w:rPr>
                <w:i/>
                <w:iCs/>
                <w:lang w:val="en-US"/>
              </w:rPr>
              <w:t xml:space="preserve"> the epidemiological variability and the risk of contracting diarrheal illness in different geographical areas and in different conditions of travel. VAXCHORA vaccine has not been shown to protect against V. cholerae serogroup O139 or other non-O1 serogroups, which are uncommon causes of disease.</w:t>
            </w:r>
          </w:p>
          <w:p w14:paraId="3AEA74FF" w14:textId="0723AD2C" w:rsidR="009C32A9" w:rsidRPr="00D01DDB" w:rsidRDefault="009C32A9" w:rsidP="009C32A9">
            <w:pPr>
              <w:cnfStyle w:val="000000000000" w:firstRow="0" w:lastRow="0" w:firstColumn="0" w:lastColumn="0" w:oddVBand="0" w:evenVBand="0" w:oddHBand="0" w:evenHBand="0" w:firstRowFirstColumn="0" w:firstRowLastColumn="0" w:lastRowFirstColumn="0" w:lastRowLastColumn="0"/>
              <w:rPr>
                <w:szCs w:val="22"/>
              </w:rPr>
            </w:pPr>
            <w:bookmarkStart w:id="29" w:name="_Hlk137926032"/>
            <w:r w:rsidRPr="009C32A9">
              <w:rPr>
                <w:i/>
                <w:iCs/>
                <w:lang w:val="en-US"/>
              </w:rPr>
              <w:t xml:space="preserve">The vaccine should not replace standard preventive hygiene measures. </w:t>
            </w:r>
            <w:bookmarkEnd w:id="29"/>
            <w:proofErr w:type="spellStart"/>
            <w:r w:rsidRPr="009C32A9">
              <w:rPr>
                <w:i/>
                <w:iCs/>
                <w:lang w:val="en-US"/>
              </w:rPr>
              <w:t>Travellers</w:t>
            </w:r>
            <w:proofErr w:type="spellEnd"/>
            <w:r w:rsidRPr="009C32A9">
              <w:rPr>
                <w:i/>
                <w:iCs/>
                <w:lang w:val="en-US"/>
              </w:rPr>
              <w:t xml:space="preserve"> should take all necessary precautions to avoid contact with or ingestion of potentially contaminated food or water. Rehydration measures must be taken in the event of diarrhea.</w:t>
            </w:r>
          </w:p>
        </w:tc>
      </w:tr>
    </w:tbl>
    <w:p w14:paraId="6D92589C" w14:textId="77777777" w:rsidR="00324B33" w:rsidRDefault="00324B33" w:rsidP="00324B33">
      <w:pPr>
        <w:pStyle w:val="Heading2"/>
      </w:pPr>
      <w:bookmarkStart w:id="30" w:name="_Toc504480011"/>
      <w:bookmarkStart w:id="31" w:name="_Toc103679293"/>
      <w:bookmarkStart w:id="32" w:name="_Toc182833133"/>
      <w:r>
        <w:lastRenderedPageBreak/>
        <w:t>Registration timeline</w:t>
      </w:r>
      <w:bookmarkEnd w:id="30"/>
      <w:bookmarkEnd w:id="31"/>
      <w:bookmarkEnd w:id="32"/>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0AF8533B" w:rsidR="00477C4E" w:rsidRPr="00BD5DBD" w:rsidRDefault="00477C4E" w:rsidP="00324B33">
      <w:pPr>
        <w:rPr>
          <w:szCs w:val="22"/>
        </w:rPr>
      </w:pPr>
      <w:r w:rsidRPr="00BD5DBD">
        <w:rPr>
          <w:szCs w:val="22"/>
        </w:rPr>
        <w:t xml:space="preserve">This submission was evaluated under the </w:t>
      </w:r>
      <w:hyperlink r:id="rId19" w:history="1">
        <w:r w:rsidRPr="00BD5DBD">
          <w:rPr>
            <w:rStyle w:val="Hyperlink"/>
            <w:szCs w:val="22"/>
          </w:rPr>
          <w:t>standard prescription medicines registration process</w:t>
        </w:r>
      </w:hyperlink>
      <w:r w:rsidRPr="00BD5DBD">
        <w:rPr>
          <w:szCs w:val="22"/>
        </w:rPr>
        <w:t>.</w:t>
      </w:r>
    </w:p>
    <w:p w14:paraId="44628C5F" w14:textId="02A1C58D" w:rsidR="00324B33" w:rsidRPr="00457274" w:rsidRDefault="00324B33" w:rsidP="0013528C">
      <w:pPr>
        <w:pStyle w:val="TableTitle"/>
      </w:pPr>
      <w:r w:rsidRPr="00457274">
        <w:t xml:space="preserve">Table </w:t>
      </w:r>
      <w:r>
        <w:fldChar w:fldCharType="begin"/>
      </w:r>
      <w:r>
        <w:instrText xml:space="preserve"> SEQ Table \* ARABIC </w:instrText>
      </w:r>
      <w:r>
        <w:fldChar w:fldCharType="separate"/>
      </w:r>
      <w:r w:rsidR="000206CE">
        <w:rPr>
          <w:noProof/>
        </w:rPr>
        <w:t>2</w:t>
      </w:r>
      <w:r>
        <w:rPr>
          <w:noProof/>
        </w:rPr>
        <w:fldChar w:fldCharType="end"/>
      </w:r>
      <w:r w:rsidRPr="00457274">
        <w:t>: Timeline for Submission PM-202</w:t>
      </w:r>
      <w:r w:rsidR="005B5933" w:rsidRPr="00457274">
        <w:t>1</w:t>
      </w:r>
      <w:r w:rsidRPr="00457274">
        <w:t>-</w:t>
      </w:r>
      <w:r w:rsidR="005B5933" w:rsidRPr="00457274">
        <w:t>0</w:t>
      </w:r>
      <w:r w:rsidR="001B767E" w:rsidRPr="00457274">
        <w:t>4064-1-2</w:t>
      </w:r>
    </w:p>
    <w:tbl>
      <w:tblPr>
        <w:tblStyle w:val="TableTGAblue2023"/>
        <w:tblW w:w="8642" w:type="dxa"/>
        <w:tblLook w:val="04A0" w:firstRow="1" w:lastRow="0" w:firstColumn="1" w:lastColumn="0" w:noHBand="0" w:noVBand="1"/>
      </w:tblPr>
      <w:tblGrid>
        <w:gridCol w:w="5524"/>
        <w:gridCol w:w="3118"/>
      </w:tblGrid>
      <w:tr w:rsidR="00324B33" w:rsidRPr="00D01DDB" w14:paraId="6C59BE9C" w14:textId="77777777" w:rsidTr="005B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D80E78" w14:textId="3EC0CCAF" w:rsidR="00324B33" w:rsidRPr="00D01DDB" w:rsidRDefault="00324B33" w:rsidP="00324B33">
            <w:pPr>
              <w:rPr>
                <w:szCs w:val="22"/>
              </w:rPr>
            </w:pPr>
            <w:r w:rsidRPr="00D01DDB">
              <w:rPr>
                <w:szCs w:val="22"/>
              </w:rPr>
              <w:t>Description</w:t>
            </w:r>
          </w:p>
        </w:tc>
        <w:tc>
          <w:tcPr>
            <w:tcW w:w="311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3118" w:type="dxa"/>
          </w:tcPr>
          <w:p w14:paraId="2963D9D8" w14:textId="6831FD1D" w:rsidR="00324B33" w:rsidRPr="00D01DDB" w:rsidRDefault="00D25CE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July 2022</w:t>
            </w:r>
          </w:p>
        </w:tc>
      </w:tr>
      <w:tr w:rsidR="00324B33" w:rsidRPr="00D01DDB" w14:paraId="53437815"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4C037D4E" w14:textId="2B0CE255" w:rsidR="00324B33" w:rsidRPr="00D01DDB" w:rsidRDefault="00324B33" w:rsidP="00324B33">
            <w:pPr>
              <w:rPr>
                <w:szCs w:val="22"/>
              </w:rPr>
            </w:pPr>
            <w:r w:rsidRPr="00D01DDB">
              <w:rPr>
                <w:szCs w:val="22"/>
              </w:rPr>
              <w:t>First round evaluation completed</w:t>
            </w:r>
          </w:p>
        </w:tc>
        <w:tc>
          <w:tcPr>
            <w:tcW w:w="3118" w:type="dxa"/>
          </w:tcPr>
          <w:p w14:paraId="3CEAFAAB" w14:textId="4C6169B4" w:rsidR="00324B33" w:rsidRPr="00D01DDB" w:rsidRDefault="009B170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December 2022</w:t>
            </w:r>
          </w:p>
        </w:tc>
      </w:tr>
      <w:tr w:rsidR="00324B33" w:rsidRPr="00D01DDB" w14:paraId="60DA57CC"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3118" w:type="dxa"/>
          </w:tcPr>
          <w:p w14:paraId="68A577C1" w14:textId="212AAB7C" w:rsidR="00324B33" w:rsidRPr="00D01DDB" w:rsidRDefault="00D8136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January 2023</w:t>
            </w:r>
          </w:p>
        </w:tc>
      </w:tr>
      <w:tr w:rsidR="00324B33" w:rsidRPr="00D01DDB" w14:paraId="767E33A4"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4AFC5B50" w14:textId="2BCC6A3E" w:rsidR="00324B33" w:rsidRPr="00D01DDB" w:rsidRDefault="00324B33" w:rsidP="00324B33">
            <w:pPr>
              <w:rPr>
                <w:szCs w:val="22"/>
              </w:rPr>
            </w:pPr>
            <w:r w:rsidRPr="00D01DDB">
              <w:rPr>
                <w:szCs w:val="22"/>
              </w:rPr>
              <w:t>Second round evaluation completed</w:t>
            </w:r>
          </w:p>
        </w:tc>
        <w:tc>
          <w:tcPr>
            <w:tcW w:w="3118" w:type="dxa"/>
          </w:tcPr>
          <w:p w14:paraId="4E47DF62" w14:textId="6658AB7B" w:rsidR="00324B33" w:rsidRPr="00D01DDB" w:rsidRDefault="009B170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March 2023</w:t>
            </w:r>
          </w:p>
        </w:tc>
      </w:tr>
      <w:tr w:rsidR="001D0990" w:rsidRPr="00D01DDB" w14:paraId="6FF3BCEE"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15A06C05" w14:textId="3FB05392" w:rsidR="001D0990" w:rsidRPr="00D01DDB" w:rsidRDefault="005F598E" w:rsidP="00324B33">
            <w:pPr>
              <w:rPr>
                <w:szCs w:val="22"/>
              </w:rPr>
            </w:pPr>
            <w:r>
              <w:t xml:space="preserve">Sponsor’s </w:t>
            </w:r>
            <w:r w:rsidRPr="00020FF2">
              <w:t>notification to the TGA of errors/omissions in evaluation reports</w:t>
            </w:r>
          </w:p>
        </w:tc>
        <w:tc>
          <w:tcPr>
            <w:tcW w:w="3118" w:type="dxa"/>
          </w:tcPr>
          <w:p w14:paraId="465CC4B9" w14:textId="1F8A660A" w:rsidR="001D0990" w:rsidRDefault="002302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March 2023</w:t>
            </w:r>
          </w:p>
        </w:tc>
      </w:tr>
      <w:tr w:rsidR="00324B33" w:rsidRPr="00D01DDB" w14:paraId="302FCB45"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716E9DC1" w14:textId="57854429" w:rsidR="00324B33" w:rsidRPr="00D01DDB" w:rsidRDefault="00324B33" w:rsidP="00324B33">
            <w:pPr>
              <w:rPr>
                <w:szCs w:val="22"/>
              </w:rPr>
            </w:pPr>
            <w:r w:rsidRPr="00D01DDB">
              <w:rPr>
                <w:szCs w:val="22"/>
              </w:rPr>
              <w:t xml:space="preserve">Delegate’s Overall benefit-risk assessment </w:t>
            </w:r>
            <w:r w:rsidRPr="005B5933">
              <w:rPr>
                <w:szCs w:val="22"/>
              </w:rPr>
              <w:t>and request for Advisory Committee advice</w:t>
            </w:r>
            <w:r w:rsidR="00820D9C">
              <w:rPr>
                <w:rStyle w:val="FootnoteReference"/>
                <w:szCs w:val="22"/>
              </w:rPr>
              <w:footnoteReference w:id="8"/>
            </w:r>
          </w:p>
        </w:tc>
        <w:tc>
          <w:tcPr>
            <w:tcW w:w="3118" w:type="dxa"/>
          </w:tcPr>
          <w:p w14:paraId="3BA6EF79" w14:textId="7174E5D7" w:rsidR="00324B33" w:rsidRPr="00D01DDB" w:rsidRDefault="00330D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June 2023</w:t>
            </w:r>
          </w:p>
        </w:tc>
      </w:tr>
      <w:tr w:rsidR="00324B33" w:rsidRPr="00D01DDB" w14:paraId="5832EBC8"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720592DE" w14:textId="1F72CD22" w:rsidR="00324B33" w:rsidRPr="00D01DDB" w:rsidRDefault="00324B33" w:rsidP="00324B33">
            <w:pPr>
              <w:rPr>
                <w:szCs w:val="22"/>
              </w:rPr>
            </w:pPr>
            <w:r w:rsidRPr="00D01DDB">
              <w:rPr>
                <w:szCs w:val="22"/>
              </w:rPr>
              <w:t>Sponsor’s pre-Advisory Committee response</w:t>
            </w:r>
          </w:p>
        </w:tc>
        <w:tc>
          <w:tcPr>
            <w:tcW w:w="3118" w:type="dxa"/>
          </w:tcPr>
          <w:p w14:paraId="5AE04841" w14:textId="1383C7EC" w:rsidR="00324B33" w:rsidRPr="00D01DDB" w:rsidRDefault="001E2E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July 2023</w:t>
            </w:r>
          </w:p>
        </w:tc>
      </w:tr>
      <w:tr w:rsidR="00324B33" w:rsidRPr="00D01DDB" w14:paraId="5754F7AC"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789DE187" w14:textId="123446EE" w:rsidR="00324B33" w:rsidRPr="00D01DDB" w:rsidRDefault="00324B33" w:rsidP="00324B33">
            <w:pPr>
              <w:rPr>
                <w:szCs w:val="22"/>
              </w:rPr>
            </w:pPr>
            <w:r w:rsidRPr="00D01DDB">
              <w:rPr>
                <w:szCs w:val="22"/>
              </w:rPr>
              <w:t>Advisory Committee meeting</w:t>
            </w:r>
          </w:p>
        </w:tc>
        <w:tc>
          <w:tcPr>
            <w:tcW w:w="3118" w:type="dxa"/>
          </w:tcPr>
          <w:p w14:paraId="5BE1EDE7" w14:textId="57AB559D" w:rsidR="00324B33" w:rsidRPr="00D01DDB" w:rsidRDefault="00B0372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August 2023</w:t>
            </w:r>
          </w:p>
        </w:tc>
      </w:tr>
      <w:tr w:rsidR="00324B33" w:rsidRPr="00D01DDB" w14:paraId="6E5D32FE"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4E95C44C" w14:textId="7A91C710" w:rsidR="00324B33" w:rsidRPr="00D01DDB" w:rsidRDefault="00324B33" w:rsidP="00324B33">
            <w:pPr>
              <w:rPr>
                <w:szCs w:val="22"/>
              </w:rPr>
            </w:pPr>
            <w:r w:rsidRPr="00D01DDB">
              <w:rPr>
                <w:szCs w:val="22"/>
              </w:rPr>
              <w:t>Registration decision (Outcome)</w:t>
            </w:r>
          </w:p>
        </w:tc>
        <w:tc>
          <w:tcPr>
            <w:tcW w:w="3118" w:type="dxa"/>
          </w:tcPr>
          <w:p w14:paraId="62987ABD" w14:textId="4266F855" w:rsidR="00324B33" w:rsidRPr="00D01DDB" w:rsidRDefault="00D25CE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September 2023</w:t>
            </w:r>
          </w:p>
        </w:tc>
      </w:tr>
      <w:tr w:rsidR="00324B33" w:rsidRPr="00D01DDB" w14:paraId="6DDCDDA4"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192FD19D" w14:textId="7D5F96C5" w:rsidR="00324B33" w:rsidRPr="00D01DDB" w:rsidRDefault="0013132F" w:rsidP="00324B33">
            <w:pPr>
              <w:rPr>
                <w:szCs w:val="22"/>
              </w:rPr>
            </w:pPr>
            <w:r>
              <w:t>Administrative activities and registration on the ARTG completed</w:t>
            </w:r>
          </w:p>
        </w:tc>
        <w:tc>
          <w:tcPr>
            <w:tcW w:w="3118" w:type="dxa"/>
          </w:tcPr>
          <w:p w14:paraId="5A8923FD" w14:textId="1B79A16A" w:rsidR="00324B33" w:rsidRPr="00D01DDB" w:rsidRDefault="00D25CE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September 2023</w:t>
            </w:r>
          </w:p>
        </w:tc>
      </w:tr>
      <w:tr w:rsidR="00324B33" w:rsidRPr="00D01DDB" w14:paraId="56D922E2" w14:textId="77777777" w:rsidTr="005B5933">
        <w:tc>
          <w:tcPr>
            <w:cnfStyle w:val="001000000000" w:firstRow="0" w:lastRow="0" w:firstColumn="1" w:lastColumn="0" w:oddVBand="0" w:evenVBand="0" w:oddHBand="0" w:evenHBand="0" w:firstRowFirstColumn="0" w:firstRowLastColumn="0" w:lastRowFirstColumn="0" w:lastRowLastColumn="0"/>
            <w:tcW w:w="5524"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3118" w:type="dxa"/>
          </w:tcPr>
          <w:p w14:paraId="5BAF9FA1" w14:textId="0EA7438D" w:rsidR="00324B33" w:rsidRPr="00D01DDB" w:rsidRDefault="00D25CE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209</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3" w:name="_Toc196046504"/>
      <w:bookmarkStart w:id="34" w:name="_Toc247691527"/>
      <w:bookmarkStart w:id="35" w:name="_Toc314842510"/>
      <w:bookmarkStart w:id="36" w:name="_Toc103679294"/>
      <w:bookmarkStart w:id="37" w:name="_Toc18283313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3"/>
      <w:bookmarkEnd w:id="34"/>
      <w:bookmarkEnd w:id="35"/>
      <w:bookmarkEnd w:id="36"/>
      <w:bookmarkEnd w:id="37"/>
    </w:p>
    <w:p w14:paraId="5F5FAA14" w14:textId="77777777" w:rsidR="00C22214" w:rsidRPr="00BD5DBD" w:rsidRDefault="00C22214" w:rsidP="00C22214">
      <w:pPr>
        <w:rPr>
          <w:szCs w:val="22"/>
        </w:rPr>
      </w:pPr>
      <w:bookmarkStart w:id="38" w:name="_Toc247691528"/>
      <w:bookmarkStart w:id="39"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40" w:name="_Toc103679295"/>
      <w:bookmarkStart w:id="41" w:name="_Toc182833135"/>
      <w:r>
        <w:t>Quality</w:t>
      </w:r>
      <w:bookmarkEnd w:id="38"/>
      <w:bookmarkEnd w:id="39"/>
      <w:bookmarkEnd w:id="40"/>
      <w:bookmarkEnd w:id="41"/>
    </w:p>
    <w:p w14:paraId="4A736E24" w14:textId="77777777" w:rsidR="00AB3E33" w:rsidRPr="00BA7039" w:rsidRDefault="00AB3E33" w:rsidP="00693AAD">
      <w:proofErr w:type="spellStart"/>
      <w:r w:rsidRPr="00BA7039">
        <w:t>Vaxchora</w:t>
      </w:r>
      <w:proofErr w:type="spellEnd"/>
      <w:r w:rsidRPr="00BA7039">
        <w:t xml:space="preserve"> is a lyophilised, live attenuated bacterial vaccine suspension for oral administration </w:t>
      </w:r>
      <w:r w:rsidRPr="002F02EA">
        <w:t xml:space="preserve">containing the </w:t>
      </w:r>
      <w:r w:rsidRPr="002F02EA">
        <w:rPr>
          <w:i/>
          <w:iCs/>
        </w:rPr>
        <w:t>V. cholerae</w:t>
      </w:r>
      <w:r w:rsidRPr="002F02EA">
        <w:t xml:space="preserve"> strain CVD 103-HgR.</w:t>
      </w:r>
    </w:p>
    <w:p w14:paraId="57B4786A" w14:textId="65D5DF36" w:rsidR="00E64AA0" w:rsidRPr="00BA7039" w:rsidRDefault="00395F43" w:rsidP="00693AAD">
      <w:r w:rsidRPr="00BA7039">
        <w:t xml:space="preserve">A typical </w:t>
      </w:r>
      <w:r w:rsidRPr="00BA7039">
        <w:rPr>
          <w:i/>
          <w:iCs/>
        </w:rPr>
        <w:t xml:space="preserve">V. cholerae </w:t>
      </w:r>
      <w:r w:rsidRPr="00BA7039">
        <w:t xml:space="preserve">strain is a comma-shaped Gram-negative rod. The CVD 103-HgR strain of </w:t>
      </w:r>
      <w:r w:rsidRPr="00BA7039">
        <w:rPr>
          <w:i/>
          <w:iCs/>
        </w:rPr>
        <w:t>V.</w:t>
      </w:r>
      <w:r w:rsidR="003A39AE" w:rsidRPr="00BA7039">
        <w:rPr>
          <w:i/>
          <w:iCs/>
        </w:rPr>
        <w:t> </w:t>
      </w:r>
      <w:r w:rsidRPr="00BA7039">
        <w:rPr>
          <w:i/>
          <w:iCs/>
        </w:rPr>
        <w:t xml:space="preserve">cholerae </w:t>
      </w:r>
      <w:r w:rsidRPr="00BA7039">
        <w:t>is comma shaped and stained in red or pink with Gram stain, indicative of a Gram-</w:t>
      </w:r>
      <w:r w:rsidRPr="00BA7039">
        <w:lastRenderedPageBreak/>
        <w:t xml:space="preserve">negative rod. In addition, the typical morphology for </w:t>
      </w:r>
      <w:r w:rsidRPr="00BA7039">
        <w:rPr>
          <w:i/>
          <w:iCs/>
        </w:rPr>
        <w:t xml:space="preserve">V. cholerae </w:t>
      </w:r>
      <w:r w:rsidRPr="00BA7039">
        <w:t xml:space="preserve">colonies on Trypticase Soy Agar plates are </w:t>
      </w:r>
      <w:proofErr w:type="gramStart"/>
      <w:r w:rsidRPr="00BA7039">
        <w:t>large in size</w:t>
      </w:r>
      <w:proofErr w:type="gramEnd"/>
      <w:r w:rsidRPr="00BA7039">
        <w:t>, round, and flat in shape, with a shiny texture and tan colour.</w:t>
      </w:r>
    </w:p>
    <w:p w14:paraId="17F49B0A" w14:textId="3DFA3B1E" w:rsidR="005C7410" w:rsidRPr="00BA7039" w:rsidRDefault="005C7410" w:rsidP="00693AAD">
      <w:r w:rsidRPr="00BA7039">
        <w:t>The vaccine consists of a co-package of a single dose sachet containing vaccine powder for reconstitution, and a separate single dose sachet containing buffer powder for reconstitution</w:t>
      </w:r>
      <w:r w:rsidRPr="00BA7039">
        <w:rPr>
          <w:rFonts w:cstheme="minorHAnsi"/>
        </w:rPr>
        <w:t>. The buffer and vaccine are reconstituted in 100</w:t>
      </w:r>
      <w:r w:rsidR="007354CB" w:rsidRPr="00BA7039">
        <w:rPr>
          <w:rFonts w:cstheme="minorHAnsi"/>
        </w:rPr>
        <w:t> </w:t>
      </w:r>
      <w:r w:rsidRPr="00BA7039">
        <w:rPr>
          <w:rFonts w:cstheme="minorHAnsi"/>
        </w:rPr>
        <w:t>mL of cold or room temperature (5</w:t>
      </w:r>
      <w:r w:rsidRPr="00BA7039">
        <w:rPr>
          <w:rFonts w:cstheme="minorHAnsi"/>
        </w:rPr>
        <w:noBreakHyphen/>
        <w:t>22°C) bottled water (purified, spring, or sparkling/carbonated), by mixing and dissolving the buffer powder first followed by the active component. The reco</w:t>
      </w:r>
      <w:r w:rsidRPr="00BA7039">
        <w:t>nstituted vaccine is a non-sterile orally administered product that contains 4</w:t>
      </w:r>
      <w:r w:rsidR="00301678">
        <w:t> </w:t>
      </w:r>
      <w:r w:rsidRPr="00BA7039">
        <w:t>×</w:t>
      </w:r>
      <w:r w:rsidR="00301678">
        <w:t> </w:t>
      </w:r>
      <w:r w:rsidRPr="00BA7039">
        <w:t>10</w:t>
      </w:r>
      <w:r w:rsidRPr="00BA7039">
        <w:rPr>
          <w:vertAlign w:val="superscript"/>
        </w:rPr>
        <w:t>8</w:t>
      </w:r>
      <w:r w:rsidRPr="00BA7039">
        <w:t xml:space="preserve"> to 2</w:t>
      </w:r>
      <w:r w:rsidR="00301678">
        <w:t> </w:t>
      </w:r>
      <w:r w:rsidRPr="00BA7039">
        <w:t>×</w:t>
      </w:r>
      <w:r w:rsidR="00301678">
        <w:t> </w:t>
      </w:r>
      <w:r w:rsidRPr="00BA7039">
        <w:t>10</w:t>
      </w:r>
      <w:r w:rsidRPr="00BA7039">
        <w:rPr>
          <w:vertAlign w:val="superscript"/>
        </w:rPr>
        <w:t>9</w:t>
      </w:r>
      <w:r w:rsidRPr="00BA7039">
        <w:t xml:space="preserve"> colony-forming units (CFU) of live attenuated </w:t>
      </w:r>
      <w:r w:rsidRPr="00BA7039">
        <w:rPr>
          <w:i/>
          <w:iCs/>
        </w:rPr>
        <w:t>V.</w:t>
      </w:r>
      <w:r w:rsidR="00164370" w:rsidRPr="00BA7039">
        <w:rPr>
          <w:i/>
          <w:iCs/>
        </w:rPr>
        <w:t> </w:t>
      </w:r>
      <w:r w:rsidRPr="00BA7039">
        <w:rPr>
          <w:i/>
          <w:iCs/>
        </w:rPr>
        <w:t>cholerae</w:t>
      </w:r>
      <w:r w:rsidRPr="00BA7039">
        <w:t xml:space="preserve"> VCD 103-HgR.</w:t>
      </w:r>
    </w:p>
    <w:p w14:paraId="66CF3B83" w14:textId="50A2659C" w:rsidR="00FC13FD" w:rsidRPr="00BA7039" w:rsidRDefault="00FC13FD" w:rsidP="00693AAD">
      <w:r w:rsidRPr="00BA7039">
        <w:t xml:space="preserve">The excipients present in the active ingredient sachet are compatible with </w:t>
      </w:r>
      <w:r w:rsidRPr="00BA7039">
        <w:rPr>
          <w:i/>
          <w:iCs/>
        </w:rPr>
        <w:t>V. cholerae</w:t>
      </w:r>
      <w:r w:rsidRPr="00BA7039">
        <w:t xml:space="preserve"> and were selected to be protective of live bacteria during and after lyophili</w:t>
      </w:r>
      <w:r w:rsidR="004D4B73">
        <w:t>s</w:t>
      </w:r>
      <w:r w:rsidRPr="00BA7039">
        <w:t>ation.</w:t>
      </w:r>
    </w:p>
    <w:p w14:paraId="3BAF5B4D" w14:textId="59847ED6" w:rsidR="008F7669" w:rsidRPr="00BA7039" w:rsidRDefault="008F7669" w:rsidP="00693AAD">
      <w:r w:rsidRPr="00BA7039">
        <w:t>The buffer contains sodium bicarbonate and sodium carbonate as the major ingredient and functions to neutralise stomach acid.</w:t>
      </w:r>
    </w:p>
    <w:p w14:paraId="480D2F74" w14:textId="66DF7ECC" w:rsidR="00611DDC" w:rsidRPr="00BA7039" w:rsidRDefault="00611DDC" w:rsidP="00693AAD">
      <w:r w:rsidRPr="00BA7039">
        <w:t xml:space="preserve">The data provided support the 18-month shelf-life of the </w:t>
      </w:r>
      <w:r w:rsidR="005E6ABD" w:rsidRPr="00BA7039">
        <w:t>active ingredient sachet</w:t>
      </w:r>
      <w:r w:rsidRPr="00BA7039">
        <w:t xml:space="preserve"> when stored at 2°C to 8°C (Refrigerate). The stability data </w:t>
      </w:r>
      <w:r w:rsidR="00461009" w:rsidRPr="00BA7039">
        <w:t xml:space="preserve">also support that the </w:t>
      </w:r>
      <w:r w:rsidRPr="00BA7039">
        <w:t xml:space="preserve">buffer </w:t>
      </w:r>
      <w:r w:rsidR="00461009" w:rsidRPr="00BA7039">
        <w:t xml:space="preserve">sachet </w:t>
      </w:r>
      <w:r w:rsidRPr="00BA7039">
        <w:t>is stable to 36</w:t>
      </w:r>
      <w:r w:rsidR="00461009" w:rsidRPr="00BA7039">
        <w:t> </w:t>
      </w:r>
      <w:r w:rsidRPr="00BA7039">
        <w:t>months when stored at 2°C to 8°C (Refrigerate).</w:t>
      </w:r>
    </w:p>
    <w:p w14:paraId="0B2BF058" w14:textId="77777777" w:rsidR="003A39AE" w:rsidRPr="003A39AE" w:rsidRDefault="003A39AE" w:rsidP="00693AAD">
      <w:pPr>
        <w:rPr>
          <w:rFonts w:eastAsia="MS Mincho"/>
          <w:lang w:eastAsia="ja-JP"/>
        </w:rPr>
      </w:pPr>
      <w:r w:rsidRPr="00E8410A">
        <w:t xml:space="preserve">The Quality evaluation was undertaken by Health Canada as per the Access Workshare arrangement. Based on Health Canada’s report and communication with the Health Canada evaluator, the TGA Quality reviewer concluded that the sponsor has provided adequate </w:t>
      </w:r>
      <w:r w:rsidRPr="003A39AE">
        <w:t>information to ensure the product’s quality under full registration.</w:t>
      </w:r>
    </w:p>
    <w:p w14:paraId="2FB00476" w14:textId="77777777" w:rsidR="003A39AE" w:rsidRDefault="003A39AE" w:rsidP="003A39AE">
      <w:pPr>
        <w:rPr>
          <w:rFonts w:eastAsia="Times New Roman"/>
          <w:lang w:eastAsia="ja-JP"/>
        </w:rPr>
      </w:pPr>
      <w:r w:rsidRPr="003A39AE">
        <w:rPr>
          <w:rFonts w:eastAsia="Times New Roman"/>
          <w:lang w:eastAsia="ja-JP"/>
        </w:rPr>
        <w:t>The quality evaluator recommended conditions of registration relating to batch release and provision of Certified Product Details.</w:t>
      </w:r>
    </w:p>
    <w:p w14:paraId="2BE90AAE" w14:textId="77777777" w:rsidR="00C22214" w:rsidRDefault="00C22214" w:rsidP="00693AAD">
      <w:pPr>
        <w:pStyle w:val="Heading3"/>
      </w:pPr>
      <w:bookmarkStart w:id="42" w:name="_Toc314842512"/>
      <w:bookmarkStart w:id="43" w:name="_Toc103679296"/>
      <w:bookmarkStart w:id="44" w:name="_Toc182833136"/>
      <w:r w:rsidRPr="007D50CB">
        <w:t>Nonclinical</w:t>
      </w:r>
      <w:bookmarkEnd w:id="42"/>
      <w:bookmarkEnd w:id="43"/>
      <w:bookmarkEnd w:id="44"/>
    </w:p>
    <w:p w14:paraId="62C2FEDA" w14:textId="73D83D12" w:rsidR="007F0D8D" w:rsidRPr="008A75C4" w:rsidRDefault="007F0D8D" w:rsidP="007F0D8D">
      <w:pPr>
        <w:rPr>
          <w:iCs/>
        </w:rPr>
      </w:pPr>
      <w:bookmarkStart w:id="45" w:name="_Toc247691530"/>
      <w:bookmarkStart w:id="46" w:name="_Toc314842513"/>
      <w:bookmarkStart w:id="47" w:name="_Toc103679297"/>
      <w:r w:rsidRPr="008A75C4">
        <w:rPr>
          <w:iCs/>
        </w:rPr>
        <w:t>No nonclinical data were provided in this application. The sponsor provided the following justifications:</w:t>
      </w:r>
    </w:p>
    <w:p w14:paraId="6DB7EF39" w14:textId="77777777" w:rsidR="007F0D8D" w:rsidRPr="008A75C4" w:rsidRDefault="007F0D8D" w:rsidP="00CB7A23">
      <w:pPr>
        <w:pStyle w:val="ListBullet"/>
      </w:pPr>
      <w:r w:rsidRPr="008A75C4">
        <w:rPr>
          <w:i/>
        </w:rPr>
        <w:t>V. cholerae</w:t>
      </w:r>
      <w:r w:rsidRPr="008A75C4">
        <w:t xml:space="preserve"> is a human pathogen and there is no valid animal model available to assess safety or predict the mucosal immune response to vaccine.</w:t>
      </w:r>
    </w:p>
    <w:p w14:paraId="44614B7A" w14:textId="77777777" w:rsidR="007F0D8D" w:rsidRPr="008A75C4" w:rsidRDefault="007F0D8D" w:rsidP="00CB7A23">
      <w:pPr>
        <w:pStyle w:val="ListBullet"/>
      </w:pPr>
      <w:r w:rsidRPr="008A75C4">
        <w:t>The pathogen is unable to multiply in the healthy adult animal; therefore, animal studies would not identify potential toxicity or any immune response.</w:t>
      </w:r>
    </w:p>
    <w:p w14:paraId="63996534" w14:textId="4906FF38" w:rsidR="007F0D8D" w:rsidRPr="008A75C4" w:rsidRDefault="007A76EC" w:rsidP="00CB7A23">
      <w:pPr>
        <w:pStyle w:val="ListBullet"/>
      </w:pPr>
      <w:r w:rsidRPr="008A75C4">
        <w:t>The o</w:t>
      </w:r>
      <w:r w:rsidR="007F0D8D" w:rsidRPr="008A75C4">
        <w:t xml:space="preserve">nly animal models available to study cholera disease are infant rabbits, infant mice, ileal loops modified rabbits, </w:t>
      </w:r>
      <w:r w:rsidRPr="008A75C4">
        <w:t xml:space="preserve">and </w:t>
      </w:r>
      <w:r w:rsidR="007F0D8D" w:rsidRPr="008A75C4">
        <w:t>adult mice with Removable Intestinal Tie-Adult Rabbit (RITARD). Therefore, single or repeat dose, carcinogenicity or reproductive studies would not serve relevant purpose</w:t>
      </w:r>
      <w:r w:rsidR="00301678">
        <w:t>s in</w:t>
      </w:r>
      <w:r w:rsidR="007F0D8D" w:rsidRPr="008A75C4">
        <w:t xml:space="preserve"> these models.</w:t>
      </w:r>
    </w:p>
    <w:p w14:paraId="0ECC6C96" w14:textId="48BD88B0" w:rsidR="007F0D8D" w:rsidRPr="007D5A7F" w:rsidRDefault="007F0D8D" w:rsidP="007D50CB">
      <w:r w:rsidRPr="008A75C4">
        <w:t xml:space="preserve">Given the history of clinical use of cholera vaccines containing the </w:t>
      </w:r>
      <w:r w:rsidR="004644AE" w:rsidRPr="008A75C4">
        <w:t xml:space="preserve">CVD 103-HgR </w:t>
      </w:r>
      <w:r w:rsidRPr="008A75C4">
        <w:t>strain, the nonclinical evaluat</w:t>
      </w:r>
      <w:r w:rsidR="00301678">
        <w:t>ion</w:t>
      </w:r>
      <w:r w:rsidRPr="008A75C4">
        <w:t xml:space="preserve"> concluded that the sponsor’s justifications for not providing nonclinical data were acceptable</w:t>
      </w:r>
      <w:r w:rsidR="008A75C4" w:rsidRPr="008A75C4">
        <w:t>.</w:t>
      </w:r>
    </w:p>
    <w:p w14:paraId="35B580A5" w14:textId="69B9BE44" w:rsidR="00C22214" w:rsidRDefault="00C22214" w:rsidP="008804CF">
      <w:pPr>
        <w:pStyle w:val="Heading3"/>
      </w:pPr>
      <w:bookmarkStart w:id="48" w:name="_Toc182833137"/>
      <w:r>
        <w:t>Clinical</w:t>
      </w:r>
      <w:bookmarkEnd w:id="45"/>
      <w:bookmarkEnd w:id="46"/>
      <w:bookmarkEnd w:id="47"/>
      <w:bookmarkEnd w:id="48"/>
    </w:p>
    <w:p w14:paraId="32B0DEDA" w14:textId="77777777" w:rsidR="00C22214" w:rsidRPr="00433318" w:rsidRDefault="00C22214" w:rsidP="00433318">
      <w:pPr>
        <w:pStyle w:val="Heading4"/>
      </w:pPr>
      <w:bookmarkStart w:id="49" w:name="_Toc98931928"/>
      <w:bookmarkStart w:id="50" w:name="_Toc182833138"/>
      <w:r>
        <w:t>Summary of clinical studies</w:t>
      </w:r>
      <w:bookmarkEnd w:id="49"/>
      <w:bookmarkEnd w:id="50"/>
    </w:p>
    <w:p w14:paraId="53D10E9A" w14:textId="77777777" w:rsidR="00D50233" w:rsidRDefault="00C22214" w:rsidP="00C22214">
      <w:pPr>
        <w:rPr>
          <w:iCs/>
        </w:rPr>
      </w:pPr>
      <w:r w:rsidRPr="00BD5DBD">
        <w:rPr>
          <w:szCs w:val="22"/>
        </w:rPr>
        <w:t>The clinical dossier consisted of</w:t>
      </w:r>
      <w:r w:rsidR="00D50233">
        <w:rPr>
          <w:szCs w:val="22"/>
        </w:rPr>
        <w:t xml:space="preserve"> 5</w:t>
      </w:r>
      <w:r w:rsidR="00D50233" w:rsidRPr="008578D8">
        <w:rPr>
          <w:iCs/>
        </w:rPr>
        <w:t xml:space="preserve"> clinical studies</w:t>
      </w:r>
      <w:r w:rsidR="00D50233">
        <w:rPr>
          <w:iCs/>
        </w:rPr>
        <w:t>:</w:t>
      </w:r>
    </w:p>
    <w:p w14:paraId="5A00E1FD" w14:textId="5EF47A66" w:rsidR="00E41EF9" w:rsidRPr="00BD5DBD" w:rsidRDefault="00E41EF9" w:rsidP="00E41EF9">
      <w:pPr>
        <w:pStyle w:val="ListBullet"/>
        <w:rPr>
          <w:szCs w:val="22"/>
        </w:rPr>
      </w:pPr>
      <w:r>
        <w:rPr>
          <w:szCs w:val="22"/>
        </w:rPr>
        <w:lastRenderedPageBreak/>
        <w:t>one</w:t>
      </w:r>
      <w:r w:rsidRPr="00BD5DBD">
        <w:rPr>
          <w:szCs w:val="22"/>
        </w:rPr>
        <w:t xml:space="preserve"> </w:t>
      </w:r>
      <w:r w:rsidR="00E455B0">
        <w:rPr>
          <w:szCs w:val="22"/>
        </w:rPr>
        <w:t>p</w:t>
      </w:r>
      <w:r w:rsidRPr="00BD5DBD">
        <w:rPr>
          <w:szCs w:val="22"/>
        </w:rPr>
        <w:t>hase I stud</w:t>
      </w:r>
      <w:r>
        <w:rPr>
          <w:szCs w:val="22"/>
        </w:rPr>
        <w:t>y</w:t>
      </w:r>
    </w:p>
    <w:p w14:paraId="6EEA8EC2" w14:textId="33092BE8" w:rsidR="00E41EF9" w:rsidRDefault="00D517A7" w:rsidP="00E41EF9">
      <w:pPr>
        <w:pStyle w:val="ListBullet"/>
        <w:rPr>
          <w:szCs w:val="22"/>
        </w:rPr>
      </w:pPr>
      <w:r>
        <w:rPr>
          <w:szCs w:val="22"/>
        </w:rPr>
        <w:t>3</w:t>
      </w:r>
      <w:r w:rsidR="00E41EF9" w:rsidRPr="00BD5DBD">
        <w:rPr>
          <w:szCs w:val="22"/>
        </w:rPr>
        <w:t xml:space="preserve"> </w:t>
      </w:r>
      <w:r w:rsidR="00E455B0">
        <w:rPr>
          <w:szCs w:val="22"/>
        </w:rPr>
        <w:t>p</w:t>
      </w:r>
      <w:r w:rsidR="00E41EF9" w:rsidRPr="00BD5DBD">
        <w:rPr>
          <w:szCs w:val="22"/>
        </w:rPr>
        <w:t>hase II</w:t>
      </w:r>
      <w:r w:rsidR="00E41EF9">
        <w:rPr>
          <w:szCs w:val="22"/>
        </w:rPr>
        <w:t>I</w:t>
      </w:r>
      <w:r w:rsidR="00E41EF9" w:rsidRPr="00BD5DBD">
        <w:rPr>
          <w:szCs w:val="22"/>
        </w:rPr>
        <w:t xml:space="preserve"> studies</w:t>
      </w:r>
    </w:p>
    <w:p w14:paraId="37739F3D" w14:textId="79C93429" w:rsidR="00E41EF9" w:rsidRPr="00BD5DBD" w:rsidRDefault="00E41EF9" w:rsidP="00E41EF9">
      <w:pPr>
        <w:pStyle w:val="ListBullet"/>
        <w:rPr>
          <w:szCs w:val="22"/>
        </w:rPr>
      </w:pPr>
      <w:r>
        <w:rPr>
          <w:szCs w:val="22"/>
        </w:rPr>
        <w:t xml:space="preserve">one </w:t>
      </w:r>
      <w:r w:rsidR="00E455B0">
        <w:rPr>
          <w:szCs w:val="22"/>
        </w:rPr>
        <w:t>p</w:t>
      </w:r>
      <w:r>
        <w:rPr>
          <w:szCs w:val="22"/>
        </w:rPr>
        <w:t>hase IV study</w:t>
      </w:r>
    </w:p>
    <w:p w14:paraId="1669D833" w14:textId="401A3EBC" w:rsidR="003715F7" w:rsidRDefault="003715F7" w:rsidP="007D50CB">
      <w:r w:rsidRPr="008578D8">
        <w:t xml:space="preserve">Each clinical trial used a single oral dose of </w:t>
      </w:r>
      <w:proofErr w:type="spellStart"/>
      <w:r w:rsidRPr="008578D8">
        <w:t>V</w:t>
      </w:r>
      <w:r>
        <w:t>axchora</w:t>
      </w:r>
      <w:proofErr w:type="spellEnd"/>
      <w:r>
        <w:t xml:space="preserve"> vacc</w:t>
      </w:r>
      <w:r w:rsidRPr="008578D8">
        <w:t xml:space="preserve">ine, and all studies were randomised, double-blind, and </w:t>
      </w:r>
      <w:r w:rsidR="00E455B0" w:rsidRPr="008578D8">
        <w:t>placebo controlled</w:t>
      </w:r>
      <w:r w:rsidRPr="008578D8">
        <w:t>.</w:t>
      </w:r>
    </w:p>
    <w:p w14:paraId="210685A6" w14:textId="4A4AB37A" w:rsidR="000F0971" w:rsidRDefault="000F0971" w:rsidP="007D50CB">
      <w:r w:rsidRPr="00017A52">
        <w:t>Safety and immunogenicity were assessed in each trial</w:t>
      </w:r>
      <w:r>
        <w:t>. Safety follow-up was for 6 months post-vaccination in each trial, and vaccine reactogenicity was solicited using a memory aid for 7 days post-vaccination.</w:t>
      </w:r>
    </w:p>
    <w:p w14:paraId="238AC4F7" w14:textId="72E4C771" w:rsidR="0045229C" w:rsidRPr="00433318" w:rsidRDefault="0045229C" w:rsidP="0045229C">
      <w:pPr>
        <w:pStyle w:val="Heading4"/>
      </w:pPr>
      <w:bookmarkStart w:id="51" w:name="_Toc182833139"/>
      <w:r w:rsidRPr="0011505C">
        <w:t>Corr</w:t>
      </w:r>
      <w:r w:rsidR="00450A36" w:rsidRPr="0011505C">
        <w:t>e</w:t>
      </w:r>
      <w:r w:rsidRPr="0011505C">
        <w:t>lates of protection</w:t>
      </w:r>
      <w:bookmarkEnd w:id="51"/>
    </w:p>
    <w:p w14:paraId="21388AB7" w14:textId="6C6179A5" w:rsidR="007E155B" w:rsidRDefault="007E155B" w:rsidP="007E155B">
      <w:r>
        <w:t xml:space="preserve">The </w:t>
      </w:r>
      <w:proofErr w:type="spellStart"/>
      <w:r>
        <w:t>vibriocidal</w:t>
      </w:r>
      <w:proofErr w:type="spellEnd"/>
      <w:r>
        <w:t xml:space="preserve"> antibody remains the best accepted correlate of protection for cholera, however it is not an absolute correlate of protection</w:t>
      </w:r>
      <w:r w:rsidR="00D54DAB">
        <w:t>:</w:t>
      </w:r>
      <w:r w:rsidR="00271A42">
        <w:t xml:space="preserve"> </w:t>
      </w:r>
      <w:r>
        <w:t xml:space="preserve">‘There is no threshold </w:t>
      </w:r>
      <w:proofErr w:type="spellStart"/>
      <w:r>
        <w:t>vibriocidal</w:t>
      </w:r>
      <w:proofErr w:type="spellEnd"/>
      <w:r>
        <w:t xml:space="preserve"> titre at which 100% protection against cholera is observed</w:t>
      </w:r>
      <w:r w:rsidR="00301678">
        <w:t>’</w:t>
      </w:r>
      <w:r>
        <w:t>.</w:t>
      </w:r>
      <w:r>
        <w:rPr>
          <w:rStyle w:val="FootnoteReference"/>
        </w:rPr>
        <w:footnoteReference w:id="9"/>
      </w:r>
    </w:p>
    <w:p w14:paraId="112E4C86" w14:textId="1D495632" w:rsidR="007E155B" w:rsidRDefault="007E155B" w:rsidP="007E155B">
      <w:r w:rsidRPr="00B012CD">
        <w:t xml:space="preserve">For this submission, the </w:t>
      </w:r>
      <w:proofErr w:type="spellStart"/>
      <w:r w:rsidRPr="00B012CD">
        <w:t>vibriocidal</w:t>
      </w:r>
      <w:proofErr w:type="spellEnd"/>
      <w:r w:rsidRPr="00B012CD">
        <w:t xml:space="preserve"> antibody assays used for the primary immunogenicity analyses used a vaccine-homologous classical Inaba strain (89 from the Centre for Vaccine Development (CVD) collection) as the reagent. </w:t>
      </w:r>
      <w:proofErr w:type="spellStart"/>
      <w:r w:rsidRPr="00B012CD">
        <w:t>Vibriocidal</w:t>
      </w:r>
      <w:proofErr w:type="spellEnd"/>
      <w:r w:rsidRPr="00B012CD">
        <w:t xml:space="preserve"> antibody assays were also conducted in a subset of subjects using vaccine-heterologous classical Ogawa (79 from CVD), El Tor Inaba (N16961), and El Tor Ogawa (E7946 from CVD) strains as the reagents, </w:t>
      </w:r>
      <w:proofErr w:type="gramStart"/>
      <w:r w:rsidRPr="00B012CD">
        <w:t>in order to</w:t>
      </w:r>
      <w:proofErr w:type="gramEnd"/>
      <w:r w:rsidRPr="00B012CD">
        <w:t xml:space="preserve"> assess the immune response against these other members of the </w:t>
      </w:r>
      <w:r w:rsidRPr="00B012CD">
        <w:rPr>
          <w:i/>
          <w:iCs/>
        </w:rPr>
        <w:t>V. cholerae</w:t>
      </w:r>
      <w:r w:rsidRPr="00B012CD">
        <w:t xml:space="preserve"> O1 serogroup.</w:t>
      </w:r>
    </w:p>
    <w:p w14:paraId="383A7371" w14:textId="1DE870EF" w:rsidR="007E155B" w:rsidRDefault="007E155B" w:rsidP="007E155B">
      <w:r w:rsidRPr="00F24ABB">
        <w:t>The 1998 Vaccines and Related Biological Products Advisory Committee confirmed that human challenge trials could be an adequate source of efficacy data for a vaccine indicated for travellers from countries in which cholera is not endemic.</w:t>
      </w:r>
      <w:r w:rsidR="00C825B4" w:rsidRPr="00F24ABB">
        <w:rPr>
          <w:rStyle w:val="FootnoteReference"/>
        </w:rPr>
        <w:footnoteReference w:id="10"/>
      </w:r>
    </w:p>
    <w:p w14:paraId="6A3388DC" w14:textId="4F6F4FAF" w:rsidR="00E35447" w:rsidRDefault="00CA4FE6" w:rsidP="00012550">
      <w:pPr>
        <w:pStyle w:val="Heading4"/>
      </w:pPr>
      <w:bookmarkStart w:id="52" w:name="_Toc182833140"/>
      <w:r>
        <w:t>Efficacy</w:t>
      </w:r>
      <w:bookmarkEnd w:id="52"/>
    </w:p>
    <w:p w14:paraId="2863AE0E" w14:textId="32CDE507" w:rsidR="00012550" w:rsidRDefault="00012550" w:rsidP="00012550">
      <w:pPr>
        <w:pStyle w:val="Heading5"/>
      </w:pPr>
      <w:r>
        <w:t xml:space="preserve">Study </w:t>
      </w:r>
      <w:r w:rsidRPr="0062244E">
        <w:t>PXVX-VC-200-002</w:t>
      </w:r>
    </w:p>
    <w:p w14:paraId="7D08A42C" w14:textId="4BD7FDA5" w:rsidR="00EC7EE5" w:rsidRPr="009E451F" w:rsidRDefault="00F5599B" w:rsidP="00EC7EE5">
      <w:pPr>
        <w:autoSpaceDE w:val="0"/>
        <w:autoSpaceDN w:val="0"/>
        <w:adjustRightInd w:val="0"/>
        <w:spacing w:after="0" w:line="240" w:lineRule="auto"/>
      </w:pPr>
      <w:r w:rsidRPr="009E451F">
        <w:t>Th</w:t>
      </w:r>
      <w:r w:rsidR="006D6C1C">
        <w:t xml:space="preserve">e publication for this </w:t>
      </w:r>
      <w:r w:rsidRPr="009E451F">
        <w:t xml:space="preserve">study is </w:t>
      </w:r>
      <w:r w:rsidR="00EC7EE5" w:rsidRPr="009E451F">
        <w:t>Chen et al (2014)</w:t>
      </w:r>
      <w:r w:rsidR="00A90C46">
        <w:t>.</w:t>
      </w:r>
      <w:r w:rsidR="00A90C46">
        <w:rPr>
          <w:rStyle w:val="FootnoteReference"/>
        </w:rPr>
        <w:footnoteReference w:id="11"/>
      </w:r>
    </w:p>
    <w:p w14:paraId="40C68870" w14:textId="2AAD755C" w:rsidR="00BD588C" w:rsidRDefault="00012550" w:rsidP="008B4B64">
      <w:pPr>
        <w:pStyle w:val="Heading6"/>
      </w:pPr>
      <w:r w:rsidRPr="0098331F">
        <w:t>Design</w:t>
      </w:r>
    </w:p>
    <w:p w14:paraId="131917FF" w14:textId="2D1A5D9E" w:rsidR="00012550" w:rsidRPr="0098331F" w:rsidRDefault="00012550" w:rsidP="00012550">
      <w:r w:rsidRPr="0098331F">
        <w:t xml:space="preserve">Phase I </w:t>
      </w:r>
      <w:r>
        <w:t>r</w:t>
      </w:r>
      <w:r w:rsidRPr="0098331F">
        <w:t>andomised, double-blind, placebo-controlled trial of single dose of oral vaccine (4.43</w:t>
      </w:r>
      <w:r w:rsidR="00726290">
        <w:t> </w:t>
      </w:r>
      <w:r w:rsidR="009E5A77">
        <w:t>×</w:t>
      </w:r>
      <w:r w:rsidR="00726290">
        <w:t> </w:t>
      </w:r>
      <w:r w:rsidRPr="0098331F">
        <w:t>10</w:t>
      </w:r>
      <w:r w:rsidRPr="0007053E">
        <w:rPr>
          <w:vertAlign w:val="superscript"/>
        </w:rPr>
        <w:t>8</w:t>
      </w:r>
      <w:r w:rsidR="00726290">
        <w:t> </w:t>
      </w:r>
      <w:r w:rsidRPr="0098331F">
        <w:t>CFU/dose) in healthy adults</w:t>
      </w:r>
      <w:r w:rsidR="00DD54CD">
        <w:t>.</w:t>
      </w:r>
    </w:p>
    <w:p w14:paraId="099D33E3" w14:textId="77777777" w:rsidR="00DD54CD" w:rsidRDefault="00012550" w:rsidP="008B4B64">
      <w:pPr>
        <w:pStyle w:val="Heading6"/>
      </w:pPr>
      <w:r w:rsidRPr="00764F4C">
        <w:t>Primary Objectives</w:t>
      </w:r>
    </w:p>
    <w:p w14:paraId="66555FDB" w14:textId="2DAF365D" w:rsidR="00DD54CD" w:rsidRPr="00B36A9F" w:rsidRDefault="00012550" w:rsidP="00DD54CD">
      <w:pPr>
        <w:pStyle w:val="Numberbullet0"/>
      </w:pPr>
      <w:r w:rsidRPr="00B36A9F">
        <w:t>To evaluate the initial safety and clinical acceptability of PXVX0200 compared to placebo</w:t>
      </w:r>
      <w:r w:rsidR="008772F2">
        <w:t>.</w:t>
      </w:r>
    </w:p>
    <w:p w14:paraId="460EAF73" w14:textId="35C55066" w:rsidR="00DD54CD" w:rsidRDefault="00012550" w:rsidP="00DD54CD">
      <w:pPr>
        <w:pStyle w:val="Numberbullet0"/>
      </w:pPr>
      <w:r>
        <w:t xml:space="preserve">To estimate the rate of seroconversion (4-fold rise) of serum Inaba </w:t>
      </w:r>
      <w:proofErr w:type="spellStart"/>
      <w:r>
        <w:t>vibriocidal</w:t>
      </w:r>
      <w:proofErr w:type="spellEnd"/>
      <w:r>
        <w:t xml:space="preserve"> antibody after </w:t>
      </w:r>
      <w:r w:rsidR="00A97644">
        <w:t>one</w:t>
      </w:r>
      <w:r>
        <w:t xml:space="preserve"> oral dose of PXVX0200</w:t>
      </w:r>
      <w:r w:rsidR="008772F2">
        <w:t>.</w:t>
      </w:r>
    </w:p>
    <w:p w14:paraId="44BA4680" w14:textId="5AC31193" w:rsidR="00012550" w:rsidRDefault="00012550" w:rsidP="00DD54CD">
      <w:pPr>
        <w:pStyle w:val="Numberbullet0"/>
      </w:pPr>
      <w:r>
        <w:t xml:space="preserve">To obtain initial estimates of between-subject variability of </w:t>
      </w:r>
      <w:proofErr w:type="spellStart"/>
      <w:r>
        <w:t>vibriocidal</w:t>
      </w:r>
      <w:proofErr w:type="spellEnd"/>
      <w:r>
        <w:t xml:space="preserve"> antibody response.</w:t>
      </w:r>
    </w:p>
    <w:p w14:paraId="1CC2D0D5" w14:textId="6F569BEE" w:rsidR="00A97644" w:rsidRDefault="00012550" w:rsidP="008B4B64">
      <w:pPr>
        <w:pStyle w:val="Heading6"/>
      </w:pPr>
      <w:r w:rsidRPr="00764F4C">
        <w:lastRenderedPageBreak/>
        <w:t xml:space="preserve">Secondary </w:t>
      </w:r>
      <w:r w:rsidR="0011505C">
        <w:t>o</w:t>
      </w:r>
      <w:r w:rsidRPr="00764F4C">
        <w:t>bjectives</w:t>
      </w:r>
    </w:p>
    <w:p w14:paraId="40F46090" w14:textId="06465FB8" w:rsidR="002D5C3A" w:rsidRDefault="00012550" w:rsidP="002D5C3A">
      <w:pPr>
        <w:pStyle w:val="Numberbullet0"/>
        <w:numPr>
          <w:ilvl w:val="0"/>
          <w:numId w:val="10"/>
        </w:numPr>
      </w:pPr>
      <w:r>
        <w:t xml:space="preserve">To evaluate the kinetics of serum Inaba </w:t>
      </w:r>
      <w:proofErr w:type="spellStart"/>
      <w:r>
        <w:t>vibriocidal</w:t>
      </w:r>
      <w:proofErr w:type="spellEnd"/>
      <w:r>
        <w:t xml:space="preserve"> antibody after </w:t>
      </w:r>
      <w:r w:rsidR="002D5C3A">
        <w:t>one</w:t>
      </w:r>
      <w:r>
        <w:t xml:space="preserve"> oral dose of PXVX0200</w:t>
      </w:r>
    </w:p>
    <w:p w14:paraId="4A35C954" w14:textId="398BFB13" w:rsidR="002D5C3A" w:rsidRDefault="00012550" w:rsidP="000206CE">
      <w:pPr>
        <w:pStyle w:val="Numberbullet0"/>
      </w:pPr>
      <w:r w:rsidRPr="00486BFE">
        <w:t xml:space="preserve">To </w:t>
      </w:r>
      <w:r w:rsidRPr="000206CE">
        <w:t>estimate</w:t>
      </w:r>
      <w:r w:rsidRPr="00486BFE">
        <w:t xml:space="preserve"> serum anti-</w:t>
      </w:r>
      <w:r w:rsidR="002F3D01" w:rsidRPr="00486BFE">
        <w:t xml:space="preserve">cholera toxin </w:t>
      </w:r>
      <w:r w:rsidR="007A56F1" w:rsidRPr="00486BFE">
        <w:t xml:space="preserve">immunoglobulin </w:t>
      </w:r>
      <w:r w:rsidRPr="00486BFE">
        <w:t>G antibody seroconversion rates after</w:t>
      </w:r>
      <w:r>
        <w:t xml:space="preserve"> </w:t>
      </w:r>
      <w:r w:rsidR="002D5C3A">
        <w:t>one</w:t>
      </w:r>
      <w:r>
        <w:t xml:space="preserve"> oral dose of PXVX0200</w:t>
      </w:r>
    </w:p>
    <w:p w14:paraId="26CD2456" w14:textId="77777777" w:rsidR="002D5C3A" w:rsidRDefault="00012550" w:rsidP="002D5C3A">
      <w:pPr>
        <w:pStyle w:val="Numberbullet0"/>
      </w:pPr>
      <w:r>
        <w:t>To assess the faecal shedding of PXVX0200 by vaccine recipients</w:t>
      </w:r>
    </w:p>
    <w:p w14:paraId="6AD4E0A8" w14:textId="1FFF78E1" w:rsidR="00012550" w:rsidRDefault="00012550" w:rsidP="002D5C3A">
      <w:pPr>
        <w:pStyle w:val="Numberbullet0"/>
      </w:pPr>
      <w:r>
        <w:t xml:space="preserve">To evaluate household contacts for </w:t>
      </w:r>
      <w:proofErr w:type="spellStart"/>
      <w:r>
        <w:t>vibriocidal</w:t>
      </w:r>
      <w:proofErr w:type="spellEnd"/>
      <w:r>
        <w:t xml:space="preserve"> seroconversion and shedding of PXVX0200.</w:t>
      </w:r>
    </w:p>
    <w:p w14:paraId="03BB78DB" w14:textId="77777777" w:rsidR="00012550" w:rsidRDefault="00012550" w:rsidP="008B4B64">
      <w:pPr>
        <w:pStyle w:val="Heading6"/>
      </w:pPr>
      <w:r w:rsidRPr="00764F4C">
        <w:t>Study treatments</w:t>
      </w:r>
    </w:p>
    <w:p w14:paraId="4A182BB8" w14:textId="17E87C4F" w:rsidR="00012550" w:rsidRPr="00764F4C" w:rsidRDefault="00012550" w:rsidP="00012550">
      <w:r w:rsidRPr="006964F1">
        <w:t>Subjects were randomised (5:1) to receive a single oral dose of either 4.43</w:t>
      </w:r>
      <w:r w:rsidR="00755791" w:rsidRPr="006964F1">
        <w:t> </w:t>
      </w:r>
      <w:r w:rsidR="006315A6" w:rsidRPr="006964F1">
        <w:t>×</w:t>
      </w:r>
      <w:r w:rsidR="00755791" w:rsidRPr="006964F1">
        <w:t> </w:t>
      </w:r>
      <w:r w:rsidRPr="006964F1">
        <w:t>10</w:t>
      </w:r>
      <w:r w:rsidRPr="006964F1">
        <w:rPr>
          <w:vertAlign w:val="superscript"/>
        </w:rPr>
        <w:t>8</w:t>
      </w:r>
      <w:r w:rsidR="00755791" w:rsidRPr="006964F1">
        <w:rPr>
          <w:vertAlign w:val="superscript"/>
        </w:rPr>
        <w:t> </w:t>
      </w:r>
      <w:r w:rsidRPr="006964F1">
        <w:t>CFU of vaccine (Lot No. PR-1002B) or placebo (</w:t>
      </w:r>
      <w:r w:rsidR="003C236E" w:rsidRPr="006964F1">
        <w:t xml:space="preserve">approximately </w:t>
      </w:r>
      <w:r w:rsidRPr="006964F1">
        <w:t>2</w:t>
      </w:r>
      <w:r w:rsidR="003C236E" w:rsidRPr="006964F1">
        <w:t> </w:t>
      </w:r>
      <w:r w:rsidRPr="006964F1">
        <w:t>g lactose</w:t>
      </w:r>
      <w:r w:rsidR="003C236E" w:rsidRPr="006964F1">
        <w:t>)</w:t>
      </w:r>
      <w:r w:rsidRPr="006964F1">
        <w:t>.</w:t>
      </w:r>
    </w:p>
    <w:p w14:paraId="1C521A99" w14:textId="1E8D0D79" w:rsidR="00012550" w:rsidRDefault="00012550" w:rsidP="00012550">
      <w:r w:rsidRPr="00764F4C">
        <w:t>Rationale for dose chosen: The vaccine dose of 4.43 × 10</w:t>
      </w:r>
      <w:r w:rsidRPr="0007053E">
        <w:rPr>
          <w:vertAlign w:val="superscript"/>
        </w:rPr>
        <w:t>8</w:t>
      </w:r>
      <w:r w:rsidRPr="00764F4C">
        <w:t xml:space="preserve"> CFU of vaccine organisms was chosen to be within the range 2 × 10</w:t>
      </w:r>
      <w:r w:rsidRPr="0007053E">
        <w:rPr>
          <w:vertAlign w:val="superscript"/>
        </w:rPr>
        <w:t>8</w:t>
      </w:r>
      <w:r w:rsidRPr="00764F4C">
        <w:t xml:space="preserve"> to 1 × 10</w:t>
      </w:r>
      <w:r w:rsidRPr="0007053E">
        <w:rPr>
          <w:vertAlign w:val="superscript"/>
        </w:rPr>
        <w:t>9</w:t>
      </w:r>
      <w:r w:rsidRPr="00764F4C">
        <w:t xml:space="preserve"> CFU</w:t>
      </w:r>
      <w:r w:rsidR="00FC3930">
        <w:t>, as</w:t>
      </w:r>
      <w:r w:rsidRPr="00764F4C">
        <w:t xml:space="preserve"> used in the previously licensed </w:t>
      </w:r>
      <w:proofErr w:type="spellStart"/>
      <w:r w:rsidRPr="00764F4C">
        <w:t>Orochol</w:t>
      </w:r>
      <w:proofErr w:type="spellEnd"/>
      <w:r w:rsidRPr="00764F4C">
        <w:t xml:space="preserve"> vaccine</w:t>
      </w:r>
      <w:r w:rsidR="009436EA">
        <w:t>.</w:t>
      </w:r>
      <w:r w:rsidRPr="00764F4C">
        <w:t xml:space="preserve"> </w:t>
      </w:r>
      <w:r w:rsidRPr="009436EA">
        <w:t>As the historic placebo was capable of inducing reactogenicity symptoms, the U</w:t>
      </w:r>
      <w:r w:rsidR="008E515A" w:rsidRPr="009436EA">
        <w:t>nited States</w:t>
      </w:r>
      <w:r w:rsidRPr="00764F4C">
        <w:t xml:space="preserve"> F</w:t>
      </w:r>
      <w:r w:rsidR="008E515A">
        <w:t>ood and Drug Administration (F</w:t>
      </w:r>
      <w:r w:rsidRPr="00764F4C">
        <w:t>DA</w:t>
      </w:r>
      <w:r w:rsidR="008E515A">
        <w:t>)</w:t>
      </w:r>
      <w:r w:rsidRPr="00764F4C">
        <w:t xml:space="preserve"> requested that an inert placebo (</w:t>
      </w:r>
      <w:r w:rsidR="0038731B">
        <w:t xml:space="preserve">that is, </w:t>
      </w:r>
      <w:r w:rsidRPr="00764F4C">
        <w:t>lactose) be used in this Phase I trial.</w:t>
      </w:r>
    </w:p>
    <w:p w14:paraId="14D31083" w14:textId="77777777" w:rsidR="00012550" w:rsidRPr="000F29D8" w:rsidRDefault="00012550" w:rsidP="008B4B64">
      <w:pPr>
        <w:pStyle w:val="Heading6"/>
      </w:pPr>
      <w:r w:rsidRPr="000F29D8">
        <w:t>Efficacy variables and outcomes</w:t>
      </w:r>
    </w:p>
    <w:p w14:paraId="002D3C86" w14:textId="30EE596F" w:rsidR="00012550" w:rsidRDefault="00012550" w:rsidP="00012550">
      <w:r w:rsidRPr="000F29D8">
        <w:t>Safety was assessed with solicited reactogenicity through 7</w:t>
      </w:r>
      <w:r w:rsidR="00CF5D17">
        <w:t> </w:t>
      </w:r>
      <w:r w:rsidRPr="000F29D8">
        <w:t xml:space="preserve">days post-vaccination, unsolicited </w:t>
      </w:r>
      <w:r w:rsidRPr="008B45EA">
        <w:t>adverse events (AEs), medically attended events, and new onset of chronic medical conditions</w:t>
      </w:r>
      <w:r w:rsidRPr="000F29D8">
        <w:t xml:space="preserve"> assessed through 180</w:t>
      </w:r>
      <w:r w:rsidR="00CF5D17">
        <w:t> </w:t>
      </w:r>
      <w:r w:rsidRPr="000F29D8">
        <w:t xml:space="preserve">days post-vaccination. Safety laboratory tests were assessed </w:t>
      </w:r>
      <w:proofErr w:type="gramStart"/>
      <w:r>
        <w:t xml:space="preserve">one </w:t>
      </w:r>
      <w:r w:rsidRPr="000F29D8">
        <w:t>week</w:t>
      </w:r>
      <w:proofErr w:type="gramEnd"/>
      <w:r w:rsidRPr="000F29D8">
        <w:t xml:space="preserve"> post-vaccination. Immunogenicity was assessed with serum </w:t>
      </w:r>
      <w:proofErr w:type="spellStart"/>
      <w:proofErr w:type="gramStart"/>
      <w:r w:rsidRPr="000F29D8">
        <w:t>vibriocidal</w:t>
      </w:r>
      <w:proofErr w:type="spellEnd"/>
      <w:proofErr w:type="gramEnd"/>
      <w:r w:rsidRPr="000F29D8">
        <w:t xml:space="preserve"> and anti-</w:t>
      </w:r>
      <w:r w:rsidR="00077DCB">
        <w:t>cholera toxin</w:t>
      </w:r>
      <w:r w:rsidRPr="000F29D8">
        <w:t xml:space="preserve"> antibody responses measured before and 10</w:t>
      </w:r>
      <w:r w:rsidR="00836D92">
        <w:t xml:space="preserve"> days</w:t>
      </w:r>
      <w:r w:rsidRPr="000F29D8">
        <w:t>, 14</w:t>
      </w:r>
      <w:r w:rsidR="00836D92">
        <w:t xml:space="preserve"> days</w:t>
      </w:r>
      <w:r w:rsidRPr="000F29D8">
        <w:t>, and 28 days post-vaccination.</w:t>
      </w:r>
    </w:p>
    <w:p w14:paraId="6277865E" w14:textId="77777777" w:rsidR="00012550" w:rsidRPr="00764F4C" w:rsidRDefault="00012550" w:rsidP="00012550">
      <w:r w:rsidRPr="000F29D8">
        <w:t xml:space="preserve">To assess vaccine shedding and transmission, subjects were allocated to providing a fresh stool sample or having a rectal swab performed before vaccination and either on Days 1, 3, and 7 or on Days 2, 4, and 7 following </w:t>
      </w:r>
      <w:proofErr w:type="gramStart"/>
      <w:r w:rsidRPr="000F29D8">
        <w:t>vaccination</w:t>
      </w:r>
      <w:proofErr w:type="gramEnd"/>
      <w:r w:rsidRPr="000F29D8">
        <w:t xml:space="preserve">. The possibility of transmission to household contacts residing with the study subject was also evaluated: household contacts were evaluated for shedding of PXVX0200 on Day 7 and for </w:t>
      </w:r>
      <w:proofErr w:type="spellStart"/>
      <w:r w:rsidRPr="000F29D8">
        <w:t>vibriocidal</w:t>
      </w:r>
      <w:proofErr w:type="spellEnd"/>
      <w:r w:rsidRPr="000F29D8">
        <w:t xml:space="preserve"> seroconversion on Day 28.</w:t>
      </w:r>
    </w:p>
    <w:p w14:paraId="7D555AC8" w14:textId="77777777" w:rsidR="00012550" w:rsidRPr="00764F4C" w:rsidRDefault="00012550" w:rsidP="008B4B64">
      <w:pPr>
        <w:pStyle w:val="Heading6"/>
      </w:pPr>
      <w:r w:rsidRPr="00764F4C">
        <w:t>Results</w:t>
      </w:r>
    </w:p>
    <w:p w14:paraId="4CDBE0A0" w14:textId="0201DD81" w:rsidR="00895ADB" w:rsidRDefault="00AA2576" w:rsidP="00AA2576">
      <w:pPr>
        <w:pStyle w:val="Heading7"/>
      </w:pPr>
      <w:r>
        <w:t>Efficacy</w:t>
      </w:r>
    </w:p>
    <w:p w14:paraId="6AC4FA77" w14:textId="6A288585" w:rsidR="00012550" w:rsidRDefault="00012550" w:rsidP="00012550">
      <w:r w:rsidRPr="00425394">
        <w:t xml:space="preserve">Cumulative </w:t>
      </w:r>
      <w:proofErr w:type="spellStart"/>
      <w:r w:rsidRPr="00425394">
        <w:t>vibriocidal</w:t>
      </w:r>
      <w:proofErr w:type="spellEnd"/>
      <w:r w:rsidRPr="00425394">
        <w:t xml:space="preserve"> and anti-</w:t>
      </w:r>
      <w:r w:rsidR="00077DCB">
        <w:t>cholera toxin</w:t>
      </w:r>
      <w:r w:rsidRPr="00425394">
        <w:t xml:space="preserve"> conversion rates were 88.9% (95% CI</w:t>
      </w:r>
      <w:r w:rsidR="008627A5">
        <w:t>:</w:t>
      </w:r>
      <w:r w:rsidRPr="00425394">
        <w:t xml:space="preserve"> 77.4</w:t>
      </w:r>
      <w:r w:rsidR="00C86A66">
        <w:t xml:space="preserve">, </w:t>
      </w:r>
      <w:r w:rsidRPr="00425394">
        <w:t>95.8) and 59.3%</w:t>
      </w:r>
      <w:r w:rsidRPr="008647E8">
        <w:t xml:space="preserve"> (95% CI</w:t>
      </w:r>
      <w:r w:rsidR="00C86A66">
        <w:t>:</w:t>
      </w:r>
      <w:r w:rsidRPr="008647E8">
        <w:t xml:space="preserve"> 45.0</w:t>
      </w:r>
      <w:r w:rsidR="00C86A66">
        <w:t xml:space="preserve">, </w:t>
      </w:r>
      <w:r w:rsidRPr="008647E8">
        <w:t>72.4) respectively</w:t>
      </w:r>
      <w:r>
        <w:t>, in vaccine recipients</w:t>
      </w:r>
      <w:r w:rsidRPr="008647E8">
        <w:t>. As expected, no placebo recipient seroconverted.</w:t>
      </w:r>
    </w:p>
    <w:p w14:paraId="2B7C9372" w14:textId="321D8782" w:rsidR="00895ADB" w:rsidRDefault="00012550" w:rsidP="00895ADB">
      <w:pPr>
        <w:pStyle w:val="Heading7"/>
      </w:pPr>
      <w:r w:rsidRPr="00D709C1">
        <w:t xml:space="preserve">Safety </w:t>
      </w:r>
      <w:r w:rsidR="0011505C">
        <w:t>r</w:t>
      </w:r>
      <w:r w:rsidRPr="00D709C1">
        <w:t>esults</w:t>
      </w:r>
    </w:p>
    <w:p w14:paraId="21C98E2F" w14:textId="4DCCB5F9" w:rsidR="00012550" w:rsidRDefault="00012550" w:rsidP="00012550">
      <w:r>
        <w:t>Reactogenicity was reported by 40.0% (95% CI</w:t>
      </w:r>
      <w:r w:rsidR="008B2AE3">
        <w:t>:</w:t>
      </w:r>
      <w:r>
        <w:t xml:space="preserve"> 27.0</w:t>
      </w:r>
      <w:r w:rsidR="008B2AE3">
        <w:t xml:space="preserve">, </w:t>
      </w:r>
      <w:r>
        <w:t>54.1) of vaccine recipients and 45.5% (95% CI</w:t>
      </w:r>
      <w:r w:rsidR="008B2AE3">
        <w:t>:</w:t>
      </w:r>
      <w:r>
        <w:t xml:space="preserve"> 16.7</w:t>
      </w:r>
      <w:r w:rsidR="008B2AE3">
        <w:t xml:space="preserve">, </w:t>
      </w:r>
      <w:r>
        <w:t>76.6) of placebo recipients.</w:t>
      </w:r>
    </w:p>
    <w:p w14:paraId="4C606ABA" w14:textId="0B10AC0D" w:rsidR="00012550" w:rsidRDefault="00012550" w:rsidP="00012550">
      <w:r>
        <w:t>Shedding of vaccine was detected in specimens from 11.1% (95% CI</w:t>
      </w:r>
      <w:r w:rsidR="008B2AE3">
        <w:t>:</w:t>
      </w:r>
      <w:r>
        <w:t xml:space="preserve"> 4.2</w:t>
      </w:r>
      <w:r w:rsidR="008B2AE3">
        <w:t xml:space="preserve">, </w:t>
      </w:r>
      <w:r>
        <w:t xml:space="preserve">22.6) of vaccine recipients through to Day 7. Stool cultures and serology did not detect any instance of transmission of the vaccine strain to household contacts, or any instance of </w:t>
      </w:r>
      <w:proofErr w:type="spellStart"/>
      <w:r>
        <w:t>vibriocidal</w:t>
      </w:r>
      <w:proofErr w:type="spellEnd"/>
      <w:r>
        <w:t xml:space="preserve"> seroconversion.</w:t>
      </w:r>
    </w:p>
    <w:p w14:paraId="3443D44E" w14:textId="56FF3B19" w:rsidR="00DC7601" w:rsidRPr="00764F4C" w:rsidRDefault="00B238ED" w:rsidP="00DC7601">
      <w:pPr>
        <w:pStyle w:val="Heading6"/>
      </w:pPr>
      <w:r>
        <w:t xml:space="preserve">Delegate’s </w:t>
      </w:r>
      <w:r w:rsidR="00113390">
        <w:t>comments</w:t>
      </w:r>
    </w:p>
    <w:p w14:paraId="29EB509E" w14:textId="41650CFA" w:rsidR="00012550" w:rsidRDefault="00012550" w:rsidP="00012550">
      <w:r>
        <w:t xml:space="preserve">Results of this Phase </w:t>
      </w:r>
      <w:r w:rsidR="00113390">
        <w:t xml:space="preserve">I </w:t>
      </w:r>
      <w:proofErr w:type="gramStart"/>
      <w:r>
        <w:t>randomised,</w:t>
      </w:r>
      <w:proofErr w:type="gramEnd"/>
      <w:r>
        <w:t xml:space="preserve"> double-blind placebo-controlled study to evaluate the safety and immunogenicity of PXVX0200 were very similar to previously tested and commercialised formulations of CVD 103-HgR that were well tolerated and elicited </w:t>
      </w:r>
      <w:proofErr w:type="spellStart"/>
      <w:r>
        <w:t>vibriocidal</w:t>
      </w:r>
      <w:proofErr w:type="spellEnd"/>
      <w:r>
        <w:t xml:space="preserve"> antibody </w:t>
      </w:r>
      <w:r>
        <w:lastRenderedPageBreak/>
        <w:t xml:space="preserve">seroconversion in vaccine recipients. It is noteworthy that only about 30% of vaccine recipients in the Phase </w:t>
      </w:r>
      <w:r w:rsidR="00032ABD">
        <w:t>I</w:t>
      </w:r>
      <w:r>
        <w:t xml:space="preserve"> trial demonstrated a 4-fold or greater rise in anti-</w:t>
      </w:r>
      <w:r w:rsidR="00032ABD">
        <w:t>cholera toxin</w:t>
      </w:r>
      <w:r>
        <w:t xml:space="preserve"> antibody by Day 11 post-vaccination, while 83% of vaccine recipients exhibited a 4-fold or greater increase in </w:t>
      </w:r>
      <w:proofErr w:type="spellStart"/>
      <w:r>
        <w:t>vibriocidal</w:t>
      </w:r>
      <w:proofErr w:type="spellEnd"/>
      <w:r>
        <w:t xml:space="preserve"> antibody by Day 11.</w:t>
      </w:r>
    </w:p>
    <w:p w14:paraId="3290C660" w14:textId="1E1BBB0E" w:rsidR="00012550" w:rsidRDefault="003C2565" w:rsidP="00D202DC">
      <w:pPr>
        <w:pStyle w:val="Heading5"/>
      </w:pPr>
      <w:r>
        <w:t xml:space="preserve">Study </w:t>
      </w:r>
      <w:r w:rsidR="00012550" w:rsidRPr="0062244E">
        <w:t>PXVX-VC-200-003</w:t>
      </w:r>
    </w:p>
    <w:p w14:paraId="4208C3CD" w14:textId="2BA6E11A" w:rsidR="007A1792" w:rsidRPr="007A1792" w:rsidRDefault="00625C99" w:rsidP="00625C99">
      <w:pPr>
        <w:autoSpaceDE w:val="0"/>
        <w:autoSpaceDN w:val="0"/>
        <w:adjustRightInd w:val="0"/>
        <w:spacing w:after="0" w:line="240" w:lineRule="auto"/>
      </w:pPr>
      <w:r>
        <w:t>The</w:t>
      </w:r>
      <w:r w:rsidR="006D6C1C">
        <w:t xml:space="preserve"> publications for this study are Chen et al (2016), Haney et al (2017) and Haney et al (2018).</w:t>
      </w:r>
      <w:bookmarkStart w:id="53" w:name="_Ref153369002"/>
      <w:r w:rsidR="0094711C">
        <w:rPr>
          <w:rStyle w:val="FootnoteReference"/>
        </w:rPr>
        <w:footnoteReference w:id="12"/>
      </w:r>
      <w:bookmarkEnd w:id="53"/>
      <w:r w:rsidR="00AF0022">
        <w:t xml:space="preserve"> </w:t>
      </w:r>
      <w:r w:rsidR="00AF0022">
        <w:rPr>
          <w:rStyle w:val="FootnoteReference"/>
        </w:rPr>
        <w:footnoteReference w:id="13"/>
      </w:r>
      <w:r w:rsidR="00655F36">
        <w:t xml:space="preserve"> </w:t>
      </w:r>
      <w:r w:rsidR="00655F36">
        <w:rPr>
          <w:rStyle w:val="FootnoteReference"/>
        </w:rPr>
        <w:footnoteReference w:id="14"/>
      </w:r>
    </w:p>
    <w:p w14:paraId="1352E376" w14:textId="77777777" w:rsidR="00A10A02" w:rsidRDefault="00A10A02" w:rsidP="00A10A02">
      <w:pPr>
        <w:pStyle w:val="Heading6"/>
      </w:pPr>
      <w:r>
        <w:t>D</w:t>
      </w:r>
      <w:r w:rsidR="00012550">
        <w:t>esign</w:t>
      </w:r>
    </w:p>
    <w:p w14:paraId="4BB523D9" w14:textId="252BB812" w:rsidR="00012550" w:rsidRPr="009E2251" w:rsidRDefault="00012550" w:rsidP="00012550">
      <w:pPr>
        <w:rPr>
          <w:b/>
          <w:bCs/>
        </w:rPr>
      </w:pPr>
      <w:r w:rsidRPr="009E2251">
        <w:t xml:space="preserve">Phase </w:t>
      </w:r>
      <w:r w:rsidR="00A10A02">
        <w:t>III</w:t>
      </w:r>
      <w:r w:rsidRPr="009E2251">
        <w:t xml:space="preserve"> </w:t>
      </w:r>
      <w:r w:rsidR="00A10A02">
        <w:t>r</w:t>
      </w:r>
      <w:r w:rsidRPr="009E2251">
        <w:t>andomised, double-blind, placebo-controlled trial of single dose of oral vaccine (5</w:t>
      </w:r>
      <w:r w:rsidR="00A10A02">
        <w:t> </w:t>
      </w:r>
      <w:r w:rsidR="009E5A77">
        <w:t>×</w:t>
      </w:r>
      <w:r w:rsidR="00A10A02">
        <w:t> </w:t>
      </w:r>
      <w:r w:rsidRPr="009E2251">
        <w:t>10</w:t>
      </w:r>
      <w:r w:rsidRPr="00D22C2F">
        <w:rPr>
          <w:vertAlign w:val="superscript"/>
        </w:rPr>
        <w:t>8</w:t>
      </w:r>
      <w:r w:rsidR="00A10A02">
        <w:t> </w:t>
      </w:r>
      <w:r w:rsidRPr="009E2251">
        <w:t>CFU/dose) in healthy adults, with a subsequent live oral cholera challenge</w:t>
      </w:r>
      <w:r>
        <w:t>.</w:t>
      </w:r>
    </w:p>
    <w:p w14:paraId="7F2D07E1" w14:textId="1F7772AC" w:rsidR="00012550" w:rsidRDefault="00012550" w:rsidP="005743C6">
      <w:pPr>
        <w:pStyle w:val="Heading6"/>
      </w:pPr>
      <w:r w:rsidRPr="00764F4C">
        <w:t xml:space="preserve">Primary </w:t>
      </w:r>
      <w:r w:rsidR="0011505C">
        <w:t>o</w:t>
      </w:r>
      <w:r w:rsidRPr="00764F4C">
        <w:t>bjectives</w:t>
      </w:r>
    </w:p>
    <w:p w14:paraId="58934CCE" w14:textId="198BDC75" w:rsidR="0011505C" w:rsidRDefault="000C1D6E" w:rsidP="0011505C">
      <w:pPr>
        <w:pStyle w:val="Heading7"/>
        <w:rPr>
          <w:rStyle w:val="Heading7Char"/>
        </w:rPr>
      </w:pPr>
      <w:r w:rsidRPr="00185688">
        <w:rPr>
          <w:rStyle w:val="Heading7Char"/>
        </w:rPr>
        <w:t xml:space="preserve">10-Day Challenge Co-Primary </w:t>
      </w:r>
      <w:r w:rsidR="0011505C" w:rsidRPr="0011505C">
        <w:rPr>
          <w:rStyle w:val="Heading7Char"/>
          <w:i/>
          <w:iCs/>
        </w:rPr>
        <w:t>o</w:t>
      </w:r>
      <w:r w:rsidRPr="0011505C">
        <w:rPr>
          <w:rStyle w:val="Heading7Char"/>
          <w:i/>
          <w:iCs/>
        </w:rPr>
        <w:t>bjective</w:t>
      </w:r>
    </w:p>
    <w:p w14:paraId="7356A736" w14:textId="0C506486" w:rsidR="00FB2590" w:rsidRDefault="0011505C" w:rsidP="0011505C">
      <w:r>
        <w:t>T</w:t>
      </w:r>
      <w:r w:rsidR="000C1D6E" w:rsidRPr="00185688">
        <w:t>o demonstrate that the lower 95% confidence bound on the protective efficacy of a single dose of PXVX0200 is</w:t>
      </w:r>
      <w:r w:rsidR="00A701C3">
        <w:t xml:space="preserve"> at least </w:t>
      </w:r>
      <w:r w:rsidR="000C1D6E" w:rsidRPr="00185688">
        <w:t xml:space="preserve">30% following a challenge with virulent </w:t>
      </w:r>
      <w:r w:rsidR="000C1D6E" w:rsidRPr="00A701C3">
        <w:rPr>
          <w:i/>
          <w:iCs/>
        </w:rPr>
        <w:t>V. cholerae</w:t>
      </w:r>
      <w:r w:rsidR="000C1D6E" w:rsidRPr="00185688">
        <w:t xml:space="preserve"> O1 El Tor Inaba 10 days post-vaccination.</w:t>
      </w:r>
    </w:p>
    <w:p w14:paraId="3AD05C4B" w14:textId="54E67FBC" w:rsidR="000C1D6E" w:rsidRPr="00185688" w:rsidRDefault="000C1D6E" w:rsidP="00FB2590">
      <w:pPr>
        <w:pStyle w:val="ListBullet"/>
      </w:pPr>
      <w:r w:rsidRPr="00185688">
        <w:t xml:space="preserve">Associated Primary Endpoint: </w:t>
      </w:r>
      <w:r w:rsidR="005D4DB4">
        <w:t>t</w:t>
      </w:r>
      <w:r w:rsidRPr="00185688">
        <w:t>he occurrence of moderate or severe diarrhoea (</w:t>
      </w:r>
      <w:r w:rsidR="00FB2590">
        <w:t xml:space="preserve">minimum </w:t>
      </w:r>
      <w:r w:rsidRPr="00185688">
        <w:t>3.0</w:t>
      </w:r>
      <w:r w:rsidR="00FB2590">
        <w:t> </w:t>
      </w:r>
      <w:r w:rsidRPr="00185688">
        <w:t>L purge)</w:t>
      </w:r>
    </w:p>
    <w:p w14:paraId="6837E9DF" w14:textId="77777777" w:rsidR="0011505C" w:rsidRDefault="000C1D6E" w:rsidP="0011505C">
      <w:pPr>
        <w:pStyle w:val="Heading7"/>
        <w:rPr>
          <w:rFonts w:asciiTheme="minorHAnsi" w:hAnsiTheme="minorHAnsi" w:cs="TimesNewRoman"/>
        </w:rPr>
      </w:pPr>
      <w:r w:rsidRPr="00185688">
        <w:rPr>
          <w:rStyle w:val="Heading7Char"/>
        </w:rPr>
        <w:t xml:space="preserve">3-Month Challenge Co-Primary </w:t>
      </w:r>
      <w:r w:rsidR="0011505C" w:rsidRPr="0011505C">
        <w:rPr>
          <w:rStyle w:val="Heading7Char"/>
          <w:i/>
          <w:iCs/>
        </w:rPr>
        <w:t>o</w:t>
      </w:r>
      <w:r w:rsidRPr="0011505C">
        <w:rPr>
          <w:rStyle w:val="Heading7Char"/>
          <w:i/>
          <w:iCs/>
        </w:rPr>
        <w:t>bjective</w:t>
      </w:r>
    </w:p>
    <w:p w14:paraId="13252B86" w14:textId="796D1126" w:rsidR="000C1D6E" w:rsidRPr="00185688" w:rsidRDefault="000C1D6E" w:rsidP="0011505C">
      <w:r w:rsidRPr="00185688">
        <w:t xml:space="preserve">to demonstrate that the lower 95% confidence bound on the </w:t>
      </w:r>
      <w:r w:rsidR="00F451F3">
        <w:t>protective efficacy</w:t>
      </w:r>
      <w:r w:rsidRPr="00185688">
        <w:t xml:space="preserve"> of a single dose of PXVX0200 is </w:t>
      </w:r>
      <w:r w:rsidR="00FB2590">
        <w:t xml:space="preserve">at least </w:t>
      </w:r>
      <w:r w:rsidRPr="00185688">
        <w:t xml:space="preserve">30% following a challenge with virulent </w:t>
      </w:r>
      <w:r w:rsidRPr="00FB2590">
        <w:rPr>
          <w:i/>
          <w:iCs/>
        </w:rPr>
        <w:t>V.</w:t>
      </w:r>
      <w:r w:rsidR="00FB2590" w:rsidRPr="00FB2590">
        <w:rPr>
          <w:i/>
          <w:iCs/>
        </w:rPr>
        <w:t> </w:t>
      </w:r>
      <w:r w:rsidRPr="00FB2590">
        <w:rPr>
          <w:i/>
          <w:iCs/>
        </w:rPr>
        <w:t>cholerae</w:t>
      </w:r>
      <w:r w:rsidRPr="00185688">
        <w:t xml:space="preserve"> O1 El Tor Inaba 3 months post-vaccination.</w:t>
      </w:r>
    </w:p>
    <w:p w14:paraId="140372EC" w14:textId="29852841" w:rsidR="000C1D6E" w:rsidRPr="00185688" w:rsidRDefault="000C1D6E" w:rsidP="00FB2590">
      <w:pPr>
        <w:pStyle w:val="ListBullet"/>
      </w:pPr>
      <w:r w:rsidRPr="00185688">
        <w:t xml:space="preserve">Associated Primary Endpoint: </w:t>
      </w:r>
      <w:r w:rsidR="005D4DB4">
        <w:t>t</w:t>
      </w:r>
      <w:r w:rsidRPr="00185688">
        <w:t>he occurrence of moderate or severe diarrhoea (</w:t>
      </w:r>
      <w:r w:rsidR="00F451F3">
        <w:t xml:space="preserve">minimum </w:t>
      </w:r>
      <w:r w:rsidRPr="00185688">
        <w:t>3.0 L purge)</w:t>
      </w:r>
    </w:p>
    <w:p w14:paraId="18A649ED" w14:textId="1AD8F0BC" w:rsidR="00934176" w:rsidRDefault="00934176" w:rsidP="00934176">
      <w:pPr>
        <w:pStyle w:val="Heading6"/>
      </w:pPr>
      <w:r>
        <w:t>Secondary</w:t>
      </w:r>
      <w:r w:rsidRPr="00764F4C">
        <w:t xml:space="preserve"> </w:t>
      </w:r>
      <w:r w:rsidR="0011505C">
        <w:t>o</w:t>
      </w:r>
      <w:r w:rsidRPr="00764F4C">
        <w:t>bjectives</w:t>
      </w:r>
    </w:p>
    <w:p w14:paraId="14209DF0" w14:textId="77777777" w:rsidR="00934176" w:rsidRDefault="00934176" w:rsidP="00934176">
      <w:pPr>
        <w:pStyle w:val="ListBullet"/>
      </w:pPr>
      <w:r w:rsidRPr="00934176">
        <w:t>Evaluate the impact of vaccination on disease severity.</w:t>
      </w:r>
    </w:p>
    <w:p w14:paraId="5DF0556D" w14:textId="0DA9DC77" w:rsidR="00934176" w:rsidRPr="00934176" w:rsidRDefault="00934176" w:rsidP="00934176">
      <w:pPr>
        <w:pStyle w:val="ListBullet2"/>
      </w:pPr>
      <w:r w:rsidRPr="00934176">
        <w:t xml:space="preserve">Associated post-challenge endpoints: </w:t>
      </w:r>
      <w:r w:rsidR="005D4DB4">
        <w:t>t</w:t>
      </w:r>
      <w:r w:rsidRPr="00934176">
        <w:t xml:space="preserve">otal weight (as volume) of diarrhoeal stools; diarrhoea of any severity; fever; faecal shedding of wild type </w:t>
      </w:r>
      <w:r w:rsidRPr="00F17717">
        <w:rPr>
          <w:i/>
          <w:iCs/>
        </w:rPr>
        <w:t>V. cholera</w:t>
      </w:r>
      <w:r w:rsidRPr="00934176">
        <w:t xml:space="preserve">; peak concentration of wild type </w:t>
      </w:r>
      <w:r w:rsidRPr="00F17717">
        <w:rPr>
          <w:i/>
          <w:iCs/>
        </w:rPr>
        <w:t>V. cholerae</w:t>
      </w:r>
      <w:r w:rsidRPr="00934176">
        <w:t xml:space="preserve"> in stool.</w:t>
      </w:r>
    </w:p>
    <w:p w14:paraId="50D18727" w14:textId="77777777" w:rsidR="00934176" w:rsidRDefault="00934176" w:rsidP="00934176">
      <w:pPr>
        <w:pStyle w:val="ListBullet"/>
      </w:pPr>
      <w:r w:rsidRPr="00934176">
        <w:t>Evaluate the tolerability of vaccine.</w:t>
      </w:r>
    </w:p>
    <w:p w14:paraId="680A24D1" w14:textId="71C0D49F" w:rsidR="00934176" w:rsidRPr="00934176" w:rsidRDefault="00934176" w:rsidP="00934176">
      <w:pPr>
        <w:pStyle w:val="ListBullet2"/>
      </w:pPr>
      <w:r w:rsidRPr="00934176">
        <w:t xml:space="preserve">Associated pre-challenge endpoints: </w:t>
      </w:r>
      <w:r w:rsidR="005D4DB4">
        <w:t>i</w:t>
      </w:r>
      <w:r w:rsidRPr="00934176">
        <w:t>ncidence and severity of signs and symptoms of reactogenicity such as diarrhoea and fever; incidence and severity of unsolicited AEs</w:t>
      </w:r>
      <w:r w:rsidR="00F17717">
        <w:t>.</w:t>
      </w:r>
    </w:p>
    <w:p w14:paraId="225FCDAA" w14:textId="77777777" w:rsidR="00012550" w:rsidRPr="00104788" w:rsidRDefault="00012550" w:rsidP="0011505C">
      <w:pPr>
        <w:pStyle w:val="Heading6"/>
      </w:pPr>
      <w:r w:rsidRPr="00764F4C">
        <w:lastRenderedPageBreak/>
        <w:t xml:space="preserve">Study </w:t>
      </w:r>
      <w:r w:rsidRPr="0011505C">
        <w:t>treatments</w:t>
      </w:r>
    </w:p>
    <w:p w14:paraId="5061C7A7" w14:textId="0D8C2875" w:rsidR="00012550" w:rsidRDefault="00012550" w:rsidP="00012550">
      <w:r w:rsidRPr="008D283A">
        <w:t>A target dose of 5</w:t>
      </w:r>
      <w:r w:rsidR="00F17717">
        <w:t> × </w:t>
      </w:r>
      <w:r w:rsidRPr="008D283A">
        <w:t>10</w:t>
      </w:r>
      <w:r w:rsidRPr="00104788">
        <w:rPr>
          <w:vertAlign w:val="superscript"/>
        </w:rPr>
        <w:t>8</w:t>
      </w:r>
      <w:r w:rsidR="00F17717">
        <w:rPr>
          <w:vertAlign w:val="superscript"/>
        </w:rPr>
        <w:t> </w:t>
      </w:r>
      <w:r w:rsidRPr="008D283A">
        <w:t>CFU (Lot No. P701.550-8WA02) of vaccine organisms was chosen to be towards the lower end but within the dose range of 2</w:t>
      </w:r>
      <w:r w:rsidR="006307AA">
        <w:t> × </w:t>
      </w:r>
      <w:r w:rsidRPr="008D283A">
        <w:t>10</w:t>
      </w:r>
      <w:r w:rsidRPr="00D22C2F">
        <w:rPr>
          <w:vertAlign w:val="superscript"/>
        </w:rPr>
        <w:t>8</w:t>
      </w:r>
      <w:r w:rsidRPr="008D283A">
        <w:t xml:space="preserve"> to 1</w:t>
      </w:r>
      <w:r w:rsidR="006307AA">
        <w:t> × </w:t>
      </w:r>
      <w:r w:rsidRPr="008D283A">
        <w:t>10</w:t>
      </w:r>
      <w:r w:rsidRPr="00D22C2F">
        <w:rPr>
          <w:vertAlign w:val="superscript"/>
        </w:rPr>
        <w:t>9</w:t>
      </w:r>
      <w:r w:rsidRPr="008D283A">
        <w:t xml:space="preserve"> CFU that was used in the previously licensed </w:t>
      </w:r>
      <w:proofErr w:type="spellStart"/>
      <w:r w:rsidRPr="008D283A">
        <w:t>Orochol</w:t>
      </w:r>
      <w:proofErr w:type="spellEnd"/>
      <w:r w:rsidRPr="008D283A">
        <w:t xml:space="preserve"> vaccine. This </w:t>
      </w:r>
      <w:r w:rsidR="006307AA">
        <w:t>‘</w:t>
      </w:r>
      <w:r w:rsidRPr="008D283A">
        <w:t>low dose</w:t>
      </w:r>
      <w:r w:rsidR="006307AA">
        <w:t>’</w:t>
      </w:r>
      <w:r w:rsidRPr="008D283A">
        <w:t xml:space="preserve"> was chosen </w:t>
      </w:r>
      <w:proofErr w:type="gramStart"/>
      <w:r w:rsidRPr="008D283A">
        <w:t>in order to</w:t>
      </w:r>
      <w:proofErr w:type="gramEnd"/>
      <w:r w:rsidRPr="008D283A">
        <w:t xml:space="preserve"> obtain evidence of efficacy of a </w:t>
      </w:r>
      <w:r w:rsidR="006307AA">
        <w:t>‘</w:t>
      </w:r>
      <w:r w:rsidRPr="008D283A">
        <w:t>low</w:t>
      </w:r>
      <w:r w:rsidR="006307AA">
        <w:t>’</w:t>
      </w:r>
      <w:r w:rsidRPr="008D283A">
        <w:t xml:space="preserve"> dose of vaccine for the purposes of setting shelf-life specifications.</w:t>
      </w:r>
    </w:p>
    <w:p w14:paraId="5BAAD938" w14:textId="16007602" w:rsidR="00012550" w:rsidRDefault="00012550" w:rsidP="00012550">
      <w:r>
        <w:t>Placebo vaccine was 100</w:t>
      </w:r>
      <w:r w:rsidR="006307AA">
        <w:t> </w:t>
      </w:r>
      <w:r>
        <w:t xml:space="preserve">mL of physiological saline (sourced at site) administered orally. The </w:t>
      </w:r>
      <w:r w:rsidRPr="00310D55">
        <w:t>challenge inoculum of 1</w:t>
      </w:r>
      <w:r w:rsidR="00ED79B1" w:rsidRPr="00310D55">
        <w:t> × </w:t>
      </w:r>
      <w:r w:rsidRPr="00310D55">
        <w:t>10</w:t>
      </w:r>
      <w:r w:rsidRPr="00310D55">
        <w:rPr>
          <w:vertAlign w:val="superscript"/>
        </w:rPr>
        <w:t>5</w:t>
      </w:r>
      <w:r w:rsidRPr="00310D55">
        <w:t xml:space="preserve"> CFU of wild type </w:t>
      </w:r>
      <w:r w:rsidRPr="00310D55">
        <w:rPr>
          <w:i/>
          <w:iCs/>
        </w:rPr>
        <w:t>V. cholerae</w:t>
      </w:r>
      <w:r w:rsidRPr="00310D55">
        <w:t xml:space="preserve"> O1 El Tor Inaba strain N16961, was chosen based on historical experience.</w:t>
      </w:r>
    </w:p>
    <w:p w14:paraId="445C1535" w14:textId="77777777" w:rsidR="00012550" w:rsidRDefault="00012550" w:rsidP="006307AA">
      <w:pPr>
        <w:pStyle w:val="Heading6"/>
      </w:pPr>
      <w:r w:rsidRPr="000F29D8">
        <w:t>Efficacy variables and outcomes</w:t>
      </w:r>
    </w:p>
    <w:p w14:paraId="1BA66042" w14:textId="7514889C" w:rsidR="00012550" w:rsidRDefault="00012550" w:rsidP="00012550">
      <w:r w:rsidRPr="005A307C">
        <w:t xml:space="preserve">The </w:t>
      </w:r>
      <w:r w:rsidR="000A3E37">
        <w:t>2</w:t>
      </w:r>
      <w:r w:rsidRPr="005A307C">
        <w:t xml:space="preserve"> primary analyses, one for the vaccine recipients challenged at 10 days post-vaccination (10-Day Challenge) and the second for the vaccine recipients challenged at 3 months post-vaccination (3-Month Challenge), were based on the attack rates of moderate/severe diarrhoea in the corresponding vaccine g</w:t>
      </w:r>
      <w:r>
        <w:t>rou</w:t>
      </w:r>
      <w:r w:rsidRPr="005A307C">
        <w:t>p compared with the rate measured from the set of placebo recipients pooled across the 10-Day and 3-Month Challenges. The attack rate was</w:t>
      </w:r>
      <w:r>
        <w:t xml:space="preserve"> </w:t>
      </w:r>
      <w:r w:rsidRPr="005A307C">
        <w:t xml:space="preserve">defined as the percentage of subjects within each treatment arm who experienced a cumulative diarrhoeal purge of </w:t>
      </w:r>
      <w:r w:rsidR="002A4C3C">
        <w:t xml:space="preserve">at least </w:t>
      </w:r>
      <w:r w:rsidRPr="005A307C">
        <w:t>3.0 L following challenge up through 10 days post-challenge</w:t>
      </w:r>
      <w:r>
        <w:t>.</w:t>
      </w:r>
    </w:p>
    <w:p w14:paraId="58C77AD3" w14:textId="77777777" w:rsidR="00012550" w:rsidRDefault="00012550" w:rsidP="006307AA">
      <w:pPr>
        <w:pStyle w:val="Heading6"/>
      </w:pPr>
      <w:r w:rsidRPr="00764F4C">
        <w:t>Results</w:t>
      </w:r>
    </w:p>
    <w:p w14:paraId="6A4F7594" w14:textId="77777777" w:rsidR="00DC56D2" w:rsidRPr="00DC56D2" w:rsidRDefault="00DC56D2" w:rsidP="00DC56D2">
      <w:pPr>
        <w:pStyle w:val="Heading7"/>
        <w:rPr>
          <w:rStyle w:val="Heading7Char"/>
          <w:i/>
          <w:iCs/>
        </w:rPr>
      </w:pPr>
      <w:r w:rsidRPr="00DC56D2">
        <w:t>Participant flow</w:t>
      </w:r>
    </w:p>
    <w:p w14:paraId="632E3761" w14:textId="14388581" w:rsidR="00DC56D2" w:rsidRDefault="00DC56D2" w:rsidP="00DC56D2">
      <w:r>
        <w:t>The 1</w:t>
      </w:r>
      <w:r w:rsidRPr="00AF4140">
        <w:t xml:space="preserve">97 </w:t>
      </w:r>
      <w:r>
        <w:t xml:space="preserve">recipients were randomised to vaccine </w:t>
      </w:r>
      <w:r w:rsidRPr="00AF4140">
        <w:t>(95</w:t>
      </w:r>
      <w:r>
        <w:t>) or placebo (</w:t>
      </w:r>
      <w:r w:rsidRPr="00AF4140">
        <w:t>102)</w:t>
      </w:r>
      <w:r>
        <w:t>.</w:t>
      </w:r>
      <w:r w:rsidRPr="00AF4140">
        <w:t xml:space="preserve"> One subject in each g</w:t>
      </w:r>
      <w:r>
        <w:t>rou</w:t>
      </w:r>
      <w:r w:rsidRPr="00AF4140">
        <w:t>p did not complete a Day 8 visit but remained in the study. Subjects were eligible for challenge based on blood g</w:t>
      </w:r>
      <w:r>
        <w:t>rou</w:t>
      </w:r>
      <w:r w:rsidRPr="00AF4140">
        <w:t>p,</w:t>
      </w:r>
      <w:r w:rsidR="00C452C7">
        <w:rPr>
          <w:rStyle w:val="FootnoteReference"/>
        </w:rPr>
        <w:footnoteReference w:id="15"/>
      </w:r>
      <w:r w:rsidRPr="00AF4140">
        <w:t xml:space="preserve"> and continued availability and eligibility. For the 10</w:t>
      </w:r>
      <w:r>
        <w:noBreakHyphen/>
      </w:r>
      <w:r w:rsidRPr="00AF4140">
        <w:t>Day Challenge, 35 PXVX0200 recipients and 33 placebo recipients were challenged on Day</w:t>
      </w:r>
      <w:r>
        <w:t> </w:t>
      </w:r>
      <w:r w:rsidRPr="00AF4140">
        <w:t xml:space="preserve">11. For the 3-Month Challenge, a separate set of 33 vaccine recipients and 33 placebo recipients received the same dose of wild type </w:t>
      </w:r>
      <w:r w:rsidRPr="000814E2">
        <w:rPr>
          <w:i/>
          <w:iCs/>
        </w:rPr>
        <w:t>V. cholerae</w:t>
      </w:r>
      <w:r w:rsidRPr="00AF4140">
        <w:t xml:space="preserve"> O1 El Tor Inaba strain N16961on Day</w:t>
      </w:r>
      <w:r>
        <w:t> </w:t>
      </w:r>
      <w:r w:rsidRPr="00AF4140">
        <w:t>91. There were 63 subjects who were randomised but not challenged: 27 vaccine recipients and 36 placebo recipients.</w:t>
      </w:r>
    </w:p>
    <w:p w14:paraId="0F081BC0" w14:textId="557F6C35" w:rsidR="00012550" w:rsidRPr="00AF4140" w:rsidRDefault="00D70C5B" w:rsidP="00D70C5B">
      <w:pPr>
        <w:pStyle w:val="Heading7"/>
      </w:pPr>
      <w:r>
        <w:t>P</w:t>
      </w:r>
      <w:r w:rsidR="00012550" w:rsidRPr="00AF4140">
        <w:t>rimary efficacy outcome</w:t>
      </w:r>
    </w:p>
    <w:p w14:paraId="451D51F7" w14:textId="3B5149B2" w:rsidR="00012550" w:rsidRDefault="00012550" w:rsidP="00012550">
      <w:r w:rsidRPr="00AF4140">
        <w:t xml:space="preserve">One oral dose of PXVX0200 demonstrated </w:t>
      </w:r>
      <w:r>
        <w:t xml:space="preserve">protective efficacy </w:t>
      </w:r>
      <w:r w:rsidRPr="00AF4140">
        <w:t>of 90.3% (95% CI</w:t>
      </w:r>
      <w:r w:rsidR="00F83624">
        <w:t>:</w:t>
      </w:r>
      <w:r w:rsidRPr="00AF4140">
        <w:t xml:space="preserve"> 62.7%</w:t>
      </w:r>
      <w:r w:rsidR="00F83624">
        <w:t xml:space="preserve">, </w:t>
      </w:r>
      <w:r w:rsidRPr="00AF4140">
        <w:t>100.0%) at 10 days and of 79.5% (95% CI</w:t>
      </w:r>
      <w:r w:rsidR="00F83624">
        <w:t>:</w:t>
      </w:r>
      <w:r w:rsidRPr="00AF4140">
        <w:t xml:space="preserve"> 49.9%</w:t>
      </w:r>
      <w:r w:rsidR="00F83624">
        <w:t xml:space="preserve">, </w:t>
      </w:r>
      <w:r w:rsidRPr="00AF4140">
        <w:t>100.0%) at 3 months against moderate or severe diarrhoea following challenge. Both co-primary objectives were met since the lower 95% confidence bound on protective efficacy exceeded 30% in both challenge g</w:t>
      </w:r>
      <w:r>
        <w:t>rou</w:t>
      </w:r>
      <w:r w:rsidRPr="00AF4140">
        <w:t>ps. Subgroup analyses by blood type, sex, and race did not reveal differences in efficacy results between subgroups.</w:t>
      </w:r>
    </w:p>
    <w:p w14:paraId="006BF253" w14:textId="078682D0" w:rsidR="00677BF1" w:rsidRPr="005F15A5" w:rsidRDefault="00677BF1" w:rsidP="00677BF1">
      <w:pPr>
        <w:pStyle w:val="TableTitle"/>
      </w:pPr>
      <w:r>
        <w:lastRenderedPageBreak/>
        <w:t xml:space="preserve">Table </w:t>
      </w:r>
      <w:r>
        <w:fldChar w:fldCharType="begin"/>
      </w:r>
      <w:r>
        <w:instrText xml:space="preserve"> SEQ Table \* ARABIC </w:instrText>
      </w:r>
      <w:r>
        <w:fldChar w:fldCharType="separate"/>
      </w:r>
      <w:r w:rsidR="000206CE">
        <w:rPr>
          <w:noProof/>
        </w:rPr>
        <w:t>3</w:t>
      </w:r>
      <w:r>
        <w:rPr>
          <w:noProof/>
        </w:rPr>
        <w:fldChar w:fldCharType="end"/>
      </w:r>
      <w:r>
        <w:t xml:space="preserve">: </w:t>
      </w:r>
      <w:r w:rsidRPr="00F137F9">
        <w:t xml:space="preserve">Study PXVX-VC-200-003 Primary efficacy: Protective efficacy for 10 Day and 3 Months challenge groups (Intention </w:t>
      </w:r>
      <w:proofErr w:type="gramStart"/>
      <w:r w:rsidRPr="00F137F9">
        <w:t>To</w:t>
      </w:r>
      <w:proofErr w:type="gramEnd"/>
      <w:r w:rsidRPr="00F137F9">
        <w:t xml:space="preserve"> Treat population)</w:t>
      </w:r>
    </w:p>
    <w:p w14:paraId="48E6EE5C" w14:textId="25D65FD7" w:rsidR="00117D98" w:rsidRPr="00AF4140" w:rsidRDefault="00117D98" w:rsidP="0011505C">
      <w:pPr>
        <w:rPr>
          <w:b/>
          <w:bCs/>
        </w:rPr>
      </w:pPr>
      <w:r>
        <w:rPr>
          <w:noProof/>
        </w:rPr>
        <w:drawing>
          <wp:inline distT="0" distB="0" distL="0" distR="0" wp14:anchorId="2C277DF1" wp14:editId="1A6CC5D9">
            <wp:extent cx="5143500" cy="3619164"/>
            <wp:effectExtent l="0" t="0" r="0" b="635"/>
            <wp:docPr id="1" name="Picture 1" descr="Left hand column lists 4 levels of diarrhoea severity, attack rate and protective efficacy. The 3 columns are for vaccine at day 10, vaccine at 3 months, and placebo. There are notes under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hand column lists 4 levels of diarrhoea severity, attack rate and protective efficacy. The 3 columns are for vaccine at day 10, vaccine at 3 months, and placebo. There are notes under the table. "/>
                    <pic:cNvPicPr/>
                  </pic:nvPicPr>
                  <pic:blipFill>
                    <a:blip r:embed="rId20"/>
                    <a:stretch>
                      <a:fillRect/>
                    </a:stretch>
                  </pic:blipFill>
                  <pic:spPr>
                    <a:xfrm>
                      <a:off x="0" y="0"/>
                      <a:ext cx="5148949" cy="3622998"/>
                    </a:xfrm>
                    <a:prstGeom prst="rect">
                      <a:avLst/>
                    </a:prstGeom>
                  </pic:spPr>
                </pic:pic>
              </a:graphicData>
            </a:graphic>
          </wp:inline>
        </w:drawing>
      </w:r>
    </w:p>
    <w:p w14:paraId="7CBBAF17" w14:textId="2AE9287C" w:rsidR="00012550" w:rsidRDefault="00012550" w:rsidP="00386D33">
      <w:pPr>
        <w:pStyle w:val="Heading6"/>
      </w:pPr>
      <w:r>
        <w:t>Delegate</w:t>
      </w:r>
      <w:r w:rsidR="001B6BAF">
        <w:t>’s</w:t>
      </w:r>
      <w:r>
        <w:t xml:space="preserve"> comments</w:t>
      </w:r>
    </w:p>
    <w:p w14:paraId="6FDC649C" w14:textId="793148D0" w:rsidR="00012550" w:rsidRPr="006F544B" w:rsidRDefault="00012550" w:rsidP="006F544B">
      <w:r>
        <w:t xml:space="preserve">The FDA had significant input into the design of this human challenge study in developing a closely monitored human infection model involving </w:t>
      </w:r>
      <w:r w:rsidRPr="00515702">
        <w:t xml:space="preserve">the ingestion of virulent </w:t>
      </w:r>
      <w:r w:rsidRPr="00515702">
        <w:rPr>
          <w:i/>
          <w:iCs/>
        </w:rPr>
        <w:t>V. cholerae</w:t>
      </w:r>
      <w:r w:rsidRPr="00515702">
        <w:t xml:space="preserve"> O1 El</w:t>
      </w:r>
      <w:r>
        <w:t xml:space="preserve"> </w:t>
      </w:r>
      <w:r w:rsidRPr="00515702">
        <w:t>Tor Inaba strain N16961, 10 days or 3 months after vaccination.</w:t>
      </w:r>
      <w:r w:rsidR="00D15F22" w:rsidRPr="00D15F22">
        <w:rPr>
          <w:vertAlign w:val="superscript"/>
        </w:rPr>
        <w:fldChar w:fldCharType="begin"/>
      </w:r>
      <w:r w:rsidR="00D15F22" w:rsidRPr="00D15F22">
        <w:rPr>
          <w:vertAlign w:val="superscript"/>
        </w:rPr>
        <w:instrText xml:space="preserve"> NOTEREF _Ref153369002 \h </w:instrText>
      </w:r>
      <w:r w:rsidR="00D15F22">
        <w:rPr>
          <w:vertAlign w:val="superscript"/>
        </w:rPr>
        <w:instrText xml:space="preserve"> \* MERGEFORMAT </w:instrText>
      </w:r>
      <w:r w:rsidR="00D15F22" w:rsidRPr="00D15F22">
        <w:rPr>
          <w:vertAlign w:val="superscript"/>
        </w:rPr>
      </w:r>
      <w:r w:rsidR="00D15F22" w:rsidRPr="00D15F22">
        <w:rPr>
          <w:vertAlign w:val="superscript"/>
        </w:rPr>
        <w:fldChar w:fldCharType="separate"/>
      </w:r>
      <w:r w:rsidR="000206CE">
        <w:rPr>
          <w:vertAlign w:val="superscript"/>
        </w:rPr>
        <w:t>12</w:t>
      </w:r>
      <w:r w:rsidR="00D15F22" w:rsidRPr="00D15F22">
        <w:rPr>
          <w:vertAlign w:val="superscript"/>
        </w:rPr>
        <w:fldChar w:fldCharType="end"/>
      </w:r>
      <w:r>
        <w:t xml:space="preserve"> It was concluded that the study provided evidence that in </w:t>
      </w:r>
      <w:r w:rsidRPr="006F544B">
        <w:t>immunologically na</w:t>
      </w:r>
      <w:r w:rsidR="00D14BF7" w:rsidRPr="006F544B">
        <w:t>i</w:t>
      </w:r>
      <w:r w:rsidRPr="006F544B">
        <w:t>ve adults</w:t>
      </w:r>
      <w:r>
        <w:t>, ‘</w:t>
      </w:r>
      <w:r w:rsidRPr="006F544B">
        <w:t xml:space="preserve">serum </w:t>
      </w:r>
      <w:proofErr w:type="spellStart"/>
      <w:r w:rsidRPr="006F544B">
        <w:t>vibriocidal</w:t>
      </w:r>
      <w:proofErr w:type="spellEnd"/>
      <w:r w:rsidRPr="006F544B">
        <w:t xml:space="preserve"> antibody seroconversion is a reliable correlate of protection and may constitute a surrogate for an as yet uncharacterised mechanistic intestinal protective response</w:t>
      </w:r>
      <w:r w:rsidR="006F544B">
        <w:t>’</w:t>
      </w:r>
      <w:r w:rsidRPr="006F544B">
        <w:t>.</w:t>
      </w:r>
      <w:r w:rsidR="00E947E5" w:rsidRPr="00E947E5">
        <w:rPr>
          <w:vertAlign w:val="superscript"/>
        </w:rPr>
        <w:fldChar w:fldCharType="begin"/>
      </w:r>
      <w:r w:rsidR="00E947E5" w:rsidRPr="00E947E5">
        <w:rPr>
          <w:vertAlign w:val="superscript"/>
        </w:rPr>
        <w:instrText xml:space="preserve"> NOTEREF _Ref153369002 \h </w:instrText>
      </w:r>
      <w:r w:rsidR="00E947E5">
        <w:rPr>
          <w:vertAlign w:val="superscript"/>
        </w:rPr>
        <w:instrText xml:space="preserve"> \* MERGEFORMAT </w:instrText>
      </w:r>
      <w:r w:rsidR="00E947E5" w:rsidRPr="00E947E5">
        <w:rPr>
          <w:vertAlign w:val="superscript"/>
        </w:rPr>
      </w:r>
      <w:r w:rsidR="00E947E5" w:rsidRPr="00E947E5">
        <w:rPr>
          <w:vertAlign w:val="superscript"/>
        </w:rPr>
        <w:fldChar w:fldCharType="separate"/>
      </w:r>
      <w:r w:rsidR="000206CE">
        <w:rPr>
          <w:vertAlign w:val="superscript"/>
        </w:rPr>
        <w:t>12</w:t>
      </w:r>
      <w:r w:rsidR="00E947E5" w:rsidRPr="00E947E5">
        <w:rPr>
          <w:vertAlign w:val="superscript"/>
        </w:rPr>
        <w:fldChar w:fldCharType="end"/>
      </w:r>
      <w:r w:rsidRPr="00E947E5">
        <w:rPr>
          <w:vertAlign w:val="superscript"/>
        </w:rPr>
        <w:t xml:space="preserve"> </w:t>
      </w:r>
      <w:r w:rsidRPr="006F544B">
        <w:t xml:space="preserve">Serum </w:t>
      </w:r>
      <w:proofErr w:type="spellStart"/>
      <w:r w:rsidRPr="006F544B">
        <w:t>vibriocidal</w:t>
      </w:r>
      <w:proofErr w:type="spellEnd"/>
      <w:r w:rsidRPr="006F544B">
        <w:t xml:space="preserve"> antibody seroconversion was later used as an immunologic bridge for trials in more vulnerable populations in which cholera challenge studies are not feasible.</w:t>
      </w:r>
    </w:p>
    <w:p w14:paraId="750CA9DB" w14:textId="78E386EB" w:rsidR="00012550" w:rsidRDefault="003C2565" w:rsidP="00A02DB9">
      <w:pPr>
        <w:pStyle w:val="Heading5"/>
      </w:pPr>
      <w:r>
        <w:t xml:space="preserve">Study </w:t>
      </w:r>
      <w:r w:rsidR="00012550" w:rsidRPr="0062244E">
        <w:t>PXVX-VC-200-004</w:t>
      </w:r>
    </w:p>
    <w:p w14:paraId="13E0BC80" w14:textId="5F34BB5B" w:rsidR="0097514B" w:rsidRPr="0097514B" w:rsidRDefault="0097514B" w:rsidP="0097514B">
      <w:r>
        <w:t>Th</w:t>
      </w:r>
      <w:r w:rsidR="006D6C1C">
        <w:t xml:space="preserve">e publication for this </w:t>
      </w:r>
      <w:r>
        <w:t xml:space="preserve">study is </w:t>
      </w:r>
      <w:r w:rsidR="00493FC4" w:rsidRPr="00493FC4">
        <w:t>McCarty et al (2018)</w:t>
      </w:r>
      <w:r w:rsidR="00AE362C">
        <w:rPr>
          <w:rFonts w:asciiTheme="minorHAnsi" w:eastAsia="TimesNewRoman" w:hAnsiTheme="minorHAnsi" w:cs="TimesNewRoman"/>
          <w:bCs/>
          <w:sz w:val="20"/>
        </w:rPr>
        <w:t>.</w:t>
      </w:r>
      <w:bookmarkStart w:id="54" w:name="_Ref153361129"/>
      <w:r w:rsidR="00493FC4">
        <w:rPr>
          <w:rStyle w:val="FootnoteReference"/>
        </w:rPr>
        <w:footnoteReference w:id="16"/>
      </w:r>
      <w:bookmarkEnd w:id="54"/>
    </w:p>
    <w:p w14:paraId="038DCAEB" w14:textId="77777777" w:rsidR="00403FEC" w:rsidRDefault="00A02DB9" w:rsidP="00403FEC">
      <w:pPr>
        <w:pStyle w:val="Heading6"/>
      </w:pPr>
      <w:r>
        <w:t>D</w:t>
      </w:r>
      <w:r w:rsidR="00012550">
        <w:t>esign</w:t>
      </w:r>
    </w:p>
    <w:p w14:paraId="01DD3A10" w14:textId="77BB4833" w:rsidR="00012550" w:rsidRPr="009E2251" w:rsidRDefault="00012550" w:rsidP="00012550">
      <w:r w:rsidRPr="009E2251">
        <w:t xml:space="preserve">Phase </w:t>
      </w:r>
      <w:r w:rsidR="00403FEC">
        <w:t>III r</w:t>
      </w:r>
      <w:r w:rsidRPr="009E2251">
        <w:t>andomised, double-blind, placebo-controlled trial of single dose of oral vaccine (1</w:t>
      </w:r>
      <w:r w:rsidR="00403FEC">
        <w:t> </w:t>
      </w:r>
      <w:r w:rsidR="009E5A77">
        <w:t>×</w:t>
      </w:r>
      <w:r w:rsidR="00403FEC">
        <w:t> </w:t>
      </w:r>
      <w:r w:rsidRPr="009E2251">
        <w:t>10</w:t>
      </w:r>
      <w:r w:rsidRPr="009E2251">
        <w:rPr>
          <w:vertAlign w:val="superscript"/>
        </w:rPr>
        <w:t>9</w:t>
      </w:r>
      <w:r w:rsidR="00403FEC">
        <w:t> </w:t>
      </w:r>
      <w:r w:rsidRPr="009E2251">
        <w:t>CFU/dose) in healthy adults</w:t>
      </w:r>
      <w:r w:rsidR="00403FEC">
        <w:t>.</w:t>
      </w:r>
    </w:p>
    <w:p w14:paraId="2F37AF48" w14:textId="2B957C6B" w:rsidR="00AE362C" w:rsidRDefault="00012550" w:rsidP="00AE362C">
      <w:pPr>
        <w:pStyle w:val="Heading6"/>
      </w:pPr>
      <w:r w:rsidRPr="00967D42">
        <w:t xml:space="preserve">Primary </w:t>
      </w:r>
      <w:r w:rsidR="00AE362C">
        <w:t>i</w:t>
      </w:r>
      <w:r w:rsidRPr="00967D42">
        <w:t xml:space="preserve">mmunogenicity </w:t>
      </w:r>
      <w:r w:rsidR="00AE362C">
        <w:t>o</w:t>
      </w:r>
      <w:r w:rsidRPr="00967D42">
        <w:t>bjective</w:t>
      </w:r>
    </w:p>
    <w:p w14:paraId="355FE361" w14:textId="27A177FB" w:rsidR="009906CB" w:rsidRDefault="009906CB" w:rsidP="00012550">
      <w:r>
        <w:t>D</w:t>
      </w:r>
      <w:r w:rsidR="00012550" w:rsidRPr="00967D42">
        <w:t xml:space="preserve">emonstrate immunologic equivalence of </w:t>
      </w:r>
      <w:r w:rsidR="000A3E37">
        <w:t>3</w:t>
      </w:r>
      <w:r w:rsidR="00012550" w:rsidRPr="00967D42">
        <w:t xml:space="preserve"> different production lots of PXVX0200.</w:t>
      </w:r>
    </w:p>
    <w:p w14:paraId="6D199916" w14:textId="7AB61B8D" w:rsidR="009906CB" w:rsidRDefault="00012550" w:rsidP="009906CB">
      <w:pPr>
        <w:pStyle w:val="ListBullet"/>
      </w:pPr>
      <w:r w:rsidRPr="00967D42">
        <w:t xml:space="preserve">Primary endpoint: </w:t>
      </w:r>
      <w:r w:rsidR="001B6BAF">
        <w:t>s</w:t>
      </w:r>
      <w:r w:rsidRPr="00967D42">
        <w:t xml:space="preserve">erum </w:t>
      </w:r>
      <w:proofErr w:type="spellStart"/>
      <w:r w:rsidRPr="00967D42">
        <w:t>vibriocidal</w:t>
      </w:r>
      <w:proofErr w:type="spellEnd"/>
      <w:r w:rsidRPr="00967D42">
        <w:t xml:space="preserve"> antibody measured at Day 11 (Immunogenicity Evaluable Population).</w:t>
      </w:r>
    </w:p>
    <w:p w14:paraId="1F0922E6" w14:textId="4DFE060F" w:rsidR="00012550" w:rsidRDefault="00012550" w:rsidP="009906CB">
      <w:pPr>
        <w:pStyle w:val="ListBullet"/>
      </w:pPr>
      <w:r w:rsidRPr="008E515A">
        <w:lastRenderedPageBreak/>
        <w:t xml:space="preserve">Equivalence criteria: </w:t>
      </w:r>
      <w:r w:rsidR="001B6BAF">
        <w:t>g</w:t>
      </w:r>
      <w:r w:rsidR="00B27056" w:rsidRPr="008E515A">
        <w:t>eometric mean titre (</w:t>
      </w:r>
      <w:r w:rsidRPr="008E515A">
        <w:t>GMT</w:t>
      </w:r>
      <w:r w:rsidR="00B27056" w:rsidRPr="008E515A">
        <w:t>)</w:t>
      </w:r>
      <w:r w:rsidRPr="008E515A">
        <w:t xml:space="preserve"> of each lot must be within ±50% of each</w:t>
      </w:r>
      <w:r w:rsidRPr="00967D42">
        <w:t xml:space="preserve"> other lot with 95% confidence. Specifically, the 95% CI around each pairwise ratio of GMTs must be within 0.67</w:t>
      </w:r>
      <w:r w:rsidR="001B6BAF">
        <w:t xml:space="preserve"> and</w:t>
      </w:r>
      <w:r w:rsidRPr="00967D42">
        <w:t xml:space="preserve"> 1.5.</w:t>
      </w:r>
    </w:p>
    <w:p w14:paraId="7864EF39" w14:textId="77777777" w:rsidR="00012550" w:rsidRDefault="00012550" w:rsidP="00A8066A">
      <w:pPr>
        <w:pStyle w:val="Heading6"/>
      </w:pPr>
      <w:r w:rsidRPr="00104788">
        <w:t>Study treatments</w:t>
      </w:r>
    </w:p>
    <w:p w14:paraId="533A45A2" w14:textId="4C732B6E" w:rsidR="00012550" w:rsidRDefault="00012550" w:rsidP="00012550">
      <w:r w:rsidRPr="00104788">
        <w:t>A target concentration of 1</w:t>
      </w:r>
      <w:r w:rsidR="00341CA4">
        <w:t> × </w:t>
      </w:r>
      <w:r w:rsidRPr="00104788">
        <w:t>10</w:t>
      </w:r>
      <w:r w:rsidRPr="00341CA4">
        <w:rPr>
          <w:vertAlign w:val="superscript"/>
        </w:rPr>
        <w:t>9</w:t>
      </w:r>
      <w:r w:rsidRPr="00104788">
        <w:t xml:space="preserve"> CFU was selected to correspond to the upper end of the concentration range of 2</w:t>
      </w:r>
      <w:r w:rsidR="00341CA4">
        <w:t>× </w:t>
      </w:r>
      <w:r w:rsidR="00341CA4" w:rsidRPr="00104788">
        <w:t>10</w:t>
      </w:r>
      <w:r w:rsidR="00341CA4">
        <w:rPr>
          <w:vertAlign w:val="superscript"/>
        </w:rPr>
        <w:t>8</w:t>
      </w:r>
      <w:r w:rsidRPr="00104788">
        <w:t xml:space="preserve"> to </w:t>
      </w:r>
      <w:r w:rsidR="00341CA4" w:rsidRPr="00104788">
        <w:t>1</w:t>
      </w:r>
      <w:r w:rsidR="00341CA4">
        <w:t> × </w:t>
      </w:r>
      <w:r w:rsidR="00341CA4" w:rsidRPr="00104788">
        <w:t>10</w:t>
      </w:r>
      <w:r w:rsidR="00341CA4" w:rsidRPr="00341CA4">
        <w:rPr>
          <w:vertAlign w:val="superscript"/>
        </w:rPr>
        <w:t>9</w:t>
      </w:r>
      <w:r w:rsidR="00341CA4" w:rsidRPr="00104788">
        <w:t xml:space="preserve"> CFU</w:t>
      </w:r>
      <w:r w:rsidRPr="00104788">
        <w:t xml:space="preserve">/dose that was used in the previously marketed </w:t>
      </w:r>
      <w:proofErr w:type="spellStart"/>
      <w:r w:rsidRPr="00104788">
        <w:t>Orochol</w:t>
      </w:r>
      <w:proofErr w:type="spellEnd"/>
      <w:r w:rsidRPr="00104788">
        <w:t xml:space="preserve"> vaccine</w:t>
      </w:r>
      <w:r>
        <w:t>.</w:t>
      </w:r>
    </w:p>
    <w:p w14:paraId="269E3B88" w14:textId="1CF61B47" w:rsidR="00A8066A" w:rsidRDefault="00A8066A" w:rsidP="00A7338B">
      <w:pPr>
        <w:pStyle w:val="Heading6"/>
      </w:pPr>
      <w:r w:rsidRPr="00104788">
        <w:t>Results</w:t>
      </w:r>
    </w:p>
    <w:p w14:paraId="2777EA24" w14:textId="77777777" w:rsidR="00AC3F95" w:rsidRDefault="00AC3F95" w:rsidP="00AC3F95">
      <w:pPr>
        <w:pStyle w:val="Heading7"/>
      </w:pPr>
      <w:r w:rsidRPr="00104788">
        <w:t>Participant flow</w:t>
      </w:r>
    </w:p>
    <w:p w14:paraId="28F38D93" w14:textId="0F616B6C" w:rsidR="00AC3F95" w:rsidRDefault="00AC3F95" w:rsidP="003C2565">
      <w:pPr>
        <w:rPr>
          <w:i/>
          <w:iCs/>
        </w:rPr>
      </w:pPr>
      <w:r>
        <w:t xml:space="preserve">The </w:t>
      </w:r>
      <w:r w:rsidRPr="00341CA4">
        <w:t>3146 subjects were randomised</w:t>
      </w:r>
      <w:r>
        <w:t xml:space="preserve"> to </w:t>
      </w:r>
      <w:r w:rsidRPr="00341CA4">
        <w:t xml:space="preserve">one of three PXVX0200 lots </w:t>
      </w:r>
      <w:r w:rsidR="000345A6">
        <w:t>(2795) or placebo (</w:t>
      </w:r>
      <w:r w:rsidRPr="00341CA4">
        <w:t>351</w:t>
      </w:r>
      <w:r w:rsidR="000345A6">
        <w:t>)</w:t>
      </w:r>
      <w:r w:rsidRPr="00341CA4">
        <w:t>. Overall, 92.7% of vaccine recipients and 94.3% of placebo recipients completed the study. The most frequent reason for early termination was subjects being lost to follow-up</w:t>
      </w:r>
      <w:r>
        <w:t xml:space="preserve"> (</w:t>
      </w:r>
      <w:r w:rsidRPr="00341CA4">
        <w:t>6.0% for vaccine recipients and 4.6% for placebo recipients</w:t>
      </w:r>
      <w:r>
        <w:t>)</w:t>
      </w:r>
      <w:r w:rsidRPr="00341CA4">
        <w:t>, followed by withdrawal by subject</w:t>
      </w:r>
      <w:r>
        <w:t xml:space="preserve"> (</w:t>
      </w:r>
      <w:r w:rsidRPr="00341CA4">
        <w:t>0.9% for both vaccine and placebo recipients</w:t>
      </w:r>
      <w:r>
        <w:t>)</w:t>
      </w:r>
      <w:r w:rsidRPr="00341CA4">
        <w:t>; 2 subjects discontinued early due to AEs.</w:t>
      </w:r>
    </w:p>
    <w:p w14:paraId="451B98A7" w14:textId="59504942" w:rsidR="000345A6" w:rsidRPr="000345A6" w:rsidRDefault="000345A6" w:rsidP="000345A6">
      <w:pPr>
        <w:pStyle w:val="Heading7"/>
      </w:pPr>
      <w:r w:rsidRPr="00104788">
        <w:t>P</w:t>
      </w:r>
      <w:r>
        <w:t>rimary objective</w:t>
      </w:r>
    </w:p>
    <w:p w14:paraId="067AFF2E" w14:textId="02EF8D20" w:rsidR="00012550" w:rsidRDefault="00012550" w:rsidP="00012550">
      <w:r w:rsidRPr="00104788">
        <w:t xml:space="preserve">The primary objective was met with </w:t>
      </w:r>
      <w:r w:rsidR="00B27056">
        <w:t>geometric mean ratio</w:t>
      </w:r>
      <w:r w:rsidRPr="00104788">
        <w:t xml:space="preserve"> of</w:t>
      </w:r>
      <w:r>
        <w:t xml:space="preserve"> </w:t>
      </w:r>
      <w:proofErr w:type="spellStart"/>
      <w:r w:rsidRPr="00104788">
        <w:t>vibriocidal</w:t>
      </w:r>
      <w:proofErr w:type="spellEnd"/>
      <w:r w:rsidRPr="00104788">
        <w:t xml:space="preserve"> titres equal to 0.92 </w:t>
      </w:r>
      <w:r w:rsidR="005A320C">
        <w:t>(</w:t>
      </w:r>
      <w:r w:rsidRPr="00104788">
        <w:t>95% CI</w:t>
      </w:r>
      <w:r w:rsidR="005A320C">
        <w:t>:</w:t>
      </w:r>
      <w:r w:rsidRPr="00104788">
        <w:t xml:space="preserve"> 0.78, 1.08</w:t>
      </w:r>
      <w:r w:rsidR="005A320C">
        <w:t>)</w:t>
      </w:r>
      <w:r w:rsidRPr="00104788">
        <w:t xml:space="preserve">, 1.02 </w:t>
      </w:r>
      <w:r w:rsidR="005A320C">
        <w:t>(</w:t>
      </w:r>
      <w:r w:rsidRPr="00104788">
        <w:t>95% CI</w:t>
      </w:r>
      <w:r w:rsidR="005A320C">
        <w:t>:</w:t>
      </w:r>
      <w:r w:rsidRPr="00104788">
        <w:t xml:space="preserve"> 0.87, 1.20</w:t>
      </w:r>
      <w:r w:rsidR="005A320C">
        <w:t>)</w:t>
      </w:r>
      <w:r w:rsidRPr="00104788">
        <w:t xml:space="preserve">, and 0.94 </w:t>
      </w:r>
      <w:r w:rsidR="005A320C">
        <w:t>(</w:t>
      </w:r>
      <w:r w:rsidRPr="00104788">
        <w:t>95%CI</w:t>
      </w:r>
      <w:r w:rsidR="005A320C">
        <w:t>:</w:t>
      </w:r>
      <w:r w:rsidRPr="00104788">
        <w:t xml:space="preserve"> 0.80, 1.10</w:t>
      </w:r>
      <w:r w:rsidR="005A320C">
        <w:t>)</w:t>
      </w:r>
      <w:r w:rsidRPr="00104788">
        <w:t xml:space="preserve"> for the comparison </w:t>
      </w:r>
      <w:r w:rsidRPr="001B6BAF">
        <w:t xml:space="preserve">of Lots </w:t>
      </w:r>
      <w:proofErr w:type="gramStart"/>
      <w:r w:rsidRPr="001B6BAF">
        <w:t>A:B</w:t>
      </w:r>
      <w:proofErr w:type="gramEnd"/>
      <w:r w:rsidRPr="001B6BAF">
        <w:t xml:space="preserve">, B:C, and A:C, respectively. </w:t>
      </w:r>
      <w:r w:rsidR="00BE3F9F" w:rsidRPr="001B6BAF">
        <w:t xml:space="preserve">The </w:t>
      </w:r>
      <w:r w:rsidRPr="001B6BAF">
        <w:t xml:space="preserve">Day 11 GMTs of serum </w:t>
      </w:r>
      <w:proofErr w:type="spellStart"/>
      <w:r w:rsidRPr="001B6BAF">
        <w:t>vibriocidal</w:t>
      </w:r>
      <w:proofErr w:type="spellEnd"/>
      <w:r w:rsidRPr="001B6BAF">
        <w:t xml:space="preserve"> antibodies</w:t>
      </w:r>
      <w:r w:rsidRPr="00104788">
        <w:t xml:space="preserve"> homologous classical Inaba were 9220, 10034, and 9827 for </w:t>
      </w:r>
      <w:proofErr w:type="gramStart"/>
      <w:r w:rsidRPr="00104788">
        <w:t>Lots</w:t>
      </w:r>
      <w:proofErr w:type="gramEnd"/>
      <w:r w:rsidRPr="00104788">
        <w:t xml:space="preserve"> A, B, and C, respectively</w:t>
      </w:r>
      <w:r w:rsidRPr="00746DEB">
        <w:t>.</w:t>
      </w:r>
    </w:p>
    <w:p w14:paraId="6846C832" w14:textId="0FE0C15F" w:rsidR="00012550" w:rsidRPr="009E0FC7" w:rsidRDefault="00012550" w:rsidP="00012550">
      <w:r w:rsidRPr="00D61607">
        <w:t xml:space="preserve">Reactogenicity signs and symptoms after vaccine administration were reported by 51.90% </w:t>
      </w:r>
      <w:r w:rsidR="00D54962">
        <w:t>(</w:t>
      </w:r>
      <w:r w:rsidR="00D61607" w:rsidRPr="00D61607">
        <w:t xml:space="preserve">95% CI: </w:t>
      </w:r>
      <w:r w:rsidRPr="00D61607">
        <w:t>50.01%, 53.79%</w:t>
      </w:r>
      <w:r w:rsidR="00D54962">
        <w:t>)</w:t>
      </w:r>
      <w:r w:rsidRPr="00D61607">
        <w:t xml:space="preserve"> of vaccine recipients and 43.15% </w:t>
      </w:r>
      <w:r w:rsidR="00D54962">
        <w:t>(</w:t>
      </w:r>
      <w:r w:rsidR="00D61607" w:rsidRPr="00D61607">
        <w:t xml:space="preserve">95% CI: </w:t>
      </w:r>
      <w:r w:rsidRPr="00D61607">
        <w:t>37.84%, 48.58%</w:t>
      </w:r>
      <w:r w:rsidR="00D54962">
        <w:t>)</w:t>
      </w:r>
      <w:r w:rsidRPr="00D61607">
        <w:t xml:space="preserve"> of placebo recipients (p=0.0024). Reactogenicity signs and symptoms of at least moderate severity were</w:t>
      </w:r>
      <w:r w:rsidRPr="009E0FC7">
        <w:t xml:space="preserve"> reported by 23.81% </w:t>
      </w:r>
      <w:r w:rsidR="00D54962">
        <w:t>(</w:t>
      </w:r>
      <w:r w:rsidR="00D54962" w:rsidRPr="00D61607">
        <w:t>95% CI</w:t>
      </w:r>
      <w:r w:rsidR="00D54962" w:rsidRPr="009E0FC7">
        <w:t xml:space="preserve"> </w:t>
      </w:r>
      <w:r w:rsidRPr="009E0FC7">
        <w:t>22.23%, 25.45%</w:t>
      </w:r>
      <w:r w:rsidR="00D54962">
        <w:t>)</w:t>
      </w:r>
      <w:r w:rsidRPr="009E0FC7">
        <w:t xml:space="preserve"> of vaccine recipients and 18.37% </w:t>
      </w:r>
      <w:r w:rsidR="00D54962">
        <w:t>(</w:t>
      </w:r>
      <w:r w:rsidR="00D54962" w:rsidRPr="00D61607">
        <w:t>95% CI</w:t>
      </w:r>
      <w:r w:rsidR="00D54962" w:rsidRPr="009E0FC7">
        <w:t xml:space="preserve"> </w:t>
      </w:r>
      <w:r w:rsidRPr="009E0FC7">
        <w:t>14.41%, 22.88%</w:t>
      </w:r>
      <w:r w:rsidR="00D54962">
        <w:t>)</w:t>
      </w:r>
      <w:r w:rsidRPr="009E0FC7">
        <w:t xml:space="preserve"> of placebo recipients (p=0.0250). The </w:t>
      </w:r>
      <w:r w:rsidR="000A3E37">
        <w:t>3</w:t>
      </w:r>
      <w:r w:rsidRPr="009E0FC7">
        <w:t xml:space="preserve"> individual lots of vaccine did not show meaningful differences in reactogenicity.</w:t>
      </w:r>
    </w:p>
    <w:p w14:paraId="7E7B23AA" w14:textId="58BE9D15" w:rsidR="00012550" w:rsidRDefault="00012550" w:rsidP="00564131">
      <w:pPr>
        <w:pStyle w:val="Heading6"/>
      </w:pPr>
      <w:r w:rsidRPr="009A3FB0">
        <w:t>Delegate</w:t>
      </w:r>
      <w:r w:rsidR="003A496E">
        <w:t>’s</w:t>
      </w:r>
      <w:r w:rsidRPr="009A3FB0">
        <w:t xml:space="preserve"> comments</w:t>
      </w:r>
    </w:p>
    <w:p w14:paraId="55143A7A" w14:textId="65604BB8" w:rsidR="00012550" w:rsidRPr="009E0FC7" w:rsidRDefault="00012550" w:rsidP="00012550">
      <w:r w:rsidRPr="009E0FC7">
        <w:t xml:space="preserve">The evaluator concluded that </w:t>
      </w:r>
      <w:r>
        <w:t>t</w:t>
      </w:r>
      <w:r w:rsidRPr="009E0FC7">
        <w:t xml:space="preserve">his was the largest of the studies included in this </w:t>
      </w:r>
      <w:r>
        <w:t>a</w:t>
      </w:r>
      <w:r w:rsidRPr="009E0FC7">
        <w:t>pplication, conducted in healthy young adults. Aside from demonstrating lot-to-lot consistency, the vaccine was shown to be well tolerated and immunogenic</w:t>
      </w:r>
      <w:r>
        <w:t xml:space="preserve">, hence providing a large proportion of the safety database for </w:t>
      </w:r>
      <w:proofErr w:type="spellStart"/>
      <w:r>
        <w:t>Vaxchora</w:t>
      </w:r>
      <w:proofErr w:type="spellEnd"/>
      <w:r>
        <w:t>.</w:t>
      </w:r>
    </w:p>
    <w:p w14:paraId="1552E3E1" w14:textId="11C4443D" w:rsidR="00012550" w:rsidRDefault="003C2565" w:rsidP="00241878">
      <w:pPr>
        <w:pStyle w:val="Heading5"/>
      </w:pPr>
      <w:r w:rsidRPr="000A1E77">
        <w:t xml:space="preserve">Study </w:t>
      </w:r>
      <w:r w:rsidR="00012550" w:rsidRPr="000A1E77">
        <w:t>PXVX-VC-200-005</w:t>
      </w:r>
    </w:p>
    <w:p w14:paraId="00C28F88" w14:textId="44D97FB7" w:rsidR="00EB394A" w:rsidRPr="0097514B" w:rsidRDefault="00EB394A" w:rsidP="00EB394A">
      <w:r>
        <w:t>Th</w:t>
      </w:r>
      <w:r w:rsidR="006D6C1C">
        <w:t>e publication for this</w:t>
      </w:r>
      <w:r>
        <w:t xml:space="preserve"> study is </w:t>
      </w:r>
      <w:r w:rsidRPr="00493FC4">
        <w:t>McCarty et al (201</w:t>
      </w:r>
      <w:r w:rsidR="00CD5D2D">
        <w:t>9</w:t>
      </w:r>
      <w:r w:rsidRPr="00493FC4">
        <w:t>)</w:t>
      </w:r>
      <w:r>
        <w:rPr>
          <w:rFonts w:asciiTheme="minorHAnsi" w:eastAsia="TimesNewRoman" w:hAnsiTheme="minorHAnsi" w:cs="TimesNewRoman"/>
          <w:bCs/>
          <w:sz w:val="20"/>
        </w:rPr>
        <w:t>.</w:t>
      </w:r>
      <w:bookmarkStart w:id="55" w:name="_Ref153441711"/>
      <w:r w:rsidR="00CD5D2D">
        <w:rPr>
          <w:rStyle w:val="FootnoteReference"/>
          <w:rFonts w:asciiTheme="minorHAnsi" w:eastAsia="TimesNewRoman" w:hAnsiTheme="minorHAnsi" w:cs="TimesNewRoman"/>
          <w:bCs/>
          <w:sz w:val="20"/>
        </w:rPr>
        <w:footnoteReference w:id="17"/>
      </w:r>
      <w:bookmarkEnd w:id="55"/>
    </w:p>
    <w:p w14:paraId="7A02A6DA" w14:textId="77777777" w:rsidR="00241878" w:rsidRDefault="00241878" w:rsidP="00241878">
      <w:pPr>
        <w:pStyle w:val="Heading6"/>
      </w:pPr>
      <w:r>
        <w:t>D</w:t>
      </w:r>
      <w:r w:rsidR="00012550" w:rsidRPr="009E2251">
        <w:t>esign</w:t>
      </w:r>
    </w:p>
    <w:p w14:paraId="27FCFDF0" w14:textId="1F497421" w:rsidR="00012550" w:rsidRDefault="00012550" w:rsidP="00012550">
      <w:r w:rsidRPr="00F860B1">
        <w:t xml:space="preserve">Phase III </w:t>
      </w:r>
      <w:r w:rsidR="000A1E77">
        <w:t>r</w:t>
      </w:r>
      <w:r w:rsidRPr="00F860B1">
        <w:t>andomised, double-blind, placebo-controlled trial of single dose of oral vaccine (1</w:t>
      </w:r>
      <w:r w:rsidR="00241878">
        <w:t> </w:t>
      </w:r>
      <w:r w:rsidR="009E5A77">
        <w:t>×</w:t>
      </w:r>
      <w:r w:rsidR="00241878">
        <w:t> </w:t>
      </w:r>
      <w:r w:rsidRPr="00F860B1">
        <w:t>10</w:t>
      </w:r>
      <w:r w:rsidRPr="00D22C2F">
        <w:rPr>
          <w:vertAlign w:val="superscript"/>
        </w:rPr>
        <w:t>9</w:t>
      </w:r>
      <w:r w:rsidR="00241878">
        <w:t> </w:t>
      </w:r>
      <w:r w:rsidRPr="00F860B1">
        <w:t>CFU/dose) in healthy older adults</w:t>
      </w:r>
      <w:r w:rsidR="00AE74CD">
        <w:t>.</w:t>
      </w:r>
    </w:p>
    <w:p w14:paraId="2FA6B9CE" w14:textId="77777777" w:rsidR="00012550" w:rsidRPr="00F860B1" w:rsidRDefault="00012550" w:rsidP="00012550">
      <w:r w:rsidRPr="00F860B1">
        <w:t>The study aimed to compare the immunogenicity established in study PXVX-VC-200-004 (</w:t>
      </w:r>
      <w:r>
        <w:t>lot consistency</w:t>
      </w:r>
      <w:r w:rsidRPr="00F860B1">
        <w:t>) in younger adults, and demonstrate the immune responses were non-inferior in older adults.</w:t>
      </w:r>
    </w:p>
    <w:p w14:paraId="2A32D09B" w14:textId="6847ECFD" w:rsidR="00012550" w:rsidRPr="003955D1" w:rsidRDefault="00012550" w:rsidP="00AE74CD">
      <w:pPr>
        <w:pStyle w:val="Heading6"/>
      </w:pPr>
      <w:r w:rsidRPr="003955D1">
        <w:lastRenderedPageBreak/>
        <w:t xml:space="preserve">Primary </w:t>
      </w:r>
      <w:r w:rsidR="00C44815">
        <w:t>b</w:t>
      </w:r>
      <w:r w:rsidRPr="003955D1">
        <w:t xml:space="preserve">ridging </w:t>
      </w:r>
      <w:r w:rsidR="00C44815">
        <w:t>o</w:t>
      </w:r>
      <w:r w:rsidRPr="003955D1">
        <w:t>bjectives</w:t>
      </w:r>
    </w:p>
    <w:p w14:paraId="16F2CC78" w14:textId="77777777" w:rsidR="00CF6863" w:rsidRDefault="00012550" w:rsidP="00C44815">
      <w:pPr>
        <w:pStyle w:val="ListBullet"/>
      </w:pPr>
      <w:r w:rsidRPr="003955D1">
        <w:t xml:space="preserve">Demonstrate that seroconversion by classical Inaba </w:t>
      </w:r>
      <w:proofErr w:type="spellStart"/>
      <w:r w:rsidRPr="003955D1">
        <w:t>vibriocidal</w:t>
      </w:r>
      <w:proofErr w:type="spellEnd"/>
      <w:r w:rsidRPr="003955D1">
        <w:t xml:space="preserve"> antibody at Day 11 in older adults age</w:t>
      </w:r>
      <w:r w:rsidR="00C44815">
        <w:t>d</w:t>
      </w:r>
      <w:r w:rsidRPr="003955D1">
        <w:t xml:space="preserve"> 46</w:t>
      </w:r>
      <w:r w:rsidR="00C44815">
        <w:t xml:space="preserve"> to </w:t>
      </w:r>
      <w:r w:rsidRPr="003955D1">
        <w:t>64 years was non</w:t>
      </w:r>
      <w:r w:rsidR="00C44815">
        <w:noBreakHyphen/>
      </w:r>
      <w:r w:rsidRPr="003955D1">
        <w:t>inferior to seroconversion at Day 11 in younger adults age</w:t>
      </w:r>
      <w:r w:rsidR="00CF6863">
        <w:t>d</w:t>
      </w:r>
      <w:r w:rsidRPr="003955D1">
        <w:t xml:space="preserve"> 18</w:t>
      </w:r>
      <w:r w:rsidR="00CF6863">
        <w:t xml:space="preserve"> to </w:t>
      </w:r>
      <w:r w:rsidRPr="003955D1">
        <w:t>45 years following vaccination with PXVX0200.</w:t>
      </w:r>
    </w:p>
    <w:p w14:paraId="7A7989B2" w14:textId="5B818B9B" w:rsidR="00012550" w:rsidRPr="003955D1" w:rsidRDefault="00012550" w:rsidP="00CF6863">
      <w:pPr>
        <w:pStyle w:val="ListBullet2"/>
      </w:pPr>
      <w:r w:rsidRPr="003955D1">
        <w:t xml:space="preserve">Non-inferiority margin: </w:t>
      </w:r>
      <w:r w:rsidR="000A1E77">
        <w:t>t</w:t>
      </w:r>
      <w:r w:rsidRPr="003955D1">
        <w:t xml:space="preserve">he lower bound of the </w:t>
      </w:r>
      <w:r w:rsidR="000A3E37">
        <w:t>2</w:t>
      </w:r>
      <w:r w:rsidRPr="003955D1">
        <w:t xml:space="preserve">-sided 95% CI on the difference in seroconversion between older and younger adults must be greater than </w:t>
      </w:r>
      <w:r w:rsidR="00B62FC0">
        <w:t>-</w:t>
      </w:r>
      <w:r w:rsidRPr="003955D1">
        <w:t>10</w:t>
      </w:r>
      <w:r w:rsidR="00350972">
        <w:t> </w:t>
      </w:r>
      <w:r w:rsidRPr="003955D1">
        <w:t>percentage points.</w:t>
      </w:r>
    </w:p>
    <w:p w14:paraId="23A46521" w14:textId="0B6F96B4" w:rsidR="00012550" w:rsidRDefault="00012550" w:rsidP="00C44815">
      <w:pPr>
        <w:pStyle w:val="ListBullet"/>
      </w:pPr>
      <w:r w:rsidRPr="003955D1">
        <w:t xml:space="preserve">Demonstrate that the lower bound of the </w:t>
      </w:r>
      <w:r w:rsidR="000A3E37">
        <w:t>2</w:t>
      </w:r>
      <w:r w:rsidRPr="003955D1">
        <w:t xml:space="preserve">-sided 95% CI on seroconversion by classical Inaba </w:t>
      </w:r>
      <w:proofErr w:type="spellStart"/>
      <w:r w:rsidRPr="003955D1">
        <w:t>vibriocidal</w:t>
      </w:r>
      <w:proofErr w:type="spellEnd"/>
      <w:r w:rsidRPr="003955D1">
        <w:t xml:space="preserve"> antibody at Day 11 is greater than 70% in older adults age</w:t>
      </w:r>
      <w:r w:rsidR="00350972">
        <w:t>d</w:t>
      </w:r>
      <w:r w:rsidRPr="003955D1">
        <w:t xml:space="preserve"> 46</w:t>
      </w:r>
      <w:r w:rsidR="00350972">
        <w:t xml:space="preserve"> to </w:t>
      </w:r>
      <w:r w:rsidRPr="003955D1">
        <w:t>64 years following vaccination with PXVX0200.</w:t>
      </w:r>
    </w:p>
    <w:p w14:paraId="2894F44F" w14:textId="2BC449DB" w:rsidR="00F900E3" w:rsidRPr="003955D1" w:rsidRDefault="00F900E3" w:rsidP="00F900E3">
      <w:pPr>
        <w:pStyle w:val="Heading6"/>
      </w:pPr>
      <w:r>
        <w:t>Study treatment</w:t>
      </w:r>
    </w:p>
    <w:p w14:paraId="73170D03" w14:textId="4B0E90BA" w:rsidR="00454B02" w:rsidRDefault="00AA1B63" w:rsidP="00012550">
      <w:pPr>
        <w:rPr>
          <w:b/>
          <w:bCs/>
        </w:rPr>
      </w:pPr>
      <w:r w:rsidRPr="00104788">
        <w:t>A target concentration of 1</w:t>
      </w:r>
      <w:r>
        <w:t> × </w:t>
      </w:r>
      <w:r w:rsidRPr="00104788">
        <w:t>10</w:t>
      </w:r>
      <w:r w:rsidRPr="00341CA4">
        <w:rPr>
          <w:vertAlign w:val="superscript"/>
        </w:rPr>
        <w:t>9</w:t>
      </w:r>
      <w:r w:rsidRPr="00104788">
        <w:t xml:space="preserve"> CFU was selected to correspond to the upper end of the concentration range of 2</w:t>
      </w:r>
      <w:r w:rsidR="000A1E77">
        <w:t> </w:t>
      </w:r>
      <w:r>
        <w:t>× </w:t>
      </w:r>
      <w:r w:rsidRPr="00104788">
        <w:t>10</w:t>
      </w:r>
      <w:r>
        <w:rPr>
          <w:vertAlign w:val="superscript"/>
        </w:rPr>
        <w:t>8</w:t>
      </w:r>
      <w:r w:rsidRPr="00104788">
        <w:t xml:space="preserve"> to 1</w:t>
      </w:r>
      <w:r>
        <w:t> × </w:t>
      </w:r>
      <w:r w:rsidRPr="00104788">
        <w:t>10</w:t>
      </w:r>
      <w:r w:rsidRPr="00341CA4">
        <w:rPr>
          <w:vertAlign w:val="superscript"/>
        </w:rPr>
        <w:t>9</w:t>
      </w:r>
      <w:r w:rsidRPr="00104788">
        <w:t xml:space="preserve"> CFU/dose that was used in the previously marketed </w:t>
      </w:r>
      <w:proofErr w:type="spellStart"/>
      <w:r w:rsidRPr="00104788">
        <w:t>Orochol</w:t>
      </w:r>
      <w:proofErr w:type="spellEnd"/>
      <w:r w:rsidRPr="00104788">
        <w:t xml:space="preserve"> vaccine</w:t>
      </w:r>
      <w:r>
        <w:t>.</w:t>
      </w:r>
      <w:r w:rsidR="00186583">
        <w:t xml:space="preserve"> </w:t>
      </w:r>
      <w:r w:rsidR="00454B02" w:rsidRPr="00E42031">
        <w:t>This vaccine lot was one</w:t>
      </w:r>
      <w:r w:rsidR="00454B02">
        <w:t xml:space="preserve"> </w:t>
      </w:r>
      <w:r w:rsidR="00454B02" w:rsidRPr="00E42031">
        <w:t xml:space="preserve">of the </w:t>
      </w:r>
      <w:r w:rsidR="000A3E37">
        <w:t>3</w:t>
      </w:r>
      <w:r w:rsidR="00454B02" w:rsidRPr="00E42031">
        <w:t xml:space="preserve"> used in the lot consistency trial (</w:t>
      </w:r>
      <w:r w:rsidR="00454B02" w:rsidRPr="00AA1B63">
        <w:rPr>
          <w:bCs/>
        </w:rPr>
        <w:t>PXVX-VC-002-004</w:t>
      </w:r>
      <w:r w:rsidR="00454B02" w:rsidRPr="00E42031">
        <w:t>).</w:t>
      </w:r>
    </w:p>
    <w:p w14:paraId="3E32FBA3" w14:textId="77777777" w:rsidR="00186583" w:rsidRDefault="00186583" w:rsidP="00186583">
      <w:pPr>
        <w:pStyle w:val="Heading6"/>
      </w:pPr>
      <w:r w:rsidRPr="003955D1">
        <w:t>Results</w:t>
      </w:r>
    </w:p>
    <w:p w14:paraId="18F30008" w14:textId="77777777" w:rsidR="006301E6" w:rsidRPr="00606DFF" w:rsidRDefault="006301E6" w:rsidP="00606DFF">
      <w:pPr>
        <w:pStyle w:val="Heading7"/>
        <w:rPr>
          <w:rStyle w:val="Heading7Char"/>
          <w:i/>
          <w:iCs/>
        </w:rPr>
      </w:pPr>
      <w:r w:rsidRPr="00606DFF">
        <w:rPr>
          <w:rStyle w:val="Heading7Char"/>
          <w:i/>
          <w:iCs/>
        </w:rPr>
        <w:t>Participant flow</w:t>
      </w:r>
    </w:p>
    <w:p w14:paraId="147505B6" w14:textId="3D54F67E" w:rsidR="006301E6" w:rsidRDefault="006301E6" w:rsidP="006301E6">
      <w:r>
        <w:t>S</w:t>
      </w:r>
      <w:r w:rsidRPr="003955D1">
        <w:t>ubjects were randomised</w:t>
      </w:r>
      <w:r>
        <w:t xml:space="preserve"> to vaccine (</w:t>
      </w:r>
      <w:r w:rsidRPr="003955D1">
        <w:t>299</w:t>
      </w:r>
      <w:r>
        <w:t>) or placebo (</w:t>
      </w:r>
      <w:r w:rsidRPr="003955D1">
        <w:t>99</w:t>
      </w:r>
      <w:r>
        <w:t>)</w:t>
      </w:r>
      <w:r w:rsidRPr="003955D1">
        <w:t>. For randomised subjects, the percentage with study visit completion at Days 1, 11, 29, and 91 was between 98.0% and 100% at all time points for both vaccine and placebo g</w:t>
      </w:r>
      <w:r>
        <w:t>rou</w:t>
      </w:r>
      <w:r w:rsidRPr="003955D1">
        <w:t>ps. The study completion rate for vaccine recipients was 97.7% and for placebo recipients was 96.0%.</w:t>
      </w:r>
    </w:p>
    <w:p w14:paraId="6BC9E5FA" w14:textId="7F811377" w:rsidR="006301E6" w:rsidRDefault="006301E6" w:rsidP="006301E6">
      <w:pPr>
        <w:pStyle w:val="Heading7"/>
      </w:pPr>
      <w:r>
        <w:t>P</w:t>
      </w:r>
      <w:r w:rsidR="00012550">
        <w:t>rimary objectives</w:t>
      </w:r>
    </w:p>
    <w:p w14:paraId="55D4D0CD" w14:textId="3218474D" w:rsidR="00012550" w:rsidRPr="006301E6" w:rsidRDefault="006301E6" w:rsidP="006301E6">
      <w:r w:rsidRPr="006301E6">
        <w:t xml:space="preserve">Both primary objectives were met. </w:t>
      </w:r>
      <w:r w:rsidR="00012550" w:rsidRPr="006301E6">
        <w:t xml:space="preserve">By Day 11 following vaccination, 90.4% </w:t>
      </w:r>
      <w:r w:rsidR="008C35B5">
        <w:t>(</w:t>
      </w:r>
      <w:r w:rsidR="006B30D6">
        <w:t xml:space="preserve">95% CI: </w:t>
      </w:r>
      <w:r w:rsidR="00012550" w:rsidRPr="006301E6">
        <w:t>86.4%, 93.5%</w:t>
      </w:r>
      <w:r w:rsidR="008C35B5">
        <w:t>)</w:t>
      </w:r>
      <w:r w:rsidR="00012550" w:rsidRPr="006301E6">
        <w:t xml:space="preserve"> of older subjects and 93.5% </w:t>
      </w:r>
      <w:r w:rsidR="008C35B5">
        <w:t xml:space="preserve">(95% CI: </w:t>
      </w:r>
      <w:r w:rsidR="00012550" w:rsidRPr="006301E6">
        <w:t>92.5%, 94.4%</w:t>
      </w:r>
      <w:r w:rsidR="008C35B5">
        <w:t>)</w:t>
      </w:r>
      <w:r w:rsidR="00012550" w:rsidRPr="006301E6">
        <w:t xml:space="preserve"> of younger subjects had seroconverted by classical Inaba </w:t>
      </w:r>
      <w:proofErr w:type="spellStart"/>
      <w:r w:rsidR="00012550" w:rsidRPr="006301E6">
        <w:t>vibriocidal</w:t>
      </w:r>
      <w:proofErr w:type="spellEnd"/>
      <w:r w:rsidR="00012550" w:rsidRPr="006301E6">
        <w:t xml:space="preserve"> antibody. The lower bound of the </w:t>
      </w:r>
      <w:r w:rsidR="000A3E37">
        <w:t>2</w:t>
      </w:r>
      <w:r w:rsidR="00012550" w:rsidRPr="006301E6">
        <w:t xml:space="preserve">-sided 95% CI on the difference in seroconversion rate between older and younger adults was −6.7%, and the lower bound of the </w:t>
      </w:r>
      <w:r w:rsidR="000A3E37">
        <w:t>2</w:t>
      </w:r>
      <w:r w:rsidR="00012550" w:rsidRPr="006301E6">
        <w:t xml:space="preserve">-sided 95% CI on seroconversion by classical Inaba </w:t>
      </w:r>
      <w:proofErr w:type="spellStart"/>
      <w:r w:rsidR="00012550" w:rsidRPr="006301E6">
        <w:t>vibriocidal</w:t>
      </w:r>
      <w:proofErr w:type="spellEnd"/>
      <w:r w:rsidR="00012550" w:rsidRPr="006301E6">
        <w:t xml:space="preserve"> antibody in older subjects was 86.4%. Similar results were derived from a sensitivity analysis that used logistic regression to estimate the difference between older and younger adults adjusting for the effects of sex, blood type, and baseline titre.</w:t>
      </w:r>
    </w:p>
    <w:p w14:paraId="0E4862EE" w14:textId="2F0B61CE" w:rsidR="00830759" w:rsidRDefault="00830759" w:rsidP="00830759">
      <w:pPr>
        <w:pStyle w:val="TableTitle"/>
        <w:rPr>
          <w:rFonts w:ascii="Times New Roman" w:hAnsi="Times New Roman"/>
          <w:color w:val="000000"/>
        </w:rPr>
      </w:pPr>
      <w:r>
        <w:lastRenderedPageBreak/>
        <w:t xml:space="preserve">Table </w:t>
      </w:r>
      <w:r>
        <w:fldChar w:fldCharType="begin"/>
      </w:r>
      <w:r>
        <w:instrText xml:space="preserve"> SEQ Table \* ARABIC </w:instrText>
      </w:r>
      <w:r>
        <w:fldChar w:fldCharType="separate"/>
      </w:r>
      <w:r w:rsidR="000206CE">
        <w:rPr>
          <w:noProof/>
        </w:rPr>
        <w:t>4</w:t>
      </w:r>
      <w:r>
        <w:rPr>
          <w:noProof/>
        </w:rPr>
        <w:fldChar w:fldCharType="end"/>
      </w:r>
      <w:r>
        <w:t xml:space="preserve">: </w:t>
      </w:r>
      <w:r w:rsidRPr="00DE1609">
        <w:t xml:space="preserve">Study PXVX-VC-200-005 Primary Bridging Analysis: </w:t>
      </w:r>
      <w:proofErr w:type="spellStart"/>
      <w:r w:rsidRPr="00DE1609">
        <w:t>Vibriocidal</w:t>
      </w:r>
      <w:proofErr w:type="spellEnd"/>
      <w:r w:rsidRPr="00DE1609">
        <w:t xml:space="preserve"> antibody seroconversion against Classical Inaba </w:t>
      </w:r>
      <w:r w:rsidRPr="00CA4C19">
        <w:rPr>
          <w:i/>
          <w:iCs/>
        </w:rPr>
        <w:t xml:space="preserve">V. </w:t>
      </w:r>
      <w:r w:rsidR="00CA4C19">
        <w:rPr>
          <w:i/>
          <w:iCs/>
        </w:rPr>
        <w:t>c</w:t>
      </w:r>
      <w:r w:rsidRPr="00CA4C19">
        <w:rPr>
          <w:i/>
          <w:iCs/>
        </w:rPr>
        <w:t>holera</w:t>
      </w:r>
      <w:r w:rsidRPr="00DE1609">
        <w:t xml:space="preserve"> at Day 11 (Bridging analysis population)</w:t>
      </w:r>
    </w:p>
    <w:p w14:paraId="3921D54A" w14:textId="0CD74366" w:rsidR="00276A56" w:rsidRDefault="00276A56" w:rsidP="0011505C">
      <w:pPr>
        <w:rPr>
          <w:rFonts w:ascii="Times New Roman" w:hAnsi="Times New Roman"/>
          <w:color w:val="000000"/>
        </w:rPr>
      </w:pPr>
      <w:r>
        <w:rPr>
          <w:noProof/>
        </w:rPr>
        <w:drawing>
          <wp:inline distT="0" distB="0" distL="0" distR="0" wp14:anchorId="39416823" wp14:editId="4142EE79">
            <wp:extent cx="4720827" cy="2964180"/>
            <wp:effectExtent l="0" t="0" r="3810" b="7620"/>
            <wp:docPr id="10" name="Picture 10" descr="Table has 4 columns: Study day statistics; older (N=291); Younger (N=2688); and P-value. There is one P-value of 0.0491 for % seroconverted at visit on Day 11, which is 90.4% for older and 93.5% for younger people.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has 4 columns: Study day statistics; older (N=291); Younger (N=2688); and P-value. There is one P-value of 0.0491 for % seroconverted at visit on Day 11, which is 90.4% for older and 93.5% for younger people. Notes follow the table."/>
                    <pic:cNvPicPr/>
                  </pic:nvPicPr>
                  <pic:blipFill>
                    <a:blip r:embed="rId21"/>
                    <a:stretch>
                      <a:fillRect/>
                    </a:stretch>
                  </pic:blipFill>
                  <pic:spPr>
                    <a:xfrm>
                      <a:off x="0" y="0"/>
                      <a:ext cx="4729135" cy="2969397"/>
                    </a:xfrm>
                    <a:prstGeom prst="rect">
                      <a:avLst/>
                    </a:prstGeom>
                  </pic:spPr>
                </pic:pic>
              </a:graphicData>
            </a:graphic>
          </wp:inline>
        </w:drawing>
      </w:r>
    </w:p>
    <w:p w14:paraId="3A8A61E9" w14:textId="72C310A4" w:rsidR="00012550" w:rsidRDefault="00012550" w:rsidP="00CA4C19">
      <w:pPr>
        <w:pStyle w:val="Heading6"/>
      </w:pPr>
      <w:r w:rsidRPr="009A3FB0">
        <w:t>Delegate</w:t>
      </w:r>
      <w:r w:rsidR="000A1E77">
        <w:t>’s</w:t>
      </w:r>
      <w:r w:rsidRPr="009A3FB0">
        <w:t xml:space="preserve"> comments</w:t>
      </w:r>
    </w:p>
    <w:p w14:paraId="69DAEFCC" w14:textId="2ADF56CD" w:rsidR="00012550" w:rsidRDefault="00012550" w:rsidP="00012550">
      <w:pPr>
        <w:rPr>
          <w:lang w:val="en-CA"/>
        </w:rPr>
      </w:pPr>
      <w:r w:rsidRPr="00103FD5">
        <w:t xml:space="preserve">This was an immunologic </w:t>
      </w:r>
      <w:r w:rsidRPr="005216FA">
        <w:t xml:space="preserve">bridging study with </w:t>
      </w:r>
      <w:r>
        <w:t xml:space="preserve">serum </w:t>
      </w:r>
      <w:proofErr w:type="spellStart"/>
      <w:r>
        <w:t>vibriocidal</w:t>
      </w:r>
      <w:proofErr w:type="spellEnd"/>
      <w:r>
        <w:t xml:space="preserve"> antibody</w:t>
      </w:r>
      <w:r w:rsidRPr="005216FA">
        <w:t xml:space="preserve"> seroconversion as a surrogate marker of</w:t>
      </w:r>
      <w:r w:rsidRPr="00103FD5">
        <w:t xml:space="preserve"> protection.</w:t>
      </w:r>
      <w:r>
        <w:t xml:space="preserve"> The Delegate notes that the age range of included adults in this study was </w:t>
      </w:r>
      <w:r w:rsidRPr="005216FA">
        <w:rPr>
          <w:lang w:val="en-CA"/>
        </w:rPr>
        <w:t>46</w:t>
      </w:r>
      <w:r w:rsidR="007E010A">
        <w:rPr>
          <w:lang w:val="en-CA"/>
        </w:rPr>
        <w:t xml:space="preserve"> to </w:t>
      </w:r>
      <w:r w:rsidRPr="005216FA">
        <w:rPr>
          <w:lang w:val="en-CA"/>
        </w:rPr>
        <w:t>64</w:t>
      </w:r>
      <w:r>
        <w:rPr>
          <w:lang w:val="en-CA"/>
        </w:rPr>
        <w:t xml:space="preserve"> years and defined as ‘older adults’, acknowledging the </w:t>
      </w:r>
      <w:proofErr w:type="spellStart"/>
      <w:r w:rsidRPr="005216FA">
        <w:rPr>
          <w:lang w:val="en-CA"/>
        </w:rPr>
        <w:t>immunosenescence</w:t>
      </w:r>
      <w:proofErr w:type="spellEnd"/>
      <w:r>
        <w:rPr>
          <w:lang w:val="en-CA"/>
        </w:rPr>
        <w:t xml:space="preserve"> associated with ageing,</w:t>
      </w:r>
      <w:r w:rsidR="004022D5" w:rsidRPr="004022D5">
        <w:rPr>
          <w:vertAlign w:val="superscript"/>
          <w:lang w:val="en-CA"/>
        </w:rPr>
        <w:fldChar w:fldCharType="begin"/>
      </w:r>
      <w:r w:rsidR="004022D5" w:rsidRPr="004022D5">
        <w:rPr>
          <w:vertAlign w:val="superscript"/>
          <w:lang w:val="en-CA"/>
        </w:rPr>
        <w:instrText xml:space="preserve"> NOTEREF _Ref153361129 \h </w:instrText>
      </w:r>
      <w:r w:rsidR="004022D5">
        <w:rPr>
          <w:vertAlign w:val="superscript"/>
          <w:lang w:val="en-CA"/>
        </w:rPr>
        <w:instrText xml:space="preserve"> \* MERGEFORMAT </w:instrText>
      </w:r>
      <w:r w:rsidR="004022D5" w:rsidRPr="004022D5">
        <w:rPr>
          <w:vertAlign w:val="superscript"/>
          <w:lang w:val="en-CA"/>
        </w:rPr>
      </w:r>
      <w:r w:rsidR="004022D5" w:rsidRPr="004022D5">
        <w:rPr>
          <w:vertAlign w:val="superscript"/>
          <w:lang w:val="en-CA"/>
        </w:rPr>
        <w:fldChar w:fldCharType="separate"/>
      </w:r>
      <w:r w:rsidR="000206CE">
        <w:rPr>
          <w:vertAlign w:val="superscript"/>
          <w:lang w:val="en-CA"/>
        </w:rPr>
        <w:t>16</w:t>
      </w:r>
      <w:r w:rsidR="004022D5" w:rsidRPr="004022D5">
        <w:rPr>
          <w:vertAlign w:val="superscript"/>
          <w:lang w:val="en-CA"/>
        </w:rPr>
        <w:fldChar w:fldCharType="end"/>
      </w:r>
      <w:r>
        <w:rPr>
          <w:lang w:val="en-CA"/>
        </w:rPr>
        <w:t xml:space="preserve"> however adults aged 65 </w:t>
      </w:r>
      <w:r w:rsidR="002133D6">
        <w:rPr>
          <w:lang w:val="en-CA"/>
        </w:rPr>
        <w:t xml:space="preserve">years </w:t>
      </w:r>
      <w:r>
        <w:rPr>
          <w:lang w:val="en-CA"/>
        </w:rPr>
        <w:t>and older were not included.</w:t>
      </w:r>
    </w:p>
    <w:p w14:paraId="0F2E623E" w14:textId="38607199" w:rsidR="00012550" w:rsidRDefault="00012550" w:rsidP="00012550">
      <w:r w:rsidRPr="003F5EF0">
        <w:t xml:space="preserve">The </w:t>
      </w:r>
      <w:r>
        <w:t>clinical evaluat</w:t>
      </w:r>
      <w:r w:rsidR="0068370B">
        <w:t>ion</w:t>
      </w:r>
      <w:r>
        <w:t xml:space="preserve"> </w:t>
      </w:r>
      <w:r w:rsidRPr="003F5EF0">
        <w:t>note</w:t>
      </w:r>
      <w:r>
        <w:t>d</w:t>
      </w:r>
      <w:r w:rsidRPr="003F5EF0">
        <w:t xml:space="preserve"> the significantly lower geometric means in the older compared to the younger populations</w:t>
      </w:r>
      <w:r>
        <w:t>.</w:t>
      </w:r>
    </w:p>
    <w:p w14:paraId="3D1D1A4A" w14:textId="67106701" w:rsidR="00E947E5" w:rsidRDefault="00E947E5" w:rsidP="00E947E5">
      <w:pPr>
        <w:pStyle w:val="TableTitle"/>
      </w:pPr>
      <w:r>
        <w:lastRenderedPageBreak/>
        <w:t xml:space="preserve">Table </w:t>
      </w:r>
      <w:r>
        <w:fldChar w:fldCharType="begin"/>
      </w:r>
      <w:r>
        <w:instrText xml:space="preserve"> SEQ Table \* ARABIC </w:instrText>
      </w:r>
      <w:r>
        <w:fldChar w:fldCharType="separate"/>
      </w:r>
      <w:r w:rsidR="000206CE">
        <w:rPr>
          <w:noProof/>
        </w:rPr>
        <w:t>5</w:t>
      </w:r>
      <w:r>
        <w:rPr>
          <w:noProof/>
        </w:rPr>
        <w:fldChar w:fldCharType="end"/>
      </w:r>
      <w:r>
        <w:t xml:space="preserve">: Study </w:t>
      </w:r>
      <w:r w:rsidRPr="00D61607">
        <w:t xml:space="preserve">PXVX-VC-200-005 Additional Bridging Analysis: Cumulative </w:t>
      </w:r>
      <w:proofErr w:type="spellStart"/>
      <w:r w:rsidRPr="00D61607">
        <w:t>Vibriocidal</w:t>
      </w:r>
      <w:proofErr w:type="spellEnd"/>
      <w:r w:rsidRPr="00D61607">
        <w:t xml:space="preserve"> Antibody Seroconversion against Classical Inaba V. cholerae (Bridging Analysis Population)</w:t>
      </w:r>
    </w:p>
    <w:p w14:paraId="621CFDA0" w14:textId="5EE0321C" w:rsidR="00E947E5" w:rsidRPr="0069282C" w:rsidRDefault="00E947E5" w:rsidP="0011505C">
      <w:pPr>
        <w:rPr>
          <w:rFonts w:asciiTheme="minorHAnsi" w:hAnsiTheme="minorHAnsi"/>
          <w:bCs/>
          <w:sz w:val="20"/>
        </w:rPr>
      </w:pPr>
      <w:r>
        <w:rPr>
          <w:noProof/>
        </w:rPr>
        <w:drawing>
          <wp:inline distT="0" distB="0" distL="0" distR="0" wp14:anchorId="59EF3EED" wp14:editId="27BF8924">
            <wp:extent cx="5416952" cy="3656891"/>
            <wp:effectExtent l="0" t="0" r="0" b="1270"/>
            <wp:docPr id="7" name="Picture 7" descr="Table has 4 columns: Study day statistics; older (N=291); Younger (N=2688); and P-value. There is one P-value of less than 0.0001 for geometric mean at visit on Day 11.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has 4 columns: Study day statistics; older (N=291); Younger (N=2688); and P-value. There is one P-value of less than 0.0001 for geometric mean at visit on Day 11. Notes follow the table."/>
                    <pic:cNvPicPr/>
                  </pic:nvPicPr>
                  <pic:blipFill>
                    <a:blip r:embed="rId22"/>
                    <a:stretch>
                      <a:fillRect/>
                    </a:stretch>
                  </pic:blipFill>
                  <pic:spPr>
                    <a:xfrm>
                      <a:off x="0" y="0"/>
                      <a:ext cx="5421723" cy="3660111"/>
                    </a:xfrm>
                    <a:prstGeom prst="rect">
                      <a:avLst/>
                    </a:prstGeom>
                  </pic:spPr>
                </pic:pic>
              </a:graphicData>
            </a:graphic>
          </wp:inline>
        </w:drawing>
      </w:r>
    </w:p>
    <w:p w14:paraId="017BA50A" w14:textId="76990F2B" w:rsidR="00012550" w:rsidRDefault="003C2565" w:rsidP="00241878">
      <w:pPr>
        <w:pStyle w:val="Heading5"/>
      </w:pPr>
      <w:r>
        <w:t xml:space="preserve">Study </w:t>
      </w:r>
      <w:r w:rsidR="00012550" w:rsidRPr="0062244E">
        <w:t>PXVX-VC-200-006</w:t>
      </w:r>
    </w:p>
    <w:p w14:paraId="056A140B" w14:textId="35E2F2F6" w:rsidR="00FE3BB2" w:rsidRPr="00FE3BB2" w:rsidRDefault="00035B13" w:rsidP="00FE3BB2">
      <w:r>
        <w:t>Th</w:t>
      </w:r>
      <w:r w:rsidR="006D6C1C">
        <w:t>e publications for this</w:t>
      </w:r>
      <w:r>
        <w:t xml:space="preserve"> study </w:t>
      </w:r>
      <w:r w:rsidR="006D6C1C">
        <w:t>are McCarty et al (2020), McCarty et al (2020a) and McCarty et al (2021)</w:t>
      </w:r>
      <w:r>
        <w:t>.</w:t>
      </w:r>
      <w:r>
        <w:rPr>
          <w:rStyle w:val="FootnoteReference"/>
        </w:rPr>
        <w:footnoteReference w:id="18"/>
      </w:r>
    </w:p>
    <w:p w14:paraId="7F77332A" w14:textId="07AE3931" w:rsidR="00012550" w:rsidRDefault="00241878" w:rsidP="007352E4">
      <w:pPr>
        <w:pStyle w:val="Heading6"/>
      </w:pPr>
      <w:r>
        <w:t>Design</w:t>
      </w:r>
    </w:p>
    <w:p w14:paraId="1AF2DDDA" w14:textId="33222B2F" w:rsidR="00012550" w:rsidRDefault="00012550" w:rsidP="00012550">
      <w:r w:rsidRPr="00237F1B">
        <w:t xml:space="preserve">Phase IV </w:t>
      </w:r>
      <w:r w:rsidR="007352E4">
        <w:t>r</w:t>
      </w:r>
      <w:r w:rsidRPr="00237F1B">
        <w:t>andomised, double-blind, placebo-controlled trial of single dose of oral vaccine (1</w:t>
      </w:r>
      <w:r w:rsidR="007352E4">
        <w:t> </w:t>
      </w:r>
      <w:r w:rsidR="009E5A77">
        <w:t>×</w:t>
      </w:r>
      <w:r w:rsidR="007352E4">
        <w:t> </w:t>
      </w:r>
      <w:r w:rsidRPr="00237F1B">
        <w:t>10</w:t>
      </w:r>
      <w:r w:rsidRPr="00D22C2F">
        <w:rPr>
          <w:vertAlign w:val="superscript"/>
        </w:rPr>
        <w:t>9</w:t>
      </w:r>
      <w:r w:rsidR="007352E4">
        <w:t> </w:t>
      </w:r>
      <w:r w:rsidRPr="00237F1B">
        <w:t>CFU/dose) in healthy children; objectives to demonstrate safety and immunogenicity.</w:t>
      </w:r>
    </w:p>
    <w:p w14:paraId="21A07E99" w14:textId="5A7D4DA0" w:rsidR="00D05FF7" w:rsidRDefault="00012550" w:rsidP="00D05FF7">
      <w:pPr>
        <w:pStyle w:val="Heading6"/>
      </w:pPr>
      <w:r w:rsidRPr="00237F1B">
        <w:t xml:space="preserve">Primary </w:t>
      </w:r>
      <w:r w:rsidR="0011505C">
        <w:t>o</w:t>
      </w:r>
      <w:r w:rsidRPr="00237F1B">
        <w:t>bjectives</w:t>
      </w:r>
    </w:p>
    <w:p w14:paraId="2928EEFF" w14:textId="146EF76D" w:rsidR="009A2F36" w:rsidRDefault="00012550" w:rsidP="009A2F36">
      <w:pPr>
        <w:pStyle w:val="ListBullet"/>
      </w:pPr>
      <w:r>
        <w:t>Demonstrate that the seroconversion rate at Day 11 in paediatric subjects is noninferior to the seroconversion rate at Day 11 in adults between the ages of 18 and 45 years</w:t>
      </w:r>
      <w:r w:rsidR="0033152A">
        <w:t>.</w:t>
      </w:r>
    </w:p>
    <w:p w14:paraId="7235C27E" w14:textId="64715440" w:rsidR="00012550" w:rsidRDefault="009A2F36" w:rsidP="009A2F36">
      <w:pPr>
        <w:pStyle w:val="ListBullet"/>
      </w:pPr>
      <w:r>
        <w:t>D</w:t>
      </w:r>
      <w:r w:rsidR="00012550">
        <w:t xml:space="preserve">emonstrate that the seroconversion rate in paediatric subjects is </w:t>
      </w:r>
      <w:r>
        <w:t xml:space="preserve">at least </w:t>
      </w:r>
      <w:r w:rsidR="00012550">
        <w:t>70% with 98.3% confidence.</w:t>
      </w:r>
    </w:p>
    <w:p w14:paraId="4570ADBD" w14:textId="74DBFAD3" w:rsidR="00D05FF7" w:rsidRDefault="00012550" w:rsidP="00D05FF7">
      <w:pPr>
        <w:pStyle w:val="Heading6"/>
      </w:pPr>
      <w:r w:rsidRPr="00237F1B">
        <w:lastRenderedPageBreak/>
        <w:t xml:space="preserve">Secondary </w:t>
      </w:r>
      <w:r w:rsidR="0011505C">
        <w:t>o</w:t>
      </w:r>
      <w:r w:rsidRPr="00237F1B">
        <w:t>bjectives</w:t>
      </w:r>
    </w:p>
    <w:p w14:paraId="60B58793" w14:textId="03BE12AC" w:rsidR="00644BED" w:rsidRDefault="00012550" w:rsidP="00273C34">
      <w:pPr>
        <w:pStyle w:val="ListBullet"/>
      </w:pPr>
      <w:r>
        <w:t xml:space="preserve">Safety: to evaluate the safety and tolerability of </w:t>
      </w:r>
      <w:proofErr w:type="spellStart"/>
      <w:r>
        <w:t>V</w:t>
      </w:r>
      <w:r w:rsidR="00E643A2">
        <w:t>axchora</w:t>
      </w:r>
      <w:proofErr w:type="spellEnd"/>
      <w:r>
        <w:t xml:space="preserve">, as well as to evaluate the palatability of </w:t>
      </w:r>
      <w:proofErr w:type="spellStart"/>
      <w:r>
        <w:t>V</w:t>
      </w:r>
      <w:r w:rsidR="00E643A2">
        <w:t>axchora</w:t>
      </w:r>
      <w:proofErr w:type="spellEnd"/>
      <w:r w:rsidR="007E40FA">
        <w:t>, and the</w:t>
      </w:r>
      <w:r w:rsidR="00644BED">
        <w:t xml:space="preserve"> </w:t>
      </w:r>
      <w:r>
        <w:t xml:space="preserve">acceptability of </w:t>
      </w:r>
      <w:proofErr w:type="spellStart"/>
      <w:r>
        <w:t>V</w:t>
      </w:r>
      <w:r w:rsidR="00E643A2">
        <w:t>axchora</w:t>
      </w:r>
      <w:proofErr w:type="spellEnd"/>
      <w:r w:rsidR="00545B18">
        <w:t>.</w:t>
      </w:r>
    </w:p>
    <w:p w14:paraId="137354DC" w14:textId="79A5B744" w:rsidR="00012550" w:rsidRDefault="00644BED" w:rsidP="00273C34">
      <w:pPr>
        <w:pStyle w:val="ListBullet"/>
      </w:pPr>
      <w:r>
        <w:t>I</w:t>
      </w:r>
      <w:r w:rsidR="00012550">
        <w:t>mmunogenicity</w:t>
      </w:r>
      <w:r>
        <w:t xml:space="preserve">: </w:t>
      </w:r>
      <w:r w:rsidR="00012550">
        <w:t xml:space="preserve">to evaluate the immunogenicity of </w:t>
      </w:r>
      <w:proofErr w:type="spellStart"/>
      <w:r w:rsidR="00012550">
        <w:t>V</w:t>
      </w:r>
      <w:r w:rsidR="00E643A2">
        <w:t>axchora</w:t>
      </w:r>
      <w:proofErr w:type="spellEnd"/>
      <w:r w:rsidR="00012550">
        <w:t xml:space="preserve"> in each cohort.</w:t>
      </w:r>
    </w:p>
    <w:p w14:paraId="4A8B43C7" w14:textId="77777777" w:rsidR="00012550" w:rsidRPr="00340536" w:rsidRDefault="00012550" w:rsidP="00644BED">
      <w:pPr>
        <w:pStyle w:val="Heading6"/>
      </w:pPr>
      <w:r w:rsidRPr="00340536">
        <w:t>Study treatments</w:t>
      </w:r>
    </w:p>
    <w:p w14:paraId="5BB40A8C" w14:textId="2A80C857" w:rsidR="00012550" w:rsidRDefault="00012550" w:rsidP="00012550">
      <w:r w:rsidRPr="00340536">
        <w:t xml:space="preserve">Lot P700.610-7000005 was used for dosing in the </w:t>
      </w:r>
      <w:proofErr w:type="spellStart"/>
      <w:r w:rsidRPr="00340536">
        <w:t>V</w:t>
      </w:r>
      <w:r w:rsidR="00E643A2">
        <w:t>axchora</w:t>
      </w:r>
      <w:proofErr w:type="spellEnd"/>
      <w:r w:rsidRPr="00340536">
        <w:t xml:space="preserve"> g</w:t>
      </w:r>
      <w:r>
        <w:t>rou</w:t>
      </w:r>
      <w:r w:rsidRPr="00340536">
        <w:t>p from July</w:t>
      </w:r>
      <w:r w:rsidR="002C1143">
        <w:t xml:space="preserve"> to</w:t>
      </w:r>
      <w:r w:rsidR="00692406">
        <w:t xml:space="preserve"> </w:t>
      </w:r>
      <w:r w:rsidRPr="00340536">
        <w:t>Nov</w:t>
      </w:r>
      <w:r w:rsidR="00692406">
        <w:t>ember</w:t>
      </w:r>
      <w:r w:rsidRPr="00340536">
        <w:t xml:space="preserve"> 2017. </w:t>
      </w:r>
      <w:r w:rsidR="007E40FA">
        <w:t>L</w:t>
      </w:r>
      <w:r w:rsidRPr="00340536">
        <w:t xml:space="preserve">ot P700.610-7000008 was used afterwards for the duration of the study. Over that </w:t>
      </w:r>
      <w:proofErr w:type="gramStart"/>
      <w:r w:rsidRPr="00340536">
        <w:t>time period</w:t>
      </w:r>
      <w:proofErr w:type="gramEnd"/>
      <w:r w:rsidRPr="00340536">
        <w:t xml:space="preserve">, the potency range was </w:t>
      </w:r>
      <w:r w:rsidR="00692406">
        <w:t xml:space="preserve">approximately </w:t>
      </w:r>
      <w:r w:rsidRPr="00340536">
        <w:t xml:space="preserve">8.9 </w:t>
      </w:r>
      <w:r w:rsidR="009E5A77">
        <w:t>×</w:t>
      </w:r>
      <w:r w:rsidRPr="00340536">
        <w:t xml:space="preserve"> 10</w:t>
      </w:r>
      <w:r w:rsidRPr="00340536">
        <w:rPr>
          <w:vertAlign w:val="superscript"/>
        </w:rPr>
        <w:t>8</w:t>
      </w:r>
      <w:r w:rsidRPr="00340536">
        <w:t xml:space="preserve"> CFU to 7.7 </w:t>
      </w:r>
      <w:r w:rsidR="009E5A77">
        <w:t>×</w:t>
      </w:r>
      <w:r w:rsidRPr="00340536">
        <w:t xml:space="preserve"> 10</w:t>
      </w:r>
      <w:r w:rsidRPr="00340536">
        <w:rPr>
          <w:vertAlign w:val="superscript"/>
        </w:rPr>
        <w:t>8</w:t>
      </w:r>
      <w:r w:rsidRPr="00340536">
        <w:t xml:space="preserve"> CFU. By comparison, the </w:t>
      </w:r>
      <w:proofErr w:type="spellStart"/>
      <w:r w:rsidRPr="00340536">
        <w:t>V</w:t>
      </w:r>
      <w:r w:rsidR="00E643A2">
        <w:t>axchora</w:t>
      </w:r>
      <w:proofErr w:type="spellEnd"/>
      <w:r w:rsidRPr="00340536">
        <w:t xml:space="preserve"> product used in the 004</w:t>
      </w:r>
      <w:r>
        <w:t xml:space="preserve"> (lot consistency)</w:t>
      </w:r>
      <w:r w:rsidRPr="00340536">
        <w:t xml:space="preserve"> adult study maintained a potency range of </w:t>
      </w:r>
      <w:r w:rsidR="00792274">
        <w:t xml:space="preserve">approximately </w:t>
      </w:r>
      <w:r w:rsidRPr="00340536">
        <w:t xml:space="preserve">1.4 </w:t>
      </w:r>
      <w:r w:rsidR="009E5A77">
        <w:t>×</w:t>
      </w:r>
      <w:r w:rsidRPr="00340536">
        <w:t xml:space="preserve"> 10</w:t>
      </w:r>
      <w:r w:rsidRPr="00340536">
        <w:rPr>
          <w:vertAlign w:val="superscript"/>
        </w:rPr>
        <w:t>9</w:t>
      </w:r>
      <w:r w:rsidRPr="00340536">
        <w:t xml:space="preserve"> CFU to 9.0 </w:t>
      </w:r>
      <w:r w:rsidR="009E5A77">
        <w:t>×</w:t>
      </w:r>
      <w:r w:rsidRPr="00340536">
        <w:t xml:space="preserve"> 10</w:t>
      </w:r>
      <w:r w:rsidRPr="00340536">
        <w:rPr>
          <w:vertAlign w:val="superscript"/>
        </w:rPr>
        <w:t xml:space="preserve">8 </w:t>
      </w:r>
      <w:r w:rsidRPr="00340536">
        <w:t xml:space="preserve">CFU. </w:t>
      </w:r>
      <w:proofErr w:type="gramStart"/>
      <w:r w:rsidRPr="00340536">
        <w:t>Similar to</w:t>
      </w:r>
      <w:proofErr w:type="gramEnd"/>
      <w:r w:rsidRPr="00340536">
        <w:t xml:space="preserve"> the earlier studies, the vaccine was reconstituted in 100 mL of bicarbonate buffer solution prior to oral administration, except </w:t>
      </w:r>
      <w:r w:rsidR="008372DE">
        <w:t>for</w:t>
      </w:r>
      <w:r w:rsidRPr="00340536">
        <w:t xml:space="preserve"> the youngest cohort</w:t>
      </w:r>
      <w:r w:rsidR="008372DE">
        <w:t>, where</w:t>
      </w:r>
      <w:r w:rsidRPr="00340536">
        <w:t xml:space="preserve"> 50 mL of the buffer solution was discarded prior to adding the vaccine. The placebo was 100 mL of physiological saline (sourced by the sites) administered orally for subjects age</w:t>
      </w:r>
      <w:r w:rsidR="00645B5A">
        <w:t>d</w:t>
      </w:r>
      <w:r w:rsidRPr="00340536">
        <w:t xml:space="preserve"> 6 </w:t>
      </w:r>
      <w:r w:rsidR="00645B5A">
        <w:t xml:space="preserve">up </w:t>
      </w:r>
      <w:r w:rsidRPr="00340536">
        <w:t xml:space="preserve">to 18 </w:t>
      </w:r>
      <w:r w:rsidR="00645B5A">
        <w:t xml:space="preserve">years </w:t>
      </w:r>
      <w:r w:rsidRPr="00340536">
        <w:t>and 50 mL for subjects age</w:t>
      </w:r>
      <w:r w:rsidR="00645B5A">
        <w:t>d</w:t>
      </w:r>
      <w:r w:rsidRPr="00340536">
        <w:t xml:space="preserve"> 2 </w:t>
      </w:r>
      <w:r w:rsidR="00645B5A">
        <w:t xml:space="preserve">up </w:t>
      </w:r>
      <w:r w:rsidRPr="00340536">
        <w:t>to 6</w:t>
      </w:r>
      <w:r w:rsidR="00645B5A">
        <w:t xml:space="preserve"> years</w:t>
      </w:r>
      <w:r w:rsidRPr="00340536">
        <w:t>.</w:t>
      </w:r>
    </w:p>
    <w:p w14:paraId="74CE11C0" w14:textId="587F3C93" w:rsidR="007F23C8" w:rsidRPr="006A6E62" w:rsidRDefault="007F23C8" w:rsidP="007F23C8">
      <w:pPr>
        <w:pStyle w:val="TableTitle"/>
        <w:rPr>
          <w:bCs/>
        </w:rPr>
      </w:pPr>
      <w:r>
        <w:t xml:space="preserve">Table </w:t>
      </w:r>
      <w:r>
        <w:fldChar w:fldCharType="begin"/>
      </w:r>
      <w:r>
        <w:instrText xml:space="preserve"> SEQ Table \* ARABIC </w:instrText>
      </w:r>
      <w:r>
        <w:fldChar w:fldCharType="separate"/>
      </w:r>
      <w:r w:rsidR="000206CE">
        <w:rPr>
          <w:noProof/>
        </w:rPr>
        <w:t>6</w:t>
      </w:r>
      <w:r>
        <w:rPr>
          <w:noProof/>
        </w:rPr>
        <w:fldChar w:fldCharType="end"/>
      </w:r>
      <w:r>
        <w:t>: Study PXVX-VC-200-006 Study treatments by cohort and treatment group</w:t>
      </w:r>
    </w:p>
    <w:p w14:paraId="768D051E" w14:textId="10302535" w:rsidR="00BF77BE" w:rsidRPr="00237F1B" w:rsidRDefault="00BF77BE" w:rsidP="0011505C">
      <w:r>
        <w:rPr>
          <w:noProof/>
        </w:rPr>
        <w:drawing>
          <wp:inline distT="0" distB="0" distL="0" distR="0" wp14:anchorId="22102325" wp14:editId="35128087">
            <wp:extent cx="5295418" cy="2198737"/>
            <wp:effectExtent l="0" t="0" r="635" b="0"/>
            <wp:docPr id="4" name="Picture 4" descr="The table has 3 rows for cohorts 1 (12 to &lt;18 years), 2 (6 to &lt;12 years) and 3 (2 to &lt;6 years). In each cohort the numbers are given for the active and placebo-crossover treatment groups. Day 1 treatment is blinded. Day 181 treatment is placebo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table has 3 rows for cohorts 1 (12 to &lt;18 years), 2 (6 to &lt;12 years) and 3 (2 to &lt;6 years). In each cohort the numbers are given for the active and placebo-crossover treatment groups. Day 1 treatment is blinded. Day 181 treatment is placebo crossover."/>
                    <pic:cNvPicPr/>
                  </pic:nvPicPr>
                  <pic:blipFill>
                    <a:blip r:embed="rId23"/>
                    <a:stretch>
                      <a:fillRect/>
                    </a:stretch>
                  </pic:blipFill>
                  <pic:spPr>
                    <a:xfrm>
                      <a:off x="0" y="0"/>
                      <a:ext cx="5312417" cy="2205795"/>
                    </a:xfrm>
                    <a:prstGeom prst="rect">
                      <a:avLst/>
                    </a:prstGeom>
                  </pic:spPr>
                </pic:pic>
              </a:graphicData>
            </a:graphic>
          </wp:inline>
        </w:drawing>
      </w:r>
    </w:p>
    <w:p w14:paraId="36ACDF57" w14:textId="77777777" w:rsidR="00012550" w:rsidRDefault="00012550" w:rsidP="00E57CDF">
      <w:pPr>
        <w:pStyle w:val="Heading6"/>
      </w:pPr>
      <w:r>
        <w:t>Results</w:t>
      </w:r>
    </w:p>
    <w:p w14:paraId="0AA7B202" w14:textId="31AF79D2" w:rsidR="00D17F95" w:rsidRDefault="007C1ECC" w:rsidP="001A10B5">
      <w:r w:rsidRPr="000165E5">
        <w:t xml:space="preserve">The Day 11 seroconversion rates of subjects in the </w:t>
      </w:r>
      <w:r w:rsidR="001A10B5" w:rsidRPr="000165E5">
        <w:t>i</w:t>
      </w:r>
      <w:r w:rsidR="0012362D" w:rsidRPr="000165E5">
        <w:t xml:space="preserve">mmunogenicity </w:t>
      </w:r>
      <w:r w:rsidR="001A10B5" w:rsidRPr="000165E5">
        <w:t>e</w:t>
      </w:r>
      <w:r w:rsidR="0012362D" w:rsidRPr="000165E5">
        <w:t xml:space="preserve">valuable population </w:t>
      </w:r>
      <w:r w:rsidRPr="000165E5">
        <w:t>dataset</w:t>
      </w:r>
      <w:r w:rsidRPr="0007564B">
        <w:t xml:space="preserve"> who received </w:t>
      </w:r>
      <w:proofErr w:type="spellStart"/>
      <w:r w:rsidRPr="0007564B">
        <w:t>V</w:t>
      </w:r>
      <w:r w:rsidR="00E643A2">
        <w:t>axchora</w:t>
      </w:r>
      <w:proofErr w:type="spellEnd"/>
      <w:r w:rsidRPr="0007564B">
        <w:t xml:space="preserve"> were</w:t>
      </w:r>
      <w:r>
        <w:t xml:space="preserve"> </w:t>
      </w:r>
      <w:r w:rsidRPr="0007564B">
        <w:t>compared to those of the PXVX-VC-200-004 adult Bridging Population (i.e. adult Bridging</w:t>
      </w:r>
      <w:r>
        <w:t xml:space="preserve"> </w:t>
      </w:r>
      <w:r w:rsidRPr="0007564B">
        <w:t xml:space="preserve">Population), as shown in </w:t>
      </w:r>
      <w:r w:rsidR="00D17F95">
        <w:fldChar w:fldCharType="begin"/>
      </w:r>
      <w:r w:rsidR="00D17F95">
        <w:instrText xml:space="preserve"> REF _Ref153365008 \h </w:instrText>
      </w:r>
      <w:r w:rsidR="001A10B5">
        <w:instrText xml:space="preserve"> \* MERGEFORMAT </w:instrText>
      </w:r>
      <w:r w:rsidR="00D17F95">
        <w:fldChar w:fldCharType="separate"/>
      </w:r>
      <w:r w:rsidR="000206CE">
        <w:t xml:space="preserve">Table </w:t>
      </w:r>
      <w:r w:rsidR="000206CE">
        <w:rPr>
          <w:noProof/>
        </w:rPr>
        <w:t>7</w:t>
      </w:r>
      <w:r w:rsidR="00D17F95">
        <w:fldChar w:fldCharType="end"/>
      </w:r>
      <w:r w:rsidR="000165E5">
        <w:t>.</w:t>
      </w:r>
    </w:p>
    <w:p w14:paraId="1B28EB79" w14:textId="688203A5" w:rsidR="00417DB2" w:rsidRDefault="007C1ECC" w:rsidP="001A10B5">
      <w:r w:rsidRPr="0007564B">
        <w:t>Both co-primary objectives were met for Cohort 1</w:t>
      </w:r>
      <w:r w:rsidR="0092595E">
        <w:t xml:space="preserve">, </w:t>
      </w:r>
      <w:r w:rsidR="00417DB2">
        <w:t>Cohort 2</w:t>
      </w:r>
      <w:r w:rsidR="0092595E">
        <w:t xml:space="preserve"> and Cohort 3</w:t>
      </w:r>
      <w:r w:rsidR="00417DB2">
        <w:t>.</w:t>
      </w:r>
    </w:p>
    <w:p w14:paraId="6588F806" w14:textId="2F8E6DF3" w:rsidR="007C1ECC" w:rsidRDefault="007C1ECC" w:rsidP="001A10B5">
      <w:r>
        <w:t xml:space="preserve">In a post-study analysis, </w:t>
      </w:r>
      <w:r w:rsidRPr="0070346E">
        <w:t>subjects who consumed less than 50% of the dose experienced a lower rate of seroconversion (69.2%) than those who drank at least 50% of the expected dose. Of note, all subjects who drank at least half the dose seroconverted.</w:t>
      </w:r>
    </w:p>
    <w:p w14:paraId="264BDB4E" w14:textId="34A87724" w:rsidR="007F23C8" w:rsidRDefault="00A85554" w:rsidP="00A85554">
      <w:pPr>
        <w:pStyle w:val="TableTitle"/>
      </w:pPr>
      <w:bookmarkStart w:id="56" w:name="_Ref153365008"/>
      <w:r>
        <w:lastRenderedPageBreak/>
        <w:t xml:space="preserve">Table </w:t>
      </w:r>
      <w:r>
        <w:fldChar w:fldCharType="begin"/>
      </w:r>
      <w:r>
        <w:instrText xml:space="preserve"> SEQ Table \* ARABIC </w:instrText>
      </w:r>
      <w:r>
        <w:fldChar w:fldCharType="separate"/>
      </w:r>
      <w:r w:rsidR="000206CE">
        <w:rPr>
          <w:noProof/>
        </w:rPr>
        <w:t>7</w:t>
      </w:r>
      <w:r>
        <w:rPr>
          <w:noProof/>
        </w:rPr>
        <w:fldChar w:fldCharType="end"/>
      </w:r>
      <w:bookmarkEnd w:id="56"/>
      <w:r>
        <w:t>: Study PXVX-VC-200-006 Comparison of seroconversion rates at Day 11 visit by age group compared to the adult bridging population</w:t>
      </w:r>
    </w:p>
    <w:p w14:paraId="4B35770B" w14:textId="6123CE82" w:rsidR="00AD2952" w:rsidRPr="006A6E62" w:rsidRDefault="00BF77BE" w:rsidP="0011505C">
      <w:pPr>
        <w:rPr>
          <w:b/>
          <w:bCs/>
        </w:rPr>
      </w:pPr>
      <w:r>
        <w:rPr>
          <w:noProof/>
        </w:rPr>
        <w:drawing>
          <wp:inline distT="0" distB="0" distL="0" distR="0" wp14:anchorId="7C542235" wp14:editId="78A555E2">
            <wp:extent cx="5497975" cy="2366493"/>
            <wp:effectExtent l="0" t="0" r="7620" b="0"/>
            <wp:docPr id="6" name="Picture 6" descr="The table compares Study 004 to the Study 006 cohorts: cohort 1 (12 to &lt;18 years), cohort 2 (6 to &lt;12 years) and cohort 3 (2 to &lt;6 years) and overall group (ages 2 to &lt;1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table compares Study 004 to the Study 006 cohorts: cohort 1 (12 to &lt;18 years), cohort 2 (6 to &lt;12 years) and cohort 3 (2 to &lt;6 years) and overall group (ages 2 to &lt;18 years)."/>
                    <pic:cNvPicPr/>
                  </pic:nvPicPr>
                  <pic:blipFill>
                    <a:blip r:embed="rId24"/>
                    <a:stretch>
                      <a:fillRect/>
                    </a:stretch>
                  </pic:blipFill>
                  <pic:spPr>
                    <a:xfrm>
                      <a:off x="0" y="0"/>
                      <a:ext cx="5509845" cy="2371602"/>
                    </a:xfrm>
                    <a:prstGeom prst="rect">
                      <a:avLst/>
                    </a:prstGeom>
                  </pic:spPr>
                </pic:pic>
              </a:graphicData>
            </a:graphic>
          </wp:inline>
        </w:drawing>
      </w:r>
    </w:p>
    <w:p w14:paraId="1DA44ACB" w14:textId="32DC6F62" w:rsidR="00012550" w:rsidRDefault="00012550" w:rsidP="00E57CDF">
      <w:pPr>
        <w:pStyle w:val="Heading6"/>
      </w:pPr>
      <w:r w:rsidRPr="009A3FB0">
        <w:t>Delegate</w:t>
      </w:r>
      <w:r w:rsidR="007E40FA">
        <w:t>’s</w:t>
      </w:r>
      <w:r w:rsidRPr="009A3FB0">
        <w:t xml:space="preserve"> comments</w:t>
      </w:r>
    </w:p>
    <w:p w14:paraId="42D61F7E" w14:textId="64947FB2" w:rsidR="00012550" w:rsidRDefault="00012550" w:rsidP="00012550">
      <w:r>
        <w:t xml:space="preserve">The </w:t>
      </w:r>
      <w:r w:rsidR="00E57CDF">
        <w:t>c</w:t>
      </w:r>
      <w:r>
        <w:t>linical evaluat</w:t>
      </w:r>
      <w:r w:rsidR="00E57CDF">
        <w:t>ion</w:t>
      </w:r>
      <w:r>
        <w:t xml:space="preserve"> concluded that a</w:t>
      </w:r>
      <w:r w:rsidRPr="002979DC">
        <w:t xml:space="preserve">dministration of a single reconstituted oral dose of </w:t>
      </w:r>
      <w:proofErr w:type="spellStart"/>
      <w:r w:rsidRPr="002979DC">
        <w:t>V</w:t>
      </w:r>
      <w:r w:rsidR="00E643A2">
        <w:t>axchora</w:t>
      </w:r>
      <w:proofErr w:type="spellEnd"/>
      <w:r w:rsidRPr="002979DC">
        <w:t xml:space="preserve"> led to </w:t>
      </w:r>
      <w:proofErr w:type="spellStart"/>
      <w:r w:rsidRPr="002979DC">
        <w:t>vibriocidal</w:t>
      </w:r>
      <w:proofErr w:type="spellEnd"/>
      <w:r w:rsidRPr="002979DC">
        <w:t xml:space="preserve"> antibody</w:t>
      </w:r>
      <w:r>
        <w:t xml:space="preserve"> </w:t>
      </w:r>
      <w:r w:rsidRPr="002979DC">
        <w:t xml:space="preserve">seroconversion in 99.4%, 97.8% and 98.1% of </w:t>
      </w:r>
      <w:proofErr w:type="spellStart"/>
      <w:r w:rsidRPr="002979DC">
        <w:t>V</w:t>
      </w:r>
      <w:r w:rsidR="00E643A2">
        <w:t>axchora</w:t>
      </w:r>
      <w:proofErr w:type="spellEnd"/>
      <w:r w:rsidRPr="002979DC">
        <w:t xml:space="preserve"> recipients in Cohorts 1, 2, and 3</w:t>
      </w:r>
      <w:r>
        <w:t xml:space="preserve"> </w:t>
      </w:r>
      <w:r w:rsidRPr="002979DC">
        <w:t>respectively, by Day 11. Based on the primary immunogenicity objectives to show noninferiority of seroconversion in children aged 2</w:t>
      </w:r>
      <w:r w:rsidR="00740158">
        <w:t xml:space="preserve"> to </w:t>
      </w:r>
      <w:r w:rsidRPr="002979DC">
        <w:t>17</w:t>
      </w:r>
      <w:r w:rsidR="00740158">
        <w:t> years</w:t>
      </w:r>
      <w:r w:rsidRPr="002979DC">
        <w:t xml:space="preserve"> compared to adults aged 18</w:t>
      </w:r>
      <w:r w:rsidR="003D48F0">
        <w:t xml:space="preserve"> to </w:t>
      </w:r>
      <w:r w:rsidRPr="002979DC">
        <w:t xml:space="preserve">45 </w:t>
      </w:r>
      <w:r w:rsidR="003D48F0">
        <w:t xml:space="preserve">years </w:t>
      </w:r>
      <w:r w:rsidRPr="002979DC">
        <w:t>at Day 11</w:t>
      </w:r>
      <w:r>
        <w:t xml:space="preserve"> </w:t>
      </w:r>
      <w:r w:rsidRPr="002979DC">
        <w:t xml:space="preserve">and to have </w:t>
      </w:r>
      <w:r w:rsidR="003D48F0">
        <w:t xml:space="preserve">at least </w:t>
      </w:r>
      <w:r w:rsidRPr="002979DC">
        <w:t xml:space="preserve">70% seroconversion, </w:t>
      </w:r>
      <w:proofErr w:type="gramStart"/>
      <w:r w:rsidRPr="002979DC">
        <w:t>both of the primary</w:t>
      </w:r>
      <w:proofErr w:type="gramEnd"/>
      <w:r w:rsidRPr="002979DC">
        <w:t xml:space="preserve"> endpoints were achieved. The</w:t>
      </w:r>
      <w:r>
        <w:t xml:space="preserve"> </w:t>
      </w:r>
      <w:r w:rsidRPr="002979DC">
        <w:t>seroconversion rates observed were non-inferior to those of adults and were greater than 70%</w:t>
      </w:r>
      <w:r>
        <w:t xml:space="preserve"> </w:t>
      </w:r>
      <w:r w:rsidRPr="002979DC">
        <w:t>with 98.3% confidence.</w:t>
      </w:r>
    </w:p>
    <w:p w14:paraId="5C68B374" w14:textId="06B9E89B" w:rsidR="00012550" w:rsidRDefault="00012550" w:rsidP="00012550">
      <w:r>
        <w:t xml:space="preserve">For </w:t>
      </w:r>
      <w:r w:rsidR="003D48F0">
        <w:t xml:space="preserve">the </w:t>
      </w:r>
      <w:r>
        <w:t xml:space="preserve">Cohort 1 sub-study population, 64.5% of </w:t>
      </w:r>
      <w:proofErr w:type="gramStart"/>
      <w:r>
        <w:t>subjects maintained</w:t>
      </w:r>
      <w:proofErr w:type="gramEnd"/>
      <w:r>
        <w:t xml:space="preserve"> seroconversion for 2 years following vaccination. Safety data demonstrate that one oral dose of </w:t>
      </w:r>
      <w:proofErr w:type="spellStart"/>
      <w:r>
        <w:t>V</w:t>
      </w:r>
      <w:r w:rsidR="00E643A2">
        <w:t>axchora</w:t>
      </w:r>
      <w:proofErr w:type="spellEnd"/>
      <w:r>
        <w:t xml:space="preserve"> was well tolerated. It is likely that palatability impacted the acceptability of </w:t>
      </w:r>
      <w:proofErr w:type="spellStart"/>
      <w:r>
        <w:t>V</w:t>
      </w:r>
      <w:r w:rsidR="00E643A2">
        <w:t>axchora</w:t>
      </w:r>
      <w:proofErr w:type="spellEnd"/>
      <w:r>
        <w:t xml:space="preserve">, with 21% of the children in the youngest cohort unable to consume at least 80% (40 mL) of the dose, and although seroconversion rates were very high, they were lower in those consuming </w:t>
      </w:r>
      <w:r w:rsidR="00043732">
        <w:t xml:space="preserve">less than </w:t>
      </w:r>
      <w:r>
        <w:t>50% of the dose.</w:t>
      </w:r>
    </w:p>
    <w:p w14:paraId="37B95BA2" w14:textId="02634F98" w:rsidR="00012550" w:rsidRPr="002979DC" w:rsidRDefault="00012550" w:rsidP="00012550">
      <w:r>
        <w:t xml:space="preserve">The </w:t>
      </w:r>
      <w:r w:rsidRPr="002979DC">
        <w:t>clinical evaluat</w:t>
      </w:r>
      <w:r w:rsidR="00043732">
        <w:t>ion</w:t>
      </w:r>
      <w:r w:rsidRPr="002979DC">
        <w:t xml:space="preserve"> </w:t>
      </w:r>
      <w:r>
        <w:t>also</w:t>
      </w:r>
      <w:r w:rsidRPr="002979DC">
        <w:t xml:space="preserve"> noted that one of the unintended consequences of an efficacious vaccine is that the usual precautions to avoid exposure to diarrhoea-causing pathogens might be lessened, in the false belief that the protection the vaccine provided is ‘absolute’.</w:t>
      </w:r>
    </w:p>
    <w:p w14:paraId="5CFD1E4E" w14:textId="7CCB9913" w:rsidR="00012550" w:rsidRPr="002979DC" w:rsidRDefault="00012550" w:rsidP="002B6A80">
      <w:pPr>
        <w:pStyle w:val="Heading6"/>
      </w:pPr>
      <w:r w:rsidRPr="002979DC">
        <w:t>E</w:t>
      </w:r>
      <w:r w:rsidR="008915FA">
        <w:t>uropean Medicines Agency</w:t>
      </w:r>
      <w:r w:rsidRPr="002979DC">
        <w:t xml:space="preserve"> assessment report (paediatric variation</w:t>
      </w:r>
      <w:r>
        <w:t>)</w:t>
      </w:r>
    </w:p>
    <w:p w14:paraId="758088F9" w14:textId="3DECEE66" w:rsidR="00012550" w:rsidRDefault="00012550" w:rsidP="00012550">
      <w:r w:rsidRPr="00D61607">
        <w:t xml:space="preserve">The </w:t>
      </w:r>
      <w:r w:rsidR="008915FA">
        <w:t>European Medicines Agency (</w:t>
      </w:r>
      <w:r w:rsidRPr="00D61607">
        <w:t>EMA</w:t>
      </w:r>
      <w:r w:rsidR="008915FA">
        <w:t>)</w:t>
      </w:r>
      <w:r w:rsidRPr="00D61607">
        <w:t xml:space="preserve"> assessment report (paediatric variation)</w:t>
      </w:r>
      <w:r w:rsidR="00D61607" w:rsidRPr="00D61607">
        <w:rPr>
          <w:rStyle w:val="FootnoteReference"/>
        </w:rPr>
        <w:footnoteReference w:id="19"/>
      </w:r>
      <w:r w:rsidRPr="00D61607">
        <w:t xml:space="preserve"> included an update to include long-term</w:t>
      </w:r>
      <w:r w:rsidRPr="00E317BC">
        <w:t xml:space="preserve"> immunogenicity data supporting</w:t>
      </w:r>
      <w:r>
        <w:t xml:space="preserve"> </w:t>
      </w:r>
      <w:proofErr w:type="spellStart"/>
      <w:r w:rsidRPr="00E317BC">
        <w:t>Vaxchora</w:t>
      </w:r>
      <w:proofErr w:type="spellEnd"/>
      <w:r w:rsidRPr="00E317BC">
        <w:t xml:space="preserve"> effectiveness at generating a protective immune response that persists for 2 years following</w:t>
      </w:r>
      <w:r>
        <w:t xml:space="preserve"> </w:t>
      </w:r>
      <w:r w:rsidRPr="00E317BC">
        <w:t>vaccination</w:t>
      </w:r>
      <w:r>
        <w:t xml:space="preserve"> (adolescent </w:t>
      </w:r>
      <w:proofErr w:type="spellStart"/>
      <w:r>
        <w:t>substudy</w:t>
      </w:r>
      <w:proofErr w:type="spellEnd"/>
      <w:r>
        <w:t xml:space="preserve">) and an extension of indication to the </w:t>
      </w:r>
      <w:proofErr w:type="gramStart"/>
      <w:r>
        <w:t>2 year</w:t>
      </w:r>
      <w:proofErr w:type="gramEnd"/>
      <w:r>
        <w:t xml:space="preserve"> age group.</w:t>
      </w:r>
    </w:p>
    <w:p w14:paraId="5F13B536" w14:textId="0A375A36" w:rsidR="00012550" w:rsidRDefault="00012550" w:rsidP="00012550">
      <w:r>
        <w:t xml:space="preserve">The following issues </w:t>
      </w:r>
      <w:r w:rsidR="005C7732">
        <w:t>are highlighted</w:t>
      </w:r>
      <w:r>
        <w:t>:</w:t>
      </w:r>
    </w:p>
    <w:p w14:paraId="2C1E5B94" w14:textId="6E28501A" w:rsidR="0079740C" w:rsidRDefault="00012550" w:rsidP="0011505C">
      <w:pPr>
        <w:ind w:left="720"/>
      </w:pPr>
      <w:r w:rsidRPr="005C7732">
        <w:t xml:space="preserve">The safety profile of </w:t>
      </w:r>
      <w:proofErr w:type="spellStart"/>
      <w:r w:rsidRPr="005C7732">
        <w:t>Vaxchora</w:t>
      </w:r>
      <w:proofErr w:type="spellEnd"/>
      <w:r w:rsidRPr="005C7732">
        <w:t xml:space="preserve"> in children 2-&lt;6 years appears to be </w:t>
      </w:r>
      <w:proofErr w:type="gramStart"/>
      <w:r w:rsidRPr="005C7732">
        <w:t>similar to</w:t>
      </w:r>
      <w:proofErr w:type="gramEnd"/>
      <w:r w:rsidRPr="005C7732">
        <w:t xml:space="preserve"> the safety profile in older children (6-&lt; 18 years). Solicited AEs were reported by a higher proportion of subjects in Cohort 1 (</w:t>
      </w:r>
      <w:proofErr w:type="spellStart"/>
      <w:r w:rsidRPr="005C7732">
        <w:t>Vaxchora</w:t>
      </w:r>
      <w:proofErr w:type="spellEnd"/>
      <w:r w:rsidRPr="005C7732">
        <w:t xml:space="preserve"> 68.5%; Placebo 66.7%) than in Cohort 2 (</w:t>
      </w:r>
      <w:proofErr w:type="spellStart"/>
      <w:r w:rsidRPr="005C7732">
        <w:t>Vaxchora</w:t>
      </w:r>
      <w:proofErr w:type="spellEnd"/>
      <w:r w:rsidRPr="005C7732">
        <w:t xml:space="preserve"> 54.8%; Placebo 52.0%) and Cohort 3 (</w:t>
      </w:r>
      <w:proofErr w:type="spellStart"/>
      <w:r w:rsidRPr="005C7732">
        <w:t>Vaxchora</w:t>
      </w:r>
      <w:proofErr w:type="spellEnd"/>
      <w:r w:rsidRPr="005C7732">
        <w:t xml:space="preserve"> 40.4%; Placebo 34.6%)</w:t>
      </w:r>
      <w:r w:rsidR="00D61607">
        <w:t xml:space="preserve"> </w:t>
      </w:r>
      <w:r w:rsidR="0079740C">
        <w:t xml:space="preserve">… </w:t>
      </w:r>
      <w:r w:rsidRPr="005C7732">
        <w:t xml:space="preserve">The </w:t>
      </w:r>
      <w:r w:rsidRPr="005C7732">
        <w:lastRenderedPageBreak/>
        <w:t xml:space="preserve">most frequently reported solicited AEs in </w:t>
      </w:r>
      <w:proofErr w:type="spellStart"/>
      <w:r w:rsidRPr="005C7732">
        <w:t>Vaxchora</w:t>
      </w:r>
      <w:proofErr w:type="spellEnd"/>
      <w:r w:rsidRPr="005C7732">
        <w:t>-recipients (Cohort 3) were tiredness (</w:t>
      </w:r>
      <w:proofErr w:type="spellStart"/>
      <w:r w:rsidRPr="005C7732">
        <w:t>Vaxchora</w:t>
      </w:r>
      <w:proofErr w:type="spellEnd"/>
      <w:r w:rsidRPr="005C7732">
        <w:t xml:space="preserve"> 30.8%, placebo 23.1%), lack of appetite (</w:t>
      </w:r>
      <w:proofErr w:type="spellStart"/>
      <w:r w:rsidRPr="005C7732">
        <w:t>Vaxchora</w:t>
      </w:r>
      <w:proofErr w:type="spellEnd"/>
      <w:r w:rsidRPr="005C7732">
        <w:t xml:space="preserve"> 19.2%, placebo 11.5%) and abdominal pain (</w:t>
      </w:r>
      <w:proofErr w:type="spellStart"/>
      <w:r w:rsidRPr="005C7732">
        <w:t>Vaxchora</w:t>
      </w:r>
      <w:proofErr w:type="spellEnd"/>
      <w:r w:rsidRPr="005C7732">
        <w:t xml:space="preserve"> 17.1%, placebo 15.4%)</w:t>
      </w:r>
    </w:p>
    <w:p w14:paraId="0FAEDF78" w14:textId="13EC044B" w:rsidR="00012550" w:rsidRPr="005C7732" w:rsidRDefault="00012550" w:rsidP="0011505C">
      <w:pPr>
        <w:ind w:left="720"/>
      </w:pPr>
      <w:r w:rsidRPr="005C7732">
        <w:t>There is an increased risk of medication errors when the vaccine is prepared and administered to the youngest children (2 -&lt; 6 years). Preparation requires that half of the buffer solution is discarded before the active substance is added. Spilling or inaccuracies in this context may impact the potency of the vaccine-solution. It may also be a challenge to get the child to consume sufficient of the dose to achieve protection</w:t>
      </w:r>
      <w:r w:rsidR="00E73C83">
        <w:t>.</w:t>
      </w:r>
    </w:p>
    <w:p w14:paraId="033050C9" w14:textId="77777777" w:rsidR="00E05533" w:rsidRDefault="00E05533" w:rsidP="00E05533">
      <w:pPr>
        <w:pStyle w:val="Heading4"/>
      </w:pPr>
      <w:bookmarkStart w:id="57" w:name="_Toc182833141"/>
      <w:r w:rsidRPr="00AA53F4">
        <w:t>Safety</w:t>
      </w:r>
      <w:bookmarkEnd w:id="57"/>
    </w:p>
    <w:p w14:paraId="7C520CB9" w14:textId="478CE194" w:rsidR="0044490D" w:rsidRDefault="0044490D" w:rsidP="0044490D">
      <w:pPr>
        <w:pStyle w:val="Heading5"/>
      </w:pPr>
      <w:r w:rsidRPr="0053267D">
        <w:t xml:space="preserve">TGA </w:t>
      </w:r>
      <w:r w:rsidR="00264108">
        <w:t>c</w:t>
      </w:r>
      <w:r w:rsidRPr="0053267D">
        <w:t>linical evaluation report</w:t>
      </w:r>
    </w:p>
    <w:p w14:paraId="41B17240" w14:textId="2E3E9EDF" w:rsidR="00E05533" w:rsidRPr="001C2C6E" w:rsidRDefault="00E05533" w:rsidP="0011505C">
      <w:r w:rsidRPr="001C2C6E">
        <w:t>In the integrated safety analysis</w:t>
      </w:r>
      <w:r w:rsidR="0064621F">
        <w:t>,</w:t>
      </w:r>
      <w:r w:rsidRPr="001C2C6E">
        <w:t xml:space="preserve"> a total of 3797 subjects were included in the Safety Population, 3235 in the vaccine g</w:t>
      </w:r>
      <w:r>
        <w:t>rou</w:t>
      </w:r>
      <w:r w:rsidRPr="001C2C6E">
        <w:t>p and 562 in the placebo g</w:t>
      </w:r>
      <w:r>
        <w:t>rou</w:t>
      </w:r>
      <w:r w:rsidRPr="001C2C6E">
        <w:t>p. Overall, 93.7% of vaccine recipients and 95.0% of placebo recipients completed the study.</w:t>
      </w:r>
      <w:r w:rsidR="00137C78">
        <w:t xml:space="preserve"> </w:t>
      </w:r>
      <w:r w:rsidR="00137C78">
        <w:fldChar w:fldCharType="begin"/>
      </w:r>
      <w:r w:rsidR="00137C78">
        <w:instrText xml:space="preserve"> REF _Ref153365872 \h </w:instrText>
      </w:r>
      <w:r w:rsidR="00137C78">
        <w:fldChar w:fldCharType="separate"/>
      </w:r>
      <w:r w:rsidR="000206CE">
        <w:t xml:space="preserve">Table </w:t>
      </w:r>
      <w:r w:rsidR="000206CE">
        <w:rPr>
          <w:noProof/>
        </w:rPr>
        <w:t>8</w:t>
      </w:r>
      <w:r w:rsidR="00137C78">
        <w:fldChar w:fldCharType="end"/>
      </w:r>
      <w:r>
        <w:t xml:space="preserve"> </w:t>
      </w:r>
      <w:r w:rsidRPr="001C2C6E">
        <w:t>shows the most common AEs irrespective of relatedness to treatment.</w:t>
      </w:r>
    </w:p>
    <w:p w14:paraId="4F78E8CD" w14:textId="74FC57B0" w:rsidR="00E05533" w:rsidRDefault="00E05533" w:rsidP="00E05533">
      <w:r>
        <w:t xml:space="preserve">The TGA clinical evaluation highlighted that it was not possible to assess whether dose concentration </w:t>
      </w:r>
      <w:proofErr w:type="gramStart"/>
      <w:r>
        <w:t>had an effect on</w:t>
      </w:r>
      <w:proofErr w:type="gramEnd"/>
      <w:r>
        <w:t xml:space="preserve"> reactogenicity or AEs since only 150 subjects received vaccine (in the Phase </w:t>
      </w:r>
      <w:r w:rsidR="00A60A9E">
        <w:t>I</w:t>
      </w:r>
      <w:r>
        <w:t xml:space="preserve"> and challenge trials) with a concentration of </w:t>
      </w:r>
      <w:r w:rsidR="00294EB5">
        <w:t xml:space="preserve">less than </w:t>
      </w:r>
      <w:r>
        <w:t>5</w:t>
      </w:r>
      <w:r w:rsidR="00A60A9E">
        <w:t> </w:t>
      </w:r>
      <w:r w:rsidR="009E5A77">
        <w:t>×</w:t>
      </w:r>
      <w:r w:rsidR="00A60A9E">
        <w:t> </w:t>
      </w:r>
      <w:r>
        <w:t>10</w:t>
      </w:r>
      <w:r w:rsidRPr="0053267D">
        <w:rPr>
          <w:vertAlign w:val="superscript"/>
        </w:rPr>
        <w:t>8</w:t>
      </w:r>
      <w:r>
        <w:t xml:space="preserve"> CFU compared to 3075 subjects vaccinated (in the lot consistency and older adult trials) </w:t>
      </w:r>
      <w:r w:rsidR="00294EB5">
        <w:t>with</w:t>
      </w:r>
      <w:r>
        <w:t xml:space="preserve"> a concentration of 1</w:t>
      </w:r>
      <w:r w:rsidR="00A60A9E">
        <w:t> × </w:t>
      </w:r>
      <w:r>
        <w:t>10</w:t>
      </w:r>
      <w:r w:rsidRPr="00144746">
        <w:rPr>
          <w:vertAlign w:val="superscript"/>
        </w:rPr>
        <w:t xml:space="preserve">9 </w:t>
      </w:r>
      <w:r>
        <w:t>CFU. Also, since the different concentrations were used in different trials, it is not possible to isolate the effect of concentration from other factors that differed between trials and study populations.</w:t>
      </w:r>
    </w:p>
    <w:p w14:paraId="4C967DB7" w14:textId="4F7E2CD9" w:rsidR="00014622" w:rsidRDefault="00014622" w:rsidP="00014622">
      <w:pPr>
        <w:pStyle w:val="TableTitle"/>
      </w:pPr>
      <w:bookmarkStart w:id="58" w:name="_Ref153365872"/>
      <w:r>
        <w:lastRenderedPageBreak/>
        <w:t xml:space="preserve">Table </w:t>
      </w:r>
      <w:r>
        <w:fldChar w:fldCharType="begin"/>
      </w:r>
      <w:r>
        <w:instrText xml:space="preserve"> SEQ Table \* ARABIC </w:instrText>
      </w:r>
      <w:r>
        <w:fldChar w:fldCharType="separate"/>
      </w:r>
      <w:r w:rsidR="000206CE">
        <w:rPr>
          <w:noProof/>
        </w:rPr>
        <w:t>8</w:t>
      </w:r>
      <w:r>
        <w:rPr>
          <w:noProof/>
        </w:rPr>
        <w:fldChar w:fldCharType="end"/>
      </w:r>
      <w:bookmarkEnd w:id="58"/>
      <w:r>
        <w:t>: Summary of most common adverse events (safety population)</w:t>
      </w:r>
    </w:p>
    <w:p w14:paraId="654200BE" w14:textId="5B984E71" w:rsidR="00646E43" w:rsidRDefault="00DF763B" w:rsidP="0011505C">
      <w:r>
        <w:rPr>
          <w:noProof/>
        </w:rPr>
        <w:drawing>
          <wp:inline distT="0" distB="0" distL="0" distR="0" wp14:anchorId="7D063A76" wp14:editId="69E6D9B2">
            <wp:extent cx="5759450" cy="5380355"/>
            <wp:effectExtent l="0" t="0" r="0" b="0"/>
            <wp:docPr id="9" name="Picture 9" descr="Summary of AEs in vaccine group and placebo group. Number of subjects with at least one AE is 767 (23.7%) in Vaxchora group and 154 (27.4%) in placebo group. Highest rates of AEs are headache (2.5%) in Vaxchora group and fatigue (3.2%) in placebo group. Notes are included be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AEs in vaccine group and placebo group. Number of subjects with at least one AE is 767 (23.7%) in Vaxchora group and 154 (27.4%) in placebo group. Highest rates of AEs are headache (2.5%) in Vaxchora group and fatigue (3.2%) in placebo group. Notes are included below the table."/>
                    <pic:cNvPicPr/>
                  </pic:nvPicPr>
                  <pic:blipFill>
                    <a:blip r:embed="rId25"/>
                    <a:stretch>
                      <a:fillRect/>
                    </a:stretch>
                  </pic:blipFill>
                  <pic:spPr>
                    <a:xfrm>
                      <a:off x="0" y="0"/>
                      <a:ext cx="5759450" cy="5380355"/>
                    </a:xfrm>
                    <a:prstGeom prst="rect">
                      <a:avLst/>
                    </a:prstGeom>
                  </pic:spPr>
                </pic:pic>
              </a:graphicData>
            </a:graphic>
          </wp:inline>
        </w:drawing>
      </w:r>
    </w:p>
    <w:p w14:paraId="2E95A4C9" w14:textId="3278E84E" w:rsidR="00E05533" w:rsidRPr="0053267D" w:rsidRDefault="00E05533" w:rsidP="0044490D">
      <w:pPr>
        <w:pStyle w:val="Heading5"/>
      </w:pPr>
      <w:r w:rsidRPr="0053267D">
        <w:t xml:space="preserve">Health Canada </w:t>
      </w:r>
      <w:r w:rsidR="00264108">
        <w:t>c</w:t>
      </w:r>
      <w:r w:rsidRPr="0053267D">
        <w:t xml:space="preserve">linical </w:t>
      </w:r>
      <w:r w:rsidR="00264108">
        <w:t>e</w:t>
      </w:r>
      <w:r w:rsidR="00883C5E">
        <w:t>valuation</w:t>
      </w:r>
    </w:p>
    <w:p w14:paraId="7380F483" w14:textId="73286FA6" w:rsidR="0044490D" w:rsidRDefault="00883C5E" w:rsidP="00E05533">
      <w:r>
        <w:t xml:space="preserve">Health </w:t>
      </w:r>
      <w:r w:rsidR="00E05533">
        <w:t>Canad</w:t>
      </w:r>
      <w:r>
        <w:t>a’s</w:t>
      </w:r>
      <w:r w:rsidR="00E05533">
        <w:t xml:space="preserve"> </w:t>
      </w:r>
      <w:r>
        <w:t>clinical</w:t>
      </w:r>
      <w:r w:rsidR="00E05533">
        <w:t xml:space="preserve"> evaluation report highlighted </w:t>
      </w:r>
      <w:r w:rsidR="004E6AD9">
        <w:t>the following.</w:t>
      </w:r>
    </w:p>
    <w:p w14:paraId="3DDF721C" w14:textId="3D0E94B1" w:rsidR="00E05533" w:rsidRPr="0044490D" w:rsidRDefault="004E6AD9" w:rsidP="0011505C">
      <w:pPr>
        <w:ind w:left="720"/>
      </w:pPr>
      <w:r>
        <w:t>T</w:t>
      </w:r>
      <w:r w:rsidR="00E05533" w:rsidRPr="0044490D">
        <w:t xml:space="preserve">he safety profile of PXVX0200 was favourable and only significantly different from placebo in one respect: the incidence of diarrhea recorded as solicited reactogenicity was 3.62% (115/3177) in adult vaccine recipients compared to 1.63% (9/553) in placebo recipients (p=0.0140). For the paediatric study the incidence of diarrhea was 1.5% (7/468) in vaccine recipients compared to 1.3% (1/75) in placebo recipients. This vaccine-associated diarrhea is typically mild and resolves spontaneously within 2 days in </w:t>
      </w:r>
      <w:proofErr w:type="gramStart"/>
      <w:r w:rsidR="00E05533" w:rsidRPr="0044490D">
        <w:t>the majority of</w:t>
      </w:r>
      <w:proofErr w:type="gramEnd"/>
      <w:r w:rsidR="00E05533" w:rsidRPr="0044490D">
        <w:t xml:space="preserve"> cases (ISS Table 20.1.2.8). There were no serious adverse events judged to be related to the administration of vaccine.</w:t>
      </w:r>
    </w:p>
    <w:p w14:paraId="402973C3" w14:textId="7391B859" w:rsidR="00E05533" w:rsidRPr="0044490D" w:rsidRDefault="00E05533" w:rsidP="0011505C">
      <w:pPr>
        <w:ind w:left="720"/>
      </w:pPr>
      <w:r w:rsidRPr="0044490D">
        <w:t>Faecal shedding of vaccine organisms by vaccine recipients and potential transmission to household contacts was examined in the Phase 1 trial (ISS Section 7.2). Shedding of vaccine occurred in a total of 11.1 % (95% CI</w:t>
      </w:r>
      <w:r w:rsidR="005A320C" w:rsidRPr="0044490D">
        <w:t>:</w:t>
      </w:r>
      <w:r w:rsidRPr="0044490D">
        <w:t xml:space="preserve"> 4.2</w:t>
      </w:r>
      <w:r w:rsidR="005A320C" w:rsidRPr="0044490D">
        <w:t xml:space="preserve">, </w:t>
      </w:r>
      <w:r w:rsidRPr="0044490D">
        <w:t>22.6) of vaccine recipients. Shedding increased in frequency over the week following vaccination, reaching a peak at Day 7 when it was detected in 7.3% (95% CI</w:t>
      </w:r>
      <w:r w:rsidR="005A320C" w:rsidRPr="0044490D">
        <w:t>:</w:t>
      </w:r>
      <w:r w:rsidRPr="0044490D">
        <w:t xml:space="preserve"> 2.0</w:t>
      </w:r>
      <w:r w:rsidR="005A320C" w:rsidRPr="0044490D">
        <w:t xml:space="preserve">, </w:t>
      </w:r>
      <w:r w:rsidRPr="0044490D">
        <w:t xml:space="preserve">17.6) of vaccine recipients. There was no </w:t>
      </w:r>
      <w:r w:rsidRPr="0044490D">
        <w:lastRenderedPageBreak/>
        <w:t>microbiological or serological evidence of transmission of PXVX0200 from vaccine recipients to household contacts.</w:t>
      </w:r>
    </w:p>
    <w:p w14:paraId="114AE6A5" w14:textId="34E82EED" w:rsidR="00E05533" w:rsidRPr="0044490D" w:rsidRDefault="00E05533" w:rsidP="0011505C">
      <w:pPr>
        <w:ind w:left="720"/>
      </w:pPr>
      <w:r w:rsidRPr="0044490D">
        <w:t xml:space="preserve">Reactogenicity was characterized by prospectively defining a set of solicited signs and symptoms that </w:t>
      </w:r>
      <w:proofErr w:type="gramStart"/>
      <w:r w:rsidRPr="0044490D">
        <w:t>were considered to be</w:t>
      </w:r>
      <w:proofErr w:type="gramEnd"/>
      <w:r w:rsidRPr="0044490D">
        <w:t xml:space="preserve"> at least possibly related to vaccine or placebo and occurring on the day of vaccination or during the 7-day period following vaccination (Days 1-8). Reactogenicity signs and symptoms after vaccine administration were reported by 50.08% of vaccine and 45.75% of placebo recipients (p=0.0652; ISS Table 20.1.2.1).</w:t>
      </w:r>
      <w:r w:rsidR="006138B8">
        <w:rPr>
          <w:rStyle w:val="FootnoteReference"/>
          <w:sz w:val="20"/>
        </w:rPr>
        <w:footnoteReference w:id="20"/>
      </w:r>
    </w:p>
    <w:p w14:paraId="00B67B94" w14:textId="50A766D2" w:rsidR="00E05533" w:rsidRDefault="00E05533" w:rsidP="0044490D">
      <w:pPr>
        <w:pStyle w:val="Heading5"/>
      </w:pPr>
      <w:r w:rsidRPr="00305BC5">
        <w:t>Delegate</w:t>
      </w:r>
      <w:r w:rsidR="007E40FA">
        <w:t>’s</w:t>
      </w:r>
      <w:r w:rsidRPr="00305BC5">
        <w:t xml:space="preserve"> comments</w:t>
      </w:r>
    </w:p>
    <w:p w14:paraId="73AF9F13" w14:textId="5262BBAA" w:rsidR="00E05533" w:rsidRDefault="00E05533" w:rsidP="00E05533">
      <w:r>
        <w:t xml:space="preserve">The Delegate concurs with the TGA </w:t>
      </w:r>
      <w:r w:rsidR="007E40FA">
        <w:t xml:space="preserve">clinical </w:t>
      </w:r>
      <w:r>
        <w:t xml:space="preserve">evaluator in the overall assessment of safety for </w:t>
      </w:r>
      <w:proofErr w:type="spellStart"/>
      <w:r>
        <w:t>Vaxchora</w:t>
      </w:r>
      <w:proofErr w:type="spellEnd"/>
      <w:r>
        <w:t>:</w:t>
      </w:r>
    </w:p>
    <w:p w14:paraId="33769E17" w14:textId="721E86C2" w:rsidR="00E05533" w:rsidRPr="00F30D70" w:rsidRDefault="00E05533" w:rsidP="0011505C">
      <w:pPr>
        <w:ind w:left="720"/>
      </w:pPr>
      <w:r w:rsidRPr="00F30D70">
        <w:t xml:space="preserve">The portfolio of trials in this Type 1 Application have demonstrated that single dose oral PXVX0200 for active immunisation against cholera, is safe and effective across the age spectrum tested i.e. healthy non-immunocompromised 2 year to </w:t>
      </w:r>
      <w:proofErr w:type="gramStart"/>
      <w:r w:rsidRPr="00F30D70">
        <w:t>64 year olds</w:t>
      </w:r>
      <w:proofErr w:type="gramEnd"/>
      <w:r w:rsidRPr="00F30D70">
        <w:t xml:space="preserve">. All trials were carried out in cholera non-endemic countries (predominantly the USA), and this vaccine is for those living in non-endemic countries planning to visit countries where there is a risk of </w:t>
      </w:r>
      <w:r w:rsidRPr="00F30D70">
        <w:rPr>
          <w:i/>
          <w:iCs/>
        </w:rPr>
        <w:t>V. cholerae</w:t>
      </w:r>
      <w:r w:rsidRPr="00F30D70">
        <w:t xml:space="preserve"> acquisition which could lead to cholera disease. Just under 4000 subjects have received PXVX0200 (VAXCHORA) in clinical trials since the developmental birth date of 15 March 2012, but post-marketing use indicates far higher numbers, with just under 70,000 doses used according to the </w:t>
      </w:r>
      <w:r w:rsidRPr="003146F3">
        <w:t>most recent PBRER</w:t>
      </w:r>
      <w:r w:rsidR="003146F3">
        <w:t xml:space="preserve"> </w:t>
      </w:r>
      <w:r w:rsidR="003146F3" w:rsidRPr="003146F3">
        <w:t>[periodic benefit-risk evaluation report]</w:t>
      </w:r>
      <w:r w:rsidRPr="003146F3">
        <w:t>, and without any emergent AEs that</w:t>
      </w:r>
      <w:r w:rsidRPr="00F30D70">
        <w:t xml:space="preserve"> would merit a change to the existing label.</w:t>
      </w:r>
    </w:p>
    <w:p w14:paraId="689B9F29" w14:textId="77777777" w:rsidR="00E05533" w:rsidRPr="00305BC5" w:rsidRDefault="00E05533" w:rsidP="0011505C">
      <w:r w:rsidRPr="00305BC5">
        <w:t>The poor palatability for the younger children is a potential issue</w:t>
      </w:r>
      <w:r>
        <w:t xml:space="preserve"> and there is a paucity of data in people </w:t>
      </w:r>
      <w:r w:rsidRPr="00305BC5">
        <w:t>who are immunocompromised</w:t>
      </w:r>
      <w:r>
        <w:t xml:space="preserve">, acknowledging some information in adults living with </w:t>
      </w:r>
      <w:r w:rsidRPr="003146F3">
        <w:t>HIV from a small study conducted in Mali (38 HIV-seropositive adults, 387 HIV-seronegative</w:t>
      </w:r>
      <w:r w:rsidRPr="002A1C9D">
        <w:t xml:space="preserve"> adults</w:t>
      </w:r>
      <w:r>
        <w:t>).</w:t>
      </w:r>
      <w:r>
        <w:rPr>
          <w:rStyle w:val="FootnoteReference"/>
        </w:rPr>
        <w:footnoteReference w:id="21"/>
      </w:r>
    </w:p>
    <w:p w14:paraId="2858B006" w14:textId="77777777" w:rsidR="00C22214" w:rsidRDefault="00C22214" w:rsidP="00C22214">
      <w:pPr>
        <w:pStyle w:val="Heading3"/>
        <w:rPr>
          <w:lang w:eastAsia="en-AU"/>
        </w:rPr>
      </w:pPr>
      <w:bookmarkStart w:id="59" w:name="_Toc314842514"/>
      <w:bookmarkStart w:id="60" w:name="_Toc103679298"/>
      <w:bookmarkStart w:id="61" w:name="_Toc182833142"/>
      <w:r>
        <w:rPr>
          <w:lang w:eastAsia="en-AU"/>
        </w:rPr>
        <w:t>Risk management plan</w:t>
      </w:r>
      <w:bookmarkEnd w:id="59"/>
      <w:bookmarkEnd w:id="60"/>
      <w:bookmarkEnd w:id="61"/>
    </w:p>
    <w:p w14:paraId="39F3CD1D" w14:textId="67F90B22" w:rsidR="0072003B" w:rsidRPr="00BD5DBD" w:rsidRDefault="00C22214" w:rsidP="0011505C">
      <w:bookmarkStart w:id="62" w:name="_Toc247691531"/>
      <w:bookmarkStart w:id="63" w:name="_Toc314842515"/>
      <w:r w:rsidRPr="00BD5DBD">
        <w:t xml:space="preserve">The summary of safety concerns and their associated risk monitoring and mitigation strategies are </w:t>
      </w:r>
      <w:r w:rsidR="000206CE">
        <w:t>presented</w:t>
      </w:r>
      <w:r w:rsidRPr="00BD5DBD">
        <w:t xml:space="preserve"> in</w:t>
      </w:r>
      <w:r w:rsidR="003B149C">
        <w:t xml:space="preserve"> </w:t>
      </w:r>
      <w:r w:rsidR="003B149C" w:rsidRPr="003B149C">
        <w:fldChar w:fldCharType="begin"/>
      </w:r>
      <w:r w:rsidR="003B149C" w:rsidRPr="003B149C">
        <w:instrText xml:space="preserve"> REF _Ref97629131 \h </w:instrText>
      </w:r>
      <w:r w:rsidR="003B149C">
        <w:instrText xml:space="preserve"> \* MERGEFORMAT </w:instrText>
      </w:r>
      <w:r w:rsidR="003B149C" w:rsidRPr="003B149C">
        <w:fldChar w:fldCharType="separate"/>
      </w:r>
      <w:r w:rsidR="000206CE" w:rsidRPr="000206CE">
        <w:t xml:space="preserve">Table </w:t>
      </w:r>
      <w:r w:rsidR="000206CE" w:rsidRPr="000206CE">
        <w:rPr>
          <w:noProof/>
        </w:rPr>
        <w:t>9</w:t>
      </w:r>
      <w:r w:rsidR="003B149C" w:rsidRPr="003B149C">
        <w:fldChar w:fldCharType="end"/>
      </w:r>
      <w:r w:rsidR="008C49C6" w:rsidRPr="003B149C">
        <w:t>.</w:t>
      </w:r>
      <w:r w:rsidR="0072003B" w:rsidRPr="00BD5DBD">
        <w:t xml:space="preserve"> The TGA</w:t>
      </w:r>
      <w:r w:rsidR="00C07551" w:rsidRPr="00BD5DBD">
        <w:t xml:space="preserve"> may</w:t>
      </w:r>
      <w:r w:rsidR="0072003B" w:rsidRPr="00BD5DBD">
        <w:t xml:space="preserve"> request an updated </w:t>
      </w:r>
      <w:r w:rsidR="006A1FE0">
        <w:t>risk management plan (</w:t>
      </w:r>
      <w:r w:rsidR="0072003B" w:rsidRPr="00BD5DBD">
        <w:t>RMP</w:t>
      </w:r>
      <w:r w:rsidR="006A1FE0">
        <w:t>)</w:t>
      </w:r>
      <w:r w:rsidR="0072003B" w:rsidRPr="00BD5DBD">
        <w:t xml:space="preserve"> at any stage of a product's </w:t>
      </w:r>
      <w:proofErr w:type="gramStart"/>
      <w:r w:rsidR="0072003B" w:rsidRPr="00BD5DBD">
        <w:t>life-cycle</w:t>
      </w:r>
      <w:proofErr w:type="gramEnd"/>
      <w:r w:rsidR="0072003B" w:rsidRPr="00BD5DBD">
        <w:t>, during both the pre-approval and post-approval phases.</w:t>
      </w:r>
    </w:p>
    <w:p w14:paraId="56B51A93" w14:textId="5CB2559F" w:rsidR="006A277A" w:rsidRDefault="00C22214" w:rsidP="00C22214">
      <w:pPr>
        <w:pStyle w:val="TableTitle"/>
      </w:pPr>
      <w:bookmarkStart w:id="64" w:name="_Ref97629131"/>
      <w:r>
        <w:t xml:space="preserve">Table </w:t>
      </w:r>
      <w:r>
        <w:fldChar w:fldCharType="begin"/>
      </w:r>
      <w:r>
        <w:instrText xml:space="preserve"> SEQ Table \* ARABIC </w:instrText>
      </w:r>
      <w:r>
        <w:fldChar w:fldCharType="separate"/>
      </w:r>
      <w:r w:rsidR="000206CE">
        <w:rPr>
          <w:noProof/>
        </w:rPr>
        <w:t>9</w:t>
      </w:r>
      <w:r>
        <w:rPr>
          <w:noProof/>
        </w:rPr>
        <w:fldChar w:fldCharType="end"/>
      </w:r>
      <w:bookmarkEnd w:id="64"/>
      <w:r>
        <w:t>: Summary of safety concerns</w:t>
      </w:r>
    </w:p>
    <w:tbl>
      <w:tblPr>
        <w:tblStyle w:val="TableTGAblue2023"/>
        <w:tblW w:w="9067" w:type="dxa"/>
        <w:tblLayout w:type="fixed"/>
        <w:tblLook w:val="04A0" w:firstRow="1" w:lastRow="0" w:firstColumn="1" w:lastColumn="0" w:noHBand="0" w:noVBand="1"/>
      </w:tblPr>
      <w:tblGrid>
        <w:gridCol w:w="2405"/>
        <w:gridCol w:w="1559"/>
        <w:gridCol w:w="1134"/>
        <w:gridCol w:w="1418"/>
        <w:gridCol w:w="1134"/>
        <w:gridCol w:w="1417"/>
      </w:tblGrid>
      <w:tr w:rsidR="00FE2148" w:rsidRPr="007A1992" w14:paraId="507EA38A" w14:textId="77777777" w:rsidTr="00A61149">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36BAD03B" w14:textId="77777777" w:rsidR="00FE2148" w:rsidRPr="00127A74" w:rsidRDefault="00FE2148" w:rsidP="00A61149">
            <w:r w:rsidRPr="00127A74">
              <w:t>Summary of safety concerns</w:t>
            </w:r>
          </w:p>
        </w:tc>
        <w:tc>
          <w:tcPr>
            <w:tcW w:w="2552" w:type="dxa"/>
            <w:gridSpan w:val="2"/>
          </w:tcPr>
          <w:p w14:paraId="37D347A4" w14:textId="77777777" w:rsidR="00FE2148" w:rsidRPr="00127A74" w:rsidRDefault="00FE2148" w:rsidP="00A61149">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3F70411C" w14:textId="77777777" w:rsidR="00FE2148" w:rsidRPr="00127A74" w:rsidRDefault="00FE2148" w:rsidP="00A61149">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FE2148" w:rsidRPr="007A1992" w14:paraId="0B282E44" w14:textId="77777777" w:rsidTr="00A61149">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2554D334" w14:textId="77777777" w:rsidR="00FE2148" w:rsidRPr="00127A74" w:rsidRDefault="00FE2148" w:rsidP="00A61149"/>
        </w:tc>
        <w:tc>
          <w:tcPr>
            <w:tcW w:w="1134" w:type="dxa"/>
            <w:shd w:val="clear" w:color="auto" w:fill="DEEAF6"/>
          </w:tcPr>
          <w:p w14:paraId="42374536" w14:textId="77777777" w:rsidR="00FE2148" w:rsidRPr="00127A74" w:rsidRDefault="00FE2148" w:rsidP="00A61149">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5D6701DB" w14:textId="77777777" w:rsidR="00FE2148" w:rsidRPr="00127A74" w:rsidRDefault="00FE2148" w:rsidP="00A61149">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3BF1536" w14:textId="77777777" w:rsidR="00FE2148" w:rsidRPr="00127A74" w:rsidRDefault="00FE2148" w:rsidP="00A61149">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649D8C9C" w14:textId="77777777" w:rsidR="00FE2148" w:rsidRPr="00127A74" w:rsidRDefault="00FE2148" w:rsidP="00A61149">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FE2148" w:rsidRPr="007A1992" w14:paraId="521873A5" w14:textId="77777777" w:rsidTr="0063310D">
        <w:trPr>
          <w:trHeight w:val="137"/>
        </w:trPr>
        <w:tc>
          <w:tcPr>
            <w:cnfStyle w:val="001000000000" w:firstRow="0" w:lastRow="0" w:firstColumn="1" w:lastColumn="0" w:oddVBand="0" w:evenVBand="0" w:oddHBand="0" w:evenHBand="0" w:firstRowFirstColumn="0" w:firstRowLastColumn="0" w:lastRowFirstColumn="0" w:lastRowLastColumn="0"/>
            <w:tcW w:w="2405" w:type="dxa"/>
          </w:tcPr>
          <w:p w14:paraId="1F83A845" w14:textId="77777777" w:rsidR="00FE2148" w:rsidRPr="00127A74" w:rsidRDefault="00FE2148" w:rsidP="00A61149">
            <w:pPr>
              <w:rPr>
                <w:b/>
                <w:bCs/>
              </w:rPr>
            </w:pPr>
            <w:r w:rsidRPr="00127A74">
              <w:rPr>
                <w:b/>
                <w:bCs/>
              </w:rPr>
              <w:t>Important identified risks</w:t>
            </w:r>
          </w:p>
        </w:tc>
        <w:tc>
          <w:tcPr>
            <w:tcW w:w="1559" w:type="dxa"/>
          </w:tcPr>
          <w:p w14:paraId="18DB1012" w14:textId="49B5368A"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27045470" w14:textId="77777777" w:rsidR="00FE2148" w:rsidRPr="00127A74" w:rsidRDefault="00FE2148" w:rsidP="00A61149">
            <w:pPr>
              <w:cnfStyle w:val="000000000000" w:firstRow="0" w:lastRow="0" w:firstColumn="0" w:lastColumn="0" w:oddVBand="0" w:evenVBand="0" w:oddHBand="0" w:evenHBand="0" w:firstRowFirstColumn="0" w:firstRowLastColumn="0" w:lastRowFirstColumn="0" w:lastRowLastColumn="0"/>
            </w:pPr>
          </w:p>
        </w:tc>
        <w:tc>
          <w:tcPr>
            <w:tcW w:w="1418" w:type="dxa"/>
          </w:tcPr>
          <w:p w14:paraId="6C28149E" w14:textId="77777777" w:rsidR="00FE2148" w:rsidRPr="00127A74" w:rsidRDefault="00FE2148" w:rsidP="00A61149">
            <w:pPr>
              <w:cnfStyle w:val="000000000000" w:firstRow="0" w:lastRow="0" w:firstColumn="0" w:lastColumn="0" w:oddVBand="0" w:evenVBand="0" w:oddHBand="0" w:evenHBand="0" w:firstRowFirstColumn="0" w:firstRowLastColumn="0" w:lastRowFirstColumn="0" w:lastRowLastColumn="0"/>
            </w:pPr>
          </w:p>
        </w:tc>
        <w:tc>
          <w:tcPr>
            <w:tcW w:w="1134" w:type="dxa"/>
          </w:tcPr>
          <w:p w14:paraId="58ABD99F" w14:textId="77777777" w:rsidR="00FE2148" w:rsidRPr="00127A74" w:rsidRDefault="00FE2148" w:rsidP="00A61149">
            <w:pPr>
              <w:cnfStyle w:val="000000000000" w:firstRow="0" w:lastRow="0" w:firstColumn="0" w:lastColumn="0" w:oddVBand="0" w:evenVBand="0" w:oddHBand="0" w:evenHBand="0" w:firstRowFirstColumn="0" w:firstRowLastColumn="0" w:lastRowFirstColumn="0" w:lastRowLastColumn="0"/>
            </w:pPr>
          </w:p>
        </w:tc>
        <w:tc>
          <w:tcPr>
            <w:tcW w:w="1417" w:type="dxa"/>
          </w:tcPr>
          <w:p w14:paraId="53C89C13" w14:textId="77777777" w:rsidR="00FE2148" w:rsidRPr="00127A74" w:rsidRDefault="00FE2148" w:rsidP="00A61149">
            <w:pPr>
              <w:cnfStyle w:val="000000000000" w:firstRow="0" w:lastRow="0" w:firstColumn="0" w:lastColumn="0" w:oddVBand="0" w:evenVBand="0" w:oddHBand="0" w:evenHBand="0" w:firstRowFirstColumn="0" w:firstRowLastColumn="0" w:lastRowFirstColumn="0" w:lastRowLastColumn="0"/>
            </w:pPr>
          </w:p>
        </w:tc>
      </w:tr>
      <w:tr w:rsidR="00FE2148" w:rsidRPr="007A1992" w14:paraId="60DA327B" w14:textId="77777777" w:rsidTr="0063310D">
        <w:trPr>
          <w:trHeight w:val="159"/>
        </w:trPr>
        <w:tc>
          <w:tcPr>
            <w:cnfStyle w:val="001000000000" w:firstRow="0" w:lastRow="0" w:firstColumn="1" w:lastColumn="0" w:oddVBand="0" w:evenVBand="0" w:oddHBand="0" w:evenHBand="0" w:firstRowFirstColumn="0" w:firstRowLastColumn="0" w:lastRowFirstColumn="0" w:lastRowLastColumn="0"/>
            <w:tcW w:w="2405" w:type="dxa"/>
          </w:tcPr>
          <w:p w14:paraId="76DFD1C3" w14:textId="77777777" w:rsidR="00FE2148" w:rsidRPr="00127A74" w:rsidRDefault="00FE2148" w:rsidP="00A61149">
            <w:pPr>
              <w:rPr>
                <w:b/>
                <w:bCs/>
              </w:rPr>
            </w:pPr>
            <w:r w:rsidRPr="00127A74">
              <w:rPr>
                <w:b/>
                <w:bCs/>
              </w:rPr>
              <w:t>Important potential risks</w:t>
            </w:r>
          </w:p>
        </w:tc>
        <w:tc>
          <w:tcPr>
            <w:tcW w:w="1559" w:type="dxa"/>
          </w:tcPr>
          <w:p w14:paraId="037F2A9E" w14:textId="065C9FFB"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t>Medication errors</w:t>
            </w:r>
          </w:p>
        </w:tc>
        <w:tc>
          <w:tcPr>
            <w:tcW w:w="1134" w:type="dxa"/>
          </w:tcPr>
          <w:p w14:paraId="40929DC8" w14:textId="27EC7686"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sym w:font="Wingdings" w:char="F0FC"/>
            </w:r>
          </w:p>
        </w:tc>
        <w:tc>
          <w:tcPr>
            <w:tcW w:w="1418" w:type="dxa"/>
          </w:tcPr>
          <w:p w14:paraId="53BBC5D7" w14:textId="78E36908" w:rsidR="00FE2148" w:rsidRPr="00127A74" w:rsidRDefault="00257A72" w:rsidP="00A61149">
            <w:pP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65A1AE2F" w14:textId="7AB2C218"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sym w:font="Wingdings" w:char="F0FC"/>
            </w:r>
          </w:p>
        </w:tc>
        <w:tc>
          <w:tcPr>
            <w:tcW w:w="1417" w:type="dxa"/>
          </w:tcPr>
          <w:p w14:paraId="06A41C31" w14:textId="23C9500B" w:rsidR="00FE2148" w:rsidRPr="00127A74" w:rsidRDefault="00257A72" w:rsidP="00A61149">
            <w:pPr>
              <w:cnfStyle w:val="000000000000" w:firstRow="0" w:lastRow="0" w:firstColumn="0" w:lastColumn="0" w:oddVBand="0" w:evenVBand="0" w:oddHBand="0" w:evenHBand="0" w:firstRowFirstColumn="0" w:firstRowLastColumn="0" w:lastRowFirstColumn="0" w:lastRowLastColumn="0"/>
            </w:pPr>
            <w:r>
              <w:t>_</w:t>
            </w:r>
          </w:p>
        </w:tc>
      </w:tr>
      <w:tr w:rsidR="00FE2148" w:rsidRPr="007A1992" w14:paraId="42F86D7F" w14:textId="77777777" w:rsidTr="0063310D">
        <w:trPr>
          <w:trHeight w:val="178"/>
        </w:trPr>
        <w:tc>
          <w:tcPr>
            <w:cnfStyle w:val="001000000000" w:firstRow="0" w:lastRow="0" w:firstColumn="1" w:lastColumn="0" w:oddVBand="0" w:evenVBand="0" w:oddHBand="0" w:evenHBand="0" w:firstRowFirstColumn="0" w:firstRowLastColumn="0" w:lastRowFirstColumn="0" w:lastRowLastColumn="0"/>
            <w:tcW w:w="2405" w:type="dxa"/>
          </w:tcPr>
          <w:p w14:paraId="51673ACC" w14:textId="77777777" w:rsidR="00FE2148" w:rsidRPr="00127A74" w:rsidRDefault="00FE2148" w:rsidP="00A61149">
            <w:pPr>
              <w:rPr>
                <w:b/>
                <w:bCs/>
              </w:rPr>
            </w:pPr>
            <w:r w:rsidRPr="00127A74">
              <w:rPr>
                <w:b/>
                <w:bCs/>
              </w:rPr>
              <w:lastRenderedPageBreak/>
              <w:t>Missing information</w:t>
            </w:r>
          </w:p>
        </w:tc>
        <w:tc>
          <w:tcPr>
            <w:tcW w:w="1559" w:type="dxa"/>
          </w:tcPr>
          <w:p w14:paraId="004783F2" w14:textId="2A578D9B"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t>Use during pregnancy</w:t>
            </w:r>
          </w:p>
        </w:tc>
        <w:tc>
          <w:tcPr>
            <w:tcW w:w="1134" w:type="dxa"/>
          </w:tcPr>
          <w:p w14:paraId="529D9A9A" w14:textId="4B1B8B10"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sym w:font="Wingdings" w:char="F0FC"/>
            </w:r>
          </w:p>
        </w:tc>
        <w:tc>
          <w:tcPr>
            <w:tcW w:w="1418" w:type="dxa"/>
          </w:tcPr>
          <w:p w14:paraId="0340EEED" w14:textId="47415736" w:rsidR="00FE2148" w:rsidRPr="00127A74" w:rsidRDefault="00257A72" w:rsidP="00A61149">
            <w:pP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6D1AA7F4" w14:textId="36CD1864" w:rsidR="00FE2148" w:rsidRPr="00127A74" w:rsidRDefault="0063310D" w:rsidP="00A61149">
            <w:pPr>
              <w:cnfStyle w:val="000000000000" w:firstRow="0" w:lastRow="0" w:firstColumn="0" w:lastColumn="0" w:oddVBand="0" w:evenVBand="0" w:oddHBand="0" w:evenHBand="0" w:firstRowFirstColumn="0" w:firstRowLastColumn="0" w:lastRowFirstColumn="0" w:lastRowLastColumn="0"/>
            </w:pPr>
            <w:r>
              <w:sym w:font="Wingdings" w:char="F0FC"/>
            </w:r>
          </w:p>
        </w:tc>
        <w:tc>
          <w:tcPr>
            <w:tcW w:w="1417" w:type="dxa"/>
          </w:tcPr>
          <w:p w14:paraId="32AA1BC7" w14:textId="30BB7D79" w:rsidR="00FE2148" w:rsidRPr="00127A74" w:rsidRDefault="00257A72" w:rsidP="00A61149">
            <w:pPr>
              <w:cnfStyle w:val="000000000000" w:firstRow="0" w:lastRow="0" w:firstColumn="0" w:lastColumn="0" w:oddVBand="0" w:evenVBand="0" w:oddHBand="0" w:evenHBand="0" w:firstRowFirstColumn="0" w:firstRowLastColumn="0" w:lastRowFirstColumn="0" w:lastRowLastColumn="0"/>
            </w:pPr>
            <w:r>
              <w:t>_</w:t>
            </w:r>
          </w:p>
        </w:tc>
      </w:tr>
    </w:tbl>
    <w:p w14:paraId="752E5220" w14:textId="440ECC44" w:rsidR="00C7448D" w:rsidRDefault="00C7448D" w:rsidP="0011505C">
      <w:pPr>
        <w:spacing w:before="120"/>
      </w:pPr>
      <w:r>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65" w:name="_Toc103679299"/>
      <w:bookmarkStart w:id="66" w:name="_Toc182833143"/>
      <w:r>
        <w:t>Risk-benefit analysis</w:t>
      </w:r>
      <w:bookmarkEnd w:id="62"/>
      <w:bookmarkEnd w:id="63"/>
      <w:bookmarkEnd w:id="65"/>
      <w:bookmarkEnd w:id="66"/>
    </w:p>
    <w:p w14:paraId="77DE2655" w14:textId="77777777" w:rsidR="00C22214" w:rsidRDefault="00C22214" w:rsidP="00C22214">
      <w:pPr>
        <w:pStyle w:val="Heading4"/>
      </w:pPr>
      <w:bookmarkStart w:id="67" w:name="_Toc98931932"/>
      <w:bookmarkStart w:id="68" w:name="_Toc182833144"/>
      <w:r>
        <w:t>Delegate’s considerations</w:t>
      </w:r>
      <w:bookmarkEnd w:id="67"/>
      <w:bookmarkEnd w:id="68"/>
    </w:p>
    <w:p w14:paraId="0BC6F392" w14:textId="24FCB774" w:rsidR="00E313E1" w:rsidRPr="00001AE5" w:rsidRDefault="00E313E1" w:rsidP="00001AE5">
      <w:r w:rsidRPr="00001AE5">
        <w:t xml:space="preserve">This submission was an Access Workshare application with Health Canada. The TGA completed the </w:t>
      </w:r>
      <w:r w:rsidR="00FC7C45">
        <w:t>Clinical</w:t>
      </w:r>
      <w:r w:rsidRPr="00001AE5">
        <w:t xml:space="preserve"> evaluation and Health Canada completed the </w:t>
      </w:r>
      <w:r w:rsidR="00FC7C45">
        <w:t>Quality</w:t>
      </w:r>
      <w:r w:rsidRPr="00001AE5">
        <w:t xml:space="preserve"> evaluation. The TGA </w:t>
      </w:r>
      <w:r w:rsidR="00FC7C45">
        <w:t>Quality</w:t>
      </w:r>
      <w:r w:rsidRPr="00001AE5">
        <w:t xml:space="preserve"> evaluator provided a detailed summary for the Delegate and </w:t>
      </w:r>
      <w:r w:rsidR="00FC7C45">
        <w:t xml:space="preserve">the </w:t>
      </w:r>
      <w:r w:rsidRPr="00001AE5">
        <w:t>ACV which included quality conditions relevant to use of this vaccine in Australia.</w:t>
      </w:r>
    </w:p>
    <w:p w14:paraId="6A7ADAC3" w14:textId="2AD3C8BB" w:rsidR="00E313E1" w:rsidRPr="00001AE5" w:rsidRDefault="00E313E1" w:rsidP="00001AE5">
      <w:r w:rsidRPr="00001AE5">
        <w:t xml:space="preserve">Both agencies worked collaboratively and were satisfied with the quality of the respective evaluations. The TGA acknowledges the detailed review of the </w:t>
      </w:r>
      <w:r w:rsidR="006A1FE0">
        <w:t>Product Information (</w:t>
      </w:r>
      <w:r w:rsidRPr="00001AE5">
        <w:t>PI</w:t>
      </w:r>
      <w:r w:rsidR="006A1FE0">
        <w:t>)</w:t>
      </w:r>
      <w:r w:rsidRPr="00001AE5">
        <w:t xml:space="preserve"> and </w:t>
      </w:r>
      <w:r w:rsidR="006A1FE0">
        <w:t>Consumer Medicine Information (</w:t>
      </w:r>
      <w:r w:rsidRPr="00001AE5">
        <w:t>CMI</w:t>
      </w:r>
      <w:r w:rsidR="006A1FE0">
        <w:t>)</w:t>
      </w:r>
      <w:r w:rsidRPr="00001AE5">
        <w:t xml:space="preserve"> undertaken by Health Canada, also noting that some PI and CMI content may differ from that relevant to the intended use of this vaccine to Australia.</w:t>
      </w:r>
    </w:p>
    <w:p w14:paraId="062769EC" w14:textId="22B19015" w:rsidR="00E313E1" w:rsidRPr="00001AE5" w:rsidRDefault="00E313E1" w:rsidP="00001AE5">
      <w:r w:rsidRPr="00001AE5">
        <w:t xml:space="preserve">The submitted data are sufficient to recommend approval. In recommending approval, the Delegate acknowledges the previous history of use of the original marketed formulation of </w:t>
      </w:r>
      <w:proofErr w:type="spellStart"/>
      <w:r w:rsidRPr="008915FA">
        <w:t>Orochol</w:t>
      </w:r>
      <w:proofErr w:type="spellEnd"/>
      <w:r w:rsidRPr="008915FA">
        <w:t>, in addition to the more recent data for the reformulated vaccine</w:t>
      </w:r>
      <w:r w:rsidR="008E515A" w:rsidRPr="008915FA">
        <w:t>,</w:t>
      </w:r>
      <w:r w:rsidR="008E515A" w:rsidRPr="008915FA">
        <w:rPr>
          <w:vertAlign w:val="superscript"/>
        </w:rPr>
        <w:fldChar w:fldCharType="begin"/>
      </w:r>
      <w:r w:rsidR="008E515A" w:rsidRPr="008915FA">
        <w:rPr>
          <w:vertAlign w:val="superscript"/>
        </w:rPr>
        <w:instrText xml:space="preserve"> NOTEREF _Ref153441332 \h  \* MERGEFORMAT </w:instrText>
      </w:r>
      <w:r w:rsidR="008E515A" w:rsidRPr="008915FA">
        <w:rPr>
          <w:vertAlign w:val="superscript"/>
        </w:rPr>
      </w:r>
      <w:r w:rsidR="008E515A" w:rsidRPr="008915FA">
        <w:rPr>
          <w:vertAlign w:val="superscript"/>
        </w:rPr>
        <w:fldChar w:fldCharType="separate"/>
      </w:r>
      <w:r w:rsidR="000206CE">
        <w:rPr>
          <w:vertAlign w:val="superscript"/>
        </w:rPr>
        <w:t>7</w:t>
      </w:r>
      <w:r w:rsidR="008E515A" w:rsidRPr="008915FA">
        <w:rPr>
          <w:vertAlign w:val="superscript"/>
        </w:rPr>
        <w:fldChar w:fldCharType="end"/>
      </w:r>
      <w:r w:rsidRPr="008915FA">
        <w:t xml:space="preserve"> and the positive recommendations of the FDA, </w:t>
      </w:r>
      <w:r w:rsidR="007E40FA">
        <w:t xml:space="preserve">the </w:t>
      </w:r>
      <w:r w:rsidRPr="008915FA">
        <w:t>EMA and Health Canada.</w:t>
      </w:r>
    </w:p>
    <w:p w14:paraId="3117389C" w14:textId="257BEA93" w:rsidR="00E313E1" w:rsidRPr="00001AE5" w:rsidRDefault="00E313E1" w:rsidP="00001AE5">
      <w:r w:rsidRPr="00001AE5">
        <w:t xml:space="preserve">While it is acknowledged that </w:t>
      </w:r>
      <w:proofErr w:type="spellStart"/>
      <w:r w:rsidRPr="00001AE5">
        <w:t>Vaxchora</w:t>
      </w:r>
      <w:proofErr w:type="spellEnd"/>
      <w:r w:rsidRPr="00001AE5">
        <w:t xml:space="preserve"> is given </w:t>
      </w:r>
      <w:r w:rsidR="008A2977">
        <w:t xml:space="preserve">as </w:t>
      </w:r>
      <w:r w:rsidRPr="00001AE5">
        <w:t xml:space="preserve">a single dose and is potentially more convenient than currently available vaccines which require multiple doses, there are significant limitations to the data. These include absence of efficacy data in people living in cholera endemic areas and lack of protection against </w:t>
      </w:r>
      <w:r w:rsidRPr="00E45112">
        <w:rPr>
          <w:i/>
          <w:iCs/>
        </w:rPr>
        <w:t>V. cholerae</w:t>
      </w:r>
      <w:r w:rsidRPr="00001AE5">
        <w:t xml:space="preserve"> serogroup O139 or other non-O1 serogroups. The duration of protection with </w:t>
      </w:r>
      <w:proofErr w:type="spellStart"/>
      <w:r w:rsidRPr="00001AE5">
        <w:t>Vaxchora</w:t>
      </w:r>
      <w:proofErr w:type="spellEnd"/>
      <w:r w:rsidRPr="00001AE5">
        <w:t xml:space="preserve"> is unknown. The persistence of serum </w:t>
      </w:r>
      <w:proofErr w:type="spellStart"/>
      <w:r w:rsidRPr="00001AE5">
        <w:t>vibriocidal</w:t>
      </w:r>
      <w:proofErr w:type="spellEnd"/>
      <w:r w:rsidRPr="00001AE5">
        <w:t xml:space="preserve"> antibody response was assessed in a subset of adolescents 12</w:t>
      </w:r>
      <w:r w:rsidR="0014273B">
        <w:t xml:space="preserve"> to </w:t>
      </w:r>
      <w:r w:rsidRPr="00001AE5">
        <w:t xml:space="preserve">17 years of age in the Phase </w:t>
      </w:r>
      <w:r w:rsidR="0014273B">
        <w:t>IV</w:t>
      </w:r>
      <w:r w:rsidRPr="00001AE5">
        <w:t xml:space="preserve"> study where seroconversion was observed in 64.5% of participants </w:t>
      </w:r>
      <w:r w:rsidR="0014273B">
        <w:t>2</w:t>
      </w:r>
      <w:r w:rsidRPr="00001AE5">
        <w:t xml:space="preserve"> years post-vaccination. There is a paucity of data in people who are immunosuppressed.</w:t>
      </w:r>
    </w:p>
    <w:p w14:paraId="62E38326" w14:textId="77777777" w:rsidR="00E313E1" w:rsidRPr="00001AE5" w:rsidRDefault="00E313E1" w:rsidP="00001AE5">
      <w:r w:rsidRPr="00001AE5">
        <w:t>No comparative study with any currently approved cholera vaccine has been conducted. There are no data available regarding the need for revaccination. Only single dose administration was studied and the strength of an anamnestic response with a subsequent dose after the first priming dose has not been quantified.</w:t>
      </w:r>
    </w:p>
    <w:p w14:paraId="3916F296" w14:textId="77777777" w:rsidR="00C22214" w:rsidRDefault="00C22214" w:rsidP="00C22214">
      <w:pPr>
        <w:pStyle w:val="Heading4"/>
      </w:pPr>
      <w:bookmarkStart w:id="69" w:name="_Toc98931933"/>
      <w:bookmarkStart w:id="70" w:name="_Toc182833145"/>
      <w:r w:rsidRPr="00D23139">
        <w:t>Proposed action</w:t>
      </w:r>
      <w:bookmarkEnd w:id="69"/>
      <w:bookmarkEnd w:id="70"/>
    </w:p>
    <w:p w14:paraId="30AB50A7" w14:textId="77777777" w:rsidR="00001AE5" w:rsidRDefault="00001AE5" w:rsidP="00001AE5">
      <w:pPr>
        <w:rPr>
          <w:i/>
        </w:rPr>
      </w:pPr>
      <w:r w:rsidRPr="00D736FC">
        <w:t>The submitted dat</w:t>
      </w:r>
      <w:r>
        <w:t>a</w:t>
      </w:r>
      <w:r w:rsidRPr="00D736FC">
        <w:t xml:space="preserve"> are sufficient to recommend registration of </w:t>
      </w:r>
      <w:proofErr w:type="spellStart"/>
      <w:r w:rsidRPr="00D736FC">
        <w:t>Vaxchora</w:t>
      </w:r>
      <w:proofErr w:type="spellEnd"/>
      <w:r w:rsidRPr="00D736FC">
        <w:t xml:space="preserve"> in Australia</w:t>
      </w:r>
      <w:r>
        <w:t>. Registration is subject to satisfactory implementation of the RMP and Quality conditions of registration, and resolution of the product information.</w:t>
      </w:r>
    </w:p>
    <w:p w14:paraId="3741E3EB" w14:textId="77777777" w:rsidR="00001AE5" w:rsidRPr="00D736FC" w:rsidRDefault="00001AE5" w:rsidP="00001AE5">
      <w:r>
        <w:t xml:space="preserve">The wording of the indication for use of </w:t>
      </w:r>
      <w:proofErr w:type="spellStart"/>
      <w:r>
        <w:t>Vaxchora</w:t>
      </w:r>
      <w:proofErr w:type="spellEnd"/>
      <w:r>
        <w:t xml:space="preserve"> in Australia will be finalised following ACV advice.</w:t>
      </w:r>
    </w:p>
    <w:p w14:paraId="318CFABC" w14:textId="77777777" w:rsidR="00C22214" w:rsidRPr="00F73346" w:rsidRDefault="00C22214" w:rsidP="00C22214">
      <w:pPr>
        <w:pStyle w:val="Heading4"/>
      </w:pPr>
      <w:bookmarkStart w:id="71" w:name="_Toc98931936"/>
      <w:bookmarkStart w:id="72" w:name="_Toc182833146"/>
      <w:bookmarkStart w:id="73" w:name="_Toc247691532"/>
      <w:bookmarkStart w:id="74" w:name="_Toc314842516"/>
      <w:r w:rsidRPr="00F73346">
        <w:lastRenderedPageBreak/>
        <w:t>Advisory Committee considerations</w:t>
      </w:r>
      <w:bookmarkEnd w:id="71"/>
      <w:bookmarkEnd w:id="72"/>
    </w:p>
    <w:p w14:paraId="087BB9CB" w14:textId="2C80065B" w:rsidR="00C22214" w:rsidRPr="00BD5DBD" w:rsidRDefault="00C22214" w:rsidP="00C22214">
      <w:pPr>
        <w:rPr>
          <w:bCs/>
          <w:szCs w:val="22"/>
        </w:rPr>
      </w:pPr>
      <w:r w:rsidRPr="00BD5DBD">
        <w:rPr>
          <w:bCs/>
          <w:szCs w:val="22"/>
        </w:rPr>
        <w:t xml:space="preserve">The </w:t>
      </w:r>
      <w:hyperlink r:id="rId26" w:history="1">
        <w:r w:rsidR="0083281B">
          <w:rPr>
            <w:rStyle w:val="Hyperlink"/>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51CD8ADC" w14:textId="77777777" w:rsidR="00235F34" w:rsidRPr="00116B8F" w:rsidRDefault="00235F34" w:rsidP="00116B8F">
      <w:pPr>
        <w:pStyle w:val="Numberbullet0"/>
        <w:numPr>
          <w:ilvl w:val="0"/>
          <w:numId w:val="11"/>
        </w:numPr>
        <w:rPr>
          <w:b/>
          <w:bCs/>
          <w:i/>
          <w:iCs/>
        </w:rPr>
      </w:pPr>
      <w:r w:rsidRPr="00116B8F">
        <w:rPr>
          <w:b/>
          <w:bCs/>
          <w:i/>
          <w:iCs/>
        </w:rPr>
        <w:t>Please comment on the wording of the indication appropriate to the intended use of this vaccine in Australia, taking into consideration the wording of overseas product information. What is the view of the ACV in relation to a proposed lack of upper age limit, given the submitted data?</w:t>
      </w:r>
    </w:p>
    <w:p w14:paraId="5554EE5D" w14:textId="77777777" w:rsidR="00235F34" w:rsidRPr="005E08A1" w:rsidRDefault="00235F34" w:rsidP="00235F34">
      <w:r w:rsidRPr="005E08A1">
        <w:t xml:space="preserve">The ACV </w:t>
      </w:r>
      <w:r>
        <w:t>advised that the indication is appropriate for a vaccine administered in Australia for travellers to cholera-affected countries, including the lower age of 2 years and no maximum age.</w:t>
      </w:r>
    </w:p>
    <w:p w14:paraId="36495AD3" w14:textId="77777777" w:rsidR="00235F34" w:rsidRDefault="00235F34" w:rsidP="00235F34">
      <w:r w:rsidRPr="001D38FF">
        <w:t>The</w:t>
      </w:r>
      <w:r>
        <w:t xml:space="preserve"> ACV noted that in Europe the approved vaccine is indicated for ‘adults and children aged 2 years and older’ while in the USA there is an </w:t>
      </w:r>
      <w:r w:rsidRPr="001D38FF">
        <w:t xml:space="preserve">upper age limit </w:t>
      </w:r>
      <w:r>
        <w:t>of 64 years.</w:t>
      </w:r>
    </w:p>
    <w:p w14:paraId="372E1FDA" w14:textId="0EA17E50" w:rsidR="00235F34" w:rsidRPr="008C71FC" w:rsidRDefault="00235F34" w:rsidP="00235F34">
      <w:r w:rsidRPr="008C71FC">
        <w:t xml:space="preserve">The ACV noted that </w:t>
      </w:r>
      <w:r w:rsidR="00C142DE">
        <w:t xml:space="preserve">Study </w:t>
      </w:r>
      <w:r w:rsidRPr="008C71FC">
        <w:t>PXVX-VC-200-005 demonstrated that seroconversion at Day 11 post vaccination in adults aged 46</w:t>
      </w:r>
      <w:r w:rsidR="00141C7B">
        <w:t xml:space="preserve"> to </w:t>
      </w:r>
      <w:r w:rsidRPr="008C71FC">
        <w:t>64 years at 90.4% (95% CI</w:t>
      </w:r>
      <w:r w:rsidR="005A320C">
        <w:t>:</w:t>
      </w:r>
      <w:r w:rsidRPr="008C71FC">
        <w:t xml:space="preserve"> 86.4%, 93.5%) was non-inferior to adults aged 18 to 45 years at 93.5% (95% CI</w:t>
      </w:r>
      <w:r w:rsidR="005A320C">
        <w:t>:</w:t>
      </w:r>
      <w:r w:rsidRPr="008C71FC">
        <w:t xml:space="preserve"> 92.5%, 94.4%). As reported by McCarty,</w:t>
      </w:r>
      <w:r w:rsidR="008915FA" w:rsidRPr="008915FA">
        <w:rPr>
          <w:vertAlign w:val="superscript"/>
        </w:rPr>
        <w:fldChar w:fldCharType="begin"/>
      </w:r>
      <w:r w:rsidR="008915FA" w:rsidRPr="008915FA">
        <w:rPr>
          <w:vertAlign w:val="superscript"/>
        </w:rPr>
        <w:instrText xml:space="preserve"> NOTEREF _Ref153441711 \h </w:instrText>
      </w:r>
      <w:r w:rsidR="008915FA">
        <w:rPr>
          <w:vertAlign w:val="superscript"/>
        </w:rPr>
        <w:instrText xml:space="preserve"> \* MERGEFORMAT </w:instrText>
      </w:r>
      <w:r w:rsidR="008915FA" w:rsidRPr="008915FA">
        <w:rPr>
          <w:vertAlign w:val="superscript"/>
        </w:rPr>
      </w:r>
      <w:r w:rsidR="008915FA" w:rsidRPr="008915FA">
        <w:rPr>
          <w:vertAlign w:val="superscript"/>
        </w:rPr>
        <w:fldChar w:fldCharType="separate"/>
      </w:r>
      <w:r w:rsidR="000206CE">
        <w:rPr>
          <w:vertAlign w:val="superscript"/>
        </w:rPr>
        <w:t>17</w:t>
      </w:r>
      <w:r w:rsidR="008915FA" w:rsidRPr="008915FA">
        <w:rPr>
          <w:vertAlign w:val="superscript"/>
        </w:rPr>
        <w:fldChar w:fldCharType="end"/>
      </w:r>
      <w:r w:rsidRPr="008C71FC">
        <w:t xml:space="preserve"> ‘[t]here appeared to be a continuous age-related decline in </w:t>
      </w:r>
      <w:r w:rsidR="008915FA">
        <w:t>[</w:t>
      </w:r>
      <w:r w:rsidR="008915FA" w:rsidRPr="008915FA">
        <w:t xml:space="preserve">serum </w:t>
      </w:r>
      <w:proofErr w:type="spellStart"/>
      <w:r w:rsidR="008915FA" w:rsidRPr="008915FA">
        <w:t>vibriocidal</w:t>
      </w:r>
      <w:proofErr w:type="spellEnd"/>
      <w:r w:rsidR="008915FA" w:rsidRPr="008915FA">
        <w:t xml:space="preserve"> antibody] [</w:t>
      </w:r>
      <w:r w:rsidRPr="008915FA">
        <w:t>SVA</w:t>
      </w:r>
      <w:r w:rsidR="008915FA">
        <w:t>]</w:t>
      </w:r>
      <w:r w:rsidRPr="008C71FC">
        <w:t xml:space="preserve"> seroconversion and geometric mean </w:t>
      </w:r>
      <w:proofErr w:type="spellStart"/>
      <w:r w:rsidRPr="008C71FC">
        <w:t>titers</w:t>
      </w:r>
      <w:proofErr w:type="spellEnd"/>
      <w:r w:rsidRPr="008C71FC">
        <w:t>, but not memory B cell responses, across the 18–64 year age range’.</w:t>
      </w:r>
      <w:r>
        <w:t xml:space="preserve"> The ACV noted that there are very limited data for </w:t>
      </w:r>
      <w:proofErr w:type="spellStart"/>
      <w:r>
        <w:t>Dukoral</w:t>
      </w:r>
      <w:proofErr w:type="spellEnd"/>
      <w:r>
        <w:t xml:space="preserve"> on protective efficacy of the vaccine in subjects aged 65 years and over.</w:t>
      </w:r>
    </w:p>
    <w:p w14:paraId="7F88C7CE" w14:textId="77777777" w:rsidR="00235F34" w:rsidRDefault="00235F34" w:rsidP="00235F34">
      <w:r>
        <w:t xml:space="preserve">However, the 65 years and over age group can be expected to have a higher risk of severe complications if infected by cholera. Higher cholera case fatality rates have been observed in older adults at ages beginning as early as the forties. In post-market monitoring, few adverse events following </w:t>
      </w:r>
      <w:proofErr w:type="spellStart"/>
      <w:r>
        <w:t>Vaxchora</w:t>
      </w:r>
      <w:proofErr w:type="spellEnd"/>
      <w:r>
        <w:t xml:space="preserve"> have been reported in people over 65 years of age; all 9 cases were assessed as non-serious events following immunisation.</w:t>
      </w:r>
    </w:p>
    <w:p w14:paraId="3D663354" w14:textId="27658009" w:rsidR="00235F34" w:rsidRPr="008C71FC" w:rsidRDefault="00235F34" w:rsidP="00235F34">
      <w:r>
        <w:t xml:space="preserve">The ACV advised that </w:t>
      </w:r>
      <w:r w:rsidR="00D24C7F">
        <w:t>overall,</w:t>
      </w:r>
      <w:r>
        <w:t xml:space="preserve"> the benefit risk profile was positive for people aged over 2 years.</w:t>
      </w:r>
    </w:p>
    <w:p w14:paraId="14CC0359" w14:textId="77777777" w:rsidR="00235F34" w:rsidRDefault="00235F34" w:rsidP="00235F34">
      <w:pPr>
        <w:pStyle w:val="Numberbullet0"/>
        <w:numPr>
          <w:ilvl w:val="0"/>
          <w:numId w:val="10"/>
        </w:numPr>
        <w:rPr>
          <w:b/>
          <w:bCs/>
          <w:i/>
          <w:iCs/>
        </w:rPr>
      </w:pPr>
      <w:r w:rsidRPr="00EB161A">
        <w:rPr>
          <w:b/>
          <w:bCs/>
          <w:i/>
          <w:iCs/>
        </w:rPr>
        <w:t xml:space="preserve">Please comment on the dosing and administration section, </w:t>
      </w:r>
      <w:proofErr w:type="gramStart"/>
      <w:r w:rsidRPr="00EB161A">
        <w:rPr>
          <w:b/>
          <w:bCs/>
          <w:i/>
          <w:iCs/>
        </w:rPr>
        <w:t>in light of</w:t>
      </w:r>
      <w:proofErr w:type="gramEnd"/>
      <w:r w:rsidRPr="00EB161A">
        <w:rPr>
          <w:b/>
          <w:bCs/>
          <w:i/>
          <w:iCs/>
        </w:rPr>
        <w:t xml:space="preserve"> the submitted data and intended use of </w:t>
      </w:r>
      <w:proofErr w:type="spellStart"/>
      <w:r w:rsidRPr="00EB161A">
        <w:rPr>
          <w:b/>
          <w:bCs/>
          <w:i/>
          <w:iCs/>
        </w:rPr>
        <w:t>V</w:t>
      </w:r>
      <w:r>
        <w:rPr>
          <w:b/>
          <w:bCs/>
          <w:i/>
          <w:iCs/>
        </w:rPr>
        <w:t>axchora</w:t>
      </w:r>
      <w:proofErr w:type="spellEnd"/>
      <w:r w:rsidRPr="00EB161A">
        <w:rPr>
          <w:b/>
          <w:bCs/>
          <w:i/>
          <w:iCs/>
        </w:rPr>
        <w:t xml:space="preserve"> in Australia.</w:t>
      </w:r>
    </w:p>
    <w:p w14:paraId="71A91B09" w14:textId="03FACEC5" w:rsidR="00235F34" w:rsidRPr="0043147A" w:rsidRDefault="00235F34" w:rsidP="00235F34">
      <w:r>
        <w:t>The ACV noted that the choice of single dose schedule did not appear to arise from a systematic investigation of various vaccine schedules, although dose finding studies were conducted previously, which informed doses used in the trials presented in the dossier.</w:t>
      </w:r>
    </w:p>
    <w:p w14:paraId="7F7F20D3" w14:textId="77777777" w:rsidR="00235F34" w:rsidRPr="0043147A" w:rsidRDefault="00235F34" w:rsidP="00235F34">
      <w:r>
        <w:t>Nonetheless, immunisation with 2 doses has not been shown to increase seroconversion rates.</w:t>
      </w:r>
    </w:p>
    <w:p w14:paraId="4B1B48E5" w14:textId="597E8DBF" w:rsidR="00235F34" w:rsidRPr="0043147A" w:rsidRDefault="00235F34" w:rsidP="00235F34">
      <w:r>
        <w:t xml:space="preserve">The duration of protection provided by </w:t>
      </w:r>
      <w:proofErr w:type="spellStart"/>
      <w:r>
        <w:t>Vaxchora</w:t>
      </w:r>
      <w:proofErr w:type="spellEnd"/>
      <w:r>
        <w:t xml:space="preserve"> is unknown and no studies have been carried out to determine when a booster immunisation may be needed. Data on this issue </w:t>
      </w:r>
      <w:r w:rsidR="008A2977">
        <w:t>are</w:t>
      </w:r>
      <w:r>
        <w:t xml:space="preserve"> likely to arise from vaccine effectiveness studies in endemic or outbreak settings, as well as longer term immunogenicity data.</w:t>
      </w:r>
    </w:p>
    <w:p w14:paraId="70C857F9" w14:textId="77777777" w:rsidR="00235F34" w:rsidRPr="0043147A" w:rsidRDefault="00235F34" w:rsidP="00235F34">
      <w:pPr>
        <w:rPr>
          <w:highlight w:val="yellow"/>
        </w:rPr>
      </w:pPr>
      <w:r w:rsidRPr="0043147A">
        <w:t>The ACV noted that the completion of a vaccination schedule by a single dose vaccine is an advantage for travellers.</w:t>
      </w:r>
    </w:p>
    <w:p w14:paraId="50E3E30B" w14:textId="77777777" w:rsidR="00235F34" w:rsidRDefault="00235F34" w:rsidP="00235F34">
      <w:pPr>
        <w:pStyle w:val="Numberbullet0"/>
        <w:numPr>
          <w:ilvl w:val="0"/>
          <w:numId w:val="10"/>
        </w:numPr>
        <w:rPr>
          <w:b/>
          <w:bCs/>
          <w:i/>
          <w:iCs/>
        </w:rPr>
      </w:pPr>
      <w:r w:rsidRPr="00EB161A">
        <w:rPr>
          <w:b/>
          <w:bCs/>
          <w:i/>
          <w:iCs/>
        </w:rPr>
        <w:t>The committee is requested to provide advice on the content of the final PI and CMI approved by Health Canada and the Delegate’s proposed amendments for Australia.</w:t>
      </w:r>
    </w:p>
    <w:p w14:paraId="5189F2F0" w14:textId="77777777" w:rsidR="00235F34" w:rsidRDefault="00235F34" w:rsidP="00235F34">
      <w:r w:rsidRPr="00C01215">
        <w:t xml:space="preserve">The ACV </w:t>
      </w:r>
      <w:r>
        <w:t xml:space="preserve">suggested improvements to the Product Information to be clearer and accurate in the areas of missing information (for example, use during pregnancy; immunocompromise) and contraindications (for example, concomitant use of immunosuppressive drugs). For example, </w:t>
      </w:r>
      <w:r>
        <w:lastRenderedPageBreak/>
        <w:t>‘</w:t>
      </w:r>
      <w:r w:rsidRPr="00116C20">
        <w:t xml:space="preserve">immunisation with </w:t>
      </w:r>
      <w:proofErr w:type="spellStart"/>
      <w:r w:rsidRPr="00116C20">
        <w:t>Vaxchora</w:t>
      </w:r>
      <w:proofErr w:type="spellEnd"/>
      <w:r w:rsidRPr="00116C20">
        <w:t xml:space="preserve"> vaccine may not provide 100% protection’ should be corrected to ‘immunisation with </w:t>
      </w:r>
      <w:proofErr w:type="spellStart"/>
      <w:r w:rsidRPr="00116C20">
        <w:t>Vaxchora</w:t>
      </w:r>
      <w:proofErr w:type="spellEnd"/>
      <w:r w:rsidRPr="00116C20">
        <w:t xml:space="preserve"> will not provide 100% protection’</w:t>
      </w:r>
      <w:r>
        <w:t xml:space="preserve">, noting that </w:t>
      </w:r>
      <w:proofErr w:type="spellStart"/>
      <w:r>
        <w:t>Vaxchora</w:t>
      </w:r>
      <w:proofErr w:type="spellEnd"/>
      <w:r>
        <w:t xml:space="preserve"> does not </w:t>
      </w:r>
      <w:r w:rsidRPr="007F73F4">
        <w:rPr>
          <w:lang w:val="en-US"/>
        </w:rPr>
        <w:t xml:space="preserve">protect against </w:t>
      </w:r>
      <w:r w:rsidRPr="007F73F4">
        <w:rPr>
          <w:i/>
          <w:iCs/>
          <w:lang w:val="en-US"/>
        </w:rPr>
        <w:t>V. cholerae</w:t>
      </w:r>
      <w:r w:rsidRPr="007F73F4">
        <w:rPr>
          <w:lang w:val="en-US"/>
        </w:rPr>
        <w:t xml:space="preserve"> serogroup O139 or other non-O1 serogroups.</w:t>
      </w:r>
    </w:p>
    <w:p w14:paraId="3439C824" w14:textId="77777777" w:rsidR="00235F34" w:rsidRDefault="00235F34" w:rsidP="00235F34">
      <w:pPr>
        <w:rPr>
          <w:highlight w:val="cyan"/>
        </w:rPr>
      </w:pPr>
      <w:r w:rsidRPr="00C01215">
        <w:t xml:space="preserve">The ACV </w:t>
      </w:r>
      <w:r>
        <w:t xml:space="preserve">supported use of positive advice (for example, </w:t>
      </w:r>
      <w:r w:rsidRPr="00C01215">
        <w:t>‘</w:t>
      </w:r>
      <w:r>
        <w:t>Safe water sources and hygienic food preparation</w:t>
      </w:r>
      <w:r w:rsidRPr="00C01215">
        <w:t xml:space="preserve"> is the </w:t>
      </w:r>
      <w:r>
        <w:t xml:space="preserve">recommended </w:t>
      </w:r>
      <w:r w:rsidRPr="00C01215">
        <w:t>protection against cholera’</w:t>
      </w:r>
      <w:r>
        <w:t xml:space="preserve"> or similar) rather than </w:t>
      </w:r>
      <w:r w:rsidRPr="00C01215">
        <w:t xml:space="preserve">that </w:t>
      </w:r>
      <w:r>
        <w:t>t</w:t>
      </w:r>
      <w:r w:rsidRPr="00C01215">
        <w:t xml:space="preserve">he vaccine </w:t>
      </w:r>
      <w:r>
        <w:t>is secondary to ‘</w:t>
      </w:r>
      <w:r w:rsidRPr="00C01215">
        <w:t xml:space="preserve">standard preventive hygiene </w:t>
      </w:r>
      <w:proofErr w:type="gramStart"/>
      <w:r w:rsidRPr="00C01215">
        <w:t>measures</w:t>
      </w:r>
      <w:r>
        <w:t>’</w:t>
      </w:r>
      <w:proofErr w:type="gramEnd"/>
      <w:r>
        <w:t xml:space="preserve">. The ACV indicated that this may be a useful approach for other </w:t>
      </w:r>
      <w:r>
        <w:rPr>
          <w:szCs w:val="22"/>
        </w:rPr>
        <w:t>vaccines used exclusively for international travellers.</w:t>
      </w:r>
    </w:p>
    <w:p w14:paraId="27BFD696" w14:textId="77777777" w:rsidR="00235F34" w:rsidRDefault="00235F34" w:rsidP="00235F34">
      <w:r>
        <w:t xml:space="preserve">The ACV commented that addition of carbonated water to the effervescent buffer </w:t>
      </w:r>
      <w:r w:rsidRPr="002264C9">
        <w:t>may result in excess frothing, causing the reconstituted product to overflow out of the container</w:t>
      </w:r>
      <w:r>
        <w:t>.</w:t>
      </w:r>
    </w:p>
    <w:p w14:paraId="0597F33D" w14:textId="77777777" w:rsidR="00235F34" w:rsidRDefault="00235F34" w:rsidP="00235F34">
      <w:pPr>
        <w:pStyle w:val="Numberbullet0"/>
        <w:numPr>
          <w:ilvl w:val="0"/>
          <w:numId w:val="10"/>
        </w:numPr>
        <w:rPr>
          <w:b/>
          <w:bCs/>
          <w:i/>
          <w:iCs/>
        </w:rPr>
      </w:pPr>
      <w:r w:rsidRPr="00EB161A">
        <w:rPr>
          <w:b/>
          <w:bCs/>
          <w:i/>
          <w:iCs/>
        </w:rPr>
        <w:t>Please comment on the use of this vaccine in young children, given the potential for medication errors and under-dosing</w:t>
      </w:r>
      <w:r>
        <w:rPr>
          <w:b/>
          <w:bCs/>
          <w:i/>
          <w:iCs/>
        </w:rPr>
        <w:t>,</w:t>
      </w:r>
      <w:r w:rsidRPr="00EB161A">
        <w:rPr>
          <w:b/>
          <w:bCs/>
          <w:i/>
          <w:iCs/>
        </w:rPr>
        <w:t xml:space="preserve"> due to palatability issues.</w:t>
      </w:r>
    </w:p>
    <w:p w14:paraId="315B2E39" w14:textId="436F8284" w:rsidR="00235F34" w:rsidRPr="009E1703" w:rsidRDefault="00235F34" w:rsidP="00235F34">
      <w:r w:rsidRPr="009E1703">
        <w:t>The ACV noted that in Study PXVX-VC-200-006 about 21% of children in the youngest cohort (2</w:t>
      </w:r>
      <w:r>
        <w:t> </w:t>
      </w:r>
      <w:r w:rsidRPr="009E1703">
        <w:t>to less than 6 years of age) were unable to consume at least 80% (40</w:t>
      </w:r>
      <w:r w:rsidR="00D0182E">
        <w:t> </w:t>
      </w:r>
      <w:r w:rsidRPr="009E1703">
        <w:t>mL) of the vaccine dose. Although seroconversion rates were very high overall, seroconversion was lower in children consuming less than 50% of the dose.</w:t>
      </w:r>
    </w:p>
    <w:p w14:paraId="120909FD" w14:textId="62DFF493" w:rsidR="00235F34" w:rsidRPr="005E58CB" w:rsidRDefault="00235F34" w:rsidP="00235F34">
      <w:r>
        <w:t>The ACV noted the 3 measures in the PI to improve the acceptance of the oral vaccine by young children: reducing the volume to be administered (by discarding 50 mL of buffer prior to adding the active ingredient), adding sweetener (sugar or stevia), and allowing a longer period to finish the dose if sweetened (30</w:t>
      </w:r>
      <w:r w:rsidR="00344D89">
        <w:t xml:space="preserve"> minutes </w:t>
      </w:r>
      <w:r>
        <w:t>instead of 15 minutes). It may be more useful for the Product Information and Consumer Medicine Information to consolidate information on preparation of the suspension for children.</w:t>
      </w:r>
    </w:p>
    <w:p w14:paraId="7FD0FB1C" w14:textId="77777777" w:rsidR="00235F34" w:rsidRDefault="00235F34" w:rsidP="00235F34">
      <w:pPr>
        <w:pStyle w:val="Numberbullet0"/>
        <w:numPr>
          <w:ilvl w:val="0"/>
          <w:numId w:val="10"/>
        </w:numPr>
        <w:rPr>
          <w:b/>
          <w:bCs/>
          <w:i/>
          <w:iCs/>
        </w:rPr>
      </w:pPr>
      <w:r>
        <w:rPr>
          <w:b/>
          <w:bCs/>
          <w:i/>
          <w:iCs/>
        </w:rPr>
        <w:t>Other advice</w:t>
      </w:r>
    </w:p>
    <w:p w14:paraId="0F3E56F6" w14:textId="77777777" w:rsidR="00235F34" w:rsidRPr="000C6778" w:rsidRDefault="00235F34" w:rsidP="00235F34">
      <w:r w:rsidRPr="000C6778">
        <w:t xml:space="preserve">It would be useful to generate data on the timing of administration of </w:t>
      </w:r>
      <w:proofErr w:type="spellStart"/>
      <w:r w:rsidRPr="000C6778">
        <w:t>Vaxchora</w:t>
      </w:r>
      <w:proofErr w:type="spellEnd"/>
      <w:r w:rsidRPr="000C6778">
        <w:t xml:space="preserve"> and other vaccines (especially oral typhoid vaccines) and medicines (especially antimalarials) taken by travellers.</w:t>
      </w:r>
    </w:p>
    <w:p w14:paraId="659AE385" w14:textId="77777777" w:rsidR="00235F34" w:rsidRDefault="00235F34" w:rsidP="003C2565">
      <w:pPr>
        <w:pStyle w:val="Heading5"/>
      </w:pPr>
      <w:bookmarkStart w:id="75" w:name="_Toc137563256"/>
      <w:r>
        <w:t>ACV conclusion</w:t>
      </w:r>
      <w:bookmarkEnd w:id="75"/>
    </w:p>
    <w:p w14:paraId="02176273" w14:textId="77777777" w:rsidR="00235F34" w:rsidRDefault="00235F34" w:rsidP="00235F34">
      <w:r>
        <w:t>The ACV considered this product to have an overall positive benefit-risk profile for the indication:</w:t>
      </w:r>
    </w:p>
    <w:p w14:paraId="5628964A" w14:textId="77777777" w:rsidR="00235F34" w:rsidRPr="009E1703" w:rsidRDefault="00235F34" w:rsidP="00235F34">
      <w:pPr>
        <w:ind w:left="720"/>
        <w:rPr>
          <w:i/>
          <w:iCs/>
          <w:szCs w:val="22"/>
        </w:rPr>
      </w:pPr>
      <w:proofErr w:type="spellStart"/>
      <w:r w:rsidRPr="009E1703">
        <w:rPr>
          <w:i/>
          <w:iCs/>
          <w:szCs w:val="22"/>
        </w:rPr>
        <w:t>Vaxchora</w:t>
      </w:r>
      <w:proofErr w:type="spellEnd"/>
      <w:r w:rsidRPr="009E1703">
        <w:rPr>
          <w:i/>
          <w:iCs/>
          <w:szCs w:val="22"/>
        </w:rPr>
        <w:t xml:space="preserve"> vaccine is indicated for active immunisation against disease caused by Vibrio cholerae serogroup O1 in adults and children aged 2 years and older travelling to cholera affected countries.</w:t>
      </w:r>
    </w:p>
    <w:p w14:paraId="6E1A7DC8" w14:textId="77777777" w:rsidR="00235F34" w:rsidRPr="009E1703" w:rsidRDefault="00235F34" w:rsidP="00235F34">
      <w:pPr>
        <w:ind w:left="720"/>
        <w:rPr>
          <w:i/>
          <w:iCs/>
          <w:szCs w:val="22"/>
        </w:rPr>
      </w:pPr>
      <w:proofErr w:type="spellStart"/>
      <w:r w:rsidRPr="009E1703">
        <w:rPr>
          <w:i/>
          <w:iCs/>
          <w:szCs w:val="22"/>
        </w:rPr>
        <w:t>Vaxchora</w:t>
      </w:r>
      <w:proofErr w:type="spellEnd"/>
      <w:r w:rsidRPr="009E1703">
        <w:rPr>
          <w:i/>
          <w:iCs/>
          <w:szCs w:val="22"/>
        </w:rPr>
        <w:t xml:space="preserve"> vaccine should be used in accordance with official recommendations.</w:t>
      </w:r>
    </w:p>
    <w:p w14:paraId="09585DE4" w14:textId="77777777" w:rsidR="00235F34" w:rsidRPr="009E1703" w:rsidRDefault="00235F34" w:rsidP="00235F34">
      <w:pPr>
        <w:ind w:left="720"/>
        <w:rPr>
          <w:i/>
          <w:iCs/>
        </w:rPr>
      </w:pPr>
      <w:r w:rsidRPr="0F6FCE4B">
        <w:rPr>
          <w:i/>
          <w:iCs/>
        </w:rPr>
        <w:t>The vaccine should not replace standard preventive hygiene measures.</w:t>
      </w:r>
    </w:p>
    <w:p w14:paraId="307F236C" w14:textId="77777777" w:rsidR="00C22214" w:rsidRPr="002E238E" w:rsidRDefault="00C22214" w:rsidP="00C22214">
      <w:pPr>
        <w:pStyle w:val="Heading2"/>
      </w:pPr>
      <w:bookmarkStart w:id="76" w:name="_Toc103679300"/>
      <w:bookmarkStart w:id="77" w:name="_Toc182833147"/>
      <w:r>
        <w:t>Outcome</w:t>
      </w:r>
      <w:bookmarkEnd w:id="73"/>
      <w:bookmarkEnd w:id="74"/>
      <w:bookmarkEnd w:id="76"/>
      <w:bookmarkEnd w:id="77"/>
    </w:p>
    <w:p w14:paraId="4EF22939" w14:textId="14657375" w:rsidR="00C22214" w:rsidRPr="00BD5DBD" w:rsidRDefault="00C22214" w:rsidP="004569E1">
      <w:r w:rsidRPr="00BD5DBD">
        <w:t xml:space="preserve">Based on a review of quality, safety, and efficacy, the TGA approved the registration of </w:t>
      </w:r>
      <w:proofErr w:type="spellStart"/>
      <w:r w:rsidR="00505694" w:rsidRPr="00505694">
        <w:t>Vaxchora</w:t>
      </w:r>
      <w:proofErr w:type="spellEnd"/>
      <w:r w:rsidR="00505694" w:rsidRPr="00505694">
        <w:t xml:space="preserve"> </w:t>
      </w:r>
      <w:r w:rsidR="00E317A8">
        <w:t>(</w:t>
      </w:r>
      <w:r w:rsidR="00505694" w:rsidRPr="00505694">
        <w:rPr>
          <w:i/>
          <w:iCs/>
        </w:rPr>
        <w:t>Vibrio cholerae</w:t>
      </w:r>
      <w:r w:rsidR="00505694" w:rsidRPr="00505694">
        <w:t xml:space="preserve"> bacteria cells (CVD 103-HgR strain)</w:t>
      </w:r>
      <w:r w:rsidR="00E317A8">
        <w:t>)</w:t>
      </w:r>
      <w:r w:rsidR="00505694" w:rsidRPr="00505694">
        <w:t xml:space="preserve"> 4</w:t>
      </w:r>
      <w:r w:rsidR="00E317A8">
        <w:t> </w:t>
      </w:r>
      <w:r w:rsidR="009E5A77">
        <w:t>×</w:t>
      </w:r>
      <w:r w:rsidR="00E317A8">
        <w:t> </w:t>
      </w:r>
      <w:r w:rsidR="00505694" w:rsidRPr="00505694">
        <w:t>10</w:t>
      </w:r>
      <w:r w:rsidR="00505694" w:rsidRPr="00E317A8">
        <w:rPr>
          <w:vertAlign w:val="superscript"/>
        </w:rPr>
        <w:t>8</w:t>
      </w:r>
      <w:r w:rsidR="00505694" w:rsidRPr="00505694">
        <w:t xml:space="preserve"> to 2</w:t>
      </w:r>
      <w:r w:rsidR="00E317A8">
        <w:t> </w:t>
      </w:r>
      <w:r w:rsidR="009E5A77">
        <w:t>×</w:t>
      </w:r>
      <w:r w:rsidR="00E317A8">
        <w:t> </w:t>
      </w:r>
      <w:r w:rsidR="00505694" w:rsidRPr="00505694">
        <w:t>10</w:t>
      </w:r>
      <w:r w:rsidR="00505694" w:rsidRPr="00E317A8">
        <w:rPr>
          <w:vertAlign w:val="superscript"/>
        </w:rPr>
        <w:t>9</w:t>
      </w:r>
      <w:r w:rsidR="00505694" w:rsidRPr="00505694">
        <w:t xml:space="preserve"> CFU </w:t>
      </w:r>
      <w:r w:rsidR="00E317A8">
        <w:t xml:space="preserve">powder for </w:t>
      </w:r>
      <w:r w:rsidR="00505694" w:rsidRPr="00505694">
        <w:t>suspension</w:t>
      </w:r>
      <w:r w:rsidR="00E317A8">
        <w:t xml:space="preserve"> in </w:t>
      </w:r>
      <w:r w:rsidR="00505694" w:rsidRPr="00505694">
        <w:t>sachet</w:t>
      </w:r>
      <w:r w:rsidR="00E317A8">
        <w:t>s</w:t>
      </w:r>
      <w:r w:rsidRPr="00BD5DBD">
        <w:t>, indicated for:</w:t>
      </w:r>
    </w:p>
    <w:p w14:paraId="7B2374EA" w14:textId="77777777" w:rsidR="00D80875" w:rsidRDefault="00D80875" w:rsidP="00D80875">
      <w:pPr>
        <w:ind w:left="720"/>
        <w:rPr>
          <w:i/>
          <w:iCs/>
        </w:rPr>
      </w:pPr>
      <w:r>
        <w:rPr>
          <w:i/>
          <w:iCs/>
        </w:rPr>
        <w:t>VAXCHORA vaccine is indicated for active immunisation against disease caused by Vibrio cholerae serogroup O1 in adults and children aged 2 years and older travelling to cholera-affected countries.</w:t>
      </w:r>
    </w:p>
    <w:p w14:paraId="13504CEF" w14:textId="1A95AD3B" w:rsidR="00D80875" w:rsidRDefault="00D80875" w:rsidP="00D80875">
      <w:pPr>
        <w:ind w:left="720"/>
      </w:pPr>
      <w:r>
        <w:rPr>
          <w:i/>
          <w:iCs/>
        </w:rPr>
        <w:lastRenderedPageBreak/>
        <w:t xml:space="preserve">VAXCHORA vaccine should be used in accordance with official recommendations. </w:t>
      </w:r>
    </w:p>
    <w:p w14:paraId="3B245AB5" w14:textId="0AA4344F" w:rsidR="00C22214" w:rsidRPr="00BD5DBD" w:rsidRDefault="00D80875" w:rsidP="00D80875">
      <w:pPr>
        <w:ind w:left="720"/>
      </w:pPr>
      <w:r>
        <w:rPr>
          <w:i/>
          <w:iCs/>
        </w:rPr>
        <w:t>The vaccine should not replace standard preventive hygiene measures.</w:t>
      </w:r>
    </w:p>
    <w:p w14:paraId="0D732DA4" w14:textId="77777777" w:rsidR="00854D98" w:rsidRPr="00D23139" w:rsidRDefault="00854D98" w:rsidP="00854D98">
      <w:pPr>
        <w:pStyle w:val="Heading3"/>
      </w:pPr>
      <w:bookmarkStart w:id="78" w:name="_Toc103679301"/>
      <w:bookmarkStart w:id="79" w:name="_Toc182833148"/>
      <w:r w:rsidRPr="00D23139">
        <w:t>Specific conditions of registration applying to these goods</w:t>
      </w:r>
      <w:bookmarkEnd w:id="78"/>
      <w:bookmarkEnd w:id="79"/>
    </w:p>
    <w:p w14:paraId="4A75E9A7" w14:textId="35CAAE34" w:rsidR="003B220D" w:rsidRDefault="003B220D" w:rsidP="005D6A7B">
      <w:pPr>
        <w:pStyle w:val="ListBullet"/>
      </w:pPr>
      <w:proofErr w:type="spellStart"/>
      <w:r>
        <w:t>V</w:t>
      </w:r>
      <w:r w:rsidR="008915FA">
        <w:t>axchora</w:t>
      </w:r>
      <w:proofErr w:type="spellEnd"/>
      <w:r>
        <w:rPr>
          <w:sz w:val="18"/>
          <w:szCs w:val="18"/>
        </w:rPr>
        <w:t xml:space="preserve"> </w:t>
      </w:r>
      <w:r>
        <w:t>(</w:t>
      </w:r>
      <w:r w:rsidR="003654AF" w:rsidRPr="003654AF">
        <w:rPr>
          <w:i/>
          <w:iCs/>
        </w:rPr>
        <w:t>V</w:t>
      </w:r>
      <w:r w:rsidRPr="003654AF">
        <w:rPr>
          <w:i/>
          <w:iCs/>
        </w:rPr>
        <w:t>ibrio cholerae</w:t>
      </w:r>
      <w:r>
        <w:t>) is to be included in the Black Triangle Scheme. The PI and</w:t>
      </w:r>
      <w:r w:rsidR="003654AF">
        <w:t xml:space="preserve"> </w:t>
      </w:r>
      <w:r>
        <w:t xml:space="preserve">CMI for </w:t>
      </w:r>
      <w:proofErr w:type="spellStart"/>
      <w:r>
        <w:t>V</w:t>
      </w:r>
      <w:r w:rsidR="00E643A2">
        <w:t>axchora</w:t>
      </w:r>
      <w:proofErr w:type="spellEnd"/>
      <w:r>
        <w:rPr>
          <w:sz w:val="18"/>
          <w:szCs w:val="18"/>
        </w:rPr>
        <w:t xml:space="preserve"> </w:t>
      </w:r>
      <w:r>
        <w:t>must include the black triangle symbol and mandatory</w:t>
      </w:r>
      <w:r w:rsidR="003654AF">
        <w:t xml:space="preserve"> </w:t>
      </w:r>
      <w:r>
        <w:t xml:space="preserve">accompanying text for </w:t>
      </w:r>
      <w:r w:rsidR="003654AF">
        <w:t>5 </w:t>
      </w:r>
      <w:r>
        <w:t>years, which starts from the date that the sponsor notifies</w:t>
      </w:r>
      <w:r w:rsidR="003654AF">
        <w:t xml:space="preserve"> </w:t>
      </w:r>
      <w:r>
        <w:t>the TGA of supply of the product.</w:t>
      </w:r>
    </w:p>
    <w:p w14:paraId="289185BC" w14:textId="7D0549EC" w:rsidR="003B220D" w:rsidRPr="006A1FE0" w:rsidRDefault="003B220D" w:rsidP="005D6A7B">
      <w:pPr>
        <w:pStyle w:val="ListBullet"/>
      </w:pPr>
      <w:r w:rsidRPr="006A1FE0">
        <w:t xml:space="preserve">The </w:t>
      </w:r>
      <w:proofErr w:type="spellStart"/>
      <w:r w:rsidRPr="006A1FE0">
        <w:t>V</w:t>
      </w:r>
      <w:r w:rsidR="008915FA" w:rsidRPr="006A1FE0">
        <w:t>axchora</w:t>
      </w:r>
      <w:proofErr w:type="spellEnd"/>
      <w:r w:rsidRPr="006A1FE0">
        <w:rPr>
          <w:sz w:val="18"/>
          <w:szCs w:val="18"/>
        </w:rPr>
        <w:t xml:space="preserve"> </w:t>
      </w:r>
      <w:r w:rsidRPr="006A1FE0">
        <w:t>EU</w:t>
      </w:r>
      <w:r w:rsidR="008915FA" w:rsidRPr="006A1FE0">
        <w:t xml:space="preserve"> </w:t>
      </w:r>
      <w:r w:rsidRPr="006A1FE0">
        <w:t>Risk Management Plan (version 3.1 dated 14 April 2022, data</w:t>
      </w:r>
      <w:r w:rsidR="003654AF" w:rsidRPr="006A1FE0">
        <w:t xml:space="preserve"> </w:t>
      </w:r>
      <w:r w:rsidRPr="006A1FE0">
        <w:t>lock point 10</w:t>
      </w:r>
      <w:r w:rsidR="006A1FE0" w:rsidRPr="006A1FE0">
        <w:t> </w:t>
      </w:r>
      <w:r w:rsidRPr="006A1FE0">
        <w:t>December 2021), with Australia</w:t>
      </w:r>
      <w:r w:rsidR="008915FA" w:rsidRPr="006A1FE0">
        <w:noBreakHyphen/>
        <w:t>s</w:t>
      </w:r>
      <w:r w:rsidRPr="006A1FE0">
        <w:t xml:space="preserve">pecific </w:t>
      </w:r>
      <w:r w:rsidR="008915FA" w:rsidRPr="006A1FE0">
        <w:t>a</w:t>
      </w:r>
      <w:r w:rsidRPr="006A1FE0">
        <w:t>nnex (version 1.1, dated10 January 2023), included with submission PM-2021-04064-1-2, and any subsequent</w:t>
      </w:r>
      <w:r w:rsidR="003654AF" w:rsidRPr="006A1FE0">
        <w:t xml:space="preserve"> </w:t>
      </w:r>
      <w:r w:rsidRPr="006A1FE0">
        <w:t>revisions, as agreed with the TGA will be implemented in Australia.</w:t>
      </w:r>
    </w:p>
    <w:p w14:paraId="71C43D82" w14:textId="3A59FB49" w:rsidR="003B220D" w:rsidRDefault="003B220D" w:rsidP="003654AF">
      <w:pPr>
        <w:pStyle w:val="ListBullet"/>
        <w:numPr>
          <w:ilvl w:val="0"/>
          <w:numId w:val="0"/>
        </w:numPr>
        <w:ind w:left="360"/>
      </w:pPr>
      <w:r>
        <w:t>An obligatory component of risk management plans is routine pharmacovigilance.</w:t>
      </w:r>
      <w:r w:rsidR="003654AF">
        <w:t xml:space="preserve"> </w:t>
      </w:r>
      <w:r>
        <w:t>Routine pharmacovigilance includes the submission of periodic safety update</w:t>
      </w:r>
      <w:r w:rsidR="003654AF">
        <w:t xml:space="preserve"> </w:t>
      </w:r>
      <w:r>
        <w:t>reports (PSURs).</w:t>
      </w:r>
    </w:p>
    <w:p w14:paraId="1078979F" w14:textId="0B7FE970" w:rsidR="003B220D" w:rsidRDefault="003B220D" w:rsidP="003654AF">
      <w:pPr>
        <w:pStyle w:val="ListBullet"/>
        <w:numPr>
          <w:ilvl w:val="0"/>
          <w:numId w:val="0"/>
        </w:numPr>
        <w:ind w:left="360"/>
      </w:pPr>
      <w:r>
        <w:t>Reports are to be provided in line with the current published list of EU reference</w:t>
      </w:r>
      <w:r w:rsidR="004B1721">
        <w:t xml:space="preserve"> </w:t>
      </w:r>
      <w:r>
        <w:t>dates and frequency of submission of PSURs until the period covered by such</w:t>
      </w:r>
      <w:r w:rsidR="004B1721">
        <w:t xml:space="preserve"> </w:t>
      </w:r>
      <w:r>
        <w:t xml:space="preserve">reports is not less than </w:t>
      </w:r>
      <w:r w:rsidR="00F503F0">
        <w:t>3 </w:t>
      </w:r>
      <w:r>
        <w:t>years from the date of th</w:t>
      </w:r>
      <w:r w:rsidR="00F503F0">
        <w:t>e</w:t>
      </w:r>
      <w:r>
        <w:t xml:space="preserve"> approval letter.</w:t>
      </w:r>
    </w:p>
    <w:p w14:paraId="7D5D57BE" w14:textId="57F55E1E" w:rsidR="003B220D" w:rsidRDefault="003B220D" w:rsidP="003654AF">
      <w:pPr>
        <w:pStyle w:val="ListBullet"/>
        <w:numPr>
          <w:ilvl w:val="0"/>
          <w:numId w:val="0"/>
        </w:numPr>
        <w:ind w:left="360"/>
      </w:pPr>
      <w:r>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w:t>
      </w:r>
      <w:r w:rsidR="00F503F0">
        <w:t>90 </w:t>
      </w:r>
      <w:r>
        <w:t>calendar days of the data lock point for that report.</w:t>
      </w:r>
    </w:p>
    <w:p w14:paraId="07157F98" w14:textId="19AEB4C4" w:rsidR="00AB4542" w:rsidRPr="00AB4542" w:rsidRDefault="003B220D" w:rsidP="005D6A7B">
      <w:pPr>
        <w:pStyle w:val="ListBullet"/>
      </w:pPr>
      <w:r>
        <w:rPr>
          <w:b/>
          <w:bCs/>
        </w:rPr>
        <w:t>Batch Release Testing and Compliance</w:t>
      </w:r>
    </w:p>
    <w:p w14:paraId="00FC21F1" w14:textId="5ECC90E1" w:rsidR="003B220D" w:rsidRDefault="003B220D" w:rsidP="00AB4542">
      <w:pPr>
        <w:pStyle w:val="ListBullet"/>
        <w:numPr>
          <w:ilvl w:val="0"/>
          <w:numId w:val="0"/>
        </w:numPr>
        <w:ind w:left="360"/>
      </w:pPr>
      <w:r>
        <w:t xml:space="preserve">It is a condition of registration that all independent batches of </w:t>
      </w:r>
      <w:proofErr w:type="spellStart"/>
      <w:r>
        <w:t>Vaxchora</w:t>
      </w:r>
      <w:proofErr w:type="spellEnd"/>
      <w:r>
        <w:t xml:space="preserve"> vaccine imported into Australia are not released for sale until samples and the manufacturer’s release data have been assessed and </w:t>
      </w:r>
      <w:r w:rsidR="00C86D16">
        <w:t>the sponsor</w:t>
      </w:r>
      <w:r>
        <w:t xml:space="preserve"> ha</w:t>
      </w:r>
      <w:r w:rsidR="00C86D16">
        <w:t>s</w:t>
      </w:r>
      <w:r>
        <w:t xml:space="preserve"> received notification acknowledging release from the Laboratories Branch, TGA. For each independent batch of the product imported into Australia, the </w:t>
      </w:r>
      <w:r w:rsidR="00C86D16">
        <w:t>s</w:t>
      </w:r>
      <w:r>
        <w:t>ponsor must supply the following:</w:t>
      </w:r>
    </w:p>
    <w:p w14:paraId="63AECF39" w14:textId="386351C6" w:rsidR="003B220D" w:rsidRPr="00C86D16" w:rsidRDefault="003B220D" w:rsidP="00C86D16">
      <w:pPr>
        <w:pStyle w:val="ListBullet2"/>
      </w:pPr>
      <w:r w:rsidRPr="00C86D16">
        <w:t xml:space="preserve">A completed Request for Release Form. The template is available from </w:t>
      </w:r>
      <w:r w:rsidR="006A1FE0">
        <w:t>&lt;</w:t>
      </w:r>
      <w:r w:rsidRPr="00C86D16">
        <w:t>vaccines@health.gov.au</w:t>
      </w:r>
      <w:r w:rsidR="006A1FE0">
        <w:t>&gt;</w:t>
      </w:r>
      <w:r w:rsidRPr="00C86D16">
        <w:t>.</w:t>
      </w:r>
    </w:p>
    <w:p w14:paraId="4450B226" w14:textId="769B2C0F" w:rsidR="003B220D" w:rsidRPr="00C86D16" w:rsidRDefault="003B220D" w:rsidP="00C86D16">
      <w:pPr>
        <w:pStyle w:val="ListBullet2"/>
      </w:pPr>
      <w:r w:rsidRPr="00C86D16">
        <w:t>Complete summary protocols for manufacture and QC</w:t>
      </w:r>
      <w:r w:rsidR="006A1FE0">
        <w:t xml:space="preserve"> [quality control]</w:t>
      </w:r>
      <w:r w:rsidRPr="00C86D16">
        <w:t>, including all steps in production in the agreed format.</w:t>
      </w:r>
    </w:p>
    <w:p w14:paraId="66CF2515" w14:textId="116C5BB3" w:rsidR="003B220D" w:rsidRPr="00C86D16" w:rsidRDefault="003B220D" w:rsidP="00C86D16">
      <w:pPr>
        <w:pStyle w:val="ListBullet2"/>
      </w:pPr>
      <w:r w:rsidRPr="00C86D16">
        <w:t xml:space="preserve">At least 5 samples of each manufacturing batch of </w:t>
      </w:r>
      <w:proofErr w:type="spellStart"/>
      <w:r w:rsidRPr="00C86D16">
        <w:t>Vaxchora</w:t>
      </w:r>
      <w:proofErr w:type="spellEnd"/>
      <w:r w:rsidRPr="00C86D16">
        <w:t xml:space="preserve"> with the Australian approved labels, PI and packaging representative of all batches of product seeking distribution in Australia.</w:t>
      </w:r>
    </w:p>
    <w:p w14:paraId="33CE8932" w14:textId="19C87318" w:rsidR="003B220D" w:rsidRPr="00C86D16" w:rsidRDefault="003B220D" w:rsidP="00C86D16">
      <w:pPr>
        <w:pStyle w:val="ListBullet2"/>
      </w:pPr>
      <w:r w:rsidRPr="00C86D16">
        <w:t xml:space="preserve">At least </w:t>
      </w:r>
      <w:r w:rsidR="00417E63">
        <w:t xml:space="preserve">one </w:t>
      </w:r>
      <w:r w:rsidRPr="00C86D16">
        <w:t xml:space="preserve">sample of any further consignments of a manufacturing batch of </w:t>
      </w:r>
      <w:proofErr w:type="spellStart"/>
      <w:r w:rsidRPr="00C86D16">
        <w:t>Vaxchora</w:t>
      </w:r>
      <w:proofErr w:type="spellEnd"/>
      <w:r w:rsidRPr="00C86D16">
        <w:t xml:space="preserve"> vaccine with the Australian approved labels, PI and packaging. Further consignments cover batches previously supplied to TGA for the purposes of batch release testing but are seeking to be supplied again.</w:t>
      </w:r>
    </w:p>
    <w:p w14:paraId="15721297" w14:textId="1ACCE2DE" w:rsidR="003B220D" w:rsidRPr="00C86D16" w:rsidRDefault="003B220D" w:rsidP="00C86D16">
      <w:pPr>
        <w:pStyle w:val="ListBullet2"/>
      </w:pPr>
      <w:r w:rsidRPr="00C86D16">
        <w:t xml:space="preserve">If the manufacturing batch has been released in Europe or United Kingdom </w:t>
      </w:r>
      <w:r w:rsidR="006A1FE0">
        <w:t xml:space="preserve">(UK) </w:t>
      </w:r>
      <w:r w:rsidRPr="00C86D16">
        <w:t>a copy of the EU Official Control Authority Batch Release certificate (or equivalent from the UK) must be provided.</w:t>
      </w:r>
    </w:p>
    <w:p w14:paraId="345A90DC" w14:textId="5A5A7F95" w:rsidR="003B220D" w:rsidRPr="00C86D16" w:rsidRDefault="003B220D" w:rsidP="000E7BEE">
      <w:pPr>
        <w:pStyle w:val="ListBullet2"/>
      </w:pPr>
      <w:r w:rsidRPr="00C86D16">
        <w:lastRenderedPageBreak/>
        <w:t>Any reagents, reference material and standards required to undertake testing, as requested by Laboratories Branch, TGA.</w:t>
      </w:r>
    </w:p>
    <w:p w14:paraId="11740870" w14:textId="51BFAC34" w:rsidR="003B220D" w:rsidRDefault="003B220D" w:rsidP="00AF241B">
      <w:pPr>
        <w:pStyle w:val="ListBullet"/>
        <w:numPr>
          <w:ilvl w:val="0"/>
          <w:numId w:val="0"/>
        </w:numPr>
        <w:ind w:left="360"/>
      </w:pPr>
      <w:r>
        <w:t xml:space="preserve">Sponsors must provide all requested </w:t>
      </w:r>
      <w:r w:rsidR="00AF241B">
        <w:t>s</w:t>
      </w:r>
      <w:r>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2B74733A" w14:textId="0562FBE0" w:rsidR="003B220D" w:rsidRDefault="003B220D" w:rsidP="00AF241B">
      <w:pPr>
        <w:pStyle w:val="ListBullet"/>
        <w:numPr>
          <w:ilvl w:val="0"/>
          <w:numId w:val="0"/>
        </w:numPr>
        <w:ind w:left="360"/>
      </w:pPr>
      <w:r>
        <w:t>Samples and data should be forwarded to the Biotherapeutics Section, Laboratories Branch before release of each batch and with sufficient lead time to allow for Laboratories Branch testing. The address for courier delivery is:</w:t>
      </w:r>
    </w:p>
    <w:p w14:paraId="2D7536F0" w14:textId="5021A32E" w:rsidR="003B220D" w:rsidRDefault="003B220D" w:rsidP="0015486C">
      <w:pPr>
        <w:pStyle w:val="ListBullet2"/>
        <w:spacing w:before="0" w:after="0"/>
      </w:pPr>
      <w:r>
        <w:rPr>
          <w:b/>
          <w:bCs/>
        </w:rPr>
        <w:t xml:space="preserve">ATTN: </w:t>
      </w:r>
      <w:r>
        <w:t>Batch Release Coordinator</w:t>
      </w:r>
    </w:p>
    <w:p w14:paraId="04C957E1" w14:textId="3C28150F" w:rsidR="003B220D" w:rsidRDefault="003B220D" w:rsidP="0015486C">
      <w:pPr>
        <w:pStyle w:val="ListBullet2"/>
        <w:spacing w:before="0" w:after="0"/>
      </w:pPr>
      <w:r>
        <w:t>Biotherapeutics Section</w:t>
      </w:r>
    </w:p>
    <w:p w14:paraId="3B3CF92D" w14:textId="2B015D88" w:rsidR="003B220D" w:rsidRDefault="003B220D" w:rsidP="0015486C">
      <w:pPr>
        <w:pStyle w:val="ListBullet2"/>
        <w:spacing w:before="0" w:after="0"/>
      </w:pPr>
      <w:r>
        <w:t>TGA Laboratories Branch</w:t>
      </w:r>
    </w:p>
    <w:p w14:paraId="2D301428" w14:textId="6E6DEF7D" w:rsidR="003B220D" w:rsidRDefault="003B220D" w:rsidP="0015486C">
      <w:pPr>
        <w:pStyle w:val="ListBullet2"/>
        <w:spacing w:before="0" w:after="0"/>
      </w:pPr>
      <w:r>
        <w:t>1 Tindal Lane</w:t>
      </w:r>
    </w:p>
    <w:p w14:paraId="28821015" w14:textId="23361EDC" w:rsidR="003B220D" w:rsidRDefault="003B220D" w:rsidP="0015486C">
      <w:pPr>
        <w:pStyle w:val="ListBullet2"/>
        <w:spacing w:before="0" w:after="0"/>
      </w:pPr>
      <w:r>
        <w:t>Canberra Airport</w:t>
      </w:r>
      <w:r w:rsidR="0015486C">
        <w:t xml:space="preserve">  </w:t>
      </w:r>
      <w:r>
        <w:t xml:space="preserve"> ACT </w:t>
      </w:r>
      <w:r w:rsidR="0015486C">
        <w:t xml:space="preserve">  </w:t>
      </w:r>
      <w:r>
        <w:t>2609</w:t>
      </w:r>
    </w:p>
    <w:p w14:paraId="20AFCF65" w14:textId="3BA799B8" w:rsidR="003B220D" w:rsidRDefault="003B220D" w:rsidP="0015486C">
      <w:pPr>
        <w:pStyle w:val="ListBullet"/>
        <w:numPr>
          <w:ilvl w:val="0"/>
          <w:numId w:val="0"/>
        </w:numPr>
        <w:ind w:left="360"/>
      </w:pPr>
      <w:r>
        <w:t xml:space="preserve">The shipments (including reagents) to </w:t>
      </w:r>
      <w:r w:rsidR="0015486C">
        <w:t xml:space="preserve">the </w:t>
      </w:r>
      <w:r>
        <w:t xml:space="preserve">TGA are the responsibility of the Australian </w:t>
      </w:r>
      <w:r w:rsidR="0015486C">
        <w:t>s</w:t>
      </w:r>
      <w:r>
        <w:t>ponsor/</w:t>
      </w:r>
      <w:r w:rsidR="0015486C">
        <w:t>a</w:t>
      </w:r>
      <w:r>
        <w:t>gent who will be required to facilitate the import and customs clearance process.</w:t>
      </w:r>
    </w:p>
    <w:p w14:paraId="13B42066" w14:textId="68DEFD73" w:rsidR="003B220D" w:rsidRDefault="003B220D" w:rsidP="005D6A7B">
      <w:pPr>
        <w:pStyle w:val="ListBullet"/>
      </w:pPr>
      <w:r>
        <w:rPr>
          <w:b/>
          <w:bCs/>
        </w:rPr>
        <w:t>Certified Product Details</w:t>
      </w:r>
    </w:p>
    <w:p w14:paraId="1E19E8B0" w14:textId="495F4331" w:rsidR="003B220D" w:rsidRDefault="003B220D" w:rsidP="00460470">
      <w:pPr>
        <w:pStyle w:val="ListBullet"/>
        <w:numPr>
          <w:ilvl w:val="0"/>
          <w:numId w:val="0"/>
        </w:numPr>
        <w:ind w:left="360"/>
      </w:pPr>
      <w:r>
        <w:t xml:space="preserve">An electronic copy of the Certified Product Details (CPD) as described in Guidance 7: Certified Product Details of the Australian Regulatory Guidelines for Prescription Medicines (ARGPM) </w:t>
      </w:r>
      <w:hyperlink r:id="rId27" w:history="1">
        <w:r w:rsidR="00BA2268" w:rsidRPr="00BA2268">
          <w:rPr>
            <w:rStyle w:val="Hyperlink"/>
          </w:rPr>
          <w:t>https://www.tga.gov.au/resources/guidance/submitting-certified-product-details-cpd-prescription-medicines</w:t>
        </w:r>
      </w:hyperlink>
      <w:r>
        <w:rPr>
          <w:color w:val="0000FF"/>
        </w:rPr>
        <w:t xml:space="preserve"> </w:t>
      </w:r>
      <w:r>
        <w:t xml:space="preserve">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r w:rsidR="00BA2268" w:rsidRPr="00BA2268">
        <w:rPr>
          <w:color w:val="0000FF"/>
        </w:rPr>
        <w:t>https://www.tga.gov.au/resources/resource/forms/certified-product-details-cpd-biological-prescription-medicines</w:t>
      </w:r>
      <w:r>
        <w:t xml:space="preserve">. The CPD should be sent as a </w:t>
      </w:r>
      <w:r w:rsidRPr="00310929">
        <w:t xml:space="preserve">single bookmarked PDF </w:t>
      </w:r>
      <w:r>
        <w:t xml:space="preserve">document to </w:t>
      </w:r>
      <w:hyperlink r:id="rId28" w:history="1">
        <w:r w:rsidRPr="00BA2268">
          <w:rPr>
            <w:rStyle w:val="Hyperlink"/>
          </w:rPr>
          <w:t>Vaccines@health.gov.au</w:t>
        </w:r>
      </w:hyperlink>
      <w:r w:rsidRPr="000A3E37">
        <w:t xml:space="preserve"> </w:t>
      </w:r>
      <w:r>
        <w:t>as soon as possible after registration/approval of the product or any subsequent changes as indicated above.</w:t>
      </w:r>
    </w:p>
    <w:p w14:paraId="451DC3FC" w14:textId="77777777" w:rsidR="00C22214" w:rsidRDefault="00C22214" w:rsidP="00C22214">
      <w:pPr>
        <w:pStyle w:val="Heading2"/>
      </w:pPr>
      <w:bookmarkStart w:id="80" w:name="_Toc103679303"/>
      <w:bookmarkStart w:id="81" w:name="_Toc182833149"/>
      <w:r>
        <w:t>Attachment 1. Product Information</w:t>
      </w:r>
      <w:bookmarkEnd w:id="80"/>
      <w:bookmarkEnd w:id="81"/>
    </w:p>
    <w:p w14:paraId="21F47164" w14:textId="701E2C0C" w:rsidR="00C22214" w:rsidRPr="00BD5DBD" w:rsidRDefault="00C22214" w:rsidP="00C22214">
      <w:pPr>
        <w:rPr>
          <w:szCs w:val="22"/>
        </w:rPr>
      </w:pPr>
      <w:r w:rsidRPr="00BD5DBD">
        <w:rPr>
          <w:szCs w:val="22"/>
        </w:rPr>
        <w:t xml:space="preserve">The PI for </w:t>
      </w:r>
      <w:proofErr w:type="spellStart"/>
      <w:r w:rsidR="0053635C">
        <w:rPr>
          <w:szCs w:val="22"/>
        </w:rPr>
        <w:t>Vaxchora</w:t>
      </w:r>
      <w:proofErr w:type="spellEnd"/>
      <w:r w:rsidRPr="00BD5DBD">
        <w:rPr>
          <w:szCs w:val="22"/>
        </w:rPr>
        <w:t xml:space="preserve"> approved with the submission described in this </w:t>
      </w:r>
      <w:proofErr w:type="spellStart"/>
      <w:r w:rsidRPr="00BD5DBD">
        <w:rPr>
          <w:szCs w:val="22"/>
        </w:rPr>
        <w:t>AusPAR</w:t>
      </w:r>
      <w:proofErr w:type="spellEnd"/>
      <w:r w:rsidRPr="00BD5DBD">
        <w:rPr>
          <w:szCs w:val="22"/>
        </w:rPr>
        <w:t xml:space="preserve"> is at Attachment 1. For the most recent PI, please refer to the TGA </w:t>
      </w:r>
      <w:hyperlink r:id="rId29"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406874">
          <w:headerReference w:type="default" r:id="rId30"/>
          <w:footerReference w:type="default" r:id="rId31"/>
          <w:pgSz w:w="11906" w:h="16838" w:code="9"/>
          <w:pgMar w:top="1134" w:right="1418" w:bottom="170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8300D1C" w:rsidR="00F02AEC" w:rsidRDefault="00F02AEC">
            <w:pPr>
              <w:pStyle w:val="Address"/>
              <w:jc w:val="center"/>
              <w:rPr>
                <w:sz w:val="22"/>
                <w:szCs w:val="22"/>
              </w:rPr>
            </w:pPr>
            <w:r w:rsidRPr="00215D48">
              <w:t xml:space="preserve">Email: </w:t>
            </w:r>
            <w:hyperlink r:id="rId3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43344BEF" w:rsidR="00F02AEC" w:rsidRPr="00215D48" w:rsidRDefault="000A7419">
            <w:pPr>
              <w:pStyle w:val="Address"/>
              <w:jc w:val="center"/>
              <w:rPr>
                <w:rStyle w:val="Hyperlink"/>
                <w:b/>
                <w:color w:val="auto"/>
                <w:sz w:val="22"/>
              </w:rPr>
            </w:pPr>
            <w:hyperlink r:id="rId33"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4"/>
      <w:footerReference w:type="first" r:id="rId3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6E77F" w14:textId="77777777" w:rsidR="0046142F" w:rsidRDefault="0046142F" w:rsidP="00F02AEC">
      <w:pPr>
        <w:spacing w:after="0" w:line="240" w:lineRule="auto"/>
      </w:pPr>
      <w:r>
        <w:separator/>
      </w:r>
    </w:p>
  </w:endnote>
  <w:endnote w:type="continuationSeparator" w:id="0">
    <w:p w14:paraId="618D74FD" w14:textId="77777777" w:rsidR="0046142F" w:rsidRDefault="0046142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74621407" w14:textId="77777777" w:rsidR="0079740C" w:rsidRDefault="007452E8" w:rsidP="007452E8">
          <w:pPr>
            <w:pStyle w:val="Footer"/>
          </w:pPr>
          <w:proofErr w:type="spellStart"/>
          <w:r w:rsidRPr="00487162">
            <w:t>AusPA</w:t>
          </w:r>
          <w:r>
            <w:t>R</w:t>
          </w:r>
          <w:proofErr w:type="spellEnd"/>
          <w:r>
            <w:t xml:space="preserve"> </w:t>
          </w:r>
          <w:r w:rsidR="005F745F">
            <w:t>–</w:t>
          </w:r>
          <w:r>
            <w:t xml:space="preserve"> </w:t>
          </w:r>
          <w:proofErr w:type="spellStart"/>
          <w:r w:rsidR="005F745F">
            <w:t>Vaxchora</w:t>
          </w:r>
          <w:proofErr w:type="spellEnd"/>
          <w:r w:rsidR="005F745F">
            <w:t xml:space="preserve"> – cholera vaccine, recombinant, live, oral</w:t>
          </w:r>
          <w:r w:rsidRPr="00460036">
            <w:t xml:space="preserve"> </w:t>
          </w:r>
          <w:r w:rsidR="00573D50">
            <w:t>–</w:t>
          </w:r>
          <w:r>
            <w:t xml:space="preserve"> </w:t>
          </w:r>
          <w:proofErr w:type="spellStart"/>
          <w:r w:rsidR="00573D50">
            <w:t>Biocelect</w:t>
          </w:r>
          <w:proofErr w:type="spellEnd"/>
          <w:r w:rsidR="00573D50">
            <w:t xml:space="preserve"> Australia Pty Ltd</w:t>
          </w:r>
          <w:r>
            <w:t xml:space="preserve"> </w:t>
          </w:r>
          <w:r w:rsidR="0079740C">
            <w:t>–</w:t>
          </w:r>
          <w:r>
            <w:t xml:space="preserve"> PM</w:t>
          </w:r>
          <w:r w:rsidR="0079740C">
            <w:noBreakHyphen/>
          </w:r>
          <w:r>
            <w:t>202</w:t>
          </w:r>
          <w:r w:rsidR="00573D50">
            <w:t>1</w:t>
          </w:r>
          <w:r w:rsidRPr="00487162">
            <w:t>-</w:t>
          </w:r>
          <w:r w:rsidR="00573D50">
            <w:t>04064-1-2</w:t>
          </w:r>
        </w:p>
        <w:p w14:paraId="3C421323" w14:textId="67E355BB" w:rsidR="007452E8" w:rsidRPr="004A3084" w:rsidRDefault="00E455B0" w:rsidP="007452E8">
          <w:pPr>
            <w:pStyle w:val="Footer"/>
          </w:pPr>
          <w:r>
            <w:t xml:space="preserve">Date of finalisation: 31 October </w:t>
          </w:r>
          <w:r w:rsidR="00DA45AD">
            <w:t>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8EB21" w14:textId="77777777" w:rsidR="0046142F" w:rsidRDefault="0046142F" w:rsidP="00F02AEC">
      <w:pPr>
        <w:spacing w:after="0" w:line="240" w:lineRule="auto"/>
      </w:pPr>
      <w:r>
        <w:separator/>
      </w:r>
    </w:p>
  </w:footnote>
  <w:footnote w:type="continuationSeparator" w:id="0">
    <w:p w14:paraId="208FD78B" w14:textId="77777777" w:rsidR="0046142F" w:rsidRDefault="0046142F"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6C134E98" w14:textId="6E186E52" w:rsidR="006D4250" w:rsidRDefault="006D4250">
      <w:pPr>
        <w:pStyle w:val="FootnoteText"/>
      </w:pPr>
      <w:r>
        <w:rPr>
          <w:rStyle w:val="FootnoteReference"/>
        </w:rPr>
        <w:footnoteRef/>
      </w:r>
      <w:r>
        <w:t xml:space="preserve"> </w:t>
      </w:r>
      <w:r w:rsidR="00F72725" w:rsidRPr="00F72725">
        <w:t>Harris JB, LaRocque RC, Qadri F, Ryan ET, Calderwood SB. Cholera.</w:t>
      </w:r>
      <w:r w:rsidR="00F72725" w:rsidRPr="00F72725">
        <w:rPr>
          <w:i/>
          <w:iCs/>
        </w:rPr>
        <w:t xml:space="preserve"> Lancet</w:t>
      </w:r>
      <w:r w:rsidR="00001808">
        <w:rPr>
          <w:i/>
          <w:iCs/>
        </w:rPr>
        <w:t>,</w:t>
      </w:r>
      <w:r w:rsidR="00F72725" w:rsidRPr="00F72725">
        <w:t xml:space="preserve"> 2012 Jun 30;379(9835):2466-2476. </w:t>
      </w:r>
      <w:r w:rsidR="00F72725" w:rsidRPr="00F72725">
        <w:t>doi:</w:t>
      </w:r>
      <w:r w:rsidR="00001808">
        <w:t> </w:t>
      </w:r>
      <w:r w:rsidR="00F72725" w:rsidRPr="00F72725">
        <w:t>10.1016/S0140-6736(12)60436-X.</w:t>
      </w:r>
    </w:p>
  </w:footnote>
  <w:footnote w:id="3">
    <w:p w14:paraId="2AA3C7BE" w14:textId="3A4D3667" w:rsidR="001E5EDF" w:rsidRPr="00F94C9E" w:rsidRDefault="001E5EDF">
      <w:pPr>
        <w:pStyle w:val="FootnoteText"/>
      </w:pPr>
      <w:r>
        <w:rPr>
          <w:rStyle w:val="FootnoteReference"/>
        </w:rPr>
        <w:footnoteRef/>
      </w:r>
      <w:r>
        <w:t xml:space="preserve"> </w:t>
      </w:r>
      <w:r w:rsidR="006E5629" w:rsidRPr="00F94C9E">
        <w:t>Columbara DV, Cowgill KD, Faruque ASG</w:t>
      </w:r>
      <w:r w:rsidR="00AA402A" w:rsidRPr="00F94C9E">
        <w:t>.</w:t>
      </w:r>
      <w:r w:rsidR="006E5629" w:rsidRPr="00F94C9E">
        <w:t xml:space="preserve"> Risk Factors for Severe Cholera among Children under Five in Rural and Urban Bangladesh, 2000–2008: A Hospital-Based Surveillance Study. </w:t>
      </w:r>
      <w:r w:rsidR="006E5629" w:rsidRPr="00F72725">
        <w:rPr>
          <w:i/>
          <w:iCs/>
        </w:rPr>
        <w:t>PLoS ONE</w:t>
      </w:r>
      <w:r w:rsidR="002C4076" w:rsidRPr="00F94C9E">
        <w:t>, 20</w:t>
      </w:r>
      <w:r w:rsidR="00AA402A" w:rsidRPr="00F94C9E">
        <w:t>13;</w:t>
      </w:r>
      <w:r w:rsidR="006E5629" w:rsidRPr="00F94C9E">
        <w:t xml:space="preserve"> 8(1</w:t>
      </w:r>
      <w:r w:rsidR="006E5629" w:rsidRPr="00F94C9E">
        <w:t>):e54395. doi:</w:t>
      </w:r>
      <w:r w:rsidR="00001808">
        <w:t> </w:t>
      </w:r>
      <w:r w:rsidR="006E5629" w:rsidRPr="00F94C9E">
        <w:t>10.1371/journal.pone.0054395.</w:t>
      </w:r>
    </w:p>
  </w:footnote>
  <w:footnote w:id="4">
    <w:p w14:paraId="21A87B93" w14:textId="69E71158" w:rsidR="002B7E82" w:rsidRDefault="002B7E82" w:rsidP="002B7E82">
      <w:pPr>
        <w:pStyle w:val="FootnoteText"/>
      </w:pPr>
      <w:r>
        <w:rPr>
          <w:rStyle w:val="FootnoteReference"/>
        </w:rPr>
        <w:footnoteRef/>
      </w:r>
      <w:r w:rsidR="000267CD">
        <w:t xml:space="preserve"> </w:t>
      </w:r>
      <w:hyperlink r:id="rId1" w:history="1">
        <w:r w:rsidR="00E25EEE">
          <w:rPr>
            <w:rStyle w:val="Hyperlink"/>
          </w:rPr>
          <w:t>Cholera | The Australian Immunisation Handbook (health.gov.au)</w:t>
        </w:r>
      </w:hyperlink>
      <w:r w:rsidR="00D51450">
        <w:rPr>
          <w:rStyle w:val="Hyperlink"/>
        </w:rPr>
        <w:t>.</w:t>
      </w:r>
    </w:p>
  </w:footnote>
  <w:footnote w:id="5">
    <w:p w14:paraId="6B93BFE1" w14:textId="28F78A53" w:rsidR="002B7E82" w:rsidRPr="003B209C" w:rsidRDefault="002B7E82" w:rsidP="008757EB">
      <w:pPr>
        <w:autoSpaceDE w:val="0"/>
        <w:autoSpaceDN w:val="0"/>
        <w:adjustRightInd w:val="0"/>
        <w:spacing w:after="0" w:line="240" w:lineRule="auto"/>
        <w:rPr>
          <w:rStyle w:val="FootnoteTextChar"/>
        </w:rPr>
      </w:pPr>
      <w:r w:rsidRPr="006F111D">
        <w:rPr>
          <w:rStyle w:val="FootnoteReference"/>
          <w:sz w:val="18"/>
          <w:szCs w:val="18"/>
        </w:rPr>
        <w:footnoteRef/>
      </w:r>
      <w:r w:rsidRPr="006F111D">
        <w:rPr>
          <w:sz w:val="18"/>
          <w:szCs w:val="18"/>
        </w:rPr>
        <w:t xml:space="preserve"> </w:t>
      </w:r>
      <w:r w:rsidRPr="003B209C">
        <w:rPr>
          <w:rStyle w:val="FootnoteTextChar"/>
        </w:rPr>
        <w:t>NNDSS Annual Report Working Group. Australia's notifiable disease status, 2016: Annual report of</w:t>
      </w:r>
      <w:r w:rsidR="003A7E5F" w:rsidRPr="003B209C">
        <w:rPr>
          <w:rStyle w:val="FootnoteTextChar"/>
        </w:rPr>
        <w:t xml:space="preserve"> </w:t>
      </w:r>
      <w:r w:rsidRPr="003B209C">
        <w:rPr>
          <w:rStyle w:val="FootnoteTextChar"/>
        </w:rPr>
        <w:t xml:space="preserve">the National Notifiable Diseases Surveillance System. </w:t>
      </w:r>
      <w:r w:rsidRPr="00A17375">
        <w:rPr>
          <w:rStyle w:val="FootnoteTextChar"/>
          <w:i/>
          <w:iCs/>
        </w:rPr>
        <w:t>Commun Dis Intell (2018).</w:t>
      </w:r>
      <w:r w:rsidRPr="003B209C">
        <w:rPr>
          <w:rStyle w:val="FootnoteTextChar"/>
        </w:rPr>
        <w:t xml:space="preserve"> 2021 May 27;45.</w:t>
      </w:r>
      <w:r w:rsidR="00B74583" w:rsidRPr="003B209C">
        <w:rPr>
          <w:rStyle w:val="FootnoteTextChar"/>
        </w:rPr>
        <w:t xml:space="preserve"> </w:t>
      </w:r>
      <w:r w:rsidR="00DB48F3" w:rsidRPr="003B209C">
        <w:rPr>
          <w:rStyle w:val="FootnoteTextChar"/>
        </w:rPr>
        <w:t>d</w:t>
      </w:r>
      <w:r w:rsidR="00B74583" w:rsidRPr="003B209C">
        <w:rPr>
          <w:rStyle w:val="FootnoteTextChar"/>
        </w:rPr>
        <w:t>oi</w:t>
      </w:r>
      <w:r w:rsidR="00DB48F3" w:rsidRPr="003B209C">
        <w:rPr>
          <w:rStyle w:val="FootnoteTextChar"/>
        </w:rPr>
        <w:t>: </w:t>
      </w:r>
      <w:r w:rsidR="00B74583" w:rsidRPr="003B209C">
        <w:rPr>
          <w:rStyle w:val="FootnoteTextChar"/>
        </w:rPr>
        <w:t>10.33321/cdi.2021.45.28</w:t>
      </w:r>
      <w:r w:rsidR="00DB48F3" w:rsidRPr="003B209C">
        <w:rPr>
          <w:rStyle w:val="FootnoteTextChar"/>
        </w:rPr>
        <w:t>.</w:t>
      </w:r>
    </w:p>
  </w:footnote>
  <w:footnote w:id="6">
    <w:p w14:paraId="1E350331" w14:textId="7B554B51" w:rsidR="002B7E82" w:rsidRDefault="002B7E82" w:rsidP="002B7E82">
      <w:pPr>
        <w:pStyle w:val="FootnoteText"/>
      </w:pPr>
      <w:r w:rsidRPr="00FD04BF">
        <w:rPr>
          <w:rStyle w:val="FootnoteReference"/>
        </w:rPr>
        <w:footnoteRef/>
      </w:r>
      <w:r w:rsidRPr="00FD04BF">
        <w:t xml:space="preserve"> Product information</w:t>
      </w:r>
      <w:r w:rsidR="00FD04BF" w:rsidRPr="00FD04BF">
        <w:t xml:space="preserve"> for</w:t>
      </w:r>
      <w:r w:rsidRPr="00FD04BF">
        <w:t xml:space="preserve"> </w:t>
      </w:r>
      <w:r w:rsidRPr="00FD04BF">
        <w:t>D</w:t>
      </w:r>
      <w:r w:rsidR="00FD04BF" w:rsidRPr="00FD04BF">
        <w:t>ukoral, available from the TGA website</w:t>
      </w:r>
      <w:r w:rsidRPr="00FD04BF">
        <w:t>.</w:t>
      </w:r>
    </w:p>
  </w:footnote>
  <w:footnote w:id="7">
    <w:p w14:paraId="4CE96BBD" w14:textId="1D5FB220" w:rsidR="00325506" w:rsidRDefault="002B7E82" w:rsidP="002B7E82">
      <w:pPr>
        <w:pStyle w:val="FootnoteText"/>
      </w:pPr>
      <w:r>
        <w:rPr>
          <w:rStyle w:val="FootnoteReference"/>
        </w:rPr>
        <w:footnoteRef/>
      </w:r>
      <w:r>
        <w:t xml:space="preserve"> </w:t>
      </w:r>
      <w:r w:rsidR="00325506" w:rsidRPr="00B73241">
        <w:t xml:space="preserve">McCarty </w:t>
      </w:r>
      <w:r w:rsidR="00BD2050" w:rsidRPr="00B73241">
        <w:t xml:space="preserve">J, </w:t>
      </w:r>
      <w:r w:rsidR="00325506" w:rsidRPr="00B73241">
        <w:t>Bedell</w:t>
      </w:r>
      <w:r w:rsidR="00BD2050" w:rsidRPr="00B73241">
        <w:t xml:space="preserve"> L</w:t>
      </w:r>
      <w:r w:rsidR="00325506" w:rsidRPr="00B73241">
        <w:t>,</w:t>
      </w:r>
      <w:r w:rsidR="00BD2050" w:rsidRPr="00B73241">
        <w:t xml:space="preserve"> </w:t>
      </w:r>
      <w:r w:rsidR="00325506" w:rsidRPr="00B73241">
        <w:t>De</w:t>
      </w:r>
      <w:r w:rsidR="00BD2050" w:rsidRPr="00B73241">
        <w:t xml:space="preserve"> </w:t>
      </w:r>
      <w:r w:rsidR="00325506" w:rsidRPr="00B73241">
        <w:t>Lame</w:t>
      </w:r>
      <w:r w:rsidR="00025038" w:rsidRPr="00B73241">
        <w:t xml:space="preserve"> P-A</w:t>
      </w:r>
      <w:r w:rsidR="00325506" w:rsidRPr="00B73241">
        <w:t>,</w:t>
      </w:r>
      <w:r w:rsidR="00025038" w:rsidRPr="00B73241">
        <w:t xml:space="preserve"> </w:t>
      </w:r>
      <w:r w:rsidR="00325506" w:rsidRPr="00B73241">
        <w:t>Cassie</w:t>
      </w:r>
      <w:r w:rsidR="00025038" w:rsidRPr="00B73241">
        <w:t xml:space="preserve"> D</w:t>
      </w:r>
      <w:r w:rsidR="00325506" w:rsidRPr="00B73241">
        <w:t>,</w:t>
      </w:r>
      <w:r w:rsidR="00025038" w:rsidRPr="00B73241">
        <w:t xml:space="preserve"> </w:t>
      </w:r>
      <w:r w:rsidR="00325506" w:rsidRPr="00B73241">
        <w:t>Lock</w:t>
      </w:r>
      <w:r w:rsidR="00025038" w:rsidRPr="00B73241">
        <w:t xml:space="preserve"> M</w:t>
      </w:r>
      <w:r w:rsidR="00325506" w:rsidRPr="00B73241">
        <w:t>,</w:t>
      </w:r>
      <w:r w:rsidR="000030D5" w:rsidRPr="00B73241">
        <w:t xml:space="preserve"> </w:t>
      </w:r>
      <w:r w:rsidR="00325506" w:rsidRPr="00B73241">
        <w:t>Bennett</w:t>
      </w:r>
      <w:r w:rsidR="000030D5" w:rsidRPr="00B73241">
        <w:t xml:space="preserve"> S, et al. </w:t>
      </w:r>
      <w:r w:rsidR="00325506" w:rsidRPr="00B73241">
        <w:t>Update on CVD 103-HgR single-dose, live oral cholera vaccine</w:t>
      </w:r>
      <w:r w:rsidR="000030D5" w:rsidRPr="00B73241">
        <w:t xml:space="preserve">. </w:t>
      </w:r>
      <w:r w:rsidR="00325506" w:rsidRPr="005F7BF4">
        <w:rPr>
          <w:i/>
          <w:iCs/>
        </w:rPr>
        <w:t>Expert Review of Vaccines</w:t>
      </w:r>
      <w:r w:rsidR="00B73241" w:rsidRPr="005F7BF4">
        <w:rPr>
          <w:i/>
          <w:iCs/>
        </w:rPr>
        <w:t>.</w:t>
      </w:r>
      <w:r w:rsidR="00B73241" w:rsidRPr="00B73241">
        <w:t xml:space="preserve"> 2022; </w:t>
      </w:r>
      <w:r w:rsidR="00325506" w:rsidRPr="00B73241">
        <w:t>21</w:t>
      </w:r>
      <w:r w:rsidR="00B73241" w:rsidRPr="00B73241">
        <w:t>(</w:t>
      </w:r>
      <w:r w:rsidR="00325506" w:rsidRPr="00B73241">
        <w:t>1</w:t>
      </w:r>
      <w:r w:rsidR="00B73241" w:rsidRPr="00B73241">
        <w:t xml:space="preserve">): </w:t>
      </w:r>
      <w:r w:rsidR="00325506" w:rsidRPr="00B73241">
        <w:t>9-23</w:t>
      </w:r>
      <w:r w:rsidR="00B73241" w:rsidRPr="00B73241">
        <w:t xml:space="preserve">. </w:t>
      </w:r>
      <w:r w:rsidR="00B73241" w:rsidRPr="00B73241">
        <w:t xml:space="preserve">doi: </w:t>
      </w:r>
      <w:r w:rsidR="00325506" w:rsidRPr="00B73241">
        <w:t>10.1080/14760584.2022.2003709</w:t>
      </w:r>
      <w:r w:rsidR="00B73241" w:rsidRPr="00B73241">
        <w:t>.</w:t>
      </w:r>
    </w:p>
  </w:footnote>
  <w:footnote w:id="8">
    <w:p w14:paraId="2E94CE3C" w14:textId="517021EE" w:rsidR="00820D9C" w:rsidRDefault="00820D9C">
      <w:pPr>
        <w:pStyle w:val="FootnoteText"/>
      </w:pPr>
      <w:r>
        <w:rPr>
          <w:rStyle w:val="FootnoteReference"/>
        </w:rPr>
        <w:footnoteRef/>
      </w:r>
      <w:r>
        <w:t xml:space="preserve"> 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9">
    <w:p w14:paraId="799319F9" w14:textId="39DFF6C3" w:rsidR="007E155B" w:rsidRDefault="007E155B" w:rsidP="007E155B">
      <w:pPr>
        <w:pStyle w:val="FootnoteText"/>
      </w:pPr>
      <w:r>
        <w:rPr>
          <w:rStyle w:val="FootnoteReference"/>
        </w:rPr>
        <w:footnoteRef/>
      </w:r>
      <w:r>
        <w:t xml:space="preserve"> </w:t>
      </w:r>
      <w:r w:rsidR="00AE66A4" w:rsidRPr="00C51F5A">
        <w:t xml:space="preserve">Iyer AS, Harris JB. Correlate of Protection for Cholera. </w:t>
      </w:r>
      <w:r w:rsidR="00E65D31" w:rsidRPr="005F7BF4">
        <w:rPr>
          <w:i/>
          <w:iCs/>
        </w:rPr>
        <w:t>The Journal of Infectious Diseases</w:t>
      </w:r>
      <w:r w:rsidR="005F7BF4">
        <w:rPr>
          <w:i/>
          <w:iCs/>
        </w:rPr>
        <w:t>.</w:t>
      </w:r>
      <w:r w:rsidR="00E65D31" w:rsidRPr="00C51F5A">
        <w:t xml:space="preserve"> </w:t>
      </w:r>
      <w:r w:rsidR="00D8610E" w:rsidRPr="00C51F5A">
        <w:t xml:space="preserve">2021; </w:t>
      </w:r>
      <w:r w:rsidR="00E65D31" w:rsidRPr="00C51F5A">
        <w:t>224</w:t>
      </w:r>
      <w:r w:rsidR="00D8610E" w:rsidRPr="00C51F5A">
        <w:t>(</w:t>
      </w:r>
      <w:r w:rsidR="00E65D31" w:rsidRPr="00C51F5A">
        <w:t>Supp</w:t>
      </w:r>
      <w:r w:rsidR="00D8610E" w:rsidRPr="00C51F5A">
        <w:t xml:space="preserve"> </w:t>
      </w:r>
      <w:r w:rsidR="00E65D31" w:rsidRPr="00C51F5A">
        <w:t>7</w:t>
      </w:r>
      <w:r w:rsidR="00D8610E" w:rsidRPr="00C51F5A">
        <w:t>)</w:t>
      </w:r>
      <w:r w:rsidR="000058F1" w:rsidRPr="00C51F5A">
        <w:t>:</w:t>
      </w:r>
      <w:r w:rsidR="00E65D31" w:rsidRPr="00C51F5A">
        <w:t xml:space="preserve"> S732–S737</w:t>
      </w:r>
      <w:r w:rsidR="000058F1" w:rsidRPr="00C51F5A">
        <w:t xml:space="preserve">. </w:t>
      </w:r>
      <w:r w:rsidR="000058F1" w:rsidRPr="00C51F5A">
        <w:t xml:space="preserve">doi: </w:t>
      </w:r>
      <w:r w:rsidR="00E65D31" w:rsidRPr="00C51F5A">
        <w:t>10.1093/infdis/jiab497</w:t>
      </w:r>
      <w:r w:rsidR="000058F1" w:rsidRPr="00C51F5A">
        <w:t>.</w:t>
      </w:r>
    </w:p>
  </w:footnote>
  <w:footnote w:id="10">
    <w:p w14:paraId="79414DEC" w14:textId="7BD4B72B" w:rsidR="00C825B4" w:rsidRDefault="00C825B4">
      <w:pPr>
        <w:pStyle w:val="FootnoteText"/>
      </w:pPr>
      <w:r>
        <w:rPr>
          <w:rStyle w:val="FootnoteReference"/>
        </w:rPr>
        <w:footnoteRef/>
      </w:r>
      <w:r>
        <w:t xml:space="preserve"> </w:t>
      </w:r>
      <w:r w:rsidR="00F24ABB" w:rsidRPr="00F24ABB">
        <w:t xml:space="preserve">US FDA CBER Vaccines </w:t>
      </w:r>
      <w:r w:rsidR="00F24ABB" w:rsidRPr="00F24ABB">
        <w:t xml:space="preserve">And Related Biological Products Advisory Committee, Meeting </w:t>
      </w:r>
      <w:r w:rsidR="00F24ABB">
        <w:t xml:space="preserve">of </w:t>
      </w:r>
      <w:r w:rsidR="00F24ABB" w:rsidRPr="00F24ABB">
        <w:t>27 May 1998</w:t>
      </w:r>
      <w:r w:rsidR="006E28E5">
        <w:t>.</w:t>
      </w:r>
    </w:p>
  </w:footnote>
  <w:footnote w:id="11">
    <w:p w14:paraId="7F23C3D7" w14:textId="1A2F5203" w:rsidR="00A90C46" w:rsidRDefault="00A90C46">
      <w:pPr>
        <w:pStyle w:val="FootnoteText"/>
      </w:pPr>
      <w:r w:rsidRPr="00366265">
        <w:rPr>
          <w:rStyle w:val="FootnoteReference"/>
        </w:rPr>
        <w:footnoteRef/>
      </w:r>
      <w:r w:rsidRPr="00366265">
        <w:t xml:space="preserve"> </w:t>
      </w:r>
      <w:r w:rsidR="00366265" w:rsidRPr="00366265">
        <w:t xml:space="preserve">Chen WH, Greenberg RN, </w:t>
      </w:r>
      <w:r w:rsidR="00366265" w:rsidRPr="00366265">
        <w:t xml:space="preserve">Pasetti MF, Livio S, Lock M, Gurwith M, et al. Safety and immunogenicity of single-dose live oral cholera vaccine strain CVD 103-HgR, prepared from new master and working cell banks. </w:t>
      </w:r>
      <w:r w:rsidR="00366265" w:rsidRPr="005F7BF4">
        <w:rPr>
          <w:i/>
          <w:iCs/>
        </w:rPr>
        <w:t>Clin Vaccine Immunol</w:t>
      </w:r>
      <w:r w:rsidR="00366265" w:rsidRPr="00366265">
        <w:t>. 2014 Jan;21(1):66-73. doi: 10.1128/CVI.00601-13.</w:t>
      </w:r>
    </w:p>
  </w:footnote>
  <w:footnote w:id="12">
    <w:p w14:paraId="3C18EFE8" w14:textId="7CFAD7D0" w:rsidR="0094711C" w:rsidRPr="006F17F3" w:rsidRDefault="0094711C" w:rsidP="00F733D3">
      <w:pPr>
        <w:pStyle w:val="FootnoteText"/>
      </w:pPr>
      <w:r w:rsidRPr="006F17F3">
        <w:rPr>
          <w:rStyle w:val="FootnoteReference"/>
        </w:rPr>
        <w:footnoteRef/>
      </w:r>
      <w:r w:rsidRPr="006F17F3">
        <w:t xml:space="preserve"> </w:t>
      </w:r>
      <w:r w:rsidR="00140E30" w:rsidRPr="006F17F3">
        <w:t xml:space="preserve">Chen WH, Cohen MB, Kirkpatrick BD, Brady RC, Galloway D, </w:t>
      </w:r>
      <w:r w:rsidR="00140E30" w:rsidRPr="006F17F3">
        <w:t xml:space="preserve">Gurwith M, et al. Single-dose Live Oral Cholera Vaccine CVD 103-HgR Protects Against Human Experimental Infection </w:t>
      </w:r>
      <w:r w:rsidR="00140E30" w:rsidRPr="006F17F3">
        <w:t xml:space="preserve">With Vibrio cholerae O1 El Tor. </w:t>
      </w:r>
      <w:r w:rsidR="00140E30" w:rsidRPr="005F7BF4">
        <w:rPr>
          <w:i/>
          <w:iCs/>
        </w:rPr>
        <w:t>Clin Infect Dis</w:t>
      </w:r>
      <w:r w:rsidR="00140E30" w:rsidRPr="006F17F3">
        <w:t>. 2016 Jun 1;</w:t>
      </w:r>
      <w:r w:rsidR="0044072D">
        <w:t xml:space="preserve"> </w:t>
      </w:r>
      <w:r w:rsidR="00140E30" w:rsidRPr="006F17F3">
        <w:t>62(11):1329-1335. doi: 10.1093/cid/ciw145.</w:t>
      </w:r>
    </w:p>
  </w:footnote>
  <w:footnote w:id="13">
    <w:p w14:paraId="157D4D11" w14:textId="18FAA956" w:rsidR="00AF0022" w:rsidRDefault="00AF0022">
      <w:pPr>
        <w:pStyle w:val="FootnoteText"/>
      </w:pPr>
      <w:r>
        <w:rPr>
          <w:rStyle w:val="FootnoteReference"/>
        </w:rPr>
        <w:footnoteRef/>
      </w:r>
      <w:r>
        <w:t xml:space="preserve"> </w:t>
      </w:r>
      <w:r w:rsidR="00655F36" w:rsidRPr="006F17F3">
        <w:t xml:space="preserve">Haney DJ, Lock MD, Simon JK, Harris J, </w:t>
      </w:r>
      <w:r w:rsidR="00655F36" w:rsidRPr="006F17F3">
        <w:t xml:space="preserve">Gurwith M. Antibody-Based Correlates of Protection Against Cholera Analysis of a Challenge Study in a Cholera-Naïve Population. </w:t>
      </w:r>
      <w:r w:rsidR="00655F36" w:rsidRPr="005F7BF4">
        <w:rPr>
          <w:i/>
          <w:iCs/>
        </w:rPr>
        <w:t>Clin Vaccine Immunol</w:t>
      </w:r>
      <w:r w:rsidR="00655F36" w:rsidRPr="006F17F3">
        <w:t>. 2017 May 31;24(8</w:t>
      </w:r>
      <w:r w:rsidR="00655F36" w:rsidRPr="006F17F3">
        <w:t>):e00098-17. doi:</w:t>
      </w:r>
      <w:r w:rsidR="00D51450">
        <w:t> </w:t>
      </w:r>
      <w:r w:rsidR="00655F36" w:rsidRPr="006F17F3">
        <w:t>10.1128/CVI.00098-17.</w:t>
      </w:r>
    </w:p>
  </w:footnote>
  <w:footnote w:id="14">
    <w:p w14:paraId="3DCC6C22" w14:textId="5BB6E92C" w:rsidR="00655F36" w:rsidRDefault="00655F36">
      <w:pPr>
        <w:pStyle w:val="FootnoteText"/>
      </w:pPr>
      <w:r>
        <w:rPr>
          <w:rStyle w:val="FootnoteReference"/>
        </w:rPr>
        <w:footnoteRef/>
      </w:r>
      <w:r>
        <w:t xml:space="preserve"> </w:t>
      </w:r>
      <w:r w:rsidR="00F733D3" w:rsidRPr="006F17F3">
        <w:t xml:space="preserve">Haney DJ, Lock MD, </w:t>
      </w:r>
      <w:r w:rsidR="00F733D3" w:rsidRPr="006F17F3">
        <w:t xml:space="preserve">Gurwith M, Simon JK, Ishioka G, Cohen MB, et al. Lipopolysaccharide-specific memory B cell responses to an attenuated live cholera vaccine are associated with protection against </w:t>
      </w:r>
      <w:r w:rsidR="00F733D3" w:rsidRPr="002F67DD">
        <w:rPr>
          <w:i/>
          <w:iCs/>
        </w:rPr>
        <w:t>Vibrio cholerae</w:t>
      </w:r>
      <w:r w:rsidR="00F733D3" w:rsidRPr="006F17F3">
        <w:t xml:space="preserve"> infection</w:t>
      </w:r>
      <w:r w:rsidR="00F733D3" w:rsidRPr="005F7BF4">
        <w:rPr>
          <w:i/>
          <w:iCs/>
        </w:rPr>
        <w:t>. Vaccine</w:t>
      </w:r>
      <w:r w:rsidR="00F733D3" w:rsidRPr="006F17F3">
        <w:t>. 2018 May 11;36(20):2768-2773. doi: 10.1016/j.vaccine.2018.04.011.</w:t>
      </w:r>
    </w:p>
  </w:footnote>
  <w:footnote w:id="15">
    <w:p w14:paraId="57664EFF" w14:textId="1BDA416C" w:rsidR="00C452C7" w:rsidRDefault="00C452C7">
      <w:pPr>
        <w:pStyle w:val="FootnoteText"/>
      </w:pPr>
      <w:r>
        <w:rPr>
          <w:rStyle w:val="FootnoteReference"/>
        </w:rPr>
        <w:footnoteRef/>
      </w:r>
      <w:r>
        <w:t xml:space="preserve"> Blood group </w:t>
      </w:r>
      <w:r>
        <w:t>O individuals are at higher risk for severe cholera; see Chen et al (2016).</w:t>
      </w:r>
    </w:p>
  </w:footnote>
  <w:footnote w:id="16">
    <w:p w14:paraId="193DFDE2" w14:textId="31C19B77" w:rsidR="00493FC4" w:rsidRDefault="00493FC4">
      <w:pPr>
        <w:pStyle w:val="FootnoteText"/>
      </w:pPr>
      <w:r w:rsidRPr="00D15F22">
        <w:rPr>
          <w:rStyle w:val="FootnoteReference"/>
        </w:rPr>
        <w:footnoteRef/>
      </w:r>
      <w:r w:rsidRPr="00D15F22">
        <w:t xml:space="preserve"> </w:t>
      </w:r>
      <w:r w:rsidR="00F470E4" w:rsidRPr="00D15F22">
        <w:rPr>
          <w:rStyle w:val="FootnoteTextChar"/>
        </w:rPr>
        <w:t xml:space="preserve">McCarty JM, Lock MD, Hunt KM, Simon JK, </w:t>
      </w:r>
      <w:r w:rsidR="00F470E4" w:rsidRPr="00D15F22">
        <w:rPr>
          <w:rStyle w:val="FootnoteTextChar"/>
        </w:rPr>
        <w:t>Gurwith M. Safety and immunogenicity of single-dose live oral cholera vaccine</w:t>
      </w:r>
      <w:r w:rsidR="00F470E4" w:rsidRPr="00AC0E4F">
        <w:rPr>
          <w:rStyle w:val="FootnoteTextChar"/>
        </w:rPr>
        <w:t xml:space="preserve"> strain CVD 103-HgR in healthy adults </w:t>
      </w:r>
      <w:r w:rsidR="00F470E4" w:rsidRPr="00AC0E4F">
        <w:rPr>
          <w:rStyle w:val="FootnoteTextChar"/>
        </w:rPr>
        <w:t xml:space="preserve">age 18-45. </w:t>
      </w:r>
      <w:r w:rsidR="00F470E4" w:rsidRPr="005F7BF4">
        <w:rPr>
          <w:rStyle w:val="FootnoteTextChar"/>
          <w:i/>
          <w:iCs/>
        </w:rPr>
        <w:t>Vaccine.</w:t>
      </w:r>
      <w:r w:rsidR="00F470E4" w:rsidRPr="00AC0E4F">
        <w:rPr>
          <w:rStyle w:val="FootnoteTextChar"/>
        </w:rPr>
        <w:t xml:space="preserve"> 2018 Feb 1; 36(6): 833-840. doi: 10.1016/j.vaccine.2017.12.062.</w:t>
      </w:r>
    </w:p>
  </w:footnote>
  <w:footnote w:id="17">
    <w:p w14:paraId="321058FF" w14:textId="6C4E1E1C" w:rsidR="00CD5D2D" w:rsidRDefault="00CD5D2D" w:rsidP="00AC0E4F">
      <w:pPr>
        <w:autoSpaceDE w:val="0"/>
        <w:autoSpaceDN w:val="0"/>
        <w:adjustRightInd w:val="0"/>
        <w:spacing w:after="0" w:line="240" w:lineRule="auto"/>
      </w:pPr>
      <w:r>
        <w:rPr>
          <w:rStyle w:val="FootnoteReference"/>
        </w:rPr>
        <w:footnoteRef/>
      </w:r>
      <w:r w:rsidRPr="00AC0E4F">
        <w:rPr>
          <w:rStyle w:val="FootnoteTextChar"/>
        </w:rPr>
        <w:t xml:space="preserve"> </w:t>
      </w:r>
      <w:r w:rsidR="00AC0E4F" w:rsidRPr="00AC0E4F">
        <w:rPr>
          <w:rStyle w:val="FootnoteTextChar"/>
        </w:rPr>
        <w:t xml:space="preserve">McCarty JM, Lock MD, Bennett S, Hunt KM, Simon JK, </w:t>
      </w:r>
      <w:r w:rsidR="00AC0E4F" w:rsidRPr="00AC0E4F">
        <w:rPr>
          <w:rStyle w:val="FootnoteTextChar"/>
        </w:rPr>
        <w:t xml:space="preserve">Gurwith M. Age-related immunogenicity and reactogenicity of live oral cholera vaccine CVD 103-HgR in a randomized, controlled clinical trial. </w:t>
      </w:r>
      <w:r w:rsidR="00AC0E4F" w:rsidRPr="005F7BF4">
        <w:rPr>
          <w:rStyle w:val="FootnoteTextChar"/>
          <w:i/>
          <w:iCs/>
        </w:rPr>
        <w:t>Vaccine.</w:t>
      </w:r>
      <w:r w:rsidR="00AC0E4F" w:rsidRPr="00AC0E4F">
        <w:rPr>
          <w:rStyle w:val="FootnoteTextChar"/>
        </w:rPr>
        <w:t xml:space="preserve"> 2019 Mar 7;37(11):1389-1397. doi: 10.1016/j.vaccine.2019.01.077.</w:t>
      </w:r>
    </w:p>
  </w:footnote>
  <w:footnote w:id="18">
    <w:p w14:paraId="495DAF10" w14:textId="3C764AB2" w:rsidR="003B3354" w:rsidRDefault="00035B13" w:rsidP="00D55CB3">
      <w:pPr>
        <w:pStyle w:val="FootnoteText"/>
      </w:pPr>
      <w:r w:rsidRPr="00D55CB3">
        <w:rPr>
          <w:rStyle w:val="FootnoteReference"/>
        </w:rPr>
        <w:footnoteRef/>
      </w:r>
      <w:r w:rsidRPr="00D55CB3">
        <w:rPr>
          <w:vertAlign w:val="superscript"/>
        </w:rPr>
        <w:t xml:space="preserve"> </w:t>
      </w:r>
      <w:r w:rsidR="00DB684D" w:rsidRPr="00D55CB3">
        <w:t xml:space="preserve">McCarty JM, Gierman EC, Bedell L, Lock MD, Bennett S. Safety and Immunogenicity of Live Oral Cholera Vaccine CVD 103-HgR in Children and Adolescents Aged 6-17 Years. </w:t>
      </w:r>
      <w:r w:rsidR="00DB684D" w:rsidRPr="005F7BF4">
        <w:rPr>
          <w:i/>
          <w:iCs/>
        </w:rPr>
        <w:t xml:space="preserve">Am J Trop Med </w:t>
      </w:r>
      <w:r w:rsidR="00DB684D" w:rsidRPr="005F7BF4">
        <w:rPr>
          <w:i/>
          <w:iCs/>
        </w:rPr>
        <w:t>Hyg.</w:t>
      </w:r>
      <w:r w:rsidR="00DB684D" w:rsidRPr="00D55CB3">
        <w:t xml:space="preserve"> 2020 Jan;102(1):48-57. doi:</w:t>
      </w:r>
      <w:r w:rsidR="0010467F" w:rsidRPr="00D55CB3">
        <w:t> </w:t>
      </w:r>
      <w:r w:rsidR="00DB684D" w:rsidRPr="00D55CB3">
        <w:t>10.4269/ajtmh.19-0241.</w:t>
      </w:r>
    </w:p>
    <w:p w14:paraId="211C510E" w14:textId="565E3703" w:rsidR="006D6C1C" w:rsidRPr="00D55CB3" w:rsidRDefault="006D6C1C" w:rsidP="00D55CB3">
      <w:pPr>
        <w:pStyle w:val="FootnoteText"/>
        <w:rPr>
          <w:highlight w:val="yellow"/>
        </w:rPr>
      </w:pPr>
      <w:r w:rsidRPr="00D55CB3">
        <w:t xml:space="preserve">McCarty JM, Cassie D, Bedell L, Lock MD, Bennett S. Safety and Immunogenicity of Live Oral Cholera Vaccine CVD 103-HgR in Children Aged 2-5 Years in the United States. </w:t>
      </w:r>
      <w:r w:rsidRPr="005F7BF4">
        <w:rPr>
          <w:i/>
          <w:iCs/>
        </w:rPr>
        <w:t>Am J Trop Med Hyg</w:t>
      </w:r>
      <w:r w:rsidRPr="00D55CB3">
        <w:t>. 2020 Dec 14;104(3):861-865. doi: 10.4269/ajtmh.20-0917.</w:t>
      </w:r>
    </w:p>
    <w:p w14:paraId="3ECEAE4D" w14:textId="5364FEA7" w:rsidR="00035B13" w:rsidRPr="00D55CB3" w:rsidRDefault="0010467F" w:rsidP="00D55CB3">
      <w:pPr>
        <w:pStyle w:val="FootnoteText"/>
      </w:pPr>
      <w:r w:rsidRPr="00D55CB3">
        <w:t>McCarty JM, Cassie D, Bedell L, Lock MD, Bennett S. Long-Term Immunogenicity of Live Oral Cholera Vaccine CVD 103-HgR in Adolescents Aged 12-17 Years in the United States</w:t>
      </w:r>
      <w:r w:rsidRPr="005F7BF4">
        <w:rPr>
          <w:i/>
          <w:iCs/>
        </w:rPr>
        <w:t>. Am J Trop Med Hyg</w:t>
      </w:r>
      <w:r w:rsidRPr="00D55CB3">
        <w:t>. 2021 Apr 5;104(5):1758-1760. doi: 10.4269/ajtmh.20-1576.</w:t>
      </w:r>
    </w:p>
  </w:footnote>
  <w:footnote w:id="19">
    <w:p w14:paraId="793EC9DE" w14:textId="3EA355B1" w:rsidR="00D61607" w:rsidRDefault="00D61607" w:rsidP="00D61607">
      <w:pPr>
        <w:pStyle w:val="FootnoteText"/>
      </w:pPr>
      <w:r>
        <w:rPr>
          <w:rStyle w:val="FootnoteReference"/>
        </w:rPr>
        <w:footnoteRef/>
      </w:r>
      <w:r>
        <w:t xml:space="preserve"> Committee for Medicinal Products for Human Use (CHMP) Assessment report EMA/CHMP/444278/2020, dated 28</w:t>
      </w:r>
      <w:r w:rsidR="008915FA">
        <w:t> </w:t>
      </w:r>
      <w:r>
        <w:t xml:space="preserve">January 2021, available at </w:t>
      </w:r>
      <w:hyperlink r:id="rId2" w:history="1">
        <w:r>
          <w:rPr>
            <w:rStyle w:val="Hyperlink"/>
          </w:rPr>
          <w:t>Vaxchora, INN-cholera vaccine (recombinant, live, oral) (europa.eu)</w:t>
        </w:r>
      </w:hyperlink>
    </w:p>
  </w:footnote>
  <w:footnote w:id="20">
    <w:p w14:paraId="4A5D0806" w14:textId="1BF4FF24" w:rsidR="006138B8" w:rsidRDefault="006138B8" w:rsidP="006138B8">
      <w:pPr>
        <w:pStyle w:val="FootnoteText"/>
      </w:pPr>
      <w:r>
        <w:rPr>
          <w:rStyle w:val="FootnoteReference"/>
        </w:rPr>
        <w:footnoteRef/>
      </w:r>
      <w:r>
        <w:t xml:space="preserve"> </w:t>
      </w:r>
      <w:r w:rsidR="005152AB">
        <w:t xml:space="preserve">Study document </w:t>
      </w:r>
      <w:r w:rsidR="00B128DF">
        <w:t xml:space="preserve">2.5 </w:t>
      </w:r>
      <w:r w:rsidR="00C150BA">
        <w:t xml:space="preserve">- </w:t>
      </w:r>
      <w:r w:rsidR="00B128DF">
        <w:t>Clinical Overview</w:t>
      </w:r>
      <w:r w:rsidR="008A0B37">
        <w:t xml:space="preserve">, available at </w:t>
      </w:r>
      <w:hyperlink r:id="rId3" w:history="1">
        <w:r w:rsidR="00D17C1A">
          <w:rPr>
            <w:rStyle w:val="Hyperlink"/>
          </w:rPr>
          <w:t>Available information for VAXCHORA - Submission control number 264995 - Canada.ca</w:t>
        </w:r>
      </w:hyperlink>
      <w:r>
        <w:t xml:space="preserve"> </w:t>
      </w:r>
      <w:r w:rsidR="00990B4B">
        <w:t>(</w:t>
      </w:r>
      <w:r w:rsidR="000A1EC9">
        <w:t xml:space="preserve">Government of </w:t>
      </w:r>
      <w:r w:rsidR="008E3070">
        <w:t>Canada)</w:t>
      </w:r>
    </w:p>
  </w:footnote>
  <w:footnote w:id="21">
    <w:p w14:paraId="27CD37F2" w14:textId="46A638B7" w:rsidR="00E05533" w:rsidRPr="008E515A" w:rsidRDefault="00E05533" w:rsidP="00E05533">
      <w:pPr>
        <w:pStyle w:val="FootnoteText"/>
      </w:pPr>
      <w:r>
        <w:rPr>
          <w:rStyle w:val="FootnoteReference"/>
        </w:rPr>
        <w:footnoteRef/>
      </w:r>
      <w:r>
        <w:t xml:space="preserve"> </w:t>
      </w:r>
      <w:r w:rsidR="008E515A" w:rsidRPr="008E515A">
        <w:t xml:space="preserve">Perry RT, Plowe CV, </w:t>
      </w:r>
      <w:r w:rsidR="008E515A" w:rsidRPr="008E515A">
        <w:t xml:space="preserve">Koumaré B, Bougoudogo F, Kotloff KL, Losonsky GA, et al. A single dose of live oral cholera vaccine CVD 103-HgR is safe and immunogenic in HIV-infected and HIV-noninfected adults in Mali. </w:t>
      </w:r>
      <w:r w:rsidR="008E515A" w:rsidRPr="005F7BF4">
        <w:rPr>
          <w:i/>
          <w:iCs/>
        </w:rPr>
        <w:t>Bull World Health Organ</w:t>
      </w:r>
      <w:r w:rsidR="008E515A" w:rsidRPr="008E515A">
        <w:t>. 1998;76(1):63-71.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A741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81735403" name="Picture 28173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95444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724615569" name="Picture 172461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32747"/>
    <w:multiLevelType w:val="hybridMultilevel"/>
    <w:tmpl w:val="1D0A5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1736EA1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5D4FAD"/>
    <w:multiLevelType w:val="hybridMultilevel"/>
    <w:tmpl w:val="25B267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93669D"/>
    <w:multiLevelType w:val="hybridMultilevel"/>
    <w:tmpl w:val="DE2CD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6619444">
    <w:abstractNumId w:val="4"/>
  </w:num>
  <w:num w:numId="2" w16cid:durableId="566574308">
    <w:abstractNumId w:val="1"/>
  </w:num>
  <w:num w:numId="3" w16cid:durableId="2025158805">
    <w:abstractNumId w:val="3"/>
  </w:num>
  <w:num w:numId="4" w16cid:durableId="318189490">
    <w:abstractNumId w:val="7"/>
  </w:num>
  <w:num w:numId="5" w16cid:durableId="43020576">
    <w:abstractNumId w:val="5"/>
  </w:num>
  <w:num w:numId="6" w16cid:durableId="1288465675">
    <w:abstractNumId w:val="6"/>
  </w:num>
  <w:num w:numId="7" w16cid:durableId="1033055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389186359">
    <w:abstractNumId w:val="8"/>
  </w:num>
  <w:num w:numId="9" w16cid:durableId="850069334">
    <w:abstractNumId w:val="2"/>
  </w:num>
  <w:num w:numId="10" w16cid:durableId="1139690538">
    <w:abstractNumId w:val="1"/>
  </w:num>
  <w:num w:numId="11" w16cid:durableId="191843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8922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1808"/>
    <w:rsid w:val="00001AE5"/>
    <w:rsid w:val="00002CB2"/>
    <w:rsid w:val="000030D5"/>
    <w:rsid w:val="000058F1"/>
    <w:rsid w:val="00010833"/>
    <w:rsid w:val="00012550"/>
    <w:rsid w:val="00014622"/>
    <w:rsid w:val="000165E5"/>
    <w:rsid w:val="0001748E"/>
    <w:rsid w:val="000206CE"/>
    <w:rsid w:val="00021194"/>
    <w:rsid w:val="00025038"/>
    <w:rsid w:val="000267CD"/>
    <w:rsid w:val="00032ABD"/>
    <w:rsid w:val="000345A6"/>
    <w:rsid w:val="00035B13"/>
    <w:rsid w:val="00037580"/>
    <w:rsid w:val="00040CAE"/>
    <w:rsid w:val="00043732"/>
    <w:rsid w:val="00043B88"/>
    <w:rsid w:val="00052826"/>
    <w:rsid w:val="00067A37"/>
    <w:rsid w:val="0007017B"/>
    <w:rsid w:val="00070A87"/>
    <w:rsid w:val="0007495D"/>
    <w:rsid w:val="00077844"/>
    <w:rsid w:val="00077DCB"/>
    <w:rsid w:val="0008048D"/>
    <w:rsid w:val="000814E2"/>
    <w:rsid w:val="00083B0E"/>
    <w:rsid w:val="00083EBC"/>
    <w:rsid w:val="00094B81"/>
    <w:rsid w:val="000975AA"/>
    <w:rsid w:val="000A0D76"/>
    <w:rsid w:val="000A1E77"/>
    <w:rsid w:val="000A1EC9"/>
    <w:rsid w:val="000A3E37"/>
    <w:rsid w:val="000A7419"/>
    <w:rsid w:val="000A75E2"/>
    <w:rsid w:val="000C0D5C"/>
    <w:rsid w:val="000C1D6E"/>
    <w:rsid w:val="000D5502"/>
    <w:rsid w:val="000D5F37"/>
    <w:rsid w:val="000D7934"/>
    <w:rsid w:val="000E2122"/>
    <w:rsid w:val="000E4274"/>
    <w:rsid w:val="000F0971"/>
    <w:rsid w:val="000F0C67"/>
    <w:rsid w:val="000F6C8D"/>
    <w:rsid w:val="000F7DD7"/>
    <w:rsid w:val="00101FB1"/>
    <w:rsid w:val="0010467F"/>
    <w:rsid w:val="00107CFE"/>
    <w:rsid w:val="00113390"/>
    <w:rsid w:val="0011505C"/>
    <w:rsid w:val="00116B8F"/>
    <w:rsid w:val="00116C06"/>
    <w:rsid w:val="00117D98"/>
    <w:rsid w:val="0012362D"/>
    <w:rsid w:val="0012473C"/>
    <w:rsid w:val="00125495"/>
    <w:rsid w:val="0013132F"/>
    <w:rsid w:val="0013528C"/>
    <w:rsid w:val="00137C78"/>
    <w:rsid w:val="00140E30"/>
    <w:rsid w:val="00141C7B"/>
    <w:rsid w:val="0014273B"/>
    <w:rsid w:val="001427C9"/>
    <w:rsid w:val="0015383C"/>
    <w:rsid w:val="0015486C"/>
    <w:rsid w:val="00164370"/>
    <w:rsid w:val="0016502A"/>
    <w:rsid w:val="00165D28"/>
    <w:rsid w:val="00175CD8"/>
    <w:rsid w:val="00185688"/>
    <w:rsid w:val="00186583"/>
    <w:rsid w:val="00194394"/>
    <w:rsid w:val="00196AB5"/>
    <w:rsid w:val="001A10B5"/>
    <w:rsid w:val="001A32A1"/>
    <w:rsid w:val="001A7002"/>
    <w:rsid w:val="001B685E"/>
    <w:rsid w:val="001B6BAF"/>
    <w:rsid w:val="001B767E"/>
    <w:rsid w:val="001C1C2E"/>
    <w:rsid w:val="001D0990"/>
    <w:rsid w:val="001E2E6E"/>
    <w:rsid w:val="001E5EDF"/>
    <w:rsid w:val="001F6834"/>
    <w:rsid w:val="0020369B"/>
    <w:rsid w:val="002133D6"/>
    <w:rsid w:val="0021458A"/>
    <w:rsid w:val="0022576A"/>
    <w:rsid w:val="00226F39"/>
    <w:rsid w:val="0023029B"/>
    <w:rsid w:val="00234883"/>
    <w:rsid w:val="00235F34"/>
    <w:rsid w:val="00236FEC"/>
    <w:rsid w:val="00241878"/>
    <w:rsid w:val="00241B60"/>
    <w:rsid w:val="0025016A"/>
    <w:rsid w:val="00253C90"/>
    <w:rsid w:val="00257A72"/>
    <w:rsid w:val="00264108"/>
    <w:rsid w:val="00270404"/>
    <w:rsid w:val="00271A42"/>
    <w:rsid w:val="00276A56"/>
    <w:rsid w:val="0028151A"/>
    <w:rsid w:val="0028516D"/>
    <w:rsid w:val="00294DF6"/>
    <w:rsid w:val="00294EB5"/>
    <w:rsid w:val="002A4C3C"/>
    <w:rsid w:val="002A4EAF"/>
    <w:rsid w:val="002A5E87"/>
    <w:rsid w:val="002B6A80"/>
    <w:rsid w:val="002B7E82"/>
    <w:rsid w:val="002C1143"/>
    <w:rsid w:val="002C4076"/>
    <w:rsid w:val="002C5898"/>
    <w:rsid w:val="002C5E29"/>
    <w:rsid w:val="002D5C3A"/>
    <w:rsid w:val="002D7127"/>
    <w:rsid w:val="002E77C0"/>
    <w:rsid w:val="002F02EA"/>
    <w:rsid w:val="002F1DF1"/>
    <w:rsid w:val="002F3D01"/>
    <w:rsid w:val="002F67DD"/>
    <w:rsid w:val="003008D8"/>
    <w:rsid w:val="00301678"/>
    <w:rsid w:val="00303959"/>
    <w:rsid w:val="00310929"/>
    <w:rsid w:val="00310D55"/>
    <w:rsid w:val="00312AC3"/>
    <w:rsid w:val="00313EC2"/>
    <w:rsid w:val="00314430"/>
    <w:rsid w:val="003146F3"/>
    <w:rsid w:val="00321543"/>
    <w:rsid w:val="00324B33"/>
    <w:rsid w:val="00325506"/>
    <w:rsid w:val="003304A6"/>
    <w:rsid w:val="00330D18"/>
    <w:rsid w:val="0033152A"/>
    <w:rsid w:val="00332BD0"/>
    <w:rsid w:val="00336B7A"/>
    <w:rsid w:val="00341CA4"/>
    <w:rsid w:val="00341D7C"/>
    <w:rsid w:val="00344D89"/>
    <w:rsid w:val="00344FF3"/>
    <w:rsid w:val="00346EC2"/>
    <w:rsid w:val="00350972"/>
    <w:rsid w:val="00350C97"/>
    <w:rsid w:val="0035444D"/>
    <w:rsid w:val="0036384B"/>
    <w:rsid w:val="003654AF"/>
    <w:rsid w:val="00366265"/>
    <w:rsid w:val="003715F7"/>
    <w:rsid w:val="003763C9"/>
    <w:rsid w:val="0037665D"/>
    <w:rsid w:val="0037754E"/>
    <w:rsid w:val="00386D33"/>
    <w:rsid w:val="0038731B"/>
    <w:rsid w:val="00394790"/>
    <w:rsid w:val="00395140"/>
    <w:rsid w:val="00395F43"/>
    <w:rsid w:val="00397BEC"/>
    <w:rsid w:val="003A254A"/>
    <w:rsid w:val="003A38FC"/>
    <w:rsid w:val="003A39AE"/>
    <w:rsid w:val="003A496E"/>
    <w:rsid w:val="003A7E5F"/>
    <w:rsid w:val="003B0F31"/>
    <w:rsid w:val="003B1341"/>
    <w:rsid w:val="003B149C"/>
    <w:rsid w:val="003B209C"/>
    <w:rsid w:val="003B220D"/>
    <w:rsid w:val="003B28E9"/>
    <w:rsid w:val="003B2FA8"/>
    <w:rsid w:val="003B3354"/>
    <w:rsid w:val="003B7DA0"/>
    <w:rsid w:val="003C0435"/>
    <w:rsid w:val="003C236E"/>
    <w:rsid w:val="003C2565"/>
    <w:rsid w:val="003D0069"/>
    <w:rsid w:val="003D3564"/>
    <w:rsid w:val="003D48F0"/>
    <w:rsid w:val="003D6E0F"/>
    <w:rsid w:val="003D71A1"/>
    <w:rsid w:val="003E41DB"/>
    <w:rsid w:val="003E77FC"/>
    <w:rsid w:val="003F0E2F"/>
    <w:rsid w:val="0040085F"/>
    <w:rsid w:val="004022D5"/>
    <w:rsid w:val="00402539"/>
    <w:rsid w:val="00403FEC"/>
    <w:rsid w:val="00406874"/>
    <w:rsid w:val="0041688F"/>
    <w:rsid w:val="00417DB2"/>
    <w:rsid w:val="00417E63"/>
    <w:rsid w:val="0042376F"/>
    <w:rsid w:val="004237A9"/>
    <w:rsid w:val="004246B8"/>
    <w:rsid w:val="00425394"/>
    <w:rsid w:val="00426DB9"/>
    <w:rsid w:val="00427157"/>
    <w:rsid w:val="00433318"/>
    <w:rsid w:val="0044072D"/>
    <w:rsid w:val="00444433"/>
    <w:rsid w:val="0044490D"/>
    <w:rsid w:val="00450A36"/>
    <w:rsid w:val="0045229C"/>
    <w:rsid w:val="00454B02"/>
    <w:rsid w:val="004569E1"/>
    <w:rsid w:val="00457274"/>
    <w:rsid w:val="00460470"/>
    <w:rsid w:val="00461009"/>
    <w:rsid w:val="0046142F"/>
    <w:rsid w:val="004644AE"/>
    <w:rsid w:val="0047133F"/>
    <w:rsid w:val="00477C4E"/>
    <w:rsid w:val="00477C52"/>
    <w:rsid w:val="00477D37"/>
    <w:rsid w:val="004801C4"/>
    <w:rsid w:val="00481D2D"/>
    <w:rsid w:val="00486BFE"/>
    <w:rsid w:val="00491A55"/>
    <w:rsid w:val="00493FC4"/>
    <w:rsid w:val="004A2536"/>
    <w:rsid w:val="004A29BD"/>
    <w:rsid w:val="004B1721"/>
    <w:rsid w:val="004B3081"/>
    <w:rsid w:val="004C5E85"/>
    <w:rsid w:val="004D1173"/>
    <w:rsid w:val="004D4B73"/>
    <w:rsid w:val="004E075C"/>
    <w:rsid w:val="004E6AD9"/>
    <w:rsid w:val="004F2E5D"/>
    <w:rsid w:val="004F5A89"/>
    <w:rsid w:val="004F665F"/>
    <w:rsid w:val="00500828"/>
    <w:rsid w:val="00505694"/>
    <w:rsid w:val="00505C3B"/>
    <w:rsid w:val="005152AB"/>
    <w:rsid w:val="0052400A"/>
    <w:rsid w:val="00527556"/>
    <w:rsid w:val="00535DFE"/>
    <w:rsid w:val="0053635C"/>
    <w:rsid w:val="00545B18"/>
    <w:rsid w:val="0055284D"/>
    <w:rsid w:val="00562F42"/>
    <w:rsid w:val="00564131"/>
    <w:rsid w:val="0056463E"/>
    <w:rsid w:val="0056766D"/>
    <w:rsid w:val="00567E6D"/>
    <w:rsid w:val="00573D50"/>
    <w:rsid w:val="00574358"/>
    <w:rsid w:val="005743C6"/>
    <w:rsid w:val="00577C26"/>
    <w:rsid w:val="00580A98"/>
    <w:rsid w:val="0058254C"/>
    <w:rsid w:val="0058575E"/>
    <w:rsid w:val="00586ED6"/>
    <w:rsid w:val="0058783C"/>
    <w:rsid w:val="005911AE"/>
    <w:rsid w:val="0059313A"/>
    <w:rsid w:val="005A320C"/>
    <w:rsid w:val="005A3550"/>
    <w:rsid w:val="005B023F"/>
    <w:rsid w:val="005B5933"/>
    <w:rsid w:val="005C7410"/>
    <w:rsid w:val="005C7732"/>
    <w:rsid w:val="005D2089"/>
    <w:rsid w:val="005D44D3"/>
    <w:rsid w:val="005D4DB4"/>
    <w:rsid w:val="005D4EC9"/>
    <w:rsid w:val="005D6A7B"/>
    <w:rsid w:val="005D7514"/>
    <w:rsid w:val="005E1A7B"/>
    <w:rsid w:val="005E6ABD"/>
    <w:rsid w:val="005F15A5"/>
    <w:rsid w:val="005F598E"/>
    <w:rsid w:val="005F745F"/>
    <w:rsid w:val="005F7BF4"/>
    <w:rsid w:val="006016C8"/>
    <w:rsid w:val="00601DD5"/>
    <w:rsid w:val="00606DFF"/>
    <w:rsid w:val="00607D6B"/>
    <w:rsid w:val="006105BE"/>
    <w:rsid w:val="00611DDC"/>
    <w:rsid w:val="006138B8"/>
    <w:rsid w:val="00613AF5"/>
    <w:rsid w:val="00625C99"/>
    <w:rsid w:val="006277A1"/>
    <w:rsid w:val="006301E6"/>
    <w:rsid w:val="006307AA"/>
    <w:rsid w:val="006315A6"/>
    <w:rsid w:val="0063310D"/>
    <w:rsid w:val="006351D9"/>
    <w:rsid w:val="00636900"/>
    <w:rsid w:val="00637130"/>
    <w:rsid w:val="00637F0E"/>
    <w:rsid w:val="006423F2"/>
    <w:rsid w:val="00644BED"/>
    <w:rsid w:val="00645B5A"/>
    <w:rsid w:val="0064621F"/>
    <w:rsid w:val="00646E43"/>
    <w:rsid w:val="00655F36"/>
    <w:rsid w:val="00664F0E"/>
    <w:rsid w:val="00674E04"/>
    <w:rsid w:val="00677BF1"/>
    <w:rsid w:val="0068370B"/>
    <w:rsid w:val="00684E57"/>
    <w:rsid w:val="00692406"/>
    <w:rsid w:val="00692CCD"/>
    <w:rsid w:val="00693AAD"/>
    <w:rsid w:val="006964F1"/>
    <w:rsid w:val="006A0900"/>
    <w:rsid w:val="006A1F0B"/>
    <w:rsid w:val="006A1FE0"/>
    <w:rsid w:val="006A277A"/>
    <w:rsid w:val="006B30D6"/>
    <w:rsid w:val="006C4C55"/>
    <w:rsid w:val="006C718D"/>
    <w:rsid w:val="006D11AA"/>
    <w:rsid w:val="006D4250"/>
    <w:rsid w:val="006D6B44"/>
    <w:rsid w:val="006D6C1C"/>
    <w:rsid w:val="006D7477"/>
    <w:rsid w:val="006E28E5"/>
    <w:rsid w:val="006E5629"/>
    <w:rsid w:val="006E733C"/>
    <w:rsid w:val="006F17F3"/>
    <w:rsid w:val="006F4479"/>
    <w:rsid w:val="006F544B"/>
    <w:rsid w:val="006F5D04"/>
    <w:rsid w:val="006F5F4C"/>
    <w:rsid w:val="006F7606"/>
    <w:rsid w:val="007018ED"/>
    <w:rsid w:val="0070573A"/>
    <w:rsid w:val="0070690E"/>
    <w:rsid w:val="007070B9"/>
    <w:rsid w:val="007072A1"/>
    <w:rsid w:val="00710057"/>
    <w:rsid w:val="00710BC5"/>
    <w:rsid w:val="0072003B"/>
    <w:rsid w:val="00725576"/>
    <w:rsid w:val="00726290"/>
    <w:rsid w:val="007352E4"/>
    <w:rsid w:val="007354CB"/>
    <w:rsid w:val="007357B9"/>
    <w:rsid w:val="00740158"/>
    <w:rsid w:val="007452E8"/>
    <w:rsid w:val="00746990"/>
    <w:rsid w:val="00750256"/>
    <w:rsid w:val="00750D70"/>
    <w:rsid w:val="00753E01"/>
    <w:rsid w:val="00754F56"/>
    <w:rsid w:val="0075554C"/>
    <w:rsid w:val="00755791"/>
    <w:rsid w:val="007600BD"/>
    <w:rsid w:val="00787644"/>
    <w:rsid w:val="00792274"/>
    <w:rsid w:val="00792FE4"/>
    <w:rsid w:val="00793272"/>
    <w:rsid w:val="00793974"/>
    <w:rsid w:val="0079740C"/>
    <w:rsid w:val="007A1792"/>
    <w:rsid w:val="007A409B"/>
    <w:rsid w:val="007A56F1"/>
    <w:rsid w:val="007A742C"/>
    <w:rsid w:val="007A76EC"/>
    <w:rsid w:val="007B04DE"/>
    <w:rsid w:val="007C1ECC"/>
    <w:rsid w:val="007C2D96"/>
    <w:rsid w:val="007C57BC"/>
    <w:rsid w:val="007D4138"/>
    <w:rsid w:val="007D50CB"/>
    <w:rsid w:val="007E010A"/>
    <w:rsid w:val="007E125F"/>
    <w:rsid w:val="007E155B"/>
    <w:rsid w:val="007E37F5"/>
    <w:rsid w:val="007E40FA"/>
    <w:rsid w:val="007F0A77"/>
    <w:rsid w:val="007F0D8D"/>
    <w:rsid w:val="007F23C8"/>
    <w:rsid w:val="007F50D3"/>
    <w:rsid w:val="007F741F"/>
    <w:rsid w:val="00820D9C"/>
    <w:rsid w:val="00821486"/>
    <w:rsid w:val="008220F9"/>
    <w:rsid w:val="008244A0"/>
    <w:rsid w:val="00830759"/>
    <w:rsid w:val="0083281B"/>
    <w:rsid w:val="008329DB"/>
    <w:rsid w:val="00834318"/>
    <w:rsid w:val="008361C5"/>
    <w:rsid w:val="0083628F"/>
    <w:rsid w:val="00836D92"/>
    <w:rsid w:val="008372DE"/>
    <w:rsid w:val="00837AB9"/>
    <w:rsid w:val="00842AA6"/>
    <w:rsid w:val="008504AD"/>
    <w:rsid w:val="00850637"/>
    <w:rsid w:val="00854D98"/>
    <w:rsid w:val="00860B29"/>
    <w:rsid w:val="008627A5"/>
    <w:rsid w:val="00863EC7"/>
    <w:rsid w:val="008757EB"/>
    <w:rsid w:val="008772F2"/>
    <w:rsid w:val="008804CF"/>
    <w:rsid w:val="00882B1B"/>
    <w:rsid w:val="00883C5E"/>
    <w:rsid w:val="008915FA"/>
    <w:rsid w:val="00893D4A"/>
    <w:rsid w:val="00895ADB"/>
    <w:rsid w:val="008964B3"/>
    <w:rsid w:val="008A0B37"/>
    <w:rsid w:val="008A2977"/>
    <w:rsid w:val="008A61AC"/>
    <w:rsid w:val="008A75C4"/>
    <w:rsid w:val="008B10E2"/>
    <w:rsid w:val="008B2AE3"/>
    <w:rsid w:val="008B4469"/>
    <w:rsid w:val="008B45EA"/>
    <w:rsid w:val="008B4B64"/>
    <w:rsid w:val="008C35B5"/>
    <w:rsid w:val="008C3ED4"/>
    <w:rsid w:val="008C49C6"/>
    <w:rsid w:val="008C754C"/>
    <w:rsid w:val="008D5C7B"/>
    <w:rsid w:val="008D6A54"/>
    <w:rsid w:val="008E0944"/>
    <w:rsid w:val="008E3070"/>
    <w:rsid w:val="008E515A"/>
    <w:rsid w:val="008E78EF"/>
    <w:rsid w:val="008F2173"/>
    <w:rsid w:val="008F7669"/>
    <w:rsid w:val="009026FD"/>
    <w:rsid w:val="00903A71"/>
    <w:rsid w:val="00904939"/>
    <w:rsid w:val="0090605E"/>
    <w:rsid w:val="009108CE"/>
    <w:rsid w:val="00915A9F"/>
    <w:rsid w:val="0092595E"/>
    <w:rsid w:val="00930D58"/>
    <w:rsid w:val="00934176"/>
    <w:rsid w:val="009436EA"/>
    <w:rsid w:val="0094711C"/>
    <w:rsid w:val="009536F5"/>
    <w:rsid w:val="0096453C"/>
    <w:rsid w:val="00966EF1"/>
    <w:rsid w:val="0097514B"/>
    <w:rsid w:val="00976522"/>
    <w:rsid w:val="0098350E"/>
    <w:rsid w:val="00983CDB"/>
    <w:rsid w:val="0099065E"/>
    <w:rsid w:val="009906CB"/>
    <w:rsid w:val="00990B4B"/>
    <w:rsid w:val="00996FA5"/>
    <w:rsid w:val="009A1DDA"/>
    <w:rsid w:val="009A2F36"/>
    <w:rsid w:val="009B170B"/>
    <w:rsid w:val="009B57A2"/>
    <w:rsid w:val="009C32A9"/>
    <w:rsid w:val="009D6DB7"/>
    <w:rsid w:val="009E451F"/>
    <w:rsid w:val="009E5A77"/>
    <w:rsid w:val="009E6CF1"/>
    <w:rsid w:val="009E6F8C"/>
    <w:rsid w:val="00A01C56"/>
    <w:rsid w:val="00A02DB9"/>
    <w:rsid w:val="00A10A02"/>
    <w:rsid w:val="00A17375"/>
    <w:rsid w:val="00A213BF"/>
    <w:rsid w:val="00A27BF4"/>
    <w:rsid w:val="00A358E7"/>
    <w:rsid w:val="00A42130"/>
    <w:rsid w:val="00A43293"/>
    <w:rsid w:val="00A50486"/>
    <w:rsid w:val="00A5147E"/>
    <w:rsid w:val="00A51A2D"/>
    <w:rsid w:val="00A60A9E"/>
    <w:rsid w:val="00A631DC"/>
    <w:rsid w:val="00A63D9B"/>
    <w:rsid w:val="00A701C3"/>
    <w:rsid w:val="00A73371"/>
    <w:rsid w:val="00A7338B"/>
    <w:rsid w:val="00A73D70"/>
    <w:rsid w:val="00A8066A"/>
    <w:rsid w:val="00A85554"/>
    <w:rsid w:val="00A90C46"/>
    <w:rsid w:val="00A93DC6"/>
    <w:rsid w:val="00A97644"/>
    <w:rsid w:val="00AA1B63"/>
    <w:rsid w:val="00AA2576"/>
    <w:rsid w:val="00AA402A"/>
    <w:rsid w:val="00AB1FE1"/>
    <w:rsid w:val="00AB3E33"/>
    <w:rsid w:val="00AB4542"/>
    <w:rsid w:val="00AB7CBF"/>
    <w:rsid w:val="00AC0E4F"/>
    <w:rsid w:val="00AC3F95"/>
    <w:rsid w:val="00AC634B"/>
    <w:rsid w:val="00AC7184"/>
    <w:rsid w:val="00AD1894"/>
    <w:rsid w:val="00AD2952"/>
    <w:rsid w:val="00AD47FA"/>
    <w:rsid w:val="00AD73C8"/>
    <w:rsid w:val="00AE0C18"/>
    <w:rsid w:val="00AE1947"/>
    <w:rsid w:val="00AE362C"/>
    <w:rsid w:val="00AE3E66"/>
    <w:rsid w:val="00AE66A4"/>
    <w:rsid w:val="00AE74CD"/>
    <w:rsid w:val="00AF0022"/>
    <w:rsid w:val="00AF241B"/>
    <w:rsid w:val="00B012CD"/>
    <w:rsid w:val="00B0372B"/>
    <w:rsid w:val="00B11724"/>
    <w:rsid w:val="00B128DF"/>
    <w:rsid w:val="00B20B99"/>
    <w:rsid w:val="00B238ED"/>
    <w:rsid w:val="00B27056"/>
    <w:rsid w:val="00B31778"/>
    <w:rsid w:val="00B36A9F"/>
    <w:rsid w:val="00B40B4A"/>
    <w:rsid w:val="00B46BC0"/>
    <w:rsid w:val="00B53FD3"/>
    <w:rsid w:val="00B55681"/>
    <w:rsid w:val="00B62FC0"/>
    <w:rsid w:val="00B67556"/>
    <w:rsid w:val="00B73241"/>
    <w:rsid w:val="00B74583"/>
    <w:rsid w:val="00B92CC5"/>
    <w:rsid w:val="00B967FF"/>
    <w:rsid w:val="00BA2268"/>
    <w:rsid w:val="00BA41B2"/>
    <w:rsid w:val="00BA6F10"/>
    <w:rsid w:val="00BA7039"/>
    <w:rsid w:val="00BA7F7D"/>
    <w:rsid w:val="00BB1216"/>
    <w:rsid w:val="00BB1C14"/>
    <w:rsid w:val="00BB3B45"/>
    <w:rsid w:val="00BB665C"/>
    <w:rsid w:val="00BB75E9"/>
    <w:rsid w:val="00BC3D33"/>
    <w:rsid w:val="00BC5DBE"/>
    <w:rsid w:val="00BD07DF"/>
    <w:rsid w:val="00BD2050"/>
    <w:rsid w:val="00BD588C"/>
    <w:rsid w:val="00BD5DBD"/>
    <w:rsid w:val="00BD6476"/>
    <w:rsid w:val="00BE3F9F"/>
    <w:rsid w:val="00BE58FE"/>
    <w:rsid w:val="00BF2AF0"/>
    <w:rsid w:val="00BF4629"/>
    <w:rsid w:val="00BF4638"/>
    <w:rsid w:val="00BF77BE"/>
    <w:rsid w:val="00C01CB0"/>
    <w:rsid w:val="00C064C6"/>
    <w:rsid w:val="00C07551"/>
    <w:rsid w:val="00C142DE"/>
    <w:rsid w:val="00C150BA"/>
    <w:rsid w:val="00C22214"/>
    <w:rsid w:val="00C24B87"/>
    <w:rsid w:val="00C30111"/>
    <w:rsid w:val="00C407AB"/>
    <w:rsid w:val="00C40A0A"/>
    <w:rsid w:val="00C43156"/>
    <w:rsid w:val="00C44815"/>
    <w:rsid w:val="00C452C7"/>
    <w:rsid w:val="00C51ED4"/>
    <w:rsid w:val="00C51F5A"/>
    <w:rsid w:val="00C54E65"/>
    <w:rsid w:val="00C570FF"/>
    <w:rsid w:val="00C64F51"/>
    <w:rsid w:val="00C6574E"/>
    <w:rsid w:val="00C7105D"/>
    <w:rsid w:val="00C7448D"/>
    <w:rsid w:val="00C816C6"/>
    <w:rsid w:val="00C81DF8"/>
    <w:rsid w:val="00C825B4"/>
    <w:rsid w:val="00C82F5E"/>
    <w:rsid w:val="00C86A66"/>
    <w:rsid w:val="00C86D16"/>
    <w:rsid w:val="00CA4C19"/>
    <w:rsid w:val="00CA4FE6"/>
    <w:rsid w:val="00CB0550"/>
    <w:rsid w:val="00CB4E5A"/>
    <w:rsid w:val="00CB7A23"/>
    <w:rsid w:val="00CC5C8B"/>
    <w:rsid w:val="00CD2D1E"/>
    <w:rsid w:val="00CD5D2D"/>
    <w:rsid w:val="00CE4F79"/>
    <w:rsid w:val="00CF5D17"/>
    <w:rsid w:val="00CF6863"/>
    <w:rsid w:val="00D0020E"/>
    <w:rsid w:val="00D0182E"/>
    <w:rsid w:val="00D01DDB"/>
    <w:rsid w:val="00D0388F"/>
    <w:rsid w:val="00D05FF7"/>
    <w:rsid w:val="00D078BE"/>
    <w:rsid w:val="00D12050"/>
    <w:rsid w:val="00D129DF"/>
    <w:rsid w:val="00D13F8A"/>
    <w:rsid w:val="00D14BF7"/>
    <w:rsid w:val="00D15F22"/>
    <w:rsid w:val="00D17C1A"/>
    <w:rsid w:val="00D17F95"/>
    <w:rsid w:val="00D202DC"/>
    <w:rsid w:val="00D24C7F"/>
    <w:rsid w:val="00D25CE3"/>
    <w:rsid w:val="00D34AA3"/>
    <w:rsid w:val="00D37401"/>
    <w:rsid w:val="00D50233"/>
    <w:rsid w:val="00D51450"/>
    <w:rsid w:val="00D517A7"/>
    <w:rsid w:val="00D54962"/>
    <w:rsid w:val="00D54DAB"/>
    <w:rsid w:val="00D5538A"/>
    <w:rsid w:val="00D55CB3"/>
    <w:rsid w:val="00D61607"/>
    <w:rsid w:val="00D62877"/>
    <w:rsid w:val="00D63760"/>
    <w:rsid w:val="00D646AA"/>
    <w:rsid w:val="00D70C5B"/>
    <w:rsid w:val="00D80039"/>
    <w:rsid w:val="00D80875"/>
    <w:rsid w:val="00D81362"/>
    <w:rsid w:val="00D8610E"/>
    <w:rsid w:val="00D90062"/>
    <w:rsid w:val="00D918D5"/>
    <w:rsid w:val="00D94C8E"/>
    <w:rsid w:val="00DA45AD"/>
    <w:rsid w:val="00DA46AA"/>
    <w:rsid w:val="00DB192C"/>
    <w:rsid w:val="00DB1CF3"/>
    <w:rsid w:val="00DB48F3"/>
    <w:rsid w:val="00DB684D"/>
    <w:rsid w:val="00DB7EFC"/>
    <w:rsid w:val="00DC0D55"/>
    <w:rsid w:val="00DC2E95"/>
    <w:rsid w:val="00DC56D2"/>
    <w:rsid w:val="00DC59FC"/>
    <w:rsid w:val="00DC7601"/>
    <w:rsid w:val="00DD46E2"/>
    <w:rsid w:val="00DD54CD"/>
    <w:rsid w:val="00DE7667"/>
    <w:rsid w:val="00DF5BFE"/>
    <w:rsid w:val="00DF763B"/>
    <w:rsid w:val="00E05533"/>
    <w:rsid w:val="00E103A2"/>
    <w:rsid w:val="00E22D45"/>
    <w:rsid w:val="00E25EEE"/>
    <w:rsid w:val="00E313E1"/>
    <w:rsid w:val="00E317A8"/>
    <w:rsid w:val="00E34C65"/>
    <w:rsid w:val="00E35447"/>
    <w:rsid w:val="00E41EF9"/>
    <w:rsid w:val="00E45112"/>
    <w:rsid w:val="00E455B0"/>
    <w:rsid w:val="00E46038"/>
    <w:rsid w:val="00E468C4"/>
    <w:rsid w:val="00E474C3"/>
    <w:rsid w:val="00E47E0C"/>
    <w:rsid w:val="00E50C31"/>
    <w:rsid w:val="00E51813"/>
    <w:rsid w:val="00E53D3F"/>
    <w:rsid w:val="00E5579B"/>
    <w:rsid w:val="00E57CDF"/>
    <w:rsid w:val="00E643A2"/>
    <w:rsid w:val="00E64AA0"/>
    <w:rsid w:val="00E65D31"/>
    <w:rsid w:val="00E7025A"/>
    <w:rsid w:val="00E73C83"/>
    <w:rsid w:val="00E75660"/>
    <w:rsid w:val="00E8410A"/>
    <w:rsid w:val="00E947E5"/>
    <w:rsid w:val="00E975E4"/>
    <w:rsid w:val="00EA2CBE"/>
    <w:rsid w:val="00EB208E"/>
    <w:rsid w:val="00EB394A"/>
    <w:rsid w:val="00EC1B71"/>
    <w:rsid w:val="00EC3CCB"/>
    <w:rsid w:val="00EC4A41"/>
    <w:rsid w:val="00EC7EE5"/>
    <w:rsid w:val="00ED474A"/>
    <w:rsid w:val="00ED79B1"/>
    <w:rsid w:val="00F021A1"/>
    <w:rsid w:val="00F02AEC"/>
    <w:rsid w:val="00F04A98"/>
    <w:rsid w:val="00F157FC"/>
    <w:rsid w:val="00F1755F"/>
    <w:rsid w:val="00F17717"/>
    <w:rsid w:val="00F24ABB"/>
    <w:rsid w:val="00F30AF3"/>
    <w:rsid w:val="00F30D70"/>
    <w:rsid w:val="00F451F3"/>
    <w:rsid w:val="00F470E4"/>
    <w:rsid w:val="00F47EB3"/>
    <w:rsid w:val="00F503F0"/>
    <w:rsid w:val="00F5281A"/>
    <w:rsid w:val="00F5599B"/>
    <w:rsid w:val="00F56453"/>
    <w:rsid w:val="00F62711"/>
    <w:rsid w:val="00F657B4"/>
    <w:rsid w:val="00F71CAE"/>
    <w:rsid w:val="00F72725"/>
    <w:rsid w:val="00F733D3"/>
    <w:rsid w:val="00F735BC"/>
    <w:rsid w:val="00F75164"/>
    <w:rsid w:val="00F83624"/>
    <w:rsid w:val="00F85D8D"/>
    <w:rsid w:val="00F865A7"/>
    <w:rsid w:val="00F900E3"/>
    <w:rsid w:val="00F93BC1"/>
    <w:rsid w:val="00F94C9E"/>
    <w:rsid w:val="00F94F05"/>
    <w:rsid w:val="00F96371"/>
    <w:rsid w:val="00F97A7A"/>
    <w:rsid w:val="00FA0754"/>
    <w:rsid w:val="00FA1BC9"/>
    <w:rsid w:val="00FA49C3"/>
    <w:rsid w:val="00FB236E"/>
    <w:rsid w:val="00FB2590"/>
    <w:rsid w:val="00FB7011"/>
    <w:rsid w:val="00FC0886"/>
    <w:rsid w:val="00FC13FD"/>
    <w:rsid w:val="00FC1B70"/>
    <w:rsid w:val="00FC3930"/>
    <w:rsid w:val="00FC6F56"/>
    <w:rsid w:val="00FC7C45"/>
    <w:rsid w:val="00FD04BF"/>
    <w:rsid w:val="00FE087C"/>
    <w:rsid w:val="00FE2148"/>
    <w:rsid w:val="00FE28CF"/>
    <w:rsid w:val="00FE3BB2"/>
    <w:rsid w:val="00FE466D"/>
    <w:rsid w:val="00FF3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268"/>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95AD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0206CE"/>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3B28E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E460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DD54CD"/>
    <w:pPr>
      <w:ind w:left="720"/>
      <w:contextualSpacing/>
    </w:pPr>
  </w:style>
  <w:style w:type="character" w:customStyle="1" w:styleId="Heading7Char">
    <w:name w:val="Heading 7 Char"/>
    <w:basedOn w:val="DefaultParagraphFont"/>
    <w:link w:val="Heading7"/>
    <w:uiPriority w:val="9"/>
    <w:rsid w:val="00895ADB"/>
    <w:rPr>
      <w:rFonts w:asciiTheme="majorHAnsi" w:eastAsiaTheme="majorEastAsia" w:hAnsiTheme="majorHAnsi" w:cstheme="majorBidi"/>
      <w:i/>
      <w:iCs/>
      <w:color w:val="1F3763" w:themeColor="accent1" w:themeShade="7F"/>
      <w:sz w:val="22"/>
    </w:rPr>
  </w:style>
  <w:style w:type="paragraph" w:customStyle="1" w:styleId="Standard">
    <w:name w:val="Standard"/>
    <w:basedOn w:val="Normal"/>
    <w:link w:val="StandardChar"/>
    <w:rsid w:val="005C7410"/>
    <w:pPr>
      <w:spacing w:after="180" w:line="276" w:lineRule="auto"/>
    </w:pPr>
    <w:rPr>
      <w:rFonts w:eastAsia="Times New Roman" w:cs="Times New Roman"/>
      <w:snapToGrid w:val="0"/>
      <w:kern w:val="16"/>
      <w:szCs w:val="24"/>
    </w:rPr>
  </w:style>
  <w:style w:type="character" w:customStyle="1" w:styleId="StandardChar">
    <w:name w:val="Standard Char"/>
    <w:basedOn w:val="DefaultParagraphFont"/>
    <w:link w:val="Standard"/>
    <w:rsid w:val="005C7410"/>
    <w:rPr>
      <w:rFonts w:ascii="Cambria" w:eastAsia="Times New Roman" w:hAnsi="Cambria" w:cs="Times New Roman"/>
      <w:snapToGrid w:val="0"/>
      <w:kern w:val="16"/>
      <w:sz w:val="22"/>
      <w:szCs w:val="24"/>
    </w:rPr>
  </w:style>
  <w:style w:type="character" w:customStyle="1" w:styleId="authorname">
    <w:name w:val="authorname"/>
    <w:basedOn w:val="DefaultParagraphFont"/>
    <w:rsid w:val="00325506"/>
  </w:style>
  <w:style w:type="character" w:customStyle="1" w:styleId="separator">
    <w:name w:val="separator"/>
    <w:basedOn w:val="DefaultParagraphFont"/>
    <w:rsid w:val="00325506"/>
  </w:style>
  <w:style w:type="character" w:customStyle="1" w:styleId="Date1">
    <w:name w:val="Date1"/>
    <w:basedOn w:val="DefaultParagraphFont"/>
    <w:rsid w:val="00325506"/>
  </w:style>
  <w:style w:type="character" w:customStyle="1" w:styleId="arttitle">
    <w:name w:val="art_title"/>
    <w:basedOn w:val="DefaultParagraphFont"/>
    <w:rsid w:val="00325506"/>
  </w:style>
  <w:style w:type="character" w:customStyle="1" w:styleId="serialtitle">
    <w:name w:val="serial_title"/>
    <w:basedOn w:val="DefaultParagraphFont"/>
    <w:rsid w:val="00325506"/>
  </w:style>
  <w:style w:type="character" w:customStyle="1" w:styleId="volumeissue">
    <w:name w:val="volume_issue"/>
    <w:basedOn w:val="DefaultParagraphFont"/>
    <w:rsid w:val="00325506"/>
  </w:style>
  <w:style w:type="character" w:customStyle="1" w:styleId="pagerange">
    <w:name w:val="page_range"/>
    <w:basedOn w:val="DefaultParagraphFont"/>
    <w:rsid w:val="00325506"/>
  </w:style>
  <w:style w:type="character" w:customStyle="1" w:styleId="doilink">
    <w:name w:val="doi_link"/>
    <w:basedOn w:val="DefaultParagraphFont"/>
    <w:rsid w:val="00325506"/>
  </w:style>
  <w:style w:type="character" w:styleId="Emphasis">
    <w:name w:val="Emphasis"/>
    <w:basedOn w:val="DefaultParagraphFont"/>
    <w:uiPriority w:val="20"/>
    <w:qFormat/>
    <w:rsid w:val="00E65D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7821494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877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australia-canada-singapore-switzerland-united-kingdom-access-consortium" TargetMode="External"/><Relationship Id="rId26" Type="http://schemas.openxmlformats.org/officeDocument/2006/relationships/hyperlink" Target="https://www.tga.gov.au/about-tga/advisory-bodies-and-committees/advisory-committee-vaccines-acv"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9.png"/><Relationship Id="rId33"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4.png"/><Relationship Id="rId29"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mailto:info@tga.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7.png"/><Relationship Id="rId28" Type="http://schemas.openxmlformats.org/officeDocument/2006/relationships/hyperlink" Target="mailto:Vaccines@health.gov.au"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how-we-regulate/supply-therapeutic-good-0/supply-prescription-medicine/application-process/prescription-medicines-registration-proces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hyperlink" Target="https://www.tga.gov.au/resources/guidance/submitting-certified-product-details-cpd-prescription-medicines" TargetMode="External"/><Relationship Id="rId30" Type="http://schemas.openxmlformats.org/officeDocument/2006/relationships/header" Target="header3.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clinical-information.canada.ca/ci-rc/item/264995" TargetMode="External"/><Relationship Id="rId2" Type="http://schemas.openxmlformats.org/officeDocument/2006/relationships/hyperlink" Target="https://www.ema.europa.eu/en/documents/variation-report/vaxchora-h-c-003876-ii-0003-g-epar-assessment-report-variation_en.pdf" TargetMode="External"/><Relationship Id="rId1" Type="http://schemas.openxmlformats.org/officeDocument/2006/relationships/hyperlink" Target="https://immunisationhandbook.health.gov.au/contents/vaccine-preventable-diseases/choler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137</TotalTime>
  <Pages>31</Pages>
  <Words>9389</Words>
  <Characters>52394</Characters>
  <Application>Microsoft Office Word</Application>
  <DocSecurity>0</DocSecurity>
  <Lines>1114</Lines>
  <Paragraphs>594</Paragraphs>
  <ScaleCrop>false</ScaleCrop>
  <HeadingPairs>
    <vt:vector size="2" baseType="variant">
      <vt:variant>
        <vt:lpstr>Title</vt:lpstr>
      </vt:variant>
      <vt:variant>
        <vt:i4>1</vt:i4>
      </vt:variant>
    </vt:vector>
  </HeadingPairs>
  <TitlesOfParts>
    <vt:vector size="1" baseType="lpstr">
      <vt:lpstr>Australian public assessment report for Vaxchora</vt:lpstr>
    </vt:vector>
  </TitlesOfParts>
  <Company>Department of Health and Aged Care</Company>
  <LinksUpToDate>false</LinksUpToDate>
  <CharactersWithSpaces>61189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Vaxchora</dc:title>
  <dc:subject>Prescription medicine regulation</dc:subject>
  <dc:creator>Therapeutic Goods Administration</dc:creator>
  <cp:keywords/>
  <dc:description/>
  <dcterms:created xsi:type="dcterms:W3CDTF">2024-11-18T01:17:00Z</dcterms:created>
  <dcterms:modified xsi:type="dcterms:W3CDTF">2024-11-18T03:40:00Z</dcterms:modified>
</cp:coreProperties>
</file>