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2A0D" w14:textId="389F309E" w:rsidR="00FC2144" w:rsidRPr="005830C3" w:rsidRDefault="00FC2144" w:rsidP="282B0D80">
      <w:pPr>
        <w:pStyle w:val="Heading1"/>
        <w:numPr>
          <w:ilvl w:val="0"/>
          <w:numId w:val="0"/>
        </w:numPr>
        <w:spacing w:after="240"/>
        <w:rPr>
          <w:rFonts w:eastAsiaTheme="minorEastAsia" w:cstheme="minorBidi"/>
          <w:b w:val="0"/>
          <w:bCs w:val="0"/>
          <w:caps w:val="0"/>
          <w:sz w:val="22"/>
          <w:szCs w:val="22"/>
        </w:rPr>
      </w:pPr>
      <w:r>
        <w:rPr>
          <w:noProof/>
        </w:rPr>
        <w:drawing>
          <wp:inline distT="0" distB="0" distL="0" distR="0" wp14:anchorId="3E66DB29" wp14:editId="5F0BF0F5">
            <wp:extent cx="200025" cy="171450"/>
            <wp:effectExtent l="0" t="0" r="9525" b="0"/>
            <wp:docPr id="1" name="Picture 1" descr="Black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riangle"/>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282B0D80">
        <w:rPr>
          <w:rFonts w:eastAsiaTheme="minorEastAsia" w:cstheme="minorBidi"/>
          <w:b w:val="0"/>
          <w:bCs w:val="0"/>
          <w:caps w:val="0"/>
          <w:sz w:val="22"/>
          <w:szCs w:val="22"/>
        </w:rPr>
        <w:t xml:space="preserve"> </w:t>
      </w:r>
      <w:r w:rsidR="009471C2" w:rsidRPr="282B0D80">
        <w:rPr>
          <w:rFonts w:eastAsiaTheme="minorEastAsia" w:cstheme="minorBidi"/>
          <w:b w:val="0"/>
          <w:bCs w:val="0"/>
          <w:caps w:val="0"/>
          <w:sz w:val="22"/>
          <w:szCs w:val="22"/>
        </w:rPr>
        <w:t>This medicinal product is subject to additional monitoring in Australia. This will allow quick identification of new safety information. Healthcare professionals are asked to report any suspected adverse events at www.tga.gov.au/reporting-problems.</w:t>
      </w:r>
    </w:p>
    <w:p w14:paraId="493E411A" w14:textId="202D570C" w:rsidR="004032BD" w:rsidRPr="00201CF7" w:rsidRDefault="004032BD" w:rsidP="00DF5E99">
      <w:pPr>
        <w:pStyle w:val="Heading1"/>
        <w:numPr>
          <w:ilvl w:val="0"/>
          <w:numId w:val="0"/>
        </w:numPr>
        <w:spacing w:after="240"/>
        <w:rPr>
          <w:rFonts w:eastAsia="SimSun" w:cstheme="minorBidi"/>
        </w:rPr>
      </w:pPr>
      <w:r w:rsidRPr="67574A11">
        <w:rPr>
          <w:rFonts w:eastAsia="SimSun" w:cstheme="minorBidi"/>
        </w:rPr>
        <w:t>Australian P</w:t>
      </w:r>
      <w:r w:rsidR="00677840" w:rsidRPr="67574A11">
        <w:rPr>
          <w:rFonts w:eastAsia="SimSun" w:cstheme="minorBidi"/>
        </w:rPr>
        <w:t xml:space="preserve">roduct </w:t>
      </w:r>
      <w:r w:rsidRPr="67574A11">
        <w:rPr>
          <w:rFonts w:eastAsia="SimSun" w:cstheme="minorBidi"/>
        </w:rPr>
        <w:t>I</w:t>
      </w:r>
      <w:r w:rsidR="00677840" w:rsidRPr="67574A11">
        <w:rPr>
          <w:rFonts w:eastAsia="SimSun" w:cstheme="minorBidi"/>
        </w:rPr>
        <w:t>nformation</w:t>
      </w:r>
      <w:r w:rsidRPr="67574A11">
        <w:rPr>
          <w:rFonts w:eastAsia="SimSun" w:cstheme="minorBidi"/>
        </w:rPr>
        <w:t xml:space="preserve"> </w:t>
      </w:r>
      <w:r w:rsidRPr="00852C13">
        <w:rPr>
          <w:rFonts w:eastAsia="SimSun" w:cstheme="minorBidi"/>
        </w:rPr>
        <w:t xml:space="preserve">– </w:t>
      </w:r>
      <w:r w:rsidR="00BD0E7C" w:rsidRPr="00F85394">
        <w:rPr>
          <w:rFonts w:eastAsia="SimSun" w:cstheme="minorBidi"/>
        </w:rPr>
        <w:t>VAXCHORA</w:t>
      </w:r>
      <w:r w:rsidR="00265487" w:rsidRPr="00F848A3">
        <w:rPr>
          <w:rFonts w:eastAsia="SimSun" w:cstheme="minorBidi"/>
          <w:vertAlign w:val="superscript"/>
        </w:rPr>
        <w:t>®</w:t>
      </w:r>
      <w:r w:rsidR="007E693C" w:rsidRPr="67574A11">
        <w:rPr>
          <w:rFonts w:eastAsia="SimSun" w:cstheme="minorBidi"/>
        </w:rPr>
        <w:t xml:space="preserve"> </w:t>
      </w:r>
      <w:r w:rsidR="004F2E94">
        <w:rPr>
          <w:rFonts w:eastAsia="SimSun" w:cstheme="minorBidi"/>
        </w:rPr>
        <w:t>(</w:t>
      </w:r>
      <w:r w:rsidR="002D70C0" w:rsidRPr="67574A11">
        <w:rPr>
          <w:rFonts w:eastAsia="SimSun" w:cstheme="minorBidi"/>
          <w:i/>
          <w:iCs/>
        </w:rPr>
        <w:t>v</w:t>
      </w:r>
      <w:r w:rsidR="00357789" w:rsidRPr="67574A11">
        <w:rPr>
          <w:rFonts w:eastAsia="SimSun" w:cstheme="minorBidi"/>
          <w:i/>
          <w:iCs/>
          <w:caps w:val="0"/>
        </w:rPr>
        <w:t>ibrio</w:t>
      </w:r>
      <w:r w:rsidR="002D70C0" w:rsidRPr="67574A11">
        <w:rPr>
          <w:rFonts w:eastAsia="SimSun" w:cstheme="minorBidi"/>
          <w:i/>
          <w:iCs/>
        </w:rPr>
        <w:t xml:space="preserve"> </w:t>
      </w:r>
      <w:r w:rsidR="00357789" w:rsidRPr="67574A11">
        <w:rPr>
          <w:rFonts w:eastAsia="SimSun" w:cstheme="minorBidi"/>
          <w:i/>
          <w:iCs/>
          <w:caps w:val="0"/>
        </w:rPr>
        <w:t>cholerae</w:t>
      </w:r>
      <w:r w:rsidRPr="67574A11">
        <w:rPr>
          <w:rFonts w:eastAsia="SimSun" w:cstheme="minorBidi"/>
        </w:rPr>
        <w:t>)</w:t>
      </w:r>
      <w:r w:rsidR="00497C85" w:rsidRPr="67574A11">
        <w:rPr>
          <w:rFonts w:eastAsia="SimSun" w:cstheme="minorBidi"/>
        </w:rPr>
        <w:t xml:space="preserve"> </w:t>
      </w:r>
    </w:p>
    <w:p w14:paraId="74544C2C" w14:textId="77777777" w:rsidR="001A3992" w:rsidRPr="00201CF7" w:rsidRDefault="001A3992" w:rsidP="00DF5E99">
      <w:pPr>
        <w:pStyle w:val="Heading1"/>
        <w:spacing w:before="0" w:after="120"/>
        <w:ind w:left="431" w:hanging="431"/>
        <w:rPr>
          <w:rFonts w:cstheme="minorHAnsi"/>
        </w:rPr>
      </w:pPr>
      <w:r w:rsidRPr="00201CF7">
        <w:rPr>
          <w:rFonts w:cstheme="minorHAnsi"/>
        </w:rPr>
        <w:t>Name of the medicine</w:t>
      </w:r>
    </w:p>
    <w:p w14:paraId="1E86F8C6" w14:textId="18DC2C14" w:rsidR="002D70C0" w:rsidRPr="00A53D01" w:rsidRDefault="00ED269D" w:rsidP="00F848A3">
      <w:pPr>
        <w:widowControl w:val="0"/>
        <w:spacing w:line="240" w:lineRule="auto"/>
        <w:rPr>
          <w:rFonts w:asciiTheme="majorHAnsi" w:hAnsiTheme="majorHAnsi"/>
          <w:i/>
          <w:noProof/>
        </w:rPr>
      </w:pPr>
      <w:r w:rsidRPr="00A53D01">
        <w:rPr>
          <w:rFonts w:asciiTheme="majorHAnsi" w:hAnsiTheme="majorHAnsi"/>
          <w:i/>
          <w:noProof/>
        </w:rPr>
        <w:t xml:space="preserve">Vibrio cholerae </w:t>
      </w:r>
    </w:p>
    <w:p w14:paraId="3B02954D" w14:textId="77777777" w:rsidR="001A3992" w:rsidRPr="00201CF7" w:rsidRDefault="001A3992" w:rsidP="001A3992">
      <w:pPr>
        <w:pStyle w:val="Heading1"/>
        <w:spacing w:before="0" w:after="120"/>
        <w:rPr>
          <w:rFonts w:cstheme="minorHAnsi"/>
        </w:rPr>
      </w:pPr>
      <w:r w:rsidRPr="00201CF7">
        <w:rPr>
          <w:rFonts w:cstheme="minorHAnsi"/>
        </w:rPr>
        <w:t>Qualitative and quantitative composition</w:t>
      </w:r>
    </w:p>
    <w:p w14:paraId="6D268EDA" w14:textId="5193B7BB" w:rsidR="002D70C0" w:rsidRPr="00201CF7" w:rsidRDefault="002D70C0" w:rsidP="002D70C0">
      <w:pPr>
        <w:spacing w:line="240" w:lineRule="auto"/>
        <w:rPr>
          <w:rFonts w:asciiTheme="majorHAnsi" w:hAnsiTheme="majorHAnsi"/>
        </w:rPr>
      </w:pPr>
      <w:r w:rsidRPr="00201CF7">
        <w:rPr>
          <w:rFonts w:asciiTheme="majorHAnsi" w:hAnsiTheme="majorHAnsi"/>
        </w:rPr>
        <w:t xml:space="preserve">Each dose of vaccine contains </w:t>
      </w:r>
      <w:bookmarkStart w:id="0" w:name="_Hlk31184928"/>
      <w:r w:rsidR="00B3033C">
        <w:rPr>
          <w:rFonts w:asciiTheme="majorHAnsi" w:hAnsiTheme="majorHAnsi"/>
        </w:rPr>
        <w:t>the active ingredient o</w:t>
      </w:r>
      <w:r w:rsidR="00D9224E">
        <w:rPr>
          <w:rFonts w:asciiTheme="majorHAnsi" w:hAnsiTheme="majorHAnsi"/>
        </w:rPr>
        <w:t xml:space="preserve">f </w:t>
      </w:r>
      <w:r w:rsidR="00141FE1">
        <w:rPr>
          <w:rFonts w:asciiTheme="majorHAnsi" w:hAnsiTheme="majorHAnsi"/>
        </w:rPr>
        <w:t>4 x 10</w:t>
      </w:r>
      <w:r w:rsidR="00141FE1" w:rsidRPr="003F1140">
        <w:rPr>
          <w:rFonts w:asciiTheme="majorHAnsi" w:hAnsiTheme="majorHAnsi"/>
          <w:vertAlign w:val="superscript"/>
        </w:rPr>
        <w:t>8</w:t>
      </w:r>
      <w:r w:rsidR="00141FE1">
        <w:rPr>
          <w:rFonts w:asciiTheme="majorHAnsi" w:hAnsiTheme="majorHAnsi"/>
        </w:rPr>
        <w:t xml:space="preserve"> to 2 x 10</w:t>
      </w:r>
      <w:r w:rsidR="00141FE1" w:rsidRPr="003F1140">
        <w:rPr>
          <w:rFonts w:asciiTheme="majorHAnsi" w:hAnsiTheme="majorHAnsi"/>
          <w:vertAlign w:val="superscript"/>
        </w:rPr>
        <w:t>9</w:t>
      </w:r>
      <w:r w:rsidR="00141FE1">
        <w:rPr>
          <w:rFonts w:asciiTheme="majorHAnsi" w:hAnsiTheme="majorHAnsi"/>
        </w:rPr>
        <w:t xml:space="preserve"> of</w:t>
      </w:r>
      <w:r w:rsidR="00A368C6">
        <w:rPr>
          <w:rFonts w:asciiTheme="majorHAnsi" w:hAnsiTheme="majorHAnsi"/>
        </w:rPr>
        <w:t xml:space="preserve"> attenuated </w:t>
      </w:r>
      <w:r w:rsidR="00727CAD" w:rsidRPr="00F848A3">
        <w:rPr>
          <w:rFonts w:asciiTheme="majorHAnsi" w:hAnsiTheme="majorHAnsi"/>
          <w:i/>
          <w:iCs/>
        </w:rPr>
        <w:t>Vibrio c</w:t>
      </w:r>
      <w:r w:rsidR="00A368C6" w:rsidRPr="00F848A3">
        <w:rPr>
          <w:rFonts w:asciiTheme="majorHAnsi" w:hAnsiTheme="majorHAnsi"/>
          <w:i/>
          <w:iCs/>
        </w:rPr>
        <w:t>holera</w:t>
      </w:r>
      <w:r w:rsidR="0099434D">
        <w:rPr>
          <w:rFonts w:asciiTheme="majorHAnsi" w:hAnsiTheme="majorHAnsi"/>
          <w:i/>
          <w:iCs/>
        </w:rPr>
        <w:t>e</w:t>
      </w:r>
      <w:r w:rsidR="00A368C6">
        <w:rPr>
          <w:rFonts w:asciiTheme="majorHAnsi" w:hAnsiTheme="majorHAnsi"/>
        </w:rPr>
        <w:t xml:space="preserve"> bacteria cells</w:t>
      </w:r>
      <w:r w:rsidR="008E7356">
        <w:rPr>
          <w:rFonts w:asciiTheme="majorHAnsi" w:hAnsiTheme="majorHAnsi"/>
        </w:rPr>
        <w:t xml:space="preserve"> (CVD 103-HgR strain)</w:t>
      </w:r>
      <w:r w:rsidRPr="00201CF7">
        <w:rPr>
          <w:rFonts w:asciiTheme="majorHAnsi" w:hAnsiTheme="majorHAnsi"/>
          <w:vertAlign w:val="superscript"/>
        </w:rPr>
        <w:t>1</w:t>
      </w:r>
      <w:bookmarkEnd w:id="0"/>
      <w:r w:rsidRPr="00201CF7">
        <w:rPr>
          <w:rFonts w:asciiTheme="majorHAnsi" w:hAnsiTheme="majorHAnsi"/>
        </w:rPr>
        <w:t xml:space="preserve">. </w:t>
      </w:r>
    </w:p>
    <w:p w14:paraId="7B431FE7" w14:textId="77777777" w:rsidR="002D70C0" w:rsidRPr="00201CF7" w:rsidRDefault="002D70C0" w:rsidP="002D70C0">
      <w:pPr>
        <w:spacing w:line="240" w:lineRule="auto"/>
        <w:rPr>
          <w:rFonts w:asciiTheme="majorHAnsi" w:hAnsiTheme="majorHAnsi"/>
        </w:rPr>
      </w:pPr>
      <w:r w:rsidRPr="00201CF7">
        <w:rPr>
          <w:rFonts w:asciiTheme="majorHAnsi" w:hAnsiTheme="majorHAnsi"/>
          <w:vertAlign w:val="superscript"/>
        </w:rPr>
        <w:t>1</w:t>
      </w:r>
      <w:r w:rsidRPr="00201CF7">
        <w:rPr>
          <w:rFonts w:asciiTheme="majorHAnsi" w:hAnsiTheme="majorHAnsi"/>
        </w:rPr>
        <w:t xml:space="preserve"> Produced by recombinant DNA technology.</w:t>
      </w:r>
    </w:p>
    <w:p w14:paraId="592BD189" w14:textId="77777777" w:rsidR="002D70C0" w:rsidRPr="00201CF7" w:rsidRDefault="002D70C0" w:rsidP="002D70C0">
      <w:pPr>
        <w:spacing w:line="240" w:lineRule="auto"/>
        <w:rPr>
          <w:rFonts w:asciiTheme="majorHAnsi" w:hAnsiTheme="majorHAnsi"/>
        </w:rPr>
      </w:pPr>
      <w:r w:rsidRPr="00201CF7">
        <w:rPr>
          <w:rFonts w:asciiTheme="majorHAnsi" w:hAnsiTheme="majorHAnsi"/>
        </w:rPr>
        <w:t>This product contains genetically modified organisms (GMOs).</w:t>
      </w:r>
    </w:p>
    <w:p w14:paraId="01124EEA" w14:textId="70F01C7C" w:rsidR="002D70C0" w:rsidRPr="00201CF7" w:rsidRDefault="002D70C0" w:rsidP="002D70C0">
      <w:pPr>
        <w:spacing w:line="240" w:lineRule="auto"/>
        <w:rPr>
          <w:rFonts w:asciiTheme="majorHAnsi" w:hAnsiTheme="majorHAnsi"/>
        </w:rPr>
      </w:pPr>
      <w:r w:rsidRPr="00201CF7">
        <w:rPr>
          <w:rFonts w:asciiTheme="majorHAnsi" w:hAnsiTheme="majorHAnsi"/>
        </w:rPr>
        <w:t>Excipient(s) with known effect: each dose of vaccine contains lactose</w:t>
      </w:r>
      <w:r w:rsidR="00B71EAE">
        <w:rPr>
          <w:rFonts w:asciiTheme="majorHAnsi" w:hAnsiTheme="majorHAnsi"/>
        </w:rPr>
        <w:t xml:space="preserve"> as sugars</w:t>
      </w:r>
      <w:r w:rsidRPr="00201CF7">
        <w:rPr>
          <w:rFonts w:asciiTheme="majorHAnsi" w:hAnsiTheme="majorHAnsi"/>
        </w:rPr>
        <w:t>, sucrose, and 863 milligrams of sodium.</w:t>
      </w:r>
    </w:p>
    <w:p w14:paraId="366A07D4" w14:textId="56048E98" w:rsidR="00497C85" w:rsidRPr="00201CF7" w:rsidRDefault="00497C85" w:rsidP="00497C85">
      <w:pPr>
        <w:rPr>
          <w:rFonts w:asciiTheme="majorHAnsi" w:hAnsiTheme="majorHAnsi" w:cstheme="minorHAnsi"/>
        </w:rPr>
      </w:pPr>
      <w:r w:rsidRPr="00201CF7">
        <w:rPr>
          <w:rFonts w:asciiTheme="majorHAnsi" w:hAnsiTheme="majorHAnsi" w:cstheme="minorHAnsi"/>
          <w:lang w:val="en"/>
        </w:rPr>
        <w:t xml:space="preserve">For the full list of excipients, see </w:t>
      </w:r>
      <w:r w:rsidR="009A6A74" w:rsidRPr="00201CF7">
        <w:rPr>
          <w:rFonts w:asciiTheme="majorHAnsi" w:hAnsiTheme="majorHAnsi" w:cstheme="minorHAnsi"/>
          <w:lang w:val="en"/>
        </w:rPr>
        <w:t>s</w:t>
      </w:r>
      <w:r w:rsidRPr="00201CF7">
        <w:rPr>
          <w:rFonts w:asciiTheme="majorHAnsi" w:hAnsiTheme="majorHAnsi" w:cstheme="minorHAnsi"/>
          <w:lang w:val="en"/>
        </w:rPr>
        <w:t>ection 6.1 List of excipients.</w:t>
      </w:r>
    </w:p>
    <w:p w14:paraId="1CBB18ED" w14:textId="77777777" w:rsidR="001A3992" w:rsidRPr="00201CF7" w:rsidRDefault="001A3992" w:rsidP="001A3992">
      <w:pPr>
        <w:pStyle w:val="Heading1"/>
        <w:spacing w:before="0" w:after="120"/>
        <w:rPr>
          <w:rFonts w:cstheme="minorHAnsi"/>
        </w:rPr>
      </w:pPr>
      <w:r w:rsidRPr="00201CF7">
        <w:rPr>
          <w:rFonts w:cstheme="minorHAnsi"/>
        </w:rPr>
        <w:t>Pharmaceutical form</w:t>
      </w:r>
    </w:p>
    <w:p w14:paraId="50B7F0EC" w14:textId="0E029BAB" w:rsidR="002D70C0" w:rsidRPr="00201CF7" w:rsidRDefault="00FC1FEC" w:rsidP="002D70C0">
      <w:pPr>
        <w:spacing w:line="240" w:lineRule="auto"/>
        <w:rPr>
          <w:rFonts w:asciiTheme="majorHAnsi" w:hAnsiTheme="majorHAnsi"/>
          <w:noProof/>
        </w:rPr>
      </w:pPr>
      <w:r w:rsidRPr="00F85394">
        <w:rPr>
          <w:rFonts w:asciiTheme="majorHAnsi" w:hAnsiTheme="majorHAnsi"/>
          <w:noProof/>
        </w:rPr>
        <w:t>VAXCHORA</w:t>
      </w:r>
      <w:r w:rsidR="004126FD">
        <w:rPr>
          <w:rFonts w:asciiTheme="majorHAnsi" w:hAnsiTheme="majorHAnsi"/>
          <w:noProof/>
        </w:rPr>
        <w:t xml:space="preserve"> (</w:t>
      </w:r>
      <w:r w:rsidR="004126FD" w:rsidRPr="000972D9">
        <w:rPr>
          <w:rFonts w:asciiTheme="majorHAnsi" w:hAnsiTheme="majorHAnsi"/>
          <w:i/>
          <w:iCs/>
          <w:noProof/>
        </w:rPr>
        <w:t>Vibrio cholerae</w:t>
      </w:r>
      <w:r w:rsidR="00595509">
        <w:rPr>
          <w:rFonts w:asciiTheme="majorHAnsi" w:hAnsiTheme="majorHAnsi"/>
          <w:noProof/>
        </w:rPr>
        <w:t>)</w:t>
      </w:r>
      <w:r>
        <w:rPr>
          <w:rFonts w:asciiTheme="majorHAnsi" w:hAnsiTheme="majorHAnsi"/>
          <w:noProof/>
        </w:rPr>
        <w:t xml:space="preserve"> </w:t>
      </w:r>
      <w:r w:rsidR="00BE69EB">
        <w:rPr>
          <w:rFonts w:asciiTheme="majorHAnsi" w:hAnsiTheme="majorHAnsi"/>
          <w:noProof/>
        </w:rPr>
        <w:t>is provided</w:t>
      </w:r>
      <w:r w:rsidR="00BE69EB" w:rsidRPr="538DBF1D">
        <w:rPr>
          <w:rFonts w:asciiTheme="majorHAnsi" w:hAnsiTheme="majorHAnsi"/>
          <w:noProof/>
        </w:rPr>
        <w:t xml:space="preserve"> </w:t>
      </w:r>
      <w:r w:rsidR="00FC4404">
        <w:rPr>
          <w:rFonts w:asciiTheme="majorHAnsi" w:hAnsiTheme="majorHAnsi"/>
          <w:noProof/>
        </w:rPr>
        <w:t>in a sachet</w:t>
      </w:r>
      <w:r w:rsidR="00BE69EB">
        <w:rPr>
          <w:rFonts w:asciiTheme="majorHAnsi" w:hAnsiTheme="majorHAnsi"/>
          <w:noProof/>
        </w:rPr>
        <w:t xml:space="preserve"> as </w:t>
      </w:r>
      <w:r w:rsidR="00283E6E">
        <w:rPr>
          <w:rFonts w:asciiTheme="majorHAnsi" w:hAnsiTheme="majorHAnsi"/>
          <w:noProof/>
        </w:rPr>
        <w:t xml:space="preserve">a </w:t>
      </w:r>
      <w:r w:rsidR="002D70C0" w:rsidRPr="00201CF7">
        <w:rPr>
          <w:rFonts w:asciiTheme="majorHAnsi" w:hAnsiTheme="majorHAnsi"/>
          <w:noProof/>
        </w:rPr>
        <w:t>powder for suspension</w:t>
      </w:r>
      <w:r w:rsidR="00F7485F">
        <w:rPr>
          <w:rFonts w:asciiTheme="majorHAnsi" w:hAnsiTheme="majorHAnsi"/>
          <w:noProof/>
        </w:rPr>
        <w:t xml:space="preserve"> (Sachet </w:t>
      </w:r>
      <w:r w:rsidR="00F855CC">
        <w:rPr>
          <w:rFonts w:asciiTheme="majorHAnsi" w:hAnsiTheme="majorHAnsi"/>
          <w:noProof/>
        </w:rPr>
        <w:t>2</w:t>
      </w:r>
      <w:r w:rsidR="00F7485F">
        <w:rPr>
          <w:rFonts w:asciiTheme="majorHAnsi" w:hAnsiTheme="majorHAnsi"/>
          <w:noProof/>
        </w:rPr>
        <w:t>)</w:t>
      </w:r>
      <w:r w:rsidR="00707E8E">
        <w:rPr>
          <w:rFonts w:asciiTheme="majorHAnsi" w:hAnsiTheme="majorHAnsi"/>
          <w:noProof/>
        </w:rPr>
        <w:t>, with a</w:t>
      </w:r>
      <w:r w:rsidR="00E23057">
        <w:rPr>
          <w:rFonts w:asciiTheme="majorHAnsi" w:hAnsiTheme="majorHAnsi"/>
          <w:noProof/>
        </w:rPr>
        <w:t>n accompanying</w:t>
      </w:r>
      <w:r w:rsidR="00707E8E">
        <w:rPr>
          <w:rFonts w:asciiTheme="majorHAnsi" w:hAnsiTheme="majorHAnsi"/>
          <w:noProof/>
        </w:rPr>
        <w:t xml:space="preserve"> </w:t>
      </w:r>
      <w:r w:rsidR="00BE69EB">
        <w:rPr>
          <w:rFonts w:asciiTheme="majorHAnsi" w:hAnsiTheme="majorHAnsi"/>
          <w:noProof/>
        </w:rPr>
        <w:t>sachet</w:t>
      </w:r>
      <w:r w:rsidR="00707E8E">
        <w:rPr>
          <w:rFonts w:asciiTheme="majorHAnsi" w:hAnsiTheme="majorHAnsi"/>
          <w:noProof/>
        </w:rPr>
        <w:t xml:space="preserve"> </w:t>
      </w:r>
      <w:r w:rsidR="00F7485F">
        <w:rPr>
          <w:rFonts w:asciiTheme="majorHAnsi" w:hAnsiTheme="majorHAnsi"/>
          <w:noProof/>
        </w:rPr>
        <w:t xml:space="preserve">(Sachet </w:t>
      </w:r>
      <w:r w:rsidR="00F855CC">
        <w:rPr>
          <w:rFonts w:asciiTheme="majorHAnsi" w:hAnsiTheme="majorHAnsi"/>
          <w:noProof/>
        </w:rPr>
        <w:t>1</w:t>
      </w:r>
      <w:r w:rsidR="00F7485F">
        <w:rPr>
          <w:rFonts w:asciiTheme="majorHAnsi" w:hAnsiTheme="majorHAnsi"/>
          <w:noProof/>
        </w:rPr>
        <w:t xml:space="preserve">) </w:t>
      </w:r>
      <w:r w:rsidR="00707E8E">
        <w:rPr>
          <w:rFonts w:asciiTheme="majorHAnsi" w:hAnsiTheme="majorHAnsi"/>
          <w:noProof/>
        </w:rPr>
        <w:t>containing</w:t>
      </w:r>
      <w:r w:rsidR="009738EB">
        <w:rPr>
          <w:rFonts w:asciiTheme="majorHAnsi" w:hAnsiTheme="majorHAnsi"/>
          <w:noProof/>
        </w:rPr>
        <w:t xml:space="preserve"> effervescent </w:t>
      </w:r>
      <w:r w:rsidR="00784630">
        <w:rPr>
          <w:rFonts w:asciiTheme="majorHAnsi" w:hAnsiTheme="majorHAnsi"/>
          <w:noProof/>
        </w:rPr>
        <w:t>powder</w:t>
      </w:r>
      <w:r w:rsidR="009738EB">
        <w:rPr>
          <w:rFonts w:asciiTheme="majorHAnsi" w:hAnsiTheme="majorHAnsi"/>
          <w:noProof/>
        </w:rPr>
        <w:t xml:space="preserve"> (buffer</w:t>
      </w:r>
      <w:r w:rsidR="009738EB" w:rsidRPr="538DBF1D">
        <w:rPr>
          <w:rFonts w:asciiTheme="majorHAnsi" w:hAnsiTheme="majorHAnsi"/>
          <w:noProof/>
        </w:rPr>
        <w:t>)</w:t>
      </w:r>
      <w:r w:rsidR="00090E0D">
        <w:rPr>
          <w:rFonts w:asciiTheme="majorHAnsi" w:hAnsiTheme="majorHAnsi"/>
          <w:noProof/>
        </w:rPr>
        <w:t>.</w:t>
      </w:r>
    </w:p>
    <w:p w14:paraId="3BA269BF" w14:textId="4949B0A9" w:rsidR="002D70C0" w:rsidRPr="00201CF7" w:rsidRDefault="006C1C0F" w:rsidP="002D70C0">
      <w:pPr>
        <w:spacing w:line="240" w:lineRule="auto"/>
        <w:rPr>
          <w:rFonts w:asciiTheme="majorHAnsi" w:hAnsiTheme="majorHAnsi"/>
          <w:noProof/>
        </w:rPr>
      </w:pPr>
      <w:bookmarkStart w:id="1" w:name="_Hlk531336214"/>
      <w:r>
        <w:rPr>
          <w:rFonts w:asciiTheme="majorHAnsi" w:hAnsiTheme="majorHAnsi"/>
          <w:noProof/>
        </w:rPr>
        <w:t xml:space="preserve">The active ingredient is a white to beige powder, and the buffer is a </w:t>
      </w:r>
      <w:r w:rsidR="00C71E0E">
        <w:rPr>
          <w:rFonts w:asciiTheme="majorHAnsi" w:hAnsiTheme="majorHAnsi"/>
          <w:noProof/>
        </w:rPr>
        <w:t>w</w:t>
      </w:r>
      <w:r w:rsidR="002D70C0" w:rsidRPr="00201CF7">
        <w:rPr>
          <w:rFonts w:asciiTheme="majorHAnsi" w:hAnsiTheme="majorHAnsi"/>
          <w:noProof/>
        </w:rPr>
        <w:t xml:space="preserve">hite-to-off-white powder. </w:t>
      </w:r>
      <w:bookmarkEnd w:id="1"/>
    </w:p>
    <w:p w14:paraId="60BFA052" w14:textId="77777777" w:rsidR="001A3992" w:rsidRPr="00201CF7" w:rsidRDefault="001A3992" w:rsidP="001A3992">
      <w:pPr>
        <w:pStyle w:val="Heading1"/>
        <w:spacing w:before="0" w:after="120"/>
        <w:rPr>
          <w:rFonts w:cstheme="minorHAnsi"/>
        </w:rPr>
      </w:pPr>
      <w:r w:rsidRPr="00201CF7">
        <w:rPr>
          <w:rFonts w:cstheme="minorHAnsi"/>
        </w:rPr>
        <w:t>Clinical particulars</w:t>
      </w:r>
    </w:p>
    <w:p w14:paraId="3276651F" w14:textId="77777777" w:rsidR="001A3992" w:rsidRPr="00201CF7" w:rsidRDefault="001A3992" w:rsidP="001A3992">
      <w:pPr>
        <w:pStyle w:val="Heading2"/>
        <w:spacing w:before="0" w:after="120"/>
        <w:rPr>
          <w:rFonts w:cstheme="minorHAnsi"/>
        </w:rPr>
      </w:pPr>
      <w:r w:rsidRPr="00201CF7">
        <w:rPr>
          <w:rFonts w:cstheme="minorHAnsi"/>
        </w:rPr>
        <w:t xml:space="preserve">Therapeutic indications </w:t>
      </w:r>
    </w:p>
    <w:p w14:paraId="5481D315" w14:textId="77777777" w:rsidR="00AC502A" w:rsidRPr="00AC502A" w:rsidRDefault="00BD0E7C" w:rsidP="00AC502A">
      <w:pPr>
        <w:spacing w:line="240" w:lineRule="auto"/>
        <w:rPr>
          <w:rFonts w:asciiTheme="majorHAnsi" w:hAnsiTheme="majorHAnsi"/>
          <w:noProof/>
        </w:rPr>
      </w:pPr>
      <w:r>
        <w:rPr>
          <w:rFonts w:asciiTheme="majorHAnsi" w:hAnsiTheme="majorHAnsi"/>
          <w:noProof/>
        </w:rPr>
        <w:t>VAXCHORA</w:t>
      </w:r>
      <w:r w:rsidR="007E78F6">
        <w:rPr>
          <w:rFonts w:asciiTheme="majorHAnsi" w:hAnsiTheme="majorHAnsi"/>
          <w:noProof/>
        </w:rPr>
        <w:t xml:space="preserve"> vaccine</w:t>
      </w:r>
      <w:r w:rsidR="002D70C0" w:rsidRPr="00201CF7">
        <w:rPr>
          <w:rFonts w:asciiTheme="majorHAnsi" w:hAnsiTheme="majorHAnsi"/>
          <w:noProof/>
        </w:rPr>
        <w:t xml:space="preserve"> is indicated for active immunisation against disease caused by </w:t>
      </w:r>
      <w:r w:rsidR="002D70C0" w:rsidRPr="00201CF7">
        <w:rPr>
          <w:rFonts w:asciiTheme="majorHAnsi" w:hAnsiTheme="majorHAnsi"/>
          <w:i/>
          <w:noProof/>
        </w:rPr>
        <w:t>Vibrio cholerae</w:t>
      </w:r>
      <w:r w:rsidR="002D70C0" w:rsidRPr="00201CF7">
        <w:rPr>
          <w:rFonts w:asciiTheme="majorHAnsi" w:hAnsiTheme="majorHAnsi"/>
          <w:noProof/>
        </w:rPr>
        <w:t xml:space="preserve"> serogroup O1 in adults and children aged 2 years and older</w:t>
      </w:r>
      <w:r w:rsidR="00AC502A">
        <w:rPr>
          <w:rFonts w:asciiTheme="majorHAnsi" w:hAnsiTheme="majorHAnsi"/>
          <w:noProof/>
        </w:rPr>
        <w:t xml:space="preserve"> </w:t>
      </w:r>
      <w:r w:rsidR="00AC502A" w:rsidRPr="00AC502A">
        <w:rPr>
          <w:rFonts w:asciiTheme="majorHAnsi" w:hAnsiTheme="majorHAnsi"/>
          <w:noProof/>
        </w:rPr>
        <w:t xml:space="preserve">travelling to cholera-affected countries. </w:t>
      </w:r>
    </w:p>
    <w:p w14:paraId="73079286" w14:textId="77777777" w:rsidR="00AC502A" w:rsidRPr="00AC502A" w:rsidRDefault="00AC502A" w:rsidP="00AC502A">
      <w:pPr>
        <w:spacing w:line="240" w:lineRule="auto"/>
        <w:rPr>
          <w:rFonts w:asciiTheme="majorHAnsi" w:hAnsiTheme="majorHAnsi"/>
          <w:noProof/>
        </w:rPr>
      </w:pPr>
      <w:r w:rsidRPr="00AC502A">
        <w:rPr>
          <w:rFonts w:asciiTheme="majorHAnsi" w:hAnsiTheme="majorHAnsi"/>
          <w:noProof/>
        </w:rPr>
        <w:t xml:space="preserve">VAXCHORA vaccine should be used in accordance with official recommendations. </w:t>
      </w:r>
    </w:p>
    <w:p w14:paraId="03122F5B" w14:textId="6A38D4CD" w:rsidR="002D70C0" w:rsidRPr="00201CF7" w:rsidRDefault="00AC502A" w:rsidP="00AC502A">
      <w:pPr>
        <w:spacing w:line="240" w:lineRule="auto"/>
        <w:rPr>
          <w:rFonts w:asciiTheme="majorHAnsi" w:hAnsiTheme="majorHAnsi"/>
          <w:noProof/>
        </w:rPr>
      </w:pPr>
      <w:r w:rsidRPr="00AC502A">
        <w:rPr>
          <w:rFonts w:asciiTheme="majorHAnsi" w:hAnsiTheme="majorHAnsi"/>
          <w:noProof/>
        </w:rPr>
        <w:t>The vaccine should not replace standard preventive hygiene measures.</w:t>
      </w:r>
    </w:p>
    <w:p w14:paraId="6BAF6868" w14:textId="77777777" w:rsidR="001A3992" w:rsidRPr="00201CF7" w:rsidRDefault="001A3992" w:rsidP="001A3992">
      <w:pPr>
        <w:pStyle w:val="Heading2"/>
        <w:spacing w:before="0" w:after="120"/>
        <w:rPr>
          <w:rFonts w:cstheme="minorHAnsi"/>
        </w:rPr>
      </w:pPr>
      <w:r w:rsidRPr="00201CF7">
        <w:rPr>
          <w:rFonts w:cstheme="minorHAnsi"/>
        </w:rPr>
        <w:t xml:space="preserve">Dose and method of administration </w:t>
      </w:r>
    </w:p>
    <w:p w14:paraId="43456062" w14:textId="77777777" w:rsidR="002D70C0" w:rsidRPr="00201CF7" w:rsidRDefault="002D70C0" w:rsidP="002D70C0">
      <w:pPr>
        <w:spacing w:line="240" w:lineRule="auto"/>
        <w:rPr>
          <w:rFonts w:asciiTheme="majorHAnsi" w:hAnsiTheme="majorHAnsi"/>
          <w:u w:val="single"/>
        </w:rPr>
      </w:pPr>
      <w:r w:rsidRPr="00201CF7">
        <w:rPr>
          <w:rFonts w:asciiTheme="majorHAnsi" w:hAnsiTheme="majorHAnsi"/>
          <w:u w:val="single"/>
        </w:rPr>
        <w:t>Posology</w:t>
      </w:r>
    </w:p>
    <w:p w14:paraId="578F7115" w14:textId="77777777" w:rsidR="002D70C0" w:rsidRPr="00201CF7" w:rsidRDefault="002D70C0" w:rsidP="002D70C0">
      <w:pPr>
        <w:spacing w:line="240" w:lineRule="auto"/>
        <w:rPr>
          <w:rFonts w:asciiTheme="majorHAnsi" w:hAnsiTheme="majorHAnsi"/>
          <w:b/>
          <w:i/>
        </w:rPr>
      </w:pPr>
      <w:r w:rsidRPr="00201CF7">
        <w:rPr>
          <w:rFonts w:asciiTheme="majorHAnsi" w:hAnsiTheme="majorHAnsi"/>
          <w:b/>
          <w:i/>
        </w:rPr>
        <w:t>Adults and children aged 2 years and older</w:t>
      </w:r>
    </w:p>
    <w:p w14:paraId="34F21888" w14:textId="5CCD1508" w:rsidR="002D70C0" w:rsidRPr="00201CF7" w:rsidRDefault="002D70C0" w:rsidP="002D70C0">
      <w:pPr>
        <w:spacing w:line="240" w:lineRule="auto"/>
        <w:rPr>
          <w:rFonts w:asciiTheme="majorHAnsi" w:hAnsiTheme="majorHAnsi"/>
        </w:rPr>
      </w:pPr>
      <w:r w:rsidRPr="00201CF7">
        <w:rPr>
          <w:rFonts w:asciiTheme="majorHAnsi" w:hAnsiTheme="majorHAnsi"/>
        </w:rPr>
        <w:t xml:space="preserve">A single oral dose should be administered at least </w:t>
      </w:r>
      <w:r w:rsidR="008B4D70">
        <w:rPr>
          <w:rFonts w:asciiTheme="majorHAnsi" w:hAnsiTheme="majorHAnsi"/>
        </w:rPr>
        <w:t>10</w:t>
      </w:r>
      <w:r w:rsidR="008B4D70" w:rsidRPr="00201CF7">
        <w:rPr>
          <w:rFonts w:asciiTheme="majorHAnsi" w:hAnsiTheme="majorHAnsi"/>
        </w:rPr>
        <w:t xml:space="preserve"> </w:t>
      </w:r>
      <w:r w:rsidRPr="00201CF7">
        <w:rPr>
          <w:rFonts w:asciiTheme="majorHAnsi" w:hAnsiTheme="majorHAnsi"/>
        </w:rPr>
        <w:t xml:space="preserve">days prior to potential exposure to </w:t>
      </w:r>
      <w:r w:rsidR="00011B8B">
        <w:rPr>
          <w:rFonts w:asciiTheme="majorHAnsi" w:hAnsiTheme="majorHAnsi"/>
          <w:i/>
        </w:rPr>
        <w:t>cholera</w:t>
      </w:r>
      <w:r w:rsidRPr="00201CF7">
        <w:rPr>
          <w:rFonts w:asciiTheme="majorHAnsi" w:hAnsiTheme="majorHAnsi"/>
        </w:rPr>
        <w:t>.</w:t>
      </w:r>
    </w:p>
    <w:p w14:paraId="46A3F472" w14:textId="77777777" w:rsidR="002D70C0" w:rsidRPr="00201CF7" w:rsidRDefault="002D70C0" w:rsidP="002D70C0">
      <w:pPr>
        <w:spacing w:line="240" w:lineRule="auto"/>
        <w:rPr>
          <w:rFonts w:asciiTheme="majorHAnsi" w:hAnsiTheme="majorHAnsi"/>
          <w:b/>
          <w:i/>
        </w:rPr>
      </w:pPr>
      <w:r w:rsidRPr="00201CF7">
        <w:rPr>
          <w:rFonts w:asciiTheme="majorHAnsi" w:hAnsiTheme="majorHAnsi"/>
          <w:b/>
          <w:i/>
        </w:rPr>
        <w:lastRenderedPageBreak/>
        <w:t>Revaccination</w:t>
      </w:r>
    </w:p>
    <w:p w14:paraId="27A730D3" w14:textId="22639317" w:rsidR="00AC502A" w:rsidRPr="005A1748" w:rsidRDefault="00AC502A" w:rsidP="002D70C0">
      <w:pPr>
        <w:spacing w:line="240" w:lineRule="auto"/>
        <w:rPr>
          <w:rFonts w:asciiTheme="majorHAnsi" w:hAnsiTheme="majorHAnsi"/>
        </w:rPr>
      </w:pPr>
      <w:r w:rsidRPr="005A1748">
        <w:rPr>
          <w:rStyle w:val="normaltextrun"/>
          <w:rFonts w:ascii="Cambria" w:hAnsi="Cambria"/>
          <w:bdr w:val="none" w:sz="0" w:space="0" w:color="auto" w:frame="1"/>
        </w:rPr>
        <w:t>The safety and effectiveness of revaccination with VAXCHORA vaccine have not been established.</w:t>
      </w:r>
    </w:p>
    <w:p w14:paraId="728BAA96" w14:textId="77777777" w:rsidR="002D70C0" w:rsidRPr="00201CF7" w:rsidRDefault="002D70C0" w:rsidP="002D70C0">
      <w:pPr>
        <w:spacing w:line="240" w:lineRule="auto"/>
        <w:rPr>
          <w:rFonts w:asciiTheme="majorHAnsi" w:hAnsiTheme="majorHAnsi"/>
          <w:bCs/>
          <w:i/>
          <w:iCs/>
        </w:rPr>
      </w:pPr>
      <w:r w:rsidRPr="00201CF7">
        <w:rPr>
          <w:rFonts w:asciiTheme="majorHAnsi" w:hAnsiTheme="majorHAnsi"/>
          <w:bCs/>
          <w:i/>
          <w:iCs/>
        </w:rPr>
        <w:t>Paediatric population</w:t>
      </w:r>
    </w:p>
    <w:p w14:paraId="731C3712" w14:textId="6CA756E4" w:rsidR="002D70C0" w:rsidRPr="00201CF7" w:rsidRDefault="002D70C0" w:rsidP="002D70C0">
      <w:pPr>
        <w:autoSpaceDE w:val="0"/>
        <w:autoSpaceDN w:val="0"/>
        <w:adjustRightInd w:val="0"/>
        <w:spacing w:line="240" w:lineRule="auto"/>
        <w:rPr>
          <w:rFonts w:asciiTheme="majorHAnsi" w:hAnsiTheme="majorHAnsi"/>
        </w:rPr>
      </w:pPr>
      <w:r w:rsidRPr="00201CF7">
        <w:rPr>
          <w:rFonts w:asciiTheme="majorHAnsi" w:hAnsiTheme="majorHAnsi"/>
        </w:rPr>
        <w:t xml:space="preserve">The safety and efficacy of </w:t>
      </w:r>
      <w:r w:rsidR="00BD0E7C" w:rsidRPr="005F24AA">
        <w:rPr>
          <w:rFonts w:asciiTheme="majorHAnsi" w:hAnsiTheme="majorHAnsi"/>
        </w:rPr>
        <w:t>VAXCHORA</w:t>
      </w:r>
      <w:r w:rsidRPr="00F848A3">
        <w:rPr>
          <w:rFonts w:asciiTheme="majorHAnsi" w:hAnsiTheme="majorHAnsi"/>
        </w:rPr>
        <w:t xml:space="preserve"> </w:t>
      </w:r>
      <w:r w:rsidR="005F24AA" w:rsidRPr="00F848A3">
        <w:rPr>
          <w:rFonts w:asciiTheme="majorHAnsi" w:hAnsiTheme="majorHAnsi"/>
        </w:rPr>
        <w:t xml:space="preserve">vaccine </w:t>
      </w:r>
      <w:r w:rsidRPr="005F24AA">
        <w:rPr>
          <w:rFonts w:asciiTheme="majorHAnsi" w:hAnsiTheme="majorHAnsi"/>
        </w:rPr>
        <w:t xml:space="preserve">in </w:t>
      </w:r>
      <w:r w:rsidRPr="00201CF7">
        <w:rPr>
          <w:rFonts w:asciiTheme="majorHAnsi" w:hAnsiTheme="majorHAnsi"/>
        </w:rPr>
        <w:t xml:space="preserve">children </w:t>
      </w:r>
      <w:r w:rsidRPr="6826A92A">
        <w:rPr>
          <w:rFonts w:asciiTheme="majorHAnsi" w:hAnsiTheme="majorHAnsi"/>
        </w:rPr>
        <w:t>less than 2</w:t>
      </w:r>
      <w:r w:rsidRPr="00201CF7">
        <w:rPr>
          <w:rFonts w:asciiTheme="majorHAnsi" w:hAnsiTheme="majorHAnsi"/>
        </w:rPr>
        <w:t xml:space="preserve"> years </w:t>
      </w:r>
      <w:r w:rsidRPr="6826A92A">
        <w:rPr>
          <w:rFonts w:asciiTheme="majorHAnsi" w:hAnsiTheme="majorHAnsi"/>
        </w:rPr>
        <w:t>ha</w:t>
      </w:r>
      <w:r w:rsidR="63E7A8F6" w:rsidRPr="6826A92A">
        <w:rPr>
          <w:rFonts w:asciiTheme="majorHAnsi" w:hAnsiTheme="majorHAnsi"/>
        </w:rPr>
        <w:t>ve</w:t>
      </w:r>
      <w:r w:rsidRPr="00201CF7">
        <w:rPr>
          <w:rFonts w:asciiTheme="majorHAnsi" w:hAnsiTheme="majorHAnsi"/>
        </w:rPr>
        <w:t xml:space="preserve"> not been established. No data are available. </w:t>
      </w:r>
    </w:p>
    <w:p w14:paraId="1C79B40A" w14:textId="25468F20" w:rsidR="002D70C0" w:rsidRPr="00201CF7" w:rsidRDefault="002D70C0" w:rsidP="002D70C0">
      <w:pPr>
        <w:spacing w:line="240" w:lineRule="auto"/>
        <w:rPr>
          <w:rFonts w:asciiTheme="majorHAnsi" w:hAnsiTheme="majorHAnsi"/>
          <w:u w:val="single"/>
        </w:rPr>
      </w:pPr>
      <w:r w:rsidRPr="00201CF7">
        <w:rPr>
          <w:rFonts w:asciiTheme="majorHAnsi" w:hAnsiTheme="majorHAnsi"/>
          <w:u w:val="single"/>
        </w:rPr>
        <w:t>Method of administration</w:t>
      </w:r>
    </w:p>
    <w:p w14:paraId="3E161F4A" w14:textId="6ABD5433" w:rsidR="007A7B64" w:rsidRDefault="002D70C0" w:rsidP="002D70C0">
      <w:pPr>
        <w:spacing w:line="240" w:lineRule="auto"/>
        <w:rPr>
          <w:rFonts w:asciiTheme="majorHAnsi" w:hAnsiTheme="majorHAnsi"/>
        </w:rPr>
      </w:pPr>
      <w:r w:rsidRPr="00201CF7">
        <w:rPr>
          <w:rFonts w:asciiTheme="majorHAnsi" w:hAnsiTheme="majorHAnsi"/>
        </w:rPr>
        <w:t>Oral use.</w:t>
      </w:r>
    </w:p>
    <w:p w14:paraId="176D1501" w14:textId="00D41FCB" w:rsidR="00AB10E3" w:rsidRPr="00F848A3" w:rsidRDefault="00AB10E3" w:rsidP="007A7B64">
      <w:pPr>
        <w:spacing w:line="240" w:lineRule="auto"/>
        <w:rPr>
          <w:rFonts w:asciiTheme="majorHAnsi" w:hAnsiTheme="majorHAnsi"/>
          <w:noProof/>
          <w:u w:val="single"/>
        </w:rPr>
      </w:pPr>
      <w:r w:rsidRPr="00201CF7">
        <w:rPr>
          <w:rFonts w:asciiTheme="majorHAnsi" w:hAnsiTheme="majorHAnsi"/>
          <w:noProof/>
          <w:u w:val="single"/>
        </w:rPr>
        <w:t>Preparation for use</w:t>
      </w:r>
    </w:p>
    <w:p w14:paraId="5214092C" w14:textId="3A671228" w:rsidR="007A7B64" w:rsidRDefault="007A7B64" w:rsidP="007A7B64">
      <w:pPr>
        <w:spacing w:line="240" w:lineRule="auto"/>
        <w:rPr>
          <w:rFonts w:asciiTheme="majorHAnsi" w:hAnsiTheme="majorHAnsi"/>
          <w:noProof/>
        </w:rPr>
      </w:pPr>
      <w:r w:rsidRPr="00201CF7">
        <w:rPr>
          <w:rFonts w:asciiTheme="majorHAnsi" w:hAnsiTheme="majorHAnsi"/>
          <w:noProof/>
        </w:rPr>
        <w:t>To prepare the vaccine for administration</w:t>
      </w:r>
      <w:r>
        <w:rPr>
          <w:rFonts w:asciiTheme="majorHAnsi" w:hAnsiTheme="majorHAnsi"/>
          <w:noProof/>
        </w:rPr>
        <w:t>,</w:t>
      </w:r>
      <w:r w:rsidRPr="00201CF7">
        <w:rPr>
          <w:rFonts w:asciiTheme="majorHAnsi" w:hAnsiTheme="majorHAnsi"/>
          <w:noProof/>
        </w:rPr>
        <w:t xml:space="preserve"> the </w:t>
      </w:r>
      <w:r>
        <w:rPr>
          <w:rFonts w:asciiTheme="majorHAnsi" w:hAnsiTheme="majorHAnsi"/>
          <w:noProof/>
        </w:rPr>
        <w:t>VAXCHORA</w:t>
      </w:r>
      <w:r w:rsidRPr="00201CF7">
        <w:rPr>
          <w:rFonts w:asciiTheme="majorHAnsi" w:hAnsiTheme="majorHAnsi"/>
          <w:noProof/>
        </w:rPr>
        <w:t xml:space="preserve"> active and buffer component sachets are removed from the refrigerator no more than </w:t>
      </w:r>
      <w:r w:rsidR="00F56091">
        <w:rPr>
          <w:rFonts w:asciiTheme="majorHAnsi" w:hAnsiTheme="majorHAnsi"/>
          <w:noProof/>
        </w:rPr>
        <w:t>12 hours</w:t>
      </w:r>
      <w:r w:rsidRPr="00201CF7">
        <w:rPr>
          <w:rFonts w:asciiTheme="majorHAnsi" w:hAnsiTheme="majorHAnsi"/>
          <w:noProof/>
        </w:rPr>
        <w:t xml:space="preserve"> at </w:t>
      </w:r>
      <w:r w:rsidR="00F56091">
        <w:rPr>
          <w:rFonts w:asciiTheme="majorHAnsi" w:hAnsiTheme="majorHAnsi"/>
          <w:noProof/>
        </w:rPr>
        <w:t xml:space="preserve">or below </w:t>
      </w:r>
      <w:r w:rsidRPr="00201CF7">
        <w:rPr>
          <w:rFonts w:asciiTheme="majorHAnsi" w:hAnsiTheme="majorHAnsi"/>
          <w:noProof/>
        </w:rPr>
        <w:t>25°C prior to reconstitution.</w:t>
      </w:r>
    </w:p>
    <w:p w14:paraId="28BB3EC4" w14:textId="77777777" w:rsidR="00FA0C08" w:rsidRPr="00FA0C08" w:rsidRDefault="00FA0C08" w:rsidP="00FA0C08">
      <w:pPr>
        <w:spacing w:line="240" w:lineRule="auto"/>
        <w:rPr>
          <w:rFonts w:asciiTheme="majorHAnsi" w:hAnsiTheme="majorHAnsi"/>
          <w:noProof/>
        </w:rPr>
      </w:pPr>
      <w:r w:rsidRPr="00FA0C08">
        <w:rPr>
          <w:rFonts w:asciiTheme="majorHAnsi" w:hAnsiTheme="majorHAnsi"/>
          <w:noProof/>
        </w:rPr>
        <w:t>Eating and drinking should be avoided for 60 minutes before and after oral ingestion of VAXCHORA vaccine.</w:t>
      </w:r>
    </w:p>
    <w:p w14:paraId="65B0AD88" w14:textId="296F9021" w:rsidR="007A7B64" w:rsidRDefault="007A7B64" w:rsidP="007A7B64">
      <w:pPr>
        <w:spacing w:line="240" w:lineRule="auto"/>
        <w:rPr>
          <w:rFonts w:asciiTheme="majorHAnsi" w:hAnsiTheme="majorHAnsi"/>
          <w:noProof/>
        </w:rPr>
      </w:pPr>
      <w:r w:rsidRPr="00201CF7">
        <w:rPr>
          <w:rFonts w:asciiTheme="majorHAnsi" w:hAnsiTheme="majorHAnsi"/>
          <w:noProof/>
        </w:rPr>
        <w:t xml:space="preserve">It is important to mix the sachets in the order described. </w:t>
      </w:r>
      <w:r w:rsidR="00DE7CDE">
        <w:rPr>
          <w:rFonts w:asciiTheme="majorHAnsi" w:hAnsiTheme="majorHAnsi"/>
          <w:noProof/>
        </w:rPr>
        <w:t>I</w:t>
      </w:r>
      <w:r w:rsidR="00DE7CDE" w:rsidRPr="00DE7CDE">
        <w:rPr>
          <w:rFonts w:asciiTheme="majorHAnsi" w:hAnsiTheme="majorHAnsi"/>
          <w:noProof/>
        </w:rPr>
        <w:t>f the sachets are reconstituted in the incorrect order, the vaccine must be discarded.</w:t>
      </w:r>
      <w:r w:rsidR="00F56091">
        <w:rPr>
          <w:rFonts w:asciiTheme="majorHAnsi" w:hAnsiTheme="majorHAnsi"/>
          <w:noProof/>
        </w:rPr>
        <w:t xml:space="preserve"> </w:t>
      </w:r>
      <w:r w:rsidR="00F56091" w:rsidRPr="00424494">
        <w:rPr>
          <w:rFonts w:asciiTheme="majorHAnsi" w:hAnsiTheme="majorHAnsi"/>
          <w:noProof/>
        </w:rPr>
        <w:t xml:space="preserve">If the integrity of the </w:t>
      </w:r>
      <w:r w:rsidR="00F56091">
        <w:rPr>
          <w:rFonts w:asciiTheme="majorHAnsi" w:hAnsiTheme="majorHAnsi"/>
          <w:noProof/>
        </w:rPr>
        <w:t>sachet</w:t>
      </w:r>
      <w:r w:rsidR="00F56091" w:rsidRPr="00424494">
        <w:rPr>
          <w:rFonts w:asciiTheme="majorHAnsi" w:hAnsiTheme="majorHAnsi"/>
          <w:noProof/>
        </w:rPr>
        <w:t xml:space="preserve"> has been compromised, or if the vaccine and/or buffer shows signs of yellowing and clumping, then the vaccine/buffer should be discarded</w:t>
      </w:r>
      <w:r w:rsidR="00F56091">
        <w:rPr>
          <w:rFonts w:asciiTheme="majorHAnsi" w:hAnsiTheme="majorHAnsi"/>
          <w:noProof/>
        </w:rPr>
        <w:t>.</w:t>
      </w:r>
    </w:p>
    <w:p w14:paraId="45FE1E5C" w14:textId="71919CE9" w:rsidR="007A7B64" w:rsidRDefault="007A7B64" w:rsidP="0FABBAD2">
      <w:pPr>
        <w:spacing w:line="240" w:lineRule="auto"/>
        <w:rPr>
          <w:rFonts w:asciiTheme="majorHAnsi" w:hAnsiTheme="majorHAnsi"/>
          <w:noProof/>
        </w:rPr>
      </w:pPr>
      <w:r w:rsidRPr="0FABBAD2">
        <w:rPr>
          <w:rFonts w:asciiTheme="majorHAnsi" w:hAnsiTheme="majorHAnsi"/>
          <w:noProof/>
        </w:rPr>
        <w:t xml:space="preserve">Step 1: First, the contents of Sachet 1 (a white-to-off-white buffer powder) </w:t>
      </w:r>
      <w:r w:rsidR="57B4D3FB" w:rsidRPr="0FABBAD2">
        <w:rPr>
          <w:rFonts w:asciiTheme="majorHAnsi" w:hAnsiTheme="majorHAnsi"/>
          <w:noProof/>
        </w:rPr>
        <w:t>are</w:t>
      </w:r>
      <w:r w:rsidR="5B01ABA3" w:rsidRPr="0FABBAD2">
        <w:rPr>
          <w:rFonts w:asciiTheme="majorHAnsi" w:hAnsiTheme="majorHAnsi"/>
          <w:noProof/>
        </w:rPr>
        <w:t xml:space="preserve"> added to</w:t>
      </w:r>
      <w:r w:rsidRPr="0FABBAD2">
        <w:rPr>
          <w:rFonts w:asciiTheme="majorHAnsi" w:hAnsiTheme="majorHAnsi"/>
          <w:noProof/>
        </w:rPr>
        <w:t xml:space="preserve"> 100 mL of cold or room temperature (≤25°C) bottled non-carbonated or carbonated drinking water in a cup. </w:t>
      </w:r>
      <w:r w:rsidR="000F4426" w:rsidRPr="0FABBAD2">
        <w:rPr>
          <w:rFonts w:asciiTheme="majorHAnsi" w:hAnsiTheme="majorHAnsi"/>
          <w:noProof/>
          <w:lang w:val="en-US"/>
        </w:rPr>
        <w:t>Using non-bottled (e.g. tap water) may render the vaccine ineffective</w:t>
      </w:r>
      <w:r w:rsidR="00F537EC" w:rsidRPr="0FABBAD2">
        <w:rPr>
          <w:rFonts w:asciiTheme="majorHAnsi" w:hAnsiTheme="majorHAnsi"/>
          <w:noProof/>
          <w:lang w:val="en-US"/>
        </w:rPr>
        <w:t>.</w:t>
      </w:r>
      <w:r w:rsidR="000F4426" w:rsidRPr="0FABBAD2">
        <w:rPr>
          <w:rFonts w:asciiTheme="majorHAnsi" w:hAnsiTheme="majorHAnsi"/>
          <w:noProof/>
        </w:rPr>
        <w:t xml:space="preserve"> </w:t>
      </w:r>
      <w:r w:rsidRPr="0FABBAD2">
        <w:rPr>
          <w:rFonts w:asciiTheme="majorHAnsi" w:hAnsiTheme="majorHAnsi"/>
          <w:noProof/>
        </w:rPr>
        <w:t>The solution should be stirred until the buffer powder is dissolved.</w:t>
      </w:r>
    </w:p>
    <w:p w14:paraId="5C67CC94" w14:textId="293FE5A1" w:rsidR="007A7B64" w:rsidRDefault="007A7B64" w:rsidP="007A7B64">
      <w:pPr>
        <w:spacing w:line="240" w:lineRule="auto"/>
        <w:rPr>
          <w:rFonts w:asciiTheme="majorHAnsi" w:hAnsiTheme="majorHAnsi"/>
          <w:noProof/>
        </w:rPr>
      </w:pPr>
      <w:r w:rsidRPr="00201CF7">
        <w:rPr>
          <w:rFonts w:asciiTheme="majorHAnsi" w:hAnsiTheme="majorHAnsi"/>
          <w:noProof/>
        </w:rPr>
        <w:t xml:space="preserve">For children age 2 to </w:t>
      </w:r>
      <w:r>
        <w:rPr>
          <w:rFonts w:asciiTheme="majorHAnsi" w:hAnsiTheme="majorHAnsi"/>
          <w:noProof/>
        </w:rPr>
        <w:t>5</w:t>
      </w:r>
      <w:r w:rsidRPr="00201CF7">
        <w:rPr>
          <w:rFonts w:asciiTheme="majorHAnsi" w:hAnsiTheme="majorHAnsi"/>
          <w:noProof/>
        </w:rPr>
        <w:t xml:space="preserve"> years </w:t>
      </w:r>
      <w:r>
        <w:rPr>
          <w:rFonts w:asciiTheme="majorHAnsi" w:hAnsiTheme="majorHAnsi"/>
          <w:noProof/>
        </w:rPr>
        <w:t>ONLY</w:t>
      </w:r>
      <w:r w:rsidRPr="00201CF7">
        <w:rPr>
          <w:rFonts w:asciiTheme="majorHAnsi" w:hAnsiTheme="majorHAnsi"/>
          <w:noProof/>
        </w:rPr>
        <w:t xml:space="preserve">, half </w:t>
      </w:r>
      <w:r>
        <w:rPr>
          <w:rFonts w:asciiTheme="majorHAnsi" w:hAnsiTheme="majorHAnsi"/>
          <w:noProof/>
        </w:rPr>
        <w:t xml:space="preserve">(50 mL) </w:t>
      </w:r>
      <w:r w:rsidRPr="00201CF7">
        <w:rPr>
          <w:rFonts w:asciiTheme="majorHAnsi" w:hAnsiTheme="majorHAnsi"/>
          <w:noProof/>
        </w:rPr>
        <w:t>of the buffer solution should then be discarded</w:t>
      </w:r>
      <w:r>
        <w:rPr>
          <w:rFonts w:asciiTheme="majorHAnsi" w:hAnsiTheme="majorHAnsi"/>
          <w:noProof/>
        </w:rPr>
        <w:t xml:space="preserve"> before proceeding to the next step</w:t>
      </w:r>
      <w:r w:rsidRPr="00201CF7">
        <w:rPr>
          <w:rFonts w:asciiTheme="majorHAnsi" w:hAnsiTheme="majorHAnsi"/>
          <w:noProof/>
        </w:rPr>
        <w:t xml:space="preserve">. </w:t>
      </w:r>
    </w:p>
    <w:p w14:paraId="15202435" w14:textId="7A3D9C17" w:rsidR="007A7B64" w:rsidRDefault="007A7B64" w:rsidP="007A7B64">
      <w:pPr>
        <w:spacing w:line="240" w:lineRule="auto"/>
        <w:rPr>
          <w:rFonts w:asciiTheme="majorHAnsi" w:hAnsiTheme="majorHAnsi"/>
          <w:noProof/>
        </w:rPr>
      </w:pPr>
      <w:r>
        <w:rPr>
          <w:rFonts w:asciiTheme="majorHAnsi" w:hAnsiTheme="majorHAnsi"/>
          <w:noProof/>
        </w:rPr>
        <w:t>Step 2: T</w:t>
      </w:r>
      <w:r w:rsidRPr="00201CF7">
        <w:rPr>
          <w:rFonts w:asciiTheme="majorHAnsi" w:hAnsiTheme="majorHAnsi"/>
          <w:noProof/>
        </w:rPr>
        <w:t xml:space="preserve">he contents of </w:t>
      </w:r>
      <w:r>
        <w:rPr>
          <w:rFonts w:asciiTheme="majorHAnsi" w:hAnsiTheme="majorHAnsi"/>
          <w:noProof/>
        </w:rPr>
        <w:t xml:space="preserve">Sachet 2 (containing </w:t>
      </w:r>
      <w:r w:rsidRPr="00201CF7">
        <w:rPr>
          <w:rFonts w:asciiTheme="majorHAnsi" w:hAnsiTheme="majorHAnsi"/>
          <w:noProof/>
        </w:rPr>
        <w:t xml:space="preserve">the active </w:t>
      </w:r>
      <w:r>
        <w:rPr>
          <w:rFonts w:asciiTheme="majorHAnsi" w:hAnsiTheme="majorHAnsi"/>
          <w:noProof/>
        </w:rPr>
        <w:t>ingredient which is</w:t>
      </w:r>
      <w:r w:rsidRPr="00201CF7">
        <w:rPr>
          <w:rFonts w:asciiTheme="majorHAnsi" w:hAnsiTheme="majorHAnsi"/>
          <w:noProof/>
        </w:rPr>
        <w:t xml:space="preserve"> a white-to-beige powder) are then added </w:t>
      </w:r>
      <w:r>
        <w:rPr>
          <w:rFonts w:asciiTheme="majorHAnsi" w:hAnsiTheme="majorHAnsi"/>
          <w:noProof/>
        </w:rPr>
        <w:t xml:space="preserve">to the cup </w:t>
      </w:r>
      <w:r w:rsidRPr="00201CF7">
        <w:rPr>
          <w:rFonts w:asciiTheme="majorHAnsi" w:hAnsiTheme="majorHAnsi"/>
          <w:noProof/>
        </w:rPr>
        <w:t xml:space="preserve">and the mixture is stirred for at least 30 seconds. The reconstituted vaccine forms a slightly cloudy suspension that may contain some white particulates. </w:t>
      </w:r>
      <w:r w:rsidR="00706EFC" w:rsidRPr="00201CF7">
        <w:rPr>
          <w:rFonts w:asciiTheme="majorHAnsi" w:hAnsiTheme="majorHAnsi"/>
          <w:noProof/>
        </w:rPr>
        <w:t xml:space="preserve">The dose should be </w:t>
      </w:r>
      <w:r w:rsidR="00706EFC">
        <w:rPr>
          <w:rFonts w:asciiTheme="majorHAnsi" w:hAnsiTheme="majorHAnsi"/>
          <w:noProof/>
        </w:rPr>
        <w:t>drunk</w:t>
      </w:r>
      <w:r w:rsidR="00706EFC" w:rsidRPr="00201CF7">
        <w:rPr>
          <w:rFonts w:asciiTheme="majorHAnsi" w:hAnsiTheme="majorHAnsi"/>
          <w:noProof/>
        </w:rPr>
        <w:t xml:space="preserve"> within </w:t>
      </w:r>
      <w:r w:rsidR="004C06C9">
        <w:rPr>
          <w:rFonts w:asciiTheme="majorHAnsi" w:hAnsiTheme="majorHAnsi"/>
          <w:noProof/>
        </w:rPr>
        <w:t>15</w:t>
      </w:r>
      <w:r w:rsidR="00F56091">
        <w:rPr>
          <w:rFonts w:asciiTheme="majorHAnsi" w:hAnsiTheme="majorHAnsi"/>
          <w:noProof/>
        </w:rPr>
        <w:t xml:space="preserve"> minutes</w:t>
      </w:r>
      <w:r w:rsidR="00706EFC" w:rsidRPr="00201CF7">
        <w:rPr>
          <w:rFonts w:asciiTheme="majorHAnsi" w:hAnsiTheme="majorHAnsi"/>
          <w:noProof/>
        </w:rPr>
        <w:t xml:space="preserve"> of reconstitution.</w:t>
      </w:r>
      <w:r w:rsidR="00706EFC">
        <w:rPr>
          <w:rFonts w:asciiTheme="majorHAnsi" w:hAnsiTheme="majorHAnsi"/>
          <w:noProof/>
        </w:rPr>
        <w:t xml:space="preserve"> </w:t>
      </w:r>
      <w:r w:rsidR="00706EFC" w:rsidRPr="00A22E0F">
        <w:rPr>
          <w:rFonts w:asciiTheme="majorHAnsi" w:hAnsiTheme="majorHAnsi"/>
          <w:noProof/>
        </w:rPr>
        <w:t xml:space="preserve"> </w:t>
      </w:r>
    </w:p>
    <w:p w14:paraId="17E75D07" w14:textId="5102FE95" w:rsidR="00CE0279" w:rsidRDefault="00CE0279" w:rsidP="00CE0279">
      <w:pPr>
        <w:spacing w:line="240" w:lineRule="auto"/>
        <w:rPr>
          <w:rFonts w:asciiTheme="majorHAnsi" w:hAnsiTheme="majorHAnsi"/>
          <w:noProof/>
        </w:rPr>
      </w:pPr>
      <w:r>
        <w:rPr>
          <w:rFonts w:asciiTheme="majorHAnsi" w:hAnsiTheme="majorHAnsi"/>
          <w:noProof/>
        </w:rPr>
        <w:t>If desired</w:t>
      </w:r>
      <w:r w:rsidRPr="33F8B492">
        <w:rPr>
          <w:rFonts w:asciiTheme="majorHAnsi" w:hAnsiTheme="majorHAnsi"/>
          <w:noProof/>
        </w:rPr>
        <w:t>,</w:t>
      </w:r>
      <w:r>
        <w:rPr>
          <w:rFonts w:asciiTheme="majorHAnsi" w:hAnsiTheme="majorHAnsi"/>
          <w:noProof/>
        </w:rPr>
        <w:t xml:space="preserve"> sucrose </w:t>
      </w:r>
      <w:r w:rsidRPr="4BDC4960">
        <w:rPr>
          <w:rFonts w:asciiTheme="majorHAnsi" w:hAnsiTheme="majorHAnsi"/>
          <w:noProof/>
        </w:rPr>
        <w:t>(</w:t>
      </w:r>
      <w:r>
        <w:rPr>
          <w:rFonts w:asciiTheme="majorHAnsi" w:hAnsiTheme="majorHAnsi"/>
          <w:noProof/>
        </w:rPr>
        <w:t xml:space="preserve">no more than 4 grams </w:t>
      </w:r>
      <w:r w:rsidRPr="4BDC4960">
        <w:rPr>
          <w:rFonts w:asciiTheme="majorHAnsi" w:hAnsiTheme="majorHAnsi"/>
          <w:noProof/>
        </w:rPr>
        <w:t xml:space="preserve">/ </w:t>
      </w:r>
      <w:r>
        <w:rPr>
          <w:rFonts w:asciiTheme="majorHAnsi" w:hAnsiTheme="majorHAnsi"/>
          <w:noProof/>
        </w:rPr>
        <w:t>1 teaspoon) or s</w:t>
      </w:r>
      <w:r w:rsidRPr="00201CF7">
        <w:rPr>
          <w:rFonts w:asciiTheme="majorHAnsi" w:hAnsiTheme="majorHAnsi"/>
          <w:noProof/>
        </w:rPr>
        <w:t>tevia sweetener (no more than 1 gram</w:t>
      </w:r>
      <w:r>
        <w:rPr>
          <w:rFonts w:asciiTheme="majorHAnsi" w:hAnsiTheme="majorHAnsi"/>
          <w:noProof/>
        </w:rPr>
        <w:t xml:space="preserve"> / ¼ teaspoon</w:t>
      </w:r>
      <w:r w:rsidRPr="00201CF7">
        <w:rPr>
          <w:rFonts w:asciiTheme="majorHAnsi" w:hAnsiTheme="majorHAnsi"/>
          <w:noProof/>
        </w:rPr>
        <w:t xml:space="preserve">) may then be stirred into the </w:t>
      </w:r>
      <w:r w:rsidR="00C25040">
        <w:rPr>
          <w:rFonts w:asciiTheme="majorHAnsi" w:hAnsiTheme="majorHAnsi"/>
          <w:noProof/>
        </w:rPr>
        <w:t>suspension</w:t>
      </w:r>
      <w:r w:rsidRPr="00201CF7">
        <w:rPr>
          <w:rFonts w:asciiTheme="majorHAnsi" w:hAnsiTheme="majorHAnsi"/>
          <w:noProof/>
        </w:rPr>
        <w:t xml:space="preserve">. </w:t>
      </w:r>
      <w:r w:rsidRPr="00AB3734">
        <w:rPr>
          <w:rFonts w:asciiTheme="majorHAnsi" w:hAnsiTheme="majorHAnsi"/>
          <w:noProof/>
        </w:rPr>
        <w:t>DO NOT add other sweeteners as this may reduce the effectiveness of the vaccine.</w:t>
      </w:r>
      <w:r w:rsidR="00706EFC" w:rsidRPr="006A14B0">
        <w:rPr>
          <w:rFonts w:asciiTheme="majorHAnsi" w:hAnsiTheme="majorHAnsi"/>
          <w:noProof/>
        </w:rPr>
        <w:t xml:space="preserve"> </w:t>
      </w:r>
    </w:p>
    <w:p w14:paraId="7523EAF7" w14:textId="77777777" w:rsidR="003E4887" w:rsidRPr="003E4887" w:rsidRDefault="00DE79CC" w:rsidP="003E4887">
      <w:pPr>
        <w:spacing w:line="240" w:lineRule="auto"/>
        <w:rPr>
          <w:rFonts w:asciiTheme="majorHAnsi" w:hAnsiTheme="majorHAnsi"/>
        </w:rPr>
      </w:pPr>
      <w:r w:rsidRPr="00201CF7">
        <w:rPr>
          <w:rFonts w:asciiTheme="majorHAnsi" w:hAnsiTheme="majorHAnsi"/>
          <w:noProof/>
        </w:rPr>
        <w:t>The recipient should drink the full contents of the cup at once. Some residue may remain in the cup. The cup should be washed with soap and hot water.</w:t>
      </w:r>
      <w:r w:rsidR="00236434">
        <w:rPr>
          <w:rFonts w:asciiTheme="majorHAnsi" w:hAnsiTheme="majorHAnsi"/>
          <w:noProof/>
        </w:rPr>
        <w:t xml:space="preserve"> </w:t>
      </w:r>
    </w:p>
    <w:p w14:paraId="354D8709" w14:textId="440A15CB" w:rsidR="004F29AF" w:rsidRPr="004F29AF" w:rsidRDefault="003E4887">
      <w:pPr>
        <w:spacing w:line="240" w:lineRule="auto"/>
        <w:rPr>
          <w:rFonts w:asciiTheme="majorHAnsi" w:hAnsiTheme="majorHAnsi"/>
          <w:noProof/>
        </w:rPr>
      </w:pPr>
      <w:r w:rsidRPr="003E4887">
        <w:rPr>
          <w:rFonts w:asciiTheme="majorHAnsi" w:hAnsiTheme="majorHAnsi"/>
        </w:rPr>
        <w:t>Consumption of less than a half dose may result in decreased protection. If less than half the</w:t>
      </w:r>
      <w:r>
        <w:rPr>
          <w:rFonts w:asciiTheme="majorHAnsi" w:hAnsiTheme="majorHAnsi"/>
        </w:rPr>
        <w:t xml:space="preserve"> </w:t>
      </w:r>
      <w:r w:rsidRPr="003E4887">
        <w:rPr>
          <w:rFonts w:asciiTheme="majorHAnsi" w:hAnsiTheme="majorHAnsi"/>
        </w:rPr>
        <w:t xml:space="preserve">dose is consumed, consideration may be given to repeating a full dose of </w:t>
      </w:r>
      <w:r w:rsidR="009536D7">
        <w:rPr>
          <w:rFonts w:asciiTheme="majorHAnsi" w:hAnsiTheme="majorHAnsi"/>
        </w:rPr>
        <w:t>VAXCHORA vaccine</w:t>
      </w:r>
      <w:r w:rsidRPr="003E4887">
        <w:rPr>
          <w:rFonts w:asciiTheme="majorHAnsi" w:hAnsiTheme="majorHAnsi"/>
        </w:rPr>
        <w:t xml:space="preserve"> within 72</w:t>
      </w:r>
      <w:r>
        <w:rPr>
          <w:rFonts w:asciiTheme="majorHAnsi" w:hAnsiTheme="majorHAnsi"/>
        </w:rPr>
        <w:t xml:space="preserve"> </w:t>
      </w:r>
      <w:r w:rsidRPr="003E4887">
        <w:rPr>
          <w:rFonts w:asciiTheme="majorHAnsi" w:hAnsiTheme="majorHAnsi"/>
        </w:rPr>
        <w:t xml:space="preserve">hours. The degree of protection added by a repeat dose </w:t>
      </w:r>
      <w:r w:rsidR="00A171CC">
        <w:rPr>
          <w:rFonts w:asciiTheme="majorHAnsi" w:hAnsiTheme="majorHAnsi"/>
        </w:rPr>
        <w:t>is</w:t>
      </w:r>
      <w:r w:rsidRPr="003E4887">
        <w:rPr>
          <w:rFonts w:asciiTheme="majorHAnsi" w:hAnsiTheme="majorHAnsi"/>
        </w:rPr>
        <w:t xml:space="preserve"> unknown</w:t>
      </w:r>
      <w:r w:rsidR="0064261B" w:rsidRPr="00A0264C">
        <w:rPr>
          <w:rFonts w:asciiTheme="majorHAnsi" w:hAnsiTheme="majorHAnsi"/>
        </w:rPr>
        <w:t>.</w:t>
      </w:r>
    </w:p>
    <w:p w14:paraId="32EC216A" w14:textId="77777777" w:rsidR="001A3992" w:rsidRPr="00201CF7" w:rsidRDefault="001A3992" w:rsidP="001A3992">
      <w:pPr>
        <w:pStyle w:val="Heading2"/>
        <w:spacing w:before="0" w:after="120"/>
        <w:rPr>
          <w:rFonts w:cstheme="minorHAnsi"/>
        </w:rPr>
      </w:pPr>
      <w:r w:rsidRPr="00201CF7">
        <w:rPr>
          <w:rFonts w:cstheme="minorHAnsi"/>
        </w:rPr>
        <w:t>Contraindications</w:t>
      </w:r>
    </w:p>
    <w:p w14:paraId="27CAAFC2" w14:textId="77777777" w:rsidR="00F031AE" w:rsidRPr="00201CF7" w:rsidRDefault="00F031AE" w:rsidP="00F031AE">
      <w:pPr>
        <w:spacing w:line="240" w:lineRule="auto"/>
        <w:rPr>
          <w:rFonts w:asciiTheme="majorHAnsi" w:hAnsiTheme="majorHAnsi"/>
          <w:noProof/>
        </w:rPr>
      </w:pPr>
      <w:r w:rsidRPr="00201CF7">
        <w:rPr>
          <w:rFonts w:asciiTheme="majorHAnsi" w:hAnsiTheme="majorHAnsi"/>
          <w:noProof/>
        </w:rPr>
        <w:t>Hypersensitivity to the active substance(s) or to any of the excipients listed in section 6.1.</w:t>
      </w:r>
    </w:p>
    <w:p w14:paraId="25C56D8F" w14:textId="7CB8DC18" w:rsidR="00F031AE" w:rsidRDefault="00F031AE" w:rsidP="00F031AE">
      <w:pPr>
        <w:spacing w:line="240" w:lineRule="auto"/>
        <w:rPr>
          <w:rFonts w:asciiTheme="majorHAnsi" w:hAnsiTheme="majorHAnsi"/>
          <w:noProof/>
        </w:rPr>
      </w:pPr>
      <w:r w:rsidRPr="00201CF7">
        <w:rPr>
          <w:rFonts w:asciiTheme="majorHAnsi" w:hAnsiTheme="majorHAnsi"/>
          <w:noProof/>
        </w:rPr>
        <w:lastRenderedPageBreak/>
        <w:t xml:space="preserve">Allergic reaction to previous ingestion of </w:t>
      </w:r>
      <w:r w:rsidR="00BD0E7C">
        <w:rPr>
          <w:rFonts w:asciiTheme="majorHAnsi" w:hAnsiTheme="majorHAnsi"/>
          <w:noProof/>
        </w:rPr>
        <w:t>VAXCHORA</w:t>
      </w:r>
      <w:r w:rsidR="0023326F">
        <w:rPr>
          <w:rFonts w:asciiTheme="majorHAnsi" w:hAnsiTheme="majorHAnsi"/>
          <w:noProof/>
        </w:rPr>
        <w:t xml:space="preserve"> vaccine</w:t>
      </w:r>
      <w:r w:rsidRPr="00201CF7">
        <w:rPr>
          <w:rFonts w:asciiTheme="majorHAnsi" w:hAnsiTheme="majorHAnsi"/>
          <w:noProof/>
        </w:rPr>
        <w:t>.</w:t>
      </w:r>
    </w:p>
    <w:p w14:paraId="7A27EFFF" w14:textId="26E02291" w:rsidR="005700EF" w:rsidRPr="00201CF7" w:rsidRDefault="005700EF" w:rsidP="00F031AE">
      <w:pPr>
        <w:spacing w:line="240" w:lineRule="auto"/>
        <w:rPr>
          <w:rFonts w:asciiTheme="majorHAnsi" w:hAnsiTheme="majorHAnsi"/>
          <w:noProof/>
        </w:rPr>
      </w:pPr>
      <w:r w:rsidRPr="005700EF">
        <w:rPr>
          <w:rFonts w:asciiTheme="majorHAnsi" w:hAnsiTheme="majorHAnsi"/>
          <w:noProof/>
        </w:rPr>
        <w:t>Individuals with congenital immune deficiency or receiving immunosuppressive drugs or treatments.</w:t>
      </w:r>
    </w:p>
    <w:p w14:paraId="48234862" w14:textId="77777777" w:rsidR="001A3992" w:rsidRPr="00201CF7" w:rsidRDefault="00E74A56" w:rsidP="001A3992">
      <w:pPr>
        <w:pStyle w:val="Heading2"/>
        <w:spacing w:before="0" w:after="120"/>
        <w:rPr>
          <w:rFonts w:cstheme="minorHAnsi"/>
        </w:rPr>
      </w:pPr>
      <w:r w:rsidRPr="00201CF7">
        <w:rPr>
          <w:rFonts w:cstheme="minorHAnsi"/>
        </w:rPr>
        <w:t>Special warnings and p</w:t>
      </w:r>
      <w:r w:rsidR="001A3992" w:rsidRPr="00201CF7">
        <w:rPr>
          <w:rFonts w:cstheme="minorHAnsi"/>
        </w:rPr>
        <w:t xml:space="preserve">recautions </w:t>
      </w:r>
      <w:r w:rsidRPr="00201CF7">
        <w:rPr>
          <w:rFonts w:cstheme="minorHAnsi"/>
        </w:rPr>
        <w:t>for use</w:t>
      </w:r>
    </w:p>
    <w:p w14:paraId="4D150543" w14:textId="77777777" w:rsidR="00B23BD1" w:rsidRPr="00201CF7" w:rsidRDefault="001A3992" w:rsidP="00CD576A">
      <w:pPr>
        <w:pStyle w:val="Heading3"/>
        <w:spacing w:before="0" w:after="120"/>
        <w:ind w:left="0"/>
        <w:rPr>
          <w:rFonts w:cstheme="minorHAnsi"/>
        </w:rPr>
      </w:pPr>
      <w:r w:rsidRPr="00201CF7">
        <w:rPr>
          <w:rFonts w:cstheme="minorHAnsi"/>
        </w:rPr>
        <w:t xml:space="preserve">Identified precautions </w:t>
      </w:r>
    </w:p>
    <w:p w14:paraId="0F2C090D" w14:textId="77777777" w:rsidR="008914C2" w:rsidRPr="00201CF7" w:rsidRDefault="008914C2" w:rsidP="008914C2">
      <w:pPr>
        <w:spacing w:line="240" w:lineRule="auto"/>
        <w:rPr>
          <w:rFonts w:asciiTheme="majorHAnsi" w:hAnsiTheme="majorHAnsi"/>
          <w:u w:val="single"/>
        </w:rPr>
      </w:pPr>
      <w:r w:rsidRPr="00201CF7">
        <w:rPr>
          <w:rFonts w:asciiTheme="majorHAnsi" w:hAnsiTheme="majorHAnsi"/>
          <w:u w:val="single"/>
        </w:rPr>
        <w:t>Factors affecting protection</w:t>
      </w:r>
    </w:p>
    <w:p w14:paraId="42D7CBF2" w14:textId="4A849448" w:rsidR="008914C2" w:rsidRPr="00201CF7" w:rsidRDefault="00BD0E7C" w:rsidP="008914C2">
      <w:pPr>
        <w:spacing w:line="240" w:lineRule="auto"/>
        <w:rPr>
          <w:rFonts w:asciiTheme="majorHAnsi" w:hAnsiTheme="majorHAnsi"/>
        </w:rPr>
      </w:pPr>
      <w:r>
        <w:rPr>
          <w:rFonts w:asciiTheme="majorHAnsi" w:hAnsiTheme="majorHAnsi"/>
        </w:rPr>
        <w:t>VAXCHORA</w:t>
      </w:r>
      <w:r w:rsidR="008914C2" w:rsidRPr="00201CF7">
        <w:rPr>
          <w:rFonts w:asciiTheme="majorHAnsi" w:hAnsiTheme="majorHAnsi"/>
        </w:rPr>
        <w:t xml:space="preserve"> </w:t>
      </w:r>
      <w:r w:rsidR="0023326F">
        <w:rPr>
          <w:rFonts w:asciiTheme="majorHAnsi" w:hAnsiTheme="majorHAnsi"/>
        </w:rPr>
        <w:t xml:space="preserve">vaccine </w:t>
      </w:r>
      <w:r w:rsidR="008914C2" w:rsidRPr="00201CF7">
        <w:rPr>
          <w:rFonts w:asciiTheme="majorHAnsi" w:hAnsiTheme="majorHAnsi"/>
        </w:rPr>
        <w:t xml:space="preserve">confers protection specific to </w:t>
      </w:r>
      <w:r w:rsidR="008914C2" w:rsidRPr="00201CF7">
        <w:rPr>
          <w:rFonts w:asciiTheme="majorHAnsi" w:hAnsiTheme="majorHAnsi"/>
          <w:i/>
        </w:rPr>
        <w:t>Vibrio cholerae</w:t>
      </w:r>
      <w:r w:rsidR="008914C2" w:rsidRPr="00201CF7">
        <w:rPr>
          <w:rFonts w:asciiTheme="majorHAnsi" w:hAnsiTheme="majorHAnsi"/>
        </w:rPr>
        <w:t xml:space="preserve"> serogroup O1. Immunisation does not protect against </w:t>
      </w:r>
      <w:r w:rsidR="008914C2" w:rsidRPr="00201CF7">
        <w:rPr>
          <w:rFonts w:asciiTheme="majorHAnsi" w:hAnsiTheme="majorHAnsi"/>
          <w:i/>
        </w:rPr>
        <w:t>V. cholerae</w:t>
      </w:r>
      <w:r w:rsidR="008914C2" w:rsidRPr="00201CF7">
        <w:rPr>
          <w:rFonts w:asciiTheme="majorHAnsi" w:hAnsiTheme="majorHAnsi"/>
        </w:rPr>
        <w:t xml:space="preserve"> O139 or </w:t>
      </w:r>
      <w:r w:rsidR="00AC502A" w:rsidRPr="00AC502A">
        <w:rPr>
          <w:rFonts w:asciiTheme="majorHAnsi" w:hAnsiTheme="majorHAnsi"/>
        </w:rPr>
        <w:t>other non-O1 serogroups, which are uncommon causes of disease</w:t>
      </w:r>
      <w:r w:rsidR="008914C2" w:rsidRPr="00201CF7">
        <w:rPr>
          <w:rFonts w:asciiTheme="majorHAnsi" w:hAnsiTheme="majorHAnsi"/>
        </w:rPr>
        <w:t>.</w:t>
      </w:r>
      <w:r w:rsidR="00AC502A">
        <w:rPr>
          <w:rFonts w:asciiTheme="majorHAnsi" w:hAnsiTheme="majorHAnsi"/>
        </w:rPr>
        <w:t xml:space="preserve"> </w:t>
      </w:r>
      <w:r w:rsidR="00AC502A" w:rsidRPr="00AC502A">
        <w:rPr>
          <w:rFonts w:asciiTheme="majorHAnsi" w:hAnsiTheme="majorHAnsi"/>
        </w:rPr>
        <w:t>VAXCHORA vaccine mimics natural infection, however duration of protection is unknown.</w:t>
      </w:r>
    </w:p>
    <w:p w14:paraId="06019C48" w14:textId="3052D8F2" w:rsidR="008914C2" w:rsidRPr="00201CF7" w:rsidRDefault="00011B8B" w:rsidP="008914C2">
      <w:pPr>
        <w:spacing w:line="240" w:lineRule="auto"/>
        <w:rPr>
          <w:rFonts w:asciiTheme="majorHAnsi" w:hAnsiTheme="majorHAnsi"/>
        </w:rPr>
      </w:pPr>
      <w:r>
        <w:rPr>
          <w:rFonts w:asciiTheme="majorHAnsi" w:hAnsiTheme="majorHAnsi"/>
        </w:rPr>
        <w:t xml:space="preserve">As with any vaccine, immunisation with </w:t>
      </w:r>
      <w:r w:rsidR="00BD0E7C">
        <w:rPr>
          <w:rFonts w:asciiTheme="majorHAnsi" w:hAnsiTheme="majorHAnsi"/>
        </w:rPr>
        <w:t>VAXCHORA</w:t>
      </w:r>
      <w:r w:rsidR="008914C2" w:rsidRPr="00201CF7">
        <w:rPr>
          <w:rFonts w:asciiTheme="majorHAnsi" w:hAnsiTheme="majorHAnsi"/>
        </w:rPr>
        <w:t xml:space="preserve"> </w:t>
      </w:r>
      <w:r w:rsidR="0023326F">
        <w:rPr>
          <w:rFonts w:asciiTheme="majorHAnsi" w:hAnsiTheme="majorHAnsi"/>
        </w:rPr>
        <w:t xml:space="preserve">vaccine </w:t>
      </w:r>
      <w:r w:rsidR="005700EF">
        <w:rPr>
          <w:rFonts w:asciiTheme="majorHAnsi" w:hAnsiTheme="majorHAnsi"/>
        </w:rPr>
        <w:t>will</w:t>
      </w:r>
      <w:r w:rsidR="005700EF" w:rsidRPr="00201CF7">
        <w:rPr>
          <w:rFonts w:asciiTheme="majorHAnsi" w:hAnsiTheme="majorHAnsi"/>
        </w:rPr>
        <w:t xml:space="preserve"> </w:t>
      </w:r>
      <w:r w:rsidR="008914C2" w:rsidRPr="00201CF7">
        <w:rPr>
          <w:rFonts w:asciiTheme="majorHAnsi" w:hAnsiTheme="majorHAnsi"/>
        </w:rPr>
        <w:t>not provide 100% protection. Vaccinees should adhere to hygiene advice and exercise caution regarding food and water consumed in cholera-affected areas.</w:t>
      </w:r>
      <w:r w:rsidR="00A040E0">
        <w:rPr>
          <w:rFonts w:asciiTheme="majorHAnsi" w:hAnsiTheme="majorHAnsi"/>
        </w:rPr>
        <w:t xml:space="preserve"> </w:t>
      </w:r>
      <w:r w:rsidR="00E22AF7" w:rsidRPr="00E22AF7">
        <w:rPr>
          <w:rFonts w:asciiTheme="majorHAnsi" w:hAnsiTheme="majorHAnsi"/>
        </w:rPr>
        <w:t>Rehydration measures are strongly recommended in the event of diarrhea</w:t>
      </w:r>
      <w:r w:rsidR="00E22AF7">
        <w:rPr>
          <w:rFonts w:asciiTheme="majorHAnsi" w:hAnsiTheme="majorHAnsi"/>
        </w:rPr>
        <w:t>.</w:t>
      </w:r>
    </w:p>
    <w:p w14:paraId="3CB0663F" w14:textId="41FC8841" w:rsidR="008914C2" w:rsidRPr="00201CF7" w:rsidRDefault="00AC502A" w:rsidP="008914C2">
      <w:pPr>
        <w:spacing w:line="240" w:lineRule="auto"/>
        <w:rPr>
          <w:rFonts w:asciiTheme="majorHAnsi" w:hAnsiTheme="majorHAnsi"/>
          <w:iCs/>
        </w:rPr>
      </w:pPr>
      <w:r w:rsidRPr="00AC502A">
        <w:rPr>
          <w:rFonts w:asciiTheme="majorHAnsi" w:hAnsiTheme="majorHAnsi"/>
          <w:iCs/>
        </w:rPr>
        <w:t xml:space="preserve">The effectiveness of VAXCHORA vaccine has not been established in persons who have pre-existing immunity due to previous exposure to </w:t>
      </w:r>
      <w:r w:rsidRPr="009D4116">
        <w:rPr>
          <w:rFonts w:asciiTheme="majorHAnsi" w:hAnsiTheme="majorHAnsi"/>
          <w:i/>
        </w:rPr>
        <w:t>V. cholerae</w:t>
      </w:r>
      <w:r w:rsidRPr="00AC502A">
        <w:rPr>
          <w:rFonts w:asciiTheme="majorHAnsi" w:hAnsiTheme="majorHAnsi"/>
          <w:iCs/>
        </w:rPr>
        <w:t xml:space="preserve"> or receipt of a cholera vaccine.</w:t>
      </w:r>
    </w:p>
    <w:p w14:paraId="3B0C0043" w14:textId="59E949F6" w:rsidR="008914C2" w:rsidRPr="00201CF7" w:rsidRDefault="00626D53" w:rsidP="008914C2">
      <w:pPr>
        <w:spacing w:line="240" w:lineRule="auto"/>
        <w:rPr>
          <w:rFonts w:asciiTheme="majorHAnsi" w:hAnsiTheme="majorHAnsi"/>
        </w:rPr>
      </w:pPr>
      <w:bookmarkStart w:id="2" w:name="_Hlk22622787"/>
      <w:r w:rsidRPr="00626D53">
        <w:rPr>
          <w:rFonts w:asciiTheme="majorHAnsi" w:hAnsiTheme="majorHAnsi"/>
        </w:rPr>
        <w:t xml:space="preserve">The safety and effectiveness of VAXCHORA </w:t>
      </w:r>
      <w:r w:rsidR="00BF6A02">
        <w:rPr>
          <w:rFonts w:asciiTheme="majorHAnsi" w:hAnsiTheme="majorHAnsi"/>
        </w:rPr>
        <w:t xml:space="preserve">vaccine </w:t>
      </w:r>
      <w:r w:rsidRPr="00626D53">
        <w:rPr>
          <w:rFonts w:asciiTheme="majorHAnsi" w:hAnsiTheme="majorHAnsi"/>
        </w:rPr>
        <w:t>have not been established in immunocompromised persons.</w:t>
      </w:r>
      <w:bookmarkEnd w:id="2"/>
    </w:p>
    <w:p w14:paraId="75AE62FF" w14:textId="16D57211" w:rsidR="00DB7065" w:rsidRDefault="00DB7065" w:rsidP="008914C2">
      <w:pPr>
        <w:spacing w:line="240" w:lineRule="auto"/>
        <w:rPr>
          <w:rFonts w:asciiTheme="majorHAnsi" w:hAnsiTheme="majorHAnsi"/>
          <w:u w:val="single"/>
        </w:rPr>
      </w:pPr>
    </w:p>
    <w:p w14:paraId="11498325" w14:textId="2F734F1A" w:rsidR="008914C2" w:rsidRPr="00201CF7" w:rsidRDefault="008914C2" w:rsidP="008914C2">
      <w:pPr>
        <w:spacing w:line="240" w:lineRule="auto"/>
        <w:rPr>
          <w:rFonts w:asciiTheme="majorHAnsi" w:hAnsiTheme="majorHAnsi"/>
          <w:u w:val="single"/>
        </w:rPr>
      </w:pPr>
      <w:r w:rsidRPr="00201CF7">
        <w:rPr>
          <w:rFonts w:asciiTheme="majorHAnsi" w:hAnsiTheme="majorHAnsi"/>
          <w:u w:val="single"/>
        </w:rPr>
        <w:t>Potential risk to contacts</w:t>
      </w:r>
    </w:p>
    <w:p w14:paraId="3B4B2BDB" w14:textId="799D5323" w:rsidR="008914C2" w:rsidRPr="00201CF7" w:rsidRDefault="00BD0E7C" w:rsidP="008914C2">
      <w:pPr>
        <w:autoSpaceDE w:val="0"/>
        <w:autoSpaceDN w:val="0"/>
        <w:adjustRightInd w:val="0"/>
        <w:spacing w:line="240" w:lineRule="auto"/>
        <w:rPr>
          <w:rFonts w:asciiTheme="majorHAnsi" w:hAnsiTheme="majorHAnsi"/>
        </w:rPr>
      </w:pPr>
      <w:r>
        <w:rPr>
          <w:rFonts w:asciiTheme="majorHAnsi" w:hAnsiTheme="majorHAnsi"/>
        </w:rPr>
        <w:t>VAXCHORA</w:t>
      </w:r>
      <w:r w:rsidR="008914C2" w:rsidRPr="00201CF7">
        <w:rPr>
          <w:rFonts w:asciiTheme="majorHAnsi" w:hAnsiTheme="majorHAnsi"/>
        </w:rPr>
        <w:t xml:space="preserve"> shedding in the stools was studied for 7 days post-vaccination and was observed in 11.3% of vaccine recipients. The duration of shedding of the vaccine strain is unknown. There is a potential for transmission of the vaccine strain to non-vaccinated close contacts (e.g., household contacts).</w:t>
      </w:r>
    </w:p>
    <w:p w14:paraId="60ED9E59" w14:textId="77777777" w:rsidR="008914C2" w:rsidRPr="00201CF7" w:rsidRDefault="008914C2" w:rsidP="008914C2">
      <w:pPr>
        <w:spacing w:line="240" w:lineRule="auto"/>
        <w:rPr>
          <w:rFonts w:asciiTheme="majorHAnsi" w:hAnsiTheme="majorHAnsi"/>
          <w:u w:val="single"/>
        </w:rPr>
      </w:pPr>
      <w:r w:rsidRPr="00201CF7">
        <w:rPr>
          <w:rFonts w:asciiTheme="majorHAnsi" w:hAnsiTheme="majorHAnsi"/>
          <w:u w:val="single"/>
        </w:rPr>
        <w:t>Concomitant administration with antibacterial agents and/or chloroquine</w:t>
      </w:r>
    </w:p>
    <w:p w14:paraId="77235A08" w14:textId="70B38ADC" w:rsidR="008914C2" w:rsidRPr="00201CF7" w:rsidRDefault="008914C2" w:rsidP="008914C2">
      <w:pPr>
        <w:spacing w:line="240" w:lineRule="auto"/>
        <w:rPr>
          <w:rFonts w:asciiTheme="majorHAnsi" w:hAnsiTheme="majorHAnsi"/>
        </w:rPr>
      </w:pPr>
      <w:r w:rsidRPr="00201CF7">
        <w:rPr>
          <w:rFonts w:asciiTheme="majorHAnsi" w:hAnsiTheme="majorHAnsi"/>
        </w:rPr>
        <w:t xml:space="preserve">Concomitant administration with antibacterial agents and/or chloroquine should be avoided </w:t>
      </w:r>
      <w:r w:rsidR="00011B8B">
        <w:rPr>
          <w:rFonts w:asciiTheme="majorHAnsi" w:hAnsiTheme="majorHAnsi"/>
          <w:iCs/>
        </w:rPr>
        <w:t>as the</w:t>
      </w:r>
      <w:r w:rsidR="00011B8B" w:rsidRPr="00201CF7">
        <w:rPr>
          <w:rFonts w:asciiTheme="majorHAnsi" w:hAnsiTheme="majorHAnsi"/>
          <w:iCs/>
        </w:rPr>
        <w:t xml:space="preserve"> </w:t>
      </w:r>
      <w:r w:rsidRPr="00201CF7">
        <w:rPr>
          <w:rFonts w:asciiTheme="majorHAnsi" w:hAnsiTheme="majorHAnsi"/>
          <w:iCs/>
        </w:rPr>
        <w:t xml:space="preserve">protection against cholera may be diminished. </w:t>
      </w:r>
      <w:r w:rsidRPr="00201CF7">
        <w:rPr>
          <w:rFonts w:asciiTheme="majorHAnsi" w:hAnsiTheme="majorHAnsi"/>
        </w:rPr>
        <w:t>Refer to section 4.5.</w:t>
      </w:r>
    </w:p>
    <w:p w14:paraId="2241C9C3" w14:textId="77777777" w:rsidR="008914C2" w:rsidRPr="00201CF7" w:rsidRDefault="008914C2" w:rsidP="008914C2">
      <w:pPr>
        <w:spacing w:line="240" w:lineRule="auto"/>
        <w:rPr>
          <w:rFonts w:asciiTheme="majorHAnsi" w:hAnsiTheme="majorHAnsi"/>
          <w:u w:val="single"/>
        </w:rPr>
      </w:pPr>
      <w:r w:rsidRPr="00201CF7">
        <w:rPr>
          <w:rFonts w:asciiTheme="majorHAnsi" w:hAnsiTheme="majorHAnsi"/>
          <w:u w:val="single"/>
        </w:rPr>
        <w:t>Gastrointestinal Disease</w:t>
      </w:r>
    </w:p>
    <w:p w14:paraId="233BE182" w14:textId="32E3122F" w:rsidR="008914C2" w:rsidRPr="00201CF7" w:rsidRDefault="1E04B4C1" w:rsidP="008914C2">
      <w:pPr>
        <w:spacing w:line="240" w:lineRule="auto"/>
        <w:rPr>
          <w:rFonts w:asciiTheme="majorHAnsi" w:hAnsiTheme="majorHAnsi"/>
        </w:rPr>
      </w:pPr>
      <w:r w:rsidRPr="538DBF1D">
        <w:rPr>
          <w:rFonts w:asciiTheme="majorHAnsi" w:hAnsiTheme="majorHAnsi"/>
        </w:rPr>
        <w:t xml:space="preserve">VAXCHORA </w:t>
      </w:r>
      <w:r w:rsidR="0007062A">
        <w:rPr>
          <w:rFonts w:asciiTheme="majorHAnsi" w:hAnsiTheme="majorHAnsi"/>
        </w:rPr>
        <w:t xml:space="preserve">vaccine </w:t>
      </w:r>
      <w:r w:rsidRPr="538DBF1D">
        <w:rPr>
          <w:rFonts w:asciiTheme="majorHAnsi" w:hAnsiTheme="majorHAnsi"/>
        </w:rPr>
        <w:t xml:space="preserve">contains live attenuated cholera bacteria that replicate in the gastrointestinal tract of the recipient. </w:t>
      </w:r>
      <w:r w:rsidR="008914C2" w:rsidRPr="00201CF7">
        <w:rPr>
          <w:rFonts w:asciiTheme="majorHAnsi" w:hAnsiTheme="majorHAnsi"/>
        </w:rPr>
        <w:t>In individuals with acute gastroenteritis, vaccination should be postponed until after recovery, because protection against cholera may be diminished</w:t>
      </w:r>
      <w:r w:rsidR="60DA2C78" w:rsidRPr="538DBF1D">
        <w:rPr>
          <w:rFonts w:asciiTheme="majorHAnsi" w:hAnsiTheme="majorHAnsi"/>
        </w:rPr>
        <w:t>.</w:t>
      </w:r>
      <w:r w:rsidR="008914C2" w:rsidRPr="00201CF7">
        <w:rPr>
          <w:rFonts w:asciiTheme="majorHAnsi" w:hAnsiTheme="majorHAnsi"/>
        </w:rPr>
        <w:t xml:space="preserve"> The degree of protection and the effects of vaccination in individuals with chronic gastrointestinal disease are unknown.</w:t>
      </w:r>
    </w:p>
    <w:p w14:paraId="793E5935" w14:textId="77777777" w:rsidR="008914C2" w:rsidRPr="00201CF7" w:rsidRDefault="008914C2" w:rsidP="008914C2">
      <w:pPr>
        <w:spacing w:line="240" w:lineRule="auto"/>
        <w:rPr>
          <w:rFonts w:asciiTheme="majorHAnsi" w:hAnsiTheme="majorHAnsi"/>
          <w:u w:val="single"/>
        </w:rPr>
      </w:pPr>
      <w:r w:rsidRPr="00201CF7">
        <w:rPr>
          <w:rFonts w:asciiTheme="majorHAnsi" w:hAnsiTheme="majorHAnsi"/>
          <w:u w:val="single"/>
        </w:rPr>
        <w:t>Excipients</w:t>
      </w:r>
    </w:p>
    <w:p w14:paraId="2CCFD7C5" w14:textId="7355E4F1" w:rsidR="008914C2" w:rsidRPr="00201CF7" w:rsidRDefault="008914C2" w:rsidP="008914C2">
      <w:pPr>
        <w:spacing w:line="240" w:lineRule="auto"/>
        <w:rPr>
          <w:rFonts w:asciiTheme="majorHAnsi" w:hAnsiTheme="majorHAnsi"/>
        </w:rPr>
      </w:pPr>
      <w:r w:rsidRPr="00201CF7">
        <w:rPr>
          <w:rFonts w:asciiTheme="majorHAnsi" w:hAnsiTheme="majorHAnsi"/>
        </w:rPr>
        <w:t>The vaccine contains lactose</w:t>
      </w:r>
      <w:r w:rsidR="0014344F">
        <w:rPr>
          <w:rFonts w:asciiTheme="majorHAnsi" w:hAnsiTheme="majorHAnsi"/>
        </w:rPr>
        <w:t xml:space="preserve"> as sugars</w:t>
      </w:r>
      <w:r w:rsidRPr="00201CF7">
        <w:rPr>
          <w:rFonts w:asciiTheme="majorHAnsi" w:hAnsiTheme="majorHAnsi"/>
        </w:rPr>
        <w:t xml:space="preserve"> and sucrose. Patients with rare hereditary problems of galactose intolerance, congenital lactase deficiency, glucose-galactose malabsorption, fructose intolerance, or sucrose-</w:t>
      </w:r>
      <w:proofErr w:type="spellStart"/>
      <w:r w:rsidRPr="00201CF7">
        <w:rPr>
          <w:rFonts w:asciiTheme="majorHAnsi" w:hAnsiTheme="majorHAnsi"/>
        </w:rPr>
        <w:t>isomaltase</w:t>
      </w:r>
      <w:proofErr w:type="spellEnd"/>
      <w:r w:rsidRPr="00201CF7">
        <w:rPr>
          <w:rFonts w:asciiTheme="majorHAnsi" w:hAnsiTheme="majorHAnsi"/>
        </w:rPr>
        <w:t xml:space="preserve"> insufficiency should not take this vaccine.</w:t>
      </w:r>
    </w:p>
    <w:p w14:paraId="4DDED572" w14:textId="77777777" w:rsidR="008914C2" w:rsidRPr="00201CF7" w:rsidRDefault="008914C2" w:rsidP="008914C2">
      <w:pPr>
        <w:spacing w:line="240" w:lineRule="auto"/>
        <w:rPr>
          <w:rFonts w:asciiTheme="majorHAnsi" w:hAnsiTheme="majorHAnsi"/>
        </w:rPr>
      </w:pPr>
      <w:r w:rsidRPr="00201CF7">
        <w:rPr>
          <w:rFonts w:asciiTheme="majorHAnsi" w:hAnsiTheme="majorHAnsi"/>
        </w:rPr>
        <w:lastRenderedPageBreak/>
        <w:t>The vaccine contains 863 mg of sodium per dose, equivalent to 43% of the WHO recommended maximum daily intake of 2 g of sodium for an adult.</w:t>
      </w:r>
    </w:p>
    <w:p w14:paraId="126D62A1" w14:textId="0B7BC668" w:rsidR="001A3992" w:rsidRPr="00201CF7" w:rsidRDefault="001A3992" w:rsidP="00CD576A">
      <w:pPr>
        <w:pStyle w:val="Heading3"/>
        <w:spacing w:before="0" w:after="120"/>
        <w:ind w:left="0"/>
        <w:rPr>
          <w:rFonts w:cstheme="minorHAnsi"/>
        </w:rPr>
      </w:pPr>
      <w:r w:rsidRPr="00201CF7">
        <w:rPr>
          <w:rFonts w:cstheme="minorHAnsi"/>
        </w:rPr>
        <w:t>Use in the elderly</w:t>
      </w:r>
      <w:r w:rsidR="00FB4277" w:rsidRPr="00201CF7">
        <w:rPr>
          <w:rFonts w:cstheme="minorHAnsi"/>
        </w:rPr>
        <w:t xml:space="preserve"> </w:t>
      </w:r>
    </w:p>
    <w:p w14:paraId="267735AF" w14:textId="661ADCDB" w:rsidR="00FB4277" w:rsidRPr="00201CF7" w:rsidRDefault="00CD576A" w:rsidP="00FB4277">
      <w:pPr>
        <w:rPr>
          <w:rFonts w:asciiTheme="majorHAnsi" w:hAnsiTheme="majorHAnsi"/>
        </w:rPr>
      </w:pPr>
      <w:r w:rsidRPr="00201CF7">
        <w:rPr>
          <w:rFonts w:asciiTheme="majorHAnsi" w:hAnsiTheme="majorHAnsi"/>
        </w:rPr>
        <w:t xml:space="preserve">Safety and effectiveness of </w:t>
      </w:r>
      <w:r w:rsidR="00BD0E7C">
        <w:rPr>
          <w:rFonts w:asciiTheme="majorHAnsi" w:hAnsiTheme="majorHAnsi"/>
        </w:rPr>
        <w:t>VAXCHORA</w:t>
      </w:r>
      <w:r w:rsidRPr="00201CF7">
        <w:rPr>
          <w:rFonts w:asciiTheme="majorHAnsi" w:hAnsiTheme="majorHAnsi"/>
        </w:rPr>
        <w:t xml:space="preserve"> </w:t>
      </w:r>
      <w:r w:rsidR="0007062A">
        <w:rPr>
          <w:rFonts w:asciiTheme="majorHAnsi" w:hAnsiTheme="majorHAnsi"/>
        </w:rPr>
        <w:t xml:space="preserve">vaccine </w:t>
      </w:r>
      <w:r w:rsidRPr="00201CF7">
        <w:rPr>
          <w:rFonts w:asciiTheme="majorHAnsi" w:hAnsiTheme="majorHAnsi"/>
        </w:rPr>
        <w:t>in adults older than 64 years have not been established.</w:t>
      </w:r>
      <w:r w:rsidR="00AC502A">
        <w:rPr>
          <w:rFonts w:asciiTheme="majorHAnsi" w:hAnsiTheme="majorHAnsi"/>
        </w:rPr>
        <w:t xml:space="preserve"> </w:t>
      </w:r>
      <w:r w:rsidR="00AC502A" w:rsidRPr="00AC502A">
        <w:rPr>
          <w:rFonts w:asciiTheme="majorHAnsi" w:hAnsiTheme="majorHAnsi"/>
        </w:rPr>
        <w:t>However, this group can be expected to be at risk of more severe complications of disease if infected by cholera.</w:t>
      </w:r>
    </w:p>
    <w:p w14:paraId="096D6739" w14:textId="3E215847" w:rsidR="001A3992" w:rsidRPr="00201CF7" w:rsidRDefault="001A3992" w:rsidP="00CD576A">
      <w:pPr>
        <w:pStyle w:val="Heading3"/>
        <w:spacing w:before="0" w:after="120"/>
        <w:ind w:left="0"/>
        <w:rPr>
          <w:rFonts w:cstheme="minorHAnsi"/>
        </w:rPr>
      </w:pPr>
      <w:r w:rsidRPr="00201CF7">
        <w:rPr>
          <w:rFonts w:cstheme="minorHAnsi"/>
        </w:rPr>
        <w:t>Paediatric use</w:t>
      </w:r>
    </w:p>
    <w:p w14:paraId="204462C1" w14:textId="415F7FA9" w:rsidR="00CD576A" w:rsidRPr="00201CF7" w:rsidRDefault="00BD0E7C" w:rsidP="00CD576A">
      <w:pPr>
        <w:rPr>
          <w:rFonts w:asciiTheme="majorHAnsi" w:hAnsiTheme="majorHAnsi"/>
        </w:rPr>
      </w:pPr>
      <w:r>
        <w:rPr>
          <w:rFonts w:asciiTheme="majorHAnsi" w:hAnsiTheme="majorHAnsi"/>
        </w:rPr>
        <w:t>VAXCHORA</w:t>
      </w:r>
      <w:r w:rsidR="00E84339" w:rsidRPr="00201CF7">
        <w:rPr>
          <w:rFonts w:asciiTheme="majorHAnsi" w:hAnsiTheme="majorHAnsi"/>
        </w:rPr>
        <w:t xml:space="preserve"> </w:t>
      </w:r>
      <w:r w:rsidR="005A10AB">
        <w:rPr>
          <w:rFonts w:asciiTheme="majorHAnsi" w:hAnsiTheme="majorHAnsi"/>
        </w:rPr>
        <w:t xml:space="preserve">vaccine </w:t>
      </w:r>
      <w:r w:rsidR="00E84339" w:rsidRPr="00201CF7">
        <w:rPr>
          <w:rFonts w:asciiTheme="majorHAnsi" w:hAnsiTheme="majorHAnsi"/>
        </w:rPr>
        <w:t>is approved for use in children from 2 years of age.</w:t>
      </w:r>
    </w:p>
    <w:p w14:paraId="451DBA0B" w14:textId="25A26DEF" w:rsidR="001A3992" w:rsidRPr="00201CF7" w:rsidRDefault="001A3992" w:rsidP="00E84339">
      <w:pPr>
        <w:pStyle w:val="Heading3"/>
        <w:spacing w:before="0" w:after="120"/>
        <w:ind w:left="0"/>
        <w:rPr>
          <w:rFonts w:cstheme="minorHAnsi"/>
        </w:rPr>
      </w:pPr>
      <w:r w:rsidRPr="00201CF7">
        <w:rPr>
          <w:rFonts w:cstheme="minorHAnsi"/>
        </w:rPr>
        <w:t>Effects on laboratory tests</w:t>
      </w:r>
    </w:p>
    <w:p w14:paraId="63601F19" w14:textId="07B159AE" w:rsidR="00E84339" w:rsidRPr="00201CF7" w:rsidRDefault="00E84339" w:rsidP="00E84339">
      <w:pPr>
        <w:rPr>
          <w:rFonts w:asciiTheme="majorHAnsi" w:hAnsiTheme="majorHAnsi"/>
        </w:rPr>
      </w:pPr>
      <w:r w:rsidRPr="00201CF7">
        <w:rPr>
          <w:rFonts w:asciiTheme="majorHAnsi" w:hAnsiTheme="majorHAnsi"/>
        </w:rPr>
        <w:t xml:space="preserve">Interference of </w:t>
      </w:r>
      <w:r w:rsidR="00BD0E7C">
        <w:rPr>
          <w:rFonts w:asciiTheme="majorHAnsi" w:hAnsiTheme="majorHAnsi"/>
        </w:rPr>
        <w:t>VAXCHORA</w:t>
      </w:r>
      <w:r w:rsidRPr="00201CF7">
        <w:rPr>
          <w:rFonts w:asciiTheme="majorHAnsi" w:hAnsiTheme="majorHAnsi"/>
        </w:rPr>
        <w:t xml:space="preserve"> </w:t>
      </w:r>
      <w:r w:rsidR="005A10AB">
        <w:rPr>
          <w:rFonts w:asciiTheme="majorHAnsi" w:hAnsiTheme="majorHAnsi"/>
        </w:rPr>
        <w:t xml:space="preserve">vaccine </w:t>
      </w:r>
      <w:r w:rsidRPr="00201CF7">
        <w:rPr>
          <w:rFonts w:asciiTheme="majorHAnsi" w:hAnsiTheme="majorHAnsi"/>
        </w:rPr>
        <w:t>with laboratory tests has not been studied.</w:t>
      </w:r>
    </w:p>
    <w:p w14:paraId="207704A6" w14:textId="1E3C8D50" w:rsidR="001A3992" w:rsidRPr="00201CF7" w:rsidRDefault="001A3992" w:rsidP="001A3992">
      <w:pPr>
        <w:pStyle w:val="Heading2"/>
        <w:keepNext/>
        <w:keepLines/>
        <w:spacing w:before="0" w:after="120"/>
        <w:rPr>
          <w:rFonts w:cstheme="minorHAnsi"/>
        </w:rPr>
      </w:pPr>
      <w:r w:rsidRPr="00201CF7">
        <w:rPr>
          <w:rFonts w:cstheme="minorHAnsi"/>
        </w:rPr>
        <w:t>Interactions with other medicines and other forms of interactions</w:t>
      </w:r>
    </w:p>
    <w:p w14:paraId="5203B2EB" w14:textId="03DA17CF" w:rsidR="003553CC" w:rsidRDefault="003553CC" w:rsidP="003553CC">
      <w:pPr>
        <w:spacing w:line="240" w:lineRule="auto"/>
        <w:rPr>
          <w:rFonts w:asciiTheme="majorHAnsi" w:hAnsiTheme="majorHAnsi"/>
        </w:rPr>
      </w:pPr>
      <w:r w:rsidRPr="00201CF7">
        <w:rPr>
          <w:rFonts w:asciiTheme="majorHAnsi" w:hAnsiTheme="majorHAnsi"/>
        </w:rPr>
        <w:t xml:space="preserve">There should be an interval of 2 hours between the administration of </w:t>
      </w:r>
      <w:r w:rsidR="00BD0E7C">
        <w:rPr>
          <w:rFonts w:asciiTheme="majorHAnsi" w:hAnsiTheme="majorHAnsi"/>
        </w:rPr>
        <w:t>VAXCHORA</w:t>
      </w:r>
      <w:r w:rsidRPr="00201CF7">
        <w:rPr>
          <w:rFonts w:asciiTheme="majorHAnsi" w:hAnsiTheme="majorHAnsi"/>
        </w:rPr>
        <w:t xml:space="preserve"> </w:t>
      </w:r>
      <w:r w:rsidR="005A10AB">
        <w:rPr>
          <w:rFonts w:asciiTheme="majorHAnsi" w:hAnsiTheme="majorHAnsi"/>
        </w:rPr>
        <w:t xml:space="preserve">vaccine </w:t>
      </w:r>
      <w:r w:rsidRPr="00201CF7">
        <w:rPr>
          <w:rFonts w:asciiTheme="majorHAnsi" w:hAnsiTheme="majorHAnsi"/>
        </w:rPr>
        <w:t xml:space="preserve">and of typhoid vaccine Ty21a (gastro-resistant capsules) as the buffer administered with </w:t>
      </w:r>
      <w:r w:rsidR="00BD0E7C">
        <w:rPr>
          <w:rFonts w:asciiTheme="majorHAnsi" w:hAnsiTheme="majorHAnsi"/>
        </w:rPr>
        <w:t>VAXCHORA</w:t>
      </w:r>
      <w:r w:rsidRPr="00201CF7">
        <w:rPr>
          <w:rFonts w:asciiTheme="majorHAnsi" w:hAnsiTheme="majorHAnsi"/>
        </w:rPr>
        <w:t xml:space="preserve"> </w:t>
      </w:r>
      <w:r w:rsidR="005A10AB">
        <w:rPr>
          <w:rFonts w:asciiTheme="majorHAnsi" w:hAnsiTheme="majorHAnsi"/>
        </w:rPr>
        <w:t xml:space="preserve">vaccine </w:t>
      </w:r>
      <w:r w:rsidRPr="00201CF7">
        <w:rPr>
          <w:rFonts w:asciiTheme="majorHAnsi" w:hAnsiTheme="majorHAnsi"/>
        </w:rPr>
        <w:t>may affect the transit of the capsules through the gastrointestinal tract.</w:t>
      </w:r>
    </w:p>
    <w:p w14:paraId="1DE85F6A" w14:textId="77777777" w:rsidR="00AC502A" w:rsidRPr="00AC502A" w:rsidRDefault="00AC502A" w:rsidP="00AC502A">
      <w:pPr>
        <w:spacing w:line="240" w:lineRule="auto"/>
        <w:rPr>
          <w:rFonts w:asciiTheme="majorHAnsi" w:hAnsiTheme="majorHAnsi"/>
        </w:rPr>
      </w:pPr>
      <w:r w:rsidRPr="00AC502A">
        <w:rPr>
          <w:rFonts w:asciiTheme="majorHAnsi" w:hAnsiTheme="majorHAnsi"/>
        </w:rPr>
        <w:t xml:space="preserve">Data from studies with a similar product indicate that the concomitant administration of oral polio vaccine or yellow fever vaccine did not affect the immune response produced by the cholera vaccine. </w:t>
      </w:r>
    </w:p>
    <w:p w14:paraId="0FDF3921" w14:textId="209B26F1" w:rsidR="00AC502A" w:rsidRPr="00201CF7" w:rsidRDefault="00AC502A" w:rsidP="00AC502A">
      <w:pPr>
        <w:spacing w:line="240" w:lineRule="auto"/>
        <w:rPr>
          <w:rFonts w:asciiTheme="majorHAnsi" w:hAnsiTheme="majorHAnsi"/>
        </w:rPr>
      </w:pPr>
      <w:r w:rsidRPr="00AC502A">
        <w:rPr>
          <w:rFonts w:asciiTheme="majorHAnsi" w:hAnsiTheme="majorHAnsi"/>
        </w:rPr>
        <w:t>The effects of concomitant administration of VAXCHORA vaccine with other vaccines has not been studied.</w:t>
      </w:r>
    </w:p>
    <w:p w14:paraId="0E58B626" w14:textId="102C1036" w:rsidR="003553CC" w:rsidRPr="00201CF7" w:rsidRDefault="003553CC" w:rsidP="003553CC">
      <w:pPr>
        <w:spacing w:line="240" w:lineRule="auto"/>
        <w:rPr>
          <w:rFonts w:asciiTheme="majorHAnsi" w:hAnsiTheme="majorHAnsi"/>
          <w:noProof/>
        </w:rPr>
      </w:pPr>
      <w:r w:rsidRPr="00201CF7">
        <w:rPr>
          <w:rFonts w:asciiTheme="majorHAnsi" w:hAnsiTheme="majorHAnsi"/>
          <w:noProof/>
        </w:rPr>
        <w:t xml:space="preserve">Concomitant administration of </w:t>
      </w:r>
      <w:r w:rsidR="00BD0E7C">
        <w:rPr>
          <w:rFonts w:asciiTheme="majorHAnsi" w:hAnsiTheme="majorHAnsi"/>
          <w:noProof/>
        </w:rPr>
        <w:t>VAXCHORA</w:t>
      </w:r>
      <w:r w:rsidR="005A10AB">
        <w:rPr>
          <w:rFonts w:asciiTheme="majorHAnsi" w:hAnsiTheme="majorHAnsi"/>
          <w:noProof/>
        </w:rPr>
        <w:t xml:space="preserve"> vaccine</w:t>
      </w:r>
      <w:r w:rsidRPr="00201CF7">
        <w:rPr>
          <w:rFonts w:asciiTheme="majorHAnsi" w:hAnsiTheme="majorHAnsi"/>
          <w:noProof/>
        </w:rPr>
        <w:t xml:space="preserve"> with systemic antibiotics should be avoided since these agents may prevent a sufficient degree of multiplication to occur in order to induce a protective immune response. </w:t>
      </w:r>
      <w:r w:rsidR="00BD0E7C">
        <w:rPr>
          <w:rFonts w:asciiTheme="majorHAnsi" w:hAnsiTheme="majorHAnsi"/>
          <w:noProof/>
        </w:rPr>
        <w:t>VAXCHORA</w:t>
      </w:r>
      <w:r w:rsidRPr="00201CF7">
        <w:rPr>
          <w:rFonts w:asciiTheme="majorHAnsi" w:hAnsiTheme="majorHAnsi"/>
          <w:noProof/>
        </w:rPr>
        <w:t xml:space="preserve"> </w:t>
      </w:r>
      <w:r w:rsidR="005A10AB">
        <w:rPr>
          <w:rFonts w:asciiTheme="majorHAnsi" w:hAnsiTheme="majorHAnsi"/>
          <w:noProof/>
        </w:rPr>
        <w:t xml:space="preserve">vaccine </w:t>
      </w:r>
      <w:r w:rsidRPr="00201CF7">
        <w:rPr>
          <w:rFonts w:asciiTheme="majorHAnsi" w:hAnsiTheme="majorHAnsi"/>
          <w:noProof/>
        </w:rPr>
        <w:t xml:space="preserve">should not be administered to patients who have received oral or parenteral antibiotics within 14 days prior to vaccination. Oral or parenteral antibiotics should be avoided for 10 days following vaccination with </w:t>
      </w:r>
      <w:r w:rsidR="00BD0E7C">
        <w:rPr>
          <w:rFonts w:asciiTheme="majorHAnsi" w:hAnsiTheme="majorHAnsi"/>
          <w:noProof/>
        </w:rPr>
        <w:t>VAXCHORA</w:t>
      </w:r>
      <w:r w:rsidR="005A10AB">
        <w:rPr>
          <w:rFonts w:asciiTheme="majorHAnsi" w:hAnsiTheme="majorHAnsi"/>
          <w:noProof/>
        </w:rPr>
        <w:t xml:space="preserve"> vaccine</w:t>
      </w:r>
      <w:r w:rsidRPr="00201CF7">
        <w:rPr>
          <w:rFonts w:asciiTheme="majorHAnsi" w:hAnsiTheme="majorHAnsi"/>
          <w:noProof/>
        </w:rPr>
        <w:t>.</w:t>
      </w:r>
    </w:p>
    <w:p w14:paraId="4DCDCD21" w14:textId="3144005C" w:rsidR="003553CC" w:rsidRPr="00201CF7" w:rsidRDefault="003553CC" w:rsidP="003553CC">
      <w:pPr>
        <w:spacing w:line="240" w:lineRule="auto"/>
        <w:rPr>
          <w:rFonts w:asciiTheme="majorHAnsi" w:hAnsiTheme="majorHAnsi"/>
        </w:rPr>
      </w:pPr>
      <w:r w:rsidRPr="00201CF7">
        <w:rPr>
          <w:rFonts w:asciiTheme="majorHAnsi" w:hAnsiTheme="majorHAnsi"/>
          <w:noProof/>
        </w:rPr>
        <w:t xml:space="preserve">Data from the study of a previous CVD 103-HgR-based vaccine indicate that immune responses to </w:t>
      </w:r>
      <w:r w:rsidR="00BD0E7C">
        <w:rPr>
          <w:rFonts w:asciiTheme="majorHAnsi" w:hAnsiTheme="majorHAnsi"/>
          <w:noProof/>
        </w:rPr>
        <w:t>VAXCHORA</w:t>
      </w:r>
      <w:r w:rsidR="005A10AB">
        <w:rPr>
          <w:rFonts w:asciiTheme="majorHAnsi" w:hAnsiTheme="majorHAnsi"/>
          <w:noProof/>
        </w:rPr>
        <w:t xml:space="preserve"> vaccine</w:t>
      </w:r>
      <w:r w:rsidRPr="00201CF7">
        <w:rPr>
          <w:rFonts w:asciiTheme="majorHAnsi" w:hAnsiTheme="majorHAnsi"/>
          <w:noProof/>
        </w:rPr>
        <w:t xml:space="preserve"> and protection against cholera may be diminished when </w:t>
      </w:r>
      <w:r w:rsidR="00BD0E7C">
        <w:rPr>
          <w:rFonts w:asciiTheme="majorHAnsi" w:hAnsiTheme="majorHAnsi"/>
          <w:noProof/>
        </w:rPr>
        <w:t>VAXCHORA</w:t>
      </w:r>
      <w:r w:rsidRPr="00201CF7">
        <w:rPr>
          <w:rFonts w:asciiTheme="majorHAnsi" w:hAnsiTheme="majorHAnsi"/>
          <w:noProof/>
        </w:rPr>
        <w:t xml:space="preserve"> </w:t>
      </w:r>
      <w:r w:rsidR="005A10AB">
        <w:rPr>
          <w:rFonts w:asciiTheme="majorHAnsi" w:hAnsiTheme="majorHAnsi"/>
          <w:noProof/>
        </w:rPr>
        <w:t xml:space="preserve">vaccine </w:t>
      </w:r>
      <w:r w:rsidRPr="00201CF7">
        <w:rPr>
          <w:rFonts w:asciiTheme="majorHAnsi" w:hAnsiTheme="majorHAnsi"/>
          <w:noProof/>
        </w:rPr>
        <w:t xml:space="preserve">is administered concomitantly with chloroquine. </w:t>
      </w:r>
      <w:bookmarkStart w:id="3" w:name="_Hlk46471782"/>
      <w:r w:rsidRPr="00201CF7">
        <w:rPr>
          <w:rFonts w:asciiTheme="majorHAnsi" w:hAnsiTheme="majorHAnsi"/>
          <w:noProof/>
        </w:rPr>
        <w:t xml:space="preserve">Administer </w:t>
      </w:r>
      <w:r w:rsidR="00BD0E7C">
        <w:rPr>
          <w:rFonts w:asciiTheme="majorHAnsi" w:hAnsiTheme="majorHAnsi"/>
          <w:noProof/>
        </w:rPr>
        <w:t>VAXCHORA</w:t>
      </w:r>
      <w:r w:rsidRPr="00201CF7">
        <w:rPr>
          <w:rFonts w:asciiTheme="majorHAnsi" w:hAnsiTheme="majorHAnsi"/>
          <w:noProof/>
        </w:rPr>
        <w:t xml:space="preserve"> </w:t>
      </w:r>
      <w:r w:rsidR="005A10AB">
        <w:rPr>
          <w:rFonts w:asciiTheme="majorHAnsi" w:hAnsiTheme="majorHAnsi"/>
          <w:noProof/>
        </w:rPr>
        <w:t xml:space="preserve">vaccine </w:t>
      </w:r>
      <w:r w:rsidRPr="00201CF7">
        <w:rPr>
          <w:rFonts w:asciiTheme="majorHAnsi" w:hAnsiTheme="majorHAnsi"/>
          <w:noProof/>
        </w:rPr>
        <w:t xml:space="preserve">at least 10 days before beginning antimalarial prophylaxis with chloroquine. </w:t>
      </w:r>
      <w:bookmarkEnd w:id="3"/>
    </w:p>
    <w:p w14:paraId="1405FB4D" w14:textId="18CEA7D6" w:rsidR="004465BC" w:rsidRPr="00201CF7" w:rsidRDefault="003553CC" w:rsidP="0080728D">
      <w:pPr>
        <w:spacing w:line="240" w:lineRule="auto"/>
        <w:rPr>
          <w:rFonts w:asciiTheme="majorHAnsi" w:hAnsiTheme="majorHAnsi"/>
        </w:rPr>
      </w:pPr>
      <w:r w:rsidRPr="00201CF7">
        <w:rPr>
          <w:rFonts w:asciiTheme="majorHAnsi" w:hAnsiTheme="majorHAnsi"/>
        </w:rPr>
        <w:t xml:space="preserve">The vaccine is acid-labile and is administered with a buffer. Eating and drinking should be avoided for 60 minutes before and after taking </w:t>
      </w:r>
      <w:r w:rsidR="00BD0E7C">
        <w:rPr>
          <w:rFonts w:asciiTheme="majorHAnsi" w:hAnsiTheme="majorHAnsi"/>
        </w:rPr>
        <w:t>VAXCHORA</w:t>
      </w:r>
      <w:r w:rsidRPr="00201CF7">
        <w:rPr>
          <w:rFonts w:asciiTheme="majorHAnsi" w:hAnsiTheme="majorHAnsi"/>
        </w:rPr>
        <w:t xml:space="preserve"> </w:t>
      </w:r>
      <w:r w:rsidR="005A10AB">
        <w:rPr>
          <w:rFonts w:asciiTheme="majorHAnsi" w:hAnsiTheme="majorHAnsi"/>
          <w:noProof/>
        </w:rPr>
        <w:t>vaccine</w:t>
      </w:r>
      <w:r w:rsidR="005A10AB" w:rsidRPr="00201CF7">
        <w:rPr>
          <w:rFonts w:asciiTheme="majorHAnsi" w:hAnsiTheme="majorHAnsi"/>
        </w:rPr>
        <w:t xml:space="preserve"> </w:t>
      </w:r>
      <w:r w:rsidRPr="00201CF7">
        <w:rPr>
          <w:rFonts w:asciiTheme="majorHAnsi" w:hAnsiTheme="majorHAnsi"/>
        </w:rPr>
        <w:t>as this may interfere with the protective effect of the buffer.</w:t>
      </w:r>
      <w:r w:rsidRPr="00201CF7">
        <w:rPr>
          <w:rFonts w:asciiTheme="majorHAnsi" w:hAnsiTheme="majorHAnsi"/>
          <w:sz w:val="18"/>
          <w:szCs w:val="18"/>
        </w:rPr>
        <w:t xml:space="preserve"> </w:t>
      </w:r>
    </w:p>
    <w:p w14:paraId="10FA272E" w14:textId="77777777" w:rsidR="001A3992" w:rsidRPr="00201CF7" w:rsidRDefault="001A3992" w:rsidP="001A3992">
      <w:pPr>
        <w:pStyle w:val="Heading2"/>
        <w:spacing w:before="0" w:after="120"/>
        <w:rPr>
          <w:rFonts w:cstheme="minorHAnsi"/>
        </w:rPr>
      </w:pPr>
      <w:r w:rsidRPr="00201CF7">
        <w:rPr>
          <w:rFonts w:cstheme="minorHAnsi"/>
        </w:rPr>
        <w:t xml:space="preserve">Fertility, pregnancy and lactation </w:t>
      </w:r>
    </w:p>
    <w:p w14:paraId="67BDBF23" w14:textId="4F42B0A4" w:rsidR="001A3992" w:rsidRPr="00201CF7" w:rsidRDefault="001A3992" w:rsidP="004465BC">
      <w:pPr>
        <w:pStyle w:val="Heading3"/>
        <w:spacing w:before="0" w:after="120"/>
        <w:ind w:left="0"/>
        <w:rPr>
          <w:rFonts w:cstheme="minorHAnsi"/>
        </w:rPr>
      </w:pPr>
      <w:r w:rsidRPr="00201CF7">
        <w:rPr>
          <w:rFonts w:cstheme="minorHAnsi"/>
        </w:rPr>
        <w:t>Effects on fertility</w:t>
      </w:r>
    </w:p>
    <w:p w14:paraId="4C7F69B4" w14:textId="4B096B1F" w:rsidR="00C006C2" w:rsidRPr="00201CF7" w:rsidRDefault="00C006C2" w:rsidP="00C006C2">
      <w:pPr>
        <w:spacing w:line="240" w:lineRule="auto"/>
        <w:rPr>
          <w:rFonts w:asciiTheme="majorHAnsi" w:hAnsiTheme="majorHAnsi"/>
          <w:noProof/>
        </w:rPr>
      </w:pPr>
      <w:r w:rsidRPr="00201CF7">
        <w:rPr>
          <w:rFonts w:asciiTheme="majorHAnsi" w:hAnsiTheme="majorHAnsi"/>
          <w:noProof/>
        </w:rPr>
        <w:t xml:space="preserve">No human or animal data on the effect of </w:t>
      </w:r>
      <w:r w:rsidR="00BD0E7C">
        <w:rPr>
          <w:rFonts w:asciiTheme="majorHAnsi" w:hAnsiTheme="majorHAnsi"/>
          <w:noProof/>
        </w:rPr>
        <w:t>VAXCHORA</w:t>
      </w:r>
      <w:r w:rsidR="005A10AB">
        <w:rPr>
          <w:rFonts w:asciiTheme="majorHAnsi" w:hAnsiTheme="majorHAnsi"/>
          <w:noProof/>
        </w:rPr>
        <w:t xml:space="preserve"> vaccine</w:t>
      </w:r>
      <w:r w:rsidRPr="00201CF7">
        <w:rPr>
          <w:rFonts w:asciiTheme="majorHAnsi" w:hAnsiTheme="majorHAnsi"/>
          <w:noProof/>
        </w:rPr>
        <w:t xml:space="preserve"> on fertility are available.</w:t>
      </w:r>
    </w:p>
    <w:p w14:paraId="755AA117" w14:textId="50F608DC" w:rsidR="001A3992" w:rsidRPr="00201CF7" w:rsidRDefault="001A3992" w:rsidP="004465BC">
      <w:pPr>
        <w:pStyle w:val="Heading3"/>
        <w:spacing w:before="0" w:after="120"/>
        <w:ind w:left="0"/>
        <w:rPr>
          <w:rFonts w:cstheme="minorHAnsi"/>
        </w:rPr>
      </w:pPr>
      <w:r w:rsidRPr="00201CF7">
        <w:rPr>
          <w:rFonts w:cstheme="minorHAnsi"/>
        </w:rPr>
        <w:t xml:space="preserve">Use in pregnancy </w:t>
      </w:r>
      <w:r w:rsidR="00497C85" w:rsidRPr="00201CF7">
        <w:rPr>
          <w:rFonts w:cstheme="minorHAnsi"/>
        </w:rPr>
        <w:t>– Pregnancy Category B2</w:t>
      </w:r>
    </w:p>
    <w:p w14:paraId="789B0BF7" w14:textId="435F6ECF" w:rsidR="00DE1DCB" w:rsidRPr="00201CF7" w:rsidRDefault="00DE1DCB" w:rsidP="00DE1DCB">
      <w:pPr>
        <w:rPr>
          <w:rFonts w:asciiTheme="majorHAnsi" w:hAnsiTheme="majorHAnsi"/>
        </w:rPr>
      </w:pPr>
      <w:r w:rsidRPr="00201CF7">
        <w:rPr>
          <w:rFonts w:asciiTheme="majorHAnsi" w:hAnsiTheme="majorHAnsi"/>
        </w:rPr>
        <w:t xml:space="preserve">There are limited data from the use of </w:t>
      </w:r>
      <w:r w:rsidR="00BD0E7C">
        <w:rPr>
          <w:rFonts w:asciiTheme="majorHAnsi" w:hAnsiTheme="majorHAnsi"/>
        </w:rPr>
        <w:t>VAXCHORA</w:t>
      </w:r>
      <w:r w:rsidRPr="00201CF7">
        <w:rPr>
          <w:rFonts w:asciiTheme="majorHAnsi" w:hAnsiTheme="majorHAnsi"/>
        </w:rPr>
        <w:t xml:space="preserve"> </w:t>
      </w:r>
      <w:r w:rsidR="005A10AB">
        <w:rPr>
          <w:rFonts w:asciiTheme="majorHAnsi" w:hAnsiTheme="majorHAnsi"/>
          <w:noProof/>
        </w:rPr>
        <w:t>vaccine</w:t>
      </w:r>
      <w:r w:rsidR="005A10AB" w:rsidRPr="00201CF7">
        <w:rPr>
          <w:rFonts w:asciiTheme="majorHAnsi" w:hAnsiTheme="majorHAnsi"/>
        </w:rPr>
        <w:t xml:space="preserve"> </w:t>
      </w:r>
      <w:r w:rsidRPr="00201CF7">
        <w:rPr>
          <w:rFonts w:asciiTheme="majorHAnsi" w:hAnsiTheme="majorHAnsi"/>
        </w:rPr>
        <w:t>in pregnant women.</w:t>
      </w:r>
    </w:p>
    <w:p w14:paraId="6F26EC4D" w14:textId="77777777" w:rsidR="00DE1DCB" w:rsidRPr="00201CF7" w:rsidRDefault="00DE1DCB" w:rsidP="00DE1DCB">
      <w:pPr>
        <w:rPr>
          <w:rFonts w:asciiTheme="majorHAnsi" w:hAnsiTheme="majorHAnsi"/>
        </w:rPr>
      </w:pPr>
      <w:r w:rsidRPr="00201CF7">
        <w:rPr>
          <w:rFonts w:asciiTheme="majorHAnsi" w:hAnsiTheme="majorHAnsi"/>
        </w:rPr>
        <w:lastRenderedPageBreak/>
        <w:t>Animal studies are insufficient with respect to reproductive toxicity (see section 5.3).</w:t>
      </w:r>
    </w:p>
    <w:p w14:paraId="434443A1" w14:textId="55A2B880" w:rsidR="00DE1DCB" w:rsidRPr="00201CF7" w:rsidRDefault="00471C83" w:rsidP="00DE1DCB">
      <w:pPr>
        <w:rPr>
          <w:rFonts w:asciiTheme="majorHAnsi" w:hAnsiTheme="majorHAnsi"/>
        </w:rPr>
      </w:pPr>
      <w:r w:rsidRPr="00B137AB">
        <w:rPr>
          <w:rFonts w:asciiTheme="majorHAnsi" w:hAnsiTheme="majorHAnsi"/>
        </w:rPr>
        <w:t xml:space="preserve">VAXCHORA </w:t>
      </w:r>
      <w:r>
        <w:rPr>
          <w:rFonts w:asciiTheme="majorHAnsi" w:hAnsiTheme="majorHAnsi"/>
          <w:noProof/>
        </w:rPr>
        <w:t>vaccine</w:t>
      </w:r>
      <w:r w:rsidRPr="00B137AB">
        <w:rPr>
          <w:rFonts w:asciiTheme="majorHAnsi" w:hAnsiTheme="majorHAnsi"/>
        </w:rPr>
        <w:t xml:space="preserve"> is not absorbed systemically following oral administration</w:t>
      </w:r>
      <w:r>
        <w:rPr>
          <w:rFonts w:asciiTheme="majorHAnsi" w:hAnsiTheme="majorHAnsi"/>
        </w:rPr>
        <w:t xml:space="preserve">. </w:t>
      </w:r>
      <w:r w:rsidR="00BD0E7C">
        <w:rPr>
          <w:rFonts w:asciiTheme="majorHAnsi" w:hAnsiTheme="majorHAnsi"/>
        </w:rPr>
        <w:t>VAXCHORA</w:t>
      </w:r>
      <w:r w:rsidR="005A10AB">
        <w:rPr>
          <w:rFonts w:asciiTheme="majorHAnsi" w:hAnsiTheme="majorHAnsi"/>
        </w:rPr>
        <w:t xml:space="preserve"> </w:t>
      </w:r>
      <w:r w:rsidR="005A10AB">
        <w:rPr>
          <w:rFonts w:asciiTheme="majorHAnsi" w:hAnsiTheme="majorHAnsi"/>
          <w:noProof/>
        </w:rPr>
        <w:t>vaccine</w:t>
      </w:r>
      <w:r w:rsidR="00DE1DCB" w:rsidRPr="00201CF7">
        <w:rPr>
          <w:rFonts w:asciiTheme="majorHAnsi" w:hAnsiTheme="majorHAnsi"/>
        </w:rPr>
        <w:t xml:space="preserve"> should be used during pregnancy only if the potential benefits to the mother outweigh the potential risks, including those to the foetus.</w:t>
      </w:r>
    </w:p>
    <w:p w14:paraId="30E2E777" w14:textId="20166D64" w:rsidR="001A3992" w:rsidRPr="00201CF7" w:rsidRDefault="001A3992" w:rsidP="004465BC">
      <w:pPr>
        <w:pStyle w:val="Heading3"/>
        <w:spacing w:before="0" w:after="120"/>
        <w:ind w:left="0"/>
        <w:rPr>
          <w:rFonts w:cstheme="minorHAnsi"/>
        </w:rPr>
      </w:pPr>
      <w:r w:rsidRPr="00201CF7">
        <w:rPr>
          <w:rFonts w:cstheme="minorHAnsi"/>
        </w:rPr>
        <w:t xml:space="preserve">Use in lactation. </w:t>
      </w:r>
    </w:p>
    <w:p w14:paraId="2A2F7050" w14:textId="77777777" w:rsidR="004F29AF" w:rsidRPr="00A040E0" w:rsidRDefault="00103183" w:rsidP="00DD5D59">
      <w:r w:rsidRPr="00103183">
        <w:rPr>
          <w:rFonts w:asciiTheme="majorHAnsi" w:hAnsiTheme="majorHAnsi"/>
        </w:rPr>
        <w:t>It is unknown whether V</w:t>
      </w:r>
      <w:r>
        <w:rPr>
          <w:rFonts w:asciiTheme="majorHAnsi" w:hAnsiTheme="majorHAnsi"/>
        </w:rPr>
        <w:t>AXCHORA vaccine</w:t>
      </w:r>
      <w:r w:rsidRPr="00103183">
        <w:rPr>
          <w:rFonts w:asciiTheme="majorHAnsi" w:hAnsiTheme="majorHAnsi"/>
        </w:rPr>
        <w:t xml:space="preserve"> is excreted in human milk. A risk to the breastfed child cannot be excluded. </w:t>
      </w:r>
    </w:p>
    <w:p w14:paraId="0BD6A0AB" w14:textId="77777777" w:rsidR="001A3992" w:rsidRPr="00201CF7" w:rsidRDefault="001A3992" w:rsidP="001A3992">
      <w:pPr>
        <w:pStyle w:val="Heading2"/>
        <w:spacing w:before="0" w:after="120"/>
        <w:rPr>
          <w:rFonts w:cstheme="minorHAnsi"/>
        </w:rPr>
      </w:pPr>
      <w:r w:rsidRPr="00201CF7">
        <w:rPr>
          <w:rFonts w:cstheme="minorHAnsi"/>
        </w:rPr>
        <w:t xml:space="preserve">Effects on ability to drive and use machines </w:t>
      </w:r>
    </w:p>
    <w:p w14:paraId="43DE6AD5" w14:textId="7FB6029C" w:rsidR="00497C85" w:rsidRPr="00201CF7" w:rsidRDefault="00497C85" w:rsidP="00497C85">
      <w:pPr>
        <w:rPr>
          <w:rFonts w:asciiTheme="majorHAnsi" w:hAnsiTheme="majorHAnsi" w:cstheme="minorHAnsi"/>
        </w:rPr>
      </w:pPr>
      <w:r w:rsidRPr="00201CF7">
        <w:rPr>
          <w:rFonts w:asciiTheme="majorHAnsi" w:hAnsiTheme="majorHAnsi" w:cstheme="minorHAnsi"/>
          <w:lang w:val="en"/>
        </w:rPr>
        <w:t xml:space="preserve">The effects of this medicine on a person's ability to drive and use machines were not assessed as part of its registration. </w:t>
      </w:r>
    </w:p>
    <w:p w14:paraId="46B53563" w14:textId="0B74C0CA" w:rsidR="001A3992" w:rsidRDefault="001A3992" w:rsidP="001A3992">
      <w:pPr>
        <w:pStyle w:val="Heading2"/>
        <w:keepNext/>
        <w:keepLines/>
        <w:spacing w:before="0" w:after="120"/>
        <w:rPr>
          <w:rFonts w:cstheme="minorHAnsi"/>
        </w:rPr>
      </w:pPr>
      <w:r w:rsidRPr="00201CF7">
        <w:rPr>
          <w:rFonts w:cstheme="minorHAnsi"/>
        </w:rPr>
        <w:t>Adverse effects (Undesirable effects)</w:t>
      </w:r>
    </w:p>
    <w:p w14:paraId="0020207A" w14:textId="698D97A8" w:rsidR="00E8236D" w:rsidRDefault="00E8236D">
      <w:pPr>
        <w:rPr>
          <w:rFonts w:asciiTheme="majorHAnsi" w:hAnsiTheme="majorHAnsi"/>
        </w:rPr>
      </w:pPr>
      <w:r w:rsidRPr="00F848A3">
        <w:rPr>
          <w:rFonts w:asciiTheme="majorHAnsi" w:hAnsiTheme="majorHAnsi"/>
        </w:rPr>
        <w:t xml:space="preserve">The safety of </w:t>
      </w:r>
      <w:r w:rsidR="00BD0E7C" w:rsidRPr="00F848A3">
        <w:rPr>
          <w:rFonts w:asciiTheme="majorHAnsi" w:hAnsiTheme="majorHAnsi"/>
        </w:rPr>
        <w:t>VAXCHORA</w:t>
      </w:r>
      <w:r w:rsidRPr="00F848A3">
        <w:rPr>
          <w:rFonts w:asciiTheme="majorHAnsi" w:hAnsiTheme="majorHAnsi"/>
        </w:rPr>
        <w:t xml:space="preserve"> </w:t>
      </w:r>
      <w:r w:rsidR="005A10AB">
        <w:rPr>
          <w:rFonts w:asciiTheme="majorHAnsi" w:hAnsiTheme="majorHAnsi"/>
          <w:noProof/>
        </w:rPr>
        <w:t>vaccine</w:t>
      </w:r>
      <w:r w:rsidR="005A10AB" w:rsidRPr="00C40CA7">
        <w:rPr>
          <w:rFonts w:asciiTheme="majorHAnsi" w:hAnsiTheme="majorHAnsi"/>
        </w:rPr>
        <w:t xml:space="preserve"> </w:t>
      </w:r>
      <w:r w:rsidRPr="00F848A3">
        <w:rPr>
          <w:rFonts w:asciiTheme="majorHAnsi" w:hAnsiTheme="majorHAnsi"/>
        </w:rPr>
        <w:t xml:space="preserve">was evaluated in four randomised, placebo controlled multicentre clinical trials, with a total of 3235 adults aged 18-64 years of age receiving one dose of </w:t>
      </w:r>
      <w:r w:rsidR="00BD0E7C" w:rsidRPr="00F848A3">
        <w:rPr>
          <w:rFonts w:asciiTheme="majorHAnsi" w:hAnsiTheme="majorHAnsi"/>
        </w:rPr>
        <w:t>VAXCHORA</w:t>
      </w:r>
      <w:r w:rsidR="005A10AB">
        <w:rPr>
          <w:rFonts w:asciiTheme="majorHAnsi" w:hAnsiTheme="majorHAnsi"/>
        </w:rPr>
        <w:t xml:space="preserve"> </w:t>
      </w:r>
      <w:r w:rsidR="005A10AB">
        <w:rPr>
          <w:rFonts w:asciiTheme="majorHAnsi" w:hAnsiTheme="majorHAnsi"/>
          <w:noProof/>
        </w:rPr>
        <w:t>vaccine</w:t>
      </w:r>
      <w:r w:rsidRPr="00F848A3">
        <w:rPr>
          <w:rFonts w:asciiTheme="majorHAnsi" w:hAnsiTheme="majorHAnsi"/>
        </w:rPr>
        <w:t xml:space="preserve">, and 562 adults receiving a placebo. </w:t>
      </w:r>
    </w:p>
    <w:p w14:paraId="00DE5BB5" w14:textId="6101E70F" w:rsidR="00916226" w:rsidRPr="00201CF7" w:rsidRDefault="00477E4A" w:rsidP="00477E4A">
      <w:pPr>
        <w:pStyle w:val="BodyTextSPC"/>
        <w:rPr>
          <w:rFonts w:asciiTheme="majorHAnsi" w:hAnsiTheme="majorHAnsi"/>
          <w:szCs w:val="22"/>
          <w:u w:val="single"/>
        </w:rPr>
      </w:pPr>
      <w:r w:rsidRPr="00201CF7">
        <w:rPr>
          <w:rFonts w:asciiTheme="majorHAnsi" w:hAnsiTheme="majorHAnsi"/>
          <w:szCs w:val="22"/>
          <w:u w:val="single"/>
        </w:rPr>
        <w:t>Summary of safety profile</w:t>
      </w:r>
    </w:p>
    <w:p w14:paraId="3A9C365A" w14:textId="77777777" w:rsidR="00477E4A" w:rsidRDefault="00477E4A" w:rsidP="00F848A3">
      <w:pPr>
        <w:pStyle w:val="BodyTextSPC"/>
      </w:pPr>
    </w:p>
    <w:p w14:paraId="51EE4D44" w14:textId="314C609E" w:rsidR="00DD366E" w:rsidRPr="00DD366E" w:rsidRDefault="00073B30" w:rsidP="00F848A3">
      <w:pPr>
        <w:spacing w:after="0"/>
        <w:rPr>
          <w:rFonts w:asciiTheme="majorHAnsi" w:hAnsiTheme="majorHAnsi"/>
        </w:rPr>
      </w:pPr>
      <w:r w:rsidRPr="00DD366E">
        <w:rPr>
          <w:rFonts w:asciiTheme="majorHAnsi" w:hAnsiTheme="majorHAnsi"/>
        </w:rPr>
        <w:t>A</w:t>
      </w:r>
      <w:r>
        <w:rPr>
          <w:rFonts w:asciiTheme="majorHAnsi" w:hAnsiTheme="majorHAnsi"/>
        </w:rPr>
        <w:t xml:space="preserve">dverse </w:t>
      </w:r>
      <w:r w:rsidR="00DD366E" w:rsidRPr="00DD366E">
        <w:rPr>
          <w:rFonts w:asciiTheme="majorHAnsi" w:hAnsiTheme="majorHAnsi"/>
        </w:rPr>
        <w:t>R</w:t>
      </w:r>
      <w:r>
        <w:rPr>
          <w:rFonts w:asciiTheme="majorHAnsi" w:hAnsiTheme="majorHAnsi"/>
        </w:rPr>
        <w:t>eactions (Ar</w:t>
      </w:r>
      <w:r w:rsidR="00DD366E" w:rsidRPr="00DD366E">
        <w:rPr>
          <w:rFonts w:asciiTheme="majorHAnsi" w:hAnsiTheme="majorHAnsi"/>
        </w:rPr>
        <w:t>s</w:t>
      </w:r>
      <w:r>
        <w:rPr>
          <w:rFonts w:asciiTheme="majorHAnsi" w:hAnsiTheme="majorHAnsi"/>
        </w:rPr>
        <w:t>)</w:t>
      </w:r>
      <w:r w:rsidR="00DD366E" w:rsidRPr="00DD366E">
        <w:rPr>
          <w:rFonts w:asciiTheme="majorHAnsi" w:hAnsiTheme="majorHAnsi"/>
        </w:rPr>
        <w:t xml:space="preserve"> are listed according to the following frequency categories:</w:t>
      </w:r>
    </w:p>
    <w:p w14:paraId="3E1710BB" w14:textId="77777777" w:rsidR="00DD366E" w:rsidRPr="00DD366E" w:rsidRDefault="00DD366E" w:rsidP="00F848A3">
      <w:pPr>
        <w:spacing w:after="0"/>
        <w:rPr>
          <w:rFonts w:asciiTheme="majorHAnsi" w:hAnsiTheme="majorHAnsi"/>
        </w:rPr>
      </w:pPr>
      <w:r w:rsidRPr="00DD366E">
        <w:rPr>
          <w:rFonts w:asciiTheme="majorHAnsi" w:hAnsiTheme="majorHAnsi"/>
        </w:rPr>
        <w:t>Very common ≥ 1/10 (≥ 10%),</w:t>
      </w:r>
    </w:p>
    <w:p w14:paraId="15E9A669" w14:textId="77777777" w:rsidR="00DD366E" w:rsidRPr="00DD366E" w:rsidRDefault="00DD366E" w:rsidP="00F848A3">
      <w:pPr>
        <w:spacing w:after="0"/>
        <w:rPr>
          <w:rFonts w:asciiTheme="majorHAnsi" w:hAnsiTheme="majorHAnsi"/>
        </w:rPr>
      </w:pPr>
      <w:r w:rsidRPr="00DD366E">
        <w:rPr>
          <w:rFonts w:asciiTheme="majorHAnsi" w:hAnsiTheme="majorHAnsi"/>
        </w:rPr>
        <w:t>Common ≥ 1/100 to &lt; 1/10 (≥ 1% and &lt; 10%),</w:t>
      </w:r>
    </w:p>
    <w:p w14:paraId="3FA1C0C5" w14:textId="77777777" w:rsidR="00DD366E" w:rsidRPr="00DD366E" w:rsidRDefault="00DD366E" w:rsidP="00F848A3">
      <w:pPr>
        <w:spacing w:after="0"/>
        <w:rPr>
          <w:rFonts w:asciiTheme="majorHAnsi" w:hAnsiTheme="majorHAnsi"/>
        </w:rPr>
      </w:pPr>
      <w:r w:rsidRPr="00DD366E">
        <w:rPr>
          <w:rFonts w:asciiTheme="majorHAnsi" w:hAnsiTheme="majorHAnsi"/>
        </w:rPr>
        <w:t>Uncommon ≥ 1/1000 to &lt; 1/100 (≥ 0.1% and &lt; 1%),</w:t>
      </w:r>
    </w:p>
    <w:p w14:paraId="3B6D0901" w14:textId="77777777" w:rsidR="00DD366E" w:rsidRPr="00DD366E" w:rsidRDefault="00DD366E" w:rsidP="00F848A3">
      <w:pPr>
        <w:spacing w:after="0"/>
        <w:rPr>
          <w:rFonts w:asciiTheme="majorHAnsi" w:hAnsiTheme="majorHAnsi"/>
        </w:rPr>
      </w:pPr>
      <w:r w:rsidRPr="00DD366E">
        <w:rPr>
          <w:rFonts w:asciiTheme="majorHAnsi" w:hAnsiTheme="majorHAnsi"/>
        </w:rPr>
        <w:t>Rare ≥ 1/10,000 to &lt; 1/1000 (≥ 0.01% and &lt; 0.1%) and</w:t>
      </w:r>
    </w:p>
    <w:p w14:paraId="431488E0" w14:textId="788A230E" w:rsidR="007439EA" w:rsidRDefault="00DD366E" w:rsidP="00DD366E">
      <w:pPr>
        <w:rPr>
          <w:rFonts w:asciiTheme="majorHAnsi" w:hAnsiTheme="majorHAnsi"/>
        </w:rPr>
      </w:pPr>
      <w:r w:rsidRPr="00DD366E">
        <w:rPr>
          <w:rFonts w:asciiTheme="majorHAnsi" w:hAnsiTheme="majorHAnsi"/>
        </w:rPr>
        <w:t>Very rare &lt; 1/10,000 (&lt; 0.01%)</w:t>
      </w:r>
    </w:p>
    <w:p w14:paraId="666FD741" w14:textId="39B8FDDE" w:rsidR="00971FA5" w:rsidRDefault="00971FA5" w:rsidP="00DD366E">
      <w:pPr>
        <w:rPr>
          <w:rFonts w:asciiTheme="majorHAnsi" w:hAnsiTheme="majorHAnsi"/>
        </w:rPr>
      </w:pPr>
      <w:r w:rsidRPr="00971FA5">
        <w:rPr>
          <w:rFonts w:asciiTheme="majorHAnsi" w:hAnsiTheme="majorHAnsi"/>
        </w:rPr>
        <w:t>The database allowed for the detection of very common, common</w:t>
      </w:r>
      <w:r w:rsidR="004264A6">
        <w:rPr>
          <w:rFonts w:asciiTheme="majorHAnsi" w:hAnsiTheme="majorHAnsi"/>
        </w:rPr>
        <w:t xml:space="preserve">, </w:t>
      </w:r>
      <w:r w:rsidRPr="00971FA5">
        <w:rPr>
          <w:rFonts w:asciiTheme="majorHAnsi" w:hAnsiTheme="majorHAnsi"/>
        </w:rPr>
        <w:t>uncommon</w:t>
      </w:r>
      <w:r w:rsidR="004264A6">
        <w:rPr>
          <w:rFonts w:asciiTheme="majorHAnsi" w:hAnsiTheme="majorHAnsi"/>
        </w:rPr>
        <w:t xml:space="preserve"> and rare</w:t>
      </w:r>
      <w:r w:rsidRPr="00971FA5">
        <w:rPr>
          <w:rFonts w:asciiTheme="majorHAnsi" w:hAnsiTheme="majorHAnsi"/>
        </w:rPr>
        <w:t xml:space="preserve"> Adverse Events (AEs).</w:t>
      </w:r>
    </w:p>
    <w:p w14:paraId="202EFCE9" w14:textId="7AFDCCBA" w:rsidR="0097248E" w:rsidRPr="00F848A3" w:rsidRDefault="004264A6" w:rsidP="00DD366E">
      <w:pPr>
        <w:rPr>
          <w:rFonts w:asciiTheme="majorHAnsi" w:hAnsiTheme="majorHAnsi"/>
        </w:rPr>
      </w:pPr>
      <w:r w:rsidRPr="00AE1544">
        <w:rPr>
          <w:rFonts w:ascii="Times New Roman" w:hAnsi="Times New Roman" w:cs="Times New Roman"/>
        </w:rPr>
        <w:fldChar w:fldCharType="begin"/>
      </w:r>
      <w:r w:rsidRPr="00F32087">
        <w:rPr>
          <w:rFonts w:ascii="Times New Roman" w:hAnsi="Times New Roman" w:cs="Times New Roman"/>
        </w:rPr>
        <w:instrText xml:space="preserve"> REF _Ref80261619 \h </w:instrText>
      </w:r>
      <w:r w:rsidR="00AE1544">
        <w:rPr>
          <w:rFonts w:ascii="Times New Roman" w:hAnsi="Times New Roman" w:cs="Times New Roman"/>
        </w:rPr>
        <w:instrText xml:space="preserve"> \* MERGEFORMAT </w:instrText>
      </w:r>
      <w:r w:rsidRPr="00AE1544">
        <w:rPr>
          <w:rFonts w:ascii="Times New Roman" w:hAnsi="Times New Roman" w:cs="Times New Roman"/>
        </w:rPr>
      </w:r>
      <w:r w:rsidRPr="00AE1544">
        <w:rPr>
          <w:rFonts w:ascii="Times New Roman" w:hAnsi="Times New Roman" w:cs="Times New Roman"/>
        </w:rPr>
        <w:fldChar w:fldCharType="separate"/>
      </w:r>
      <w:r w:rsidR="00E971BE" w:rsidRPr="00F32087">
        <w:rPr>
          <w:rFonts w:ascii="Times New Roman" w:hAnsi="Times New Roman" w:cs="Times New Roman"/>
        </w:rPr>
        <w:t xml:space="preserve">Table </w:t>
      </w:r>
      <w:r w:rsidR="00E971BE" w:rsidRPr="00F32087">
        <w:rPr>
          <w:rFonts w:ascii="Times New Roman" w:hAnsi="Times New Roman" w:cs="Times New Roman"/>
          <w:noProof/>
        </w:rPr>
        <w:t>1</w:t>
      </w:r>
      <w:r w:rsidRPr="00AE1544">
        <w:rPr>
          <w:rFonts w:ascii="Times New Roman" w:hAnsi="Times New Roman" w:cs="Times New Roman"/>
        </w:rPr>
        <w:fldChar w:fldCharType="end"/>
      </w:r>
      <w:r w:rsidR="00182177" w:rsidRPr="00182177">
        <w:rPr>
          <w:rFonts w:asciiTheme="majorHAnsi" w:hAnsiTheme="majorHAnsi"/>
        </w:rPr>
        <w:t xml:space="preserve"> below summarise</w:t>
      </w:r>
      <w:r w:rsidR="00182177">
        <w:rPr>
          <w:rFonts w:asciiTheme="majorHAnsi" w:hAnsiTheme="majorHAnsi"/>
        </w:rPr>
        <w:t>s</w:t>
      </w:r>
      <w:r w:rsidR="00182177" w:rsidRPr="00182177">
        <w:rPr>
          <w:rFonts w:asciiTheme="majorHAnsi" w:hAnsiTheme="majorHAnsi"/>
        </w:rPr>
        <w:t xml:space="preserve"> the AEs </w:t>
      </w:r>
      <w:r w:rsidR="00182177" w:rsidRPr="004A5A65">
        <w:rPr>
          <w:rFonts w:asciiTheme="majorHAnsi" w:hAnsiTheme="majorHAnsi"/>
        </w:rPr>
        <w:t xml:space="preserve">reported within 28 days after </w:t>
      </w:r>
      <w:r w:rsidR="00041646" w:rsidRPr="004A5A65">
        <w:rPr>
          <w:rFonts w:asciiTheme="majorHAnsi" w:hAnsiTheme="majorHAnsi"/>
        </w:rPr>
        <w:t xml:space="preserve">receiving </w:t>
      </w:r>
      <w:r w:rsidR="00D040D1" w:rsidRPr="004A5A65">
        <w:rPr>
          <w:rFonts w:asciiTheme="majorHAnsi" w:hAnsiTheme="majorHAnsi"/>
        </w:rPr>
        <w:t>VAXCHORA</w:t>
      </w:r>
      <w:r w:rsidR="00B641F6">
        <w:rPr>
          <w:rFonts w:asciiTheme="majorHAnsi" w:hAnsiTheme="majorHAnsi"/>
        </w:rPr>
        <w:t xml:space="preserve"> </w:t>
      </w:r>
      <w:r w:rsidR="00B641F6">
        <w:rPr>
          <w:rFonts w:asciiTheme="majorHAnsi" w:hAnsiTheme="majorHAnsi"/>
          <w:noProof/>
        </w:rPr>
        <w:t>vaccine</w:t>
      </w:r>
      <w:r w:rsidR="00182177" w:rsidRPr="00182177">
        <w:rPr>
          <w:rFonts w:asciiTheme="majorHAnsi" w:hAnsiTheme="majorHAnsi"/>
        </w:rPr>
        <w:t xml:space="preserve"> with a frequency ≥ 1.0% during clinical studies (referred to as ‘Adverse Events’).</w:t>
      </w:r>
    </w:p>
    <w:p w14:paraId="5C5A587E" w14:textId="702F6503" w:rsidR="006C2E45" w:rsidRPr="00E96D49" w:rsidRDefault="004264A6" w:rsidP="00E96D49">
      <w:pPr>
        <w:pStyle w:val="Caption"/>
        <w:tabs>
          <w:tab w:val="clear" w:pos="2160"/>
          <w:tab w:val="left" w:pos="0"/>
        </w:tabs>
        <w:ind w:left="0" w:firstLine="0"/>
        <w:rPr>
          <w:b w:val="0"/>
          <w:bCs w:val="0"/>
        </w:rPr>
      </w:pPr>
      <w:bookmarkStart w:id="4" w:name="_Ref80261619"/>
      <w:r>
        <w:t xml:space="preserve">Table </w:t>
      </w:r>
      <w:r>
        <w:fldChar w:fldCharType="begin"/>
      </w:r>
      <w:r>
        <w:instrText xml:space="preserve"> SEQ Table \* ARABIC </w:instrText>
      </w:r>
      <w:r>
        <w:fldChar w:fldCharType="separate"/>
      </w:r>
      <w:r w:rsidR="004F554C">
        <w:rPr>
          <w:noProof/>
        </w:rPr>
        <w:t>1</w:t>
      </w:r>
      <w:r>
        <w:fldChar w:fldCharType="end"/>
      </w:r>
      <w:bookmarkEnd w:id="4"/>
      <w:r>
        <w:t>:</w:t>
      </w:r>
      <w:r w:rsidR="00182177">
        <w:rPr>
          <w:rFonts w:asciiTheme="majorHAnsi" w:hAnsiTheme="majorHAnsi"/>
          <w:b w:val="0"/>
          <w:bCs w:val="0"/>
        </w:rPr>
        <w:t xml:space="preserve"> </w:t>
      </w:r>
      <w:r w:rsidR="006C2E45" w:rsidRPr="612E1FCB">
        <w:rPr>
          <w:rFonts w:asciiTheme="majorHAnsi" w:hAnsiTheme="majorHAnsi"/>
        </w:rPr>
        <w:t>Adverse Events ≥ 1% in Adults: V</w:t>
      </w:r>
      <w:r w:rsidR="003E2AD9">
        <w:rPr>
          <w:rFonts w:asciiTheme="majorHAnsi" w:hAnsiTheme="majorHAnsi"/>
        </w:rPr>
        <w:t>AXCHORA</w:t>
      </w:r>
      <w:r w:rsidR="006C2E45" w:rsidRPr="612E1FCB">
        <w:rPr>
          <w:rFonts w:asciiTheme="majorHAnsi" w:hAnsiTheme="majorHAnsi"/>
        </w:rPr>
        <w:t xml:space="preserve"> </w:t>
      </w:r>
      <w:r w:rsidR="00B641F6">
        <w:rPr>
          <w:rFonts w:asciiTheme="majorHAnsi" w:hAnsiTheme="majorHAnsi"/>
          <w:noProof/>
        </w:rPr>
        <w:t>vaccine</w:t>
      </w:r>
      <w:r w:rsidR="00B641F6" w:rsidRPr="612E1FCB">
        <w:rPr>
          <w:rFonts w:asciiTheme="majorHAnsi" w:hAnsiTheme="majorHAnsi"/>
        </w:rPr>
        <w:t xml:space="preserve"> </w:t>
      </w:r>
      <w:r w:rsidR="006C2E45" w:rsidRPr="612E1FCB">
        <w:rPr>
          <w:rFonts w:asciiTheme="majorHAnsi" w:hAnsiTheme="majorHAnsi"/>
        </w:rPr>
        <w:t>vs Placebo Rates Regardless of Relatedness to Vaccine</w:t>
      </w:r>
      <w:r w:rsidR="00BE3C32">
        <w:rPr>
          <w:rFonts w:asciiTheme="majorHAnsi" w:hAnsiTheme="majorHAnsi"/>
        </w:rPr>
        <w:t xml:space="preserve"> </w:t>
      </w:r>
    </w:p>
    <w:tbl>
      <w:tblPr>
        <w:tblW w:w="0" w:type="auto"/>
        <w:tblCellMar>
          <w:left w:w="0" w:type="dxa"/>
          <w:right w:w="0" w:type="dxa"/>
        </w:tblCellMar>
        <w:tblLook w:val="04A0" w:firstRow="1" w:lastRow="0" w:firstColumn="1" w:lastColumn="0" w:noHBand="0" w:noVBand="1"/>
      </w:tblPr>
      <w:tblGrid>
        <w:gridCol w:w="5395"/>
        <w:gridCol w:w="1530"/>
        <w:gridCol w:w="2065"/>
      </w:tblGrid>
      <w:tr w:rsidR="006C2E45" w:rsidRPr="001724F3" w14:paraId="2869626D" w14:textId="77777777" w:rsidTr="00E96D49">
        <w:trPr>
          <w:tblHeader/>
        </w:trPr>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1B38A" w14:textId="77777777"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System Organ Class</w:t>
            </w:r>
          </w:p>
          <w:p w14:paraId="09517FD7" w14:textId="77777777"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  Preferred Term</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21241" w14:textId="1B55B9E6"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V</w:t>
            </w:r>
            <w:r w:rsidR="003E2AD9">
              <w:rPr>
                <w:rFonts w:asciiTheme="majorHAnsi" w:hAnsiTheme="majorHAnsi"/>
                <w:b/>
                <w:bCs/>
                <w:lang w:val="en-US"/>
              </w:rPr>
              <w:t>AXCHORA</w:t>
            </w:r>
            <w:r w:rsidR="0094617F">
              <w:rPr>
                <w:rFonts w:asciiTheme="majorHAnsi" w:hAnsiTheme="majorHAnsi"/>
                <w:b/>
                <w:bCs/>
                <w:lang w:val="en-US"/>
              </w:rPr>
              <w:t xml:space="preserve"> vaccine</w:t>
            </w:r>
          </w:p>
          <w:p w14:paraId="62A31576" w14:textId="77777777"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(N=3235)</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B4582" w14:textId="77777777"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Placebo</w:t>
            </w:r>
          </w:p>
          <w:p w14:paraId="05264673" w14:textId="77777777" w:rsidR="006C2E45" w:rsidRPr="001724F3" w:rsidRDefault="006C2E45" w:rsidP="001D5E5F">
            <w:pPr>
              <w:pStyle w:val="BodyTextSPC"/>
              <w:rPr>
                <w:rFonts w:asciiTheme="majorHAnsi" w:hAnsiTheme="majorHAnsi"/>
                <w:b/>
                <w:bCs/>
                <w:lang w:val="en-US"/>
              </w:rPr>
            </w:pPr>
            <w:r w:rsidRPr="001724F3">
              <w:rPr>
                <w:rFonts w:asciiTheme="majorHAnsi" w:hAnsiTheme="majorHAnsi"/>
                <w:b/>
                <w:bCs/>
                <w:lang w:val="en-US"/>
              </w:rPr>
              <w:t>(N=562)</w:t>
            </w:r>
          </w:p>
        </w:tc>
      </w:tr>
      <w:tr w:rsidR="006C2E45" w:rsidRPr="001724F3" w14:paraId="6BE14C5D"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1AF5C" w14:textId="77777777" w:rsidR="006C2E45" w:rsidRPr="001724F3" w:rsidRDefault="006C2E45" w:rsidP="001D5E5F">
            <w:pPr>
              <w:pStyle w:val="BodyTextSPC"/>
              <w:rPr>
                <w:rFonts w:asciiTheme="majorHAnsi" w:hAnsiTheme="majorHAnsi"/>
                <w:lang w:val="en-US"/>
              </w:rPr>
            </w:pPr>
            <w:r w:rsidRPr="001724F3">
              <w:rPr>
                <w:rFonts w:asciiTheme="majorHAnsi" w:hAnsiTheme="majorHAnsi"/>
                <w:b/>
                <w:bCs/>
                <w:i/>
                <w:iCs/>
                <w:lang w:val="en-US"/>
              </w:rPr>
              <w:t>General disorders and administration site conditions</w:t>
            </w:r>
          </w:p>
        </w:tc>
      </w:tr>
      <w:tr w:rsidR="006C2E45" w:rsidRPr="001724F3" w14:paraId="1A1DC88D"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B7403"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Fatigue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CDE640B"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30.0%</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6AB0C260"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29.5%</w:t>
            </w:r>
          </w:p>
        </w:tc>
      </w:tr>
      <w:tr w:rsidR="006C2E45" w:rsidRPr="001724F3" w14:paraId="320D8F89"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37D60" w14:textId="77777777" w:rsidR="006C2E45" w:rsidRPr="001724F3" w:rsidRDefault="006C2E45" w:rsidP="001D5E5F">
            <w:pPr>
              <w:pStyle w:val="BodyTextSPC"/>
              <w:rPr>
                <w:rFonts w:asciiTheme="majorHAnsi" w:hAnsiTheme="majorHAnsi"/>
                <w:lang w:val="en-US"/>
              </w:rPr>
            </w:pPr>
            <w:r w:rsidRPr="001724F3">
              <w:rPr>
                <w:rFonts w:asciiTheme="majorHAnsi" w:hAnsiTheme="majorHAnsi"/>
                <w:b/>
                <w:bCs/>
                <w:i/>
                <w:iCs/>
                <w:lang w:val="en-US"/>
              </w:rPr>
              <w:t>Nervous system disorders</w:t>
            </w:r>
          </w:p>
        </w:tc>
      </w:tr>
      <w:tr w:rsidR="006C2E45" w:rsidRPr="001724F3" w14:paraId="0B8C34E2"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8556F"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Headache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B0254EB"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27.8%</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5380B428"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26.0%</w:t>
            </w:r>
          </w:p>
        </w:tc>
      </w:tr>
      <w:tr w:rsidR="006C2E45" w:rsidRPr="001724F3" w14:paraId="41E1B966"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5671E" w14:textId="77777777" w:rsidR="006C2E45" w:rsidRPr="001724F3" w:rsidRDefault="006C2E45" w:rsidP="001D5E5F">
            <w:pPr>
              <w:pStyle w:val="BodyTextSPC"/>
              <w:rPr>
                <w:rFonts w:asciiTheme="majorHAnsi" w:hAnsiTheme="majorHAnsi"/>
                <w:b/>
                <w:bCs/>
                <w:i/>
                <w:iCs/>
                <w:lang w:val="en-US"/>
              </w:rPr>
            </w:pPr>
            <w:r w:rsidRPr="001724F3">
              <w:rPr>
                <w:rFonts w:asciiTheme="majorHAnsi" w:hAnsiTheme="majorHAnsi"/>
                <w:b/>
                <w:bCs/>
                <w:i/>
                <w:iCs/>
                <w:lang w:val="en-US"/>
              </w:rPr>
              <w:t>Gastrointestinal disorders</w:t>
            </w:r>
          </w:p>
        </w:tc>
      </w:tr>
      <w:tr w:rsidR="006C2E45" w:rsidRPr="001724F3" w14:paraId="3AD20E14"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24D2F"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Abdominal pain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6A7B05C"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18.3%</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6A257A4F"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17.0%</w:t>
            </w:r>
          </w:p>
        </w:tc>
      </w:tr>
      <w:tr w:rsidR="006C2E45" w:rsidRPr="001724F3" w14:paraId="27CF7657"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2E5E4"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Nausea/Vomiting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DEA2062"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17.4%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19E95786"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15.6%</w:t>
            </w:r>
          </w:p>
        </w:tc>
      </w:tr>
      <w:tr w:rsidR="006C2E45" w:rsidRPr="001724F3" w14:paraId="6B60B8D1"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A618"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lastRenderedPageBreak/>
              <w:t xml:space="preserve">  </w:t>
            </w:r>
            <w:proofErr w:type="spellStart"/>
            <w:r w:rsidRPr="001724F3">
              <w:rPr>
                <w:rFonts w:asciiTheme="majorHAnsi" w:hAnsiTheme="majorHAnsi"/>
                <w:lang w:val="en-US"/>
              </w:rPr>
              <w:t>Diarrhoea</w:t>
            </w:r>
            <w:proofErr w:type="spellEnd"/>
            <w:r w:rsidRPr="001724F3">
              <w:rPr>
                <w:rFonts w:asciiTheme="majorHAnsi" w:hAnsiTheme="majorHAnsi"/>
                <w:lang w:val="en-US"/>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D1FD34A"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3.6%</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08F99F4B"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1.6%</w:t>
            </w:r>
          </w:p>
        </w:tc>
      </w:tr>
      <w:tr w:rsidR="006C2E45" w:rsidRPr="001724F3" w14:paraId="7D7F6079"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F0915"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Flatulence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82C5ED9"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293F53D2"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1.2%</w:t>
            </w:r>
          </w:p>
        </w:tc>
      </w:tr>
      <w:tr w:rsidR="006C2E45" w:rsidRPr="001724F3" w14:paraId="4778EED5"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50336" w14:textId="77777777" w:rsidR="006C2E45" w:rsidRPr="001724F3" w:rsidRDefault="006C2E45" w:rsidP="001D5E5F">
            <w:pPr>
              <w:pStyle w:val="BodyTextSPC"/>
              <w:rPr>
                <w:rFonts w:asciiTheme="majorHAnsi" w:hAnsiTheme="majorHAnsi"/>
                <w:lang w:val="en-US"/>
              </w:rPr>
            </w:pPr>
            <w:r w:rsidRPr="001724F3">
              <w:rPr>
                <w:rFonts w:asciiTheme="majorHAnsi" w:hAnsiTheme="majorHAnsi"/>
                <w:b/>
                <w:bCs/>
                <w:i/>
                <w:iCs/>
              </w:rPr>
              <w:t>Metabolism and nutrition disorders</w:t>
            </w:r>
          </w:p>
        </w:tc>
      </w:tr>
      <w:tr w:rsidR="006C2E45" w:rsidRPr="001724F3" w14:paraId="12CB9106"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F2E69"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Decreased appetite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5541B22"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15.6%</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56A1A88A"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16.8%</w:t>
            </w:r>
          </w:p>
        </w:tc>
      </w:tr>
      <w:tr w:rsidR="006C2E45" w:rsidRPr="001724F3" w14:paraId="309436D9"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75352" w14:textId="77777777" w:rsidR="006C2E45" w:rsidRPr="001724F3" w:rsidRDefault="006C2E45" w:rsidP="001D5E5F">
            <w:pPr>
              <w:pStyle w:val="BodyTextSPC"/>
              <w:rPr>
                <w:rFonts w:asciiTheme="majorHAnsi" w:hAnsiTheme="majorHAnsi"/>
                <w:lang w:val="en-US"/>
              </w:rPr>
            </w:pPr>
            <w:r w:rsidRPr="001724F3">
              <w:rPr>
                <w:rFonts w:asciiTheme="majorHAnsi" w:hAnsiTheme="majorHAnsi"/>
                <w:b/>
                <w:bCs/>
                <w:i/>
                <w:iCs/>
                <w:lang w:val="en-US"/>
              </w:rPr>
              <w:t>Infections and infestations</w:t>
            </w:r>
          </w:p>
        </w:tc>
      </w:tr>
      <w:tr w:rsidR="006C2E45" w:rsidRPr="001724F3" w14:paraId="5A2DE9B9"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8F64D"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Upper respiratory tract infection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FDDCF27"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2.1%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4B60C337"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2.1%</w:t>
            </w:r>
          </w:p>
        </w:tc>
      </w:tr>
      <w:tr w:rsidR="006C2E45" w:rsidRPr="001724F3" w14:paraId="0B2FF932" w14:textId="77777777" w:rsidTr="001D5E5F">
        <w:tc>
          <w:tcPr>
            <w:tcW w:w="89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C48C2" w14:textId="77777777" w:rsidR="006C2E45" w:rsidRPr="001724F3" w:rsidRDefault="006C2E45" w:rsidP="001D5E5F">
            <w:pPr>
              <w:pStyle w:val="BodyTextSPC"/>
              <w:rPr>
                <w:rFonts w:asciiTheme="majorHAnsi" w:hAnsiTheme="majorHAnsi"/>
                <w:b/>
                <w:bCs/>
                <w:i/>
                <w:iCs/>
                <w:lang w:val="en-US"/>
              </w:rPr>
            </w:pPr>
            <w:r w:rsidRPr="001724F3">
              <w:rPr>
                <w:rFonts w:asciiTheme="majorHAnsi" w:hAnsiTheme="majorHAnsi"/>
                <w:b/>
                <w:bCs/>
                <w:i/>
                <w:iCs/>
                <w:lang w:val="en-US"/>
              </w:rPr>
              <w:t>Musculoskeletal and connective tissue disorders</w:t>
            </w:r>
          </w:p>
        </w:tc>
      </w:tr>
      <w:tr w:rsidR="006C2E45" w:rsidRPr="001724F3" w14:paraId="05F0F067" w14:textId="77777777" w:rsidTr="001D5E5F">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7A7EA"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  Back pain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B71910D"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7ED67FC7" w14:textId="77777777" w:rsidR="006C2E45" w:rsidRPr="001724F3" w:rsidRDefault="006C2E45" w:rsidP="001D5E5F">
            <w:pPr>
              <w:pStyle w:val="BodyTextSPC"/>
              <w:rPr>
                <w:rFonts w:asciiTheme="majorHAnsi" w:hAnsiTheme="majorHAnsi"/>
                <w:lang w:val="en-US"/>
              </w:rPr>
            </w:pPr>
            <w:r w:rsidRPr="001724F3">
              <w:rPr>
                <w:rFonts w:asciiTheme="majorHAnsi" w:hAnsiTheme="majorHAnsi"/>
                <w:lang w:val="en-US"/>
              </w:rPr>
              <w:t>1.1%</w:t>
            </w:r>
          </w:p>
        </w:tc>
      </w:tr>
    </w:tbl>
    <w:p w14:paraId="3F14B7F5" w14:textId="38EEE3B1" w:rsidR="006C2E45" w:rsidRPr="00F848A3" w:rsidRDefault="006C2E45" w:rsidP="00F848A3">
      <w:pPr>
        <w:pStyle w:val="BodyTextSPC"/>
        <w:rPr>
          <w:lang w:val="en-US"/>
        </w:rPr>
      </w:pPr>
      <w:r w:rsidRPr="00E32DE7">
        <w:rPr>
          <w:rFonts w:asciiTheme="majorHAnsi" w:hAnsiTheme="majorHAnsi"/>
          <w:lang w:val="en-US"/>
        </w:rPr>
        <w:t xml:space="preserve">‡ Reactogenicity events; N= 3171 for </w:t>
      </w:r>
      <w:proofErr w:type="spellStart"/>
      <w:r w:rsidRPr="00E32DE7">
        <w:rPr>
          <w:rFonts w:asciiTheme="majorHAnsi" w:hAnsiTheme="majorHAnsi"/>
          <w:lang w:val="en-US"/>
        </w:rPr>
        <w:t>Vaxchora</w:t>
      </w:r>
      <w:proofErr w:type="spellEnd"/>
      <w:r w:rsidR="0094617F">
        <w:rPr>
          <w:rFonts w:asciiTheme="majorHAnsi" w:hAnsiTheme="majorHAnsi"/>
          <w:lang w:val="en-US"/>
        </w:rPr>
        <w:t xml:space="preserve"> vaccine</w:t>
      </w:r>
      <w:r w:rsidRPr="00E32DE7">
        <w:rPr>
          <w:rFonts w:asciiTheme="majorHAnsi" w:hAnsiTheme="majorHAnsi"/>
          <w:lang w:val="en-US"/>
        </w:rPr>
        <w:t>, N=553 for placebo where N represents number of subjects who completed a memory aid.</w:t>
      </w:r>
    </w:p>
    <w:p w14:paraId="7713A948" w14:textId="77777777" w:rsidR="00CA2517" w:rsidRDefault="00CA2517" w:rsidP="00367BFF">
      <w:pPr>
        <w:pStyle w:val="BodyTextSPC"/>
        <w:rPr>
          <w:rFonts w:asciiTheme="majorHAnsi" w:hAnsiTheme="majorHAnsi"/>
          <w:szCs w:val="22"/>
        </w:rPr>
      </w:pPr>
    </w:p>
    <w:p w14:paraId="6FF30068" w14:textId="572A353B" w:rsidR="00365009" w:rsidRPr="00201CF7" w:rsidRDefault="00D040D1" w:rsidP="00367BFF">
      <w:pPr>
        <w:pStyle w:val="BodyTextSPC"/>
        <w:rPr>
          <w:rFonts w:asciiTheme="majorHAnsi" w:hAnsiTheme="majorHAnsi"/>
          <w:szCs w:val="22"/>
        </w:rPr>
      </w:pPr>
      <w:r w:rsidRPr="00D040D1">
        <w:rPr>
          <w:rFonts w:asciiTheme="majorHAnsi" w:hAnsiTheme="majorHAnsi"/>
          <w:szCs w:val="22"/>
        </w:rPr>
        <w:t xml:space="preserve">The ARs </w:t>
      </w:r>
      <w:r>
        <w:rPr>
          <w:rFonts w:asciiTheme="majorHAnsi" w:hAnsiTheme="majorHAnsi"/>
          <w:szCs w:val="22"/>
        </w:rPr>
        <w:t xml:space="preserve">listed in </w:t>
      </w:r>
      <w:r w:rsidRPr="004B1E8B">
        <w:rPr>
          <w:rFonts w:asciiTheme="majorHAnsi" w:hAnsiTheme="majorHAnsi"/>
        </w:rPr>
        <w:fldChar w:fldCharType="begin"/>
      </w:r>
      <w:r w:rsidRPr="00806CA1">
        <w:rPr>
          <w:rFonts w:asciiTheme="majorHAnsi" w:hAnsiTheme="majorHAnsi"/>
        </w:rPr>
        <w:instrText xml:space="preserve"> REF _Ref80261781 \h </w:instrText>
      </w:r>
      <w:r w:rsidR="00806CA1">
        <w:rPr>
          <w:rFonts w:asciiTheme="majorHAnsi" w:hAnsiTheme="majorHAnsi"/>
        </w:rPr>
        <w:instrText xml:space="preserve"> \* MERGEFORMAT </w:instrText>
      </w:r>
      <w:r w:rsidRPr="004B1E8B">
        <w:rPr>
          <w:rFonts w:asciiTheme="majorHAnsi" w:hAnsiTheme="majorHAnsi"/>
        </w:rPr>
      </w:r>
      <w:r w:rsidRPr="004B1E8B">
        <w:rPr>
          <w:rFonts w:asciiTheme="majorHAnsi" w:hAnsiTheme="majorHAnsi"/>
        </w:rPr>
        <w:fldChar w:fldCharType="separate"/>
      </w:r>
      <w:r w:rsidR="003717CB" w:rsidRPr="00F85394">
        <w:t xml:space="preserve">Table </w:t>
      </w:r>
      <w:r w:rsidR="003717CB">
        <w:rPr>
          <w:noProof/>
        </w:rPr>
        <w:t>2</w:t>
      </w:r>
      <w:r w:rsidRPr="004B1E8B">
        <w:rPr>
          <w:rFonts w:asciiTheme="majorHAnsi" w:hAnsiTheme="majorHAnsi"/>
        </w:rPr>
        <w:fldChar w:fldCharType="end"/>
      </w:r>
      <w:r w:rsidRPr="00806CA1">
        <w:rPr>
          <w:rFonts w:asciiTheme="majorHAnsi" w:hAnsiTheme="majorHAnsi"/>
        </w:rPr>
        <w:t xml:space="preserve"> were reported during clinical studies in adults within 28 days after receiving VAXCHORA</w:t>
      </w:r>
      <w:r w:rsidR="00B641F6">
        <w:rPr>
          <w:rFonts w:asciiTheme="majorHAnsi" w:hAnsiTheme="majorHAnsi"/>
        </w:rPr>
        <w:t xml:space="preserve"> </w:t>
      </w:r>
      <w:r w:rsidR="00B641F6">
        <w:rPr>
          <w:rFonts w:asciiTheme="majorHAnsi" w:hAnsiTheme="majorHAnsi"/>
          <w:noProof/>
        </w:rPr>
        <w:t>vaccine</w:t>
      </w:r>
      <w:r w:rsidRPr="00D040D1">
        <w:rPr>
          <w:rFonts w:asciiTheme="majorHAnsi" w:hAnsiTheme="majorHAnsi"/>
          <w:szCs w:val="22"/>
        </w:rPr>
        <w:t xml:space="preserve"> with a frequency uncommon</w:t>
      </w:r>
      <w:r>
        <w:rPr>
          <w:rFonts w:asciiTheme="majorHAnsi" w:hAnsiTheme="majorHAnsi"/>
          <w:szCs w:val="22"/>
        </w:rPr>
        <w:t xml:space="preserve"> or rare.</w:t>
      </w:r>
    </w:p>
    <w:p w14:paraId="7E4DF334" w14:textId="77777777" w:rsidR="0061260C" w:rsidRDefault="0061260C" w:rsidP="00367BFF">
      <w:pPr>
        <w:pStyle w:val="BodyTextSPC"/>
        <w:rPr>
          <w:rFonts w:asciiTheme="majorHAnsi" w:hAnsiTheme="majorHAnsi"/>
          <w:b/>
          <w:bCs/>
          <w:lang w:val="en-US"/>
        </w:rPr>
      </w:pPr>
    </w:p>
    <w:p w14:paraId="29B2FED6" w14:textId="65432437" w:rsidR="00367BFF" w:rsidRPr="00E96D49" w:rsidRDefault="00D040D1" w:rsidP="00E96D49">
      <w:pPr>
        <w:pStyle w:val="Caption"/>
        <w:rPr>
          <w:rFonts w:asciiTheme="majorHAnsi" w:hAnsiTheme="majorHAnsi"/>
          <w:szCs w:val="22"/>
        </w:rPr>
      </w:pPr>
      <w:bookmarkStart w:id="5" w:name="_Ref80261781"/>
      <w:r w:rsidRPr="00F85394">
        <w:t xml:space="preserve">Table </w:t>
      </w:r>
      <w:r w:rsidRPr="004B1E8B">
        <w:fldChar w:fldCharType="begin"/>
      </w:r>
      <w:r w:rsidRPr="00F848A3">
        <w:instrText xml:space="preserve"> SEQ Table \* ARABIC </w:instrText>
      </w:r>
      <w:r w:rsidRPr="004B1E8B">
        <w:fldChar w:fldCharType="separate"/>
      </w:r>
      <w:r w:rsidR="004F554C" w:rsidRPr="00F848A3">
        <w:rPr>
          <w:noProof/>
        </w:rPr>
        <w:t>2</w:t>
      </w:r>
      <w:r w:rsidRPr="004B1E8B">
        <w:fldChar w:fldCharType="end"/>
      </w:r>
      <w:bookmarkEnd w:id="5"/>
      <w:r w:rsidRPr="00F848A3">
        <w:t xml:space="preserve">: </w:t>
      </w:r>
      <w:r w:rsidR="0061260C" w:rsidRPr="00F848A3">
        <w:rPr>
          <w:rFonts w:asciiTheme="majorHAnsi" w:hAnsiTheme="majorHAnsi"/>
        </w:rPr>
        <w:t>Adverse</w:t>
      </w:r>
      <w:r w:rsidR="00EB6A6F" w:rsidRPr="00F848A3">
        <w:rPr>
          <w:rFonts w:asciiTheme="majorHAnsi" w:hAnsiTheme="majorHAnsi"/>
        </w:rPr>
        <w:t xml:space="preserve"> Reactions</w:t>
      </w:r>
      <w:r w:rsidR="00D81946" w:rsidRPr="00F848A3">
        <w:rPr>
          <w:rFonts w:asciiTheme="majorHAnsi" w:hAnsiTheme="majorHAnsi"/>
        </w:rPr>
        <w:t xml:space="preserve"> </w:t>
      </w:r>
      <w:r w:rsidR="00C76B40">
        <w:rPr>
          <w:rFonts w:asciiTheme="majorHAnsi" w:hAnsiTheme="majorHAnsi"/>
        </w:rPr>
        <w:t>&lt;</w:t>
      </w:r>
      <w:r w:rsidR="0061260C" w:rsidRPr="00F85394">
        <w:rPr>
          <w:rFonts w:asciiTheme="majorHAnsi" w:hAnsiTheme="majorHAnsi"/>
        </w:rPr>
        <w:t xml:space="preserve"> 1% </w:t>
      </w:r>
      <w:r w:rsidR="007634B3" w:rsidRPr="00F848A3">
        <w:rPr>
          <w:rFonts w:asciiTheme="majorHAnsi" w:hAnsiTheme="majorHAnsi"/>
        </w:rPr>
        <w:t>in</w:t>
      </w:r>
      <w:r w:rsidR="0061260C" w:rsidRPr="00F85394">
        <w:rPr>
          <w:rFonts w:asciiTheme="majorHAnsi" w:hAnsiTheme="majorHAnsi"/>
        </w:rPr>
        <w:t xml:space="preserve"> </w:t>
      </w:r>
      <w:proofErr w:type="gramStart"/>
      <w:r w:rsidR="0061260C" w:rsidRPr="00F85394">
        <w:rPr>
          <w:rFonts w:asciiTheme="majorHAnsi" w:hAnsiTheme="majorHAnsi"/>
        </w:rPr>
        <w:t>Adults</w:t>
      </w:r>
      <w:proofErr w:type="gramEnd"/>
      <w:r w:rsidR="002C5C98" w:rsidRPr="004B1E8B">
        <w:rPr>
          <w:rFonts w:asciiTheme="majorHAnsi" w:hAnsiTheme="majorHAnsi"/>
        </w:rPr>
        <w:t xml:space="preserve"> </w:t>
      </w:r>
      <w:r w:rsidR="00F339FA" w:rsidRPr="00F848A3">
        <w:rPr>
          <w:rFonts w:asciiTheme="majorHAnsi" w:hAnsiTheme="majorHAnsi"/>
        </w:rPr>
        <w:t>administered</w:t>
      </w:r>
      <w:r w:rsidR="0061260C" w:rsidRPr="00F85394">
        <w:rPr>
          <w:rFonts w:asciiTheme="majorHAnsi" w:hAnsiTheme="majorHAnsi"/>
        </w:rPr>
        <w:t xml:space="preserve"> VAXCHORA</w:t>
      </w:r>
      <w:r w:rsidR="00B641F6" w:rsidRPr="004B1E8B">
        <w:rPr>
          <w:rFonts w:asciiTheme="majorHAnsi" w:hAnsiTheme="majorHAnsi"/>
        </w:rPr>
        <w:t xml:space="preserve"> </w:t>
      </w:r>
      <w:r w:rsidR="00B641F6" w:rsidRPr="004B1E8B">
        <w:rPr>
          <w:rFonts w:asciiTheme="majorHAnsi" w:hAnsiTheme="majorHAnsi"/>
          <w:noProof/>
        </w:rPr>
        <w:t>vaccine</w:t>
      </w:r>
    </w:p>
    <w:tbl>
      <w:tblPr>
        <w:tblW w:w="9350" w:type="dxa"/>
        <w:jc w:val="center"/>
        <w:tblCellMar>
          <w:left w:w="0" w:type="dxa"/>
          <w:right w:w="0" w:type="dxa"/>
        </w:tblCellMar>
        <w:tblLook w:val="04A0" w:firstRow="1" w:lastRow="0" w:firstColumn="1" w:lastColumn="0" w:noHBand="0" w:noVBand="1"/>
      </w:tblPr>
      <w:tblGrid>
        <w:gridCol w:w="7988"/>
        <w:gridCol w:w="1362"/>
      </w:tblGrid>
      <w:tr w:rsidR="007F0F4E" w:rsidRPr="007F0F4E" w14:paraId="1C7377C2" w14:textId="77777777" w:rsidTr="00E96D49">
        <w:trPr>
          <w:tblHeader/>
          <w:jc w:val="center"/>
        </w:trPr>
        <w:tc>
          <w:tcPr>
            <w:tcW w:w="7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6CE7D" w14:textId="4C3D58C1" w:rsidR="007F0F4E" w:rsidRPr="007F0F4E" w:rsidRDefault="007F0F4E" w:rsidP="00F848A3">
            <w:pPr>
              <w:pStyle w:val="BodyTextSPC"/>
              <w:rPr>
                <w:rFonts w:asciiTheme="majorHAnsi" w:hAnsiTheme="majorHAnsi"/>
                <w:lang w:val="en-US"/>
              </w:rPr>
            </w:pPr>
            <w:r w:rsidRPr="00201CF7">
              <w:rPr>
                <w:rFonts w:asciiTheme="majorHAnsi" w:hAnsiTheme="majorHAnsi"/>
                <w:b/>
                <w:szCs w:val="22"/>
              </w:rPr>
              <w:t>Adverse Reactions</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AC5CDE" w14:textId="79DDD566" w:rsidR="007F0F4E" w:rsidRPr="007F0F4E" w:rsidRDefault="007F0F4E" w:rsidP="007F0F4E">
            <w:pPr>
              <w:pStyle w:val="BodyTextSPC"/>
              <w:rPr>
                <w:rFonts w:asciiTheme="majorHAnsi" w:hAnsiTheme="majorHAnsi"/>
                <w:lang w:val="en-US"/>
              </w:rPr>
            </w:pPr>
            <w:r w:rsidRPr="00201CF7">
              <w:rPr>
                <w:rFonts w:asciiTheme="majorHAnsi" w:hAnsiTheme="majorHAnsi"/>
                <w:b/>
                <w:szCs w:val="22"/>
              </w:rPr>
              <w:t>Frequency</w:t>
            </w:r>
          </w:p>
        </w:tc>
      </w:tr>
      <w:tr w:rsidR="007F0F4E" w:rsidRPr="007F0F4E" w14:paraId="0D4A295B"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60F6B"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Blood and lymphatic system disorders</w:t>
            </w:r>
          </w:p>
        </w:tc>
      </w:tr>
      <w:tr w:rsidR="007F0F4E" w:rsidRPr="007F0F4E" w14:paraId="381FA031"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14559"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Lymph node pain</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246E5780"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3B9EA7C6"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157B6"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Ear and labyrinth disorders</w:t>
            </w:r>
          </w:p>
        </w:tc>
      </w:tr>
      <w:tr w:rsidR="007F0F4E" w:rsidRPr="007F0F4E" w14:paraId="49F5167A"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73BC8" w14:textId="7CAE7E2D"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Ear pruritus</w:t>
            </w:r>
            <w:r w:rsidR="004519C0">
              <w:rPr>
                <w:rFonts w:asciiTheme="majorHAnsi" w:hAnsiTheme="majorHAnsi"/>
                <w:lang w:val="en-US"/>
              </w:rPr>
              <w:t>*</w:t>
            </w:r>
            <w:r w:rsidRPr="007F0F4E">
              <w:rPr>
                <w:rFonts w:asciiTheme="majorHAnsi" w:hAnsiTheme="majorHAnsi"/>
                <w:lang w:val="en-US"/>
              </w:rPr>
              <w:t>, motion sickness</w:t>
            </w:r>
            <w:r w:rsidR="004519C0">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54DD543A"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01DE0DC7"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C2541"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Eye disorders</w:t>
            </w:r>
          </w:p>
        </w:tc>
      </w:tr>
      <w:tr w:rsidR="007F0F4E" w:rsidRPr="007F0F4E" w14:paraId="27E45B44"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32A1" w14:textId="039F75A0"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Eye pain</w:t>
            </w:r>
            <w:r w:rsidR="00FB655F">
              <w:rPr>
                <w:rFonts w:asciiTheme="majorHAnsi" w:hAnsiTheme="majorHAnsi"/>
                <w:lang w:val="en-US"/>
              </w:rPr>
              <w:t>*</w:t>
            </w:r>
            <w:r w:rsidRPr="007F0F4E">
              <w:rPr>
                <w:rFonts w:asciiTheme="majorHAnsi" w:hAnsiTheme="majorHAnsi"/>
                <w:lang w:val="en-US"/>
              </w:rPr>
              <w:t>, eye pruritis</w:t>
            </w:r>
            <w:r w:rsidR="00FB655F">
              <w:rPr>
                <w:rFonts w:asciiTheme="majorHAnsi" w:hAnsiTheme="majorHAnsi"/>
                <w:lang w:val="en-US"/>
              </w:rPr>
              <w:t>*</w:t>
            </w:r>
            <w:r w:rsidRPr="007F0F4E">
              <w:rPr>
                <w:rFonts w:asciiTheme="majorHAnsi" w:hAnsiTheme="majorHAnsi"/>
                <w:lang w:val="en-US"/>
              </w:rPr>
              <w:t>, lacrimation increased</w:t>
            </w:r>
            <w:r w:rsidR="00FB655F">
              <w:rPr>
                <w:rFonts w:asciiTheme="majorHAnsi" w:hAnsiTheme="majorHAnsi"/>
                <w:lang w:val="en-US"/>
              </w:rPr>
              <w:t>*</w:t>
            </w:r>
            <w:r w:rsidRPr="007F0F4E">
              <w:rPr>
                <w:rFonts w:asciiTheme="majorHAnsi" w:hAnsiTheme="majorHAnsi"/>
                <w:lang w:val="en-US"/>
              </w:rPr>
              <w:t>, vision blurred</w:t>
            </w:r>
            <w:r w:rsidR="00FB655F">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617A3231"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2BC48330"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E14E5"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Gastrointestinal disorders</w:t>
            </w:r>
          </w:p>
        </w:tc>
      </w:tr>
      <w:tr w:rsidR="007F0F4E" w:rsidRPr="007F0F4E" w14:paraId="0289ED4E"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994CA"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 xml:space="preserve">Flatulence, constipation, abdominal distension, dyspepsia, abnormal </w:t>
            </w:r>
            <w:proofErr w:type="spellStart"/>
            <w:r w:rsidRPr="007F0F4E">
              <w:rPr>
                <w:rFonts w:asciiTheme="majorHAnsi" w:hAnsiTheme="majorHAnsi"/>
                <w:lang w:val="en-US"/>
              </w:rPr>
              <w:t>faeces</w:t>
            </w:r>
            <w:proofErr w:type="spellEnd"/>
            <w:r w:rsidRPr="007F0F4E">
              <w:rPr>
                <w:rFonts w:asciiTheme="majorHAnsi" w:hAnsiTheme="majorHAnsi"/>
                <w:lang w:val="en-US"/>
              </w:rPr>
              <w:t>, abdominal pain upper, abdominal discomfort, dry mouth, eructation</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7FDE6BF"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702E6092"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17A7E" w14:textId="77FCB1F4"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 xml:space="preserve">Gastrointestinal sounds abnormal, </w:t>
            </w:r>
            <w:proofErr w:type="spellStart"/>
            <w:r w:rsidRPr="007F0F4E">
              <w:rPr>
                <w:rFonts w:asciiTheme="majorHAnsi" w:hAnsiTheme="majorHAnsi"/>
                <w:lang w:val="en-US"/>
              </w:rPr>
              <w:t>faeces</w:t>
            </w:r>
            <w:proofErr w:type="spellEnd"/>
            <w:r w:rsidRPr="007F0F4E">
              <w:rPr>
                <w:rFonts w:asciiTheme="majorHAnsi" w:hAnsiTheme="majorHAnsi"/>
                <w:lang w:val="en-US"/>
              </w:rPr>
              <w:t xml:space="preserve"> </w:t>
            </w:r>
            <w:proofErr w:type="spellStart"/>
            <w:r w:rsidRPr="007F0F4E">
              <w:rPr>
                <w:rFonts w:asciiTheme="majorHAnsi" w:hAnsiTheme="majorHAnsi"/>
                <w:lang w:val="en-US"/>
              </w:rPr>
              <w:t>discoloured</w:t>
            </w:r>
            <w:proofErr w:type="spellEnd"/>
            <w:r w:rsidRPr="007F0F4E">
              <w:rPr>
                <w:rFonts w:asciiTheme="majorHAnsi" w:hAnsiTheme="majorHAnsi"/>
                <w:lang w:val="en-US"/>
              </w:rPr>
              <w:t xml:space="preserve">, </w:t>
            </w:r>
            <w:proofErr w:type="spellStart"/>
            <w:r w:rsidRPr="007F0F4E">
              <w:rPr>
                <w:rFonts w:asciiTheme="majorHAnsi" w:hAnsiTheme="majorHAnsi"/>
                <w:lang w:val="en-US"/>
              </w:rPr>
              <w:t>gastrooesophageal</w:t>
            </w:r>
            <w:proofErr w:type="spellEnd"/>
            <w:r w:rsidRPr="007F0F4E">
              <w:rPr>
                <w:rFonts w:asciiTheme="majorHAnsi" w:hAnsiTheme="majorHAnsi"/>
                <w:lang w:val="en-US"/>
              </w:rPr>
              <w:t xml:space="preserve"> reflux disease, frequent bowel movements</w:t>
            </w:r>
            <w:r w:rsidR="00FB655F">
              <w:rPr>
                <w:rFonts w:asciiTheme="majorHAnsi" w:hAnsiTheme="majorHAnsi"/>
                <w:lang w:val="en-US"/>
              </w:rPr>
              <w:t>*</w:t>
            </w:r>
            <w:r w:rsidRPr="007F0F4E">
              <w:rPr>
                <w:rFonts w:asciiTheme="majorHAnsi" w:hAnsiTheme="majorHAnsi"/>
                <w:lang w:val="en-US"/>
              </w:rPr>
              <w:t>, abdominal tenderness</w:t>
            </w:r>
            <w:r w:rsidR="00FB655F">
              <w:rPr>
                <w:rFonts w:asciiTheme="majorHAnsi" w:hAnsiTheme="majorHAnsi"/>
                <w:lang w:val="en-US"/>
              </w:rPr>
              <w:t>*</w:t>
            </w:r>
            <w:r w:rsidRPr="007F0F4E">
              <w:rPr>
                <w:rFonts w:asciiTheme="majorHAnsi" w:hAnsiTheme="majorHAnsi"/>
                <w:lang w:val="en-US"/>
              </w:rPr>
              <w:t>, anal pruritus</w:t>
            </w:r>
            <w:r w:rsidR="00FB655F">
              <w:rPr>
                <w:rFonts w:asciiTheme="majorHAnsi" w:hAnsiTheme="majorHAnsi"/>
                <w:lang w:val="en-US"/>
              </w:rPr>
              <w:t>*</w:t>
            </w:r>
            <w:r w:rsidRPr="007F0F4E">
              <w:rPr>
                <w:rFonts w:asciiTheme="majorHAnsi" w:hAnsiTheme="majorHAnsi"/>
                <w:lang w:val="en-US"/>
              </w:rPr>
              <w:t>, gastritis</w:t>
            </w:r>
            <w:r w:rsidR="00FB655F">
              <w:rPr>
                <w:rFonts w:asciiTheme="majorHAnsi" w:hAnsiTheme="majorHAnsi"/>
                <w:lang w:val="en-US"/>
              </w:rPr>
              <w:t>*</w:t>
            </w:r>
            <w:r w:rsidRPr="007F0F4E">
              <w:rPr>
                <w:rFonts w:asciiTheme="majorHAnsi" w:hAnsiTheme="majorHAnsi"/>
                <w:lang w:val="en-US"/>
              </w:rPr>
              <w:t>, gastrointestinal pain</w:t>
            </w:r>
            <w:r w:rsidR="00FB655F">
              <w:rPr>
                <w:rFonts w:asciiTheme="majorHAnsi" w:hAnsiTheme="majorHAnsi"/>
                <w:lang w:val="en-US"/>
              </w:rPr>
              <w:t>*</w:t>
            </w:r>
            <w:r w:rsidRPr="007F0F4E">
              <w:rPr>
                <w:rFonts w:asciiTheme="majorHAnsi" w:hAnsiTheme="majorHAnsi"/>
                <w:lang w:val="en-US"/>
              </w:rPr>
              <w:t>, oral pain</w:t>
            </w:r>
            <w:r w:rsidR="00FB655F">
              <w:rPr>
                <w:rFonts w:asciiTheme="majorHAnsi" w:hAnsiTheme="majorHAnsi"/>
                <w:lang w:val="en-US"/>
              </w:rPr>
              <w:t>*</w:t>
            </w:r>
            <w:r w:rsidRPr="007F0F4E">
              <w:rPr>
                <w:rFonts w:asciiTheme="majorHAnsi" w:hAnsiTheme="majorHAnsi"/>
                <w:lang w:val="en-US"/>
              </w:rPr>
              <w:t xml:space="preserve">, </w:t>
            </w:r>
            <w:proofErr w:type="spellStart"/>
            <w:r w:rsidRPr="007F0F4E">
              <w:rPr>
                <w:rFonts w:asciiTheme="majorHAnsi" w:hAnsiTheme="majorHAnsi"/>
                <w:lang w:val="en-US"/>
              </w:rPr>
              <w:t>paraethesia</w:t>
            </w:r>
            <w:proofErr w:type="spellEnd"/>
            <w:r w:rsidRPr="007F0F4E">
              <w:rPr>
                <w:rFonts w:asciiTheme="majorHAnsi" w:hAnsiTheme="majorHAnsi"/>
                <w:lang w:val="en-US"/>
              </w:rPr>
              <w:t xml:space="preserve"> oral</w:t>
            </w:r>
            <w:r w:rsidR="00FB655F">
              <w:rPr>
                <w:rFonts w:asciiTheme="majorHAnsi" w:hAnsiTheme="majorHAnsi"/>
                <w:lang w:val="en-US"/>
              </w:rPr>
              <w:t>*</w:t>
            </w:r>
            <w:r w:rsidRPr="007F0F4E">
              <w:rPr>
                <w:rFonts w:asciiTheme="majorHAnsi" w:hAnsiTheme="majorHAnsi"/>
                <w:lang w:val="en-US"/>
              </w:rPr>
              <w:t>, proctitis ulcerative</w:t>
            </w:r>
            <w:r w:rsidR="00FB655F">
              <w:rPr>
                <w:rFonts w:asciiTheme="majorHAnsi" w:hAnsiTheme="majorHAnsi"/>
                <w:lang w:val="en-US"/>
              </w:rPr>
              <w:t>*</w:t>
            </w:r>
            <w:r w:rsidRPr="007F0F4E">
              <w:rPr>
                <w:rFonts w:asciiTheme="majorHAnsi" w:hAnsiTheme="majorHAnsi"/>
                <w:lang w:val="en-US"/>
              </w:rPr>
              <w:t xml:space="preserve">, rectal </w:t>
            </w:r>
            <w:proofErr w:type="spellStart"/>
            <w:r w:rsidRPr="007F0F4E">
              <w:rPr>
                <w:rFonts w:asciiTheme="majorHAnsi" w:hAnsiTheme="majorHAnsi"/>
                <w:lang w:val="en-US"/>
              </w:rPr>
              <w:t>haemorrhage</w:t>
            </w:r>
            <w:proofErr w:type="spellEnd"/>
            <w:r w:rsidR="00FB655F">
              <w:rPr>
                <w:rFonts w:asciiTheme="majorHAnsi" w:hAnsiTheme="majorHAnsi"/>
                <w:lang w:val="en-US"/>
              </w:rPr>
              <w:t>*</w:t>
            </w:r>
            <w:r w:rsidRPr="007F0F4E">
              <w:rPr>
                <w:rFonts w:asciiTheme="majorHAnsi" w:hAnsiTheme="majorHAnsi"/>
                <w:lang w:val="en-US"/>
              </w:rPr>
              <w:t>, retching</w:t>
            </w:r>
            <w:r w:rsidR="00FB655F">
              <w:rPr>
                <w:rFonts w:asciiTheme="majorHAnsi" w:hAnsiTheme="majorHAnsi"/>
                <w:lang w:val="en-US"/>
              </w:rPr>
              <w:t>*</w:t>
            </w:r>
            <w:r w:rsidRPr="007F0F4E">
              <w:rPr>
                <w:rFonts w:asciiTheme="majorHAnsi" w:hAnsiTheme="majorHAnsi"/>
                <w:lang w:val="en-US"/>
              </w:rPr>
              <w:t>, stomatitis</w:t>
            </w:r>
            <w:r w:rsidR="00FB655F">
              <w:rPr>
                <w:rFonts w:asciiTheme="majorHAnsi" w:hAnsiTheme="majorHAnsi"/>
                <w:lang w:val="en-US"/>
              </w:rPr>
              <w:t>*</w:t>
            </w:r>
            <w:r w:rsidRPr="007F0F4E">
              <w:rPr>
                <w:rFonts w:asciiTheme="majorHAnsi" w:hAnsiTheme="majorHAnsi"/>
                <w:lang w:val="en-US"/>
              </w:rPr>
              <w:t>, tongue disorder</w:t>
            </w:r>
            <w:r w:rsidR="00FB655F">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36A4ED3F"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13EA4ADD"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BB70D"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General disorders and administration site conditions</w:t>
            </w:r>
          </w:p>
        </w:tc>
      </w:tr>
      <w:tr w:rsidR="007F0F4E" w:rsidRPr="007F0F4E" w14:paraId="0E76EA56"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6AB4C" w14:textId="040B4DDC" w:rsidR="007F0F4E" w:rsidRPr="007F0F4E" w:rsidRDefault="007F0F4E" w:rsidP="55B613A3">
            <w:pPr>
              <w:pStyle w:val="BodyTextSPC"/>
              <w:rPr>
                <w:rFonts w:asciiTheme="majorHAnsi" w:hAnsiTheme="majorHAnsi"/>
                <w:lang w:val="en-US"/>
              </w:rPr>
            </w:pPr>
            <w:r w:rsidRPr="55B613A3">
              <w:rPr>
                <w:rFonts w:asciiTheme="majorHAnsi" w:hAnsiTheme="majorHAnsi"/>
                <w:lang w:val="en-US"/>
              </w:rPr>
              <w:t>Pain</w:t>
            </w:r>
            <w:r w:rsidR="3BCF4743" w:rsidRPr="55B613A3">
              <w:rPr>
                <w:rFonts w:asciiTheme="majorHAnsi" w:hAnsiTheme="majorHAnsi"/>
                <w:lang w:val="en-US"/>
              </w:rPr>
              <w:t>, pyrexia</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8264021"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0D3A0C1C"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8AF80" w14:textId="5168DE21"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chills, irritability, feeling hot, malaise, chest discomfort</w:t>
            </w:r>
            <w:r w:rsidR="00FB655F">
              <w:rPr>
                <w:rFonts w:asciiTheme="majorHAnsi" w:hAnsiTheme="majorHAnsi"/>
                <w:lang w:val="en-US"/>
              </w:rPr>
              <w:t>*</w:t>
            </w:r>
            <w:r w:rsidRPr="007F0F4E">
              <w:rPr>
                <w:rFonts w:asciiTheme="majorHAnsi" w:hAnsiTheme="majorHAnsi"/>
                <w:lang w:val="en-US"/>
              </w:rPr>
              <w:t>, chest pain</w:t>
            </w:r>
            <w:r w:rsidR="00FB655F">
              <w:rPr>
                <w:rFonts w:asciiTheme="majorHAnsi" w:hAnsiTheme="majorHAnsi"/>
                <w:lang w:val="en-US"/>
              </w:rPr>
              <w:t>*</w:t>
            </w:r>
            <w:r w:rsidRPr="007F0F4E">
              <w:rPr>
                <w:rFonts w:asciiTheme="majorHAnsi" w:hAnsiTheme="majorHAnsi"/>
                <w:lang w:val="en-US"/>
              </w:rPr>
              <w:t>, sluggishness</w:t>
            </w:r>
            <w:r w:rsidR="00FB655F">
              <w:rPr>
                <w:rFonts w:asciiTheme="majorHAnsi" w:hAnsiTheme="majorHAnsi"/>
                <w:lang w:val="en-US"/>
              </w:rPr>
              <w:t>*</w:t>
            </w:r>
            <w:r w:rsidRPr="007F0F4E">
              <w:rPr>
                <w:rFonts w:asciiTheme="majorHAnsi" w:hAnsiTheme="majorHAnsi"/>
                <w:lang w:val="en-US"/>
              </w:rPr>
              <w:t>, thirst</w:t>
            </w:r>
            <w:r w:rsidR="00FB655F">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7F417532"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253D3D64"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F4BD7"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Infections and infestations</w:t>
            </w:r>
          </w:p>
        </w:tc>
      </w:tr>
      <w:tr w:rsidR="007F0F4E" w:rsidRPr="007F0F4E" w14:paraId="2A451B68"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8E757"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Upper respiratory tract infection, nasopharyngitis</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87FCF6C"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04CB6677"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92EF6"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Injury, poisoning and procedural complications</w:t>
            </w:r>
          </w:p>
        </w:tc>
      </w:tr>
      <w:tr w:rsidR="007F0F4E" w:rsidRPr="007F0F4E" w14:paraId="31529363"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6A792" w14:textId="5F71814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 xml:space="preserve">Burn </w:t>
            </w:r>
            <w:proofErr w:type="spellStart"/>
            <w:r w:rsidRPr="007F0F4E">
              <w:rPr>
                <w:rFonts w:asciiTheme="majorHAnsi" w:hAnsiTheme="majorHAnsi"/>
                <w:lang w:val="en-US"/>
              </w:rPr>
              <w:t>oesophageal</w:t>
            </w:r>
            <w:proofErr w:type="spellEnd"/>
            <w:r w:rsidR="002C347A">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7F73255"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6CF5757D"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D12C2"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Metabolism and nutritional disorders</w:t>
            </w:r>
          </w:p>
        </w:tc>
      </w:tr>
      <w:tr w:rsidR="007F0F4E" w:rsidRPr="007F0F4E" w14:paraId="67E640D2"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93486" w14:textId="6CAA9299"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Dehydration</w:t>
            </w:r>
            <w:r w:rsidR="002C347A">
              <w:rPr>
                <w:rFonts w:asciiTheme="majorHAnsi" w:hAnsiTheme="majorHAnsi"/>
                <w:lang w:val="en-US"/>
              </w:rPr>
              <w:t>*</w:t>
            </w:r>
            <w:r w:rsidRPr="007F0F4E">
              <w:rPr>
                <w:rFonts w:asciiTheme="majorHAnsi" w:hAnsiTheme="majorHAnsi"/>
                <w:lang w:val="en-US"/>
              </w:rPr>
              <w:t>, increased appetite</w:t>
            </w:r>
            <w:r w:rsidR="002C347A">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3950B2C0"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62736A39"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1A6AA"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Musculoskeletal and connective tissue disorders</w:t>
            </w:r>
          </w:p>
        </w:tc>
      </w:tr>
      <w:tr w:rsidR="007F0F4E" w:rsidRPr="007F0F4E" w14:paraId="707E65BE"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EFBD4"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Arthralgia, back pain, neck pain</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39CFB5CE"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38189730"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22163" w14:textId="34ABBF5B"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Muscle spasms, musculoskeletal stiffness, myalgia, pain in extremity</w:t>
            </w:r>
            <w:r w:rsidR="002C347A">
              <w:rPr>
                <w:rFonts w:asciiTheme="majorHAnsi" w:hAnsiTheme="majorHAnsi"/>
                <w:lang w:val="en-US"/>
              </w:rPr>
              <w:t>*</w:t>
            </w:r>
            <w:r w:rsidRPr="007F0F4E">
              <w:rPr>
                <w:rFonts w:asciiTheme="majorHAnsi" w:hAnsiTheme="majorHAnsi"/>
                <w:lang w:val="en-US"/>
              </w:rPr>
              <w:t>, muscle tightness</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E979414"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438F28B6"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D0B3"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Nervous system disorders</w:t>
            </w:r>
          </w:p>
        </w:tc>
      </w:tr>
      <w:tr w:rsidR="007F0F4E" w:rsidRPr="007F0F4E" w14:paraId="2B509565"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9A51B"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lastRenderedPageBreak/>
              <w:t>Dizziness</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0DFF898"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5A85AC90"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003AE" w14:textId="0BFF8E4C"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Dysgeusia, lethargy, presyncope, depressed level of consciousness</w:t>
            </w:r>
            <w:r w:rsidR="00767708">
              <w:rPr>
                <w:rFonts w:asciiTheme="majorHAnsi" w:hAnsiTheme="majorHAnsi"/>
                <w:lang w:val="en-US"/>
              </w:rPr>
              <w:t>*</w:t>
            </w:r>
            <w:r w:rsidRPr="007F0F4E">
              <w:rPr>
                <w:rFonts w:asciiTheme="majorHAnsi" w:hAnsiTheme="majorHAnsi"/>
                <w:lang w:val="en-US"/>
              </w:rPr>
              <w:t>, migraine</w:t>
            </w:r>
            <w:r w:rsidR="00767708">
              <w:rPr>
                <w:rFonts w:asciiTheme="majorHAnsi" w:hAnsiTheme="majorHAnsi"/>
                <w:lang w:val="en-US"/>
              </w:rPr>
              <w:t>*</w:t>
            </w:r>
            <w:r w:rsidRPr="007F0F4E">
              <w:rPr>
                <w:rFonts w:asciiTheme="majorHAnsi" w:hAnsiTheme="majorHAnsi"/>
                <w:lang w:val="en-US"/>
              </w:rPr>
              <w:t>, paresthesia</w:t>
            </w:r>
            <w:r w:rsidR="00767708">
              <w:rPr>
                <w:rFonts w:asciiTheme="majorHAnsi" w:hAnsiTheme="majorHAnsi"/>
                <w:lang w:val="en-US"/>
              </w:rPr>
              <w:t>*</w:t>
            </w:r>
            <w:r w:rsidRPr="007F0F4E">
              <w:rPr>
                <w:rFonts w:asciiTheme="majorHAnsi" w:hAnsiTheme="majorHAnsi"/>
                <w:lang w:val="en-US"/>
              </w:rPr>
              <w:t>, sinus headache</w:t>
            </w:r>
            <w:r w:rsidR="00767708">
              <w:rPr>
                <w:rFonts w:asciiTheme="majorHAnsi" w:hAnsiTheme="majorHAnsi"/>
                <w:lang w:val="en-US"/>
              </w:rPr>
              <w:t>*</w:t>
            </w:r>
            <w:r w:rsidRPr="007F0F4E">
              <w:rPr>
                <w:rFonts w:asciiTheme="majorHAnsi" w:hAnsiTheme="majorHAnsi"/>
                <w:lang w:val="en-US"/>
              </w:rPr>
              <w:t>, tremor</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431A1432"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2971307F"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9E774"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Psychiatric disorders</w:t>
            </w:r>
          </w:p>
        </w:tc>
      </w:tr>
      <w:tr w:rsidR="007F0F4E" w:rsidRPr="007F0F4E" w14:paraId="1393E042"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E4C6E"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Insomnia</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AA6FF11"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7B3E1A5F"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F67B" w14:textId="65A05414"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Agitation</w:t>
            </w:r>
            <w:r w:rsidR="00767708">
              <w:rPr>
                <w:rFonts w:asciiTheme="majorHAnsi" w:hAnsiTheme="majorHAnsi"/>
                <w:lang w:val="en-US"/>
              </w:rPr>
              <w:t>*</w:t>
            </w:r>
            <w:r w:rsidRPr="007F0F4E">
              <w:rPr>
                <w:rFonts w:asciiTheme="majorHAnsi" w:hAnsiTheme="majorHAnsi"/>
                <w:lang w:val="en-US"/>
              </w:rPr>
              <w:t>, anger</w:t>
            </w:r>
            <w:r w:rsidR="00767708">
              <w:rPr>
                <w:rFonts w:asciiTheme="majorHAnsi" w:hAnsiTheme="majorHAnsi"/>
                <w:lang w:val="en-US"/>
              </w:rPr>
              <w:t>*</w:t>
            </w:r>
            <w:r w:rsidRPr="007F0F4E">
              <w:rPr>
                <w:rFonts w:asciiTheme="majorHAnsi" w:hAnsiTheme="majorHAnsi"/>
                <w:lang w:val="en-US"/>
              </w:rPr>
              <w:t>, disorientation</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7812907E"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7F7110AD"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69E3C"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Renal and urinary disorders</w:t>
            </w:r>
          </w:p>
        </w:tc>
      </w:tr>
      <w:tr w:rsidR="007F0F4E" w:rsidRPr="007F0F4E" w14:paraId="020D8DDF"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9B57C" w14:textId="52C678C1"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Pollakiuria, dysuria</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36D41A9B"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212B8974"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84428"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Respiratory, thoracic and mediastinal disorders</w:t>
            </w:r>
          </w:p>
        </w:tc>
      </w:tr>
      <w:tr w:rsidR="007F0F4E" w:rsidRPr="007F0F4E" w14:paraId="65CEF5FB"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4E63C"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 xml:space="preserve">Oropharyngeal pain, cough, </w:t>
            </w:r>
            <w:proofErr w:type="spellStart"/>
            <w:r w:rsidRPr="007F0F4E">
              <w:rPr>
                <w:rFonts w:asciiTheme="majorHAnsi" w:hAnsiTheme="majorHAnsi"/>
                <w:lang w:val="en-US"/>
              </w:rPr>
              <w:t>rhinorrhoea</w:t>
            </w:r>
            <w:proofErr w:type="spellEnd"/>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54413D06"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7EF4E3C6"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F801D" w14:textId="4A729DE6"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Nasal congestion</w:t>
            </w:r>
            <w:r w:rsidR="00767708">
              <w:rPr>
                <w:rFonts w:asciiTheme="majorHAnsi" w:hAnsiTheme="majorHAnsi"/>
                <w:lang w:val="en-US"/>
              </w:rPr>
              <w:t>*</w:t>
            </w:r>
            <w:r w:rsidRPr="007F0F4E">
              <w:rPr>
                <w:rFonts w:asciiTheme="majorHAnsi" w:hAnsiTheme="majorHAnsi"/>
                <w:lang w:val="en-US"/>
              </w:rPr>
              <w:t>, rhinitis allergic</w:t>
            </w:r>
            <w:r w:rsidR="00767708">
              <w:rPr>
                <w:rFonts w:asciiTheme="majorHAnsi" w:hAnsiTheme="majorHAnsi"/>
                <w:lang w:val="en-US"/>
              </w:rPr>
              <w:t>*</w:t>
            </w:r>
            <w:r w:rsidRPr="007F0F4E">
              <w:rPr>
                <w:rFonts w:asciiTheme="majorHAnsi" w:hAnsiTheme="majorHAnsi"/>
                <w:lang w:val="en-US"/>
              </w:rPr>
              <w:t>, sneezing</w:t>
            </w:r>
            <w:r w:rsidR="00767708">
              <w:rPr>
                <w:rFonts w:asciiTheme="majorHAnsi" w:hAnsiTheme="majorHAnsi"/>
                <w:lang w:val="en-US"/>
              </w:rPr>
              <w:t>*</w:t>
            </w:r>
            <w:r w:rsidRPr="007F0F4E">
              <w:rPr>
                <w:rFonts w:asciiTheme="majorHAnsi" w:hAnsiTheme="majorHAnsi"/>
                <w:lang w:val="en-US"/>
              </w:rPr>
              <w:t>, throat irritation</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0A2C1E3"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248A9CFD"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3199F"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Skin and subcutaneous tissue disorders</w:t>
            </w:r>
          </w:p>
        </w:tc>
      </w:tr>
      <w:tr w:rsidR="007F0F4E" w:rsidRPr="007F0F4E" w14:paraId="1A3412E6"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56089"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Rash</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6D4564AC"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Uncommon</w:t>
            </w:r>
          </w:p>
        </w:tc>
      </w:tr>
      <w:tr w:rsidR="007F0F4E" w:rsidRPr="007F0F4E" w14:paraId="646115D7" w14:textId="77777777" w:rsidTr="55B613A3">
        <w:trPr>
          <w:jc w:val="center"/>
        </w:trPr>
        <w:tc>
          <w:tcPr>
            <w:tcW w:w="7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5B122" w14:textId="306B672E"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Pruritis, angioedema</w:t>
            </w:r>
            <w:r w:rsidR="00767708">
              <w:rPr>
                <w:rFonts w:asciiTheme="majorHAnsi" w:hAnsiTheme="majorHAnsi"/>
                <w:lang w:val="en-US"/>
              </w:rPr>
              <w:t>*</w:t>
            </w:r>
            <w:r w:rsidRPr="007F0F4E">
              <w:rPr>
                <w:rFonts w:asciiTheme="majorHAnsi" w:hAnsiTheme="majorHAnsi"/>
                <w:lang w:val="en-US"/>
              </w:rPr>
              <w:t>, cold sweat</w:t>
            </w:r>
            <w:r w:rsidR="00767708">
              <w:rPr>
                <w:rFonts w:asciiTheme="majorHAnsi" w:hAnsiTheme="majorHAnsi"/>
                <w:lang w:val="en-US"/>
              </w:rPr>
              <w:t>*</w:t>
            </w:r>
            <w:r w:rsidRPr="007F0F4E">
              <w:rPr>
                <w:rFonts w:asciiTheme="majorHAnsi" w:hAnsiTheme="majorHAnsi"/>
                <w:lang w:val="en-US"/>
              </w:rPr>
              <w:t>, dermatitis</w:t>
            </w:r>
            <w:r w:rsidR="00767708">
              <w:rPr>
                <w:rFonts w:asciiTheme="majorHAnsi" w:hAnsiTheme="majorHAnsi"/>
                <w:lang w:val="en-US"/>
              </w:rPr>
              <w:t>*</w:t>
            </w:r>
            <w:r w:rsidRPr="007F0F4E">
              <w:rPr>
                <w:rFonts w:asciiTheme="majorHAnsi" w:hAnsiTheme="majorHAnsi"/>
                <w:lang w:val="en-US"/>
              </w:rPr>
              <w:t>, hyperhidrosis</w:t>
            </w:r>
            <w:r w:rsidR="00767708">
              <w:rPr>
                <w:rFonts w:asciiTheme="majorHAnsi" w:hAnsiTheme="majorHAnsi"/>
                <w:lang w:val="en-US"/>
              </w:rPr>
              <w:t>*</w:t>
            </w:r>
            <w:r w:rsidRPr="007F0F4E">
              <w:rPr>
                <w:rFonts w:asciiTheme="majorHAnsi" w:hAnsiTheme="majorHAnsi"/>
                <w:lang w:val="en-US"/>
              </w:rPr>
              <w:t>, night sweats</w:t>
            </w:r>
            <w:r w:rsidR="00767708">
              <w:rPr>
                <w:rFonts w:asciiTheme="majorHAnsi" w:hAnsiTheme="majorHAnsi"/>
                <w:lang w:val="en-US"/>
              </w:rPr>
              <w:t>*</w:t>
            </w:r>
            <w:r w:rsidRPr="007F0F4E">
              <w:rPr>
                <w:rFonts w:asciiTheme="majorHAnsi" w:hAnsiTheme="majorHAnsi"/>
                <w:lang w:val="en-US"/>
              </w:rPr>
              <w:t>, rash pruritic</w:t>
            </w:r>
            <w:r w:rsidR="00767708">
              <w:rPr>
                <w:rFonts w:asciiTheme="majorHAnsi" w:hAnsiTheme="majorHAnsi"/>
                <w:lang w:val="en-US"/>
              </w:rPr>
              <w:t>*</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6D294C4D"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F0F4E" w:rsidRPr="007F0F4E" w14:paraId="53EA72E9" w14:textId="77777777" w:rsidTr="55B613A3">
        <w:trPr>
          <w:jc w:val="center"/>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BA49" w14:textId="77777777" w:rsidR="007F0F4E" w:rsidRPr="00F848A3" w:rsidRDefault="007F0F4E" w:rsidP="007F0F4E">
            <w:pPr>
              <w:pStyle w:val="BodyTextSPC"/>
              <w:rPr>
                <w:rFonts w:asciiTheme="majorHAnsi" w:hAnsiTheme="majorHAnsi"/>
                <w:b/>
                <w:bCs/>
                <w:lang w:val="en-US"/>
              </w:rPr>
            </w:pPr>
            <w:r w:rsidRPr="00F848A3">
              <w:rPr>
                <w:rFonts w:asciiTheme="majorHAnsi" w:hAnsiTheme="majorHAnsi"/>
                <w:b/>
                <w:bCs/>
                <w:i/>
                <w:iCs/>
                <w:lang w:val="en-US"/>
              </w:rPr>
              <w:t>Vascular disorders</w:t>
            </w:r>
          </w:p>
        </w:tc>
      </w:tr>
      <w:tr w:rsidR="00767708" w:rsidRPr="007F0F4E" w14:paraId="6277366E" w14:textId="77777777" w:rsidTr="55B613A3">
        <w:trPr>
          <w:jc w:val="center"/>
        </w:trPr>
        <w:tc>
          <w:tcPr>
            <w:tcW w:w="798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447402A" w14:textId="23620F54"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Flushing</w:t>
            </w:r>
            <w:r w:rsidR="00767708">
              <w:rPr>
                <w:rFonts w:asciiTheme="majorHAnsi" w:hAnsiTheme="majorHAnsi"/>
                <w:lang w:val="en-US"/>
              </w:rPr>
              <w:t>*</w:t>
            </w:r>
          </w:p>
        </w:tc>
        <w:tc>
          <w:tcPr>
            <w:tcW w:w="1362" w:type="dxa"/>
            <w:tcBorders>
              <w:top w:val="nil"/>
              <w:left w:val="nil"/>
              <w:bottom w:val="single" w:sz="4" w:space="0" w:color="auto"/>
              <w:right w:val="single" w:sz="8" w:space="0" w:color="auto"/>
            </w:tcBorders>
            <w:tcMar>
              <w:top w:w="0" w:type="dxa"/>
              <w:left w:w="108" w:type="dxa"/>
              <w:bottom w:w="0" w:type="dxa"/>
              <w:right w:w="108" w:type="dxa"/>
            </w:tcMar>
            <w:hideMark/>
          </w:tcPr>
          <w:p w14:paraId="1C757E33" w14:textId="77777777" w:rsidR="007F0F4E" w:rsidRPr="007F0F4E" w:rsidRDefault="007F0F4E" w:rsidP="007F0F4E">
            <w:pPr>
              <w:pStyle w:val="BodyTextSPC"/>
              <w:rPr>
                <w:rFonts w:asciiTheme="majorHAnsi" w:hAnsiTheme="majorHAnsi"/>
                <w:lang w:val="en-US"/>
              </w:rPr>
            </w:pPr>
            <w:r w:rsidRPr="007F0F4E">
              <w:rPr>
                <w:rFonts w:asciiTheme="majorHAnsi" w:hAnsiTheme="majorHAnsi"/>
                <w:lang w:val="en-US"/>
              </w:rPr>
              <w:t>Rare</w:t>
            </w:r>
          </w:p>
        </w:tc>
      </w:tr>
      <w:tr w:rsidR="00767708" w:rsidRPr="007F0F4E" w14:paraId="44C67F49" w14:textId="77777777" w:rsidTr="00F848A3">
        <w:trPr>
          <w:jc w:val="center"/>
        </w:trPr>
        <w:tc>
          <w:tcPr>
            <w:tcW w:w="9350" w:type="dxa"/>
            <w:gridSpan w:val="2"/>
            <w:tcBorders>
              <w:top w:val="single" w:sz="4" w:space="0" w:color="auto"/>
            </w:tcBorders>
            <w:tcMar>
              <w:top w:w="0" w:type="dxa"/>
              <w:left w:w="108" w:type="dxa"/>
              <w:bottom w:w="0" w:type="dxa"/>
              <w:right w:w="108" w:type="dxa"/>
            </w:tcMar>
          </w:tcPr>
          <w:p w14:paraId="226982AA" w14:textId="74FBE0DC" w:rsidR="00767708" w:rsidRPr="007F0F4E" w:rsidRDefault="00767708" w:rsidP="55B613A3">
            <w:pPr>
              <w:pStyle w:val="BodyTextSPC"/>
              <w:rPr>
                <w:rFonts w:asciiTheme="majorHAnsi" w:hAnsiTheme="majorHAnsi"/>
                <w:lang w:val="en-US"/>
              </w:rPr>
            </w:pPr>
            <w:r w:rsidRPr="55B613A3">
              <w:rPr>
                <w:rFonts w:asciiTheme="majorHAnsi" w:hAnsiTheme="majorHAnsi"/>
                <w:lang w:val="en-US"/>
              </w:rPr>
              <w:t xml:space="preserve">* Occurred </w:t>
            </w:r>
            <w:r w:rsidR="006363B4" w:rsidRPr="55B613A3">
              <w:rPr>
                <w:rFonts w:asciiTheme="majorHAnsi" w:hAnsiTheme="majorHAnsi"/>
                <w:lang w:val="en-US"/>
              </w:rPr>
              <w:t>in</w:t>
            </w:r>
            <w:r w:rsidRPr="55B613A3">
              <w:rPr>
                <w:rFonts w:asciiTheme="majorHAnsi" w:hAnsiTheme="majorHAnsi"/>
                <w:lang w:val="en-US"/>
              </w:rPr>
              <w:t xml:space="preserve"> one </w:t>
            </w:r>
            <w:r w:rsidR="28F2A9F5" w:rsidRPr="55B613A3">
              <w:rPr>
                <w:rFonts w:asciiTheme="majorHAnsi" w:hAnsiTheme="majorHAnsi"/>
                <w:lang w:val="en-US"/>
              </w:rPr>
              <w:t>participant</w:t>
            </w:r>
          </w:p>
        </w:tc>
      </w:tr>
    </w:tbl>
    <w:p w14:paraId="5B598676" w14:textId="77777777" w:rsidR="001724F3" w:rsidRPr="00201CF7" w:rsidRDefault="001724F3" w:rsidP="00367BFF">
      <w:pPr>
        <w:pStyle w:val="BodyTextSPC"/>
        <w:rPr>
          <w:rFonts w:asciiTheme="majorHAnsi" w:hAnsiTheme="majorHAnsi"/>
          <w:szCs w:val="22"/>
        </w:rPr>
      </w:pPr>
    </w:p>
    <w:p w14:paraId="575F969E" w14:textId="77777777" w:rsidR="00367BFF" w:rsidRPr="00201CF7" w:rsidRDefault="00367BFF" w:rsidP="00367BFF">
      <w:pPr>
        <w:autoSpaceDE w:val="0"/>
        <w:autoSpaceDN w:val="0"/>
        <w:adjustRightInd w:val="0"/>
        <w:spacing w:line="240" w:lineRule="auto"/>
        <w:jc w:val="both"/>
        <w:rPr>
          <w:rFonts w:asciiTheme="majorHAnsi" w:hAnsiTheme="majorHAnsi"/>
          <w:i/>
        </w:rPr>
      </w:pPr>
      <w:r w:rsidRPr="00201CF7">
        <w:rPr>
          <w:rFonts w:asciiTheme="majorHAnsi" w:hAnsiTheme="majorHAnsi"/>
          <w:u w:val="single"/>
        </w:rPr>
        <w:t>Paediatric population</w:t>
      </w:r>
    </w:p>
    <w:p w14:paraId="2181E5AD" w14:textId="65126A6F" w:rsidR="00783D07" w:rsidRDefault="00367BFF" w:rsidP="754B645D">
      <w:pPr>
        <w:spacing w:line="240" w:lineRule="auto"/>
        <w:jc w:val="both"/>
        <w:rPr>
          <w:rFonts w:asciiTheme="majorHAnsi" w:hAnsiTheme="majorHAnsi"/>
        </w:rPr>
      </w:pPr>
      <w:r w:rsidRPr="754B645D">
        <w:rPr>
          <w:rFonts w:asciiTheme="majorHAnsi" w:hAnsiTheme="majorHAnsi"/>
        </w:rPr>
        <w:t>A clinical trial was conducted in 550 children age</w:t>
      </w:r>
      <w:r w:rsidR="007B1072" w:rsidRPr="754B645D">
        <w:rPr>
          <w:rFonts w:asciiTheme="majorHAnsi" w:hAnsiTheme="majorHAnsi"/>
        </w:rPr>
        <w:t>d</w:t>
      </w:r>
      <w:r w:rsidRPr="754B645D">
        <w:rPr>
          <w:rFonts w:asciiTheme="majorHAnsi" w:hAnsiTheme="majorHAnsi"/>
        </w:rPr>
        <w:t xml:space="preserve"> 2 to </w:t>
      </w:r>
      <w:r w:rsidR="0084298D" w:rsidRPr="754B645D">
        <w:rPr>
          <w:rFonts w:asciiTheme="majorHAnsi" w:hAnsiTheme="majorHAnsi"/>
        </w:rPr>
        <w:t>17</w:t>
      </w:r>
      <w:r w:rsidRPr="754B645D">
        <w:rPr>
          <w:rFonts w:asciiTheme="majorHAnsi" w:hAnsiTheme="majorHAnsi"/>
        </w:rPr>
        <w:t xml:space="preserve"> years. Based on the results of this trial the type of adverse reactions in children are expected to be </w:t>
      </w:r>
      <w:proofErr w:type="gramStart"/>
      <w:r w:rsidRPr="754B645D">
        <w:rPr>
          <w:rFonts w:asciiTheme="majorHAnsi" w:hAnsiTheme="majorHAnsi"/>
        </w:rPr>
        <w:t>similar to</w:t>
      </w:r>
      <w:proofErr w:type="gramEnd"/>
      <w:r w:rsidRPr="754B645D">
        <w:rPr>
          <w:rFonts w:asciiTheme="majorHAnsi" w:hAnsiTheme="majorHAnsi"/>
        </w:rPr>
        <w:t xml:space="preserve"> those in adults. Some adverse reactions were more common in children than adults, including fatigue (35.7% vs 30.</w:t>
      </w:r>
      <w:r w:rsidRPr="666B5EA6">
        <w:rPr>
          <w:rFonts w:asciiTheme="majorHAnsi" w:hAnsiTheme="majorHAnsi"/>
        </w:rPr>
        <w:t>0</w:t>
      </w:r>
      <w:r w:rsidRPr="754B645D">
        <w:rPr>
          <w:rFonts w:asciiTheme="majorHAnsi" w:hAnsiTheme="majorHAnsi"/>
        </w:rPr>
        <w:t>%), abdominal pain (27.8% vs 18.</w:t>
      </w:r>
      <w:r w:rsidRPr="666B5EA6">
        <w:rPr>
          <w:rFonts w:asciiTheme="majorHAnsi" w:hAnsiTheme="majorHAnsi"/>
        </w:rPr>
        <w:t>3</w:t>
      </w:r>
      <w:r w:rsidRPr="754B645D">
        <w:rPr>
          <w:rFonts w:asciiTheme="majorHAnsi" w:hAnsiTheme="majorHAnsi"/>
        </w:rPr>
        <w:t>%), vomiting (3.8% vs 0.2%), decreased appetite (21.4% vs 15.</w:t>
      </w:r>
      <w:r w:rsidRPr="666B5EA6">
        <w:rPr>
          <w:rFonts w:asciiTheme="majorHAnsi" w:hAnsiTheme="majorHAnsi"/>
        </w:rPr>
        <w:t>6</w:t>
      </w:r>
      <w:r w:rsidRPr="754B645D">
        <w:rPr>
          <w:rFonts w:asciiTheme="majorHAnsi" w:hAnsiTheme="majorHAnsi"/>
        </w:rPr>
        <w:t>%) and pyrexia (2.</w:t>
      </w:r>
      <w:r w:rsidRPr="666B5EA6">
        <w:rPr>
          <w:rFonts w:asciiTheme="majorHAnsi" w:hAnsiTheme="majorHAnsi"/>
        </w:rPr>
        <w:t>1</w:t>
      </w:r>
      <w:r w:rsidRPr="754B645D">
        <w:rPr>
          <w:rFonts w:asciiTheme="majorHAnsi" w:hAnsiTheme="majorHAnsi"/>
        </w:rPr>
        <w:t>% vs 0.</w:t>
      </w:r>
      <w:r w:rsidRPr="666B5EA6">
        <w:rPr>
          <w:rFonts w:asciiTheme="majorHAnsi" w:hAnsiTheme="majorHAnsi"/>
        </w:rPr>
        <w:t>7</w:t>
      </w:r>
      <w:r w:rsidRPr="754B645D">
        <w:rPr>
          <w:rFonts w:asciiTheme="majorHAnsi" w:hAnsiTheme="majorHAnsi"/>
        </w:rPr>
        <w:t>%).</w:t>
      </w:r>
    </w:p>
    <w:p w14:paraId="5112028C" w14:textId="63467630" w:rsidR="00A90003" w:rsidRPr="00F848A3" w:rsidRDefault="00A90003" w:rsidP="00367BFF">
      <w:pPr>
        <w:spacing w:line="240" w:lineRule="auto"/>
        <w:jc w:val="both"/>
        <w:rPr>
          <w:rFonts w:asciiTheme="majorHAnsi" w:hAnsiTheme="majorHAnsi"/>
          <w:u w:val="single"/>
        </w:rPr>
      </w:pPr>
      <w:r w:rsidRPr="00F848A3">
        <w:rPr>
          <w:rFonts w:asciiTheme="majorHAnsi" w:hAnsiTheme="majorHAnsi"/>
          <w:u w:val="single"/>
        </w:rPr>
        <w:t>Post</w:t>
      </w:r>
      <w:r w:rsidR="00C429D1">
        <w:rPr>
          <w:rFonts w:asciiTheme="majorHAnsi" w:hAnsiTheme="majorHAnsi"/>
          <w:u w:val="single"/>
        </w:rPr>
        <w:t>-</w:t>
      </w:r>
      <w:r w:rsidR="006322F0" w:rsidRPr="00F848A3">
        <w:rPr>
          <w:rFonts w:asciiTheme="majorHAnsi" w:hAnsiTheme="majorHAnsi"/>
          <w:u w:val="single"/>
        </w:rPr>
        <w:t>marketing Data</w:t>
      </w:r>
    </w:p>
    <w:p w14:paraId="76B7A36A" w14:textId="0593263B" w:rsidR="00861BE9" w:rsidRPr="00861BE9" w:rsidRDefault="00FE37A8" w:rsidP="00861BE9">
      <w:pPr>
        <w:spacing w:line="240" w:lineRule="auto"/>
        <w:jc w:val="both"/>
        <w:rPr>
          <w:rFonts w:asciiTheme="majorHAnsi" w:hAnsiTheme="majorHAnsi"/>
        </w:rPr>
      </w:pPr>
      <w:r w:rsidRPr="00FE37A8">
        <w:rPr>
          <w:rFonts w:asciiTheme="majorHAnsi" w:hAnsiTheme="majorHAnsi"/>
        </w:rPr>
        <w:t>Additional adverse reactions reported during post-marketing surveillance are listed</w:t>
      </w:r>
      <w:r w:rsidR="00861BE9" w:rsidRPr="00861BE9">
        <w:rPr>
          <w:rFonts w:asciiTheme="majorHAnsi" w:hAnsiTheme="majorHAnsi"/>
        </w:rPr>
        <w:t xml:space="preserve"> </w:t>
      </w:r>
      <w:r w:rsidR="003717CB" w:rsidRPr="00AE1544">
        <w:rPr>
          <w:rFonts w:ascii="Times New Roman" w:hAnsi="Times New Roman" w:cs="Times New Roman"/>
        </w:rPr>
        <w:t xml:space="preserve">in </w:t>
      </w:r>
      <w:r w:rsidR="00412DF7" w:rsidRPr="00AE1544">
        <w:rPr>
          <w:rFonts w:ascii="Times New Roman" w:hAnsi="Times New Roman" w:cs="Times New Roman"/>
        </w:rPr>
        <w:fldChar w:fldCharType="begin"/>
      </w:r>
      <w:r w:rsidR="00412DF7" w:rsidRPr="00AE1544">
        <w:rPr>
          <w:rFonts w:ascii="Times New Roman" w:hAnsi="Times New Roman" w:cs="Times New Roman"/>
        </w:rPr>
        <w:instrText xml:space="preserve"> REF _Ref124516408 \h </w:instrText>
      </w:r>
      <w:r w:rsidR="00537D97">
        <w:rPr>
          <w:rFonts w:ascii="Times New Roman" w:hAnsi="Times New Roman" w:cs="Times New Roman"/>
        </w:rPr>
        <w:instrText xml:space="preserve"> \* MERGEFORMAT </w:instrText>
      </w:r>
      <w:r w:rsidR="00412DF7" w:rsidRPr="00AE1544">
        <w:rPr>
          <w:rFonts w:ascii="Times New Roman" w:hAnsi="Times New Roman" w:cs="Times New Roman"/>
        </w:rPr>
      </w:r>
      <w:r w:rsidR="00412DF7" w:rsidRPr="00AE1544">
        <w:rPr>
          <w:rFonts w:ascii="Times New Roman" w:hAnsi="Times New Roman" w:cs="Times New Roman"/>
        </w:rPr>
        <w:fldChar w:fldCharType="separate"/>
      </w:r>
      <w:r w:rsidR="00412DF7" w:rsidRPr="00AE1544">
        <w:rPr>
          <w:rFonts w:ascii="Times New Roman" w:hAnsi="Times New Roman" w:cs="Times New Roman"/>
        </w:rPr>
        <w:t xml:space="preserve">Table </w:t>
      </w:r>
      <w:r w:rsidR="00412DF7" w:rsidRPr="00AE1544">
        <w:rPr>
          <w:rFonts w:ascii="Times New Roman" w:hAnsi="Times New Roman" w:cs="Times New Roman"/>
          <w:noProof/>
        </w:rPr>
        <w:t>3</w:t>
      </w:r>
      <w:r w:rsidR="00412DF7" w:rsidRPr="00AE1544">
        <w:rPr>
          <w:rFonts w:ascii="Times New Roman" w:hAnsi="Times New Roman" w:cs="Times New Roman"/>
        </w:rPr>
        <w:fldChar w:fldCharType="end"/>
      </w:r>
      <w:r w:rsidR="00274EE2">
        <w:rPr>
          <w:rFonts w:asciiTheme="majorHAnsi" w:hAnsiTheme="majorHAnsi"/>
        </w:rPr>
        <w:t>.</w:t>
      </w:r>
    </w:p>
    <w:p w14:paraId="37DD8BF5" w14:textId="19CF2BE9" w:rsidR="003717CB" w:rsidRPr="00201CF7" w:rsidRDefault="003717CB" w:rsidP="003717CB">
      <w:pPr>
        <w:pStyle w:val="Caption"/>
        <w:rPr>
          <w:rFonts w:asciiTheme="majorHAnsi" w:hAnsiTheme="majorHAnsi"/>
          <w:szCs w:val="22"/>
        </w:rPr>
      </w:pPr>
      <w:bookmarkStart w:id="6" w:name="_Ref124516408"/>
      <w:r w:rsidRPr="00F85394">
        <w:t xml:space="preserve">Table </w:t>
      </w:r>
      <w:r w:rsidRPr="004B1E8B">
        <w:fldChar w:fldCharType="begin"/>
      </w:r>
      <w:r w:rsidRPr="00F848A3">
        <w:instrText xml:space="preserve"> SEQ Table \* ARABIC </w:instrText>
      </w:r>
      <w:r w:rsidRPr="004B1E8B">
        <w:fldChar w:fldCharType="separate"/>
      </w:r>
      <w:r>
        <w:rPr>
          <w:noProof/>
        </w:rPr>
        <w:t>3</w:t>
      </w:r>
      <w:r w:rsidRPr="004B1E8B">
        <w:fldChar w:fldCharType="end"/>
      </w:r>
      <w:bookmarkEnd w:id="6"/>
      <w:r w:rsidRPr="00F848A3">
        <w:t xml:space="preserve">: </w:t>
      </w:r>
      <w:r w:rsidR="0016602E">
        <w:t>Additional</w:t>
      </w:r>
      <w:r w:rsidR="00537D97">
        <w:t xml:space="preserve"> </w:t>
      </w:r>
      <w:r w:rsidRPr="00F848A3">
        <w:rPr>
          <w:rFonts w:asciiTheme="majorHAnsi" w:hAnsiTheme="majorHAnsi"/>
        </w:rPr>
        <w:t>Adverse Reactions</w:t>
      </w:r>
      <w:r w:rsidR="00AE7A32">
        <w:rPr>
          <w:rFonts w:asciiTheme="majorHAnsi" w:hAnsiTheme="majorHAnsi"/>
        </w:rPr>
        <w:t xml:space="preserve"> from </w:t>
      </w:r>
      <w:r w:rsidR="00AE7A32">
        <w:t>Post-marketing Experience</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7"/>
        <w:gridCol w:w="1883"/>
      </w:tblGrid>
      <w:tr w:rsidR="00861BE9" w:rsidRPr="00861BE9" w14:paraId="0826FD1E" w14:textId="77777777" w:rsidTr="00AE1544">
        <w:trPr>
          <w:jc w:val="center"/>
        </w:trPr>
        <w:tc>
          <w:tcPr>
            <w:tcW w:w="7467" w:type="dxa"/>
            <w:tcMar>
              <w:top w:w="0" w:type="dxa"/>
              <w:left w:w="108" w:type="dxa"/>
              <w:bottom w:w="0" w:type="dxa"/>
              <w:right w:w="108" w:type="dxa"/>
            </w:tcMar>
            <w:hideMark/>
          </w:tcPr>
          <w:p w14:paraId="7E0504E0" w14:textId="77777777"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b/>
                <w:lang w:val="en-GB"/>
              </w:rPr>
              <w:t>Adverse Reactions</w:t>
            </w:r>
          </w:p>
        </w:tc>
        <w:tc>
          <w:tcPr>
            <w:tcW w:w="1883" w:type="dxa"/>
            <w:tcMar>
              <w:top w:w="0" w:type="dxa"/>
              <w:left w:w="108" w:type="dxa"/>
              <w:bottom w:w="0" w:type="dxa"/>
              <w:right w:w="108" w:type="dxa"/>
            </w:tcMar>
            <w:hideMark/>
          </w:tcPr>
          <w:p w14:paraId="219910D2" w14:textId="77777777"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b/>
                <w:lang w:val="en-GB"/>
              </w:rPr>
              <w:t>Frequency</w:t>
            </w:r>
          </w:p>
        </w:tc>
      </w:tr>
      <w:tr w:rsidR="00861BE9" w:rsidRPr="00861BE9" w14:paraId="707F5FCB" w14:textId="77777777" w:rsidTr="00AE1544">
        <w:trPr>
          <w:jc w:val="center"/>
        </w:trPr>
        <w:tc>
          <w:tcPr>
            <w:tcW w:w="9350" w:type="dxa"/>
            <w:gridSpan w:val="2"/>
            <w:tcMar>
              <w:top w:w="0" w:type="dxa"/>
              <w:left w:w="108" w:type="dxa"/>
              <w:bottom w:w="0" w:type="dxa"/>
              <w:right w:w="108" w:type="dxa"/>
            </w:tcMar>
            <w:hideMark/>
          </w:tcPr>
          <w:p w14:paraId="5AC91D8C" w14:textId="77777777" w:rsidR="00861BE9" w:rsidRPr="00861BE9" w:rsidRDefault="00861BE9" w:rsidP="00861BE9">
            <w:pPr>
              <w:spacing w:line="240" w:lineRule="auto"/>
              <w:jc w:val="both"/>
              <w:rPr>
                <w:rFonts w:asciiTheme="majorHAnsi" w:hAnsiTheme="majorHAnsi"/>
                <w:b/>
                <w:bCs/>
                <w:lang w:val="en-US"/>
              </w:rPr>
            </w:pPr>
            <w:r w:rsidRPr="00861BE9">
              <w:rPr>
                <w:rFonts w:asciiTheme="majorHAnsi" w:hAnsiTheme="majorHAnsi"/>
                <w:b/>
                <w:bCs/>
                <w:i/>
                <w:iCs/>
                <w:lang w:val="en-US"/>
              </w:rPr>
              <w:t>Musculoskeletal and connective tissue disorders</w:t>
            </w:r>
          </w:p>
        </w:tc>
      </w:tr>
      <w:tr w:rsidR="00861BE9" w:rsidRPr="00861BE9" w14:paraId="04C56D85" w14:textId="77777777" w:rsidTr="00AE1544">
        <w:trPr>
          <w:jc w:val="center"/>
        </w:trPr>
        <w:tc>
          <w:tcPr>
            <w:tcW w:w="7467" w:type="dxa"/>
            <w:tcMar>
              <w:top w:w="0" w:type="dxa"/>
              <w:left w:w="108" w:type="dxa"/>
              <w:bottom w:w="0" w:type="dxa"/>
              <w:right w:w="108" w:type="dxa"/>
            </w:tcMar>
            <w:hideMark/>
          </w:tcPr>
          <w:p w14:paraId="618AEA14" w14:textId="5F34BF6C"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lang w:val="en-CA"/>
              </w:rPr>
              <w:t>Mobility decreased</w:t>
            </w:r>
            <w:r w:rsidR="00687606">
              <w:rPr>
                <w:rFonts w:asciiTheme="majorHAnsi" w:hAnsiTheme="majorHAnsi"/>
                <w:lang w:val="en-CA"/>
              </w:rPr>
              <w:t>*</w:t>
            </w:r>
          </w:p>
        </w:tc>
        <w:tc>
          <w:tcPr>
            <w:tcW w:w="1883" w:type="dxa"/>
            <w:tcMar>
              <w:top w:w="0" w:type="dxa"/>
              <w:left w:w="108" w:type="dxa"/>
              <w:bottom w:w="0" w:type="dxa"/>
              <w:right w:w="108" w:type="dxa"/>
            </w:tcMar>
            <w:hideMark/>
          </w:tcPr>
          <w:p w14:paraId="2942DA82" w14:textId="39ED2D58"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lang w:val="en-US"/>
              </w:rPr>
              <w:t>Rare</w:t>
            </w:r>
          </w:p>
        </w:tc>
      </w:tr>
      <w:tr w:rsidR="00861BE9" w:rsidRPr="00861BE9" w14:paraId="20871982" w14:textId="77777777" w:rsidTr="00AE1544">
        <w:trPr>
          <w:jc w:val="center"/>
        </w:trPr>
        <w:tc>
          <w:tcPr>
            <w:tcW w:w="9350" w:type="dxa"/>
            <w:gridSpan w:val="2"/>
            <w:tcMar>
              <w:top w:w="0" w:type="dxa"/>
              <w:left w:w="108" w:type="dxa"/>
              <w:bottom w:w="0" w:type="dxa"/>
              <w:right w:w="108" w:type="dxa"/>
            </w:tcMar>
            <w:hideMark/>
          </w:tcPr>
          <w:p w14:paraId="250734F3" w14:textId="77777777" w:rsidR="00861BE9" w:rsidRPr="00861BE9" w:rsidRDefault="00861BE9" w:rsidP="00861BE9">
            <w:pPr>
              <w:spacing w:line="240" w:lineRule="auto"/>
              <w:jc w:val="both"/>
              <w:rPr>
                <w:rFonts w:asciiTheme="majorHAnsi" w:hAnsiTheme="majorHAnsi"/>
                <w:b/>
                <w:bCs/>
                <w:lang w:val="en-US"/>
              </w:rPr>
            </w:pPr>
            <w:r w:rsidRPr="00861BE9">
              <w:rPr>
                <w:rFonts w:asciiTheme="majorHAnsi" w:hAnsiTheme="majorHAnsi"/>
                <w:b/>
                <w:bCs/>
                <w:i/>
                <w:iCs/>
                <w:lang w:val="en-CA"/>
              </w:rPr>
              <w:t>Psychiatric disorders</w:t>
            </w:r>
          </w:p>
        </w:tc>
      </w:tr>
      <w:tr w:rsidR="00861BE9" w:rsidRPr="00861BE9" w14:paraId="05C15CCD" w14:textId="77777777" w:rsidTr="00AE1544">
        <w:trPr>
          <w:jc w:val="center"/>
        </w:trPr>
        <w:tc>
          <w:tcPr>
            <w:tcW w:w="7467" w:type="dxa"/>
            <w:tcBorders>
              <w:bottom w:val="single" w:sz="4" w:space="0" w:color="auto"/>
            </w:tcBorders>
            <w:tcMar>
              <w:top w:w="0" w:type="dxa"/>
              <w:left w:w="108" w:type="dxa"/>
              <w:bottom w:w="0" w:type="dxa"/>
              <w:right w:w="108" w:type="dxa"/>
            </w:tcMar>
            <w:hideMark/>
          </w:tcPr>
          <w:p w14:paraId="79EA51C9" w14:textId="74DD2E4D"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lang w:val="en-US"/>
              </w:rPr>
              <w:t>Anxiety</w:t>
            </w:r>
            <w:r w:rsidR="00687606">
              <w:rPr>
                <w:rFonts w:asciiTheme="majorHAnsi" w:hAnsiTheme="majorHAnsi"/>
                <w:lang w:val="en-US"/>
              </w:rPr>
              <w:t>*</w:t>
            </w:r>
          </w:p>
        </w:tc>
        <w:tc>
          <w:tcPr>
            <w:tcW w:w="1883" w:type="dxa"/>
            <w:tcBorders>
              <w:bottom w:val="single" w:sz="4" w:space="0" w:color="auto"/>
            </w:tcBorders>
            <w:tcMar>
              <w:top w:w="0" w:type="dxa"/>
              <w:left w:w="108" w:type="dxa"/>
              <w:bottom w:w="0" w:type="dxa"/>
              <w:right w:w="108" w:type="dxa"/>
            </w:tcMar>
            <w:hideMark/>
          </w:tcPr>
          <w:p w14:paraId="2D5089C0" w14:textId="77777777" w:rsidR="00861BE9" w:rsidRPr="00861BE9" w:rsidRDefault="00861BE9" w:rsidP="00861BE9">
            <w:pPr>
              <w:spacing w:line="240" w:lineRule="auto"/>
              <w:jc w:val="both"/>
              <w:rPr>
                <w:rFonts w:asciiTheme="majorHAnsi" w:hAnsiTheme="majorHAnsi"/>
                <w:lang w:val="en-US"/>
              </w:rPr>
            </w:pPr>
            <w:r w:rsidRPr="00861BE9">
              <w:rPr>
                <w:rFonts w:asciiTheme="majorHAnsi" w:hAnsiTheme="majorHAnsi"/>
                <w:lang w:val="en-US"/>
              </w:rPr>
              <w:t>Rare</w:t>
            </w:r>
          </w:p>
        </w:tc>
      </w:tr>
      <w:tr w:rsidR="008217B2" w:rsidRPr="00861BE9" w14:paraId="63D734D5" w14:textId="77777777" w:rsidTr="00AE1544">
        <w:trPr>
          <w:jc w:val="center"/>
        </w:trPr>
        <w:tc>
          <w:tcPr>
            <w:tcW w:w="9350" w:type="dxa"/>
            <w:gridSpan w:val="2"/>
            <w:tcBorders>
              <w:left w:val="nil"/>
              <w:bottom w:val="nil"/>
              <w:right w:val="nil"/>
            </w:tcBorders>
            <w:tcMar>
              <w:top w:w="0" w:type="dxa"/>
              <w:left w:w="108" w:type="dxa"/>
              <w:bottom w:w="0" w:type="dxa"/>
              <w:right w:w="108" w:type="dxa"/>
            </w:tcMar>
          </w:tcPr>
          <w:p w14:paraId="502984C4" w14:textId="1BE6E341" w:rsidR="008217B2" w:rsidRPr="008217B2" w:rsidRDefault="008217B2" w:rsidP="00861BE9">
            <w:pPr>
              <w:spacing w:line="240" w:lineRule="auto"/>
              <w:jc w:val="both"/>
              <w:rPr>
                <w:rFonts w:asciiTheme="majorHAnsi" w:hAnsiTheme="majorHAnsi"/>
                <w:lang w:val="en-US"/>
              </w:rPr>
            </w:pPr>
            <w:r w:rsidRPr="00AE1544">
              <w:rPr>
                <w:rFonts w:asciiTheme="majorHAnsi" w:hAnsiTheme="majorHAnsi"/>
                <w:lang w:val="en-US"/>
              </w:rPr>
              <w:t>* 2 events each from post-marketing surveillance</w:t>
            </w:r>
          </w:p>
        </w:tc>
      </w:tr>
    </w:tbl>
    <w:p w14:paraId="5E81B1E8" w14:textId="401D9802" w:rsidR="00FE4E3F" w:rsidRPr="00201CF7" w:rsidRDefault="00FE4E3F" w:rsidP="00367BFF">
      <w:pPr>
        <w:spacing w:line="240" w:lineRule="auto"/>
        <w:jc w:val="both"/>
        <w:rPr>
          <w:rFonts w:asciiTheme="majorHAnsi" w:hAnsiTheme="majorHAnsi"/>
        </w:rPr>
      </w:pPr>
    </w:p>
    <w:p w14:paraId="30CDDFCC" w14:textId="49C2F4BA" w:rsidR="002B424E" w:rsidRPr="00201CF7" w:rsidRDefault="002B424E" w:rsidP="00DB62E7">
      <w:pPr>
        <w:pStyle w:val="Heading3"/>
        <w:ind w:left="0"/>
      </w:pPr>
      <w:r w:rsidRPr="00201CF7">
        <w:t>Reporting suspected adverse effects</w:t>
      </w:r>
    </w:p>
    <w:p w14:paraId="650F5DDD" w14:textId="700DDFEA" w:rsidR="00497C85" w:rsidRPr="00201CF7" w:rsidRDefault="00497C85" w:rsidP="00497C85">
      <w:pPr>
        <w:rPr>
          <w:rFonts w:asciiTheme="majorHAnsi" w:hAnsiTheme="majorHAnsi" w:cstheme="minorHAnsi"/>
        </w:rPr>
      </w:pPr>
      <w:r w:rsidRPr="00201CF7">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w:t>
      </w:r>
      <w:r w:rsidRPr="00201CF7">
        <w:rPr>
          <w:rFonts w:asciiTheme="majorHAnsi" w:hAnsiTheme="majorHAnsi" w:cstheme="minorHAnsi"/>
          <w:lang w:val="en"/>
        </w:rPr>
        <w:lastRenderedPageBreak/>
        <w:t xml:space="preserve">professionals are asked to report any suspected adverse reactions at </w:t>
      </w:r>
      <w:hyperlink r:id="rId13" w:history="1">
        <w:r w:rsidRPr="00201CF7">
          <w:rPr>
            <w:rStyle w:val="Hyperlink"/>
            <w:rFonts w:asciiTheme="majorHAnsi" w:hAnsiTheme="majorHAnsi" w:cstheme="minorHAnsi"/>
            <w:lang w:val="en"/>
          </w:rPr>
          <w:t>www.tga.gov.au/reporting-problems</w:t>
        </w:r>
      </w:hyperlink>
      <w:r w:rsidRPr="00201CF7">
        <w:rPr>
          <w:rFonts w:asciiTheme="majorHAnsi" w:hAnsiTheme="majorHAnsi" w:cstheme="minorHAnsi"/>
          <w:lang w:val="en"/>
        </w:rPr>
        <w:t>.</w:t>
      </w:r>
    </w:p>
    <w:p w14:paraId="1990CF70" w14:textId="77777777" w:rsidR="001A3992" w:rsidRPr="00201CF7" w:rsidRDefault="001A3992" w:rsidP="001A3992">
      <w:pPr>
        <w:pStyle w:val="Heading2"/>
        <w:keepNext/>
        <w:keepLines/>
        <w:spacing w:before="0" w:after="120"/>
      </w:pPr>
      <w:r>
        <w:t>Overdose</w:t>
      </w:r>
    </w:p>
    <w:p w14:paraId="1DD3675F" w14:textId="2AA8F32E" w:rsidR="008458B2" w:rsidRPr="00201CF7" w:rsidRDefault="008458B2" w:rsidP="008458B2">
      <w:pPr>
        <w:spacing w:line="240" w:lineRule="auto"/>
        <w:rPr>
          <w:rFonts w:asciiTheme="majorHAnsi" w:hAnsiTheme="majorHAnsi"/>
        </w:rPr>
      </w:pPr>
      <w:r w:rsidRPr="00201CF7">
        <w:rPr>
          <w:rFonts w:asciiTheme="majorHAnsi" w:hAnsiTheme="majorHAnsi"/>
          <w:noProof/>
        </w:rPr>
        <w:t xml:space="preserve">There have been reports of multiple doses of </w:t>
      </w:r>
      <w:r w:rsidR="00BD0E7C">
        <w:rPr>
          <w:rFonts w:asciiTheme="majorHAnsi" w:hAnsiTheme="majorHAnsi"/>
          <w:noProof/>
        </w:rPr>
        <w:t>VAXCHORA</w:t>
      </w:r>
      <w:r w:rsidRPr="00201CF7">
        <w:rPr>
          <w:rFonts w:asciiTheme="majorHAnsi" w:hAnsiTheme="majorHAnsi"/>
          <w:noProof/>
        </w:rPr>
        <w:t xml:space="preserve"> </w:t>
      </w:r>
      <w:r w:rsidR="00F339FA">
        <w:rPr>
          <w:rFonts w:asciiTheme="majorHAnsi" w:hAnsiTheme="majorHAnsi"/>
          <w:noProof/>
        </w:rPr>
        <w:t>vaccine</w:t>
      </w:r>
      <w:r w:rsidR="00F339FA" w:rsidRPr="00201CF7">
        <w:rPr>
          <w:rFonts w:asciiTheme="majorHAnsi" w:hAnsiTheme="majorHAnsi"/>
          <w:noProof/>
        </w:rPr>
        <w:t xml:space="preserve"> </w:t>
      </w:r>
      <w:r w:rsidRPr="00201CF7">
        <w:rPr>
          <w:rFonts w:asciiTheme="majorHAnsi" w:hAnsiTheme="majorHAnsi"/>
          <w:noProof/>
        </w:rPr>
        <w:t>being administered several weeks apart. The adverse reactions reported were comparable to those seen after the recommended dose.</w:t>
      </w:r>
    </w:p>
    <w:p w14:paraId="6372C198" w14:textId="05DD8211" w:rsidR="00497C85" w:rsidRPr="00201CF7" w:rsidRDefault="00497C85" w:rsidP="00497C85">
      <w:pPr>
        <w:rPr>
          <w:rFonts w:asciiTheme="majorHAnsi" w:hAnsiTheme="majorHAnsi" w:cstheme="minorHAnsi"/>
        </w:rPr>
      </w:pPr>
      <w:r w:rsidRPr="00201CF7">
        <w:rPr>
          <w:rFonts w:asciiTheme="majorHAnsi" w:hAnsiTheme="majorHAnsi" w:cstheme="minorHAnsi"/>
          <w:lang w:val="en"/>
        </w:rPr>
        <w:t>For information on the management of overdose, contact the Poisons Information Centre on 13 11 26 (Australia).</w:t>
      </w:r>
    </w:p>
    <w:p w14:paraId="4479D01E" w14:textId="77777777" w:rsidR="001A3992" w:rsidRPr="00201CF7" w:rsidRDefault="001A3992" w:rsidP="001A3992">
      <w:pPr>
        <w:pStyle w:val="Heading1"/>
        <w:spacing w:before="0" w:after="120"/>
        <w:rPr>
          <w:rFonts w:cstheme="minorHAnsi"/>
          <w:lang w:val="en-US"/>
        </w:rPr>
      </w:pPr>
      <w:r w:rsidRPr="00201CF7">
        <w:rPr>
          <w:rFonts w:cstheme="minorHAnsi"/>
          <w:lang w:val="en-US"/>
        </w:rPr>
        <w:t>Pharmacological properties</w:t>
      </w:r>
    </w:p>
    <w:p w14:paraId="1031D7F5" w14:textId="77777777" w:rsidR="001A3992" w:rsidRPr="00201CF7" w:rsidRDefault="001A3992" w:rsidP="001A3992">
      <w:pPr>
        <w:pStyle w:val="Heading2"/>
        <w:spacing w:before="0" w:after="120"/>
        <w:rPr>
          <w:rFonts w:cstheme="minorHAnsi"/>
          <w:lang w:val="en-US"/>
        </w:rPr>
      </w:pPr>
      <w:r w:rsidRPr="00201CF7">
        <w:rPr>
          <w:rFonts w:cstheme="minorHAnsi"/>
          <w:lang w:val="en-US"/>
        </w:rPr>
        <w:t xml:space="preserve">Pharmacodynamic properties </w:t>
      </w:r>
    </w:p>
    <w:p w14:paraId="7944B0F1" w14:textId="63C3046D" w:rsidR="00616A28" w:rsidRPr="00201CF7" w:rsidRDefault="00616A28" w:rsidP="00616A28">
      <w:pPr>
        <w:spacing w:line="240" w:lineRule="auto"/>
        <w:rPr>
          <w:rFonts w:asciiTheme="majorHAnsi" w:hAnsiTheme="majorHAnsi"/>
          <w:noProof/>
        </w:rPr>
      </w:pPr>
      <w:r w:rsidRPr="00201CF7">
        <w:rPr>
          <w:rFonts w:asciiTheme="majorHAnsi" w:hAnsiTheme="majorHAnsi"/>
        </w:rPr>
        <w:t xml:space="preserve">Pharmacotherapeutic group: </w:t>
      </w:r>
      <w:r w:rsidRPr="00201CF7">
        <w:rPr>
          <w:rFonts w:asciiTheme="majorHAnsi" w:hAnsiTheme="majorHAnsi"/>
          <w:bCs/>
          <w:noProof/>
        </w:rPr>
        <w:t>Bacterial vaccines</w:t>
      </w:r>
      <w:r w:rsidRPr="00201CF7">
        <w:rPr>
          <w:rFonts w:asciiTheme="majorHAnsi" w:hAnsiTheme="majorHAnsi"/>
          <w:noProof/>
        </w:rPr>
        <w:t xml:space="preserve">, ATC code: </w:t>
      </w:r>
      <w:r w:rsidRPr="00201CF7">
        <w:rPr>
          <w:rFonts w:asciiTheme="majorHAnsi" w:hAnsiTheme="majorHAnsi"/>
          <w:bCs/>
          <w:noProof/>
        </w:rPr>
        <w:t>J07AE02.</w:t>
      </w:r>
    </w:p>
    <w:p w14:paraId="6336894D" w14:textId="034794A9" w:rsidR="001A3992" w:rsidRPr="00201CF7" w:rsidRDefault="001A3992" w:rsidP="00E16AE9">
      <w:pPr>
        <w:pStyle w:val="Heading3"/>
        <w:spacing w:before="0" w:after="120"/>
        <w:ind w:left="0"/>
        <w:rPr>
          <w:rFonts w:cstheme="minorHAnsi"/>
        </w:rPr>
      </w:pPr>
      <w:r w:rsidRPr="00201CF7">
        <w:rPr>
          <w:rFonts w:cstheme="minorHAnsi"/>
        </w:rPr>
        <w:t>Mechanism of action</w:t>
      </w:r>
    </w:p>
    <w:p w14:paraId="2CD7C7BB" w14:textId="2E85E555" w:rsidR="00CA41CA" w:rsidRPr="00F848A3" w:rsidRDefault="00BD0E7C" w:rsidP="67574A11">
      <w:pPr>
        <w:autoSpaceDE w:val="0"/>
        <w:autoSpaceDN w:val="0"/>
        <w:adjustRightInd w:val="0"/>
        <w:spacing w:line="240" w:lineRule="auto"/>
        <w:rPr>
          <w:rFonts w:asciiTheme="majorHAnsi" w:hAnsiTheme="majorHAnsi"/>
        </w:rPr>
      </w:pPr>
      <w:r>
        <w:rPr>
          <w:rFonts w:asciiTheme="majorHAnsi" w:hAnsiTheme="majorHAnsi"/>
        </w:rPr>
        <w:t>VAXCHORA</w:t>
      </w:r>
      <w:r w:rsidR="00622308" w:rsidRPr="00201CF7">
        <w:rPr>
          <w:rFonts w:asciiTheme="majorHAnsi" w:hAnsiTheme="majorHAnsi"/>
        </w:rPr>
        <w:t xml:space="preserve"> </w:t>
      </w:r>
      <w:r w:rsidR="00F339FA">
        <w:rPr>
          <w:rFonts w:asciiTheme="majorHAnsi" w:hAnsiTheme="majorHAnsi"/>
          <w:noProof/>
        </w:rPr>
        <w:t>vaccine</w:t>
      </w:r>
      <w:r w:rsidR="00F339FA" w:rsidRPr="00201CF7">
        <w:rPr>
          <w:rFonts w:asciiTheme="majorHAnsi" w:hAnsiTheme="majorHAnsi"/>
        </w:rPr>
        <w:t xml:space="preserve"> </w:t>
      </w:r>
      <w:r w:rsidR="00622308" w:rsidRPr="00201CF7">
        <w:rPr>
          <w:rFonts w:asciiTheme="majorHAnsi" w:hAnsiTheme="majorHAnsi"/>
        </w:rPr>
        <w:t>contains live attenuated cholera bacteria (</w:t>
      </w:r>
      <w:r w:rsidR="00622308" w:rsidRPr="00DD5D59">
        <w:rPr>
          <w:rFonts w:asciiTheme="majorHAnsi" w:hAnsiTheme="majorHAnsi"/>
          <w:i/>
        </w:rPr>
        <w:t>V. cholerae</w:t>
      </w:r>
      <w:r w:rsidR="00622308" w:rsidRPr="00201CF7">
        <w:rPr>
          <w:rFonts w:asciiTheme="majorHAnsi" w:hAnsiTheme="majorHAnsi"/>
        </w:rPr>
        <w:t xml:space="preserve"> O1 classical Inaba strain CVD 103-HgR</w:t>
      </w:r>
      <w:r w:rsidR="00622308" w:rsidRPr="6826A92A">
        <w:rPr>
          <w:rFonts w:asciiTheme="majorHAnsi" w:hAnsiTheme="majorHAnsi"/>
        </w:rPr>
        <w:t>)</w:t>
      </w:r>
      <w:r w:rsidR="5492970C" w:rsidRPr="6826A92A">
        <w:rPr>
          <w:rFonts w:asciiTheme="majorHAnsi" w:hAnsiTheme="majorHAnsi"/>
        </w:rPr>
        <w:t>. CVD 103-HgR</w:t>
      </w:r>
      <w:r w:rsidR="35122E89" w:rsidRPr="6826A92A">
        <w:rPr>
          <w:rFonts w:asciiTheme="majorHAnsi" w:hAnsiTheme="majorHAnsi"/>
        </w:rPr>
        <w:t xml:space="preserve"> </w:t>
      </w:r>
      <w:r w:rsidR="35122E89" w:rsidRPr="00F848A3">
        <w:rPr>
          <w:rFonts w:asciiTheme="majorHAnsi" w:hAnsiTheme="majorHAnsi"/>
        </w:rPr>
        <w:t xml:space="preserve">was constructed from the serogroup O1 classical Inaba strain 569B by deleting the catalytic domain sequence of both copies of the </w:t>
      </w:r>
      <w:proofErr w:type="spellStart"/>
      <w:r w:rsidR="35122E89" w:rsidRPr="00F848A3">
        <w:rPr>
          <w:rFonts w:asciiTheme="majorHAnsi" w:hAnsiTheme="majorHAnsi"/>
        </w:rPr>
        <w:t>ctxA</w:t>
      </w:r>
      <w:proofErr w:type="spellEnd"/>
      <w:r w:rsidR="35122E89" w:rsidRPr="00F848A3">
        <w:rPr>
          <w:rFonts w:asciiTheme="majorHAnsi" w:hAnsiTheme="majorHAnsi"/>
        </w:rPr>
        <w:t xml:space="preserve"> gene, which prevents the synthesis of the toxic subunit A of cholera toxin, thus preventing synthesis of active cholera toxin (CT). This attenuated strain remains able to synthesize the immunogenic non-toxic B subunit of CT (encoded by the </w:t>
      </w:r>
      <w:proofErr w:type="spellStart"/>
      <w:r w:rsidR="35122E89" w:rsidRPr="00F848A3">
        <w:rPr>
          <w:rFonts w:asciiTheme="majorHAnsi" w:hAnsiTheme="majorHAnsi"/>
        </w:rPr>
        <w:t>ctxB</w:t>
      </w:r>
      <w:proofErr w:type="spellEnd"/>
      <w:r w:rsidR="35122E89" w:rsidRPr="00F848A3">
        <w:rPr>
          <w:rFonts w:asciiTheme="majorHAnsi" w:hAnsiTheme="majorHAnsi"/>
        </w:rPr>
        <w:t xml:space="preserve"> gene). In addition, a marker was inserted into the hemolysin gene locus (</w:t>
      </w:r>
      <w:proofErr w:type="spellStart"/>
      <w:r w:rsidR="35122E89" w:rsidRPr="00F848A3">
        <w:rPr>
          <w:rFonts w:asciiTheme="majorHAnsi" w:hAnsiTheme="majorHAnsi"/>
        </w:rPr>
        <w:t>hlyA</w:t>
      </w:r>
      <w:proofErr w:type="spellEnd"/>
      <w:r w:rsidR="35122E89" w:rsidRPr="00F848A3">
        <w:rPr>
          <w:rFonts w:asciiTheme="majorHAnsi" w:hAnsiTheme="majorHAnsi"/>
        </w:rPr>
        <w:t xml:space="preserve">) to enable differentiation of the vaccine strain from wild type </w:t>
      </w:r>
      <w:r w:rsidR="35122E89" w:rsidRPr="00DD5D59">
        <w:rPr>
          <w:rFonts w:asciiTheme="majorHAnsi" w:hAnsiTheme="majorHAnsi"/>
          <w:i/>
        </w:rPr>
        <w:t>V. cholerae</w:t>
      </w:r>
      <w:r w:rsidR="35122E89" w:rsidRPr="00F848A3">
        <w:rPr>
          <w:rFonts w:asciiTheme="majorHAnsi" w:hAnsiTheme="majorHAnsi"/>
        </w:rPr>
        <w:t xml:space="preserve"> O1. CVD 103-HgR elicits a local intestinal and serum antibody response which recognizes native cholera toxin and wild type </w:t>
      </w:r>
      <w:r w:rsidR="35122E89" w:rsidRPr="00DD5D59">
        <w:rPr>
          <w:rFonts w:asciiTheme="majorHAnsi" w:hAnsiTheme="majorHAnsi"/>
          <w:i/>
        </w:rPr>
        <w:t>V. cholerae</w:t>
      </w:r>
      <w:r w:rsidR="35122E89" w:rsidRPr="00F848A3">
        <w:rPr>
          <w:rFonts w:asciiTheme="majorHAnsi" w:hAnsiTheme="majorHAnsi"/>
        </w:rPr>
        <w:t xml:space="preserve">. Due to the inability of CVD 103-HgR to synthesize active cholera toxin subunit A, diarrheal disease normally associated with </w:t>
      </w:r>
      <w:r w:rsidR="35122E89" w:rsidRPr="00DD5D59">
        <w:rPr>
          <w:rFonts w:asciiTheme="majorHAnsi" w:hAnsiTheme="majorHAnsi"/>
          <w:i/>
        </w:rPr>
        <w:t>V. cholerae</w:t>
      </w:r>
      <w:r w:rsidR="35122E89" w:rsidRPr="00F848A3">
        <w:rPr>
          <w:rFonts w:asciiTheme="majorHAnsi" w:hAnsiTheme="majorHAnsi"/>
        </w:rPr>
        <w:t xml:space="preserve"> infection is absent.</w:t>
      </w:r>
    </w:p>
    <w:p w14:paraId="66CA6FBB" w14:textId="5D826856" w:rsidR="00CA41CA" w:rsidRPr="00201CF7" w:rsidRDefault="3FFE773D" w:rsidP="00622308">
      <w:pPr>
        <w:autoSpaceDE w:val="0"/>
        <w:autoSpaceDN w:val="0"/>
        <w:adjustRightInd w:val="0"/>
        <w:spacing w:line="240" w:lineRule="auto"/>
        <w:rPr>
          <w:rFonts w:asciiTheme="majorHAnsi" w:hAnsiTheme="majorHAnsi"/>
        </w:rPr>
      </w:pPr>
      <w:r w:rsidRPr="538DBF1D">
        <w:rPr>
          <w:rFonts w:asciiTheme="majorHAnsi" w:hAnsiTheme="majorHAnsi"/>
        </w:rPr>
        <w:t>VAXCHORA</w:t>
      </w:r>
      <w:r w:rsidR="00622308" w:rsidRPr="00201CF7">
        <w:rPr>
          <w:rFonts w:asciiTheme="majorHAnsi" w:hAnsiTheme="majorHAnsi"/>
        </w:rPr>
        <w:t xml:space="preserve"> </w:t>
      </w:r>
      <w:r w:rsidR="00F339FA">
        <w:rPr>
          <w:rFonts w:asciiTheme="majorHAnsi" w:hAnsiTheme="majorHAnsi"/>
          <w:noProof/>
        </w:rPr>
        <w:t>vaccine</w:t>
      </w:r>
      <w:r w:rsidR="00622308" w:rsidRPr="00201CF7">
        <w:rPr>
          <w:rFonts w:asciiTheme="majorHAnsi" w:hAnsiTheme="majorHAnsi"/>
        </w:rPr>
        <w:t xml:space="preserve"> </w:t>
      </w:r>
      <w:r w:rsidR="00622308" w:rsidRPr="538DBF1D">
        <w:rPr>
          <w:rFonts w:asciiTheme="majorHAnsi" w:hAnsiTheme="majorHAnsi"/>
        </w:rPr>
        <w:t>replicate</w:t>
      </w:r>
      <w:r w:rsidR="25654BAF" w:rsidRPr="538DBF1D">
        <w:rPr>
          <w:rFonts w:asciiTheme="majorHAnsi" w:hAnsiTheme="majorHAnsi"/>
        </w:rPr>
        <w:t>s</w:t>
      </w:r>
      <w:r w:rsidR="00622308" w:rsidRPr="00201CF7">
        <w:rPr>
          <w:rFonts w:asciiTheme="majorHAnsi" w:hAnsiTheme="majorHAnsi"/>
        </w:rPr>
        <w:t xml:space="preserve"> in the gastrointestinal tract of the recipient and </w:t>
      </w:r>
      <w:r w:rsidR="1C1A1361" w:rsidRPr="538DBF1D">
        <w:rPr>
          <w:rFonts w:asciiTheme="majorHAnsi" w:hAnsiTheme="majorHAnsi"/>
        </w:rPr>
        <w:t xml:space="preserve">induces </w:t>
      </w:r>
      <w:r w:rsidR="00622308" w:rsidRPr="00201CF7">
        <w:rPr>
          <w:rFonts w:asciiTheme="majorHAnsi" w:hAnsiTheme="majorHAnsi"/>
        </w:rPr>
        <w:t xml:space="preserve">serum </w:t>
      </w:r>
      <w:proofErr w:type="spellStart"/>
      <w:r w:rsidR="00622308" w:rsidRPr="00201CF7">
        <w:rPr>
          <w:rFonts w:asciiTheme="majorHAnsi" w:hAnsiTheme="majorHAnsi"/>
        </w:rPr>
        <w:t>vibriocidal</w:t>
      </w:r>
      <w:proofErr w:type="spellEnd"/>
      <w:r w:rsidR="00622308" w:rsidRPr="00201CF7">
        <w:rPr>
          <w:rFonts w:asciiTheme="majorHAnsi" w:hAnsiTheme="majorHAnsi"/>
        </w:rPr>
        <w:t xml:space="preserve"> antibody and memory B cell response</w:t>
      </w:r>
      <w:r w:rsidR="0092626B">
        <w:rPr>
          <w:rFonts w:asciiTheme="majorHAnsi" w:hAnsiTheme="majorHAnsi"/>
        </w:rPr>
        <w:t>s</w:t>
      </w:r>
      <w:r w:rsidR="00622308" w:rsidRPr="00201CF7">
        <w:rPr>
          <w:rFonts w:asciiTheme="majorHAnsi" w:hAnsiTheme="majorHAnsi"/>
        </w:rPr>
        <w:t xml:space="preserve">. Immune mechanisms conferring protection against cholera following receipt of </w:t>
      </w:r>
      <w:r w:rsidR="00BD0E7C">
        <w:rPr>
          <w:rFonts w:asciiTheme="majorHAnsi" w:hAnsiTheme="majorHAnsi"/>
        </w:rPr>
        <w:t>VAXCHORA</w:t>
      </w:r>
      <w:r w:rsidR="00622308" w:rsidRPr="00201CF7">
        <w:rPr>
          <w:rFonts w:asciiTheme="majorHAnsi" w:hAnsiTheme="majorHAnsi"/>
        </w:rPr>
        <w:t xml:space="preserve"> </w:t>
      </w:r>
      <w:r w:rsidR="00F339FA">
        <w:rPr>
          <w:rFonts w:asciiTheme="majorHAnsi" w:hAnsiTheme="majorHAnsi"/>
          <w:noProof/>
        </w:rPr>
        <w:t>vaccine</w:t>
      </w:r>
      <w:r w:rsidR="00F339FA" w:rsidRPr="00201CF7">
        <w:rPr>
          <w:rFonts w:asciiTheme="majorHAnsi" w:hAnsiTheme="majorHAnsi"/>
        </w:rPr>
        <w:t xml:space="preserve"> </w:t>
      </w:r>
      <w:r w:rsidR="00622308" w:rsidRPr="00201CF7">
        <w:rPr>
          <w:rFonts w:asciiTheme="majorHAnsi" w:hAnsiTheme="majorHAnsi"/>
        </w:rPr>
        <w:t xml:space="preserve">have not been determined, however, rises in serum </w:t>
      </w:r>
      <w:proofErr w:type="spellStart"/>
      <w:r w:rsidR="00622308" w:rsidRPr="00201CF7">
        <w:rPr>
          <w:rFonts w:asciiTheme="majorHAnsi" w:hAnsiTheme="majorHAnsi"/>
        </w:rPr>
        <w:t>vibriocidal</w:t>
      </w:r>
      <w:proofErr w:type="spellEnd"/>
      <w:r w:rsidR="00622308" w:rsidRPr="00201CF7">
        <w:rPr>
          <w:rFonts w:asciiTheme="majorHAnsi" w:hAnsiTheme="majorHAnsi"/>
        </w:rPr>
        <w:t xml:space="preserve"> antibody </w:t>
      </w:r>
      <w:r w:rsidR="00287F1F">
        <w:rPr>
          <w:rFonts w:asciiTheme="majorHAnsi" w:hAnsiTheme="majorHAnsi"/>
        </w:rPr>
        <w:t>10</w:t>
      </w:r>
      <w:r w:rsidR="00622308" w:rsidRPr="00201CF7">
        <w:rPr>
          <w:rFonts w:asciiTheme="majorHAnsi" w:hAnsiTheme="majorHAnsi"/>
        </w:rPr>
        <w:t xml:space="preserve"> days after vaccination with </w:t>
      </w:r>
      <w:r w:rsidR="00BD0E7C">
        <w:rPr>
          <w:rFonts w:asciiTheme="majorHAnsi" w:hAnsiTheme="majorHAnsi"/>
        </w:rPr>
        <w:t>VAXCHORA</w:t>
      </w:r>
      <w:r w:rsidR="00622308" w:rsidRPr="00201CF7">
        <w:rPr>
          <w:rFonts w:asciiTheme="majorHAnsi" w:hAnsiTheme="majorHAnsi"/>
        </w:rPr>
        <w:t xml:space="preserve"> </w:t>
      </w:r>
      <w:r w:rsidR="00F339FA">
        <w:rPr>
          <w:rFonts w:asciiTheme="majorHAnsi" w:hAnsiTheme="majorHAnsi"/>
          <w:noProof/>
        </w:rPr>
        <w:t>vaccine</w:t>
      </w:r>
      <w:r w:rsidR="00F339FA" w:rsidRPr="00201CF7">
        <w:rPr>
          <w:rFonts w:asciiTheme="majorHAnsi" w:hAnsiTheme="majorHAnsi"/>
        </w:rPr>
        <w:t xml:space="preserve"> </w:t>
      </w:r>
      <w:r w:rsidR="00622308" w:rsidRPr="00201CF7">
        <w:rPr>
          <w:rFonts w:asciiTheme="majorHAnsi" w:hAnsiTheme="majorHAnsi"/>
        </w:rPr>
        <w:t>were associated with protection in a human challenge study.</w:t>
      </w:r>
    </w:p>
    <w:p w14:paraId="3E3E2AC3" w14:textId="4A0520E2" w:rsidR="001A3992" w:rsidRPr="00201CF7" w:rsidRDefault="001A3992" w:rsidP="00E16AE9">
      <w:pPr>
        <w:pStyle w:val="Heading3"/>
        <w:spacing w:before="0" w:after="120"/>
        <w:ind w:left="0"/>
        <w:rPr>
          <w:rFonts w:cstheme="minorHAnsi"/>
          <w:lang w:val="en-US"/>
        </w:rPr>
      </w:pPr>
      <w:r w:rsidRPr="00201CF7">
        <w:rPr>
          <w:rFonts w:cstheme="minorHAnsi"/>
        </w:rPr>
        <w:t>Clinical</w:t>
      </w:r>
      <w:r w:rsidRPr="00201CF7">
        <w:rPr>
          <w:rFonts w:cstheme="minorHAnsi"/>
          <w:lang w:val="en-US"/>
        </w:rPr>
        <w:t xml:space="preserve"> trials</w:t>
      </w:r>
    </w:p>
    <w:p w14:paraId="62A37D75" w14:textId="77777777"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u w:val="single"/>
        </w:rPr>
        <w:t>Efficacy against cholera challenge</w:t>
      </w:r>
    </w:p>
    <w:p w14:paraId="3510D35C" w14:textId="5AAB35F0" w:rsidR="00694498" w:rsidRPr="00201CF7" w:rsidRDefault="00BD0E7C" w:rsidP="00694498">
      <w:pPr>
        <w:autoSpaceDE w:val="0"/>
        <w:autoSpaceDN w:val="0"/>
        <w:adjustRightInd w:val="0"/>
        <w:spacing w:line="240" w:lineRule="auto"/>
        <w:rPr>
          <w:rFonts w:asciiTheme="majorHAnsi" w:hAnsiTheme="majorHAnsi"/>
        </w:rPr>
      </w:pPr>
      <w:r>
        <w:rPr>
          <w:rFonts w:asciiTheme="majorHAnsi" w:hAnsiTheme="majorHAnsi"/>
        </w:rPr>
        <w:t>VAXCHORA</w:t>
      </w:r>
      <w:r w:rsidR="00694498" w:rsidRPr="00201CF7">
        <w:rPr>
          <w:rFonts w:asciiTheme="majorHAnsi" w:hAnsiTheme="majorHAnsi"/>
        </w:rPr>
        <w:t xml:space="preserve"> efficacy against cholera was demonstrated in a human challenge study conducted in 197 healthy adult volunteers mean age 31 years (range 18 to 45, 62.9% male, 37.1% female) </w:t>
      </w:r>
      <w:r w:rsidR="00694498" w:rsidRPr="00201CF7">
        <w:rPr>
          <w:rStyle w:val="CommentReference"/>
          <w:rFonts w:asciiTheme="majorHAnsi" w:hAnsiTheme="majorHAnsi"/>
          <w:sz w:val="24"/>
          <w:szCs w:val="24"/>
        </w:rPr>
        <w:t>in which</w:t>
      </w:r>
      <w:r w:rsidR="00694498" w:rsidRPr="00201CF7">
        <w:rPr>
          <w:rFonts w:asciiTheme="majorHAnsi" w:hAnsiTheme="majorHAnsi"/>
          <w:sz w:val="24"/>
          <w:szCs w:val="24"/>
        </w:rPr>
        <w:t xml:space="preserve"> </w:t>
      </w:r>
      <w:r w:rsidR="00694498" w:rsidRPr="00201CF7">
        <w:rPr>
          <w:rFonts w:asciiTheme="majorHAnsi" w:hAnsiTheme="majorHAnsi"/>
        </w:rPr>
        <w:t xml:space="preserve">a subset of </w:t>
      </w:r>
      <w:r>
        <w:rPr>
          <w:rFonts w:asciiTheme="majorHAnsi" w:hAnsiTheme="majorHAnsi"/>
        </w:rPr>
        <w:t>VAXCHORA</w:t>
      </w:r>
      <w:r w:rsidR="00694498" w:rsidRPr="00201CF7">
        <w:rPr>
          <w:rFonts w:asciiTheme="majorHAnsi" w:hAnsiTheme="majorHAnsi"/>
        </w:rPr>
        <w:t xml:space="preserve"> </w:t>
      </w:r>
      <w:r w:rsidR="00463DCD">
        <w:rPr>
          <w:rFonts w:asciiTheme="majorHAnsi" w:hAnsiTheme="majorHAnsi"/>
          <w:noProof/>
        </w:rPr>
        <w:t>vaccine</w:t>
      </w:r>
      <w:r w:rsidR="00463DCD" w:rsidRPr="00201CF7">
        <w:rPr>
          <w:rFonts w:asciiTheme="majorHAnsi" w:hAnsiTheme="majorHAnsi"/>
        </w:rPr>
        <w:t xml:space="preserve"> </w:t>
      </w:r>
      <w:r w:rsidR="00694498" w:rsidRPr="00201CF7">
        <w:rPr>
          <w:rFonts w:asciiTheme="majorHAnsi" w:hAnsiTheme="majorHAnsi"/>
        </w:rPr>
        <w:t xml:space="preserve">or placebo recipients were challenged with live </w:t>
      </w:r>
      <w:r w:rsidR="00694498" w:rsidRPr="00201CF7">
        <w:rPr>
          <w:rFonts w:asciiTheme="majorHAnsi" w:hAnsiTheme="majorHAnsi"/>
          <w:i/>
        </w:rPr>
        <w:t>V. cholerae</w:t>
      </w:r>
      <w:r w:rsidR="00694498" w:rsidRPr="00201CF7">
        <w:rPr>
          <w:rFonts w:asciiTheme="majorHAnsi" w:hAnsiTheme="majorHAnsi"/>
        </w:rPr>
        <w:t xml:space="preserve"> at 10 days post-vaccination (n=68) or 3 months post-vaccination (n=66). Protective efficacy against moderate to severe diarrhoea is shown in </w:t>
      </w:r>
      <w:r w:rsidR="003500A8">
        <w:rPr>
          <w:rFonts w:asciiTheme="majorHAnsi" w:hAnsiTheme="majorHAnsi"/>
        </w:rPr>
        <w:fldChar w:fldCharType="begin"/>
      </w:r>
      <w:r w:rsidR="003500A8">
        <w:rPr>
          <w:rFonts w:asciiTheme="majorHAnsi" w:hAnsiTheme="majorHAnsi"/>
        </w:rPr>
        <w:instrText xml:space="preserve"> REF _Ref80262338 \h </w:instrText>
      </w:r>
      <w:r w:rsidR="00AE1544">
        <w:rPr>
          <w:rFonts w:asciiTheme="majorHAnsi" w:hAnsiTheme="majorHAnsi"/>
        </w:rPr>
        <w:instrText xml:space="preserve"> \* MERGEFORMAT </w:instrText>
      </w:r>
      <w:r w:rsidR="003500A8">
        <w:rPr>
          <w:rFonts w:asciiTheme="majorHAnsi" w:hAnsiTheme="majorHAnsi"/>
        </w:rPr>
      </w:r>
      <w:r w:rsidR="003500A8">
        <w:rPr>
          <w:rFonts w:asciiTheme="majorHAnsi" w:hAnsiTheme="majorHAnsi"/>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4</w:t>
      </w:r>
      <w:r w:rsidR="003500A8">
        <w:rPr>
          <w:rFonts w:asciiTheme="majorHAnsi" w:hAnsiTheme="majorHAnsi"/>
        </w:rPr>
        <w:fldChar w:fldCharType="end"/>
      </w:r>
      <w:r w:rsidR="00694498" w:rsidRPr="00201CF7">
        <w:rPr>
          <w:rFonts w:asciiTheme="majorHAnsi" w:hAnsiTheme="majorHAnsi"/>
        </w:rPr>
        <w:t>.</w:t>
      </w:r>
    </w:p>
    <w:p w14:paraId="6C3A6F44" w14:textId="6004F620"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rPr>
        <w:t xml:space="preserve">In individuals with blood group O only, the protective efficacy against moderate or severe diarrhoea was </w:t>
      </w:r>
      <w:r w:rsidR="00687DA7">
        <w:rPr>
          <w:rFonts w:asciiTheme="majorHAnsi" w:hAnsiTheme="majorHAnsi"/>
        </w:rPr>
        <w:t>84.</w:t>
      </w:r>
      <w:r w:rsidR="002E2949">
        <w:rPr>
          <w:rFonts w:asciiTheme="majorHAnsi" w:hAnsiTheme="majorHAnsi"/>
        </w:rPr>
        <w:t>8</w:t>
      </w:r>
      <w:r w:rsidRPr="00201CF7">
        <w:rPr>
          <w:rFonts w:asciiTheme="majorHAnsi" w:hAnsiTheme="majorHAnsi"/>
        </w:rPr>
        <w:t>% in the 10</w:t>
      </w:r>
      <w:r w:rsidR="00BF7138">
        <w:rPr>
          <w:rFonts w:asciiTheme="majorHAnsi" w:hAnsiTheme="majorHAnsi"/>
        </w:rPr>
        <w:t>-</w:t>
      </w:r>
      <w:r w:rsidRPr="00201CF7">
        <w:rPr>
          <w:rFonts w:asciiTheme="majorHAnsi" w:hAnsiTheme="majorHAnsi"/>
        </w:rPr>
        <w:t xml:space="preserve">day challenge group (n=19) and </w:t>
      </w:r>
      <w:r w:rsidR="000549C1">
        <w:rPr>
          <w:rFonts w:asciiTheme="majorHAnsi" w:hAnsiTheme="majorHAnsi"/>
        </w:rPr>
        <w:t>78</w:t>
      </w:r>
      <w:r w:rsidR="00285047">
        <w:rPr>
          <w:rFonts w:asciiTheme="majorHAnsi" w:hAnsiTheme="majorHAnsi"/>
        </w:rPr>
        <w:t>.4</w:t>
      </w:r>
      <w:r w:rsidRPr="00201CF7">
        <w:rPr>
          <w:rFonts w:asciiTheme="majorHAnsi" w:hAnsiTheme="majorHAnsi"/>
        </w:rPr>
        <w:t>% in the 3</w:t>
      </w:r>
      <w:r w:rsidR="00940FE6">
        <w:rPr>
          <w:rFonts w:asciiTheme="majorHAnsi" w:hAnsiTheme="majorHAnsi"/>
        </w:rPr>
        <w:t>-</w:t>
      </w:r>
      <w:r w:rsidRPr="00201CF7">
        <w:rPr>
          <w:rFonts w:asciiTheme="majorHAnsi" w:hAnsiTheme="majorHAnsi"/>
        </w:rPr>
        <w:t>month challenge group (n=20).</w:t>
      </w:r>
    </w:p>
    <w:p w14:paraId="18CB7A05" w14:textId="460092F6" w:rsidR="00694498" w:rsidRPr="00F848A3" w:rsidRDefault="00E971BE" w:rsidP="00F848A3">
      <w:pPr>
        <w:pStyle w:val="Caption"/>
        <w:tabs>
          <w:tab w:val="clear" w:pos="2160"/>
          <w:tab w:val="left" w:pos="0"/>
        </w:tabs>
        <w:ind w:left="0" w:firstLine="0"/>
      </w:pPr>
      <w:bookmarkStart w:id="7" w:name="_Ref80262338"/>
      <w:bookmarkStart w:id="8" w:name="c_Table_3_Vaccine_Efficacy_in_the_Preven"/>
      <w:r>
        <w:lastRenderedPageBreak/>
        <w:t xml:space="preserve">Table </w:t>
      </w:r>
      <w:r>
        <w:fldChar w:fldCharType="begin"/>
      </w:r>
      <w:r>
        <w:instrText xml:space="preserve"> SEQ Table \* ARABIC </w:instrText>
      </w:r>
      <w:r>
        <w:fldChar w:fldCharType="separate"/>
      </w:r>
      <w:r w:rsidR="003717CB">
        <w:rPr>
          <w:noProof/>
        </w:rPr>
        <w:t>4</w:t>
      </w:r>
      <w:r>
        <w:fldChar w:fldCharType="end"/>
      </w:r>
      <w:bookmarkEnd w:id="7"/>
      <w:r>
        <w:t xml:space="preserve">: </w:t>
      </w:r>
      <w:r w:rsidR="00012301">
        <w:rPr>
          <w:rFonts w:asciiTheme="majorHAnsi" w:hAnsiTheme="majorHAnsi"/>
          <w:sz w:val="22"/>
          <w:szCs w:val="22"/>
        </w:rPr>
        <w:t xml:space="preserve">Diarrheal Volume and </w:t>
      </w:r>
      <w:r w:rsidR="00694498" w:rsidRPr="00201CF7">
        <w:rPr>
          <w:rFonts w:asciiTheme="majorHAnsi" w:hAnsiTheme="majorHAnsi"/>
          <w:sz w:val="22"/>
          <w:szCs w:val="22"/>
        </w:rPr>
        <w:t xml:space="preserve">Protective Efficacy in the Prevention of Moderate to Severe </w:t>
      </w:r>
      <w:proofErr w:type="spellStart"/>
      <w:r w:rsidR="00694498" w:rsidRPr="00201CF7">
        <w:rPr>
          <w:rFonts w:asciiTheme="majorHAnsi" w:hAnsiTheme="majorHAnsi"/>
          <w:sz w:val="22"/>
          <w:szCs w:val="22"/>
        </w:rPr>
        <w:t>Diarrhoea</w:t>
      </w:r>
      <w:proofErr w:type="spellEnd"/>
      <w:r w:rsidR="00694498" w:rsidRPr="00201CF7">
        <w:rPr>
          <w:rFonts w:asciiTheme="majorHAnsi" w:hAnsiTheme="majorHAnsi"/>
          <w:sz w:val="22"/>
          <w:szCs w:val="22"/>
        </w:rPr>
        <w:t xml:space="preserve"> Following Challenge with </w:t>
      </w:r>
      <w:r w:rsidR="00694498" w:rsidRPr="00201CF7">
        <w:rPr>
          <w:rFonts w:asciiTheme="majorHAnsi" w:hAnsiTheme="majorHAnsi"/>
          <w:i/>
          <w:sz w:val="22"/>
          <w:szCs w:val="22"/>
        </w:rPr>
        <w:t>V. cholerae</w:t>
      </w:r>
      <w:r w:rsidR="00694498" w:rsidRPr="00201CF7">
        <w:rPr>
          <w:rFonts w:asciiTheme="majorHAnsi" w:hAnsiTheme="majorHAnsi"/>
          <w:sz w:val="22"/>
          <w:szCs w:val="22"/>
        </w:rPr>
        <w:t xml:space="preserve"> O1 El Tor Inaba at 10 Days and 3 Months Post-Vaccination (Intent-to-Treat Population)</w:t>
      </w:r>
      <w:bookmarkEnd w:id="8"/>
    </w:p>
    <w:tbl>
      <w:tblPr>
        <w:tblW w:w="8445" w:type="dxa"/>
        <w:jc w:val="center"/>
        <w:tblLayout w:type="fixed"/>
        <w:tblLook w:val="04A0" w:firstRow="1" w:lastRow="0" w:firstColumn="1" w:lastColumn="0" w:noHBand="0" w:noVBand="1"/>
      </w:tblPr>
      <w:tblGrid>
        <w:gridCol w:w="2505"/>
        <w:gridCol w:w="1935"/>
        <w:gridCol w:w="1935"/>
        <w:gridCol w:w="2070"/>
      </w:tblGrid>
      <w:tr w:rsidR="00694498" w:rsidRPr="00201CF7" w14:paraId="0839CA82" w14:textId="77777777" w:rsidTr="0084298D">
        <w:trPr>
          <w:jc w:val="center"/>
        </w:trPr>
        <w:tc>
          <w:tcPr>
            <w:tcW w:w="2505" w:type="dxa"/>
            <w:tcBorders>
              <w:top w:val="single" w:sz="12" w:space="0" w:color="auto"/>
              <w:left w:val="single" w:sz="12" w:space="0" w:color="auto"/>
              <w:bottom w:val="single" w:sz="12" w:space="0" w:color="auto"/>
            </w:tcBorders>
            <w:shd w:val="clear" w:color="auto" w:fill="auto"/>
            <w:vAlign w:val="bottom"/>
          </w:tcPr>
          <w:p w14:paraId="5114BE19" w14:textId="77777777" w:rsidR="00694498" w:rsidRPr="00201CF7" w:rsidRDefault="00694498" w:rsidP="008575FA">
            <w:pPr>
              <w:pStyle w:val="ParaText"/>
              <w:keepNext/>
              <w:keepLines/>
              <w:spacing w:line="240" w:lineRule="auto"/>
              <w:jc w:val="both"/>
              <w:rPr>
                <w:rFonts w:asciiTheme="majorHAnsi" w:hAnsiTheme="majorHAnsi"/>
                <w:b/>
                <w:iCs/>
                <w:sz w:val="20"/>
                <w:szCs w:val="20"/>
              </w:rPr>
            </w:pPr>
            <w:r w:rsidRPr="00201CF7">
              <w:rPr>
                <w:rFonts w:asciiTheme="majorHAnsi" w:hAnsiTheme="majorHAnsi"/>
                <w:b/>
                <w:iCs/>
                <w:sz w:val="20"/>
                <w:szCs w:val="20"/>
              </w:rPr>
              <w:t>Parameter</w:t>
            </w:r>
          </w:p>
        </w:tc>
        <w:tc>
          <w:tcPr>
            <w:tcW w:w="1935" w:type="dxa"/>
            <w:tcBorders>
              <w:top w:val="single" w:sz="12" w:space="0" w:color="auto"/>
              <w:bottom w:val="single" w:sz="12" w:space="0" w:color="auto"/>
            </w:tcBorders>
            <w:shd w:val="clear" w:color="auto" w:fill="auto"/>
            <w:vAlign w:val="bottom"/>
          </w:tcPr>
          <w:p w14:paraId="23CDAC56" w14:textId="1EA17F74"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iCs/>
                <w:sz w:val="20"/>
                <w:szCs w:val="20"/>
              </w:rPr>
              <w:t>VAXCHORA</w:t>
            </w:r>
            <w:r w:rsidR="00014009">
              <w:rPr>
                <w:rFonts w:asciiTheme="majorHAnsi" w:hAnsiTheme="majorHAnsi"/>
                <w:b/>
                <w:iCs/>
                <w:sz w:val="20"/>
                <w:szCs w:val="20"/>
              </w:rPr>
              <w:t xml:space="preserve"> </w:t>
            </w:r>
            <w:r w:rsidR="00014009" w:rsidRPr="00F848A3">
              <w:rPr>
                <w:rFonts w:asciiTheme="majorHAnsi" w:hAnsiTheme="majorHAnsi"/>
                <w:b/>
                <w:bCs/>
                <w:noProof/>
              </w:rPr>
              <w:t>vaccine</w:t>
            </w:r>
            <w:r w:rsidR="00694498" w:rsidRPr="00201CF7">
              <w:rPr>
                <w:rFonts w:asciiTheme="majorHAnsi" w:hAnsiTheme="majorHAnsi"/>
                <w:b/>
                <w:iCs/>
                <w:sz w:val="20"/>
                <w:szCs w:val="20"/>
              </w:rPr>
              <w:br/>
              <w:t>10 Day Challenge</w:t>
            </w:r>
            <w:r w:rsidR="00694498" w:rsidRPr="00201CF7">
              <w:rPr>
                <w:rFonts w:asciiTheme="majorHAnsi" w:hAnsiTheme="majorHAnsi"/>
                <w:iCs/>
                <w:sz w:val="20"/>
                <w:szCs w:val="20"/>
              </w:rPr>
              <w:br/>
              <w:t>N=35</w:t>
            </w:r>
          </w:p>
        </w:tc>
        <w:tc>
          <w:tcPr>
            <w:tcW w:w="1935" w:type="dxa"/>
            <w:tcBorders>
              <w:top w:val="single" w:sz="12" w:space="0" w:color="auto"/>
              <w:bottom w:val="single" w:sz="12" w:space="0" w:color="auto"/>
            </w:tcBorders>
            <w:shd w:val="clear" w:color="auto" w:fill="auto"/>
            <w:vAlign w:val="bottom"/>
          </w:tcPr>
          <w:p w14:paraId="24591E42" w14:textId="34A346A1"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iCs/>
                <w:sz w:val="20"/>
                <w:szCs w:val="20"/>
              </w:rPr>
              <w:t>VAXCHORA</w:t>
            </w:r>
            <w:r w:rsidR="00014009">
              <w:rPr>
                <w:rFonts w:asciiTheme="majorHAnsi" w:hAnsiTheme="majorHAnsi"/>
                <w:b/>
                <w:iCs/>
                <w:sz w:val="20"/>
                <w:szCs w:val="20"/>
              </w:rPr>
              <w:t xml:space="preserve"> </w:t>
            </w:r>
            <w:r w:rsidR="00014009" w:rsidRPr="00F848A3">
              <w:rPr>
                <w:rFonts w:asciiTheme="majorHAnsi" w:hAnsiTheme="majorHAnsi"/>
                <w:b/>
                <w:bCs/>
                <w:noProof/>
              </w:rPr>
              <w:t>vaccine</w:t>
            </w:r>
            <w:r w:rsidR="00694498" w:rsidRPr="00201CF7">
              <w:rPr>
                <w:rFonts w:asciiTheme="majorHAnsi" w:hAnsiTheme="majorHAnsi"/>
                <w:b/>
                <w:iCs/>
                <w:sz w:val="20"/>
                <w:szCs w:val="20"/>
              </w:rPr>
              <w:br/>
              <w:t>3 Month Challenge</w:t>
            </w:r>
            <w:r w:rsidR="00694498" w:rsidRPr="00201CF7">
              <w:rPr>
                <w:rFonts w:asciiTheme="majorHAnsi" w:hAnsiTheme="majorHAnsi"/>
                <w:iCs/>
                <w:sz w:val="20"/>
                <w:szCs w:val="20"/>
              </w:rPr>
              <w:br/>
              <w:t>N=33</w:t>
            </w:r>
          </w:p>
        </w:tc>
        <w:tc>
          <w:tcPr>
            <w:tcW w:w="2070" w:type="dxa"/>
            <w:tcBorders>
              <w:top w:val="single" w:sz="12" w:space="0" w:color="auto"/>
              <w:bottom w:val="single" w:sz="12" w:space="0" w:color="auto"/>
              <w:right w:val="single" w:sz="12" w:space="0" w:color="auto"/>
            </w:tcBorders>
            <w:shd w:val="clear" w:color="auto" w:fill="auto"/>
            <w:vAlign w:val="bottom"/>
          </w:tcPr>
          <w:p w14:paraId="09EA9A9A"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b/>
                <w:iCs/>
                <w:sz w:val="20"/>
                <w:szCs w:val="20"/>
              </w:rPr>
              <w:t>Combined Placebo</w:t>
            </w:r>
            <w:r w:rsidRPr="00201CF7">
              <w:rPr>
                <w:rFonts w:asciiTheme="majorHAnsi" w:hAnsiTheme="majorHAnsi"/>
                <w:b/>
                <w:iCs/>
                <w:sz w:val="20"/>
                <w:szCs w:val="20"/>
                <w:vertAlign w:val="superscript"/>
              </w:rPr>
              <w:br/>
            </w:r>
            <w:r w:rsidRPr="00201CF7">
              <w:rPr>
                <w:rFonts w:asciiTheme="majorHAnsi" w:hAnsiTheme="majorHAnsi"/>
                <w:b/>
                <w:iCs/>
                <w:sz w:val="20"/>
                <w:szCs w:val="20"/>
              </w:rPr>
              <w:t>10 Day or 3 Month Challenge</w:t>
            </w:r>
            <w:r w:rsidRPr="00201CF7">
              <w:rPr>
                <w:rFonts w:asciiTheme="majorHAnsi" w:hAnsiTheme="majorHAnsi"/>
                <w:b/>
                <w:iCs/>
                <w:sz w:val="20"/>
                <w:szCs w:val="20"/>
              </w:rPr>
              <w:br/>
            </w:r>
            <w:r w:rsidRPr="00201CF7">
              <w:rPr>
                <w:rFonts w:asciiTheme="majorHAnsi" w:hAnsiTheme="majorHAnsi"/>
                <w:iCs/>
                <w:sz w:val="20"/>
                <w:szCs w:val="20"/>
              </w:rPr>
              <w:t>N=66</w:t>
            </w:r>
          </w:p>
        </w:tc>
      </w:tr>
      <w:tr w:rsidR="000374FE" w:rsidRPr="00201CF7" w14:paraId="0FD66BAB" w14:textId="77777777" w:rsidTr="0084298D">
        <w:trPr>
          <w:jc w:val="center"/>
        </w:trPr>
        <w:tc>
          <w:tcPr>
            <w:tcW w:w="2505" w:type="dxa"/>
            <w:tcBorders>
              <w:top w:val="single" w:sz="12" w:space="0" w:color="auto"/>
              <w:left w:val="single" w:sz="12" w:space="0" w:color="auto"/>
            </w:tcBorders>
            <w:shd w:val="clear" w:color="auto" w:fill="auto"/>
          </w:tcPr>
          <w:p w14:paraId="7A1BFC14" w14:textId="7B6D0F45" w:rsidR="000374FE" w:rsidRPr="0084298D" w:rsidRDefault="00B43A51"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rPr>
                <w:rFonts w:asciiTheme="majorHAnsi" w:hAnsiTheme="majorHAnsi" w:cs="Arial"/>
                <w:sz w:val="20"/>
                <w:szCs w:val="20"/>
                <w:lang w:val="en-CA"/>
              </w:rPr>
            </w:pPr>
            <w:r>
              <w:rPr>
                <w:rFonts w:asciiTheme="majorHAnsi" w:hAnsiTheme="majorHAnsi" w:cs="Arial"/>
                <w:sz w:val="20"/>
                <w:szCs w:val="20"/>
                <w:lang w:val="en-CA"/>
              </w:rPr>
              <w:t xml:space="preserve">Geometric Mean </w:t>
            </w:r>
            <w:r w:rsidR="000374FE" w:rsidRPr="0084298D">
              <w:rPr>
                <w:rFonts w:asciiTheme="majorHAnsi" w:hAnsiTheme="majorHAnsi" w:cs="Arial"/>
                <w:sz w:val="20"/>
                <w:szCs w:val="20"/>
                <w:lang w:val="en-CA"/>
              </w:rPr>
              <w:t xml:space="preserve">Diarrheal Volume (mL) </w:t>
            </w:r>
          </w:p>
          <w:p w14:paraId="1EA28075"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rPr>
                <w:rFonts w:asciiTheme="majorHAnsi" w:hAnsiTheme="majorHAnsi" w:cs="Arial"/>
                <w:sz w:val="20"/>
                <w:szCs w:val="20"/>
                <w:lang w:val="en-CA"/>
              </w:rPr>
            </w:pPr>
            <w:r w:rsidRPr="0084298D">
              <w:rPr>
                <w:rFonts w:asciiTheme="majorHAnsi" w:hAnsiTheme="majorHAnsi" w:cs="Arial"/>
                <w:sz w:val="20"/>
                <w:szCs w:val="20"/>
                <w:lang w:val="en-CA"/>
              </w:rPr>
              <w:t>[95% CI]</w:t>
            </w:r>
          </w:p>
          <w:p w14:paraId="5F01FA62" w14:textId="420DF13B" w:rsidR="000374FE" w:rsidRPr="000374FE" w:rsidRDefault="00E43D44" w:rsidP="0084298D">
            <w:pPr>
              <w:pStyle w:val="ParaText"/>
              <w:keepNext/>
              <w:keepLines/>
              <w:tabs>
                <w:tab w:val="left" w:pos="150"/>
              </w:tabs>
              <w:spacing w:line="240" w:lineRule="auto"/>
              <w:rPr>
                <w:rFonts w:asciiTheme="majorHAnsi" w:hAnsiTheme="majorHAnsi"/>
                <w:iCs/>
                <w:sz w:val="20"/>
                <w:szCs w:val="20"/>
              </w:rPr>
            </w:pPr>
            <w:r>
              <w:rPr>
                <w:rFonts w:asciiTheme="majorHAnsi" w:hAnsiTheme="majorHAnsi" w:cs="Arial"/>
                <w:sz w:val="20"/>
                <w:szCs w:val="20"/>
                <w:lang w:val="en-CA"/>
              </w:rPr>
              <w:tab/>
            </w:r>
            <w:r w:rsidR="000374FE" w:rsidRPr="0084298D">
              <w:rPr>
                <w:rFonts w:asciiTheme="majorHAnsi" w:hAnsiTheme="majorHAnsi" w:cs="Arial"/>
                <w:sz w:val="20"/>
                <w:szCs w:val="20"/>
                <w:lang w:val="en-CA"/>
              </w:rPr>
              <w:t>Min, Max</w:t>
            </w:r>
          </w:p>
        </w:tc>
        <w:tc>
          <w:tcPr>
            <w:tcW w:w="1935" w:type="dxa"/>
            <w:tcBorders>
              <w:top w:val="single" w:sz="12" w:space="0" w:color="auto"/>
            </w:tcBorders>
            <w:shd w:val="clear" w:color="auto" w:fill="auto"/>
          </w:tcPr>
          <w:p w14:paraId="7884D829"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p>
          <w:p w14:paraId="1B65A724"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r w:rsidRPr="0084298D">
              <w:rPr>
                <w:rFonts w:asciiTheme="majorHAnsi" w:hAnsiTheme="majorHAnsi" w:cs="Arial"/>
                <w:sz w:val="20"/>
                <w:szCs w:val="20"/>
                <w:lang w:val="en-CA"/>
              </w:rPr>
              <w:t>624.2</w:t>
            </w:r>
          </w:p>
          <w:p w14:paraId="25C9C880"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r w:rsidRPr="0084298D">
              <w:rPr>
                <w:rFonts w:asciiTheme="majorHAnsi" w:hAnsiTheme="majorHAnsi" w:cs="Arial"/>
                <w:sz w:val="20"/>
                <w:szCs w:val="20"/>
                <w:lang w:val="en-CA"/>
              </w:rPr>
              <w:t>[147.2, 2645.9]</w:t>
            </w:r>
          </w:p>
          <w:p w14:paraId="69EF72AB" w14:textId="491DA7B9" w:rsidR="000374FE" w:rsidRPr="000374FE" w:rsidRDefault="000374FE" w:rsidP="000374FE">
            <w:pPr>
              <w:pStyle w:val="ParaText"/>
              <w:keepNext/>
              <w:keepLines/>
              <w:spacing w:line="240" w:lineRule="auto"/>
              <w:jc w:val="center"/>
              <w:rPr>
                <w:rFonts w:asciiTheme="majorHAnsi" w:hAnsiTheme="majorHAnsi"/>
                <w:iCs/>
                <w:sz w:val="20"/>
                <w:szCs w:val="20"/>
              </w:rPr>
            </w:pPr>
            <w:r w:rsidRPr="0084298D">
              <w:rPr>
                <w:rFonts w:asciiTheme="majorHAnsi" w:hAnsiTheme="majorHAnsi" w:cs="Arial"/>
                <w:sz w:val="20"/>
                <w:szCs w:val="20"/>
                <w:lang w:val="en-CA"/>
              </w:rPr>
              <w:t>154, 18164</w:t>
            </w:r>
          </w:p>
        </w:tc>
        <w:tc>
          <w:tcPr>
            <w:tcW w:w="1935" w:type="dxa"/>
            <w:tcBorders>
              <w:top w:val="single" w:sz="12" w:space="0" w:color="auto"/>
            </w:tcBorders>
            <w:shd w:val="clear" w:color="auto" w:fill="auto"/>
          </w:tcPr>
          <w:p w14:paraId="11B83A27"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p>
          <w:p w14:paraId="639BAAC1"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r w:rsidRPr="0084298D">
              <w:rPr>
                <w:rFonts w:asciiTheme="majorHAnsi" w:hAnsiTheme="majorHAnsi" w:cs="Arial"/>
                <w:sz w:val="20"/>
                <w:szCs w:val="20"/>
                <w:lang w:val="en-CA"/>
              </w:rPr>
              <w:t>487.9</w:t>
            </w:r>
          </w:p>
          <w:p w14:paraId="65F29DFB"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jc w:val="center"/>
              <w:rPr>
                <w:rFonts w:asciiTheme="majorHAnsi" w:hAnsiTheme="majorHAnsi" w:cs="Arial"/>
                <w:sz w:val="20"/>
                <w:szCs w:val="20"/>
                <w:lang w:val="en-CA"/>
              </w:rPr>
            </w:pPr>
            <w:r w:rsidRPr="0084298D">
              <w:rPr>
                <w:rFonts w:asciiTheme="majorHAnsi" w:hAnsiTheme="majorHAnsi" w:cs="Arial"/>
                <w:sz w:val="20"/>
                <w:szCs w:val="20"/>
                <w:lang w:val="en-CA"/>
              </w:rPr>
              <w:t>[237.3, 1003.5]</w:t>
            </w:r>
          </w:p>
          <w:p w14:paraId="220EE7A2" w14:textId="27A3874B" w:rsidR="000374FE" w:rsidRPr="000374FE" w:rsidRDefault="000374FE" w:rsidP="000374FE">
            <w:pPr>
              <w:pStyle w:val="ParaText"/>
              <w:keepNext/>
              <w:keepLines/>
              <w:spacing w:line="240" w:lineRule="auto"/>
              <w:jc w:val="center"/>
              <w:rPr>
                <w:rFonts w:asciiTheme="majorHAnsi" w:hAnsiTheme="majorHAnsi"/>
                <w:iCs/>
                <w:sz w:val="20"/>
                <w:szCs w:val="20"/>
              </w:rPr>
            </w:pPr>
            <w:r w:rsidRPr="0084298D">
              <w:rPr>
                <w:rFonts w:asciiTheme="majorHAnsi" w:hAnsiTheme="majorHAnsi" w:cs="Arial"/>
                <w:sz w:val="20"/>
                <w:szCs w:val="20"/>
                <w:lang w:val="en-CA"/>
              </w:rPr>
              <w:t>22, 9950</w:t>
            </w:r>
          </w:p>
        </w:tc>
        <w:tc>
          <w:tcPr>
            <w:tcW w:w="2070" w:type="dxa"/>
            <w:tcBorders>
              <w:top w:val="single" w:sz="12" w:space="0" w:color="auto"/>
              <w:right w:val="single" w:sz="12" w:space="0" w:color="auto"/>
            </w:tcBorders>
            <w:shd w:val="clear" w:color="auto" w:fill="auto"/>
          </w:tcPr>
          <w:p w14:paraId="478A0B4F"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44" w:firstLine="720"/>
              <w:jc w:val="center"/>
              <w:rPr>
                <w:rFonts w:asciiTheme="majorHAnsi" w:hAnsiTheme="majorHAnsi" w:cs="Arial"/>
                <w:sz w:val="20"/>
                <w:szCs w:val="20"/>
                <w:lang w:val="en-CA"/>
              </w:rPr>
            </w:pPr>
          </w:p>
          <w:p w14:paraId="15E09EFB"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01" w:hanging="43"/>
              <w:jc w:val="center"/>
              <w:rPr>
                <w:rFonts w:asciiTheme="majorHAnsi" w:hAnsiTheme="majorHAnsi" w:cs="Arial"/>
                <w:sz w:val="20"/>
                <w:szCs w:val="20"/>
                <w:lang w:val="en-CA"/>
              </w:rPr>
            </w:pPr>
            <w:r w:rsidRPr="0084298D">
              <w:rPr>
                <w:rFonts w:asciiTheme="majorHAnsi" w:hAnsiTheme="majorHAnsi" w:cs="Arial"/>
                <w:sz w:val="20"/>
                <w:szCs w:val="20"/>
                <w:lang w:val="en-CA"/>
              </w:rPr>
              <w:t>3495.1</w:t>
            </w:r>
          </w:p>
          <w:p w14:paraId="653FCF62" w14:textId="77777777" w:rsidR="000374FE" w:rsidRPr="0084298D" w:rsidRDefault="000374FE" w:rsidP="000374F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01" w:hanging="43"/>
              <w:jc w:val="center"/>
              <w:rPr>
                <w:rFonts w:asciiTheme="majorHAnsi" w:hAnsiTheme="majorHAnsi" w:cs="Arial"/>
                <w:sz w:val="20"/>
                <w:szCs w:val="20"/>
                <w:lang w:val="en-CA"/>
              </w:rPr>
            </w:pPr>
            <w:r w:rsidRPr="0084298D">
              <w:rPr>
                <w:rFonts w:asciiTheme="majorHAnsi" w:hAnsiTheme="majorHAnsi" w:cs="Arial"/>
                <w:sz w:val="20"/>
                <w:szCs w:val="20"/>
                <w:lang w:val="en-CA"/>
              </w:rPr>
              <w:t>[2651.3, 4607.4]</w:t>
            </w:r>
          </w:p>
          <w:p w14:paraId="30D8FFB4" w14:textId="0E60018F" w:rsidR="000374FE" w:rsidRPr="000374FE" w:rsidRDefault="000374FE" w:rsidP="008429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ind w:left="101" w:hanging="43"/>
              <w:jc w:val="center"/>
              <w:rPr>
                <w:rFonts w:asciiTheme="majorHAnsi" w:hAnsiTheme="majorHAnsi"/>
                <w:iCs/>
                <w:sz w:val="20"/>
                <w:szCs w:val="20"/>
              </w:rPr>
            </w:pPr>
            <w:r w:rsidRPr="0084298D">
              <w:rPr>
                <w:rFonts w:asciiTheme="majorHAnsi" w:hAnsiTheme="majorHAnsi" w:cs="Arial"/>
                <w:sz w:val="20"/>
                <w:szCs w:val="20"/>
                <w:lang w:val="en-CA"/>
              </w:rPr>
              <w:t>140, 24374</w:t>
            </w:r>
          </w:p>
        </w:tc>
      </w:tr>
      <w:tr w:rsidR="000374FE" w:rsidRPr="00201CF7" w14:paraId="4D7384BB" w14:textId="77777777" w:rsidTr="0084298D">
        <w:trPr>
          <w:jc w:val="center"/>
        </w:trPr>
        <w:tc>
          <w:tcPr>
            <w:tcW w:w="2505" w:type="dxa"/>
            <w:tcBorders>
              <w:top w:val="single" w:sz="12" w:space="0" w:color="auto"/>
              <w:left w:val="single" w:sz="12" w:space="0" w:color="auto"/>
            </w:tcBorders>
            <w:shd w:val="clear" w:color="auto" w:fill="auto"/>
          </w:tcPr>
          <w:p w14:paraId="2C1A986C" w14:textId="77777777" w:rsidR="000374FE" w:rsidRPr="00201CF7" w:rsidRDefault="000374FE" w:rsidP="000374FE">
            <w:pPr>
              <w:pStyle w:val="ParaText"/>
              <w:keepNext/>
              <w:keepLines/>
              <w:spacing w:line="240" w:lineRule="auto"/>
              <w:rPr>
                <w:rFonts w:asciiTheme="majorHAnsi" w:hAnsiTheme="majorHAnsi"/>
                <w:iCs/>
                <w:sz w:val="20"/>
                <w:szCs w:val="20"/>
              </w:rPr>
            </w:pPr>
            <w:r w:rsidRPr="00201CF7">
              <w:rPr>
                <w:rFonts w:asciiTheme="majorHAnsi" w:hAnsiTheme="majorHAnsi"/>
                <w:iCs/>
                <w:sz w:val="20"/>
                <w:szCs w:val="20"/>
              </w:rPr>
              <w:t xml:space="preserve">Number of Subjects with Moderate or Severe </w:t>
            </w:r>
            <w:proofErr w:type="spellStart"/>
            <w:r w:rsidRPr="00201CF7">
              <w:rPr>
                <w:rFonts w:asciiTheme="majorHAnsi" w:hAnsiTheme="majorHAnsi"/>
                <w:iCs/>
                <w:sz w:val="20"/>
                <w:szCs w:val="20"/>
              </w:rPr>
              <w:t>Diarrhoea</w:t>
            </w:r>
            <w:proofErr w:type="spellEnd"/>
            <w:r w:rsidRPr="00201CF7">
              <w:rPr>
                <w:rFonts w:asciiTheme="majorHAnsi" w:hAnsiTheme="majorHAnsi"/>
                <w:iCs/>
                <w:sz w:val="20"/>
                <w:szCs w:val="20"/>
              </w:rPr>
              <w:t xml:space="preserve"> (Attack Rate)</w:t>
            </w:r>
          </w:p>
        </w:tc>
        <w:tc>
          <w:tcPr>
            <w:tcW w:w="1935" w:type="dxa"/>
            <w:tcBorders>
              <w:top w:val="single" w:sz="12" w:space="0" w:color="auto"/>
            </w:tcBorders>
            <w:shd w:val="clear" w:color="auto" w:fill="auto"/>
          </w:tcPr>
          <w:p w14:paraId="13562DBF"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2 (5.7%)</w:t>
            </w:r>
          </w:p>
        </w:tc>
        <w:tc>
          <w:tcPr>
            <w:tcW w:w="1935" w:type="dxa"/>
            <w:tcBorders>
              <w:top w:val="single" w:sz="12" w:space="0" w:color="auto"/>
            </w:tcBorders>
            <w:shd w:val="clear" w:color="auto" w:fill="auto"/>
          </w:tcPr>
          <w:p w14:paraId="6C25A8F0"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4 (12.1%)</w:t>
            </w:r>
          </w:p>
        </w:tc>
        <w:tc>
          <w:tcPr>
            <w:tcW w:w="2070" w:type="dxa"/>
            <w:tcBorders>
              <w:top w:val="single" w:sz="12" w:space="0" w:color="auto"/>
              <w:right w:val="single" w:sz="12" w:space="0" w:color="auto"/>
            </w:tcBorders>
            <w:shd w:val="clear" w:color="auto" w:fill="auto"/>
          </w:tcPr>
          <w:p w14:paraId="7BCEF3FF"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39 (59.1%)</w:t>
            </w:r>
          </w:p>
        </w:tc>
      </w:tr>
      <w:tr w:rsidR="000374FE" w:rsidRPr="00201CF7" w14:paraId="0C343BD0" w14:textId="77777777" w:rsidTr="0084298D">
        <w:trPr>
          <w:jc w:val="center"/>
        </w:trPr>
        <w:tc>
          <w:tcPr>
            <w:tcW w:w="2505" w:type="dxa"/>
            <w:tcBorders>
              <w:left w:val="single" w:sz="12" w:space="0" w:color="auto"/>
              <w:bottom w:val="single" w:sz="12" w:space="0" w:color="auto"/>
            </w:tcBorders>
            <w:shd w:val="clear" w:color="auto" w:fill="auto"/>
          </w:tcPr>
          <w:p w14:paraId="63B7E6F4" w14:textId="77777777" w:rsidR="000374FE" w:rsidRPr="00201CF7" w:rsidRDefault="000374FE" w:rsidP="000374FE">
            <w:pPr>
              <w:pStyle w:val="ParaText"/>
              <w:keepNext/>
              <w:keepLines/>
              <w:spacing w:line="240" w:lineRule="auto"/>
              <w:rPr>
                <w:rFonts w:asciiTheme="majorHAnsi" w:hAnsiTheme="majorHAnsi"/>
                <w:sz w:val="20"/>
                <w:szCs w:val="20"/>
                <w:vertAlign w:val="superscript"/>
              </w:rPr>
            </w:pPr>
            <w:r w:rsidRPr="00201CF7">
              <w:rPr>
                <w:rFonts w:asciiTheme="majorHAnsi" w:hAnsiTheme="majorHAnsi"/>
                <w:iCs/>
                <w:sz w:val="20"/>
                <w:szCs w:val="20"/>
              </w:rPr>
              <w:t>Protective Efficacy %</w:t>
            </w:r>
            <w:r w:rsidRPr="00201CF7">
              <w:rPr>
                <w:rFonts w:asciiTheme="majorHAnsi" w:hAnsiTheme="majorHAnsi"/>
                <w:sz w:val="20"/>
                <w:szCs w:val="20"/>
                <w:vertAlign w:val="superscript"/>
              </w:rPr>
              <w:br/>
            </w:r>
            <w:r w:rsidRPr="00201CF7">
              <w:rPr>
                <w:rFonts w:asciiTheme="majorHAnsi" w:hAnsiTheme="majorHAnsi"/>
                <w:sz w:val="20"/>
                <w:szCs w:val="20"/>
              </w:rPr>
              <w:t>[95% CI]</w:t>
            </w:r>
          </w:p>
        </w:tc>
        <w:tc>
          <w:tcPr>
            <w:tcW w:w="1935" w:type="dxa"/>
            <w:tcBorders>
              <w:bottom w:val="single" w:sz="12" w:space="0" w:color="auto"/>
            </w:tcBorders>
            <w:shd w:val="clear" w:color="auto" w:fill="auto"/>
          </w:tcPr>
          <w:p w14:paraId="2124037F"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90.3%</w:t>
            </w:r>
            <w:r w:rsidRPr="00201CF7">
              <w:rPr>
                <w:rFonts w:asciiTheme="majorHAnsi" w:hAnsiTheme="majorHAnsi"/>
                <w:iCs/>
                <w:sz w:val="20"/>
                <w:szCs w:val="20"/>
              </w:rPr>
              <w:br/>
              <w:t>[62.7%, 100.0%]</w:t>
            </w:r>
          </w:p>
        </w:tc>
        <w:tc>
          <w:tcPr>
            <w:tcW w:w="1935" w:type="dxa"/>
            <w:tcBorders>
              <w:bottom w:val="single" w:sz="12" w:space="0" w:color="auto"/>
            </w:tcBorders>
            <w:shd w:val="clear" w:color="auto" w:fill="auto"/>
          </w:tcPr>
          <w:p w14:paraId="7DA6E557"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79.5%</w:t>
            </w:r>
            <w:r w:rsidRPr="00201CF7">
              <w:rPr>
                <w:rFonts w:asciiTheme="majorHAnsi" w:hAnsiTheme="majorHAnsi"/>
                <w:iCs/>
                <w:sz w:val="20"/>
                <w:szCs w:val="20"/>
              </w:rPr>
              <w:br/>
              <w:t>[49.9%, 100.0%]</w:t>
            </w:r>
          </w:p>
        </w:tc>
        <w:tc>
          <w:tcPr>
            <w:tcW w:w="2070" w:type="dxa"/>
            <w:tcBorders>
              <w:bottom w:val="single" w:sz="12" w:space="0" w:color="auto"/>
              <w:right w:val="single" w:sz="12" w:space="0" w:color="auto"/>
            </w:tcBorders>
            <w:shd w:val="clear" w:color="auto" w:fill="auto"/>
          </w:tcPr>
          <w:p w14:paraId="06B94261" w14:textId="77777777" w:rsidR="000374FE" w:rsidRPr="00201CF7" w:rsidRDefault="000374FE" w:rsidP="000374FE">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w:t>
            </w:r>
          </w:p>
        </w:tc>
      </w:tr>
    </w:tbl>
    <w:p w14:paraId="4AE7535C" w14:textId="77777777" w:rsidR="00694498" w:rsidRPr="00201CF7" w:rsidRDefault="00694498" w:rsidP="00694498">
      <w:pPr>
        <w:autoSpaceDE w:val="0"/>
        <w:autoSpaceDN w:val="0"/>
        <w:adjustRightInd w:val="0"/>
        <w:spacing w:line="240" w:lineRule="auto"/>
        <w:rPr>
          <w:rFonts w:asciiTheme="majorHAnsi" w:hAnsiTheme="majorHAnsi"/>
        </w:rPr>
      </w:pPr>
    </w:p>
    <w:p w14:paraId="2775BE20" w14:textId="77777777" w:rsidR="00694498" w:rsidRPr="00201CF7" w:rsidRDefault="00694498" w:rsidP="00694498">
      <w:pPr>
        <w:autoSpaceDE w:val="0"/>
        <w:autoSpaceDN w:val="0"/>
        <w:adjustRightInd w:val="0"/>
        <w:spacing w:line="240" w:lineRule="auto"/>
        <w:rPr>
          <w:rFonts w:asciiTheme="majorHAnsi" w:hAnsiTheme="majorHAnsi"/>
          <w:u w:val="single"/>
        </w:rPr>
      </w:pPr>
      <w:r w:rsidRPr="00201CF7">
        <w:rPr>
          <w:rFonts w:asciiTheme="majorHAnsi" w:hAnsiTheme="majorHAnsi"/>
          <w:u w:val="single"/>
        </w:rPr>
        <w:t>Immunogenicity</w:t>
      </w:r>
    </w:p>
    <w:p w14:paraId="6B0B92F6" w14:textId="76D95EE2"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rPr>
        <w:t xml:space="preserve">The human challenge study showed that </w:t>
      </w:r>
      <w:proofErr w:type="spellStart"/>
      <w:r w:rsidRPr="00201CF7">
        <w:rPr>
          <w:rFonts w:asciiTheme="majorHAnsi" w:hAnsiTheme="majorHAnsi"/>
        </w:rPr>
        <w:t>vibriocidal</w:t>
      </w:r>
      <w:proofErr w:type="spellEnd"/>
      <w:r w:rsidRPr="00201CF7">
        <w:rPr>
          <w:rFonts w:asciiTheme="majorHAnsi" w:hAnsiTheme="majorHAnsi"/>
        </w:rPr>
        <w:t xml:space="preserve"> seroconversion, defined as a four-fold or greater rise in serum </w:t>
      </w:r>
      <w:proofErr w:type="spellStart"/>
      <w:r w:rsidRPr="00201CF7">
        <w:rPr>
          <w:rFonts w:asciiTheme="majorHAnsi" w:hAnsiTheme="majorHAnsi"/>
        </w:rPr>
        <w:t>vibriocidal</w:t>
      </w:r>
      <w:proofErr w:type="spellEnd"/>
      <w:r w:rsidRPr="00201CF7">
        <w:rPr>
          <w:rFonts w:asciiTheme="majorHAnsi" w:hAnsiTheme="majorHAnsi"/>
        </w:rPr>
        <w:t xml:space="preserve"> antibody titres from baseline measured 10 days after vaccination, had a nearly one-to-one correlation with protection against moderate-to-severe diarrhoea. Seroconversion was therefore selected as the immunologic bridge between adults </w:t>
      </w:r>
      <w:proofErr w:type="gramStart"/>
      <w:r w:rsidRPr="00201CF7">
        <w:rPr>
          <w:rFonts w:asciiTheme="majorHAnsi" w:hAnsiTheme="majorHAnsi"/>
        </w:rPr>
        <w:t>age</w:t>
      </w:r>
      <w:proofErr w:type="gramEnd"/>
      <w:r w:rsidRPr="00201CF7">
        <w:rPr>
          <w:rFonts w:asciiTheme="majorHAnsi" w:hAnsiTheme="majorHAnsi"/>
        </w:rPr>
        <w:t xml:space="preserve"> 18 to </w:t>
      </w:r>
      <w:r w:rsidR="0084298D">
        <w:rPr>
          <w:rFonts w:asciiTheme="majorHAnsi" w:hAnsiTheme="majorHAnsi"/>
        </w:rPr>
        <w:t>45</w:t>
      </w:r>
      <w:r w:rsidRPr="00201CF7">
        <w:rPr>
          <w:rFonts w:asciiTheme="majorHAnsi" w:hAnsiTheme="majorHAnsi"/>
        </w:rPr>
        <w:t xml:space="preserve"> years in the challenge study and other populations, </w:t>
      </w:r>
      <w:r w:rsidR="00180EB9" w:rsidRPr="00201CF7">
        <w:rPr>
          <w:rFonts w:asciiTheme="majorHAnsi" w:hAnsiTheme="majorHAnsi"/>
        </w:rPr>
        <w:t>i.e.,</w:t>
      </w:r>
      <w:r w:rsidRPr="00201CF7">
        <w:rPr>
          <w:rFonts w:asciiTheme="majorHAnsi" w:hAnsiTheme="majorHAnsi"/>
        </w:rPr>
        <w:t xml:space="preserve"> older adults and paediatric subjects. Three additional studies evaluated immunogenicity: a large trial in 3146 healthy adults </w:t>
      </w:r>
      <w:proofErr w:type="gramStart"/>
      <w:r w:rsidRPr="00201CF7">
        <w:rPr>
          <w:rFonts w:asciiTheme="majorHAnsi" w:hAnsiTheme="majorHAnsi"/>
        </w:rPr>
        <w:t>age</w:t>
      </w:r>
      <w:proofErr w:type="gramEnd"/>
      <w:r w:rsidRPr="00201CF7">
        <w:rPr>
          <w:rFonts w:asciiTheme="majorHAnsi" w:hAnsiTheme="majorHAnsi"/>
        </w:rPr>
        <w:t xml:space="preserve"> 18 to</w:t>
      </w:r>
      <w:r w:rsidR="00E87D63">
        <w:rPr>
          <w:rFonts w:asciiTheme="majorHAnsi" w:hAnsiTheme="majorHAnsi"/>
        </w:rPr>
        <w:t xml:space="preserve"> 45 </w:t>
      </w:r>
      <w:r w:rsidRPr="00201CF7">
        <w:rPr>
          <w:rFonts w:asciiTheme="majorHAnsi" w:hAnsiTheme="majorHAnsi"/>
        </w:rPr>
        <w:t xml:space="preserve">years (mean age 29.9, range 18-46, 45.2% male, 54.8% female); a trial in 398 healthy older adults age 46 to </w:t>
      </w:r>
      <w:r w:rsidR="00E87D63">
        <w:rPr>
          <w:rFonts w:asciiTheme="majorHAnsi" w:hAnsiTheme="majorHAnsi"/>
        </w:rPr>
        <w:t>64</w:t>
      </w:r>
      <w:r w:rsidRPr="00201CF7">
        <w:rPr>
          <w:rFonts w:asciiTheme="majorHAnsi" w:hAnsiTheme="majorHAnsi"/>
        </w:rPr>
        <w:t xml:space="preserve"> years (mean age 53.8, range 46-64, 45.7% male, 54.3% female); and a paediatric trial in healthy subjects age 2-17 years. Prespecified </w:t>
      </w:r>
      <w:proofErr w:type="spellStart"/>
      <w:r w:rsidRPr="00201CF7">
        <w:rPr>
          <w:rFonts w:asciiTheme="majorHAnsi" w:hAnsiTheme="majorHAnsi"/>
        </w:rPr>
        <w:t>immunobridging</w:t>
      </w:r>
      <w:proofErr w:type="spellEnd"/>
      <w:r w:rsidRPr="00201CF7">
        <w:rPr>
          <w:rFonts w:asciiTheme="majorHAnsi" w:hAnsiTheme="majorHAnsi"/>
        </w:rPr>
        <w:t xml:space="preserve"> analyses, based on differences in seroconversion rates, were determined to demonstrate non-inferiority in seroconversion rate between older adults or paediatric subjects and the adults </w:t>
      </w:r>
      <w:proofErr w:type="gramStart"/>
      <w:r w:rsidRPr="00201CF7">
        <w:rPr>
          <w:rFonts w:asciiTheme="majorHAnsi" w:hAnsiTheme="majorHAnsi"/>
        </w:rPr>
        <w:t>age</w:t>
      </w:r>
      <w:proofErr w:type="gramEnd"/>
      <w:r w:rsidRPr="00201CF7">
        <w:rPr>
          <w:rFonts w:asciiTheme="majorHAnsi" w:hAnsiTheme="majorHAnsi"/>
        </w:rPr>
        <w:t xml:space="preserve"> 18 to </w:t>
      </w:r>
      <w:r w:rsidR="00E87D63">
        <w:rPr>
          <w:rFonts w:asciiTheme="majorHAnsi" w:hAnsiTheme="majorHAnsi"/>
        </w:rPr>
        <w:t>45</w:t>
      </w:r>
      <w:r w:rsidRPr="00201CF7">
        <w:rPr>
          <w:rFonts w:asciiTheme="majorHAnsi" w:hAnsiTheme="majorHAnsi"/>
        </w:rPr>
        <w:t xml:space="preserve"> in the large immunogenicity trial. </w:t>
      </w:r>
    </w:p>
    <w:p w14:paraId="646CC622" w14:textId="68D01068"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rPr>
        <w:t xml:space="preserve">The seroconversion rates in vaccine and placebo recipients from each trial at 10 days post-vaccination, as well as </w:t>
      </w:r>
      <w:proofErr w:type="spellStart"/>
      <w:r w:rsidRPr="00201CF7">
        <w:rPr>
          <w:rFonts w:asciiTheme="majorHAnsi" w:hAnsiTheme="majorHAnsi"/>
        </w:rPr>
        <w:t>immunobridging</w:t>
      </w:r>
      <w:proofErr w:type="spellEnd"/>
      <w:r w:rsidRPr="00201CF7">
        <w:rPr>
          <w:rFonts w:asciiTheme="majorHAnsi" w:hAnsiTheme="majorHAnsi"/>
        </w:rPr>
        <w:t xml:space="preserve"> results, are summarised in </w:t>
      </w:r>
      <w:r w:rsidR="00675E8B" w:rsidRPr="00AE1544">
        <w:rPr>
          <w:rFonts w:ascii="Times New Roman" w:hAnsi="Times New Roman" w:cs="Times New Roman"/>
        </w:rPr>
        <w:fldChar w:fldCharType="begin"/>
      </w:r>
      <w:r w:rsidR="00675E8B" w:rsidRPr="00AE1544">
        <w:rPr>
          <w:rFonts w:ascii="Times New Roman" w:hAnsi="Times New Roman" w:cs="Times New Roman"/>
        </w:rPr>
        <w:instrText xml:space="preserve"> REF _Ref80262372 \h </w:instrText>
      </w:r>
      <w:r w:rsidR="00AE1544">
        <w:rPr>
          <w:rFonts w:ascii="Times New Roman" w:hAnsi="Times New Roman" w:cs="Times New Roman"/>
        </w:rPr>
        <w:instrText xml:space="preserve"> \* MERGEFORMAT </w:instrText>
      </w:r>
      <w:r w:rsidR="00675E8B" w:rsidRPr="00AE1544">
        <w:rPr>
          <w:rFonts w:ascii="Times New Roman" w:hAnsi="Times New Roman" w:cs="Times New Roman"/>
        </w:rPr>
      </w:r>
      <w:r w:rsidR="00675E8B" w:rsidRPr="00AE1544">
        <w:rPr>
          <w:rFonts w:ascii="Times New Roman" w:hAnsi="Times New Roman" w:cs="Times New Roman"/>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5</w:t>
      </w:r>
      <w:r w:rsidR="00675E8B" w:rsidRPr="00AE1544">
        <w:rPr>
          <w:rFonts w:ascii="Times New Roman" w:hAnsi="Times New Roman" w:cs="Times New Roman"/>
        </w:rPr>
        <w:fldChar w:fldCharType="end"/>
      </w:r>
      <w:r w:rsidRPr="00201CF7">
        <w:rPr>
          <w:rFonts w:asciiTheme="majorHAnsi" w:hAnsiTheme="majorHAnsi"/>
        </w:rPr>
        <w:t xml:space="preserve"> and </w:t>
      </w:r>
      <w:r w:rsidR="008810C7">
        <w:rPr>
          <w:rFonts w:asciiTheme="majorHAnsi" w:hAnsiTheme="majorHAnsi"/>
        </w:rPr>
        <w:fldChar w:fldCharType="begin"/>
      </w:r>
      <w:r w:rsidR="008810C7">
        <w:rPr>
          <w:rFonts w:asciiTheme="majorHAnsi" w:hAnsiTheme="majorHAnsi"/>
        </w:rPr>
        <w:instrText xml:space="preserve"> REF _Ref80262386 \h </w:instrText>
      </w:r>
      <w:r w:rsidR="00AE1544">
        <w:rPr>
          <w:rFonts w:asciiTheme="majorHAnsi" w:hAnsiTheme="majorHAnsi"/>
        </w:rPr>
        <w:instrText xml:space="preserve"> \* MERGEFORMAT </w:instrText>
      </w:r>
      <w:r w:rsidR="008810C7">
        <w:rPr>
          <w:rFonts w:asciiTheme="majorHAnsi" w:hAnsiTheme="majorHAnsi"/>
        </w:rPr>
      </w:r>
      <w:r w:rsidR="008810C7">
        <w:rPr>
          <w:rFonts w:asciiTheme="majorHAnsi" w:hAnsiTheme="majorHAnsi"/>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6</w:t>
      </w:r>
      <w:r w:rsidR="008810C7">
        <w:rPr>
          <w:rFonts w:asciiTheme="majorHAnsi" w:hAnsiTheme="majorHAnsi"/>
        </w:rPr>
        <w:fldChar w:fldCharType="end"/>
      </w:r>
      <w:r w:rsidRPr="00201CF7">
        <w:rPr>
          <w:rFonts w:asciiTheme="majorHAnsi" w:hAnsiTheme="majorHAnsi"/>
        </w:rPr>
        <w:t>. In the challenge study, 79.8% of subjects had seroconverted by 7 days post-vaccination. Seroconversion rates in older adults and paediatric subjects were non-inferior to those in younger adults.</w:t>
      </w:r>
    </w:p>
    <w:p w14:paraId="000B7C15" w14:textId="77777777"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rPr>
        <w:t xml:space="preserve">In the three adult studies significant increases in the percentage of anti-O1 lipopolysaccharide (LPS) IgA and IgG memory B cells and anti-cholera toxin IgG memory B cells were seen at 90 and 180 days after vaccination.  No relationship between age and memory B cell response was observed. Geometric mean titres (GMTs) of serum </w:t>
      </w:r>
      <w:proofErr w:type="spellStart"/>
      <w:r w:rsidRPr="00201CF7">
        <w:rPr>
          <w:rFonts w:asciiTheme="majorHAnsi" w:hAnsiTheme="majorHAnsi"/>
        </w:rPr>
        <w:t>vibriocidal</w:t>
      </w:r>
      <w:proofErr w:type="spellEnd"/>
      <w:r w:rsidRPr="00201CF7">
        <w:rPr>
          <w:rFonts w:asciiTheme="majorHAnsi" w:hAnsiTheme="majorHAnsi"/>
        </w:rPr>
        <w:t xml:space="preserve"> antibodies in vaccinated subjects were also significantly higher than the respective GMTs of placebo recipients at 90 and 180 days after immunisation in all age groups. The duration of protection is not known.</w:t>
      </w:r>
    </w:p>
    <w:p w14:paraId="53A3EFF8" w14:textId="3E28D957" w:rsidR="00694498" w:rsidRPr="00F848A3" w:rsidRDefault="00E971BE" w:rsidP="00F848A3">
      <w:pPr>
        <w:pStyle w:val="Caption"/>
        <w:tabs>
          <w:tab w:val="clear" w:pos="2160"/>
          <w:tab w:val="left" w:pos="0"/>
        </w:tabs>
        <w:ind w:left="0" w:firstLine="0"/>
      </w:pPr>
      <w:bookmarkStart w:id="9" w:name="_Ref80262372"/>
      <w:bookmarkStart w:id="10" w:name="c_Table_4_Vibriocidal_Antibody_Seroconve"/>
      <w:r>
        <w:lastRenderedPageBreak/>
        <w:t xml:space="preserve">Table </w:t>
      </w:r>
      <w:r>
        <w:fldChar w:fldCharType="begin"/>
      </w:r>
      <w:r>
        <w:instrText xml:space="preserve"> SEQ Table \* ARABIC </w:instrText>
      </w:r>
      <w:r>
        <w:fldChar w:fldCharType="separate"/>
      </w:r>
      <w:r w:rsidR="003717CB">
        <w:rPr>
          <w:noProof/>
        </w:rPr>
        <w:t>5</w:t>
      </w:r>
      <w:r>
        <w:fldChar w:fldCharType="end"/>
      </w:r>
      <w:bookmarkEnd w:id="9"/>
      <w:r>
        <w:t xml:space="preserve">: </w:t>
      </w:r>
      <w:proofErr w:type="spellStart"/>
      <w:r w:rsidR="00694498" w:rsidRPr="00201CF7">
        <w:rPr>
          <w:rFonts w:asciiTheme="majorHAnsi" w:hAnsiTheme="majorHAnsi"/>
          <w:sz w:val="22"/>
          <w:szCs w:val="22"/>
        </w:rPr>
        <w:t>Vibriocidal</w:t>
      </w:r>
      <w:proofErr w:type="spellEnd"/>
      <w:r w:rsidR="00694498" w:rsidRPr="00201CF7">
        <w:rPr>
          <w:rFonts w:asciiTheme="majorHAnsi" w:hAnsiTheme="majorHAnsi"/>
          <w:sz w:val="22"/>
          <w:szCs w:val="22"/>
        </w:rPr>
        <w:t xml:space="preserve"> Antibody Seroconversion Against Classical Inaba </w:t>
      </w:r>
      <w:r w:rsidR="00694498" w:rsidRPr="00201CF7">
        <w:rPr>
          <w:rFonts w:asciiTheme="majorHAnsi" w:hAnsiTheme="majorHAnsi"/>
          <w:i/>
          <w:sz w:val="22"/>
          <w:szCs w:val="22"/>
        </w:rPr>
        <w:t>V. cholerae</w:t>
      </w:r>
      <w:r w:rsidR="00694498" w:rsidRPr="00201CF7">
        <w:rPr>
          <w:rFonts w:asciiTheme="majorHAnsi" w:hAnsiTheme="majorHAnsi"/>
          <w:sz w:val="22"/>
          <w:szCs w:val="22"/>
        </w:rPr>
        <w:t xml:space="preserve"> Vaccine Strain at 10 Days Post-Vaccination</w:t>
      </w:r>
      <w:bookmarkEnd w:id="10"/>
      <w:r w:rsidR="00694498" w:rsidRPr="00201CF7">
        <w:rPr>
          <w:rFonts w:asciiTheme="majorHAnsi" w:hAnsiTheme="majorHAnsi"/>
          <w:sz w:val="22"/>
          <w:szCs w:val="22"/>
        </w:rPr>
        <w:t xml:space="preserve"> in Adults</w:t>
      </w:r>
    </w:p>
    <w:tbl>
      <w:tblPr>
        <w:tblW w:w="9065" w:type="dxa"/>
        <w:jc w:val="center"/>
        <w:tblLayout w:type="fixed"/>
        <w:tblLook w:val="04A0" w:firstRow="1" w:lastRow="0" w:firstColumn="1" w:lastColumn="0" w:noHBand="0" w:noVBand="1"/>
      </w:tblPr>
      <w:tblGrid>
        <w:gridCol w:w="1505"/>
        <w:gridCol w:w="1260"/>
        <w:gridCol w:w="1890"/>
        <w:gridCol w:w="910"/>
        <w:gridCol w:w="1700"/>
        <w:gridCol w:w="1800"/>
      </w:tblGrid>
      <w:tr w:rsidR="00694498" w:rsidRPr="00201CF7" w14:paraId="15E0AD49" w14:textId="77777777" w:rsidTr="008575FA">
        <w:trPr>
          <w:trHeight w:val="1122"/>
          <w:jc w:val="center"/>
        </w:trPr>
        <w:tc>
          <w:tcPr>
            <w:tcW w:w="1505" w:type="dxa"/>
            <w:tcBorders>
              <w:top w:val="single" w:sz="12" w:space="0" w:color="auto"/>
              <w:left w:val="single" w:sz="12" w:space="0" w:color="auto"/>
            </w:tcBorders>
            <w:shd w:val="clear" w:color="auto" w:fill="auto"/>
            <w:vAlign w:val="bottom"/>
          </w:tcPr>
          <w:p w14:paraId="5339DBBB"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b/>
                <w:iCs/>
                <w:sz w:val="20"/>
                <w:szCs w:val="20"/>
              </w:rPr>
              <w:t>Study</w:t>
            </w:r>
          </w:p>
        </w:tc>
        <w:tc>
          <w:tcPr>
            <w:tcW w:w="3150" w:type="dxa"/>
            <w:gridSpan w:val="2"/>
            <w:tcBorders>
              <w:top w:val="single" w:sz="12" w:space="0" w:color="auto"/>
            </w:tcBorders>
            <w:shd w:val="clear" w:color="auto" w:fill="auto"/>
            <w:vAlign w:val="bottom"/>
          </w:tcPr>
          <w:p w14:paraId="6DAF65DB" w14:textId="14AB4189"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iCs/>
                <w:sz w:val="20"/>
                <w:szCs w:val="20"/>
              </w:rPr>
              <w:t>VAXCHORA</w:t>
            </w:r>
            <w:r w:rsidR="00694498" w:rsidRPr="00201CF7">
              <w:rPr>
                <w:rFonts w:asciiTheme="majorHAnsi" w:hAnsiTheme="majorHAnsi"/>
                <w:b/>
                <w:iCs/>
                <w:sz w:val="20"/>
                <w:szCs w:val="20"/>
              </w:rPr>
              <w:t xml:space="preserve"> Recipients</w:t>
            </w:r>
          </w:p>
        </w:tc>
        <w:tc>
          <w:tcPr>
            <w:tcW w:w="2610" w:type="dxa"/>
            <w:gridSpan w:val="2"/>
            <w:tcBorders>
              <w:top w:val="single" w:sz="12" w:space="0" w:color="auto"/>
            </w:tcBorders>
            <w:shd w:val="clear" w:color="auto" w:fill="auto"/>
            <w:vAlign w:val="bottom"/>
          </w:tcPr>
          <w:p w14:paraId="7CE362FD"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b/>
                <w:iCs/>
                <w:sz w:val="20"/>
                <w:szCs w:val="20"/>
              </w:rPr>
              <w:t>Placebo Recipients</w:t>
            </w:r>
          </w:p>
        </w:tc>
        <w:tc>
          <w:tcPr>
            <w:tcW w:w="1800" w:type="dxa"/>
            <w:tcBorders>
              <w:top w:val="single" w:sz="12" w:space="0" w:color="auto"/>
              <w:right w:val="single" w:sz="12" w:space="0" w:color="auto"/>
            </w:tcBorders>
            <w:shd w:val="clear" w:color="auto" w:fill="auto"/>
          </w:tcPr>
          <w:p w14:paraId="3A597B6C"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
                <w:iCs/>
                <w:sz w:val="20"/>
                <w:szCs w:val="20"/>
              </w:rPr>
              <w:t>Immunobridging</w:t>
            </w:r>
            <w:proofErr w:type="spellEnd"/>
            <w:r w:rsidRPr="00201CF7">
              <w:rPr>
                <w:rFonts w:asciiTheme="majorHAnsi" w:hAnsiTheme="majorHAnsi"/>
                <w:b/>
                <w:iCs/>
                <w:sz w:val="20"/>
                <w:szCs w:val="20"/>
              </w:rPr>
              <w:t xml:space="preserve">: Difference in Seroconversion Rate Compared to Large Trial in </w:t>
            </w:r>
            <w:proofErr w:type="gramStart"/>
            <w:r w:rsidRPr="00201CF7">
              <w:rPr>
                <w:rFonts w:asciiTheme="majorHAnsi" w:hAnsiTheme="majorHAnsi"/>
                <w:b/>
                <w:iCs/>
                <w:sz w:val="20"/>
                <w:szCs w:val="20"/>
              </w:rPr>
              <w:t>18-45 year olds</w:t>
            </w:r>
            <w:proofErr w:type="gramEnd"/>
          </w:p>
        </w:tc>
      </w:tr>
      <w:tr w:rsidR="00694498" w:rsidRPr="00201CF7" w14:paraId="59DBED6C" w14:textId="77777777" w:rsidTr="00F848A3">
        <w:trPr>
          <w:jc w:val="center"/>
        </w:trPr>
        <w:tc>
          <w:tcPr>
            <w:tcW w:w="1505" w:type="dxa"/>
            <w:tcBorders>
              <w:left w:val="single" w:sz="12" w:space="0" w:color="auto"/>
              <w:bottom w:val="single" w:sz="12" w:space="0" w:color="auto"/>
            </w:tcBorders>
            <w:shd w:val="clear" w:color="auto" w:fill="auto"/>
            <w:vAlign w:val="bottom"/>
          </w:tcPr>
          <w:p w14:paraId="67649532" w14:textId="77777777" w:rsidR="00694498" w:rsidRPr="00201CF7" w:rsidRDefault="00694498" w:rsidP="008575FA">
            <w:pPr>
              <w:pStyle w:val="ParaText"/>
              <w:keepNext/>
              <w:keepLines/>
              <w:spacing w:line="240" w:lineRule="auto"/>
              <w:jc w:val="center"/>
              <w:rPr>
                <w:rFonts w:asciiTheme="majorHAnsi" w:hAnsiTheme="majorHAnsi"/>
                <w:bCs/>
                <w:iCs/>
                <w:sz w:val="20"/>
                <w:szCs w:val="20"/>
              </w:rPr>
            </w:pPr>
            <w:r w:rsidRPr="00201CF7">
              <w:rPr>
                <w:rFonts w:asciiTheme="majorHAnsi" w:hAnsiTheme="majorHAnsi"/>
                <w:bCs/>
                <w:iCs/>
                <w:sz w:val="20"/>
                <w:szCs w:val="20"/>
              </w:rPr>
              <w:t>(age in years)</w:t>
            </w:r>
          </w:p>
        </w:tc>
        <w:tc>
          <w:tcPr>
            <w:tcW w:w="1260" w:type="dxa"/>
            <w:tcBorders>
              <w:bottom w:val="single" w:sz="12" w:space="0" w:color="auto"/>
            </w:tcBorders>
            <w:shd w:val="clear" w:color="auto" w:fill="auto"/>
            <w:vAlign w:val="bottom"/>
          </w:tcPr>
          <w:p w14:paraId="18BC8A8A"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N</w:t>
            </w:r>
            <w:r w:rsidRPr="00201CF7">
              <w:rPr>
                <w:rFonts w:asciiTheme="majorHAnsi" w:hAnsiTheme="majorHAnsi"/>
                <w:sz w:val="20"/>
                <w:szCs w:val="20"/>
                <w:vertAlign w:val="superscript"/>
              </w:rPr>
              <w:t>b</w:t>
            </w:r>
          </w:p>
        </w:tc>
        <w:tc>
          <w:tcPr>
            <w:tcW w:w="1890" w:type="dxa"/>
            <w:tcBorders>
              <w:bottom w:val="single" w:sz="12" w:space="0" w:color="auto"/>
            </w:tcBorders>
            <w:shd w:val="clear" w:color="auto" w:fill="auto"/>
            <w:vAlign w:val="bottom"/>
          </w:tcPr>
          <w:p w14:paraId="141B8EC7"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Cs/>
                <w:iCs/>
                <w:sz w:val="20"/>
                <w:szCs w:val="20"/>
              </w:rPr>
              <w:t>Seroconversion</w:t>
            </w:r>
            <w:r w:rsidRPr="00201CF7">
              <w:rPr>
                <w:rFonts w:asciiTheme="majorHAnsi" w:hAnsiTheme="majorHAnsi"/>
                <w:bCs/>
                <w:sz w:val="20"/>
                <w:szCs w:val="20"/>
                <w:vertAlign w:val="superscript"/>
              </w:rPr>
              <w:t>a</w:t>
            </w:r>
            <w:proofErr w:type="spellEnd"/>
            <w:r w:rsidRPr="00201CF7">
              <w:rPr>
                <w:rFonts w:asciiTheme="majorHAnsi" w:hAnsiTheme="majorHAnsi"/>
                <w:bCs/>
                <w:iCs/>
                <w:sz w:val="20"/>
                <w:szCs w:val="20"/>
              </w:rPr>
              <w:br/>
            </w:r>
            <w:r w:rsidRPr="00201CF7">
              <w:rPr>
                <w:rFonts w:asciiTheme="majorHAnsi" w:hAnsiTheme="majorHAnsi"/>
                <w:iCs/>
                <w:sz w:val="20"/>
                <w:szCs w:val="20"/>
              </w:rPr>
              <w:t>%</w:t>
            </w:r>
            <w:r w:rsidRPr="00201CF7">
              <w:rPr>
                <w:rFonts w:asciiTheme="majorHAnsi" w:hAnsiTheme="majorHAnsi"/>
                <w:iCs/>
                <w:sz w:val="20"/>
                <w:szCs w:val="20"/>
              </w:rPr>
              <w:br/>
              <w:t>[95% CI]</w:t>
            </w:r>
          </w:p>
        </w:tc>
        <w:tc>
          <w:tcPr>
            <w:tcW w:w="910" w:type="dxa"/>
            <w:tcBorders>
              <w:bottom w:val="single" w:sz="12" w:space="0" w:color="auto"/>
            </w:tcBorders>
            <w:shd w:val="clear" w:color="auto" w:fill="auto"/>
            <w:vAlign w:val="bottom"/>
          </w:tcPr>
          <w:p w14:paraId="00411614"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N</w:t>
            </w:r>
            <w:r w:rsidRPr="00201CF7">
              <w:rPr>
                <w:rFonts w:asciiTheme="majorHAnsi" w:hAnsiTheme="majorHAnsi"/>
                <w:sz w:val="20"/>
                <w:szCs w:val="20"/>
                <w:vertAlign w:val="superscript"/>
              </w:rPr>
              <w:t>b</w:t>
            </w:r>
          </w:p>
        </w:tc>
        <w:tc>
          <w:tcPr>
            <w:tcW w:w="1700" w:type="dxa"/>
            <w:tcBorders>
              <w:bottom w:val="single" w:sz="12" w:space="0" w:color="auto"/>
            </w:tcBorders>
            <w:shd w:val="clear" w:color="auto" w:fill="auto"/>
            <w:vAlign w:val="bottom"/>
          </w:tcPr>
          <w:p w14:paraId="5BF8B011"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Cs/>
                <w:iCs/>
                <w:sz w:val="20"/>
                <w:szCs w:val="20"/>
              </w:rPr>
              <w:t>Seroconversion</w:t>
            </w:r>
            <w:r w:rsidRPr="00201CF7">
              <w:rPr>
                <w:rFonts w:asciiTheme="majorHAnsi" w:hAnsiTheme="majorHAnsi"/>
                <w:bCs/>
                <w:sz w:val="20"/>
                <w:szCs w:val="20"/>
                <w:vertAlign w:val="superscript"/>
              </w:rPr>
              <w:t>a</w:t>
            </w:r>
            <w:proofErr w:type="spellEnd"/>
            <w:r w:rsidRPr="00201CF7">
              <w:rPr>
                <w:rFonts w:asciiTheme="majorHAnsi" w:hAnsiTheme="majorHAnsi"/>
                <w:b/>
                <w:iCs/>
                <w:sz w:val="20"/>
                <w:szCs w:val="20"/>
              </w:rPr>
              <w:br/>
            </w:r>
            <w:r w:rsidRPr="00201CF7">
              <w:rPr>
                <w:rFonts w:asciiTheme="majorHAnsi" w:hAnsiTheme="majorHAnsi"/>
                <w:iCs/>
                <w:sz w:val="20"/>
                <w:szCs w:val="20"/>
              </w:rPr>
              <w:t>%</w:t>
            </w:r>
            <w:r w:rsidRPr="00201CF7">
              <w:rPr>
                <w:rFonts w:asciiTheme="majorHAnsi" w:hAnsiTheme="majorHAnsi"/>
                <w:iCs/>
                <w:sz w:val="20"/>
                <w:szCs w:val="20"/>
              </w:rPr>
              <w:br/>
              <w:t xml:space="preserve">[95% </w:t>
            </w:r>
            <w:proofErr w:type="spellStart"/>
            <w:r w:rsidRPr="00201CF7">
              <w:rPr>
                <w:rFonts w:asciiTheme="majorHAnsi" w:hAnsiTheme="majorHAnsi"/>
                <w:iCs/>
                <w:sz w:val="20"/>
                <w:szCs w:val="20"/>
              </w:rPr>
              <w:t>CI</w:t>
            </w:r>
            <w:r w:rsidRPr="00201CF7">
              <w:rPr>
                <w:rFonts w:asciiTheme="majorHAnsi" w:hAnsiTheme="majorHAnsi"/>
                <w:sz w:val="20"/>
                <w:szCs w:val="20"/>
                <w:vertAlign w:val="superscript"/>
              </w:rPr>
              <w:t>c</w:t>
            </w:r>
            <w:proofErr w:type="spellEnd"/>
            <w:r w:rsidRPr="00201CF7">
              <w:rPr>
                <w:rFonts w:asciiTheme="majorHAnsi" w:hAnsiTheme="majorHAnsi"/>
                <w:iCs/>
                <w:sz w:val="20"/>
                <w:szCs w:val="20"/>
              </w:rPr>
              <w:t>]</w:t>
            </w:r>
          </w:p>
        </w:tc>
        <w:tc>
          <w:tcPr>
            <w:tcW w:w="1800" w:type="dxa"/>
            <w:tcBorders>
              <w:bottom w:val="single" w:sz="12" w:space="0" w:color="auto"/>
              <w:right w:val="single" w:sz="12" w:space="0" w:color="auto"/>
            </w:tcBorders>
            <w:shd w:val="clear" w:color="auto" w:fill="auto"/>
            <w:vAlign w:val="bottom"/>
          </w:tcPr>
          <w:p w14:paraId="6E875BDC"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w:t>
            </w:r>
            <w:r w:rsidRPr="00201CF7">
              <w:rPr>
                <w:rFonts w:asciiTheme="majorHAnsi" w:hAnsiTheme="majorHAnsi"/>
                <w:iCs/>
                <w:sz w:val="20"/>
                <w:szCs w:val="20"/>
                <w:vertAlign w:val="superscript"/>
              </w:rPr>
              <w:t>d</w:t>
            </w:r>
            <w:r w:rsidRPr="00201CF7">
              <w:rPr>
                <w:rFonts w:asciiTheme="majorHAnsi" w:hAnsiTheme="majorHAnsi"/>
                <w:iCs/>
                <w:sz w:val="20"/>
                <w:szCs w:val="20"/>
              </w:rPr>
              <w:br/>
              <w:t xml:space="preserve">[95% </w:t>
            </w:r>
            <w:proofErr w:type="spellStart"/>
            <w:r w:rsidRPr="00201CF7">
              <w:rPr>
                <w:rFonts w:asciiTheme="majorHAnsi" w:hAnsiTheme="majorHAnsi"/>
                <w:iCs/>
                <w:sz w:val="20"/>
                <w:szCs w:val="20"/>
              </w:rPr>
              <w:t>CI</w:t>
            </w:r>
            <w:r w:rsidRPr="00201CF7">
              <w:rPr>
                <w:rFonts w:asciiTheme="majorHAnsi" w:hAnsiTheme="majorHAnsi"/>
                <w:sz w:val="20"/>
                <w:szCs w:val="20"/>
                <w:vertAlign w:val="superscript"/>
              </w:rPr>
              <w:t>c</w:t>
            </w:r>
            <w:proofErr w:type="spellEnd"/>
            <w:r w:rsidRPr="00201CF7">
              <w:rPr>
                <w:rFonts w:asciiTheme="majorHAnsi" w:hAnsiTheme="majorHAnsi"/>
                <w:iCs/>
                <w:sz w:val="20"/>
                <w:szCs w:val="20"/>
              </w:rPr>
              <w:t>]</w:t>
            </w:r>
          </w:p>
        </w:tc>
      </w:tr>
      <w:tr w:rsidR="00694498" w:rsidRPr="00201CF7" w14:paraId="3D2EF268" w14:textId="77777777" w:rsidTr="00F848A3">
        <w:trPr>
          <w:jc w:val="center"/>
        </w:trPr>
        <w:tc>
          <w:tcPr>
            <w:tcW w:w="1505" w:type="dxa"/>
            <w:tcBorders>
              <w:left w:val="single" w:sz="12" w:space="0" w:color="auto"/>
            </w:tcBorders>
            <w:shd w:val="clear" w:color="auto" w:fill="auto"/>
          </w:tcPr>
          <w:p w14:paraId="653034A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Challenge Trial</w:t>
            </w:r>
            <w:r w:rsidRPr="00201CF7">
              <w:rPr>
                <w:rFonts w:asciiTheme="majorHAnsi" w:hAnsiTheme="majorHAnsi"/>
                <w:iCs/>
                <w:sz w:val="20"/>
                <w:szCs w:val="20"/>
              </w:rPr>
              <w:br/>
              <w:t>(18 – 45)</w:t>
            </w:r>
          </w:p>
        </w:tc>
        <w:tc>
          <w:tcPr>
            <w:tcW w:w="1260" w:type="dxa"/>
            <w:shd w:val="clear" w:color="auto" w:fill="auto"/>
          </w:tcPr>
          <w:p w14:paraId="0560E481"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93</w:t>
            </w:r>
          </w:p>
        </w:tc>
        <w:tc>
          <w:tcPr>
            <w:tcW w:w="1890" w:type="dxa"/>
            <w:shd w:val="clear" w:color="auto" w:fill="auto"/>
          </w:tcPr>
          <w:p w14:paraId="712AE9A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90.3%</w:t>
            </w:r>
            <w:r w:rsidRPr="00201CF7">
              <w:rPr>
                <w:rFonts w:asciiTheme="majorHAnsi" w:hAnsiTheme="majorHAnsi"/>
                <w:iCs/>
                <w:sz w:val="20"/>
                <w:szCs w:val="20"/>
              </w:rPr>
              <w:br/>
              <w:t>[82.4%, 95.5%]</w:t>
            </w:r>
          </w:p>
        </w:tc>
        <w:tc>
          <w:tcPr>
            <w:tcW w:w="910" w:type="dxa"/>
            <w:shd w:val="clear" w:color="auto" w:fill="auto"/>
          </w:tcPr>
          <w:p w14:paraId="1653704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102</w:t>
            </w:r>
          </w:p>
        </w:tc>
        <w:tc>
          <w:tcPr>
            <w:tcW w:w="1700" w:type="dxa"/>
            <w:shd w:val="clear" w:color="auto" w:fill="auto"/>
          </w:tcPr>
          <w:p w14:paraId="1A0668B9"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2.0%</w:t>
            </w:r>
            <w:r w:rsidRPr="00201CF7">
              <w:rPr>
                <w:rFonts w:asciiTheme="majorHAnsi" w:hAnsiTheme="majorHAnsi"/>
                <w:iCs/>
                <w:sz w:val="20"/>
                <w:szCs w:val="20"/>
              </w:rPr>
              <w:br/>
              <w:t>[0.2%, 6.9%]</w:t>
            </w:r>
          </w:p>
        </w:tc>
        <w:tc>
          <w:tcPr>
            <w:tcW w:w="1800" w:type="dxa"/>
            <w:tcBorders>
              <w:right w:val="single" w:sz="12" w:space="0" w:color="auto"/>
            </w:tcBorders>
            <w:shd w:val="clear" w:color="auto" w:fill="auto"/>
          </w:tcPr>
          <w:p w14:paraId="02EC4565"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w:t>
            </w:r>
          </w:p>
        </w:tc>
      </w:tr>
      <w:tr w:rsidR="00694498" w:rsidRPr="00201CF7" w14:paraId="21BD47E2" w14:textId="77777777" w:rsidTr="00F848A3">
        <w:trPr>
          <w:jc w:val="center"/>
        </w:trPr>
        <w:tc>
          <w:tcPr>
            <w:tcW w:w="1505" w:type="dxa"/>
            <w:tcBorders>
              <w:left w:val="single" w:sz="12" w:space="0" w:color="auto"/>
            </w:tcBorders>
            <w:shd w:val="clear" w:color="auto" w:fill="auto"/>
          </w:tcPr>
          <w:p w14:paraId="4D165AE5"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Large Trial</w:t>
            </w:r>
            <w:r w:rsidRPr="00201CF7">
              <w:rPr>
                <w:rFonts w:asciiTheme="majorHAnsi" w:hAnsiTheme="majorHAnsi"/>
                <w:iCs/>
                <w:sz w:val="20"/>
                <w:szCs w:val="20"/>
              </w:rPr>
              <w:br/>
              <w:t>(18 – 45)</w:t>
            </w:r>
          </w:p>
        </w:tc>
        <w:tc>
          <w:tcPr>
            <w:tcW w:w="1260" w:type="dxa"/>
            <w:shd w:val="clear" w:color="auto" w:fill="auto"/>
          </w:tcPr>
          <w:p w14:paraId="6DA9EF3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2687</w:t>
            </w:r>
          </w:p>
        </w:tc>
        <w:tc>
          <w:tcPr>
            <w:tcW w:w="1890" w:type="dxa"/>
            <w:shd w:val="clear" w:color="auto" w:fill="auto"/>
          </w:tcPr>
          <w:p w14:paraId="2B4BCE2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93.5%</w:t>
            </w:r>
            <w:r w:rsidRPr="00201CF7">
              <w:rPr>
                <w:rFonts w:asciiTheme="majorHAnsi" w:hAnsiTheme="majorHAnsi"/>
                <w:iCs/>
                <w:sz w:val="20"/>
                <w:szCs w:val="20"/>
              </w:rPr>
              <w:br/>
              <w:t>[92.5%, 94.4%]</w:t>
            </w:r>
          </w:p>
        </w:tc>
        <w:tc>
          <w:tcPr>
            <w:tcW w:w="910" w:type="dxa"/>
            <w:shd w:val="clear" w:color="auto" w:fill="auto"/>
          </w:tcPr>
          <w:p w14:paraId="163083AA"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334</w:t>
            </w:r>
          </w:p>
        </w:tc>
        <w:tc>
          <w:tcPr>
            <w:tcW w:w="1700" w:type="dxa"/>
            <w:shd w:val="clear" w:color="auto" w:fill="auto"/>
          </w:tcPr>
          <w:p w14:paraId="5E37CDE6"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4.2%</w:t>
            </w:r>
            <w:r w:rsidRPr="00201CF7">
              <w:rPr>
                <w:rFonts w:asciiTheme="majorHAnsi" w:hAnsiTheme="majorHAnsi"/>
                <w:iCs/>
                <w:sz w:val="20"/>
                <w:szCs w:val="20"/>
              </w:rPr>
              <w:br/>
              <w:t>[2.3%, 6.9%]</w:t>
            </w:r>
          </w:p>
        </w:tc>
        <w:tc>
          <w:tcPr>
            <w:tcW w:w="1800" w:type="dxa"/>
            <w:tcBorders>
              <w:right w:val="single" w:sz="12" w:space="0" w:color="auto"/>
            </w:tcBorders>
            <w:shd w:val="clear" w:color="auto" w:fill="auto"/>
          </w:tcPr>
          <w:p w14:paraId="1DE2D2CA"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w:t>
            </w:r>
          </w:p>
        </w:tc>
      </w:tr>
      <w:tr w:rsidR="00694498" w:rsidRPr="00201CF7" w14:paraId="5535AF2C" w14:textId="77777777" w:rsidTr="00F848A3">
        <w:trPr>
          <w:jc w:val="center"/>
        </w:trPr>
        <w:tc>
          <w:tcPr>
            <w:tcW w:w="1505" w:type="dxa"/>
            <w:tcBorders>
              <w:left w:val="single" w:sz="12" w:space="0" w:color="auto"/>
              <w:bottom w:val="single" w:sz="12" w:space="0" w:color="auto"/>
            </w:tcBorders>
            <w:shd w:val="clear" w:color="auto" w:fill="auto"/>
          </w:tcPr>
          <w:p w14:paraId="757B5AED"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Older Adults</w:t>
            </w:r>
            <w:r w:rsidRPr="00201CF7">
              <w:rPr>
                <w:rFonts w:asciiTheme="majorHAnsi" w:hAnsiTheme="majorHAnsi"/>
                <w:iCs/>
                <w:sz w:val="20"/>
                <w:szCs w:val="20"/>
              </w:rPr>
              <w:br/>
              <w:t>(46 – 64)</w:t>
            </w:r>
          </w:p>
        </w:tc>
        <w:tc>
          <w:tcPr>
            <w:tcW w:w="1260" w:type="dxa"/>
            <w:tcBorders>
              <w:bottom w:val="single" w:sz="12" w:space="0" w:color="auto"/>
            </w:tcBorders>
            <w:shd w:val="clear" w:color="auto" w:fill="auto"/>
          </w:tcPr>
          <w:p w14:paraId="185C2E49"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291</w:t>
            </w:r>
          </w:p>
        </w:tc>
        <w:tc>
          <w:tcPr>
            <w:tcW w:w="1890" w:type="dxa"/>
            <w:tcBorders>
              <w:bottom w:val="single" w:sz="12" w:space="0" w:color="auto"/>
            </w:tcBorders>
            <w:shd w:val="clear" w:color="auto" w:fill="auto"/>
          </w:tcPr>
          <w:p w14:paraId="2368677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90.4%</w:t>
            </w:r>
            <w:r w:rsidRPr="00201CF7">
              <w:rPr>
                <w:rFonts w:asciiTheme="majorHAnsi" w:hAnsiTheme="majorHAnsi"/>
                <w:iCs/>
                <w:sz w:val="20"/>
                <w:szCs w:val="20"/>
              </w:rPr>
              <w:br/>
              <w:t>[86.4%, 93.5%]</w:t>
            </w:r>
          </w:p>
        </w:tc>
        <w:tc>
          <w:tcPr>
            <w:tcW w:w="910" w:type="dxa"/>
            <w:tcBorders>
              <w:bottom w:val="single" w:sz="12" w:space="0" w:color="auto"/>
            </w:tcBorders>
            <w:shd w:val="clear" w:color="auto" w:fill="auto"/>
          </w:tcPr>
          <w:p w14:paraId="7756C60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99</w:t>
            </w:r>
          </w:p>
        </w:tc>
        <w:tc>
          <w:tcPr>
            <w:tcW w:w="1700" w:type="dxa"/>
            <w:tcBorders>
              <w:bottom w:val="single" w:sz="12" w:space="0" w:color="auto"/>
            </w:tcBorders>
            <w:shd w:val="clear" w:color="auto" w:fill="auto"/>
          </w:tcPr>
          <w:p w14:paraId="56F7ED68"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0%</w:t>
            </w:r>
            <w:r w:rsidRPr="00201CF7">
              <w:rPr>
                <w:rFonts w:asciiTheme="majorHAnsi" w:hAnsiTheme="majorHAnsi"/>
                <w:iCs/>
                <w:sz w:val="20"/>
                <w:szCs w:val="20"/>
              </w:rPr>
              <w:br/>
              <w:t>[0.0%, 3.7%]</w:t>
            </w:r>
          </w:p>
        </w:tc>
        <w:tc>
          <w:tcPr>
            <w:tcW w:w="1800" w:type="dxa"/>
            <w:tcBorders>
              <w:bottom w:val="single" w:sz="12" w:space="0" w:color="auto"/>
              <w:right w:val="single" w:sz="12" w:space="0" w:color="auto"/>
            </w:tcBorders>
            <w:shd w:val="clear" w:color="auto" w:fill="auto"/>
          </w:tcPr>
          <w:p w14:paraId="005B9A28"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−3.1%</w:t>
            </w:r>
            <w:r w:rsidRPr="00201CF7">
              <w:rPr>
                <w:rFonts w:asciiTheme="majorHAnsi" w:hAnsiTheme="majorHAnsi"/>
                <w:iCs/>
                <w:sz w:val="20"/>
                <w:szCs w:val="20"/>
              </w:rPr>
              <w:br/>
              <w:t>[−6.7%, 0.4%]</w:t>
            </w:r>
          </w:p>
        </w:tc>
      </w:tr>
    </w:tbl>
    <w:p w14:paraId="078DFF22" w14:textId="77777777" w:rsidR="00694498" w:rsidRPr="00201CF7" w:rsidRDefault="00694498" w:rsidP="00EC307E">
      <w:pPr>
        <w:pStyle w:val="TableFigureNote"/>
        <w:keepNext/>
        <w:keepLines/>
        <w:ind w:left="0" w:firstLine="0"/>
        <w:rPr>
          <w:rFonts w:asciiTheme="majorHAnsi" w:hAnsiTheme="majorHAnsi"/>
        </w:rPr>
      </w:pPr>
      <w:r w:rsidRPr="00201CF7">
        <w:rPr>
          <w:rFonts w:asciiTheme="majorHAnsi" w:hAnsiTheme="majorHAnsi"/>
          <w:vertAlign w:val="superscript"/>
        </w:rPr>
        <w:t>a</w:t>
      </w:r>
      <w:r w:rsidRPr="00201CF7">
        <w:rPr>
          <w:rFonts w:asciiTheme="majorHAnsi" w:hAnsiTheme="majorHAnsi"/>
        </w:rPr>
        <w:t xml:space="preserve"> Seroconversion is defined as the percentages of subjects who had at least a 4-fold rise in </w:t>
      </w:r>
      <w:proofErr w:type="spellStart"/>
      <w:r w:rsidRPr="00201CF7">
        <w:rPr>
          <w:rFonts w:asciiTheme="majorHAnsi" w:hAnsiTheme="majorHAnsi"/>
        </w:rPr>
        <w:t>vibriocidal</w:t>
      </w:r>
      <w:proofErr w:type="spellEnd"/>
      <w:r w:rsidRPr="00201CF7">
        <w:rPr>
          <w:rFonts w:asciiTheme="majorHAnsi" w:hAnsiTheme="majorHAnsi"/>
        </w:rPr>
        <w:t xml:space="preserve"> antibody titer at 10 days post-vaccination compared to baseline.</w:t>
      </w:r>
    </w:p>
    <w:p w14:paraId="6D817C89" w14:textId="77777777" w:rsidR="00694498" w:rsidRPr="00201CF7" w:rsidRDefault="00694498" w:rsidP="00694498">
      <w:pPr>
        <w:pStyle w:val="TableFigureNote"/>
        <w:keepNext/>
        <w:keepLines/>
        <w:ind w:left="180" w:hanging="180"/>
        <w:rPr>
          <w:rFonts w:asciiTheme="majorHAnsi" w:hAnsiTheme="majorHAnsi"/>
        </w:rPr>
      </w:pPr>
      <w:r w:rsidRPr="00201CF7">
        <w:rPr>
          <w:rFonts w:asciiTheme="majorHAnsi" w:hAnsiTheme="majorHAnsi"/>
          <w:vertAlign w:val="superscript"/>
        </w:rPr>
        <w:t>b</w:t>
      </w:r>
      <w:r w:rsidRPr="00201CF7">
        <w:rPr>
          <w:rFonts w:asciiTheme="majorHAnsi" w:hAnsiTheme="majorHAnsi"/>
        </w:rPr>
        <w:t xml:space="preserve"> N=number of subjects with analyzable samples at Day 1 and Day 11.</w:t>
      </w:r>
    </w:p>
    <w:p w14:paraId="1B939506" w14:textId="77777777" w:rsidR="00694498" w:rsidRPr="00201CF7" w:rsidRDefault="00694498" w:rsidP="00694498">
      <w:pPr>
        <w:pStyle w:val="TableFigureNote"/>
        <w:keepNext/>
        <w:keepLines/>
        <w:ind w:left="180" w:hanging="180"/>
        <w:rPr>
          <w:rFonts w:asciiTheme="majorHAnsi" w:hAnsiTheme="majorHAnsi"/>
        </w:rPr>
      </w:pPr>
      <w:r w:rsidRPr="00201CF7">
        <w:rPr>
          <w:rFonts w:asciiTheme="majorHAnsi" w:hAnsiTheme="majorHAnsi"/>
          <w:vertAlign w:val="superscript"/>
        </w:rPr>
        <w:t>c</w:t>
      </w:r>
      <w:r w:rsidRPr="00201CF7">
        <w:rPr>
          <w:rFonts w:asciiTheme="majorHAnsi" w:hAnsiTheme="majorHAnsi"/>
        </w:rPr>
        <w:t xml:space="preserve"> CI=confidence interval.</w:t>
      </w:r>
    </w:p>
    <w:p w14:paraId="07C8C766" w14:textId="4578B8F9" w:rsidR="00694498" w:rsidRPr="00201CF7" w:rsidRDefault="00694498" w:rsidP="00EC307E">
      <w:pPr>
        <w:pStyle w:val="TableFigureNote"/>
        <w:ind w:left="0" w:firstLine="0"/>
        <w:rPr>
          <w:rFonts w:asciiTheme="majorHAnsi" w:hAnsiTheme="majorHAnsi"/>
        </w:rPr>
      </w:pPr>
      <w:r w:rsidRPr="00201CF7">
        <w:rPr>
          <w:rFonts w:asciiTheme="majorHAnsi" w:hAnsiTheme="majorHAnsi"/>
          <w:vertAlign w:val="superscript"/>
        </w:rPr>
        <w:t xml:space="preserve">d </w:t>
      </w:r>
      <w:proofErr w:type="gramStart"/>
      <w:r w:rsidRPr="00201CF7">
        <w:rPr>
          <w:rFonts w:asciiTheme="majorHAnsi" w:hAnsiTheme="majorHAnsi"/>
        </w:rPr>
        <w:t>Non-inferiority</w:t>
      </w:r>
      <w:proofErr w:type="gramEnd"/>
      <w:r w:rsidRPr="00201CF7">
        <w:rPr>
          <w:rFonts w:asciiTheme="majorHAnsi" w:hAnsiTheme="majorHAnsi"/>
        </w:rPr>
        <w:t xml:space="preserve"> criteria: lower bound of the two-sided 95% confidence interval on the difference in seroconversion rates compared with adults age 18 to </w:t>
      </w:r>
      <w:r w:rsidR="00B46A81">
        <w:rPr>
          <w:rFonts w:asciiTheme="majorHAnsi" w:hAnsiTheme="majorHAnsi"/>
        </w:rPr>
        <w:t>45</w:t>
      </w:r>
      <w:r w:rsidRPr="00201CF7">
        <w:rPr>
          <w:rFonts w:asciiTheme="majorHAnsi" w:hAnsiTheme="majorHAnsi"/>
        </w:rPr>
        <w:t xml:space="preserve"> years had to be greater than –10 percentage points and the lower bound of the two-sided 95% confidence interval on the proportion of vaccinees who seroconverted 10 days after vaccination had to be equal to or exceed 70%.</w:t>
      </w:r>
    </w:p>
    <w:p w14:paraId="7F4CD798" w14:textId="77777777" w:rsidR="00E83278" w:rsidRPr="00201CF7" w:rsidRDefault="00E83278" w:rsidP="00694498">
      <w:pPr>
        <w:autoSpaceDE w:val="0"/>
        <w:autoSpaceDN w:val="0"/>
        <w:adjustRightInd w:val="0"/>
        <w:spacing w:line="240" w:lineRule="auto"/>
        <w:rPr>
          <w:rFonts w:asciiTheme="majorHAnsi" w:hAnsiTheme="majorHAnsi"/>
        </w:rPr>
      </w:pPr>
    </w:p>
    <w:p w14:paraId="6A577431" w14:textId="23AEADC3" w:rsidR="00694498" w:rsidRPr="00201CF7" w:rsidRDefault="00694498" w:rsidP="00694498">
      <w:pPr>
        <w:autoSpaceDE w:val="0"/>
        <w:autoSpaceDN w:val="0"/>
        <w:adjustRightInd w:val="0"/>
        <w:spacing w:line="240" w:lineRule="auto"/>
        <w:rPr>
          <w:rFonts w:asciiTheme="majorHAnsi" w:hAnsiTheme="majorHAnsi"/>
        </w:rPr>
      </w:pPr>
      <w:r w:rsidRPr="00201CF7">
        <w:rPr>
          <w:rFonts w:asciiTheme="majorHAnsi" w:hAnsiTheme="majorHAnsi"/>
        </w:rPr>
        <w:t xml:space="preserve">Available data on seroconversion rates against other biotypes and serotypes of </w:t>
      </w:r>
      <w:r w:rsidRPr="00201CF7">
        <w:rPr>
          <w:rFonts w:asciiTheme="majorHAnsi" w:hAnsiTheme="majorHAnsi"/>
          <w:i/>
          <w:iCs/>
        </w:rPr>
        <w:t>V. cholerae</w:t>
      </w:r>
      <w:r w:rsidRPr="00201CF7">
        <w:rPr>
          <w:rFonts w:asciiTheme="majorHAnsi" w:hAnsiTheme="majorHAnsi"/>
        </w:rPr>
        <w:t xml:space="preserve"> are shown in Table 3.  Seroconversion rates for these biotypes and serotypes were not determined in children.</w:t>
      </w:r>
    </w:p>
    <w:p w14:paraId="0E1D4E96" w14:textId="4276A44F" w:rsidR="00694498" w:rsidRPr="00F848A3" w:rsidRDefault="004F554C" w:rsidP="00F848A3">
      <w:pPr>
        <w:pStyle w:val="Caption"/>
        <w:tabs>
          <w:tab w:val="clear" w:pos="2160"/>
        </w:tabs>
        <w:ind w:left="0" w:firstLine="0"/>
      </w:pPr>
      <w:bookmarkStart w:id="11" w:name="_Ref80262386"/>
      <w:bookmarkStart w:id="12" w:name="c_Table_5_Seroconversion_Rates_10_Days_P"/>
      <w:r>
        <w:lastRenderedPageBreak/>
        <w:t xml:space="preserve">Table </w:t>
      </w:r>
      <w:r>
        <w:fldChar w:fldCharType="begin"/>
      </w:r>
      <w:r>
        <w:instrText xml:space="preserve"> SEQ Table \* ARABIC </w:instrText>
      </w:r>
      <w:r>
        <w:fldChar w:fldCharType="separate"/>
      </w:r>
      <w:r w:rsidR="003717CB">
        <w:rPr>
          <w:noProof/>
        </w:rPr>
        <w:t>6</w:t>
      </w:r>
      <w:r>
        <w:fldChar w:fldCharType="end"/>
      </w:r>
      <w:bookmarkEnd w:id="11"/>
      <w:r>
        <w:t xml:space="preserve">: </w:t>
      </w:r>
      <w:r w:rsidR="00694498" w:rsidRPr="00201CF7">
        <w:rPr>
          <w:rFonts w:asciiTheme="majorHAnsi" w:hAnsiTheme="majorHAnsi"/>
          <w:sz w:val="22"/>
        </w:rPr>
        <w:t xml:space="preserve">Seroconversion Rates 10 Days Post-Vaccination for the Four Major </w:t>
      </w:r>
      <w:r w:rsidR="00694498" w:rsidRPr="00201CF7">
        <w:rPr>
          <w:rFonts w:asciiTheme="majorHAnsi" w:hAnsiTheme="majorHAnsi"/>
          <w:i/>
          <w:iCs/>
          <w:sz w:val="22"/>
        </w:rPr>
        <w:t>V. cholerae</w:t>
      </w:r>
      <w:r w:rsidR="00694498" w:rsidRPr="00201CF7">
        <w:rPr>
          <w:rFonts w:asciiTheme="majorHAnsi" w:hAnsiTheme="majorHAnsi"/>
          <w:sz w:val="22"/>
        </w:rPr>
        <w:t xml:space="preserve"> O1 Serogroup Biotypes and Serotypes [Immunogenicity Evaluable Population]</w:t>
      </w:r>
      <w:bookmarkEnd w:id="12"/>
    </w:p>
    <w:tbl>
      <w:tblPr>
        <w:tblW w:w="7905" w:type="dxa"/>
        <w:jc w:val="center"/>
        <w:tblLayout w:type="fixed"/>
        <w:tblLook w:val="04A0" w:firstRow="1" w:lastRow="0" w:firstColumn="1" w:lastColumn="0" w:noHBand="0" w:noVBand="1"/>
      </w:tblPr>
      <w:tblGrid>
        <w:gridCol w:w="1620"/>
        <w:gridCol w:w="1571"/>
        <w:gridCol w:w="1571"/>
        <w:gridCol w:w="1571"/>
        <w:gridCol w:w="1572"/>
      </w:tblGrid>
      <w:tr w:rsidR="00694498" w:rsidRPr="00201CF7" w14:paraId="65230186" w14:textId="77777777" w:rsidTr="008575FA">
        <w:trPr>
          <w:jc w:val="center"/>
        </w:trPr>
        <w:tc>
          <w:tcPr>
            <w:tcW w:w="1620" w:type="dxa"/>
            <w:vMerge w:val="restart"/>
            <w:tcBorders>
              <w:top w:val="single" w:sz="12" w:space="0" w:color="auto"/>
              <w:left w:val="single" w:sz="12" w:space="0" w:color="auto"/>
            </w:tcBorders>
            <w:shd w:val="clear" w:color="auto" w:fill="auto"/>
            <w:vAlign w:val="bottom"/>
          </w:tcPr>
          <w:p w14:paraId="155C90A2" w14:textId="77777777" w:rsidR="00694498" w:rsidRPr="00201CF7" w:rsidRDefault="00694498" w:rsidP="008575FA">
            <w:pPr>
              <w:pStyle w:val="ParaText"/>
              <w:keepNext/>
              <w:keepLines/>
              <w:spacing w:line="240" w:lineRule="auto"/>
              <w:jc w:val="both"/>
              <w:rPr>
                <w:rFonts w:asciiTheme="majorHAnsi" w:hAnsiTheme="majorHAnsi"/>
                <w:b/>
                <w:sz w:val="20"/>
                <w:szCs w:val="20"/>
              </w:rPr>
            </w:pPr>
            <w:r w:rsidRPr="00201CF7">
              <w:rPr>
                <w:rFonts w:asciiTheme="majorHAnsi" w:hAnsiTheme="majorHAnsi"/>
                <w:b/>
                <w:sz w:val="20"/>
                <w:szCs w:val="20"/>
              </w:rPr>
              <w:t>Cholera Strain</w:t>
            </w:r>
          </w:p>
        </w:tc>
        <w:tc>
          <w:tcPr>
            <w:tcW w:w="3142" w:type="dxa"/>
            <w:gridSpan w:val="2"/>
            <w:tcBorders>
              <w:top w:val="single" w:sz="12" w:space="0" w:color="auto"/>
            </w:tcBorders>
            <w:shd w:val="clear" w:color="auto" w:fill="auto"/>
            <w:vAlign w:val="center"/>
          </w:tcPr>
          <w:p w14:paraId="1B255CE9" w14:textId="58EFD261" w:rsidR="00694498" w:rsidRPr="00201CF7" w:rsidRDefault="00694498" w:rsidP="008575FA">
            <w:pPr>
              <w:pStyle w:val="TableColumnHead"/>
              <w:widowControl/>
              <w:rPr>
                <w:rFonts w:asciiTheme="majorHAnsi" w:hAnsiTheme="majorHAnsi"/>
                <w:szCs w:val="20"/>
              </w:rPr>
            </w:pPr>
            <w:r w:rsidRPr="00201CF7">
              <w:rPr>
                <w:rFonts w:asciiTheme="majorHAnsi" w:hAnsiTheme="majorHAnsi"/>
                <w:szCs w:val="20"/>
              </w:rPr>
              <w:t>Younger Adults</w:t>
            </w:r>
            <w:r w:rsidRPr="00201CF7">
              <w:rPr>
                <w:rFonts w:asciiTheme="majorHAnsi" w:hAnsiTheme="majorHAnsi"/>
                <w:szCs w:val="20"/>
              </w:rPr>
              <w:br/>
              <w:t xml:space="preserve">(18 through </w:t>
            </w:r>
            <w:proofErr w:type="gramStart"/>
            <w:r w:rsidRPr="00201CF7">
              <w:rPr>
                <w:rFonts w:asciiTheme="majorHAnsi" w:hAnsiTheme="majorHAnsi"/>
                <w:szCs w:val="20"/>
              </w:rPr>
              <w:t>45 year olds</w:t>
            </w:r>
            <w:proofErr w:type="gramEnd"/>
            <w:r w:rsidRPr="00201CF7">
              <w:rPr>
                <w:rFonts w:asciiTheme="majorHAnsi" w:hAnsiTheme="majorHAnsi"/>
                <w:szCs w:val="20"/>
              </w:rPr>
              <w:t>)</w:t>
            </w:r>
            <w:r w:rsidRPr="00201CF7">
              <w:rPr>
                <w:rFonts w:asciiTheme="majorHAnsi" w:hAnsiTheme="majorHAnsi"/>
                <w:szCs w:val="20"/>
              </w:rPr>
              <w:br/>
            </w:r>
            <w:r w:rsidR="00BD0E7C">
              <w:rPr>
                <w:rFonts w:asciiTheme="majorHAnsi" w:hAnsiTheme="majorHAnsi"/>
                <w:szCs w:val="20"/>
              </w:rPr>
              <w:t>VAXCHORA</w:t>
            </w:r>
            <w:r w:rsidR="005457B9">
              <w:rPr>
                <w:rFonts w:asciiTheme="majorHAnsi" w:hAnsiTheme="majorHAnsi"/>
                <w:szCs w:val="20"/>
              </w:rPr>
              <w:t xml:space="preserve"> vaccine</w:t>
            </w:r>
          </w:p>
        </w:tc>
        <w:tc>
          <w:tcPr>
            <w:tcW w:w="3143" w:type="dxa"/>
            <w:gridSpan w:val="2"/>
            <w:tcBorders>
              <w:top w:val="single" w:sz="12" w:space="0" w:color="auto"/>
              <w:right w:val="single" w:sz="12" w:space="0" w:color="auto"/>
            </w:tcBorders>
            <w:shd w:val="clear" w:color="auto" w:fill="auto"/>
            <w:vAlign w:val="center"/>
          </w:tcPr>
          <w:p w14:paraId="036A2A1E" w14:textId="77777777" w:rsidR="00694498" w:rsidRPr="00201CF7" w:rsidRDefault="00694498" w:rsidP="008575FA">
            <w:pPr>
              <w:pStyle w:val="TableColumnHead"/>
              <w:widowControl/>
              <w:rPr>
                <w:rFonts w:asciiTheme="majorHAnsi" w:hAnsiTheme="majorHAnsi"/>
                <w:szCs w:val="20"/>
              </w:rPr>
            </w:pPr>
            <w:r w:rsidRPr="00201CF7">
              <w:rPr>
                <w:rFonts w:asciiTheme="majorHAnsi" w:hAnsiTheme="majorHAnsi"/>
                <w:szCs w:val="20"/>
              </w:rPr>
              <w:t>Older Adults</w:t>
            </w:r>
            <w:r w:rsidRPr="00201CF7">
              <w:rPr>
                <w:rFonts w:asciiTheme="majorHAnsi" w:hAnsiTheme="majorHAnsi"/>
                <w:szCs w:val="20"/>
              </w:rPr>
              <w:br/>
              <w:t xml:space="preserve">(46 through </w:t>
            </w:r>
            <w:proofErr w:type="gramStart"/>
            <w:r w:rsidRPr="00201CF7">
              <w:rPr>
                <w:rFonts w:asciiTheme="majorHAnsi" w:hAnsiTheme="majorHAnsi"/>
                <w:szCs w:val="20"/>
              </w:rPr>
              <w:t>64 year olds</w:t>
            </w:r>
            <w:proofErr w:type="gramEnd"/>
            <w:r w:rsidRPr="00201CF7">
              <w:rPr>
                <w:rFonts w:asciiTheme="majorHAnsi" w:hAnsiTheme="majorHAnsi"/>
                <w:szCs w:val="20"/>
              </w:rPr>
              <w:t>)</w:t>
            </w:r>
          </w:p>
          <w:p w14:paraId="1ADE81B7" w14:textId="0366CB94" w:rsidR="00694498" w:rsidRPr="00201CF7" w:rsidRDefault="00BD0E7C" w:rsidP="008575FA">
            <w:pPr>
              <w:pStyle w:val="TableColumnHead"/>
              <w:widowControl/>
              <w:rPr>
                <w:rFonts w:asciiTheme="majorHAnsi" w:hAnsiTheme="majorHAnsi"/>
                <w:szCs w:val="20"/>
              </w:rPr>
            </w:pPr>
            <w:r>
              <w:rPr>
                <w:rFonts w:asciiTheme="majorHAnsi" w:hAnsiTheme="majorHAnsi"/>
                <w:szCs w:val="20"/>
              </w:rPr>
              <w:t>VAXCHORA</w:t>
            </w:r>
            <w:r w:rsidR="005457B9">
              <w:rPr>
                <w:rFonts w:asciiTheme="majorHAnsi" w:hAnsiTheme="majorHAnsi"/>
                <w:szCs w:val="20"/>
              </w:rPr>
              <w:t xml:space="preserve"> vaccine</w:t>
            </w:r>
          </w:p>
        </w:tc>
      </w:tr>
      <w:tr w:rsidR="00694498" w:rsidRPr="00201CF7" w14:paraId="74FF95AA" w14:textId="77777777" w:rsidTr="008575FA">
        <w:trPr>
          <w:jc w:val="center"/>
        </w:trPr>
        <w:tc>
          <w:tcPr>
            <w:tcW w:w="1620" w:type="dxa"/>
            <w:vMerge/>
            <w:tcBorders>
              <w:left w:val="single" w:sz="12" w:space="0" w:color="auto"/>
              <w:bottom w:val="single" w:sz="12" w:space="0" w:color="auto"/>
            </w:tcBorders>
            <w:shd w:val="clear" w:color="auto" w:fill="auto"/>
            <w:vAlign w:val="bottom"/>
          </w:tcPr>
          <w:p w14:paraId="0AFE6CCA" w14:textId="77777777" w:rsidR="00694498" w:rsidRPr="00201CF7" w:rsidRDefault="00694498" w:rsidP="008575FA">
            <w:pPr>
              <w:pStyle w:val="ParaText"/>
              <w:keepNext/>
              <w:keepLines/>
              <w:spacing w:line="240" w:lineRule="auto"/>
              <w:jc w:val="both"/>
              <w:rPr>
                <w:rFonts w:asciiTheme="majorHAnsi" w:hAnsiTheme="majorHAnsi"/>
                <w:b/>
                <w:iCs/>
                <w:sz w:val="20"/>
                <w:szCs w:val="20"/>
              </w:rPr>
            </w:pPr>
          </w:p>
        </w:tc>
        <w:tc>
          <w:tcPr>
            <w:tcW w:w="1571" w:type="dxa"/>
            <w:tcBorders>
              <w:bottom w:val="single" w:sz="12" w:space="0" w:color="auto"/>
            </w:tcBorders>
            <w:shd w:val="clear" w:color="auto" w:fill="auto"/>
            <w:vAlign w:val="center"/>
          </w:tcPr>
          <w:p w14:paraId="5DA04591" w14:textId="77777777" w:rsidR="00694498" w:rsidRPr="00201CF7" w:rsidRDefault="00694498" w:rsidP="008575FA">
            <w:pPr>
              <w:pStyle w:val="TableColumnHead"/>
              <w:widowControl/>
              <w:rPr>
                <w:rFonts w:asciiTheme="majorHAnsi" w:hAnsiTheme="majorHAnsi"/>
                <w:b w:val="0"/>
                <w:szCs w:val="20"/>
              </w:rPr>
            </w:pPr>
            <w:r w:rsidRPr="00201CF7">
              <w:rPr>
                <w:rFonts w:asciiTheme="majorHAnsi" w:hAnsiTheme="majorHAnsi"/>
                <w:b w:val="0"/>
                <w:szCs w:val="20"/>
              </w:rPr>
              <w:t>N</w:t>
            </w:r>
            <w:r w:rsidRPr="00201CF7">
              <w:rPr>
                <w:rFonts w:asciiTheme="majorHAnsi" w:hAnsiTheme="majorHAnsi"/>
                <w:b w:val="0"/>
                <w:iCs/>
                <w:szCs w:val="20"/>
                <w:vertAlign w:val="superscript"/>
              </w:rPr>
              <w:t>a</w:t>
            </w:r>
          </w:p>
        </w:tc>
        <w:tc>
          <w:tcPr>
            <w:tcW w:w="1571" w:type="dxa"/>
            <w:tcBorders>
              <w:bottom w:val="single" w:sz="12" w:space="0" w:color="auto"/>
            </w:tcBorders>
            <w:shd w:val="clear" w:color="auto" w:fill="auto"/>
            <w:vAlign w:val="center"/>
          </w:tcPr>
          <w:p w14:paraId="6899B0C0" w14:textId="77777777" w:rsidR="00694498" w:rsidRPr="00201CF7" w:rsidRDefault="00694498" w:rsidP="008575FA">
            <w:pPr>
              <w:pStyle w:val="TableColumnHead"/>
              <w:widowControl/>
              <w:rPr>
                <w:rFonts w:asciiTheme="majorHAnsi" w:hAnsiTheme="majorHAnsi"/>
                <w:szCs w:val="20"/>
              </w:rPr>
            </w:pPr>
            <w:r w:rsidRPr="00201CF7">
              <w:rPr>
                <w:rFonts w:asciiTheme="majorHAnsi" w:hAnsiTheme="majorHAnsi"/>
                <w:b w:val="0"/>
                <w:iCs/>
                <w:szCs w:val="20"/>
              </w:rPr>
              <w:t>%</w:t>
            </w:r>
            <w:r w:rsidRPr="00201CF7">
              <w:rPr>
                <w:rFonts w:asciiTheme="majorHAnsi" w:hAnsiTheme="majorHAnsi"/>
                <w:b w:val="0"/>
                <w:iCs/>
                <w:szCs w:val="20"/>
                <w:vertAlign w:val="superscript"/>
              </w:rPr>
              <w:t>b</w:t>
            </w:r>
            <w:r w:rsidRPr="00201CF7">
              <w:rPr>
                <w:rFonts w:asciiTheme="majorHAnsi" w:hAnsiTheme="majorHAnsi"/>
                <w:b w:val="0"/>
                <w:iCs/>
                <w:szCs w:val="20"/>
              </w:rPr>
              <w:br/>
              <w:t xml:space="preserve">[95% </w:t>
            </w:r>
            <w:proofErr w:type="spellStart"/>
            <w:r w:rsidRPr="00201CF7">
              <w:rPr>
                <w:rFonts w:asciiTheme="majorHAnsi" w:hAnsiTheme="majorHAnsi"/>
                <w:b w:val="0"/>
                <w:iCs/>
                <w:szCs w:val="20"/>
              </w:rPr>
              <w:t>CI</w:t>
            </w:r>
            <w:r w:rsidRPr="00201CF7">
              <w:rPr>
                <w:rFonts w:asciiTheme="majorHAnsi" w:hAnsiTheme="majorHAnsi"/>
                <w:b w:val="0"/>
                <w:iCs/>
                <w:szCs w:val="20"/>
                <w:vertAlign w:val="superscript"/>
              </w:rPr>
              <w:t>c</w:t>
            </w:r>
            <w:proofErr w:type="spellEnd"/>
            <w:r w:rsidRPr="00201CF7">
              <w:rPr>
                <w:rFonts w:asciiTheme="majorHAnsi" w:hAnsiTheme="majorHAnsi"/>
                <w:b w:val="0"/>
                <w:iCs/>
                <w:szCs w:val="20"/>
              </w:rPr>
              <w:t>]</w:t>
            </w:r>
          </w:p>
        </w:tc>
        <w:tc>
          <w:tcPr>
            <w:tcW w:w="1571" w:type="dxa"/>
            <w:tcBorders>
              <w:bottom w:val="single" w:sz="12" w:space="0" w:color="auto"/>
            </w:tcBorders>
            <w:shd w:val="clear" w:color="auto" w:fill="auto"/>
            <w:vAlign w:val="center"/>
          </w:tcPr>
          <w:p w14:paraId="6B1EB739" w14:textId="77777777" w:rsidR="00694498" w:rsidRPr="00201CF7" w:rsidRDefault="00694498" w:rsidP="008575FA">
            <w:pPr>
              <w:pStyle w:val="TableColumnHead"/>
              <w:widowControl/>
              <w:rPr>
                <w:rFonts w:asciiTheme="majorHAnsi" w:hAnsiTheme="majorHAnsi"/>
                <w:b w:val="0"/>
                <w:szCs w:val="20"/>
              </w:rPr>
            </w:pPr>
            <w:r w:rsidRPr="00201CF7">
              <w:rPr>
                <w:rFonts w:asciiTheme="majorHAnsi" w:hAnsiTheme="majorHAnsi"/>
                <w:b w:val="0"/>
                <w:szCs w:val="20"/>
              </w:rPr>
              <w:t>N</w:t>
            </w:r>
            <w:r w:rsidRPr="00201CF7">
              <w:rPr>
                <w:rFonts w:asciiTheme="majorHAnsi" w:hAnsiTheme="majorHAnsi"/>
                <w:b w:val="0"/>
                <w:iCs/>
                <w:szCs w:val="20"/>
                <w:vertAlign w:val="superscript"/>
              </w:rPr>
              <w:t>a</w:t>
            </w:r>
          </w:p>
        </w:tc>
        <w:tc>
          <w:tcPr>
            <w:tcW w:w="1572" w:type="dxa"/>
            <w:tcBorders>
              <w:bottom w:val="single" w:sz="12" w:space="0" w:color="auto"/>
              <w:right w:val="single" w:sz="12" w:space="0" w:color="auto"/>
            </w:tcBorders>
            <w:shd w:val="clear" w:color="auto" w:fill="auto"/>
            <w:vAlign w:val="center"/>
          </w:tcPr>
          <w:p w14:paraId="1468011E" w14:textId="77777777" w:rsidR="00694498" w:rsidRPr="00201CF7" w:rsidRDefault="00694498" w:rsidP="008575FA">
            <w:pPr>
              <w:pStyle w:val="TableColumnHead"/>
              <w:widowControl/>
              <w:rPr>
                <w:rFonts w:asciiTheme="majorHAnsi" w:hAnsiTheme="majorHAnsi"/>
                <w:szCs w:val="20"/>
              </w:rPr>
            </w:pPr>
            <w:r w:rsidRPr="00201CF7">
              <w:rPr>
                <w:rFonts w:asciiTheme="majorHAnsi" w:hAnsiTheme="majorHAnsi"/>
                <w:b w:val="0"/>
                <w:iCs/>
                <w:szCs w:val="20"/>
              </w:rPr>
              <w:t>%</w:t>
            </w:r>
            <w:r w:rsidRPr="00201CF7">
              <w:rPr>
                <w:rFonts w:asciiTheme="majorHAnsi" w:hAnsiTheme="majorHAnsi"/>
                <w:b w:val="0"/>
                <w:iCs/>
                <w:szCs w:val="20"/>
              </w:rPr>
              <w:br/>
              <w:t>[95% CI]</w:t>
            </w:r>
          </w:p>
        </w:tc>
      </w:tr>
      <w:tr w:rsidR="00694498" w:rsidRPr="00201CF7" w14:paraId="2A36C456" w14:textId="77777777" w:rsidTr="008575FA">
        <w:trPr>
          <w:jc w:val="center"/>
        </w:trPr>
        <w:tc>
          <w:tcPr>
            <w:tcW w:w="1620" w:type="dxa"/>
            <w:tcBorders>
              <w:top w:val="single" w:sz="12" w:space="0" w:color="auto"/>
              <w:left w:val="single" w:sz="12" w:space="0" w:color="auto"/>
            </w:tcBorders>
            <w:shd w:val="clear" w:color="auto" w:fill="auto"/>
          </w:tcPr>
          <w:p w14:paraId="0C1D9CB0" w14:textId="77777777" w:rsidR="00694498" w:rsidRPr="00201CF7" w:rsidRDefault="00694498" w:rsidP="008575FA">
            <w:pPr>
              <w:pStyle w:val="ParaText"/>
              <w:keepNext/>
              <w:keepLines/>
              <w:spacing w:line="240" w:lineRule="auto"/>
              <w:jc w:val="both"/>
              <w:rPr>
                <w:rFonts w:asciiTheme="majorHAnsi" w:hAnsiTheme="majorHAnsi"/>
                <w:iCs/>
                <w:sz w:val="20"/>
                <w:szCs w:val="20"/>
              </w:rPr>
            </w:pPr>
            <w:r w:rsidRPr="00201CF7">
              <w:rPr>
                <w:rFonts w:asciiTheme="majorHAnsi" w:hAnsiTheme="majorHAnsi"/>
                <w:sz w:val="20"/>
                <w:szCs w:val="20"/>
              </w:rPr>
              <w:t xml:space="preserve">Classical </w:t>
            </w:r>
            <w:proofErr w:type="spellStart"/>
            <w:r w:rsidRPr="00201CF7">
              <w:rPr>
                <w:rFonts w:asciiTheme="majorHAnsi" w:hAnsiTheme="majorHAnsi"/>
                <w:sz w:val="20"/>
                <w:szCs w:val="20"/>
              </w:rPr>
              <w:t>Inaba</w:t>
            </w:r>
            <w:r w:rsidRPr="00201CF7">
              <w:rPr>
                <w:rFonts w:asciiTheme="majorHAnsi" w:hAnsiTheme="majorHAnsi"/>
                <w:sz w:val="20"/>
                <w:szCs w:val="20"/>
                <w:vertAlign w:val="superscript"/>
              </w:rPr>
              <w:t>d</w:t>
            </w:r>
            <w:proofErr w:type="spellEnd"/>
          </w:p>
        </w:tc>
        <w:tc>
          <w:tcPr>
            <w:tcW w:w="1571" w:type="dxa"/>
            <w:tcBorders>
              <w:top w:val="single" w:sz="12" w:space="0" w:color="auto"/>
            </w:tcBorders>
            <w:shd w:val="clear" w:color="auto" w:fill="auto"/>
            <w:vAlign w:val="center"/>
          </w:tcPr>
          <w:p w14:paraId="6710BE36"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93</w:t>
            </w:r>
          </w:p>
        </w:tc>
        <w:tc>
          <w:tcPr>
            <w:tcW w:w="1571" w:type="dxa"/>
            <w:tcBorders>
              <w:top w:val="single" w:sz="12" w:space="0" w:color="auto"/>
            </w:tcBorders>
            <w:shd w:val="clear" w:color="auto" w:fill="auto"/>
            <w:vAlign w:val="center"/>
          </w:tcPr>
          <w:p w14:paraId="085E1941"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90.3%</w:t>
            </w:r>
            <w:r w:rsidRPr="00201CF7">
              <w:rPr>
                <w:rFonts w:asciiTheme="majorHAnsi" w:hAnsiTheme="majorHAnsi"/>
                <w:sz w:val="20"/>
                <w:szCs w:val="20"/>
              </w:rPr>
              <w:br/>
              <w:t>[82.4%, 95.5%]</w:t>
            </w:r>
          </w:p>
        </w:tc>
        <w:tc>
          <w:tcPr>
            <w:tcW w:w="1571" w:type="dxa"/>
            <w:tcBorders>
              <w:top w:val="single" w:sz="12" w:space="0" w:color="auto"/>
            </w:tcBorders>
            <w:shd w:val="clear" w:color="auto" w:fill="auto"/>
            <w:vAlign w:val="center"/>
          </w:tcPr>
          <w:p w14:paraId="1CFB7ADA"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291</w:t>
            </w:r>
          </w:p>
        </w:tc>
        <w:tc>
          <w:tcPr>
            <w:tcW w:w="1572" w:type="dxa"/>
            <w:tcBorders>
              <w:top w:val="single" w:sz="12" w:space="0" w:color="auto"/>
              <w:right w:val="single" w:sz="12" w:space="0" w:color="auto"/>
            </w:tcBorders>
            <w:shd w:val="clear" w:color="auto" w:fill="auto"/>
            <w:vAlign w:val="center"/>
          </w:tcPr>
          <w:p w14:paraId="76A4C56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90.4%</w:t>
            </w:r>
            <w:r w:rsidRPr="00201CF7">
              <w:rPr>
                <w:rFonts w:asciiTheme="majorHAnsi" w:hAnsiTheme="majorHAnsi"/>
                <w:sz w:val="20"/>
                <w:szCs w:val="20"/>
              </w:rPr>
              <w:br/>
              <w:t>[86.4%, 93.5%]</w:t>
            </w:r>
          </w:p>
        </w:tc>
      </w:tr>
      <w:tr w:rsidR="00694498" w:rsidRPr="00201CF7" w14:paraId="4A541E1F" w14:textId="77777777" w:rsidTr="008575FA">
        <w:trPr>
          <w:jc w:val="center"/>
        </w:trPr>
        <w:tc>
          <w:tcPr>
            <w:tcW w:w="1620" w:type="dxa"/>
            <w:tcBorders>
              <w:left w:val="single" w:sz="12" w:space="0" w:color="auto"/>
            </w:tcBorders>
            <w:shd w:val="clear" w:color="auto" w:fill="auto"/>
          </w:tcPr>
          <w:p w14:paraId="1216D3B6" w14:textId="77777777" w:rsidR="00694498" w:rsidRPr="00201CF7" w:rsidRDefault="00694498" w:rsidP="008575FA">
            <w:pPr>
              <w:pStyle w:val="ParaText"/>
              <w:keepNext/>
              <w:keepLines/>
              <w:spacing w:line="240" w:lineRule="auto"/>
              <w:jc w:val="both"/>
              <w:rPr>
                <w:rFonts w:asciiTheme="majorHAnsi" w:hAnsiTheme="majorHAnsi"/>
                <w:iCs/>
                <w:sz w:val="20"/>
                <w:szCs w:val="20"/>
              </w:rPr>
            </w:pPr>
            <w:r w:rsidRPr="00201CF7">
              <w:rPr>
                <w:rFonts w:asciiTheme="majorHAnsi" w:hAnsiTheme="majorHAnsi"/>
                <w:sz w:val="20"/>
                <w:szCs w:val="20"/>
              </w:rPr>
              <w:t>El Tor Inaba</w:t>
            </w:r>
          </w:p>
        </w:tc>
        <w:tc>
          <w:tcPr>
            <w:tcW w:w="1571" w:type="dxa"/>
            <w:shd w:val="clear" w:color="auto" w:fill="auto"/>
            <w:vAlign w:val="center"/>
          </w:tcPr>
          <w:p w14:paraId="10C4B700"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93</w:t>
            </w:r>
          </w:p>
        </w:tc>
        <w:tc>
          <w:tcPr>
            <w:tcW w:w="1571" w:type="dxa"/>
            <w:shd w:val="clear" w:color="auto" w:fill="auto"/>
            <w:vAlign w:val="center"/>
          </w:tcPr>
          <w:p w14:paraId="65AD3238"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91.4%</w:t>
            </w:r>
            <w:r w:rsidRPr="00201CF7">
              <w:rPr>
                <w:rFonts w:asciiTheme="majorHAnsi" w:hAnsiTheme="majorHAnsi"/>
                <w:sz w:val="20"/>
                <w:szCs w:val="20"/>
              </w:rPr>
              <w:br/>
              <w:t>[83.8%, 96.2%]</w:t>
            </w:r>
          </w:p>
        </w:tc>
        <w:tc>
          <w:tcPr>
            <w:tcW w:w="1571" w:type="dxa"/>
            <w:shd w:val="clear" w:color="auto" w:fill="auto"/>
            <w:vAlign w:val="center"/>
          </w:tcPr>
          <w:p w14:paraId="406C8987"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290</w:t>
            </w:r>
          </w:p>
        </w:tc>
        <w:tc>
          <w:tcPr>
            <w:tcW w:w="1572" w:type="dxa"/>
            <w:tcBorders>
              <w:right w:val="single" w:sz="12" w:space="0" w:color="auto"/>
            </w:tcBorders>
            <w:shd w:val="clear" w:color="auto" w:fill="auto"/>
            <w:vAlign w:val="center"/>
          </w:tcPr>
          <w:p w14:paraId="1EE4CB3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91.0%</w:t>
            </w:r>
            <w:r w:rsidRPr="00201CF7">
              <w:rPr>
                <w:rFonts w:asciiTheme="majorHAnsi" w:hAnsiTheme="majorHAnsi"/>
                <w:sz w:val="20"/>
                <w:szCs w:val="20"/>
              </w:rPr>
              <w:br/>
              <w:t>[</w:t>
            </w:r>
            <w:r w:rsidRPr="00201CF7">
              <w:rPr>
                <w:rFonts w:asciiTheme="majorHAnsi" w:eastAsia="Arial Unicode MS" w:hAnsiTheme="majorHAnsi" w:cs="Arial Unicode MS"/>
                <w:sz w:val="20"/>
                <w:szCs w:val="20"/>
              </w:rPr>
              <w:t>87.1%, 94.1%]</w:t>
            </w:r>
          </w:p>
        </w:tc>
      </w:tr>
      <w:tr w:rsidR="00694498" w:rsidRPr="00201CF7" w14:paraId="2CF26605" w14:textId="77777777" w:rsidTr="008575FA">
        <w:trPr>
          <w:jc w:val="center"/>
        </w:trPr>
        <w:tc>
          <w:tcPr>
            <w:tcW w:w="1620" w:type="dxa"/>
            <w:tcBorders>
              <w:left w:val="single" w:sz="12" w:space="0" w:color="auto"/>
            </w:tcBorders>
            <w:shd w:val="clear" w:color="auto" w:fill="auto"/>
          </w:tcPr>
          <w:p w14:paraId="181466C0" w14:textId="77777777" w:rsidR="00694498" w:rsidRPr="00201CF7" w:rsidRDefault="00694498" w:rsidP="008575FA">
            <w:pPr>
              <w:pStyle w:val="ParaText"/>
              <w:keepNext/>
              <w:keepLines/>
              <w:spacing w:line="240" w:lineRule="auto"/>
              <w:jc w:val="both"/>
              <w:rPr>
                <w:rFonts w:asciiTheme="majorHAnsi" w:hAnsiTheme="majorHAnsi"/>
                <w:iCs/>
                <w:sz w:val="20"/>
                <w:szCs w:val="20"/>
              </w:rPr>
            </w:pPr>
            <w:r w:rsidRPr="00201CF7">
              <w:rPr>
                <w:rFonts w:asciiTheme="majorHAnsi" w:hAnsiTheme="majorHAnsi"/>
                <w:sz w:val="20"/>
                <w:szCs w:val="20"/>
              </w:rPr>
              <w:t>Classical Ogawa</w:t>
            </w:r>
          </w:p>
        </w:tc>
        <w:tc>
          <w:tcPr>
            <w:tcW w:w="1571" w:type="dxa"/>
            <w:shd w:val="clear" w:color="auto" w:fill="auto"/>
            <w:vAlign w:val="center"/>
          </w:tcPr>
          <w:p w14:paraId="61B6A545"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93</w:t>
            </w:r>
          </w:p>
        </w:tc>
        <w:tc>
          <w:tcPr>
            <w:tcW w:w="1571" w:type="dxa"/>
            <w:shd w:val="clear" w:color="auto" w:fill="auto"/>
            <w:vAlign w:val="center"/>
          </w:tcPr>
          <w:p w14:paraId="36EF39E2"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87.1%</w:t>
            </w:r>
            <w:r w:rsidRPr="00201CF7">
              <w:rPr>
                <w:rFonts w:asciiTheme="majorHAnsi" w:hAnsiTheme="majorHAnsi"/>
                <w:sz w:val="20"/>
                <w:szCs w:val="20"/>
              </w:rPr>
              <w:br/>
              <w:t>[</w:t>
            </w:r>
            <w:r w:rsidRPr="00201CF7">
              <w:rPr>
                <w:rFonts w:asciiTheme="majorHAnsi" w:eastAsia="Arial Unicode MS" w:hAnsiTheme="majorHAnsi" w:cs="Arial Unicode MS"/>
                <w:sz w:val="20"/>
                <w:szCs w:val="20"/>
              </w:rPr>
              <w:t>78.5%, 93.2%]</w:t>
            </w:r>
          </w:p>
        </w:tc>
        <w:tc>
          <w:tcPr>
            <w:tcW w:w="1571" w:type="dxa"/>
            <w:shd w:val="clear" w:color="auto" w:fill="auto"/>
            <w:vAlign w:val="center"/>
          </w:tcPr>
          <w:p w14:paraId="128C6992"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291</w:t>
            </w:r>
          </w:p>
        </w:tc>
        <w:tc>
          <w:tcPr>
            <w:tcW w:w="1572" w:type="dxa"/>
            <w:tcBorders>
              <w:right w:val="single" w:sz="12" w:space="0" w:color="auto"/>
            </w:tcBorders>
            <w:shd w:val="clear" w:color="auto" w:fill="auto"/>
            <w:vAlign w:val="center"/>
          </w:tcPr>
          <w:p w14:paraId="2FBAD10B"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73.2%</w:t>
            </w:r>
            <w:r w:rsidRPr="00201CF7">
              <w:rPr>
                <w:rFonts w:asciiTheme="majorHAnsi" w:hAnsiTheme="majorHAnsi"/>
                <w:sz w:val="20"/>
                <w:szCs w:val="20"/>
              </w:rPr>
              <w:br/>
              <w:t>[</w:t>
            </w:r>
            <w:r w:rsidRPr="00201CF7">
              <w:rPr>
                <w:rFonts w:asciiTheme="majorHAnsi" w:eastAsia="Arial Unicode MS" w:hAnsiTheme="majorHAnsi" w:cs="Arial Unicode MS"/>
                <w:sz w:val="20"/>
                <w:szCs w:val="20"/>
              </w:rPr>
              <w:t>67.7%, 78.2%]</w:t>
            </w:r>
          </w:p>
        </w:tc>
      </w:tr>
      <w:tr w:rsidR="00694498" w:rsidRPr="00201CF7" w14:paraId="5ABB3B16" w14:textId="77777777" w:rsidTr="008575FA">
        <w:trPr>
          <w:jc w:val="center"/>
        </w:trPr>
        <w:tc>
          <w:tcPr>
            <w:tcW w:w="1620" w:type="dxa"/>
            <w:tcBorders>
              <w:left w:val="single" w:sz="12" w:space="0" w:color="auto"/>
              <w:bottom w:val="single" w:sz="12" w:space="0" w:color="auto"/>
            </w:tcBorders>
            <w:shd w:val="clear" w:color="auto" w:fill="auto"/>
          </w:tcPr>
          <w:p w14:paraId="6A408B2E" w14:textId="77777777" w:rsidR="00694498" w:rsidRPr="00201CF7" w:rsidRDefault="00694498" w:rsidP="008575FA">
            <w:pPr>
              <w:pStyle w:val="ParaText"/>
              <w:keepNext/>
              <w:keepLines/>
              <w:spacing w:line="240" w:lineRule="auto"/>
              <w:jc w:val="both"/>
              <w:rPr>
                <w:rFonts w:asciiTheme="majorHAnsi" w:hAnsiTheme="majorHAnsi"/>
                <w:iCs/>
                <w:sz w:val="20"/>
                <w:szCs w:val="20"/>
              </w:rPr>
            </w:pPr>
            <w:r w:rsidRPr="00201CF7">
              <w:rPr>
                <w:rFonts w:asciiTheme="majorHAnsi" w:hAnsiTheme="majorHAnsi"/>
                <w:sz w:val="20"/>
                <w:szCs w:val="20"/>
              </w:rPr>
              <w:t>El Tor Ogawa</w:t>
            </w:r>
          </w:p>
        </w:tc>
        <w:tc>
          <w:tcPr>
            <w:tcW w:w="1571" w:type="dxa"/>
            <w:tcBorders>
              <w:bottom w:val="single" w:sz="12" w:space="0" w:color="auto"/>
            </w:tcBorders>
            <w:shd w:val="clear" w:color="auto" w:fill="auto"/>
            <w:vAlign w:val="center"/>
          </w:tcPr>
          <w:p w14:paraId="49285AD9"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93</w:t>
            </w:r>
          </w:p>
        </w:tc>
        <w:tc>
          <w:tcPr>
            <w:tcW w:w="1571" w:type="dxa"/>
            <w:tcBorders>
              <w:bottom w:val="single" w:sz="12" w:space="0" w:color="auto"/>
            </w:tcBorders>
            <w:shd w:val="clear" w:color="auto" w:fill="auto"/>
            <w:vAlign w:val="center"/>
          </w:tcPr>
          <w:p w14:paraId="2C320954"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 xml:space="preserve">89.2% </w:t>
            </w:r>
            <w:r w:rsidRPr="00201CF7">
              <w:rPr>
                <w:rFonts w:asciiTheme="majorHAnsi" w:hAnsiTheme="majorHAnsi"/>
                <w:sz w:val="20"/>
                <w:szCs w:val="20"/>
              </w:rPr>
              <w:br/>
              <w:t>[</w:t>
            </w:r>
            <w:r w:rsidRPr="00201CF7">
              <w:rPr>
                <w:rFonts w:asciiTheme="majorHAnsi" w:eastAsia="Arial Unicode MS" w:hAnsiTheme="majorHAnsi" w:cs="Arial Unicode MS"/>
                <w:sz w:val="20"/>
                <w:szCs w:val="20"/>
              </w:rPr>
              <w:t>81.1%, 94.7%]</w:t>
            </w:r>
          </w:p>
        </w:tc>
        <w:tc>
          <w:tcPr>
            <w:tcW w:w="1571" w:type="dxa"/>
            <w:tcBorders>
              <w:bottom w:val="single" w:sz="12" w:space="0" w:color="auto"/>
            </w:tcBorders>
            <w:shd w:val="clear" w:color="auto" w:fill="auto"/>
            <w:vAlign w:val="center"/>
          </w:tcPr>
          <w:p w14:paraId="169CB4D5" w14:textId="77777777" w:rsidR="00694498" w:rsidRPr="00201CF7" w:rsidRDefault="00694498" w:rsidP="008575FA">
            <w:pPr>
              <w:pStyle w:val="ParaText"/>
              <w:keepNext/>
              <w:keepLines/>
              <w:spacing w:line="240" w:lineRule="auto"/>
              <w:jc w:val="center"/>
              <w:rPr>
                <w:rFonts w:asciiTheme="majorHAnsi" w:hAnsiTheme="majorHAnsi"/>
                <w:sz w:val="20"/>
                <w:szCs w:val="20"/>
              </w:rPr>
            </w:pPr>
            <w:r w:rsidRPr="00201CF7">
              <w:rPr>
                <w:rFonts w:asciiTheme="majorHAnsi" w:hAnsiTheme="majorHAnsi"/>
                <w:sz w:val="20"/>
                <w:szCs w:val="20"/>
              </w:rPr>
              <w:t>290</w:t>
            </w:r>
          </w:p>
        </w:tc>
        <w:tc>
          <w:tcPr>
            <w:tcW w:w="1572" w:type="dxa"/>
            <w:tcBorders>
              <w:bottom w:val="single" w:sz="12" w:space="0" w:color="auto"/>
              <w:right w:val="single" w:sz="12" w:space="0" w:color="auto"/>
            </w:tcBorders>
            <w:shd w:val="clear" w:color="auto" w:fill="auto"/>
            <w:vAlign w:val="center"/>
          </w:tcPr>
          <w:p w14:paraId="14D216A4"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sz w:val="20"/>
                <w:szCs w:val="20"/>
              </w:rPr>
              <w:t>71.4%</w:t>
            </w:r>
            <w:r w:rsidRPr="00201CF7">
              <w:rPr>
                <w:rFonts w:asciiTheme="majorHAnsi" w:hAnsiTheme="majorHAnsi"/>
                <w:sz w:val="20"/>
                <w:szCs w:val="20"/>
              </w:rPr>
              <w:br/>
              <w:t>[</w:t>
            </w:r>
            <w:r w:rsidRPr="00201CF7">
              <w:rPr>
                <w:rFonts w:asciiTheme="majorHAnsi" w:eastAsia="Arial Unicode MS" w:hAnsiTheme="majorHAnsi" w:cs="Arial Unicode MS"/>
                <w:sz w:val="20"/>
                <w:szCs w:val="20"/>
              </w:rPr>
              <w:t>65.8%, 76.5%]</w:t>
            </w:r>
          </w:p>
        </w:tc>
      </w:tr>
    </w:tbl>
    <w:p w14:paraId="5BD6ACF5" w14:textId="77777777" w:rsidR="00694498" w:rsidRPr="00201CF7" w:rsidRDefault="00694498" w:rsidP="008E244A">
      <w:pPr>
        <w:pStyle w:val="TableFootnote"/>
        <w:keepNext/>
        <w:keepLines/>
        <w:tabs>
          <w:tab w:val="clear" w:pos="360"/>
        </w:tabs>
        <w:ind w:left="567" w:right="720" w:firstLine="63"/>
        <w:rPr>
          <w:rFonts w:asciiTheme="majorHAnsi" w:hAnsiTheme="majorHAnsi"/>
        </w:rPr>
      </w:pPr>
      <w:r w:rsidRPr="00201CF7">
        <w:rPr>
          <w:rFonts w:asciiTheme="majorHAnsi" w:hAnsiTheme="majorHAnsi"/>
          <w:vertAlign w:val="superscript"/>
        </w:rPr>
        <w:t>a</w:t>
      </w:r>
      <w:r w:rsidRPr="00201CF7">
        <w:rPr>
          <w:rFonts w:asciiTheme="majorHAnsi" w:hAnsiTheme="majorHAnsi"/>
        </w:rPr>
        <w:t xml:space="preserve"> N=number of subjects with measurements at baseline and 10 days post-vaccination. One subject in the younger </w:t>
      </w:r>
      <w:proofErr w:type="gramStart"/>
      <w:r w:rsidRPr="00201CF7">
        <w:rPr>
          <w:rFonts w:asciiTheme="majorHAnsi" w:hAnsiTheme="majorHAnsi"/>
        </w:rPr>
        <w:t>adults</w:t>
      </w:r>
      <w:proofErr w:type="gramEnd"/>
      <w:r w:rsidRPr="00201CF7">
        <w:rPr>
          <w:rFonts w:asciiTheme="majorHAnsi" w:hAnsiTheme="majorHAnsi"/>
        </w:rPr>
        <w:t xml:space="preserve"> study did not have a Day 11 measurement and was dropped from the analysis.</w:t>
      </w:r>
    </w:p>
    <w:p w14:paraId="55B61768" w14:textId="77777777" w:rsidR="00694498" w:rsidRPr="00201CF7" w:rsidRDefault="00694498" w:rsidP="008E244A">
      <w:pPr>
        <w:pStyle w:val="TableFootnote"/>
        <w:keepNext/>
        <w:keepLines/>
        <w:tabs>
          <w:tab w:val="clear" w:pos="360"/>
        </w:tabs>
        <w:ind w:left="567" w:right="720" w:firstLine="63"/>
        <w:rPr>
          <w:rFonts w:asciiTheme="majorHAnsi" w:hAnsiTheme="majorHAnsi"/>
        </w:rPr>
      </w:pPr>
      <w:r w:rsidRPr="00201CF7">
        <w:rPr>
          <w:rFonts w:asciiTheme="majorHAnsi" w:hAnsiTheme="majorHAnsi"/>
          <w:vertAlign w:val="superscript"/>
        </w:rPr>
        <w:t>b</w:t>
      </w:r>
      <w:r w:rsidRPr="00201CF7">
        <w:rPr>
          <w:rFonts w:asciiTheme="majorHAnsi" w:hAnsiTheme="majorHAnsi"/>
        </w:rPr>
        <w:t xml:space="preserve"> Seroconversion is defined as the percentages of subjects who had at least a 4-fold rise in </w:t>
      </w:r>
      <w:proofErr w:type="spellStart"/>
      <w:r w:rsidRPr="00201CF7">
        <w:rPr>
          <w:rFonts w:asciiTheme="majorHAnsi" w:hAnsiTheme="majorHAnsi"/>
        </w:rPr>
        <w:t>vibriocidal</w:t>
      </w:r>
      <w:proofErr w:type="spellEnd"/>
      <w:r w:rsidRPr="00201CF7">
        <w:rPr>
          <w:rFonts w:asciiTheme="majorHAnsi" w:hAnsiTheme="majorHAnsi"/>
        </w:rPr>
        <w:t xml:space="preserve"> antibody titer at 10 days post-vaccination compared to the titer measured at baseline.</w:t>
      </w:r>
    </w:p>
    <w:p w14:paraId="45ACD9E8" w14:textId="77777777" w:rsidR="00694498" w:rsidRPr="00201CF7" w:rsidRDefault="00694498" w:rsidP="00694498">
      <w:pPr>
        <w:pStyle w:val="TableFootnote"/>
        <w:keepNext/>
        <w:keepLines/>
        <w:tabs>
          <w:tab w:val="clear" w:pos="360"/>
        </w:tabs>
        <w:ind w:left="990" w:right="720"/>
        <w:rPr>
          <w:rFonts w:asciiTheme="majorHAnsi" w:hAnsiTheme="majorHAnsi"/>
        </w:rPr>
      </w:pPr>
      <w:r w:rsidRPr="00201CF7">
        <w:rPr>
          <w:rFonts w:asciiTheme="majorHAnsi" w:hAnsiTheme="majorHAnsi"/>
          <w:vertAlign w:val="superscript"/>
        </w:rPr>
        <w:t>c</w:t>
      </w:r>
      <w:r w:rsidRPr="00201CF7">
        <w:rPr>
          <w:rFonts w:asciiTheme="majorHAnsi" w:hAnsiTheme="majorHAnsi"/>
        </w:rPr>
        <w:t xml:space="preserve"> CI=confidence interval.</w:t>
      </w:r>
    </w:p>
    <w:p w14:paraId="13306D0E" w14:textId="199C954E" w:rsidR="00694498" w:rsidRPr="00201CF7" w:rsidRDefault="00694498" w:rsidP="00694498">
      <w:pPr>
        <w:pStyle w:val="TableFootnote"/>
        <w:keepNext/>
        <w:keepLines/>
        <w:tabs>
          <w:tab w:val="clear" w:pos="360"/>
        </w:tabs>
        <w:ind w:left="990" w:right="720"/>
        <w:rPr>
          <w:rFonts w:asciiTheme="majorHAnsi" w:hAnsiTheme="majorHAnsi"/>
        </w:rPr>
      </w:pPr>
      <w:r w:rsidRPr="00201CF7">
        <w:rPr>
          <w:rFonts w:asciiTheme="majorHAnsi" w:hAnsiTheme="majorHAnsi"/>
          <w:vertAlign w:val="superscript"/>
        </w:rPr>
        <w:t>d</w:t>
      </w:r>
      <w:r w:rsidRPr="00201CF7">
        <w:rPr>
          <w:rFonts w:asciiTheme="majorHAnsi" w:hAnsiTheme="majorHAnsi"/>
        </w:rPr>
        <w:t xml:space="preserve"> </w:t>
      </w:r>
      <w:r w:rsidR="00BD0E7C">
        <w:rPr>
          <w:rFonts w:asciiTheme="majorHAnsi" w:hAnsiTheme="majorHAnsi"/>
        </w:rPr>
        <w:t>VAXCHORA</w:t>
      </w:r>
      <w:r w:rsidRPr="00201CF7">
        <w:rPr>
          <w:rFonts w:asciiTheme="majorHAnsi" w:hAnsiTheme="majorHAnsi"/>
        </w:rPr>
        <w:t xml:space="preserve"> </w:t>
      </w:r>
      <w:r w:rsidR="00AB4115">
        <w:rPr>
          <w:rFonts w:asciiTheme="majorHAnsi" w:hAnsiTheme="majorHAnsi"/>
          <w:noProof/>
        </w:rPr>
        <w:t>vaccine</w:t>
      </w:r>
      <w:r w:rsidR="00AB4115" w:rsidRPr="00201CF7">
        <w:rPr>
          <w:rFonts w:asciiTheme="majorHAnsi" w:hAnsiTheme="majorHAnsi"/>
        </w:rPr>
        <w:t xml:space="preserve"> </w:t>
      </w:r>
      <w:r w:rsidRPr="00201CF7">
        <w:rPr>
          <w:rFonts w:asciiTheme="majorHAnsi" w:hAnsiTheme="majorHAnsi"/>
        </w:rPr>
        <w:t xml:space="preserve">contains the classical Inaba strain of </w:t>
      </w:r>
      <w:r w:rsidRPr="00201CF7">
        <w:rPr>
          <w:rFonts w:asciiTheme="majorHAnsi" w:hAnsiTheme="majorHAnsi"/>
          <w:i/>
        </w:rPr>
        <w:t>V. cholerae</w:t>
      </w:r>
      <w:r w:rsidRPr="00201CF7">
        <w:rPr>
          <w:rFonts w:asciiTheme="majorHAnsi" w:hAnsiTheme="majorHAnsi"/>
        </w:rPr>
        <w:t xml:space="preserve"> O1.</w:t>
      </w:r>
    </w:p>
    <w:p w14:paraId="5AACBB58" w14:textId="77777777" w:rsidR="00E83278" w:rsidRPr="00201CF7" w:rsidRDefault="00E83278" w:rsidP="00694498">
      <w:pPr>
        <w:spacing w:line="240" w:lineRule="auto"/>
        <w:rPr>
          <w:rFonts w:asciiTheme="majorHAnsi" w:hAnsiTheme="majorHAnsi"/>
        </w:rPr>
      </w:pPr>
    </w:p>
    <w:p w14:paraId="5B7752C8" w14:textId="395DB31A" w:rsidR="00694498" w:rsidRPr="00201CF7" w:rsidRDefault="00694498" w:rsidP="00694498">
      <w:pPr>
        <w:spacing w:line="240" w:lineRule="auto"/>
        <w:rPr>
          <w:rFonts w:asciiTheme="majorHAnsi" w:hAnsiTheme="majorHAnsi"/>
          <w:bCs/>
          <w:iCs/>
        </w:rPr>
      </w:pPr>
      <w:r w:rsidRPr="00201CF7">
        <w:rPr>
          <w:rFonts w:asciiTheme="majorHAnsi" w:hAnsiTheme="majorHAnsi"/>
          <w:bCs/>
          <w:iCs/>
          <w:u w:val="single"/>
        </w:rPr>
        <w:t>Paediatric population</w:t>
      </w:r>
    </w:p>
    <w:p w14:paraId="0BAF9F1F" w14:textId="55403A80" w:rsidR="00694498" w:rsidRPr="00201CF7" w:rsidRDefault="00694498" w:rsidP="00694498">
      <w:pPr>
        <w:spacing w:line="240" w:lineRule="auto"/>
        <w:rPr>
          <w:rFonts w:asciiTheme="majorHAnsi" w:hAnsiTheme="majorHAnsi"/>
        </w:rPr>
      </w:pPr>
      <w:r w:rsidRPr="00201CF7">
        <w:rPr>
          <w:rFonts w:asciiTheme="majorHAnsi" w:hAnsiTheme="majorHAnsi"/>
        </w:rPr>
        <w:t xml:space="preserve">An immunogenicity trial was conducted in </w:t>
      </w:r>
      <w:r w:rsidR="00D84217">
        <w:rPr>
          <w:rFonts w:asciiTheme="majorHAnsi" w:hAnsiTheme="majorHAnsi"/>
        </w:rPr>
        <w:t>550</w:t>
      </w:r>
      <w:r w:rsidR="00D84217" w:rsidRPr="00201CF7">
        <w:rPr>
          <w:rFonts w:asciiTheme="majorHAnsi" w:hAnsiTheme="majorHAnsi"/>
        </w:rPr>
        <w:t xml:space="preserve"> </w:t>
      </w:r>
      <w:r w:rsidRPr="00201CF7">
        <w:rPr>
          <w:rFonts w:asciiTheme="majorHAnsi" w:hAnsiTheme="majorHAnsi"/>
        </w:rPr>
        <w:t>healthy children age</w:t>
      </w:r>
      <w:r w:rsidR="008E244A" w:rsidRPr="00201CF7">
        <w:rPr>
          <w:rFonts w:asciiTheme="majorHAnsi" w:hAnsiTheme="majorHAnsi"/>
        </w:rPr>
        <w:t>d</w:t>
      </w:r>
      <w:r w:rsidRPr="00201CF7">
        <w:rPr>
          <w:rFonts w:asciiTheme="majorHAnsi" w:hAnsiTheme="majorHAnsi"/>
        </w:rPr>
        <w:t xml:space="preserve"> 2 to </w:t>
      </w:r>
      <w:r w:rsidR="00E87D63">
        <w:rPr>
          <w:rFonts w:asciiTheme="majorHAnsi" w:hAnsiTheme="majorHAnsi"/>
        </w:rPr>
        <w:t>17</w:t>
      </w:r>
      <w:r w:rsidRPr="00201CF7">
        <w:rPr>
          <w:rFonts w:asciiTheme="majorHAnsi" w:hAnsiTheme="majorHAnsi"/>
        </w:rPr>
        <w:t xml:space="preserve"> years (mean age 9.0, range 2-17, 52.0% male, 48.0% female). </w:t>
      </w:r>
      <w:r w:rsidR="00317992" w:rsidRPr="00317992">
        <w:rPr>
          <w:rFonts w:asciiTheme="majorHAnsi" w:hAnsiTheme="majorHAnsi"/>
        </w:rPr>
        <w:t>In the immunogenicity evaluable population (n=4</w:t>
      </w:r>
      <w:r w:rsidR="0068502C">
        <w:rPr>
          <w:rFonts w:asciiTheme="majorHAnsi" w:hAnsiTheme="majorHAnsi"/>
        </w:rPr>
        <w:t>6</w:t>
      </w:r>
      <w:r w:rsidR="00317992" w:rsidRPr="00317992">
        <w:rPr>
          <w:rFonts w:asciiTheme="majorHAnsi" w:hAnsiTheme="majorHAnsi"/>
        </w:rPr>
        <w:t>6) the ratio of male to female was 52.8% male and 47.2% female</w:t>
      </w:r>
      <w:r w:rsidR="00317992">
        <w:rPr>
          <w:rFonts w:asciiTheme="majorHAnsi" w:hAnsiTheme="majorHAnsi"/>
        </w:rPr>
        <w:t xml:space="preserve">. </w:t>
      </w:r>
      <w:r w:rsidRPr="00201CF7">
        <w:rPr>
          <w:rFonts w:asciiTheme="majorHAnsi" w:hAnsiTheme="majorHAnsi"/>
        </w:rPr>
        <w:t xml:space="preserve">The seroconversion results in vaccine and placebo recipients and </w:t>
      </w:r>
      <w:proofErr w:type="spellStart"/>
      <w:r w:rsidRPr="00201CF7">
        <w:rPr>
          <w:rFonts w:asciiTheme="majorHAnsi" w:hAnsiTheme="majorHAnsi"/>
        </w:rPr>
        <w:t>immunobridging</w:t>
      </w:r>
      <w:proofErr w:type="spellEnd"/>
      <w:r w:rsidRPr="00201CF7">
        <w:rPr>
          <w:rFonts w:asciiTheme="majorHAnsi" w:hAnsiTheme="majorHAnsi"/>
        </w:rPr>
        <w:t xml:space="preserve"> results are shown in </w:t>
      </w:r>
      <w:r w:rsidR="0047019C" w:rsidRPr="00AE1544">
        <w:rPr>
          <w:rFonts w:ascii="Times New Roman" w:hAnsi="Times New Roman" w:cs="Times New Roman"/>
        </w:rPr>
        <w:fldChar w:fldCharType="begin"/>
      </w:r>
      <w:r w:rsidR="0047019C" w:rsidRPr="00AE1544">
        <w:rPr>
          <w:rFonts w:ascii="Times New Roman" w:hAnsi="Times New Roman" w:cs="Times New Roman"/>
        </w:rPr>
        <w:instrText xml:space="preserve"> REF _Ref80262407 \h </w:instrText>
      </w:r>
      <w:r w:rsidR="00AE1544">
        <w:rPr>
          <w:rFonts w:ascii="Times New Roman" w:hAnsi="Times New Roman" w:cs="Times New Roman"/>
        </w:rPr>
        <w:instrText xml:space="preserve"> \* MERGEFORMAT </w:instrText>
      </w:r>
      <w:r w:rsidR="0047019C" w:rsidRPr="00AE1544">
        <w:rPr>
          <w:rFonts w:ascii="Times New Roman" w:hAnsi="Times New Roman" w:cs="Times New Roman"/>
        </w:rPr>
      </w:r>
      <w:r w:rsidR="0047019C" w:rsidRPr="00AE1544">
        <w:rPr>
          <w:rFonts w:ascii="Times New Roman" w:hAnsi="Times New Roman" w:cs="Times New Roman"/>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7</w:t>
      </w:r>
      <w:r w:rsidR="0047019C" w:rsidRPr="00AE1544">
        <w:rPr>
          <w:rFonts w:ascii="Times New Roman" w:hAnsi="Times New Roman" w:cs="Times New Roman"/>
        </w:rPr>
        <w:fldChar w:fldCharType="end"/>
      </w:r>
      <w:r w:rsidRPr="00201CF7">
        <w:rPr>
          <w:rFonts w:asciiTheme="majorHAnsi" w:hAnsiTheme="majorHAnsi"/>
        </w:rPr>
        <w:t>.</w:t>
      </w:r>
    </w:p>
    <w:p w14:paraId="7AA1A9C2" w14:textId="4178BEC6" w:rsidR="00694498" w:rsidRPr="00201CF7" w:rsidRDefault="00694498" w:rsidP="00694498">
      <w:pPr>
        <w:spacing w:line="240" w:lineRule="auto"/>
        <w:rPr>
          <w:rFonts w:asciiTheme="majorHAnsi" w:hAnsiTheme="majorHAnsi"/>
          <w:bCs/>
          <w:iCs/>
        </w:rPr>
      </w:pPr>
      <w:r w:rsidRPr="00201CF7">
        <w:rPr>
          <w:rFonts w:asciiTheme="majorHAnsi" w:hAnsiTheme="majorHAnsi"/>
          <w:bCs/>
          <w:iCs/>
        </w:rPr>
        <w:t>Long-term immunogenicity data are available from a subset of children age</w:t>
      </w:r>
      <w:r w:rsidR="00C37B30" w:rsidRPr="00201CF7">
        <w:rPr>
          <w:rFonts w:asciiTheme="majorHAnsi" w:hAnsiTheme="majorHAnsi"/>
          <w:bCs/>
          <w:iCs/>
        </w:rPr>
        <w:t>d</w:t>
      </w:r>
      <w:r w:rsidRPr="00201CF7">
        <w:rPr>
          <w:rFonts w:asciiTheme="majorHAnsi" w:hAnsiTheme="majorHAnsi"/>
          <w:bCs/>
          <w:iCs/>
        </w:rPr>
        <w:t xml:space="preserve"> 12 to </w:t>
      </w:r>
      <w:r w:rsidR="00E87D63">
        <w:rPr>
          <w:rFonts w:asciiTheme="majorHAnsi" w:hAnsiTheme="majorHAnsi"/>
          <w:bCs/>
          <w:iCs/>
        </w:rPr>
        <w:t>17</w:t>
      </w:r>
      <w:r w:rsidRPr="00201CF7">
        <w:rPr>
          <w:rFonts w:asciiTheme="majorHAnsi" w:hAnsiTheme="majorHAnsi"/>
          <w:bCs/>
          <w:iCs/>
        </w:rPr>
        <w:t xml:space="preserve"> years. The seroconversion rate ranged from 100% at 28 days post-vaccination to 64.5% at 729 days post-vaccination.  The seroconversion results over time are shown in </w:t>
      </w:r>
      <w:r w:rsidR="0047019C" w:rsidRPr="00AE1544">
        <w:rPr>
          <w:rFonts w:ascii="Times New Roman" w:hAnsi="Times New Roman" w:cs="Times New Roman"/>
          <w:bCs/>
          <w:iCs/>
        </w:rPr>
        <w:fldChar w:fldCharType="begin"/>
      </w:r>
      <w:r w:rsidR="0047019C" w:rsidRPr="00AE1544">
        <w:rPr>
          <w:rFonts w:ascii="Times New Roman" w:hAnsi="Times New Roman" w:cs="Times New Roman"/>
          <w:bCs/>
          <w:iCs/>
        </w:rPr>
        <w:instrText xml:space="preserve"> REF _Ref80262441 \h </w:instrText>
      </w:r>
      <w:r w:rsidR="00AE1544">
        <w:rPr>
          <w:rFonts w:ascii="Times New Roman" w:hAnsi="Times New Roman" w:cs="Times New Roman"/>
          <w:bCs/>
          <w:iCs/>
        </w:rPr>
        <w:instrText xml:space="preserve"> \* MERGEFORMAT </w:instrText>
      </w:r>
      <w:r w:rsidR="0047019C" w:rsidRPr="00AE1544">
        <w:rPr>
          <w:rFonts w:ascii="Times New Roman" w:hAnsi="Times New Roman" w:cs="Times New Roman"/>
          <w:bCs/>
          <w:iCs/>
        </w:rPr>
      </w:r>
      <w:r w:rsidR="0047019C" w:rsidRPr="00AE1544">
        <w:rPr>
          <w:rFonts w:ascii="Times New Roman" w:hAnsi="Times New Roman" w:cs="Times New Roman"/>
          <w:bCs/>
          <w:iCs/>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8</w:t>
      </w:r>
      <w:r w:rsidR="0047019C" w:rsidRPr="00AE1544">
        <w:rPr>
          <w:rFonts w:ascii="Times New Roman" w:hAnsi="Times New Roman" w:cs="Times New Roman"/>
          <w:bCs/>
          <w:iCs/>
        </w:rPr>
        <w:fldChar w:fldCharType="end"/>
      </w:r>
      <w:r w:rsidRPr="00201CF7">
        <w:rPr>
          <w:rFonts w:asciiTheme="majorHAnsi" w:hAnsiTheme="majorHAnsi"/>
          <w:bCs/>
          <w:iCs/>
        </w:rPr>
        <w:t>.</w:t>
      </w:r>
    </w:p>
    <w:p w14:paraId="26FA792E" w14:textId="07FC600D" w:rsidR="00694498" w:rsidRPr="00F848A3" w:rsidRDefault="004F554C" w:rsidP="00F848A3">
      <w:pPr>
        <w:pStyle w:val="Caption"/>
        <w:tabs>
          <w:tab w:val="clear" w:pos="2160"/>
          <w:tab w:val="left" w:pos="851"/>
        </w:tabs>
        <w:ind w:left="0" w:firstLine="0"/>
      </w:pPr>
      <w:bookmarkStart w:id="13" w:name="_Ref80262407"/>
      <w:r>
        <w:lastRenderedPageBreak/>
        <w:t xml:space="preserve">Table </w:t>
      </w:r>
      <w:r>
        <w:fldChar w:fldCharType="begin"/>
      </w:r>
      <w:r>
        <w:instrText xml:space="preserve"> SEQ Table \* ARABIC </w:instrText>
      </w:r>
      <w:r>
        <w:fldChar w:fldCharType="separate"/>
      </w:r>
      <w:r w:rsidR="003717CB">
        <w:rPr>
          <w:noProof/>
        </w:rPr>
        <w:t>7</w:t>
      </w:r>
      <w:r>
        <w:fldChar w:fldCharType="end"/>
      </w:r>
      <w:bookmarkEnd w:id="13"/>
      <w:r>
        <w:t>:</w:t>
      </w:r>
      <w:r w:rsidR="00694498" w:rsidRPr="00201CF7">
        <w:rPr>
          <w:rFonts w:asciiTheme="majorHAnsi" w:hAnsiTheme="majorHAnsi"/>
          <w:sz w:val="22"/>
        </w:rPr>
        <w:t xml:space="preserve"> </w:t>
      </w:r>
      <w:proofErr w:type="spellStart"/>
      <w:r w:rsidR="00694498" w:rsidRPr="00201CF7">
        <w:rPr>
          <w:rFonts w:asciiTheme="majorHAnsi" w:hAnsiTheme="majorHAnsi"/>
          <w:sz w:val="22"/>
        </w:rPr>
        <w:t>Vibriocidal</w:t>
      </w:r>
      <w:proofErr w:type="spellEnd"/>
      <w:r w:rsidR="00694498" w:rsidRPr="00201CF7">
        <w:rPr>
          <w:rFonts w:asciiTheme="majorHAnsi" w:hAnsiTheme="majorHAnsi"/>
          <w:sz w:val="22"/>
        </w:rPr>
        <w:t xml:space="preserve"> Antibody Seroconversion Against Classical Inaba </w:t>
      </w:r>
      <w:r w:rsidR="00694498" w:rsidRPr="00201CF7">
        <w:rPr>
          <w:rFonts w:asciiTheme="majorHAnsi" w:hAnsiTheme="majorHAnsi"/>
          <w:i/>
          <w:iCs/>
          <w:sz w:val="22"/>
        </w:rPr>
        <w:t>V. cholerae</w:t>
      </w:r>
      <w:r w:rsidR="00694498" w:rsidRPr="00201CF7">
        <w:rPr>
          <w:rFonts w:asciiTheme="majorHAnsi" w:hAnsiTheme="majorHAnsi"/>
          <w:sz w:val="22"/>
        </w:rPr>
        <w:t xml:space="preserve"> Vaccine Strain at 10 Days Post-Vaccination in Children</w:t>
      </w:r>
    </w:p>
    <w:tbl>
      <w:tblPr>
        <w:tblW w:w="9065" w:type="dxa"/>
        <w:jc w:val="center"/>
        <w:tblLayout w:type="fixed"/>
        <w:tblLook w:val="04A0" w:firstRow="1" w:lastRow="0" w:firstColumn="1" w:lastColumn="0" w:noHBand="0" w:noVBand="1"/>
      </w:tblPr>
      <w:tblGrid>
        <w:gridCol w:w="1505"/>
        <w:gridCol w:w="1260"/>
        <w:gridCol w:w="1890"/>
        <w:gridCol w:w="910"/>
        <w:gridCol w:w="260"/>
        <w:gridCol w:w="1440"/>
        <w:gridCol w:w="1800"/>
      </w:tblGrid>
      <w:tr w:rsidR="00694498" w:rsidRPr="00201CF7" w14:paraId="748F6E5E" w14:textId="77777777" w:rsidTr="008575FA">
        <w:trPr>
          <w:trHeight w:val="1122"/>
          <w:jc w:val="center"/>
        </w:trPr>
        <w:tc>
          <w:tcPr>
            <w:tcW w:w="1505" w:type="dxa"/>
            <w:tcBorders>
              <w:top w:val="single" w:sz="12" w:space="0" w:color="auto"/>
              <w:left w:val="single" w:sz="12" w:space="0" w:color="auto"/>
            </w:tcBorders>
            <w:shd w:val="clear" w:color="auto" w:fill="auto"/>
            <w:vAlign w:val="bottom"/>
          </w:tcPr>
          <w:p w14:paraId="72079D5E"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b/>
                <w:iCs/>
                <w:sz w:val="20"/>
                <w:szCs w:val="20"/>
              </w:rPr>
              <w:t>Study</w:t>
            </w:r>
          </w:p>
        </w:tc>
        <w:tc>
          <w:tcPr>
            <w:tcW w:w="3150" w:type="dxa"/>
            <w:gridSpan w:val="2"/>
            <w:tcBorders>
              <w:top w:val="single" w:sz="12" w:space="0" w:color="auto"/>
            </w:tcBorders>
            <w:shd w:val="clear" w:color="auto" w:fill="auto"/>
            <w:vAlign w:val="bottom"/>
          </w:tcPr>
          <w:p w14:paraId="292D202D" w14:textId="1EF8EBE2"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iCs/>
                <w:sz w:val="20"/>
                <w:szCs w:val="20"/>
              </w:rPr>
              <w:t>VAXCHORA</w:t>
            </w:r>
            <w:r w:rsidR="00694498" w:rsidRPr="00201CF7">
              <w:rPr>
                <w:rFonts w:asciiTheme="majorHAnsi" w:hAnsiTheme="majorHAnsi"/>
                <w:b/>
                <w:iCs/>
                <w:sz w:val="20"/>
                <w:szCs w:val="20"/>
              </w:rPr>
              <w:t xml:space="preserve"> Recipients</w:t>
            </w:r>
          </w:p>
        </w:tc>
        <w:tc>
          <w:tcPr>
            <w:tcW w:w="2610" w:type="dxa"/>
            <w:gridSpan w:val="3"/>
            <w:tcBorders>
              <w:top w:val="single" w:sz="12" w:space="0" w:color="auto"/>
            </w:tcBorders>
            <w:shd w:val="clear" w:color="auto" w:fill="auto"/>
            <w:vAlign w:val="bottom"/>
          </w:tcPr>
          <w:p w14:paraId="43383018"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b/>
                <w:iCs/>
                <w:sz w:val="20"/>
                <w:szCs w:val="20"/>
              </w:rPr>
              <w:t>Placebo Recipients</w:t>
            </w:r>
          </w:p>
        </w:tc>
        <w:tc>
          <w:tcPr>
            <w:tcW w:w="1800" w:type="dxa"/>
            <w:tcBorders>
              <w:top w:val="single" w:sz="12" w:space="0" w:color="auto"/>
              <w:right w:val="single" w:sz="12" w:space="0" w:color="auto"/>
            </w:tcBorders>
            <w:shd w:val="clear" w:color="auto" w:fill="auto"/>
          </w:tcPr>
          <w:p w14:paraId="5D99E913"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
                <w:iCs/>
                <w:sz w:val="20"/>
                <w:szCs w:val="20"/>
              </w:rPr>
              <w:t>Immunobridging</w:t>
            </w:r>
            <w:proofErr w:type="spellEnd"/>
            <w:r w:rsidRPr="00201CF7">
              <w:rPr>
                <w:rFonts w:asciiTheme="majorHAnsi" w:hAnsiTheme="majorHAnsi"/>
                <w:b/>
                <w:iCs/>
                <w:sz w:val="20"/>
                <w:szCs w:val="20"/>
              </w:rPr>
              <w:t xml:space="preserve">: Difference in Seroconversion Rate Compared to Large Trial in </w:t>
            </w:r>
            <w:proofErr w:type="gramStart"/>
            <w:r w:rsidRPr="00201CF7">
              <w:rPr>
                <w:rFonts w:asciiTheme="majorHAnsi" w:hAnsiTheme="majorHAnsi"/>
                <w:b/>
                <w:iCs/>
                <w:sz w:val="20"/>
                <w:szCs w:val="20"/>
              </w:rPr>
              <w:t>18-45 year olds</w:t>
            </w:r>
            <w:proofErr w:type="gramEnd"/>
          </w:p>
        </w:tc>
      </w:tr>
      <w:tr w:rsidR="00694498" w:rsidRPr="00201CF7" w14:paraId="05E260EB" w14:textId="77777777" w:rsidTr="00F848A3">
        <w:trPr>
          <w:jc w:val="center"/>
        </w:trPr>
        <w:tc>
          <w:tcPr>
            <w:tcW w:w="1505" w:type="dxa"/>
            <w:tcBorders>
              <w:left w:val="single" w:sz="12" w:space="0" w:color="auto"/>
              <w:bottom w:val="single" w:sz="12" w:space="0" w:color="auto"/>
            </w:tcBorders>
            <w:shd w:val="clear" w:color="auto" w:fill="auto"/>
            <w:vAlign w:val="bottom"/>
          </w:tcPr>
          <w:p w14:paraId="3D89FEA4" w14:textId="77777777" w:rsidR="00694498" w:rsidRPr="00201CF7" w:rsidRDefault="00694498" w:rsidP="008575FA">
            <w:pPr>
              <w:pStyle w:val="ParaText"/>
              <w:keepNext/>
              <w:keepLines/>
              <w:spacing w:line="240" w:lineRule="auto"/>
              <w:jc w:val="center"/>
              <w:rPr>
                <w:rFonts w:asciiTheme="majorHAnsi" w:hAnsiTheme="majorHAnsi"/>
                <w:bCs/>
                <w:iCs/>
                <w:sz w:val="20"/>
                <w:szCs w:val="20"/>
              </w:rPr>
            </w:pPr>
            <w:r w:rsidRPr="00201CF7">
              <w:rPr>
                <w:rFonts w:asciiTheme="majorHAnsi" w:hAnsiTheme="majorHAnsi"/>
                <w:bCs/>
                <w:iCs/>
                <w:sz w:val="20"/>
                <w:szCs w:val="20"/>
              </w:rPr>
              <w:t>(age in years)</w:t>
            </w:r>
          </w:p>
        </w:tc>
        <w:tc>
          <w:tcPr>
            <w:tcW w:w="1260" w:type="dxa"/>
            <w:tcBorders>
              <w:bottom w:val="single" w:sz="12" w:space="0" w:color="auto"/>
            </w:tcBorders>
            <w:shd w:val="clear" w:color="auto" w:fill="auto"/>
            <w:vAlign w:val="bottom"/>
          </w:tcPr>
          <w:p w14:paraId="71FAA208"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N</w:t>
            </w:r>
            <w:r w:rsidRPr="00201CF7">
              <w:rPr>
                <w:rFonts w:asciiTheme="majorHAnsi" w:hAnsiTheme="majorHAnsi"/>
                <w:sz w:val="20"/>
                <w:szCs w:val="20"/>
                <w:vertAlign w:val="superscript"/>
              </w:rPr>
              <w:t>b</w:t>
            </w:r>
          </w:p>
        </w:tc>
        <w:tc>
          <w:tcPr>
            <w:tcW w:w="1890" w:type="dxa"/>
            <w:tcBorders>
              <w:bottom w:val="single" w:sz="12" w:space="0" w:color="auto"/>
            </w:tcBorders>
            <w:shd w:val="clear" w:color="auto" w:fill="auto"/>
            <w:vAlign w:val="bottom"/>
          </w:tcPr>
          <w:p w14:paraId="3726FF8C"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Cs/>
                <w:iCs/>
                <w:sz w:val="20"/>
                <w:szCs w:val="20"/>
              </w:rPr>
              <w:t>Seroconversion</w:t>
            </w:r>
            <w:r w:rsidRPr="00201CF7">
              <w:rPr>
                <w:rFonts w:asciiTheme="majorHAnsi" w:hAnsiTheme="majorHAnsi"/>
                <w:bCs/>
                <w:sz w:val="20"/>
                <w:szCs w:val="20"/>
                <w:vertAlign w:val="superscript"/>
              </w:rPr>
              <w:t>a</w:t>
            </w:r>
            <w:proofErr w:type="spellEnd"/>
            <w:r w:rsidRPr="00201CF7">
              <w:rPr>
                <w:rFonts w:asciiTheme="majorHAnsi" w:hAnsiTheme="majorHAnsi"/>
                <w:bCs/>
                <w:iCs/>
                <w:sz w:val="20"/>
                <w:szCs w:val="20"/>
              </w:rPr>
              <w:br/>
            </w:r>
            <w:r w:rsidRPr="00201CF7">
              <w:rPr>
                <w:rFonts w:asciiTheme="majorHAnsi" w:hAnsiTheme="majorHAnsi"/>
                <w:iCs/>
                <w:sz w:val="20"/>
                <w:szCs w:val="20"/>
              </w:rPr>
              <w:t>%</w:t>
            </w:r>
            <w:r w:rsidRPr="00201CF7">
              <w:rPr>
                <w:rFonts w:asciiTheme="majorHAnsi" w:hAnsiTheme="majorHAnsi"/>
                <w:iCs/>
                <w:sz w:val="20"/>
                <w:szCs w:val="20"/>
              </w:rPr>
              <w:br/>
              <w:t>[98.3% CI]</w:t>
            </w:r>
          </w:p>
        </w:tc>
        <w:tc>
          <w:tcPr>
            <w:tcW w:w="910" w:type="dxa"/>
            <w:tcBorders>
              <w:bottom w:val="single" w:sz="12" w:space="0" w:color="auto"/>
            </w:tcBorders>
            <w:shd w:val="clear" w:color="auto" w:fill="auto"/>
            <w:vAlign w:val="bottom"/>
          </w:tcPr>
          <w:p w14:paraId="6E267466"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N</w:t>
            </w:r>
            <w:r w:rsidRPr="00201CF7">
              <w:rPr>
                <w:rFonts w:asciiTheme="majorHAnsi" w:hAnsiTheme="majorHAnsi"/>
                <w:sz w:val="20"/>
                <w:szCs w:val="20"/>
                <w:vertAlign w:val="superscript"/>
              </w:rPr>
              <w:t>b</w:t>
            </w:r>
          </w:p>
        </w:tc>
        <w:tc>
          <w:tcPr>
            <w:tcW w:w="1700" w:type="dxa"/>
            <w:gridSpan w:val="2"/>
            <w:tcBorders>
              <w:bottom w:val="single" w:sz="12" w:space="0" w:color="auto"/>
            </w:tcBorders>
            <w:shd w:val="clear" w:color="auto" w:fill="auto"/>
            <w:vAlign w:val="bottom"/>
          </w:tcPr>
          <w:p w14:paraId="544C6563"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proofErr w:type="spellStart"/>
            <w:r w:rsidRPr="00201CF7">
              <w:rPr>
                <w:rFonts w:asciiTheme="majorHAnsi" w:hAnsiTheme="majorHAnsi"/>
                <w:bCs/>
                <w:iCs/>
                <w:sz w:val="20"/>
                <w:szCs w:val="20"/>
              </w:rPr>
              <w:t>Seroconversion</w:t>
            </w:r>
            <w:r w:rsidRPr="00201CF7">
              <w:rPr>
                <w:rFonts w:asciiTheme="majorHAnsi" w:hAnsiTheme="majorHAnsi"/>
                <w:bCs/>
                <w:sz w:val="20"/>
                <w:szCs w:val="20"/>
                <w:vertAlign w:val="superscript"/>
              </w:rPr>
              <w:t>a</w:t>
            </w:r>
            <w:proofErr w:type="spellEnd"/>
            <w:r w:rsidRPr="00201CF7">
              <w:rPr>
                <w:rFonts w:asciiTheme="majorHAnsi" w:hAnsiTheme="majorHAnsi"/>
                <w:b/>
                <w:iCs/>
                <w:sz w:val="20"/>
                <w:szCs w:val="20"/>
              </w:rPr>
              <w:br/>
            </w:r>
            <w:r w:rsidRPr="00201CF7">
              <w:rPr>
                <w:rFonts w:asciiTheme="majorHAnsi" w:hAnsiTheme="majorHAnsi"/>
                <w:iCs/>
                <w:sz w:val="20"/>
                <w:szCs w:val="20"/>
              </w:rPr>
              <w:t>%</w:t>
            </w:r>
            <w:r w:rsidRPr="00201CF7">
              <w:rPr>
                <w:rFonts w:asciiTheme="majorHAnsi" w:hAnsiTheme="majorHAnsi"/>
                <w:iCs/>
                <w:sz w:val="20"/>
                <w:szCs w:val="20"/>
              </w:rPr>
              <w:br/>
              <w:t xml:space="preserve">[95% </w:t>
            </w:r>
            <w:proofErr w:type="spellStart"/>
            <w:r w:rsidRPr="00201CF7">
              <w:rPr>
                <w:rFonts w:asciiTheme="majorHAnsi" w:hAnsiTheme="majorHAnsi"/>
                <w:iCs/>
                <w:sz w:val="20"/>
                <w:szCs w:val="20"/>
              </w:rPr>
              <w:t>CI</w:t>
            </w:r>
            <w:r w:rsidRPr="00201CF7">
              <w:rPr>
                <w:rFonts w:asciiTheme="majorHAnsi" w:hAnsiTheme="majorHAnsi"/>
                <w:sz w:val="20"/>
                <w:szCs w:val="20"/>
                <w:vertAlign w:val="superscript"/>
              </w:rPr>
              <w:t>c</w:t>
            </w:r>
            <w:proofErr w:type="spellEnd"/>
            <w:r w:rsidRPr="00201CF7">
              <w:rPr>
                <w:rFonts w:asciiTheme="majorHAnsi" w:hAnsiTheme="majorHAnsi"/>
                <w:iCs/>
                <w:sz w:val="20"/>
                <w:szCs w:val="20"/>
              </w:rPr>
              <w:t>]</w:t>
            </w:r>
          </w:p>
        </w:tc>
        <w:tc>
          <w:tcPr>
            <w:tcW w:w="1800" w:type="dxa"/>
            <w:tcBorders>
              <w:bottom w:val="single" w:sz="12" w:space="0" w:color="auto"/>
              <w:right w:val="single" w:sz="12" w:space="0" w:color="auto"/>
            </w:tcBorders>
            <w:shd w:val="clear" w:color="auto" w:fill="auto"/>
            <w:vAlign w:val="bottom"/>
          </w:tcPr>
          <w:p w14:paraId="11DA7C61" w14:textId="77777777" w:rsidR="00694498" w:rsidRPr="00201CF7" w:rsidRDefault="00694498" w:rsidP="008575FA">
            <w:pPr>
              <w:pStyle w:val="ParaText"/>
              <w:keepNext/>
              <w:keepLines/>
              <w:spacing w:line="240" w:lineRule="auto"/>
              <w:jc w:val="center"/>
              <w:rPr>
                <w:rFonts w:asciiTheme="majorHAnsi" w:hAnsiTheme="majorHAnsi"/>
                <w:b/>
                <w:iCs/>
                <w:sz w:val="20"/>
                <w:szCs w:val="20"/>
              </w:rPr>
            </w:pPr>
            <w:r w:rsidRPr="00201CF7">
              <w:rPr>
                <w:rFonts w:asciiTheme="majorHAnsi" w:hAnsiTheme="majorHAnsi"/>
                <w:iCs/>
                <w:sz w:val="20"/>
                <w:szCs w:val="20"/>
              </w:rPr>
              <w:t>%</w:t>
            </w:r>
            <w:r w:rsidRPr="00201CF7">
              <w:rPr>
                <w:rFonts w:asciiTheme="majorHAnsi" w:hAnsiTheme="majorHAnsi"/>
                <w:iCs/>
                <w:sz w:val="20"/>
                <w:szCs w:val="20"/>
                <w:vertAlign w:val="superscript"/>
              </w:rPr>
              <w:t>d</w:t>
            </w:r>
            <w:r w:rsidRPr="00201CF7">
              <w:rPr>
                <w:rFonts w:asciiTheme="majorHAnsi" w:hAnsiTheme="majorHAnsi"/>
                <w:iCs/>
                <w:sz w:val="20"/>
                <w:szCs w:val="20"/>
              </w:rPr>
              <w:br/>
              <w:t>[96.7% CI]</w:t>
            </w:r>
          </w:p>
        </w:tc>
      </w:tr>
      <w:tr w:rsidR="00694498" w:rsidRPr="00201CF7" w14:paraId="0C89DB87" w14:textId="77777777" w:rsidTr="008575FA">
        <w:trPr>
          <w:jc w:val="center"/>
        </w:trPr>
        <w:tc>
          <w:tcPr>
            <w:tcW w:w="1505" w:type="dxa"/>
            <w:tcBorders>
              <w:left w:val="single" w:sz="12" w:space="0" w:color="auto"/>
              <w:bottom w:val="single" w:sz="12" w:space="0" w:color="auto"/>
            </w:tcBorders>
            <w:shd w:val="clear" w:color="auto" w:fill="auto"/>
          </w:tcPr>
          <w:p w14:paraId="58ACDC61" w14:textId="77777777" w:rsidR="00694498" w:rsidRPr="00201CF7" w:rsidRDefault="00694498" w:rsidP="008575FA">
            <w:pPr>
              <w:pStyle w:val="ParaText"/>
              <w:keepNext/>
              <w:keepLines/>
              <w:spacing w:line="240" w:lineRule="auto"/>
              <w:jc w:val="center"/>
              <w:rPr>
                <w:rFonts w:asciiTheme="majorHAnsi" w:hAnsiTheme="majorHAnsi"/>
                <w:iCs/>
                <w:sz w:val="20"/>
                <w:szCs w:val="20"/>
              </w:rPr>
            </w:pPr>
            <w:proofErr w:type="spellStart"/>
            <w:r w:rsidRPr="00201CF7">
              <w:rPr>
                <w:rFonts w:asciiTheme="majorHAnsi" w:hAnsiTheme="majorHAnsi"/>
                <w:iCs/>
                <w:sz w:val="20"/>
                <w:szCs w:val="20"/>
              </w:rPr>
              <w:t>Paediatric</w:t>
            </w:r>
            <w:proofErr w:type="spellEnd"/>
            <w:r w:rsidRPr="00201CF7">
              <w:rPr>
                <w:rFonts w:asciiTheme="majorHAnsi" w:hAnsiTheme="majorHAnsi"/>
                <w:iCs/>
                <w:sz w:val="20"/>
                <w:szCs w:val="20"/>
              </w:rPr>
              <w:t xml:space="preserve"> Trial</w:t>
            </w:r>
            <w:r w:rsidRPr="00201CF7">
              <w:rPr>
                <w:rFonts w:asciiTheme="majorHAnsi" w:hAnsiTheme="majorHAnsi"/>
                <w:iCs/>
                <w:sz w:val="20"/>
                <w:szCs w:val="20"/>
              </w:rPr>
              <w:br/>
              <w:t>(2 – 17)</w:t>
            </w:r>
          </w:p>
        </w:tc>
        <w:tc>
          <w:tcPr>
            <w:tcW w:w="1260" w:type="dxa"/>
            <w:tcBorders>
              <w:bottom w:val="single" w:sz="12" w:space="0" w:color="auto"/>
            </w:tcBorders>
            <w:shd w:val="clear" w:color="auto" w:fill="auto"/>
          </w:tcPr>
          <w:p w14:paraId="7A8F5A3D"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399</w:t>
            </w:r>
          </w:p>
        </w:tc>
        <w:tc>
          <w:tcPr>
            <w:tcW w:w="1890" w:type="dxa"/>
            <w:tcBorders>
              <w:bottom w:val="single" w:sz="12" w:space="0" w:color="auto"/>
            </w:tcBorders>
            <w:shd w:val="clear" w:color="auto" w:fill="auto"/>
          </w:tcPr>
          <w:p w14:paraId="6885D0AA"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98.5%</w:t>
            </w:r>
            <w:r w:rsidRPr="00201CF7">
              <w:rPr>
                <w:rFonts w:asciiTheme="majorHAnsi" w:hAnsiTheme="majorHAnsi"/>
                <w:iCs/>
                <w:sz w:val="20"/>
                <w:szCs w:val="20"/>
              </w:rPr>
              <w:br/>
              <w:t>[96.2%, 99.4%]</w:t>
            </w:r>
          </w:p>
        </w:tc>
        <w:tc>
          <w:tcPr>
            <w:tcW w:w="1170" w:type="dxa"/>
            <w:gridSpan w:val="2"/>
            <w:tcBorders>
              <w:bottom w:val="single" w:sz="12" w:space="0" w:color="auto"/>
            </w:tcBorders>
            <w:shd w:val="clear" w:color="auto" w:fill="auto"/>
          </w:tcPr>
          <w:p w14:paraId="70A3095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67</w:t>
            </w:r>
          </w:p>
        </w:tc>
        <w:tc>
          <w:tcPr>
            <w:tcW w:w="1440" w:type="dxa"/>
            <w:tcBorders>
              <w:bottom w:val="single" w:sz="12" w:space="0" w:color="auto"/>
            </w:tcBorders>
            <w:shd w:val="clear" w:color="auto" w:fill="auto"/>
          </w:tcPr>
          <w:p w14:paraId="39AAF51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1.5%</w:t>
            </w:r>
            <w:r w:rsidRPr="00201CF7">
              <w:rPr>
                <w:rFonts w:asciiTheme="majorHAnsi" w:hAnsiTheme="majorHAnsi"/>
                <w:iCs/>
                <w:sz w:val="20"/>
                <w:szCs w:val="20"/>
              </w:rPr>
              <w:br/>
              <w:t>[0.3%, 8.0%]</w:t>
            </w:r>
          </w:p>
        </w:tc>
        <w:tc>
          <w:tcPr>
            <w:tcW w:w="1800" w:type="dxa"/>
            <w:tcBorders>
              <w:bottom w:val="single" w:sz="12" w:space="0" w:color="auto"/>
              <w:right w:val="single" w:sz="12" w:space="0" w:color="auto"/>
            </w:tcBorders>
            <w:shd w:val="clear" w:color="auto" w:fill="auto"/>
          </w:tcPr>
          <w:p w14:paraId="6E88AE0B"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5.0%</w:t>
            </w:r>
            <w:r w:rsidRPr="00201CF7">
              <w:rPr>
                <w:rFonts w:asciiTheme="majorHAnsi" w:hAnsiTheme="majorHAnsi"/>
                <w:iCs/>
                <w:sz w:val="20"/>
                <w:szCs w:val="20"/>
              </w:rPr>
              <w:br/>
              <w:t>[2.8%, 6.4%]</w:t>
            </w:r>
            <w:r w:rsidRPr="00201CF7">
              <w:rPr>
                <w:rFonts w:asciiTheme="majorHAnsi" w:hAnsiTheme="majorHAnsi"/>
                <w:sz w:val="20"/>
                <w:szCs w:val="20"/>
                <w:vertAlign w:val="superscript"/>
              </w:rPr>
              <w:t>c</w:t>
            </w:r>
          </w:p>
        </w:tc>
      </w:tr>
    </w:tbl>
    <w:p w14:paraId="1FB78384" w14:textId="77777777" w:rsidR="00694498" w:rsidRPr="00201CF7" w:rsidRDefault="00694498" w:rsidP="00C37B30">
      <w:pPr>
        <w:pStyle w:val="TableFigureNote"/>
        <w:keepNext/>
        <w:keepLines/>
        <w:ind w:left="0" w:firstLine="0"/>
        <w:rPr>
          <w:rFonts w:asciiTheme="majorHAnsi" w:hAnsiTheme="majorHAnsi"/>
        </w:rPr>
      </w:pPr>
      <w:bookmarkStart w:id="14" w:name="_Hlk32224630"/>
      <w:r w:rsidRPr="00201CF7">
        <w:rPr>
          <w:rFonts w:asciiTheme="majorHAnsi" w:hAnsiTheme="majorHAnsi"/>
          <w:vertAlign w:val="superscript"/>
        </w:rPr>
        <w:t>a</w:t>
      </w:r>
      <w:r w:rsidRPr="00201CF7">
        <w:rPr>
          <w:rFonts w:asciiTheme="majorHAnsi" w:hAnsiTheme="majorHAnsi"/>
        </w:rPr>
        <w:t xml:space="preserve"> Seroconversion is defined as the percentages of subjects who had at least a 4-fold rise in </w:t>
      </w:r>
      <w:proofErr w:type="spellStart"/>
      <w:r w:rsidRPr="00201CF7">
        <w:rPr>
          <w:rFonts w:asciiTheme="majorHAnsi" w:hAnsiTheme="majorHAnsi"/>
        </w:rPr>
        <w:t>vibriocidal</w:t>
      </w:r>
      <w:proofErr w:type="spellEnd"/>
      <w:r w:rsidRPr="00201CF7">
        <w:rPr>
          <w:rFonts w:asciiTheme="majorHAnsi" w:hAnsiTheme="majorHAnsi"/>
        </w:rPr>
        <w:t xml:space="preserve"> antibody titer at 10 days post-vaccination compared to baseline.</w:t>
      </w:r>
    </w:p>
    <w:p w14:paraId="5E3D1EA4" w14:textId="7ED1D228" w:rsidR="00694498" w:rsidRPr="00201CF7" w:rsidRDefault="00694498" w:rsidP="00694498">
      <w:pPr>
        <w:pStyle w:val="TableFigureNote"/>
        <w:keepNext/>
        <w:keepLines/>
        <w:ind w:left="180" w:hanging="180"/>
        <w:rPr>
          <w:rFonts w:asciiTheme="majorHAnsi" w:hAnsiTheme="majorHAnsi"/>
        </w:rPr>
      </w:pPr>
      <w:r w:rsidRPr="00201CF7">
        <w:rPr>
          <w:rFonts w:asciiTheme="majorHAnsi" w:hAnsiTheme="majorHAnsi"/>
          <w:vertAlign w:val="superscript"/>
        </w:rPr>
        <w:t>b</w:t>
      </w:r>
      <w:r w:rsidRPr="00201CF7">
        <w:rPr>
          <w:rFonts w:asciiTheme="majorHAnsi" w:hAnsiTheme="majorHAnsi"/>
        </w:rPr>
        <w:t xml:space="preserve"> N=number of subjects with analyzable samples at Day 1 and Day 11</w:t>
      </w:r>
      <w:r w:rsidR="00862143">
        <w:rPr>
          <w:rFonts w:asciiTheme="majorHAnsi" w:hAnsiTheme="majorHAnsi"/>
        </w:rPr>
        <w:t xml:space="preserve"> in the </w:t>
      </w:r>
      <w:r w:rsidR="002169A9">
        <w:rPr>
          <w:rFonts w:asciiTheme="majorHAnsi" w:hAnsiTheme="majorHAnsi"/>
        </w:rPr>
        <w:t>immunogenicity evaluable population</w:t>
      </w:r>
      <w:r w:rsidRPr="00201CF7">
        <w:rPr>
          <w:rFonts w:asciiTheme="majorHAnsi" w:hAnsiTheme="majorHAnsi"/>
        </w:rPr>
        <w:t>.</w:t>
      </w:r>
    </w:p>
    <w:p w14:paraId="69CD628D" w14:textId="77777777" w:rsidR="00694498" w:rsidRPr="00201CF7" w:rsidRDefault="00694498" w:rsidP="00694498">
      <w:pPr>
        <w:pStyle w:val="TableFigureNote"/>
        <w:keepNext/>
        <w:keepLines/>
        <w:ind w:left="180" w:hanging="180"/>
        <w:rPr>
          <w:rFonts w:asciiTheme="majorHAnsi" w:hAnsiTheme="majorHAnsi"/>
        </w:rPr>
      </w:pPr>
      <w:r w:rsidRPr="00201CF7">
        <w:rPr>
          <w:rFonts w:asciiTheme="majorHAnsi" w:hAnsiTheme="majorHAnsi"/>
          <w:vertAlign w:val="superscript"/>
        </w:rPr>
        <w:t>c</w:t>
      </w:r>
      <w:r w:rsidRPr="00201CF7">
        <w:rPr>
          <w:rFonts w:asciiTheme="majorHAnsi" w:hAnsiTheme="majorHAnsi"/>
        </w:rPr>
        <w:t xml:space="preserve"> CI=confidence interval.</w:t>
      </w:r>
    </w:p>
    <w:bookmarkEnd w:id="14"/>
    <w:p w14:paraId="074AA76C" w14:textId="4E7E0735" w:rsidR="00694498" w:rsidRPr="00201CF7" w:rsidRDefault="00694498" w:rsidP="00C37B30">
      <w:pPr>
        <w:pStyle w:val="TableFigureNote"/>
        <w:keepNext/>
        <w:keepLines/>
        <w:ind w:left="0" w:firstLine="0"/>
        <w:rPr>
          <w:rFonts w:asciiTheme="majorHAnsi" w:hAnsiTheme="majorHAnsi"/>
        </w:rPr>
      </w:pPr>
      <w:r w:rsidRPr="00201CF7">
        <w:rPr>
          <w:rFonts w:asciiTheme="majorHAnsi" w:hAnsiTheme="majorHAnsi"/>
          <w:vertAlign w:val="superscript"/>
        </w:rPr>
        <w:t>d</w:t>
      </w:r>
      <w:r w:rsidRPr="00201CF7">
        <w:rPr>
          <w:rFonts w:asciiTheme="majorHAnsi" w:hAnsiTheme="majorHAnsi"/>
        </w:rPr>
        <w:t xml:space="preserve"> </w:t>
      </w:r>
      <w:proofErr w:type="gramStart"/>
      <w:r w:rsidRPr="00201CF7">
        <w:rPr>
          <w:rFonts w:asciiTheme="majorHAnsi" w:hAnsiTheme="majorHAnsi"/>
        </w:rPr>
        <w:t>Non-inferiority</w:t>
      </w:r>
      <w:proofErr w:type="gramEnd"/>
      <w:r w:rsidRPr="00201CF7">
        <w:rPr>
          <w:rFonts w:asciiTheme="majorHAnsi" w:hAnsiTheme="majorHAnsi"/>
        </w:rPr>
        <w:t xml:space="preserve"> criteria: lower bound of the two-sided </w:t>
      </w:r>
      <w:r w:rsidR="00AE4853">
        <w:rPr>
          <w:rFonts w:asciiTheme="majorHAnsi" w:hAnsiTheme="majorHAnsi"/>
        </w:rPr>
        <w:t>96.7</w:t>
      </w:r>
      <w:r w:rsidRPr="00201CF7">
        <w:rPr>
          <w:rFonts w:asciiTheme="majorHAnsi" w:hAnsiTheme="majorHAnsi"/>
        </w:rPr>
        <w:t xml:space="preserve">% confidence interval on the difference in seroconversion rates compared with adults ages 18 to </w:t>
      </w:r>
      <w:r w:rsidR="00B46A81">
        <w:rPr>
          <w:rFonts w:asciiTheme="majorHAnsi" w:hAnsiTheme="majorHAnsi"/>
        </w:rPr>
        <w:t>45</w:t>
      </w:r>
      <w:r w:rsidRPr="00201CF7">
        <w:rPr>
          <w:rFonts w:asciiTheme="majorHAnsi" w:hAnsiTheme="majorHAnsi"/>
        </w:rPr>
        <w:t xml:space="preserve"> years had to be greater than –10 percentage points and the lower bound of the two-sided 98.3% confidence interval on the proportion of vaccinees who seroconverted 10 days after vaccination had to be equal to or exceed 70%.</w:t>
      </w:r>
    </w:p>
    <w:p w14:paraId="560598CC" w14:textId="77777777" w:rsidR="00694498" w:rsidRPr="00201CF7" w:rsidRDefault="00694498" w:rsidP="00694498">
      <w:pPr>
        <w:spacing w:line="240" w:lineRule="auto"/>
        <w:rPr>
          <w:rFonts w:asciiTheme="majorHAnsi" w:hAnsiTheme="majorHAnsi"/>
          <w:bCs/>
          <w:iCs/>
        </w:rPr>
      </w:pPr>
    </w:p>
    <w:p w14:paraId="2FC3BDA6" w14:textId="6A5C8937" w:rsidR="00694498" w:rsidRPr="00F848A3" w:rsidRDefault="004F554C" w:rsidP="00F848A3">
      <w:pPr>
        <w:pStyle w:val="Caption"/>
        <w:tabs>
          <w:tab w:val="clear" w:pos="2160"/>
          <w:tab w:val="left" w:pos="142"/>
        </w:tabs>
        <w:ind w:left="0" w:firstLine="0"/>
      </w:pPr>
      <w:bookmarkStart w:id="15" w:name="_Ref80262441"/>
      <w:r>
        <w:lastRenderedPageBreak/>
        <w:t xml:space="preserve">Table </w:t>
      </w:r>
      <w:r>
        <w:fldChar w:fldCharType="begin"/>
      </w:r>
      <w:r>
        <w:instrText xml:space="preserve"> SEQ Table \* ARABIC </w:instrText>
      </w:r>
      <w:r>
        <w:fldChar w:fldCharType="separate"/>
      </w:r>
      <w:r w:rsidR="003717CB">
        <w:rPr>
          <w:noProof/>
        </w:rPr>
        <w:t>8</w:t>
      </w:r>
      <w:r>
        <w:fldChar w:fldCharType="end"/>
      </w:r>
      <w:bookmarkEnd w:id="15"/>
      <w:r>
        <w:t xml:space="preserve">: </w:t>
      </w:r>
      <w:proofErr w:type="spellStart"/>
      <w:r w:rsidR="00694498" w:rsidRPr="00201CF7">
        <w:rPr>
          <w:rFonts w:asciiTheme="majorHAnsi" w:hAnsiTheme="majorHAnsi"/>
          <w:sz w:val="22"/>
        </w:rPr>
        <w:t>Vibriocidal</w:t>
      </w:r>
      <w:proofErr w:type="spellEnd"/>
      <w:r w:rsidR="00694498" w:rsidRPr="00201CF7">
        <w:rPr>
          <w:rFonts w:asciiTheme="majorHAnsi" w:hAnsiTheme="majorHAnsi"/>
          <w:sz w:val="22"/>
        </w:rPr>
        <w:t xml:space="preserve"> Antibody Seroconversion Against Classical Inaba </w:t>
      </w:r>
      <w:r w:rsidR="00694498" w:rsidRPr="00201CF7">
        <w:rPr>
          <w:rFonts w:asciiTheme="majorHAnsi" w:hAnsiTheme="majorHAnsi"/>
          <w:i/>
          <w:iCs/>
          <w:sz w:val="22"/>
        </w:rPr>
        <w:t>V. cholerae</w:t>
      </w:r>
      <w:r w:rsidR="00694498" w:rsidRPr="00201CF7">
        <w:rPr>
          <w:rFonts w:asciiTheme="majorHAnsi" w:hAnsiTheme="majorHAnsi"/>
          <w:sz w:val="22"/>
        </w:rPr>
        <w:t xml:space="preserve"> Vaccine Strain 10 through 729 Days Post-Vaccination in Children </w:t>
      </w:r>
      <w:proofErr w:type="gramStart"/>
      <w:r w:rsidR="00694498" w:rsidRPr="00201CF7">
        <w:rPr>
          <w:rFonts w:asciiTheme="majorHAnsi" w:hAnsiTheme="majorHAnsi"/>
          <w:sz w:val="22"/>
        </w:rPr>
        <w:t>age</w:t>
      </w:r>
      <w:proofErr w:type="gramEnd"/>
      <w:r w:rsidR="00694498" w:rsidRPr="00201CF7">
        <w:rPr>
          <w:rFonts w:asciiTheme="majorHAnsi" w:hAnsiTheme="majorHAnsi"/>
          <w:sz w:val="22"/>
        </w:rPr>
        <w:t xml:space="preserve"> 12 to </w:t>
      </w:r>
      <w:r w:rsidR="00B46A81">
        <w:rPr>
          <w:rFonts w:asciiTheme="majorHAnsi" w:hAnsiTheme="majorHAnsi"/>
          <w:sz w:val="22"/>
        </w:rPr>
        <w:t>17</w:t>
      </w:r>
      <w:r w:rsidR="00694498" w:rsidRPr="00201CF7">
        <w:rPr>
          <w:rFonts w:asciiTheme="majorHAnsi" w:hAnsiTheme="majorHAnsi"/>
          <w:sz w:val="22"/>
        </w:rPr>
        <w:t xml:space="preserve"> Years</w:t>
      </w:r>
      <w:r w:rsidR="00317992">
        <w:rPr>
          <w:rFonts w:asciiTheme="majorHAnsi" w:hAnsiTheme="majorHAnsi"/>
          <w:sz w:val="22"/>
        </w:rPr>
        <w:t xml:space="preserve"> </w:t>
      </w:r>
      <w:r w:rsidR="00317992" w:rsidRPr="00317992">
        <w:rPr>
          <w:rFonts w:asciiTheme="majorHAnsi" w:hAnsiTheme="majorHAnsi"/>
          <w:sz w:val="22"/>
        </w:rPr>
        <w:t>[Immunogenicity Evaluable Population in the Long-Term Follow-up Sub</w:t>
      </w:r>
      <w:r w:rsidR="001239A9">
        <w:rPr>
          <w:rFonts w:asciiTheme="majorHAnsi" w:hAnsiTheme="majorHAnsi"/>
          <w:sz w:val="22"/>
        </w:rPr>
        <w:t>-</w:t>
      </w:r>
      <w:r w:rsidR="00317992" w:rsidRPr="00317992">
        <w:rPr>
          <w:rFonts w:asciiTheme="majorHAnsi" w:hAnsiTheme="majorHAnsi"/>
          <w:sz w:val="22"/>
        </w:rPr>
        <w:t>study]</w:t>
      </w:r>
    </w:p>
    <w:tbl>
      <w:tblPr>
        <w:tblW w:w="6555" w:type="dxa"/>
        <w:jc w:val="center"/>
        <w:tblLayout w:type="fixed"/>
        <w:tblLook w:val="04A0" w:firstRow="1" w:lastRow="0" w:firstColumn="1" w:lastColumn="0" w:noHBand="0" w:noVBand="1"/>
      </w:tblPr>
      <w:tblGrid>
        <w:gridCol w:w="2415"/>
        <w:gridCol w:w="1530"/>
        <w:gridCol w:w="2610"/>
      </w:tblGrid>
      <w:tr w:rsidR="00694498" w:rsidRPr="00201CF7" w14:paraId="776493A6" w14:textId="77777777" w:rsidTr="008575FA">
        <w:trPr>
          <w:trHeight w:val="603"/>
          <w:jc w:val="center"/>
        </w:trPr>
        <w:tc>
          <w:tcPr>
            <w:tcW w:w="2415" w:type="dxa"/>
            <w:tcBorders>
              <w:top w:val="single" w:sz="12" w:space="0" w:color="auto"/>
              <w:left w:val="single" w:sz="12" w:space="0" w:color="auto"/>
              <w:bottom w:val="single" w:sz="12" w:space="0" w:color="auto"/>
            </w:tcBorders>
            <w:shd w:val="clear" w:color="auto" w:fill="auto"/>
            <w:vAlign w:val="bottom"/>
          </w:tcPr>
          <w:p w14:paraId="034F6698" w14:textId="77777777" w:rsidR="00694498" w:rsidRPr="00201CF7" w:rsidRDefault="00694498" w:rsidP="008575FA">
            <w:pPr>
              <w:pStyle w:val="ParaText"/>
              <w:keepNext/>
              <w:keepLines/>
              <w:spacing w:line="240" w:lineRule="auto"/>
              <w:jc w:val="center"/>
              <w:rPr>
                <w:rFonts w:asciiTheme="majorHAnsi" w:hAnsiTheme="majorHAnsi"/>
                <w:bCs/>
                <w:iCs/>
                <w:sz w:val="20"/>
                <w:szCs w:val="20"/>
              </w:rPr>
            </w:pPr>
            <w:proofErr w:type="spellStart"/>
            <w:r w:rsidRPr="00201CF7">
              <w:rPr>
                <w:rFonts w:asciiTheme="majorHAnsi" w:hAnsiTheme="majorHAnsi"/>
                <w:b/>
                <w:bCs/>
                <w:iCs/>
                <w:sz w:val="20"/>
                <w:szCs w:val="20"/>
              </w:rPr>
              <w:t>Paediatric</w:t>
            </w:r>
            <w:proofErr w:type="spellEnd"/>
            <w:r w:rsidRPr="00201CF7">
              <w:rPr>
                <w:rFonts w:asciiTheme="majorHAnsi" w:hAnsiTheme="majorHAnsi"/>
                <w:b/>
                <w:bCs/>
                <w:iCs/>
                <w:sz w:val="20"/>
                <w:szCs w:val="20"/>
              </w:rPr>
              <w:t xml:space="preserve"> </w:t>
            </w:r>
            <w:r w:rsidRPr="00201CF7">
              <w:rPr>
                <w:rStyle w:val="CommentReference"/>
                <w:rFonts w:asciiTheme="majorHAnsi" w:eastAsia="Times New Roman" w:hAnsiTheme="majorHAnsi"/>
                <w:b/>
                <w:bCs/>
                <w:sz w:val="20"/>
                <w:szCs w:val="20"/>
                <w:lang w:val="en-GB"/>
              </w:rPr>
              <w:t>Trial</w:t>
            </w:r>
            <w:r w:rsidRPr="00201CF7">
              <w:rPr>
                <w:rFonts w:asciiTheme="majorHAnsi" w:hAnsiTheme="majorHAnsi"/>
                <w:b/>
                <w:bCs/>
                <w:iCs/>
                <w:sz w:val="20"/>
                <w:szCs w:val="20"/>
              </w:rPr>
              <w:br/>
              <w:t xml:space="preserve">(12 through </w:t>
            </w:r>
            <w:proofErr w:type="gramStart"/>
            <w:r w:rsidRPr="00201CF7">
              <w:rPr>
                <w:rFonts w:asciiTheme="majorHAnsi" w:hAnsiTheme="majorHAnsi"/>
                <w:b/>
                <w:bCs/>
                <w:iCs/>
                <w:sz w:val="20"/>
                <w:szCs w:val="20"/>
              </w:rPr>
              <w:t>17 year olds</w:t>
            </w:r>
            <w:proofErr w:type="gramEnd"/>
            <w:r w:rsidRPr="00201CF7">
              <w:rPr>
                <w:rFonts w:asciiTheme="majorHAnsi" w:hAnsiTheme="majorHAnsi"/>
                <w:b/>
                <w:bCs/>
                <w:iCs/>
                <w:sz w:val="20"/>
                <w:szCs w:val="20"/>
              </w:rPr>
              <w:t>)</w:t>
            </w:r>
            <w:r w:rsidRPr="00201CF7">
              <w:rPr>
                <w:rFonts w:asciiTheme="majorHAnsi" w:hAnsiTheme="majorHAnsi"/>
                <w:bCs/>
                <w:iCs/>
                <w:sz w:val="20"/>
                <w:szCs w:val="20"/>
              </w:rPr>
              <w:br/>
              <w:t>Day Post-Vaccination</w:t>
            </w:r>
          </w:p>
        </w:tc>
        <w:tc>
          <w:tcPr>
            <w:tcW w:w="1530" w:type="dxa"/>
            <w:tcBorders>
              <w:top w:val="single" w:sz="12" w:space="0" w:color="auto"/>
              <w:bottom w:val="single" w:sz="12" w:space="0" w:color="auto"/>
            </w:tcBorders>
            <w:shd w:val="clear" w:color="auto" w:fill="auto"/>
            <w:vAlign w:val="bottom"/>
          </w:tcPr>
          <w:p w14:paraId="181F8E2B" w14:textId="389EF479"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bCs/>
                <w:iCs/>
                <w:sz w:val="20"/>
                <w:szCs w:val="20"/>
              </w:rPr>
              <w:t>VAXCHORA</w:t>
            </w:r>
            <w:r w:rsidR="00AB4115">
              <w:rPr>
                <w:rFonts w:asciiTheme="majorHAnsi" w:hAnsiTheme="majorHAnsi"/>
                <w:b/>
                <w:bCs/>
                <w:iCs/>
                <w:sz w:val="20"/>
                <w:szCs w:val="20"/>
              </w:rPr>
              <w:t xml:space="preserve"> </w:t>
            </w:r>
            <w:r w:rsidR="00AB4115" w:rsidRPr="00F848A3">
              <w:rPr>
                <w:rFonts w:asciiTheme="majorHAnsi" w:hAnsiTheme="majorHAnsi"/>
                <w:b/>
                <w:bCs/>
                <w:noProof/>
              </w:rPr>
              <w:t>vaccine</w:t>
            </w:r>
            <w:r w:rsidR="00694498" w:rsidRPr="00201CF7">
              <w:rPr>
                <w:rFonts w:asciiTheme="majorHAnsi" w:hAnsiTheme="majorHAnsi"/>
                <w:iCs/>
                <w:sz w:val="20"/>
                <w:szCs w:val="20"/>
              </w:rPr>
              <w:br/>
              <w:t>N</w:t>
            </w:r>
            <w:r w:rsidR="00694498" w:rsidRPr="00201CF7">
              <w:rPr>
                <w:rFonts w:asciiTheme="majorHAnsi" w:hAnsiTheme="majorHAnsi"/>
                <w:sz w:val="20"/>
                <w:szCs w:val="20"/>
                <w:vertAlign w:val="superscript"/>
              </w:rPr>
              <w:t>b</w:t>
            </w:r>
          </w:p>
        </w:tc>
        <w:tc>
          <w:tcPr>
            <w:tcW w:w="2610" w:type="dxa"/>
            <w:tcBorders>
              <w:top w:val="single" w:sz="12" w:space="0" w:color="auto"/>
              <w:bottom w:val="single" w:sz="12" w:space="0" w:color="auto"/>
              <w:right w:val="single" w:sz="12" w:space="0" w:color="auto"/>
            </w:tcBorders>
            <w:shd w:val="clear" w:color="auto" w:fill="auto"/>
            <w:vAlign w:val="bottom"/>
          </w:tcPr>
          <w:p w14:paraId="0D9DBCE7" w14:textId="45158AF7" w:rsidR="00694498" w:rsidRPr="00201CF7" w:rsidRDefault="00BD0E7C" w:rsidP="008575FA">
            <w:pPr>
              <w:pStyle w:val="ParaText"/>
              <w:keepNext/>
              <w:keepLines/>
              <w:spacing w:line="240" w:lineRule="auto"/>
              <w:jc w:val="center"/>
              <w:rPr>
                <w:rFonts w:asciiTheme="majorHAnsi" w:hAnsiTheme="majorHAnsi"/>
                <w:b/>
                <w:iCs/>
                <w:sz w:val="20"/>
                <w:szCs w:val="20"/>
              </w:rPr>
            </w:pPr>
            <w:r>
              <w:rPr>
                <w:rFonts w:asciiTheme="majorHAnsi" w:hAnsiTheme="majorHAnsi"/>
                <w:b/>
                <w:iCs/>
                <w:sz w:val="20"/>
                <w:szCs w:val="20"/>
              </w:rPr>
              <w:t>VAXCHORA</w:t>
            </w:r>
            <w:r w:rsidR="00694498" w:rsidRPr="00201CF7">
              <w:rPr>
                <w:rFonts w:asciiTheme="majorHAnsi" w:hAnsiTheme="majorHAnsi"/>
                <w:b/>
                <w:iCs/>
                <w:sz w:val="20"/>
                <w:szCs w:val="20"/>
              </w:rPr>
              <w:br/>
            </w:r>
            <w:proofErr w:type="spellStart"/>
            <w:r w:rsidR="00694498" w:rsidRPr="00201CF7">
              <w:rPr>
                <w:rFonts w:asciiTheme="majorHAnsi" w:hAnsiTheme="majorHAnsi"/>
                <w:b/>
                <w:iCs/>
                <w:sz w:val="20"/>
                <w:szCs w:val="20"/>
              </w:rPr>
              <w:t>Seroconversion</w:t>
            </w:r>
            <w:r w:rsidR="00694498" w:rsidRPr="00201CF7">
              <w:rPr>
                <w:rFonts w:asciiTheme="majorHAnsi" w:hAnsiTheme="majorHAnsi"/>
                <w:bCs/>
                <w:sz w:val="20"/>
                <w:szCs w:val="20"/>
                <w:vertAlign w:val="superscript"/>
              </w:rPr>
              <w:t>a</w:t>
            </w:r>
            <w:proofErr w:type="spellEnd"/>
            <w:r w:rsidR="00694498" w:rsidRPr="00201CF7">
              <w:rPr>
                <w:rFonts w:asciiTheme="majorHAnsi" w:hAnsiTheme="majorHAnsi"/>
                <w:bCs/>
                <w:iCs/>
                <w:sz w:val="20"/>
                <w:szCs w:val="20"/>
              </w:rPr>
              <w:br/>
            </w:r>
            <w:r w:rsidR="00694498" w:rsidRPr="00201CF7">
              <w:rPr>
                <w:rFonts w:asciiTheme="majorHAnsi" w:hAnsiTheme="majorHAnsi"/>
                <w:iCs/>
                <w:sz w:val="20"/>
                <w:szCs w:val="20"/>
              </w:rPr>
              <w:t>%</w:t>
            </w:r>
            <w:r w:rsidR="00694498" w:rsidRPr="00201CF7">
              <w:rPr>
                <w:rFonts w:asciiTheme="majorHAnsi" w:hAnsiTheme="majorHAnsi"/>
                <w:iCs/>
                <w:sz w:val="20"/>
                <w:szCs w:val="20"/>
              </w:rPr>
              <w:br/>
              <w:t xml:space="preserve">[95% </w:t>
            </w:r>
            <w:proofErr w:type="spellStart"/>
            <w:r w:rsidR="00694498" w:rsidRPr="00201CF7">
              <w:rPr>
                <w:rFonts w:asciiTheme="majorHAnsi" w:hAnsiTheme="majorHAnsi"/>
                <w:iCs/>
                <w:sz w:val="20"/>
                <w:szCs w:val="20"/>
              </w:rPr>
              <w:t>CI</w:t>
            </w:r>
            <w:r w:rsidR="00694498" w:rsidRPr="00201CF7">
              <w:rPr>
                <w:rFonts w:asciiTheme="majorHAnsi" w:hAnsiTheme="majorHAnsi"/>
                <w:iCs/>
                <w:sz w:val="20"/>
                <w:szCs w:val="20"/>
                <w:vertAlign w:val="superscript"/>
              </w:rPr>
              <w:t>c</w:t>
            </w:r>
            <w:proofErr w:type="spellEnd"/>
            <w:r w:rsidR="00694498" w:rsidRPr="00201CF7">
              <w:rPr>
                <w:rFonts w:asciiTheme="majorHAnsi" w:hAnsiTheme="majorHAnsi"/>
                <w:iCs/>
                <w:sz w:val="20"/>
                <w:szCs w:val="20"/>
              </w:rPr>
              <w:t>]</w:t>
            </w:r>
          </w:p>
        </w:tc>
      </w:tr>
      <w:tr w:rsidR="00694498" w:rsidRPr="00201CF7" w14:paraId="0E3F1330" w14:textId="77777777" w:rsidTr="008575FA">
        <w:trPr>
          <w:jc w:val="center"/>
        </w:trPr>
        <w:tc>
          <w:tcPr>
            <w:tcW w:w="2415" w:type="dxa"/>
            <w:tcBorders>
              <w:left w:val="single" w:sz="12" w:space="0" w:color="auto"/>
            </w:tcBorders>
            <w:shd w:val="clear" w:color="auto" w:fill="auto"/>
          </w:tcPr>
          <w:p w14:paraId="68814E2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10</w:t>
            </w:r>
          </w:p>
        </w:tc>
        <w:tc>
          <w:tcPr>
            <w:tcW w:w="1530" w:type="dxa"/>
            <w:shd w:val="clear" w:color="auto" w:fill="auto"/>
          </w:tcPr>
          <w:p w14:paraId="43A0EC6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72</w:t>
            </w:r>
          </w:p>
        </w:tc>
        <w:tc>
          <w:tcPr>
            <w:tcW w:w="2610" w:type="dxa"/>
            <w:tcBorders>
              <w:right w:val="single" w:sz="12" w:space="0" w:color="auto"/>
            </w:tcBorders>
            <w:shd w:val="clear" w:color="auto" w:fill="auto"/>
          </w:tcPr>
          <w:p w14:paraId="0F997C3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100.0%</w:t>
            </w:r>
            <w:r w:rsidRPr="00201CF7">
              <w:rPr>
                <w:rFonts w:asciiTheme="majorHAnsi" w:hAnsiTheme="majorHAnsi"/>
                <w:iCs/>
                <w:sz w:val="20"/>
                <w:szCs w:val="20"/>
              </w:rPr>
              <w:br/>
              <w:t>[94.9%, 100.0%]</w:t>
            </w:r>
          </w:p>
        </w:tc>
      </w:tr>
      <w:tr w:rsidR="00694498" w:rsidRPr="00201CF7" w14:paraId="7D0F4739" w14:textId="77777777" w:rsidTr="008575FA">
        <w:trPr>
          <w:jc w:val="center"/>
        </w:trPr>
        <w:tc>
          <w:tcPr>
            <w:tcW w:w="2415" w:type="dxa"/>
            <w:tcBorders>
              <w:left w:val="single" w:sz="12" w:space="0" w:color="auto"/>
            </w:tcBorders>
            <w:shd w:val="clear" w:color="auto" w:fill="auto"/>
          </w:tcPr>
          <w:p w14:paraId="24CFDDA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28</w:t>
            </w:r>
          </w:p>
        </w:tc>
        <w:tc>
          <w:tcPr>
            <w:tcW w:w="1530" w:type="dxa"/>
            <w:shd w:val="clear" w:color="auto" w:fill="auto"/>
          </w:tcPr>
          <w:p w14:paraId="5577E30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72</w:t>
            </w:r>
          </w:p>
        </w:tc>
        <w:tc>
          <w:tcPr>
            <w:tcW w:w="2610" w:type="dxa"/>
            <w:tcBorders>
              <w:right w:val="single" w:sz="12" w:space="0" w:color="auto"/>
            </w:tcBorders>
            <w:shd w:val="clear" w:color="auto" w:fill="auto"/>
          </w:tcPr>
          <w:p w14:paraId="734D71AF"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100.0%</w:t>
            </w:r>
            <w:r w:rsidRPr="00201CF7">
              <w:rPr>
                <w:rFonts w:asciiTheme="majorHAnsi" w:hAnsiTheme="majorHAnsi"/>
                <w:iCs/>
                <w:sz w:val="20"/>
                <w:szCs w:val="20"/>
              </w:rPr>
              <w:br/>
              <w:t>[94.9%, 100.0%]</w:t>
            </w:r>
          </w:p>
        </w:tc>
      </w:tr>
      <w:tr w:rsidR="00694498" w:rsidRPr="00201CF7" w14:paraId="5CFEEE78" w14:textId="77777777" w:rsidTr="008575FA">
        <w:trPr>
          <w:jc w:val="center"/>
        </w:trPr>
        <w:tc>
          <w:tcPr>
            <w:tcW w:w="2415" w:type="dxa"/>
            <w:tcBorders>
              <w:left w:val="single" w:sz="12" w:space="0" w:color="auto"/>
            </w:tcBorders>
            <w:shd w:val="clear" w:color="auto" w:fill="auto"/>
          </w:tcPr>
          <w:p w14:paraId="4E2C514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90</w:t>
            </w:r>
          </w:p>
        </w:tc>
        <w:tc>
          <w:tcPr>
            <w:tcW w:w="1530" w:type="dxa"/>
            <w:shd w:val="clear" w:color="auto" w:fill="auto"/>
          </w:tcPr>
          <w:p w14:paraId="1536656A"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72</w:t>
            </w:r>
          </w:p>
        </w:tc>
        <w:tc>
          <w:tcPr>
            <w:tcW w:w="2610" w:type="dxa"/>
            <w:tcBorders>
              <w:right w:val="single" w:sz="12" w:space="0" w:color="auto"/>
            </w:tcBorders>
            <w:shd w:val="clear" w:color="auto" w:fill="auto"/>
          </w:tcPr>
          <w:p w14:paraId="62DD4077"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88.9%</w:t>
            </w:r>
            <w:r w:rsidRPr="00201CF7">
              <w:rPr>
                <w:rFonts w:asciiTheme="majorHAnsi" w:hAnsiTheme="majorHAnsi"/>
                <w:iCs/>
                <w:sz w:val="20"/>
                <w:szCs w:val="20"/>
              </w:rPr>
              <w:br/>
              <w:t>[79.6%, 94.3%]</w:t>
            </w:r>
          </w:p>
        </w:tc>
      </w:tr>
      <w:tr w:rsidR="00694498" w:rsidRPr="00201CF7" w14:paraId="04DEFF72" w14:textId="77777777" w:rsidTr="008575FA">
        <w:trPr>
          <w:jc w:val="center"/>
        </w:trPr>
        <w:tc>
          <w:tcPr>
            <w:tcW w:w="2415" w:type="dxa"/>
            <w:tcBorders>
              <w:left w:val="single" w:sz="12" w:space="0" w:color="auto"/>
            </w:tcBorders>
            <w:shd w:val="clear" w:color="auto" w:fill="auto"/>
          </w:tcPr>
          <w:p w14:paraId="3B0F583F"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180</w:t>
            </w:r>
          </w:p>
        </w:tc>
        <w:tc>
          <w:tcPr>
            <w:tcW w:w="1530" w:type="dxa"/>
            <w:shd w:val="clear" w:color="auto" w:fill="auto"/>
          </w:tcPr>
          <w:p w14:paraId="56B93CE1"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71</w:t>
            </w:r>
          </w:p>
        </w:tc>
        <w:tc>
          <w:tcPr>
            <w:tcW w:w="2610" w:type="dxa"/>
            <w:tcBorders>
              <w:right w:val="single" w:sz="12" w:space="0" w:color="auto"/>
            </w:tcBorders>
            <w:shd w:val="clear" w:color="auto" w:fill="auto"/>
          </w:tcPr>
          <w:p w14:paraId="1B617555"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83.1%</w:t>
            </w:r>
            <w:r w:rsidRPr="00201CF7">
              <w:rPr>
                <w:rFonts w:asciiTheme="majorHAnsi" w:hAnsiTheme="majorHAnsi"/>
                <w:iCs/>
                <w:sz w:val="20"/>
                <w:szCs w:val="20"/>
              </w:rPr>
              <w:br/>
              <w:t>[72.7%, 90.1%]</w:t>
            </w:r>
          </w:p>
        </w:tc>
      </w:tr>
      <w:tr w:rsidR="00694498" w:rsidRPr="00201CF7" w14:paraId="0C74003C" w14:textId="77777777" w:rsidTr="008575FA">
        <w:trPr>
          <w:jc w:val="center"/>
        </w:trPr>
        <w:tc>
          <w:tcPr>
            <w:tcW w:w="2415" w:type="dxa"/>
            <w:tcBorders>
              <w:left w:val="single" w:sz="12" w:space="0" w:color="auto"/>
            </w:tcBorders>
            <w:shd w:val="clear" w:color="auto" w:fill="auto"/>
          </w:tcPr>
          <w:p w14:paraId="79FA696A"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364</w:t>
            </w:r>
          </w:p>
        </w:tc>
        <w:tc>
          <w:tcPr>
            <w:tcW w:w="1530" w:type="dxa"/>
            <w:shd w:val="clear" w:color="auto" w:fill="auto"/>
          </w:tcPr>
          <w:p w14:paraId="16AAFFC5"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70</w:t>
            </w:r>
          </w:p>
        </w:tc>
        <w:tc>
          <w:tcPr>
            <w:tcW w:w="2610" w:type="dxa"/>
            <w:tcBorders>
              <w:right w:val="single" w:sz="12" w:space="0" w:color="auto"/>
            </w:tcBorders>
            <w:shd w:val="clear" w:color="auto" w:fill="auto"/>
          </w:tcPr>
          <w:p w14:paraId="3922F09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68.6%</w:t>
            </w:r>
            <w:r w:rsidRPr="00201CF7">
              <w:rPr>
                <w:rFonts w:asciiTheme="majorHAnsi" w:hAnsiTheme="majorHAnsi"/>
                <w:iCs/>
                <w:sz w:val="20"/>
                <w:szCs w:val="20"/>
              </w:rPr>
              <w:br/>
              <w:t>[57.0%, 78.2%]</w:t>
            </w:r>
          </w:p>
        </w:tc>
      </w:tr>
      <w:tr w:rsidR="00694498" w:rsidRPr="00201CF7" w14:paraId="34275B8E" w14:textId="77777777" w:rsidTr="008575FA">
        <w:trPr>
          <w:jc w:val="center"/>
        </w:trPr>
        <w:tc>
          <w:tcPr>
            <w:tcW w:w="2415" w:type="dxa"/>
            <w:tcBorders>
              <w:left w:val="single" w:sz="12" w:space="0" w:color="auto"/>
            </w:tcBorders>
            <w:shd w:val="clear" w:color="auto" w:fill="auto"/>
          </w:tcPr>
          <w:p w14:paraId="5939C68D"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546</w:t>
            </w:r>
          </w:p>
        </w:tc>
        <w:tc>
          <w:tcPr>
            <w:tcW w:w="1530" w:type="dxa"/>
            <w:shd w:val="clear" w:color="auto" w:fill="auto"/>
          </w:tcPr>
          <w:p w14:paraId="1882F760"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67</w:t>
            </w:r>
          </w:p>
        </w:tc>
        <w:tc>
          <w:tcPr>
            <w:tcW w:w="2610" w:type="dxa"/>
            <w:tcBorders>
              <w:right w:val="single" w:sz="12" w:space="0" w:color="auto"/>
            </w:tcBorders>
            <w:shd w:val="clear" w:color="auto" w:fill="auto"/>
          </w:tcPr>
          <w:p w14:paraId="7358E3C8"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73.1%</w:t>
            </w:r>
            <w:r w:rsidRPr="00201CF7">
              <w:rPr>
                <w:rFonts w:asciiTheme="majorHAnsi" w:hAnsiTheme="majorHAnsi"/>
                <w:iCs/>
                <w:sz w:val="20"/>
                <w:szCs w:val="20"/>
              </w:rPr>
              <w:br/>
              <w:t>[61.5%, 82.3%]</w:t>
            </w:r>
          </w:p>
        </w:tc>
      </w:tr>
      <w:tr w:rsidR="00694498" w:rsidRPr="00201CF7" w14:paraId="17C42863" w14:textId="77777777" w:rsidTr="008575FA">
        <w:trPr>
          <w:jc w:val="center"/>
        </w:trPr>
        <w:tc>
          <w:tcPr>
            <w:tcW w:w="2415" w:type="dxa"/>
            <w:tcBorders>
              <w:left w:val="single" w:sz="12" w:space="0" w:color="auto"/>
              <w:bottom w:val="single" w:sz="12" w:space="0" w:color="auto"/>
            </w:tcBorders>
            <w:shd w:val="clear" w:color="auto" w:fill="auto"/>
          </w:tcPr>
          <w:p w14:paraId="64F01FA4"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729</w:t>
            </w:r>
          </w:p>
        </w:tc>
        <w:tc>
          <w:tcPr>
            <w:tcW w:w="1530" w:type="dxa"/>
            <w:tcBorders>
              <w:bottom w:val="single" w:sz="12" w:space="0" w:color="auto"/>
            </w:tcBorders>
            <w:shd w:val="clear" w:color="auto" w:fill="auto"/>
          </w:tcPr>
          <w:p w14:paraId="6AFAB43C"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62</w:t>
            </w:r>
          </w:p>
        </w:tc>
        <w:tc>
          <w:tcPr>
            <w:tcW w:w="2610" w:type="dxa"/>
            <w:tcBorders>
              <w:bottom w:val="single" w:sz="12" w:space="0" w:color="auto"/>
              <w:right w:val="single" w:sz="12" w:space="0" w:color="auto"/>
            </w:tcBorders>
            <w:shd w:val="clear" w:color="auto" w:fill="auto"/>
          </w:tcPr>
          <w:p w14:paraId="2EE163F3" w14:textId="77777777" w:rsidR="00694498" w:rsidRPr="00201CF7" w:rsidRDefault="00694498" w:rsidP="008575FA">
            <w:pPr>
              <w:pStyle w:val="ParaText"/>
              <w:keepNext/>
              <w:keepLines/>
              <w:spacing w:line="240" w:lineRule="auto"/>
              <w:jc w:val="center"/>
              <w:rPr>
                <w:rFonts w:asciiTheme="majorHAnsi" w:hAnsiTheme="majorHAnsi"/>
                <w:iCs/>
                <w:sz w:val="20"/>
                <w:szCs w:val="20"/>
              </w:rPr>
            </w:pPr>
            <w:r w:rsidRPr="00201CF7">
              <w:rPr>
                <w:rFonts w:asciiTheme="majorHAnsi" w:hAnsiTheme="majorHAnsi"/>
                <w:iCs/>
                <w:sz w:val="20"/>
                <w:szCs w:val="20"/>
              </w:rPr>
              <w:t>64.5%</w:t>
            </w:r>
            <w:r w:rsidRPr="00201CF7">
              <w:rPr>
                <w:rFonts w:asciiTheme="majorHAnsi" w:hAnsiTheme="majorHAnsi"/>
                <w:iCs/>
                <w:sz w:val="20"/>
                <w:szCs w:val="20"/>
              </w:rPr>
              <w:br/>
              <w:t>[52.1%, 75.3%]</w:t>
            </w:r>
          </w:p>
        </w:tc>
      </w:tr>
    </w:tbl>
    <w:p w14:paraId="5B4E1FE7" w14:textId="66810ABB" w:rsidR="00694498" w:rsidRPr="00201CF7" w:rsidRDefault="00694498" w:rsidP="00201CF7">
      <w:pPr>
        <w:pStyle w:val="TableFigureNote"/>
        <w:keepNext/>
        <w:keepLines/>
        <w:ind w:left="1418" w:right="1350" w:firstLine="22"/>
        <w:rPr>
          <w:rFonts w:asciiTheme="majorHAnsi" w:hAnsiTheme="majorHAnsi"/>
        </w:rPr>
      </w:pPr>
      <w:r w:rsidRPr="00201CF7">
        <w:rPr>
          <w:rFonts w:asciiTheme="majorHAnsi" w:hAnsiTheme="majorHAnsi"/>
          <w:vertAlign w:val="superscript"/>
        </w:rPr>
        <w:t>a</w:t>
      </w:r>
      <w:r w:rsidRPr="00201CF7">
        <w:rPr>
          <w:rFonts w:asciiTheme="majorHAnsi" w:hAnsiTheme="majorHAnsi"/>
        </w:rPr>
        <w:t xml:space="preserve"> Seroconversion is defined as the percentages of subjects who had at least a 4-fold rise in </w:t>
      </w:r>
      <w:proofErr w:type="spellStart"/>
      <w:r w:rsidRPr="00201CF7">
        <w:rPr>
          <w:rFonts w:asciiTheme="majorHAnsi" w:hAnsiTheme="majorHAnsi"/>
        </w:rPr>
        <w:t>vibriocidal</w:t>
      </w:r>
      <w:proofErr w:type="spellEnd"/>
      <w:r w:rsidRPr="00201CF7">
        <w:rPr>
          <w:rFonts w:asciiTheme="majorHAnsi" w:hAnsiTheme="majorHAnsi"/>
        </w:rPr>
        <w:t xml:space="preserve"> antibody titer post-vaccination compared to baseline.</w:t>
      </w:r>
    </w:p>
    <w:p w14:paraId="5F2AB4C3" w14:textId="6613BA17" w:rsidR="00694498" w:rsidRPr="00201CF7" w:rsidRDefault="00694498" w:rsidP="00201CF7">
      <w:pPr>
        <w:pStyle w:val="TableFigureNote"/>
        <w:keepNext/>
        <w:keepLines/>
        <w:tabs>
          <w:tab w:val="left" w:pos="1418"/>
        </w:tabs>
        <w:ind w:left="1418" w:right="1350" w:firstLine="22"/>
        <w:rPr>
          <w:rFonts w:asciiTheme="majorHAnsi" w:hAnsiTheme="majorHAnsi"/>
        </w:rPr>
      </w:pPr>
      <w:r w:rsidRPr="00201CF7">
        <w:rPr>
          <w:rFonts w:asciiTheme="majorHAnsi" w:hAnsiTheme="majorHAnsi"/>
          <w:vertAlign w:val="superscript"/>
        </w:rPr>
        <w:t>b</w:t>
      </w:r>
      <w:r w:rsidRPr="00201CF7">
        <w:rPr>
          <w:rFonts w:asciiTheme="majorHAnsi" w:hAnsiTheme="majorHAnsi"/>
        </w:rPr>
        <w:t xml:space="preserve"> N=number of subjects with analyzable samples at Day 1 and Day 11 in the immunogenicity evaluable population of the </w:t>
      </w:r>
      <w:r w:rsidR="009D54B9" w:rsidRPr="00201CF7">
        <w:rPr>
          <w:rFonts w:asciiTheme="majorHAnsi" w:hAnsiTheme="majorHAnsi"/>
        </w:rPr>
        <w:t>long-term</w:t>
      </w:r>
      <w:r w:rsidRPr="00201CF7">
        <w:rPr>
          <w:rFonts w:asciiTheme="majorHAnsi" w:hAnsiTheme="majorHAnsi"/>
        </w:rPr>
        <w:t xml:space="preserve"> follow-up sub-study.</w:t>
      </w:r>
    </w:p>
    <w:p w14:paraId="41CB565E" w14:textId="65E51ED2" w:rsidR="00622308" w:rsidRPr="00201CF7" w:rsidRDefault="00694498" w:rsidP="00E83278">
      <w:pPr>
        <w:pStyle w:val="TableFigureNote"/>
        <w:keepNext/>
        <w:keepLines/>
        <w:ind w:left="1620" w:right="1350" w:hanging="180"/>
        <w:rPr>
          <w:rFonts w:asciiTheme="majorHAnsi" w:hAnsiTheme="majorHAnsi"/>
        </w:rPr>
      </w:pPr>
      <w:r w:rsidRPr="00201CF7">
        <w:rPr>
          <w:rFonts w:asciiTheme="majorHAnsi" w:hAnsiTheme="majorHAnsi"/>
          <w:vertAlign w:val="superscript"/>
        </w:rPr>
        <w:t>c</w:t>
      </w:r>
      <w:r w:rsidRPr="00201CF7">
        <w:rPr>
          <w:rFonts w:asciiTheme="majorHAnsi" w:hAnsiTheme="majorHAnsi"/>
        </w:rPr>
        <w:t xml:space="preserve"> CI=confidence interval.</w:t>
      </w:r>
    </w:p>
    <w:p w14:paraId="5E472B6A" w14:textId="5D573F2F" w:rsidR="00614400" w:rsidRPr="00F848A3" w:rsidRDefault="00614400" w:rsidP="0061440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Theme="majorHAnsi" w:hAnsiTheme="majorHAnsi"/>
        </w:rPr>
      </w:pPr>
      <w:r w:rsidRPr="00F848A3">
        <w:rPr>
          <w:rFonts w:asciiTheme="majorHAnsi" w:hAnsiTheme="majorHAnsi"/>
        </w:rPr>
        <w:t xml:space="preserve">A subset of patients (N=33) received &lt;80% of the vaccine dose (see </w:t>
      </w:r>
      <w:r w:rsidR="00760FDF">
        <w:rPr>
          <w:rFonts w:asciiTheme="majorHAnsi" w:hAnsiTheme="majorHAnsi"/>
        </w:rPr>
        <w:fldChar w:fldCharType="begin"/>
      </w:r>
      <w:r w:rsidR="00760FDF">
        <w:rPr>
          <w:rFonts w:asciiTheme="majorHAnsi" w:hAnsiTheme="majorHAnsi"/>
        </w:rPr>
        <w:instrText xml:space="preserve"> REF _Ref80262292 \h </w:instrText>
      </w:r>
      <w:r w:rsidR="00AE1544">
        <w:rPr>
          <w:rFonts w:asciiTheme="majorHAnsi" w:hAnsiTheme="majorHAnsi"/>
        </w:rPr>
        <w:instrText xml:space="preserve"> \* MERGEFORMAT </w:instrText>
      </w:r>
      <w:r w:rsidR="00760FDF">
        <w:rPr>
          <w:rFonts w:asciiTheme="majorHAnsi" w:hAnsiTheme="majorHAnsi"/>
        </w:rPr>
      </w:r>
      <w:r w:rsidR="00760FDF">
        <w:rPr>
          <w:rFonts w:asciiTheme="majorHAnsi" w:hAnsiTheme="majorHAnsi"/>
        </w:rPr>
        <w:fldChar w:fldCharType="separate"/>
      </w:r>
      <w:r w:rsidR="003717CB" w:rsidRPr="00AE1544">
        <w:rPr>
          <w:rFonts w:ascii="Times New Roman" w:hAnsi="Times New Roman" w:cs="Times New Roman"/>
        </w:rPr>
        <w:t xml:space="preserve">Table </w:t>
      </w:r>
      <w:r w:rsidR="003717CB" w:rsidRPr="00AE1544">
        <w:rPr>
          <w:rFonts w:ascii="Times New Roman" w:hAnsi="Times New Roman" w:cs="Times New Roman"/>
          <w:noProof/>
        </w:rPr>
        <w:t>9</w:t>
      </w:r>
      <w:r w:rsidR="00760FDF">
        <w:rPr>
          <w:rFonts w:asciiTheme="majorHAnsi" w:hAnsiTheme="majorHAnsi"/>
        </w:rPr>
        <w:fldChar w:fldCharType="end"/>
      </w:r>
      <w:r w:rsidRPr="00F848A3">
        <w:rPr>
          <w:rFonts w:asciiTheme="majorHAnsi" w:hAnsiTheme="majorHAnsi"/>
        </w:rPr>
        <w:t>). In this subset, overall seroconversion was 75.8%. Seroconversion was 100% for subjects taking 50-80% of the dose (N=7) and 69.2% for subjects taking &lt;50% of the dose (n=26).</w:t>
      </w:r>
    </w:p>
    <w:p w14:paraId="6B596D67" w14:textId="7F22CC5B" w:rsidR="00614400" w:rsidRPr="004F554C" w:rsidRDefault="004F554C" w:rsidP="00F848A3">
      <w:pPr>
        <w:pStyle w:val="Caption"/>
        <w:tabs>
          <w:tab w:val="clear" w:pos="2160"/>
        </w:tabs>
        <w:ind w:left="0" w:firstLine="0"/>
      </w:pPr>
      <w:bookmarkStart w:id="16" w:name="_Ref80262292"/>
      <w:r>
        <w:lastRenderedPageBreak/>
        <w:t xml:space="preserve">Table </w:t>
      </w:r>
      <w:r>
        <w:fldChar w:fldCharType="begin"/>
      </w:r>
      <w:r>
        <w:instrText xml:space="preserve"> SEQ Table \* ARABIC </w:instrText>
      </w:r>
      <w:r>
        <w:fldChar w:fldCharType="separate"/>
      </w:r>
      <w:r w:rsidR="003717CB">
        <w:rPr>
          <w:noProof/>
        </w:rPr>
        <w:t>9</w:t>
      </w:r>
      <w:r>
        <w:fldChar w:fldCharType="end"/>
      </w:r>
      <w:bookmarkEnd w:id="16"/>
      <w:r w:rsidR="00614400" w:rsidRPr="00F848A3">
        <w:rPr>
          <w:rFonts w:asciiTheme="majorHAnsi" w:hAnsiTheme="majorHAnsi"/>
          <w:sz w:val="22"/>
        </w:rPr>
        <w:t>:</w:t>
      </w:r>
      <w:r w:rsidR="00614400">
        <w:rPr>
          <w:rFonts w:asciiTheme="majorHAnsi" w:hAnsiTheme="majorHAnsi"/>
          <w:sz w:val="22"/>
        </w:rPr>
        <w:t xml:space="preserve"> </w:t>
      </w:r>
      <w:r w:rsidR="00614400" w:rsidRPr="00F848A3">
        <w:rPr>
          <w:rFonts w:asciiTheme="majorHAnsi" w:hAnsiTheme="majorHAnsi"/>
          <w:sz w:val="22"/>
        </w:rPr>
        <w:t xml:space="preserve">Number of Subjects (%) with SVA Seroconversion at </w:t>
      </w:r>
      <w:r w:rsidR="00833405">
        <w:rPr>
          <w:rFonts w:asciiTheme="majorHAnsi" w:hAnsiTheme="majorHAnsi"/>
          <w:sz w:val="22"/>
        </w:rPr>
        <w:t>10 Days Post-vaccination</w:t>
      </w:r>
      <w:r w:rsidR="00614400" w:rsidRPr="00F848A3">
        <w:rPr>
          <w:rFonts w:asciiTheme="majorHAnsi" w:hAnsiTheme="majorHAnsi"/>
          <w:sz w:val="22"/>
        </w:rPr>
        <w:t xml:space="preserve"> Stratified by Portion of Dose Consumed*</w:t>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460"/>
        <w:gridCol w:w="2460"/>
        <w:gridCol w:w="2460"/>
      </w:tblGrid>
      <w:tr w:rsidR="00614400" w:rsidRPr="00096320" w14:paraId="082C0089" w14:textId="77777777" w:rsidTr="00F848A3">
        <w:trPr>
          <w:trHeight w:hRule="exact" w:val="432"/>
        </w:trPr>
        <w:tc>
          <w:tcPr>
            <w:tcW w:w="1880" w:type="dxa"/>
            <w:shd w:val="clear" w:color="auto" w:fill="auto"/>
            <w:tcMar>
              <w:top w:w="100" w:type="dxa"/>
              <w:left w:w="100" w:type="dxa"/>
              <w:bottom w:w="100" w:type="dxa"/>
              <w:right w:w="100" w:type="dxa"/>
            </w:tcMar>
          </w:tcPr>
          <w:p w14:paraId="60C6F7D6"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b/>
                <w:bCs/>
                <w:iCs/>
                <w:sz w:val="20"/>
                <w:szCs w:val="20"/>
              </w:rPr>
            </w:pPr>
          </w:p>
          <w:p w14:paraId="4C1EAA7A" w14:textId="77777777" w:rsidR="00614400" w:rsidRPr="00F848A3" w:rsidRDefault="00614400" w:rsidP="008575FA">
            <w:pPr>
              <w:widowControl w:val="0"/>
              <w:pBdr>
                <w:top w:val="nil"/>
                <w:left w:val="nil"/>
                <w:bottom w:val="nil"/>
                <w:right w:val="nil"/>
                <w:between w:val="nil"/>
              </w:pBdr>
              <w:spacing w:after="0"/>
              <w:rPr>
                <w:rFonts w:asciiTheme="majorHAnsi" w:eastAsia="Calibri" w:hAnsiTheme="majorHAnsi" w:cs="Times New Roman"/>
                <w:b/>
                <w:bCs/>
                <w:iCs/>
                <w:sz w:val="20"/>
                <w:szCs w:val="20"/>
                <w:lang w:val="en-US"/>
              </w:rPr>
            </w:pPr>
          </w:p>
        </w:tc>
        <w:tc>
          <w:tcPr>
            <w:tcW w:w="2460" w:type="dxa"/>
            <w:shd w:val="clear" w:color="auto" w:fill="auto"/>
            <w:tcMar>
              <w:top w:w="100" w:type="dxa"/>
              <w:left w:w="100" w:type="dxa"/>
              <w:bottom w:w="100" w:type="dxa"/>
              <w:right w:w="100" w:type="dxa"/>
            </w:tcMar>
          </w:tcPr>
          <w:p w14:paraId="4F7EED13" w14:textId="77777777" w:rsidR="00614400" w:rsidRPr="00F848A3" w:rsidRDefault="00614400" w:rsidP="008575FA">
            <w:pPr>
              <w:spacing w:after="0"/>
              <w:jc w:val="center"/>
              <w:rPr>
                <w:rFonts w:asciiTheme="majorHAnsi" w:eastAsia="Calibri" w:hAnsiTheme="majorHAnsi" w:cs="Times New Roman"/>
                <w:b/>
                <w:bCs/>
                <w:iCs/>
                <w:sz w:val="20"/>
                <w:szCs w:val="20"/>
                <w:lang w:val="en-US"/>
              </w:rPr>
            </w:pPr>
            <w:r w:rsidRPr="00F848A3">
              <w:rPr>
                <w:rFonts w:asciiTheme="majorHAnsi" w:eastAsia="Calibri" w:hAnsiTheme="majorHAnsi" w:cs="Times New Roman"/>
                <w:b/>
                <w:bCs/>
                <w:iCs/>
                <w:sz w:val="20"/>
                <w:szCs w:val="20"/>
                <w:lang w:val="en-US"/>
              </w:rPr>
              <w:t>&lt;50% of Dose</w:t>
            </w:r>
          </w:p>
        </w:tc>
        <w:tc>
          <w:tcPr>
            <w:tcW w:w="2460" w:type="dxa"/>
            <w:shd w:val="clear" w:color="auto" w:fill="auto"/>
            <w:tcMar>
              <w:top w:w="100" w:type="dxa"/>
              <w:left w:w="100" w:type="dxa"/>
              <w:bottom w:w="100" w:type="dxa"/>
              <w:right w:w="100" w:type="dxa"/>
            </w:tcMar>
          </w:tcPr>
          <w:p w14:paraId="5359DB2D" w14:textId="77777777" w:rsidR="00614400" w:rsidRPr="00F848A3" w:rsidRDefault="00614400" w:rsidP="008575FA">
            <w:pPr>
              <w:widowControl w:val="0"/>
              <w:pBdr>
                <w:top w:val="nil"/>
                <w:left w:val="nil"/>
                <w:bottom w:val="nil"/>
                <w:right w:val="nil"/>
                <w:between w:val="nil"/>
              </w:pBdr>
              <w:spacing w:after="0"/>
              <w:jc w:val="center"/>
              <w:rPr>
                <w:rFonts w:asciiTheme="majorHAnsi" w:eastAsia="Calibri" w:hAnsiTheme="majorHAnsi" w:cs="Times New Roman"/>
                <w:b/>
                <w:bCs/>
                <w:iCs/>
                <w:sz w:val="20"/>
                <w:szCs w:val="20"/>
                <w:lang w:val="en-US"/>
              </w:rPr>
            </w:pPr>
            <w:r w:rsidRPr="00F848A3">
              <w:rPr>
                <w:rFonts w:asciiTheme="majorHAnsi" w:eastAsia="Calibri" w:hAnsiTheme="majorHAnsi" w:cs="Times New Roman"/>
                <w:b/>
                <w:bCs/>
                <w:iCs/>
                <w:sz w:val="20"/>
                <w:szCs w:val="20"/>
                <w:lang w:val="en-US"/>
              </w:rPr>
              <w:t>≥50 to &lt;80% of Dose</w:t>
            </w:r>
          </w:p>
        </w:tc>
        <w:tc>
          <w:tcPr>
            <w:tcW w:w="2460" w:type="dxa"/>
            <w:shd w:val="clear" w:color="auto" w:fill="auto"/>
          </w:tcPr>
          <w:p w14:paraId="393A2F0E" w14:textId="77777777" w:rsidR="00614400" w:rsidRPr="00F848A3" w:rsidRDefault="00614400" w:rsidP="008575FA">
            <w:pPr>
              <w:widowControl w:val="0"/>
              <w:pBdr>
                <w:top w:val="nil"/>
                <w:left w:val="nil"/>
                <w:bottom w:val="nil"/>
                <w:right w:val="nil"/>
                <w:between w:val="nil"/>
              </w:pBdr>
              <w:spacing w:after="0"/>
              <w:jc w:val="center"/>
              <w:rPr>
                <w:rFonts w:asciiTheme="majorHAnsi" w:eastAsia="Calibri" w:hAnsiTheme="majorHAnsi" w:cs="Times New Roman"/>
                <w:b/>
                <w:bCs/>
                <w:iCs/>
                <w:sz w:val="20"/>
                <w:szCs w:val="20"/>
                <w:lang w:val="en-US"/>
              </w:rPr>
            </w:pPr>
            <w:r w:rsidRPr="00F848A3">
              <w:rPr>
                <w:rFonts w:asciiTheme="majorHAnsi" w:eastAsia="Calibri" w:hAnsiTheme="majorHAnsi" w:cs="Times New Roman"/>
                <w:b/>
                <w:bCs/>
                <w:iCs/>
                <w:sz w:val="20"/>
                <w:szCs w:val="20"/>
                <w:lang w:val="en-US"/>
              </w:rPr>
              <w:t>Total (&lt;80% of Dose)</w:t>
            </w:r>
          </w:p>
        </w:tc>
      </w:tr>
      <w:tr w:rsidR="00614400" w:rsidRPr="00096320" w14:paraId="19CAAC3B" w14:textId="77777777" w:rsidTr="00F848A3">
        <w:tc>
          <w:tcPr>
            <w:tcW w:w="1880" w:type="dxa"/>
            <w:shd w:val="clear" w:color="auto" w:fill="auto"/>
            <w:tcMar>
              <w:top w:w="100" w:type="dxa"/>
              <w:left w:w="100" w:type="dxa"/>
              <w:bottom w:w="100" w:type="dxa"/>
              <w:right w:w="100" w:type="dxa"/>
            </w:tcMar>
          </w:tcPr>
          <w:p w14:paraId="1B1D3015"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b/>
                <w:bCs/>
                <w:iCs/>
                <w:sz w:val="20"/>
                <w:szCs w:val="20"/>
              </w:rPr>
            </w:pPr>
            <w:r w:rsidRPr="00F848A3">
              <w:rPr>
                <w:rFonts w:asciiTheme="majorHAnsi" w:hAnsiTheme="majorHAnsi"/>
                <w:b/>
                <w:bCs/>
                <w:iCs/>
                <w:sz w:val="20"/>
                <w:szCs w:val="20"/>
              </w:rPr>
              <w:t>2 to 5 years</w:t>
            </w:r>
          </w:p>
        </w:tc>
        <w:tc>
          <w:tcPr>
            <w:tcW w:w="2460" w:type="dxa"/>
            <w:shd w:val="clear" w:color="auto" w:fill="auto"/>
            <w:tcMar>
              <w:top w:w="100" w:type="dxa"/>
              <w:left w:w="100" w:type="dxa"/>
              <w:bottom w:w="100" w:type="dxa"/>
              <w:right w:w="100" w:type="dxa"/>
            </w:tcMar>
          </w:tcPr>
          <w:p w14:paraId="49CA64D4"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11/16 (68.8%)</w:t>
            </w:r>
          </w:p>
        </w:tc>
        <w:tc>
          <w:tcPr>
            <w:tcW w:w="2460" w:type="dxa"/>
            <w:shd w:val="clear" w:color="auto" w:fill="auto"/>
            <w:tcMar>
              <w:top w:w="100" w:type="dxa"/>
              <w:left w:w="100" w:type="dxa"/>
              <w:bottom w:w="100" w:type="dxa"/>
              <w:right w:w="100" w:type="dxa"/>
            </w:tcMar>
          </w:tcPr>
          <w:p w14:paraId="748AF2A1"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6/6 (100%)</w:t>
            </w:r>
          </w:p>
        </w:tc>
        <w:tc>
          <w:tcPr>
            <w:tcW w:w="2460" w:type="dxa"/>
          </w:tcPr>
          <w:p w14:paraId="118AED9F"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17/22 (77.3%)</w:t>
            </w:r>
          </w:p>
        </w:tc>
      </w:tr>
      <w:tr w:rsidR="00614400" w:rsidRPr="00096320" w14:paraId="31FEEA82" w14:textId="77777777" w:rsidTr="00F848A3">
        <w:tc>
          <w:tcPr>
            <w:tcW w:w="1880" w:type="dxa"/>
            <w:shd w:val="clear" w:color="auto" w:fill="auto"/>
            <w:tcMar>
              <w:top w:w="100" w:type="dxa"/>
              <w:left w:w="100" w:type="dxa"/>
              <w:bottom w:w="100" w:type="dxa"/>
              <w:right w:w="100" w:type="dxa"/>
            </w:tcMar>
          </w:tcPr>
          <w:p w14:paraId="0F3E0125" w14:textId="77777777" w:rsidR="00614400" w:rsidRPr="00651286" w:rsidRDefault="00614400" w:rsidP="00651286">
            <w:pPr>
              <w:pStyle w:val="ParaText"/>
              <w:keepNext/>
              <w:keepLines/>
              <w:pBdr>
                <w:top w:val="nil"/>
                <w:left w:val="nil"/>
                <w:bottom w:val="nil"/>
                <w:right w:val="nil"/>
                <w:between w:val="nil"/>
              </w:pBdr>
              <w:spacing w:line="240" w:lineRule="auto"/>
              <w:jc w:val="center"/>
              <w:rPr>
                <w:rFonts w:asciiTheme="majorHAnsi" w:hAnsiTheme="majorHAnsi"/>
                <w:b/>
                <w:sz w:val="20"/>
                <w:szCs w:val="20"/>
              </w:rPr>
            </w:pPr>
            <w:r w:rsidRPr="00651286">
              <w:rPr>
                <w:rFonts w:asciiTheme="majorHAnsi" w:hAnsiTheme="majorHAnsi"/>
                <w:b/>
                <w:sz w:val="20"/>
                <w:szCs w:val="20"/>
              </w:rPr>
              <w:t>6 to 11 years</w:t>
            </w:r>
          </w:p>
        </w:tc>
        <w:tc>
          <w:tcPr>
            <w:tcW w:w="2460" w:type="dxa"/>
            <w:shd w:val="clear" w:color="auto" w:fill="auto"/>
            <w:tcMar>
              <w:top w:w="100" w:type="dxa"/>
              <w:left w:w="100" w:type="dxa"/>
              <w:bottom w:w="100" w:type="dxa"/>
              <w:right w:w="100" w:type="dxa"/>
            </w:tcMar>
          </w:tcPr>
          <w:p w14:paraId="58BE9446"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6/9 (66.7%)</w:t>
            </w:r>
          </w:p>
        </w:tc>
        <w:tc>
          <w:tcPr>
            <w:tcW w:w="2460" w:type="dxa"/>
            <w:shd w:val="clear" w:color="auto" w:fill="auto"/>
            <w:tcMar>
              <w:top w:w="100" w:type="dxa"/>
              <w:left w:w="100" w:type="dxa"/>
              <w:bottom w:w="100" w:type="dxa"/>
              <w:right w:w="100" w:type="dxa"/>
            </w:tcMar>
          </w:tcPr>
          <w:p w14:paraId="224B253C"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1/1 (100%)</w:t>
            </w:r>
          </w:p>
        </w:tc>
        <w:tc>
          <w:tcPr>
            <w:tcW w:w="2460" w:type="dxa"/>
          </w:tcPr>
          <w:p w14:paraId="37E0468A" w14:textId="77777777" w:rsidR="00614400" w:rsidRPr="00F848A3" w:rsidRDefault="00614400" w:rsidP="00F848A3">
            <w:pPr>
              <w:pStyle w:val="ParaText"/>
              <w:keepNext/>
              <w:keepLines/>
              <w:pBdr>
                <w:top w:val="nil"/>
                <w:left w:val="nil"/>
                <w:bottom w:val="nil"/>
                <w:right w:val="nil"/>
                <w:between w:val="nil"/>
              </w:pBdr>
              <w:spacing w:line="240" w:lineRule="auto"/>
              <w:jc w:val="center"/>
              <w:rPr>
                <w:rFonts w:asciiTheme="majorHAnsi" w:hAnsiTheme="majorHAnsi"/>
                <w:iCs/>
                <w:sz w:val="20"/>
                <w:szCs w:val="20"/>
              </w:rPr>
            </w:pPr>
            <w:r w:rsidRPr="00F848A3">
              <w:rPr>
                <w:rFonts w:asciiTheme="majorHAnsi" w:hAnsiTheme="majorHAnsi"/>
                <w:iCs/>
                <w:sz w:val="20"/>
                <w:szCs w:val="20"/>
              </w:rPr>
              <w:t>7/10 (70.0%)</w:t>
            </w:r>
          </w:p>
        </w:tc>
      </w:tr>
      <w:tr w:rsidR="00614400" w:rsidRPr="00096320" w14:paraId="06288BFE" w14:textId="77777777" w:rsidTr="00F848A3">
        <w:trPr>
          <w:trHeight w:val="204"/>
        </w:trPr>
        <w:tc>
          <w:tcPr>
            <w:tcW w:w="1880" w:type="dxa"/>
            <w:shd w:val="clear" w:color="auto" w:fill="auto"/>
            <w:tcMar>
              <w:top w:w="100" w:type="dxa"/>
              <w:left w:w="100" w:type="dxa"/>
              <w:bottom w:w="100" w:type="dxa"/>
              <w:right w:w="100" w:type="dxa"/>
            </w:tcMar>
          </w:tcPr>
          <w:p w14:paraId="1B7756EB" w14:textId="77777777" w:rsidR="00614400" w:rsidRPr="001239A9" w:rsidRDefault="00614400" w:rsidP="00F848A3">
            <w:pPr>
              <w:pStyle w:val="ParaText"/>
              <w:keepNext/>
              <w:keepLines/>
              <w:pBdr>
                <w:top w:val="nil"/>
                <w:left w:val="nil"/>
                <w:bottom w:val="nil"/>
                <w:right w:val="nil"/>
                <w:between w:val="nil"/>
              </w:pBdr>
              <w:spacing w:line="240" w:lineRule="auto"/>
              <w:jc w:val="center"/>
              <w:rPr>
                <w:rFonts w:asciiTheme="majorHAnsi" w:hAnsiTheme="majorHAnsi"/>
                <w:b/>
                <w:sz w:val="20"/>
                <w:szCs w:val="20"/>
              </w:rPr>
            </w:pPr>
            <w:r w:rsidRPr="001239A9">
              <w:rPr>
                <w:rFonts w:asciiTheme="majorHAnsi" w:hAnsiTheme="majorHAnsi"/>
                <w:b/>
                <w:sz w:val="20"/>
                <w:szCs w:val="20"/>
              </w:rPr>
              <w:t>12 to 17 years</w:t>
            </w:r>
          </w:p>
        </w:tc>
        <w:tc>
          <w:tcPr>
            <w:tcW w:w="2460" w:type="dxa"/>
            <w:shd w:val="clear" w:color="auto" w:fill="auto"/>
            <w:tcMar>
              <w:top w:w="100" w:type="dxa"/>
              <w:left w:w="100" w:type="dxa"/>
              <w:bottom w:w="100" w:type="dxa"/>
              <w:right w:w="100" w:type="dxa"/>
            </w:tcMar>
          </w:tcPr>
          <w:p w14:paraId="4C4E391B" w14:textId="77777777" w:rsidR="00614400" w:rsidRPr="001239A9" w:rsidRDefault="00614400" w:rsidP="001239A9">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1239A9">
              <w:rPr>
                <w:rFonts w:asciiTheme="majorHAnsi" w:hAnsiTheme="majorHAnsi"/>
                <w:sz w:val="20"/>
                <w:szCs w:val="20"/>
              </w:rPr>
              <w:t>1/1 (100%)</w:t>
            </w:r>
          </w:p>
        </w:tc>
        <w:tc>
          <w:tcPr>
            <w:tcW w:w="2460" w:type="dxa"/>
            <w:shd w:val="clear" w:color="auto" w:fill="auto"/>
            <w:tcMar>
              <w:top w:w="100" w:type="dxa"/>
              <w:left w:w="100" w:type="dxa"/>
              <w:bottom w:w="100" w:type="dxa"/>
              <w:right w:w="100" w:type="dxa"/>
            </w:tcMar>
          </w:tcPr>
          <w:p w14:paraId="6FF1A270" w14:textId="77777777" w:rsidR="00614400" w:rsidRPr="001239A9" w:rsidRDefault="00614400" w:rsidP="001239A9">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1239A9">
              <w:rPr>
                <w:rFonts w:asciiTheme="majorHAnsi" w:hAnsiTheme="majorHAnsi"/>
                <w:sz w:val="20"/>
                <w:szCs w:val="20"/>
              </w:rPr>
              <w:t>0/0</w:t>
            </w:r>
          </w:p>
        </w:tc>
        <w:tc>
          <w:tcPr>
            <w:tcW w:w="2460" w:type="dxa"/>
          </w:tcPr>
          <w:p w14:paraId="23F19687" w14:textId="77777777" w:rsidR="00614400" w:rsidRPr="001239A9" w:rsidRDefault="00614400" w:rsidP="001239A9">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1239A9">
              <w:rPr>
                <w:rFonts w:asciiTheme="majorHAnsi" w:hAnsiTheme="majorHAnsi"/>
                <w:sz w:val="20"/>
                <w:szCs w:val="20"/>
              </w:rPr>
              <w:t>1/1 (100%)</w:t>
            </w:r>
          </w:p>
        </w:tc>
      </w:tr>
      <w:tr w:rsidR="00614400" w:rsidRPr="00096320" w14:paraId="0FA5DCD8" w14:textId="77777777" w:rsidTr="00F848A3">
        <w:tc>
          <w:tcPr>
            <w:tcW w:w="1880" w:type="dxa"/>
            <w:shd w:val="clear" w:color="auto" w:fill="auto"/>
            <w:tcMar>
              <w:top w:w="100" w:type="dxa"/>
              <w:left w:w="100" w:type="dxa"/>
              <w:bottom w:w="100" w:type="dxa"/>
              <w:right w:w="100" w:type="dxa"/>
            </w:tcMar>
          </w:tcPr>
          <w:p w14:paraId="5C8F45AC" w14:textId="77777777" w:rsidR="00614400" w:rsidRPr="001239A9" w:rsidRDefault="00614400" w:rsidP="00F848A3">
            <w:pPr>
              <w:pStyle w:val="ParaText"/>
              <w:keepNext/>
              <w:keepLines/>
              <w:pBdr>
                <w:top w:val="nil"/>
                <w:left w:val="nil"/>
                <w:bottom w:val="nil"/>
                <w:right w:val="nil"/>
                <w:between w:val="nil"/>
              </w:pBdr>
              <w:spacing w:line="240" w:lineRule="auto"/>
              <w:jc w:val="center"/>
              <w:rPr>
                <w:rFonts w:asciiTheme="majorHAnsi" w:hAnsiTheme="majorHAnsi"/>
                <w:b/>
                <w:sz w:val="20"/>
                <w:szCs w:val="20"/>
              </w:rPr>
            </w:pPr>
            <w:r w:rsidRPr="001239A9">
              <w:rPr>
                <w:rFonts w:asciiTheme="majorHAnsi" w:hAnsiTheme="majorHAnsi"/>
                <w:b/>
                <w:sz w:val="20"/>
                <w:szCs w:val="20"/>
              </w:rPr>
              <w:t>All age groups</w:t>
            </w:r>
          </w:p>
        </w:tc>
        <w:tc>
          <w:tcPr>
            <w:tcW w:w="2460" w:type="dxa"/>
            <w:shd w:val="clear" w:color="auto" w:fill="auto"/>
            <w:tcMar>
              <w:top w:w="100" w:type="dxa"/>
              <w:left w:w="100" w:type="dxa"/>
              <w:bottom w:w="100" w:type="dxa"/>
              <w:right w:w="100" w:type="dxa"/>
            </w:tcMar>
          </w:tcPr>
          <w:p w14:paraId="7F70AC60" w14:textId="77777777" w:rsidR="00614400" w:rsidRPr="00651286" w:rsidRDefault="00614400" w:rsidP="00F848A3">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651286">
              <w:rPr>
                <w:rFonts w:asciiTheme="majorHAnsi" w:hAnsiTheme="majorHAnsi"/>
                <w:sz w:val="20"/>
                <w:szCs w:val="20"/>
              </w:rPr>
              <w:t>18/26 (69.2%)</w:t>
            </w:r>
          </w:p>
        </w:tc>
        <w:tc>
          <w:tcPr>
            <w:tcW w:w="2460" w:type="dxa"/>
            <w:shd w:val="clear" w:color="auto" w:fill="auto"/>
            <w:tcMar>
              <w:top w:w="100" w:type="dxa"/>
              <w:left w:w="100" w:type="dxa"/>
              <w:bottom w:w="100" w:type="dxa"/>
              <w:right w:w="100" w:type="dxa"/>
            </w:tcMar>
          </w:tcPr>
          <w:p w14:paraId="2091D75D" w14:textId="77777777" w:rsidR="00614400" w:rsidRPr="00651286" w:rsidRDefault="00614400" w:rsidP="00F848A3">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651286">
              <w:rPr>
                <w:rFonts w:asciiTheme="majorHAnsi" w:hAnsiTheme="majorHAnsi"/>
                <w:sz w:val="20"/>
                <w:szCs w:val="20"/>
              </w:rPr>
              <w:t>7/7 (100%)</w:t>
            </w:r>
          </w:p>
        </w:tc>
        <w:tc>
          <w:tcPr>
            <w:tcW w:w="2460" w:type="dxa"/>
          </w:tcPr>
          <w:p w14:paraId="15FFC143" w14:textId="77777777" w:rsidR="00614400" w:rsidRPr="00651286" w:rsidRDefault="00614400" w:rsidP="00F848A3">
            <w:pPr>
              <w:pStyle w:val="ParaText"/>
              <w:keepNext/>
              <w:keepLines/>
              <w:pBdr>
                <w:top w:val="nil"/>
                <w:left w:val="nil"/>
                <w:bottom w:val="nil"/>
                <w:right w:val="nil"/>
                <w:between w:val="nil"/>
              </w:pBdr>
              <w:spacing w:line="240" w:lineRule="auto"/>
              <w:jc w:val="center"/>
              <w:rPr>
                <w:rFonts w:asciiTheme="majorHAnsi" w:hAnsiTheme="majorHAnsi"/>
                <w:sz w:val="20"/>
                <w:szCs w:val="20"/>
              </w:rPr>
            </w:pPr>
            <w:r w:rsidRPr="00651286">
              <w:rPr>
                <w:rFonts w:asciiTheme="majorHAnsi" w:hAnsiTheme="majorHAnsi"/>
                <w:sz w:val="20"/>
                <w:szCs w:val="20"/>
              </w:rPr>
              <w:t>25/33 (75.8%)</w:t>
            </w:r>
          </w:p>
        </w:tc>
      </w:tr>
    </w:tbl>
    <w:p w14:paraId="6915F21B" w14:textId="79C76688" w:rsidR="00614400" w:rsidRPr="00F848A3" w:rsidRDefault="00614400" w:rsidP="00F848A3">
      <w:pPr>
        <w:pStyle w:val="TableFigureNote"/>
        <w:keepNext/>
        <w:keepLines/>
        <w:ind w:right="1350"/>
        <w:rPr>
          <w:rFonts w:asciiTheme="majorHAnsi" w:hAnsiTheme="majorHAnsi"/>
        </w:rPr>
      </w:pPr>
      <w:r w:rsidRPr="00F848A3">
        <w:rPr>
          <w:rFonts w:asciiTheme="majorHAnsi" w:hAnsiTheme="majorHAnsi"/>
        </w:rPr>
        <w:t xml:space="preserve">*Among </w:t>
      </w:r>
      <w:r w:rsidR="00BD0E7C">
        <w:rPr>
          <w:rFonts w:asciiTheme="majorHAnsi" w:hAnsiTheme="majorHAnsi"/>
        </w:rPr>
        <w:t>VAXCHORA</w:t>
      </w:r>
      <w:r w:rsidRPr="00F848A3">
        <w:rPr>
          <w:rFonts w:asciiTheme="majorHAnsi" w:hAnsiTheme="majorHAnsi"/>
        </w:rPr>
        <w:t xml:space="preserve"> subjects (modified intent-to-treat population) who consumed less than</w:t>
      </w:r>
      <w:r>
        <w:rPr>
          <w:rFonts w:asciiTheme="majorHAnsi" w:hAnsiTheme="majorHAnsi"/>
        </w:rPr>
        <w:t xml:space="preserve"> </w:t>
      </w:r>
      <w:r w:rsidRPr="00F848A3">
        <w:rPr>
          <w:rFonts w:asciiTheme="majorHAnsi" w:hAnsiTheme="majorHAnsi"/>
        </w:rPr>
        <w:t>80% of expected dose</w:t>
      </w:r>
    </w:p>
    <w:p w14:paraId="0E4EE895" w14:textId="043D64F7" w:rsidR="00614400" w:rsidRPr="00DD5D59" w:rsidRDefault="00614400" w:rsidP="00614400">
      <w:pPr>
        <w:pStyle w:val="TableFigureNote"/>
        <w:keepNext/>
        <w:keepLines/>
        <w:ind w:right="1350"/>
        <w:rPr>
          <w:rFonts w:asciiTheme="majorHAnsi" w:eastAsiaTheme="minorHAnsi" w:hAnsiTheme="majorHAnsi" w:cstheme="minorBidi"/>
          <w:sz w:val="22"/>
          <w:szCs w:val="22"/>
        </w:rPr>
      </w:pPr>
    </w:p>
    <w:p w14:paraId="4256FA1F" w14:textId="77777777" w:rsidR="00614400" w:rsidRPr="00DD5D59" w:rsidRDefault="00614400" w:rsidP="00F848A3">
      <w:pPr>
        <w:pStyle w:val="TableFigureNote"/>
        <w:keepNext/>
        <w:keepLines/>
        <w:ind w:right="1350"/>
        <w:rPr>
          <w:rFonts w:asciiTheme="majorHAnsi" w:eastAsiaTheme="minorHAnsi" w:hAnsiTheme="majorHAnsi" w:cstheme="minorBidi"/>
          <w:sz w:val="22"/>
          <w:szCs w:val="22"/>
        </w:rPr>
      </w:pPr>
    </w:p>
    <w:p w14:paraId="71FB41DF" w14:textId="77777777" w:rsidR="001A3992" w:rsidRPr="00201CF7" w:rsidRDefault="001A3992" w:rsidP="001A3992">
      <w:pPr>
        <w:pStyle w:val="Heading2"/>
        <w:keepNext/>
        <w:spacing w:before="0" w:after="120"/>
        <w:rPr>
          <w:rFonts w:cstheme="minorHAnsi"/>
          <w:lang w:val="en-US"/>
        </w:rPr>
      </w:pPr>
      <w:r w:rsidRPr="00201CF7">
        <w:rPr>
          <w:rFonts w:cstheme="minorHAnsi"/>
          <w:lang w:val="en-US"/>
        </w:rPr>
        <w:t xml:space="preserve">Pharmacokinetic properties </w:t>
      </w:r>
    </w:p>
    <w:p w14:paraId="78E9B306" w14:textId="7A3BB394" w:rsidR="001A3992" w:rsidRPr="00201CF7" w:rsidRDefault="00694498" w:rsidP="00694498">
      <w:pPr>
        <w:pStyle w:val="Heading3"/>
        <w:spacing w:before="0" w:after="120"/>
        <w:ind w:left="0"/>
        <w:rPr>
          <w:rFonts w:cstheme="minorHAnsi"/>
          <w:b w:val="0"/>
          <w:bCs w:val="0"/>
          <w:lang w:val="en-US"/>
        </w:rPr>
      </w:pPr>
      <w:r w:rsidRPr="00201CF7">
        <w:rPr>
          <w:rFonts w:cstheme="minorHAnsi"/>
          <w:b w:val="0"/>
          <w:bCs w:val="0"/>
        </w:rPr>
        <w:t>Not applicable.</w:t>
      </w:r>
    </w:p>
    <w:p w14:paraId="3885D8C7" w14:textId="6170FABC" w:rsidR="001A3992" w:rsidRPr="00201CF7" w:rsidRDefault="001A3992" w:rsidP="001A3992">
      <w:pPr>
        <w:pStyle w:val="Heading2"/>
        <w:spacing w:before="0" w:after="120"/>
        <w:rPr>
          <w:rFonts w:cstheme="minorHAnsi"/>
          <w:lang w:val="en-US"/>
        </w:rPr>
      </w:pPr>
      <w:r w:rsidRPr="00201CF7">
        <w:rPr>
          <w:rFonts w:cstheme="minorHAnsi"/>
          <w:lang w:val="en-US"/>
        </w:rPr>
        <w:t>Preclinical safety data</w:t>
      </w:r>
    </w:p>
    <w:p w14:paraId="686D7FF8" w14:textId="2D25A30F" w:rsidR="002B7B00" w:rsidRDefault="00320E24" w:rsidP="00E83278">
      <w:pPr>
        <w:rPr>
          <w:rFonts w:asciiTheme="majorHAnsi" w:hAnsiTheme="majorHAnsi"/>
          <w:lang w:val="en-US"/>
        </w:rPr>
      </w:pPr>
      <w:r>
        <w:rPr>
          <w:rFonts w:asciiTheme="majorHAnsi" w:hAnsiTheme="majorHAnsi"/>
          <w:lang w:val="en-US"/>
        </w:rPr>
        <w:t>Genotoxicity</w:t>
      </w:r>
      <w:r w:rsidR="002B7B00">
        <w:rPr>
          <w:rFonts w:asciiTheme="majorHAnsi" w:hAnsiTheme="majorHAnsi"/>
          <w:lang w:val="en-US"/>
        </w:rPr>
        <w:br/>
        <w:t>No data available</w:t>
      </w:r>
    </w:p>
    <w:p w14:paraId="031E3BBC" w14:textId="332D9017" w:rsidR="002B7B00" w:rsidRDefault="002B7B00" w:rsidP="00E83278">
      <w:pPr>
        <w:rPr>
          <w:rFonts w:asciiTheme="majorHAnsi" w:hAnsiTheme="majorHAnsi"/>
          <w:lang w:val="en-US"/>
        </w:rPr>
      </w:pPr>
      <w:r>
        <w:rPr>
          <w:rFonts w:asciiTheme="majorHAnsi" w:hAnsiTheme="majorHAnsi"/>
          <w:lang w:val="en-US"/>
        </w:rPr>
        <w:t>Carcinogenicity</w:t>
      </w:r>
      <w:r>
        <w:rPr>
          <w:rFonts w:asciiTheme="majorHAnsi" w:hAnsiTheme="majorHAnsi"/>
          <w:lang w:val="en-US"/>
        </w:rPr>
        <w:br/>
        <w:t>No data available</w:t>
      </w:r>
    </w:p>
    <w:p w14:paraId="470B46C1" w14:textId="77777777" w:rsidR="001A3992" w:rsidRPr="00201CF7" w:rsidRDefault="001A3992" w:rsidP="001A3992">
      <w:pPr>
        <w:pStyle w:val="Heading1"/>
        <w:spacing w:before="0" w:after="120"/>
        <w:rPr>
          <w:rFonts w:cstheme="minorHAnsi"/>
          <w:lang w:val="en-US"/>
        </w:rPr>
      </w:pPr>
      <w:r w:rsidRPr="00201CF7">
        <w:rPr>
          <w:rFonts w:cstheme="minorHAnsi"/>
          <w:lang w:val="en-US"/>
        </w:rPr>
        <w:t>Pharmaceutical particulars</w:t>
      </w:r>
    </w:p>
    <w:p w14:paraId="16A6463D" w14:textId="25B1F931" w:rsidR="001A3992" w:rsidRPr="00201CF7" w:rsidRDefault="001A3992" w:rsidP="001A3992">
      <w:pPr>
        <w:pStyle w:val="Heading2"/>
        <w:spacing w:before="0" w:after="120"/>
        <w:rPr>
          <w:rFonts w:cstheme="minorHAnsi"/>
          <w:lang w:val="en-US"/>
        </w:rPr>
      </w:pPr>
      <w:r w:rsidRPr="00201CF7">
        <w:rPr>
          <w:rFonts w:cstheme="minorHAnsi"/>
          <w:lang w:val="en-US"/>
        </w:rPr>
        <w:t xml:space="preserve">List of excipients </w:t>
      </w:r>
    </w:p>
    <w:p w14:paraId="39317E8B" w14:textId="270165FE" w:rsidR="00BE480A" w:rsidRPr="00DD5D59" w:rsidRDefault="00BE480A" w:rsidP="00BE480A">
      <w:pPr>
        <w:spacing w:line="240" w:lineRule="auto"/>
        <w:rPr>
          <w:rFonts w:asciiTheme="majorHAnsi" w:hAnsiTheme="majorHAnsi"/>
          <w:b/>
          <w:i/>
          <w:lang w:val="de-CH"/>
        </w:rPr>
      </w:pPr>
      <w:r w:rsidRPr="00DD5D59">
        <w:rPr>
          <w:rFonts w:asciiTheme="majorHAnsi" w:hAnsiTheme="majorHAnsi"/>
          <w:b/>
          <w:i/>
          <w:lang w:val="de-CH"/>
        </w:rPr>
        <w:t xml:space="preserve">Buffer, </w:t>
      </w:r>
      <w:r w:rsidR="00E23057" w:rsidRPr="00DD5D59">
        <w:rPr>
          <w:rFonts w:asciiTheme="majorHAnsi" w:hAnsiTheme="majorHAnsi"/>
          <w:b/>
          <w:i/>
          <w:lang w:val="de-CH"/>
        </w:rPr>
        <w:t>S</w:t>
      </w:r>
      <w:r w:rsidRPr="00DD5D59">
        <w:rPr>
          <w:rFonts w:asciiTheme="majorHAnsi" w:hAnsiTheme="majorHAnsi"/>
          <w:b/>
          <w:i/>
          <w:lang w:val="de-CH"/>
        </w:rPr>
        <w:t>achet 1:</w:t>
      </w:r>
    </w:p>
    <w:p w14:paraId="3AD05C82" w14:textId="77777777" w:rsidR="00BE480A" w:rsidRPr="00DD5D59" w:rsidRDefault="00BE480A" w:rsidP="00BE480A">
      <w:pPr>
        <w:spacing w:line="240" w:lineRule="auto"/>
        <w:rPr>
          <w:rFonts w:asciiTheme="majorHAnsi" w:hAnsiTheme="majorHAnsi"/>
          <w:lang w:val="de-CH"/>
        </w:rPr>
      </w:pPr>
      <w:r w:rsidRPr="00DD5D59">
        <w:rPr>
          <w:rFonts w:asciiTheme="majorHAnsi" w:hAnsiTheme="majorHAnsi"/>
          <w:lang w:val="de-CH"/>
        </w:rPr>
        <w:t>Sodium bicarbonate</w:t>
      </w:r>
    </w:p>
    <w:p w14:paraId="6679C20A" w14:textId="77777777" w:rsidR="00BE480A" w:rsidRPr="00DD5D59" w:rsidRDefault="00BE480A" w:rsidP="00BE480A">
      <w:pPr>
        <w:spacing w:line="240" w:lineRule="auto"/>
        <w:rPr>
          <w:rFonts w:asciiTheme="majorHAnsi" w:hAnsiTheme="majorHAnsi"/>
          <w:lang w:val="de-CH"/>
        </w:rPr>
      </w:pPr>
      <w:r w:rsidRPr="00DD5D59">
        <w:rPr>
          <w:rFonts w:asciiTheme="majorHAnsi" w:hAnsiTheme="majorHAnsi"/>
          <w:lang w:val="de-CH"/>
        </w:rPr>
        <w:t>Sodium carbonate</w:t>
      </w:r>
    </w:p>
    <w:p w14:paraId="6815D92A" w14:textId="77777777" w:rsidR="00BE480A" w:rsidRPr="00DD5D59" w:rsidRDefault="00BE480A" w:rsidP="00BE480A">
      <w:pPr>
        <w:spacing w:line="240" w:lineRule="auto"/>
        <w:rPr>
          <w:rFonts w:asciiTheme="majorHAnsi" w:hAnsiTheme="majorHAnsi"/>
          <w:lang w:val="en-US"/>
        </w:rPr>
      </w:pPr>
      <w:r w:rsidRPr="00DD5D59">
        <w:rPr>
          <w:rFonts w:asciiTheme="majorHAnsi" w:hAnsiTheme="majorHAnsi"/>
          <w:lang w:val="en-US"/>
        </w:rPr>
        <w:t>Ascorbic acid</w:t>
      </w:r>
    </w:p>
    <w:p w14:paraId="293910CD" w14:textId="77777777" w:rsidR="00BE480A" w:rsidRPr="00201CF7" w:rsidRDefault="00BE480A" w:rsidP="00BE480A">
      <w:pPr>
        <w:spacing w:line="240" w:lineRule="auto"/>
        <w:rPr>
          <w:rFonts w:asciiTheme="majorHAnsi" w:hAnsiTheme="majorHAnsi"/>
          <w:noProof/>
        </w:rPr>
      </w:pPr>
      <w:r w:rsidRPr="00201CF7">
        <w:rPr>
          <w:rFonts w:asciiTheme="majorHAnsi" w:hAnsiTheme="majorHAnsi"/>
          <w:noProof/>
        </w:rPr>
        <w:t>Lactose</w:t>
      </w:r>
    </w:p>
    <w:p w14:paraId="5F33B45F" w14:textId="7BB2787E" w:rsidR="00BE480A" w:rsidRPr="00201CF7" w:rsidRDefault="00BE480A" w:rsidP="00BE480A">
      <w:pPr>
        <w:spacing w:line="240" w:lineRule="auto"/>
        <w:rPr>
          <w:rFonts w:asciiTheme="majorHAnsi" w:hAnsiTheme="majorHAnsi"/>
          <w:b/>
          <w:i/>
          <w:noProof/>
        </w:rPr>
      </w:pPr>
      <w:r w:rsidRPr="00201CF7">
        <w:rPr>
          <w:rFonts w:asciiTheme="majorHAnsi" w:hAnsiTheme="majorHAnsi"/>
          <w:b/>
          <w:i/>
          <w:noProof/>
        </w:rPr>
        <w:t xml:space="preserve">Active ingredient, </w:t>
      </w:r>
      <w:r w:rsidR="00E23057">
        <w:rPr>
          <w:rFonts w:asciiTheme="majorHAnsi" w:hAnsiTheme="majorHAnsi"/>
          <w:b/>
          <w:i/>
          <w:noProof/>
        </w:rPr>
        <w:t>S</w:t>
      </w:r>
      <w:r w:rsidRPr="00201CF7">
        <w:rPr>
          <w:rFonts w:asciiTheme="majorHAnsi" w:hAnsiTheme="majorHAnsi"/>
          <w:b/>
          <w:i/>
          <w:noProof/>
        </w:rPr>
        <w:t>achet 2:</w:t>
      </w:r>
    </w:p>
    <w:p w14:paraId="5D9B9386" w14:textId="77777777" w:rsidR="00BE480A" w:rsidRPr="00201CF7" w:rsidRDefault="00BE480A" w:rsidP="00BE480A">
      <w:pPr>
        <w:spacing w:line="240" w:lineRule="auto"/>
        <w:rPr>
          <w:rFonts w:asciiTheme="majorHAnsi" w:hAnsiTheme="majorHAnsi"/>
          <w:noProof/>
        </w:rPr>
      </w:pPr>
      <w:r w:rsidRPr="00201CF7">
        <w:rPr>
          <w:rFonts w:asciiTheme="majorHAnsi" w:hAnsiTheme="majorHAnsi"/>
          <w:noProof/>
        </w:rPr>
        <w:t>Sucrose</w:t>
      </w:r>
    </w:p>
    <w:p w14:paraId="347774EA" w14:textId="77777777" w:rsidR="00BE480A" w:rsidRPr="00201CF7" w:rsidRDefault="00BE480A" w:rsidP="00BE480A">
      <w:pPr>
        <w:spacing w:line="240" w:lineRule="auto"/>
        <w:rPr>
          <w:rFonts w:asciiTheme="majorHAnsi" w:hAnsiTheme="majorHAnsi"/>
          <w:noProof/>
        </w:rPr>
      </w:pPr>
      <w:r w:rsidRPr="00201CF7">
        <w:rPr>
          <w:rFonts w:asciiTheme="majorHAnsi" w:hAnsiTheme="majorHAnsi"/>
          <w:noProof/>
        </w:rPr>
        <w:t>Hydrolysed casein</w:t>
      </w:r>
    </w:p>
    <w:p w14:paraId="65CD0ACC" w14:textId="77777777" w:rsidR="00BE480A" w:rsidRPr="00201CF7" w:rsidRDefault="00BE480A" w:rsidP="00BE480A">
      <w:pPr>
        <w:spacing w:line="240" w:lineRule="auto"/>
        <w:rPr>
          <w:rFonts w:asciiTheme="majorHAnsi" w:hAnsiTheme="majorHAnsi"/>
          <w:noProof/>
        </w:rPr>
      </w:pPr>
      <w:r w:rsidRPr="00201CF7">
        <w:rPr>
          <w:rFonts w:asciiTheme="majorHAnsi" w:hAnsiTheme="majorHAnsi"/>
          <w:noProof/>
        </w:rPr>
        <w:t>Ascorbic acid</w:t>
      </w:r>
    </w:p>
    <w:p w14:paraId="37B18B11" w14:textId="4F6FDC95" w:rsidR="007C2A5A" w:rsidRPr="00201CF7" w:rsidRDefault="00BE480A" w:rsidP="00BE480A">
      <w:pPr>
        <w:spacing w:line="240" w:lineRule="auto"/>
        <w:rPr>
          <w:rFonts w:asciiTheme="majorHAnsi" w:hAnsiTheme="majorHAnsi"/>
          <w:noProof/>
        </w:rPr>
      </w:pPr>
      <w:r w:rsidRPr="00201CF7">
        <w:rPr>
          <w:rFonts w:asciiTheme="majorHAnsi" w:hAnsiTheme="majorHAnsi"/>
          <w:noProof/>
        </w:rPr>
        <w:lastRenderedPageBreak/>
        <w:t>Lactose</w:t>
      </w:r>
    </w:p>
    <w:p w14:paraId="74D768C5" w14:textId="77777777" w:rsidR="001A3992" w:rsidRPr="00201CF7" w:rsidRDefault="001A3992" w:rsidP="001A3992">
      <w:pPr>
        <w:pStyle w:val="Heading2"/>
        <w:keepNext/>
        <w:keepLines/>
        <w:spacing w:before="0" w:after="120"/>
        <w:rPr>
          <w:rFonts w:cstheme="minorHAnsi"/>
          <w:lang w:val="en-US"/>
        </w:rPr>
      </w:pPr>
      <w:r w:rsidRPr="00201CF7">
        <w:rPr>
          <w:rFonts w:cstheme="minorHAnsi"/>
          <w:lang w:val="en-US"/>
        </w:rPr>
        <w:t xml:space="preserve">Incompatibilities </w:t>
      </w:r>
    </w:p>
    <w:p w14:paraId="06DB50D8" w14:textId="7F8A1B6C" w:rsidR="00497C85" w:rsidRPr="00201CF7" w:rsidRDefault="00497C85" w:rsidP="00497C85">
      <w:pPr>
        <w:rPr>
          <w:rFonts w:asciiTheme="majorHAnsi" w:hAnsiTheme="majorHAnsi" w:cstheme="minorHAnsi"/>
          <w:lang w:val="en-US"/>
        </w:rPr>
      </w:pPr>
      <w:r w:rsidRPr="00201CF7">
        <w:rPr>
          <w:rFonts w:asciiTheme="majorHAnsi" w:hAnsiTheme="majorHAnsi" w:cstheme="minorHAnsi"/>
          <w:lang w:val="en"/>
        </w:rPr>
        <w:t xml:space="preserve">Incompatibilities were either not assessed or not identified as part of the registration of this medicine. </w:t>
      </w:r>
    </w:p>
    <w:p w14:paraId="26B92AF0" w14:textId="77777777" w:rsidR="001A3992" w:rsidRPr="00201CF7" w:rsidRDefault="001A3992" w:rsidP="001A3992">
      <w:pPr>
        <w:pStyle w:val="Heading2"/>
        <w:spacing w:before="0" w:after="120"/>
        <w:rPr>
          <w:rFonts w:cstheme="minorHAnsi"/>
          <w:lang w:val="en-US"/>
        </w:rPr>
      </w:pPr>
      <w:r w:rsidRPr="00201CF7">
        <w:rPr>
          <w:rFonts w:cstheme="minorHAnsi"/>
          <w:lang w:val="en-US"/>
        </w:rPr>
        <w:t xml:space="preserve">Shelf life </w:t>
      </w:r>
    </w:p>
    <w:p w14:paraId="28B10312" w14:textId="4A771168" w:rsidR="00497C85" w:rsidRPr="00201CF7" w:rsidRDefault="00497C85" w:rsidP="00497C85">
      <w:pPr>
        <w:rPr>
          <w:rFonts w:asciiTheme="majorHAnsi" w:hAnsiTheme="majorHAnsi" w:cstheme="minorHAnsi"/>
          <w:lang w:val="en"/>
        </w:rPr>
      </w:pPr>
      <w:r w:rsidRPr="00201CF7">
        <w:rPr>
          <w:rFonts w:asciiTheme="majorHAnsi" w:hAnsiTheme="majorHAnsi" w:cstheme="minorHAnsi"/>
          <w:lang w:val="en"/>
        </w:rPr>
        <w:t xml:space="preserve">In Australia, information on the shelf life can be found on the public summary of the Australian Register of Therapeutic Goods (ARTG). The expiry date can be found on the packaging. </w:t>
      </w:r>
    </w:p>
    <w:p w14:paraId="54E3A875" w14:textId="3B683762" w:rsidR="002175A3" w:rsidRPr="00201CF7" w:rsidRDefault="00EE7FE7" w:rsidP="00434C50">
      <w:pPr>
        <w:spacing w:line="240" w:lineRule="auto"/>
        <w:rPr>
          <w:rFonts w:asciiTheme="majorHAnsi" w:hAnsiTheme="majorHAnsi"/>
          <w:noProof/>
        </w:rPr>
      </w:pPr>
      <w:r w:rsidRPr="00201CF7">
        <w:rPr>
          <w:rFonts w:asciiTheme="majorHAnsi" w:hAnsiTheme="majorHAnsi"/>
          <w:noProof/>
        </w:rPr>
        <w:t xml:space="preserve">After reconstitution (see section 6.6), the suspension should be </w:t>
      </w:r>
      <w:r w:rsidR="0014344F">
        <w:rPr>
          <w:rFonts w:asciiTheme="majorHAnsi" w:hAnsiTheme="majorHAnsi"/>
          <w:noProof/>
        </w:rPr>
        <w:t>consumed</w:t>
      </w:r>
      <w:r w:rsidRPr="00201CF7">
        <w:rPr>
          <w:rFonts w:asciiTheme="majorHAnsi" w:hAnsiTheme="majorHAnsi"/>
          <w:noProof/>
        </w:rPr>
        <w:t xml:space="preserve"> within </w:t>
      </w:r>
      <w:r w:rsidR="004C06C9">
        <w:rPr>
          <w:rFonts w:asciiTheme="majorHAnsi" w:hAnsiTheme="majorHAnsi"/>
          <w:noProof/>
        </w:rPr>
        <w:t>15</w:t>
      </w:r>
      <w:r w:rsidR="00F56091">
        <w:rPr>
          <w:rFonts w:asciiTheme="majorHAnsi" w:hAnsiTheme="majorHAnsi"/>
          <w:noProof/>
        </w:rPr>
        <w:t xml:space="preserve"> minutes</w:t>
      </w:r>
      <w:r w:rsidRPr="00201CF7">
        <w:rPr>
          <w:rFonts w:asciiTheme="majorHAnsi" w:hAnsiTheme="majorHAnsi"/>
          <w:noProof/>
        </w:rPr>
        <w:t>.</w:t>
      </w:r>
      <w:r w:rsidR="0053387A">
        <w:rPr>
          <w:rFonts w:asciiTheme="majorHAnsi" w:hAnsiTheme="majorHAnsi"/>
          <w:noProof/>
        </w:rPr>
        <w:t xml:space="preserve"> </w:t>
      </w:r>
    </w:p>
    <w:p w14:paraId="29CF80C3" w14:textId="6D8CD9F4" w:rsidR="001A3992" w:rsidRPr="00201CF7" w:rsidRDefault="001A3992" w:rsidP="001A3992">
      <w:pPr>
        <w:pStyle w:val="Heading2"/>
        <w:keepNext/>
        <w:keepLines/>
        <w:spacing w:before="0" w:after="120"/>
        <w:rPr>
          <w:rFonts w:cstheme="minorHAnsi"/>
          <w:lang w:val="en-US"/>
        </w:rPr>
      </w:pPr>
      <w:r w:rsidRPr="00201CF7">
        <w:rPr>
          <w:rFonts w:cstheme="minorHAnsi"/>
          <w:lang w:val="en-US"/>
        </w:rPr>
        <w:t xml:space="preserve">Special precautions for storage </w:t>
      </w:r>
    </w:p>
    <w:p w14:paraId="041F1492" w14:textId="77777777" w:rsidR="00576F0E" w:rsidRPr="00201CF7" w:rsidRDefault="00576F0E" w:rsidP="00576F0E">
      <w:pPr>
        <w:spacing w:line="240" w:lineRule="auto"/>
        <w:rPr>
          <w:rFonts w:asciiTheme="majorHAnsi" w:hAnsiTheme="majorHAnsi"/>
          <w:noProof/>
        </w:rPr>
      </w:pPr>
      <w:r w:rsidRPr="00201CF7">
        <w:rPr>
          <w:rFonts w:asciiTheme="majorHAnsi" w:hAnsiTheme="majorHAnsi"/>
          <w:noProof/>
        </w:rPr>
        <w:t>Store in a refrigerator (2°C – 8°C).</w:t>
      </w:r>
    </w:p>
    <w:p w14:paraId="63684C73" w14:textId="3C064921" w:rsidR="00366DA9" w:rsidRDefault="00991CF7" w:rsidP="004B1E8B">
      <w:pPr>
        <w:spacing w:line="240" w:lineRule="auto"/>
        <w:rPr>
          <w:rFonts w:asciiTheme="majorHAnsi" w:hAnsiTheme="majorHAnsi"/>
          <w:noProof/>
        </w:rPr>
      </w:pPr>
      <w:r>
        <w:rPr>
          <w:rFonts w:asciiTheme="majorHAnsi" w:hAnsiTheme="majorHAnsi"/>
          <w:noProof/>
        </w:rPr>
        <w:t>VAXCHORA vaccine</w:t>
      </w:r>
      <w:r w:rsidR="00366DA9" w:rsidRPr="00366DA9">
        <w:rPr>
          <w:rFonts w:asciiTheme="majorHAnsi" w:hAnsiTheme="majorHAnsi"/>
          <w:noProof/>
        </w:rPr>
        <w:t xml:space="preserve"> should be kept refrigerated but may be used if left at or below 25°C up to </w:t>
      </w:r>
      <w:r w:rsidR="00F56091">
        <w:rPr>
          <w:rFonts w:asciiTheme="majorHAnsi" w:hAnsiTheme="majorHAnsi"/>
          <w:noProof/>
        </w:rPr>
        <w:t>12 hours</w:t>
      </w:r>
      <w:r w:rsidR="00366DA9" w:rsidRPr="00366DA9">
        <w:rPr>
          <w:rFonts w:asciiTheme="majorHAnsi" w:hAnsiTheme="majorHAnsi"/>
          <w:noProof/>
        </w:rPr>
        <w:t xml:space="preserve"> prior to reconstitution</w:t>
      </w:r>
      <w:r w:rsidR="00362C5B">
        <w:rPr>
          <w:rFonts w:asciiTheme="majorHAnsi" w:hAnsiTheme="majorHAnsi"/>
          <w:noProof/>
        </w:rPr>
        <w:t>.</w:t>
      </w:r>
    </w:p>
    <w:p w14:paraId="0027BF62" w14:textId="34740ECB" w:rsidR="004B1E8B" w:rsidRPr="00201CF7" w:rsidRDefault="004B1E8B" w:rsidP="004B1E8B">
      <w:pPr>
        <w:spacing w:line="240" w:lineRule="auto"/>
        <w:rPr>
          <w:rFonts w:asciiTheme="majorHAnsi" w:hAnsiTheme="majorHAnsi"/>
          <w:noProof/>
        </w:rPr>
      </w:pPr>
      <w:r w:rsidRPr="00201CF7">
        <w:rPr>
          <w:rFonts w:asciiTheme="majorHAnsi" w:hAnsiTheme="majorHAnsi"/>
          <w:noProof/>
        </w:rPr>
        <w:t>Avoid exposure to temperatures above 25°C.</w:t>
      </w:r>
    </w:p>
    <w:p w14:paraId="3764D1B2" w14:textId="77777777" w:rsidR="00576F0E" w:rsidRPr="00201CF7" w:rsidRDefault="00576F0E" w:rsidP="00576F0E">
      <w:pPr>
        <w:spacing w:line="240" w:lineRule="auto"/>
        <w:rPr>
          <w:rFonts w:asciiTheme="majorHAnsi" w:hAnsiTheme="majorHAnsi"/>
          <w:noProof/>
        </w:rPr>
      </w:pPr>
      <w:r w:rsidRPr="00201CF7">
        <w:rPr>
          <w:rFonts w:asciiTheme="majorHAnsi" w:hAnsiTheme="majorHAnsi"/>
          <w:noProof/>
        </w:rPr>
        <w:t>Store in the original package.</w:t>
      </w:r>
    </w:p>
    <w:p w14:paraId="188B8DA9" w14:textId="4AB3C899" w:rsidR="001A3992" w:rsidRPr="00201CF7" w:rsidRDefault="001A3992" w:rsidP="001A3992">
      <w:pPr>
        <w:pStyle w:val="Heading2"/>
        <w:spacing w:before="0" w:after="120"/>
        <w:rPr>
          <w:rFonts w:cstheme="minorHAnsi"/>
          <w:lang w:val="en-US"/>
        </w:rPr>
      </w:pPr>
      <w:r w:rsidRPr="00201CF7">
        <w:rPr>
          <w:rFonts w:cstheme="minorHAnsi"/>
          <w:lang w:val="en-US"/>
        </w:rPr>
        <w:t xml:space="preserve">Nature and contents of container </w:t>
      </w:r>
    </w:p>
    <w:p w14:paraId="5F907024" w14:textId="4BFE4FF4" w:rsidR="003026FF" w:rsidRPr="00201CF7" w:rsidRDefault="003026FF" w:rsidP="003026FF">
      <w:pPr>
        <w:spacing w:line="240" w:lineRule="auto"/>
        <w:rPr>
          <w:rFonts w:asciiTheme="majorHAnsi" w:hAnsiTheme="majorHAnsi"/>
          <w:noProof/>
        </w:rPr>
      </w:pPr>
      <w:r w:rsidRPr="00201CF7">
        <w:rPr>
          <w:rFonts w:asciiTheme="majorHAnsi" w:hAnsiTheme="majorHAnsi"/>
          <w:noProof/>
        </w:rPr>
        <w:t xml:space="preserve">Carton box containing one active ingredient sachet </w:t>
      </w:r>
      <w:r w:rsidR="0029386C">
        <w:rPr>
          <w:rFonts w:asciiTheme="majorHAnsi" w:hAnsiTheme="majorHAnsi"/>
          <w:noProof/>
        </w:rPr>
        <w:t xml:space="preserve">(Sachet 2) </w:t>
      </w:r>
      <w:r w:rsidRPr="00201CF7">
        <w:rPr>
          <w:rFonts w:asciiTheme="majorHAnsi" w:hAnsiTheme="majorHAnsi"/>
          <w:noProof/>
        </w:rPr>
        <w:t>and one buffer sachet</w:t>
      </w:r>
      <w:r w:rsidR="0029386C">
        <w:rPr>
          <w:rFonts w:asciiTheme="majorHAnsi" w:hAnsiTheme="majorHAnsi"/>
          <w:noProof/>
        </w:rPr>
        <w:t xml:space="preserve"> (Sachet 1)</w:t>
      </w:r>
      <w:r w:rsidRPr="00201CF7">
        <w:rPr>
          <w:rFonts w:asciiTheme="majorHAnsi" w:hAnsiTheme="majorHAnsi"/>
          <w:noProof/>
        </w:rPr>
        <w:t>.</w:t>
      </w:r>
    </w:p>
    <w:p w14:paraId="432B0924" w14:textId="0419D981" w:rsidR="003026FF" w:rsidRPr="00201CF7" w:rsidRDefault="003026FF" w:rsidP="003026FF">
      <w:pPr>
        <w:spacing w:line="240" w:lineRule="auto"/>
        <w:rPr>
          <w:rFonts w:asciiTheme="majorHAnsi" w:hAnsiTheme="majorHAnsi"/>
          <w:noProof/>
        </w:rPr>
      </w:pPr>
      <w:r w:rsidRPr="00201CF7">
        <w:rPr>
          <w:rFonts w:asciiTheme="majorHAnsi" w:hAnsiTheme="majorHAnsi"/>
          <w:noProof/>
        </w:rPr>
        <w:t>The active ingredient sachet contains 2 g of powder for suspension.</w:t>
      </w:r>
    </w:p>
    <w:p w14:paraId="650A91C7" w14:textId="77777777" w:rsidR="003026FF" w:rsidRPr="00201CF7" w:rsidRDefault="003026FF" w:rsidP="003026FF">
      <w:pPr>
        <w:spacing w:line="240" w:lineRule="auto"/>
        <w:rPr>
          <w:rFonts w:asciiTheme="majorHAnsi" w:hAnsiTheme="majorHAnsi"/>
          <w:noProof/>
        </w:rPr>
      </w:pPr>
      <w:r w:rsidRPr="00201CF7">
        <w:rPr>
          <w:rFonts w:asciiTheme="majorHAnsi" w:hAnsiTheme="majorHAnsi"/>
          <w:noProof/>
        </w:rPr>
        <w:t>The buffer sachet contains 4.5 g of effervescent powder.</w:t>
      </w:r>
    </w:p>
    <w:p w14:paraId="6187681E" w14:textId="6EB9EE32" w:rsidR="003026FF" w:rsidRPr="00201CF7" w:rsidRDefault="003026FF" w:rsidP="003026FF">
      <w:pPr>
        <w:spacing w:line="240" w:lineRule="auto"/>
        <w:rPr>
          <w:rFonts w:asciiTheme="majorHAnsi" w:hAnsiTheme="majorHAnsi"/>
          <w:noProof/>
        </w:rPr>
      </w:pPr>
      <w:r w:rsidRPr="00201CF7">
        <w:rPr>
          <w:rFonts w:asciiTheme="majorHAnsi" w:hAnsiTheme="majorHAnsi"/>
          <w:noProof/>
        </w:rPr>
        <w:t xml:space="preserve">The active ingredient </w:t>
      </w:r>
      <w:r w:rsidR="00BD6768">
        <w:rPr>
          <w:rFonts w:asciiTheme="majorHAnsi" w:hAnsiTheme="majorHAnsi"/>
          <w:noProof/>
        </w:rPr>
        <w:t>(</w:t>
      </w:r>
      <w:r w:rsidR="00BD6768" w:rsidRPr="00DD5D59">
        <w:rPr>
          <w:rFonts w:asciiTheme="majorHAnsi" w:hAnsiTheme="majorHAnsi"/>
          <w:i/>
        </w:rPr>
        <w:t>Vibrio cholerae</w:t>
      </w:r>
      <w:r w:rsidR="00BD6768">
        <w:rPr>
          <w:rFonts w:asciiTheme="majorHAnsi" w:hAnsiTheme="majorHAnsi"/>
          <w:noProof/>
        </w:rPr>
        <w:t xml:space="preserve"> CVD 103-</w:t>
      </w:r>
      <w:r w:rsidR="00BD6768" w:rsidRPr="6826A92A">
        <w:rPr>
          <w:rFonts w:asciiTheme="majorHAnsi" w:hAnsiTheme="majorHAnsi"/>
          <w:noProof/>
        </w:rPr>
        <w:t>H</w:t>
      </w:r>
      <w:r w:rsidR="789602A0" w:rsidRPr="6826A92A">
        <w:rPr>
          <w:rFonts w:asciiTheme="majorHAnsi" w:hAnsiTheme="majorHAnsi"/>
          <w:noProof/>
        </w:rPr>
        <w:t>gR</w:t>
      </w:r>
      <w:r w:rsidR="00BD6768">
        <w:rPr>
          <w:rFonts w:asciiTheme="majorHAnsi" w:hAnsiTheme="majorHAnsi"/>
          <w:noProof/>
        </w:rPr>
        <w:t xml:space="preserve">) </w:t>
      </w:r>
      <w:r w:rsidRPr="00201CF7">
        <w:rPr>
          <w:rFonts w:asciiTheme="majorHAnsi" w:hAnsiTheme="majorHAnsi"/>
          <w:noProof/>
        </w:rPr>
        <w:t xml:space="preserve">sachet </w:t>
      </w:r>
      <w:r w:rsidR="0029386C">
        <w:rPr>
          <w:rFonts w:asciiTheme="majorHAnsi" w:hAnsiTheme="majorHAnsi"/>
          <w:noProof/>
        </w:rPr>
        <w:t xml:space="preserve">(Sachet 2) </w:t>
      </w:r>
      <w:r w:rsidRPr="00201CF7">
        <w:rPr>
          <w:rFonts w:asciiTheme="majorHAnsi" w:hAnsiTheme="majorHAnsi"/>
          <w:noProof/>
        </w:rPr>
        <w:t>is made from four-ply multilayer foil containing an outer layer of paper, a layer of low-density polyethylene, a layer of aluminium foil and an inner layer of low-density polyethylene.</w:t>
      </w:r>
    </w:p>
    <w:p w14:paraId="22B22529" w14:textId="6AFB9377" w:rsidR="003026FF" w:rsidRPr="00201CF7" w:rsidRDefault="003026FF" w:rsidP="003026FF">
      <w:pPr>
        <w:spacing w:line="240" w:lineRule="auto"/>
        <w:rPr>
          <w:rFonts w:asciiTheme="majorHAnsi" w:hAnsiTheme="majorHAnsi"/>
          <w:noProof/>
        </w:rPr>
      </w:pPr>
      <w:r w:rsidRPr="00201CF7">
        <w:rPr>
          <w:rFonts w:asciiTheme="majorHAnsi" w:hAnsiTheme="majorHAnsi"/>
          <w:noProof/>
        </w:rPr>
        <w:t xml:space="preserve">The buffer sachet </w:t>
      </w:r>
      <w:r w:rsidR="0029386C">
        <w:rPr>
          <w:rFonts w:asciiTheme="majorHAnsi" w:hAnsiTheme="majorHAnsi"/>
          <w:noProof/>
        </w:rPr>
        <w:t xml:space="preserve">(Sachet 1) </w:t>
      </w:r>
      <w:r w:rsidRPr="00201CF7">
        <w:rPr>
          <w:rFonts w:asciiTheme="majorHAnsi" w:hAnsiTheme="majorHAnsi"/>
          <w:noProof/>
        </w:rPr>
        <w:t>is made from three-ply multilayer foil containing an outer layer of paper, a middle layer of aluminium foil and an inner layer of low-density polyethylene.</w:t>
      </w:r>
    </w:p>
    <w:p w14:paraId="6E236FA5" w14:textId="40F8A2A8" w:rsidR="00576F0E" w:rsidRPr="00201CF7" w:rsidRDefault="003026FF" w:rsidP="003026FF">
      <w:pPr>
        <w:spacing w:line="240" w:lineRule="auto"/>
        <w:rPr>
          <w:rFonts w:asciiTheme="majorHAnsi" w:hAnsiTheme="majorHAnsi"/>
          <w:noProof/>
        </w:rPr>
      </w:pPr>
      <w:r w:rsidRPr="00201CF7">
        <w:rPr>
          <w:rFonts w:asciiTheme="majorHAnsi" w:hAnsiTheme="majorHAnsi"/>
          <w:noProof/>
        </w:rPr>
        <w:t xml:space="preserve">Pack size: 1 </w:t>
      </w:r>
      <w:r w:rsidR="00C22618">
        <w:rPr>
          <w:rFonts w:asciiTheme="majorHAnsi" w:hAnsiTheme="majorHAnsi"/>
          <w:noProof/>
        </w:rPr>
        <w:t>box</w:t>
      </w:r>
      <w:r w:rsidR="00C22618" w:rsidRPr="00201CF7">
        <w:rPr>
          <w:rFonts w:asciiTheme="majorHAnsi" w:hAnsiTheme="majorHAnsi"/>
          <w:noProof/>
        </w:rPr>
        <w:t xml:space="preserve"> </w:t>
      </w:r>
      <w:r w:rsidR="00C22618">
        <w:rPr>
          <w:rFonts w:asciiTheme="majorHAnsi" w:hAnsiTheme="majorHAnsi"/>
          <w:noProof/>
        </w:rPr>
        <w:t>containing</w:t>
      </w:r>
      <w:r w:rsidR="00C22618" w:rsidRPr="00201CF7">
        <w:rPr>
          <w:rFonts w:asciiTheme="majorHAnsi" w:hAnsiTheme="majorHAnsi"/>
          <w:noProof/>
        </w:rPr>
        <w:t xml:space="preserve"> </w:t>
      </w:r>
      <w:r w:rsidRPr="00201CF7">
        <w:rPr>
          <w:rFonts w:asciiTheme="majorHAnsi" w:hAnsiTheme="majorHAnsi"/>
          <w:noProof/>
        </w:rPr>
        <w:t>2 sachets.</w:t>
      </w:r>
    </w:p>
    <w:p w14:paraId="3CC6578C" w14:textId="77777777" w:rsidR="001A3992" w:rsidRPr="00201CF7" w:rsidRDefault="001A3992" w:rsidP="001A3992">
      <w:pPr>
        <w:pStyle w:val="Heading2"/>
        <w:spacing w:before="0" w:after="120"/>
        <w:rPr>
          <w:rFonts w:cstheme="minorHAnsi"/>
          <w:lang w:val="en-US"/>
        </w:rPr>
      </w:pPr>
      <w:r w:rsidRPr="00201CF7">
        <w:rPr>
          <w:rFonts w:cstheme="minorHAnsi"/>
          <w:lang w:val="en-US"/>
        </w:rPr>
        <w:t xml:space="preserve">Special precautions for disposal </w:t>
      </w:r>
    </w:p>
    <w:p w14:paraId="0BF00B6B" w14:textId="45FBF77E" w:rsidR="002B424E" w:rsidRPr="00201CF7" w:rsidRDefault="002B424E" w:rsidP="00497C85">
      <w:pPr>
        <w:rPr>
          <w:rFonts w:asciiTheme="majorHAnsi" w:hAnsiTheme="majorHAnsi" w:cstheme="minorHAnsi"/>
          <w:lang w:val="en"/>
        </w:rPr>
      </w:pPr>
      <w:r w:rsidRPr="00201CF7">
        <w:rPr>
          <w:rFonts w:asciiTheme="majorHAnsi" w:hAnsiTheme="majorHAnsi" w:cstheme="minorHAnsi"/>
          <w:lang w:val="en"/>
        </w:rPr>
        <w:t xml:space="preserve">In Australia, any unused medicine or waste material should be disposed of in accordance with local requirements. </w:t>
      </w:r>
    </w:p>
    <w:p w14:paraId="6D04B20D" w14:textId="761DE1BE" w:rsidR="00105062" w:rsidRPr="00201CF7" w:rsidRDefault="00105062" w:rsidP="00105062">
      <w:pPr>
        <w:spacing w:line="240" w:lineRule="auto"/>
        <w:rPr>
          <w:rFonts w:asciiTheme="majorHAnsi" w:hAnsiTheme="majorHAnsi"/>
        </w:rPr>
      </w:pPr>
      <w:r w:rsidRPr="00201CF7">
        <w:rPr>
          <w:rFonts w:asciiTheme="majorHAnsi" w:hAnsiTheme="majorHAnsi"/>
        </w:rPr>
        <w:t>This medicinal product contains genetically modified organisms. Unused medicinal product must be disposed of in compliance with the local biosafety guidelines.</w:t>
      </w:r>
      <w:r w:rsidR="00B61DB6">
        <w:rPr>
          <w:rFonts w:asciiTheme="majorHAnsi" w:hAnsiTheme="majorHAnsi"/>
        </w:rPr>
        <w:t xml:space="preserve"> </w:t>
      </w:r>
    </w:p>
    <w:p w14:paraId="12F2B308" w14:textId="46E88562" w:rsidR="001A3992" w:rsidRPr="00201CF7" w:rsidRDefault="001A3992" w:rsidP="001A3992">
      <w:pPr>
        <w:pStyle w:val="Heading2"/>
        <w:spacing w:before="0" w:after="120"/>
        <w:rPr>
          <w:rFonts w:cstheme="minorHAnsi"/>
          <w:lang w:val="en-US"/>
        </w:rPr>
      </w:pPr>
      <w:r w:rsidRPr="00201CF7">
        <w:rPr>
          <w:rFonts w:cstheme="minorHAnsi"/>
          <w:lang w:val="en-US"/>
        </w:rPr>
        <w:t>Physicochemical properties</w:t>
      </w:r>
    </w:p>
    <w:p w14:paraId="6151E800" w14:textId="1D3241DC" w:rsidR="0078151F" w:rsidRPr="00201CF7" w:rsidRDefault="0078151F" w:rsidP="0078151F">
      <w:pPr>
        <w:rPr>
          <w:rFonts w:asciiTheme="majorHAnsi" w:hAnsiTheme="majorHAnsi"/>
          <w:lang w:val="en-US"/>
        </w:rPr>
      </w:pPr>
      <w:r w:rsidRPr="00201CF7">
        <w:rPr>
          <w:rFonts w:asciiTheme="majorHAnsi" w:hAnsiTheme="majorHAnsi"/>
          <w:lang w:val="en-US"/>
        </w:rPr>
        <w:t>Not applicable.</w:t>
      </w:r>
    </w:p>
    <w:p w14:paraId="7F8CA5D4" w14:textId="459E65CF" w:rsidR="001A3992" w:rsidRPr="00201CF7" w:rsidRDefault="001A3992" w:rsidP="001A3992">
      <w:pPr>
        <w:pStyle w:val="Heading1"/>
        <w:spacing w:before="0" w:after="120"/>
        <w:rPr>
          <w:rFonts w:cstheme="minorHAnsi"/>
          <w:lang w:val="en-US"/>
        </w:rPr>
      </w:pPr>
      <w:r w:rsidRPr="00201CF7">
        <w:rPr>
          <w:rFonts w:cstheme="minorHAnsi"/>
          <w:lang w:val="en-US"/>
        </w:rPr>
        <w:lastRenderedPageBreak/>
        <w:t>Medicine schedule (Poisons Standard)</w:t>
      </w:r>
    </w:p>
    <w:p w14:paraId="68B49EA6" w14:textId="0A1CA38E" w:rsidR="009A11E6" w:rsidRPr="00201CF7" w:rsidRDefault="009A11E6" w:rsidP="009A11E6">
      <w:pPr>
        <w:rPr>
          <w:rFonts w:asciiTheme="majorHAnsi" w:hAnsiTheme="majorHAnsi"/>
          <w:lang w:val="en-US"/>
        </w:rPr>
      </w:pPr>
      <w:r w:rsidRPr="00201CF7">
        <w:rPr>
          <w:rFonts w:asciiTheme="majorHAnsi" w:hAnsiTheme="majorHAnsi"/>
          <w:lang w:val="en-US"/>
        </w:rPr>
        <w:t>Prescription Only Medicines (S4)</w:t>
      </w:r>
    </w:p>
    <w:p w14:paraId="51C2AF66" w14:textId="07BB222E" w:rsidR="001A3992" w:rsidRPr="00201CF7" w:rsidRDefault="001A3992" w:rsidP="001A3992">
      <w:pPr>
        <w:pStyle w:val="Heading1"/>
        <w:spacing w:before="0" w:after="120"/>
        <w:rPr>
          <w:rFonts w:cstheme="minorHAnsi"/>
          <w:lang w:val="en-US"/>
        </w:rPr>
      </w:pPr>
      <w:r w:rsidRPr="00201CF7">
        <w:rPr>
          <w:rFonts w:cstheme="minorHAnsi"/>
          <w:lang w:val="en-US"/>
        </w:rPr>
        <w:t>Sponsor</w:t>
      </w:r>
    </w:p>
    <w:p w14:paraId="311AFCE7" w14:textId="6A2A10B4" w:rsidR="009A11E6" w:rsidRPr="00201CF7" w:rsidRDefault="00557513" w:rsidP="00557513">
      <w:pPr>
        <w:spacing w:after="0" w:line="240" w:lineRule="auto"/>
        <w:rPr>
          <w:rFonts w:asciiTheme="majorHAnsi" w:hAnsiTheme="majorHAnsi"/>
          <w:lang w:val="en-US"/>
        </w:rPr>
      </w:pPr>
      <w:r w:rsidRPr="00201CF7">
        <w:rPr>
          <w:rFonts w:asciiTheme="majorHAnsi" w:hAnsiTheme="majorHAnsi"/>
          <w:lang w:val="en-US"/>
        </w:rPr>
        <w:t>Australia</w:t>
      </w:r>
    </w:p>
    <w:p w14:paraId="6ACFBCB4" w14:textId="7F69895B" w:rsidR="00557513" w:rsidRPr="00201CF7" w:rsidRDefault="00557513" w:rsidP="00557513">
      <w:pPr>
        <w:spacing w:after="0" w:line="240" w:lineRule="auto"/>
        <w:rPr>
          <w:rFonts w:asciiTheme="majorHAnsi" w:hAnsiTheme="majorHAnsi"/>
          <w:lang w:val="en-US"/>
        </w:rPr>
      </w:pPr>
      <w:r w:rsidRPr="00201CF7">
        <w:rPr>
          <w:rFonts w:asciiTheme="majorHAnsi" w:hAnsiTheme="majorHAnsi"/>
          <w:lang w:val="en-US"/>
        </w:rPr>
        <w:t>Biocelect Pty Ltd</w:t>
      </w:r>
    </w:p>
    <w:p w14:paraId="7CC6706F" w14:textId="77777777" w:rsidR="00A934D9" w:rsidRDefault="0048309D" w:rsidP="00557513">
      <w:pPr>
        <w:spacing w:after="0" w:line="240" w:lineRule="auto"/>
        <w:rPr>
          <w:rFonts w:asciiTheme="majorHAnsi" w:hAnsiTheme="majorHAnsi"/>
          <w:lang w:val="en-US"/>
        </w:rPr>
      </w:pPr>
      <w:r w:rsidRPr="0048309D">
        <w:rPr>
          <w:rFonts w:asciiTheme="majorHAnsi" w:hAnsiTheme="majorHAnsi"/>
          <w:lang w:val="en-US"/>
        </w:rPr>
        <w:t xml:space="preserve">Level 29, </w:t>
      </w:r>
    </w:p>
    <w:p w14:paraId="03C898EE" w14:textId="71EF1A07" w:rsidR="0048309D" w:rsidRDefault="0048309D" w:rsidP="00557513">
      <w:pPr>
        <w:spacing w:after="0" w:line="240" w:lineRule="auto"/>
        <w:rPr>
          <w:rFonts w:asciiTheme="majorHAnsi" w:hAnsiTheme="majorHAnsi"/>
          <w:lang w:val="en-US"/>
        </w:rPr>
      </w:pPr>
      <w:r w:rsidRPr="0048309D">
        <w:rPr>
          <w:rFonts w:asciiTheme="majorHAnsi" w:hAnsiTheme="majorHAnsi"/>
          <w:lang w:val="en-US"/>
        </w:rPr>
        <w:t>66 Goulburn Street</w:t>
      </w:r>
    </w:p>
    <w:p w14:paraId="65F46585" w14:textId="77777777" w:rsidR="00B32DDB" w:rsidRDefault="0048309D" w:rsidP="00557513">
      <w:pPr>
        <w:spacing w:after="0" w:line="240" w:lineRule="auto"/>
        <w:rPr>
          <w:rFonts w:asciiTheme="majorHAnsi" w:hAnsiTheme="majorHAnsi"/>
          <w:lang w:val="en-US"/>
        </w:rPr>
      </w:pPr>
      <w:r w:rsidRPr="0048309D">
        <w:rPr>
          <w:rFonts w:asciiTheme="majorHAnsi" w:hAnsiTheme="majorHAnsi"/>
          <w:lang w:val="en-US"/>
        </w:rPr>
        <w:t>Sydney</w:t>
      </w:r>
    </w:p>
    <w:p w14:paraId="29A5631B" w14:textId="72D713C2" w:rsidR="00FD2E31" w:rsidRDefault="0048309D" w:rsidP="00557513">
      <w:pPr>
        <w:spacing w:after="0" w:line="240" w:lineRule="auto"/>
        <w:rPr>
          <w:rFonts w:asciiTheme="majorHAnsi" w:hAnsiTheme="majorHAnsi"/>
          <w:lang w:val="en-US"/>
        </w:rPr>
      </w:pPr>
      <w:r w:rsidRPr="0048309D">
        <w:rPr>
          <w:rFonts w:asciiTheme="majorHAnsi" w:hAnsiTheme="majorHAnsi"/>
          <w:lang w:val="en-US"/>
        </w:rPr>
        <w:t>NSW</w:t>
      </w:r>
      <w:r w:rsidR="00B90D4A">
        <w:rPr>
          <w:rFonts w:asciiTheme="majorHAnsi" w:hAnsiTheme="majorHAnsi"/>
          <w:lang w:val="en-US"/>
        </w:rPr>
        <w:t>, 2000</w:t>
      </w:r>
      <w:r w:rsidRPr="0048309D">
        <w:rPr>
          <w:rFonts w:asciiTheme="majorHAnsi" w:hAnsiTheme="majorHAnsi"/>
          <w:lang w:val="en-US"/>
        </w:rPr>
        <w:t xml:space="preserve"> </w:t>
      </w:r>
    </w:p>
    <w:p w14:paraId="63AFA90E" w14:textId="77777777" w:rsidR="000D5D6F" w:rsidRDefault="000D5D6F" w:rsidP="00557513">
      <w:pPr>
        <w:spacing w:after="0" w:line="240" w:lineRule="auto"/>
        <w:rPr>
          <w:rFonts w:asciiTheme="majorHAnsi" w:hAnsiTheme="majorHAnsi"/>
          <w:lang w:val="en-US"/>
        </w:rPr>
      </w:pPr>
    </w:p>
    <w:p w14:paraId="76DCCD0C" w14:textId="77777777" w:rsidR="00D951BB" w:rsidRDefault="00AC1603" w:rsidP="00557513">
      <w:pPr>
        <w:spacing w:after="0" w:line="240" w:lineRule="auto"/>
        <w:rPr>
          <w:rFonts w:asciiTheme="majorHAnsi" w:hAnsiTheme="majorHAnsi"/>
          <w:lang w:val="en-US"/>
        </w:rPr>
      </w:pPr>
      <w:r>
        <w:rPr>
          <w:rFonts w:asciiTheme="majorHAnsi" w:hAnsiTheme="majorHAnsi"/>
          <w:lang w:val="en-US"/>
        </w:rPr>
        <w:t xml:space="preserve">Customer enquiries and Medical Information: </w:t>
      </w:r>
    </w:p>
    <w:p w14:paraId="6C4E324F" w14:textId="3BC75749" w:rsidR="00184347" w:rsidRDefault="00D951BB" w:rsidP="00557513">
      <w:pPr>
        <w:spacing w:after="0" w:line="240" w:lineRule="auto"/>
        <w:rPr>
          <w:rFonts w:asciiTheme="majorHAnsi" w:hAnsiTheme="majorHAnsi"/>
          <w:lang w:val="en-US"/>
        </w:rPr>
      </w:pPr>
      <w:r>
        <w:rPr>
          <w:rFonts w:asciiTheme="majorHAnsi" w:hAnsiTheme="majorHAnsi"/>
          <w:lang w:val="en-US"/>
        </w:rPr>
        <w:t xml:space="preserve">Telephone: </w:t>
      </w:r>
      <w:r w:rsidR="00722DF1">
        <w:rPr>
          <w:rFonts w:asciiTheme="majorHAnsi" w:hAnsiTheme="majorHAnsi"/>
          <w:lang w:val="en-US"/>
        </w:rPr>
        <w:tab/>
      </w:r>
      <w:r w:rsidR="000D5D6F">
        <w:rPr>
          <w:rFonts w:asciiTheme="majorHAnsi" w:hAnsiTheme="majorHAnsi"/>
          <w:lang w:val="en-US"/>
        </w:rPr>
        <w:t>1300 848 628</w:t>
      </w:r>
    </w:p>
    <w:p w14:paraId="41F75281" w14:textId="4570D904" w:rsidR="001773C1" w:rsidRDefault="001773C1" w:rsidP="001773C1">
      <w:pPr>
        <w:spacing w:after="0" w:line="240" w:lineRule="auto"/>
        <w:rPr>
          <w:rFonts w:asciiTheme="majorHAnsi" w:hAnsiTheme="majorHAnsi"/>
          <w:lang w:val="en-US"/>
        </w:rPr>
      </w:pPr>
      <w:r w:rsidRPr="001773C1">
        <w:rPr>
          <w:rFonts w:asciiTheme="majorHAnsi" w:hAnsiTheme="majorHAnsi"/>
          <w:lang w:val="en-US"/>
        </w:rPr>
        <w:t xml:space="preserve">Website: </w:t>
      </w:r>
      <w:r w:rsidR="005103A7">
        <w:rPr>
          <w:rFonts w:asciiTheme="majorHAnsi" w:hAnsiTheme="majorHAnsi"/>
          <w:lang w:val="en-US"/>
        </w:rPr>
        <w:tab/>
      </w:r>
      <w:hyperlink r:id="rId14" w:history="1">
        <w:r w:rsidR="00E459B4">
          <w:rPr>
            <w:rStyle w:val="Hyperlink"/>
            <w:rFonts w:asciiTheme="majorHAnsi" w:hAnsiTheme="majorHAnsi"/>
            <w:lang w:val="en-US"/>
          </w:rPr>
          <w:t>www.biocelect.com/products/</w:t>
        </w:r>
      </w:hyperlink>
      <w:r w:rsidR="001B6610">
        <w:rPr>
          <w:rFonts w:asciiTheme="majorHAnsi" w:hAnsiTheme="majorHAnsi"/>
          <w:lang w:val="en-US"/>
        </w:rPr>
        <w:t xml:space="preserve"> </w:t>
      </w:r>
    </w:p>
    <w:p w14:paraId="0C4B44F3" w14:textId="0BE90CA6" w:rsidR="000D5D6F" w:rsidRPr="00201CF7" w:rsidRDefault="00AC1603" w:rsidP="00557513">
      <w:pPr>
        <w:spacing w:after="0" w:line="240" w:lineRule="auto"/>
        <w:rPr>
          <w:rFonts w:asciiTheme="majorHAnsi" w:hAnsiTheme="majorHAnsi"/>
          <w:lang w:val="en-US"/>
        </w:rPr>
      </w:pPr>
      <w:r>
        <w:rPr>
          <w:rFonts w:asciiTheme="majorHAnsi" w:hAnsiTheme="majorHAnsi"/>
          <w:lang w:val="en-US"/>
        </w:rPr>
        <w:t xml:space="preserve">Email: </w:t>
      </w:r>
      <w:r w:rsidR="00722DF1">
        <w:rPr>
          <w:rFonts w:asciiTheme="majorHAnsi" w:hAnsiTheme="majorHAnsi"/>
          <w:lang w:val="en-US"/>
        </w:rPr>
        <w:tab/>
      </w:r>
      <w:r w:rsidR="00722DF1">
        <w:rPr>
          <w:rFonts w:asciiTheme="majorHAnsi" w:hAnsiTheme="majorHAnsi"/>
          <w:lang w:val="en-US"/>
        </w:rPr>
        <w:tab/>
      </w:r>
      <w:r w:rsidR="00463A8A">
        <w:rPr>
          <w:rFonts w:asciiTheme="majorHAnsi" w:hAnsiTheme="majorHAnsi"/>
          <w:lang w:val="en-US"/>
        </w:rPr>
        <w:t>info@biocelect.com</w:t>
      </w:r>
    </w:p>
    <w:p w14:paraId="5D2624C1" w14:textId="77777777" w:rsidR="00557513" w:rsidRPr="00201CF7" w:rsidRDefault="00557513" w:rsidP="00557513">
      <w:pPr>
        <w:spacing w:after="0" w:line="240" w:lineRule="auto"/>
        <w:rPr>
          <w:rFonts w:asciiTheme="majorHAnsi" w:hAnsiTheme="majorHAnsi"/>
          <w:lang w:val="en-US"/>
        </w:rPr>
      </w:pPr>
    </w:p>
    <w:p w14:paraId="34CFBFC9" w14:textId="060BC09D" w:rsidR="001A3992" w:rsidRPr="00201CF7" w:rsidRDefault="001A3992" w:rsidP="001A3992">
      <w:pPr>
        <w:pStyle w:val="Heading1"/>
        <w:spacing w:before="0" w:after="120"/>
        <w:rPr>
          <w:rFonts w:cstheme="minorHAnsi"/>
          <w:lang w:val="en-US"/>
        </w:rPr>
      </w:pPr>
      <w:r w:rsidRPr="00201CF7">
        <w:rPr>
          <w:rFonts w:cstheme="minorHAnsi"/>
          <w:lang w:val="en-US"/>
        </w:rPr>
        <w:t>Date of first approval</w:t>
      </w:r>
    </w:p>
    <w:p w14:paraId="03EF4AEE" w14:textId="04CA946C" w:rsidR="009A11E6" w:rsidRPr="00201CF7" w:rsidRDefault="00E459B4" w:rsidP="009A11E6">
      <w:pPr>
        <w:rPr>
          <w:rFonts w:asciiTheme="majorHAnsi" w:hAnsiTheme="majorHAnsi"/>
          <w:lang w:val="en-US"/>
        </w:rPr>
      </w:pPr>
      <w:r w:rsidRPr="00E459B4">
        <w:rPr>
          <w:rFonts w:asciiTheme="majorHAnsi" w:hAnsiTheme="majorHAnsi"/>
          <w:lang w:val="en-US"/>
        </w:rPr>
        <w:t>06 September</w:t>
      </w:r>
      <w:r w:rsidR="00B35A99" w:rsidRPr="00E459B4">
        <w:rPr>
          <w:rFonts w:asciiTheme="majorHAnsi" w:hAnsiTheme="majorHAnsi"/>
          <w:lang w:val="en-US"/>
        </w:rPr>
        <w:t xml:space="preserve"> </w:t>
      </w:r>
      <w:r w:rsidRPr="00E459B4">
        <w:rPr>
          <w:rFonts w:asciiTheme="majorHAnsi" w:hAnsiTheme="majorHAnsi"/>
          <w:lang w:val="en-US"/>
        </w:rPr>
        <w:t>2023</w:t>
      </w:r>
    </w:p>
    <w:p w14:paraId="20FD52CB" w14:textId="77777777" w:rsidR="001A3992" w:rsidRPr="00201CF7" w:rsidRDefault="001A3992" w:rsidP="001A3992">
      <w:pPr>
        <w:pStyle w:val="Heading1"/>
        <w:spacing w:before="0" w:after="120"/>
        <w:rPr>
          <w:rFonts w:cstheme="minorHAnsi"/>
          <w:lang w:val="en-US"/>
        </w:rPr>
      </w:pPr>
      <w:r w:rsidRPr="00201CF7">
        <w:rPr>
          <w:rFonts w:cstheme="minorHAnsi"/>
          <w:lang w:val="en-US"/>
        </w:rPr>
        <w:t xml:space="preserve">Date of revision </w:t>
      </w:r>
    </w:p>
    <w:p w14:paraId="315E083E" w14:textId="77777777" w:rsidR="001A3992" w:rsidRPr="00201CF7" w:rsidRDefault="001A3992" w:rsidP="001A3992">
      <w:pPr>
        <w:pStyle w:val="Heading2"/>
        <w:numPr>
          <w:ilvl w:val="0"/>
          <w:numId w:val="0"/>
        </w:numPr>
        <w:spacing w:before="0" w:after="120"/>
        <w:rPr>
          <w:rFonts w:cstheme="minorHAnsi"/>
          <w:lang w:val="en-US"/>
        </w:rPr>
      </w:pPr>
      <w:r w:rsidRPr="00201CF7">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201CF7" w14:paraId="669C05BB" w14:textId="77777777" w:rsidTr="00857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7F6F0BD6" w14:textId="77777777" w:rsidR="00ED0937" w:rsidRPr="00201CF7" w:rsidRDefault="00ED0937" w:rsidP="008575FA">
            <w:pPr>
              <w:rPr>
                <w:rFonts w:cstheme="minorHAnsi"/>
                <w:sz w:val="20"/>
                <w:lang w:val="en-US"/>
              </w:rPr>
            </w:pPr>
            <w:r w:rsidRPr="00201CF7">
              <w:rPr>
                <w:rFonts w:cstheme="minorHAnsi"/>
                <w:sz w:val="20"/>
                <w:lang w:val="en-US"/>
              </w:rPr>
              <w:t>Section Changed</w:t>
            </w:r>
          </w:p>
        </w:tc>
        <w:tc>
          <w:tcPr>
            <w:tcW w:w="7858" w:type="dxa"/>
            <w:shd w:val="clear" w:color="auto" w:fill="F2F2F2" w:themeFill="background1" w:themeFillShade="F2"/>
            <w:vAlign w:val="center"/>
          </w:tcPr>
          <w:p w14:paraId="6225FE5C" w14:textId="77777777" w:rsidR="00ED0937" w:rsidRPr="00201CF7" w:rsidRDefault="00ED0937" w:rsidP="008575FA">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201CF7">
              <w:rPr>
                <w:rFonts w:cstheme="minorHAnsi"/>
                <w:sz w:val="20"/>
                <w:lang w:val="en-US"/>
              </w:rPr>
              <w:t>Summary of new information</w:t>
            </w:r>
          </w:p>
        </w:tc>
      </w:tr>
      <w:tr w:rsidR="00ED0937" w:rsidRPr="00201CF7" w14:paraId="70F52EF5" w14:textId="77777777" w:rsidTr="008575FA">
        <w:tc>
          <w:tcPr>
            <w:cnfStyle w:val="001000000000" w:firstRow="0" w:lastRow="0" w:firstColumn="1" w:lastColumn="0" w:oddVBand="0" w:evenVBand="0" w:oddHBand="0" w:evenHBand="0" w:firstRowFirstColumn="0" w:firstRowLastColumn="0" w:lastRowFirstColumn="0" w:lastRowLastColumn="0"/>
            <w:tcW w:w="1384" w:type="dxa"/>
            <w:vAlign w:val="center"/>
          </w:tcPr>
          <w:p w14:paraId="0A94CFDF" w14:textId="77777777" w:rsidR="00ED0937" w:rsidRPr="00201CF7" w:rsidRDefault="00ED0937" w:rsidP="008575FA">
            <w:pPr>
              <w:rPr>
                <w:rFonts w:cstheme="minorHAnsi"/>
                <w:lang w:val="en-US"/>
              </w:rPr>
            </w:pPr>
          </w:p>
        </w:tc>
        <w:tc>
          <w:tcPr>
            <w:tcW w:w="7858" w:type="dxa"/>
            <w:vAlign w:val="center"/>
          </w:tcPr>
          <w:p w14:paraId="09F757EF" w14:textId="0B32FE58" w:rsidR="00ED0937" w:rsidRPr="00201CF7" w:rsidRDefault="0068439B" w:rsidP="008575FA">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r>
              <w:rPr>
                <w:rFonts w:asciiTheme="majorHAnsi" w:hAnsiTheme="majorHAnsi" w:cstheme="minorHAnsi"/>
                <w:lang w:val="en-US"/>
              </w:rPr>
              <w:t>First issue of the PI</w:t>
            </w:r>
          </w:p>
        </w:tc>
      </w:tr>
      <w:tr w:rsidR="00ED0937" w:rsidRPr="00201CF7" w14:paraId="25325A5B" w14:textId="77777777" w:rsidTr="008575FA">
        <w:tc>
          <w:tcPr>
            <w:cnfStyle w:val="001000000000" w:firstRow="0" w:lastRow="0" w:firstColumn="1" w:lastColumn="0" w:oddVBand="0" w:evenVBand="0" w:oddHBand="0" w:evenHBand="0" w:firstRowFirstColumn="0" w:firstRowLastColumn="0" w:lastRowFirstColumn="0" w:lastRowLastColumn="0"/>
            <w:tcW w:w="1384" w:type="dxa"/>
            <w:vAlign w:val="center"/>
          </w:tcPr>
          <w:p w14:paraId="0917639E" w14:textId="77777777" w:rsidR="00ED0937" w:rsidRPr="00201CF7" w:rsidRDefault="00ED0937" w:rsidP="008575FA">
            <w:pPr>
              <w:rPr>
                <w:rFonts w:cstheme="minorHAnsi"/>
                <w:lang w:val="en-US"/>
              </w:rPr>
            </w:pPr>
          </w:p>
        </w:tc>
        <w:tc>
          <w:tcPr>
            <w:tcW w:w="7858" w:type="dxa"/>
            <w:vAlign w:val="center"/>
          </w:tcPr>
          <w:p w14:paraId="61556C8D" w14:textId="77777777" w:rsidR="00ED0937" w:rsidRPr="00201CF7" w:rsidRDefault="00ED0937" w:rsidP="008575FA">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r w:rsidR="00ED0937" w:rsidRPr="00201CF7" w14:paraId="7EC45E6A" w14:textId="77777777" w:rsidTr="008575FA">
        <w:tc>
          <w:tcPr>
            <w:cnfStyle w:val="001000000000" w:firstRow="0" w:lastRow="0" w:firstColumn="1" w:lastColumn="0" w:oddVBand="0" w:evenVBand="0" w:oddHBand="0" w:evenHBand="0" w:firstRowFirstColumn="0" w:firstRowLastColumn="0" w:lastRowFirstColumn="0" w:lastRowLastColumn="0"/>
            <w:tcW w:w="1384" w:type="dxa"/>
            <w:vAlign w:val="center"/>
          </w:tcPr>
          <w:p w14:paraId="17C11593" w14:textId="77777777" w:rsidR="00ED0937" w:rsidRPr="00201CF7" w:rsidRDefault="00ED0937" w:rsidP="008575FA">
            <w:pPr>
              <w:rPr>
                <w:rFonts w:cstheme="minorHAnsi"/>
                <w:lang w:val="en-US"/>
              </w:rPr>
            </w:pPr>
          </w:p>
        </w:tc>
        <w:tc>
          <w:tcPr>
            <w:tcW w:w="7858" w:type="dxa"/>
            <w:vAlign w:val="center"/>
          </w:tcPr>
          <w:p w14:paraId="65656AF0" w14:textId="77777777" w:rsidR="00ED0937" w:rsidRPr="00201CF7" w:rsidRDefault="00ED0937" w:rsidP="008575FA">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bl>
    <w:p w14:paraId="5E4DC7E6" w14:textId="77777777" w:rsidR="00960CD5" w:rsidRPr="00201CF7" w:rsidRDefault="00960CD5" w:rsidP="003F1140">
      <w:pPr>
        <w:spacing w:after="120"/>
        <w:rPr>
          <w:rFonts w:asciiTheme="majorHAnsi" w:hAnsiTheme="majorHAnsi" w:cstheme="minorHAnsi"/>
        </w:rPr>
      </w:pPr>
    </w:p>
    <w:sectPr w:rsidR="00960CD5" w:rsidRPr="00201CF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9B1A" w14:textId="77777777" w:rsidR="007F040F" w:rsidRDefault="007F040F" w:rsidP="001A3992">
      <w:pPr>
        <w:spacing w:after="0" w:line="240" w:lineRule="auto"/>
      </w:pPr>
      <w:r>
        <w:separator/>
      </w:r>
    </w:p>
  </w:endnote>
  <w:endnote w:type="continuationSeparator" w:id="0">
    <w:p w14:paraId="6E138014" w14:textId="77777777" w:rsidR="007F040F" w:rsidRDefault="007F040F" w:rsidP="001A3992">
      <w:pPr>
        <w:spacing w:after="0" w:line="240" w:lineRule="auto"/>
      </w:pPr>
      <w:r>
        <w:continuationSeparator/>
      </w:r>
    </w:p>
  </w:endnote>
  <w:endnote w:type="continuationNotice" w:id="1">
    <w:p w14:paraId="1FF46EA9" w14:textId="77777777" w:rsidR="007F040F" w:rsidRDefault="007F0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163430"/>
      <w:docPartObj>
        <w:docPartGallery w:val="Page Numbers (Bottom of Page)"/>
        <w:docPartUnique/>
      </w:docPartObj>
    </w:sdtPr>
    <w:sdtEndPr>
      <w:rPr>
        <w:noProof/>
        <w:sz w:val="20"/>
      </w:rPr>
    </w:sdtEndPr>
    <w:sdtContent>
      <w:p w14:paraId="14532BD0" w14:textId="77777777" w:rsidR="008575FA" w:rsidRPr="00B8074A" w:rsidRDefault="00431ACD" w:rsidP="008575FA">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677840">
          <w:rPr>
            <w:noProof/>
            <w:sz w:val="20"/>
          </w:rPr>
          <w:t>2</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4EE0" w14:textId="77777777" w:rsidR="007F040F" w:rsidRDefault="007F040F" w:rsidP="001A3992">
      <w:pPr>
        <w:spacing w:after="0" w:line="240" w:lineRule="auto"/>
      </w:pPr>
      <w:r>
        <w:separator/>
      </w:r>
    </w:p>
  </w:footnote>
  <w:footnote w:type="continuationSeparator" w:id="0">
    <w:p w14:paraId="19E60461" w14:textId="77777777" w:rsidR="007F040F" w:rsidRDefault="007F040F" w:rsidP="001A3992">
      <w:pPr>
        <w:spacing w:after="0" w:line="240" w:lineRule="auto"/>
      </w:pPr>
      <w:r>
        <w:continuationSeparator/>
      </w:r>
    </w:p>
  </w:footnote>
  <w:footnote w:type="continuationNotice" w:id="1">
    <w:p w14:paraId="254522D5" w14:textId="77777777" w:rsidR="007F040F" w:rsidRDefault="007F0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27" w:type="dxa"/>
      <w:tblInd w:w="-318" w:type="dxa"/>
      <w:shd w:val="clear" w:color="auto" w:fill="E4F2E0"/>
      <w:tblLook w:val="04A0" w:firstRow="1" w:lastRow="0" w:firstColumn="1" w:lastColumn="0" w:noHBand="0" w:noVBand="1"/>
    </w:tblPr>
    <w:tblGrid>
      <w:gridCol w:w="9527"/>
    </w:tblGrid>
    <w:tr w:rsidR="00E96D49" w:rsidRPr="000B2145" w14:paraId="70530BF8" w14:textId="77777777" w:rsidTr="00E96D49">
      <w:trPr>
        <w:trHeight w:val="1012"/>
      </w:trPr>
      <w:tc>
        <w:tcPr>
          <w:tcW w:w="9527" w:type="dxa"/>
          <w:shd w:val="clear" w:color="auto" w:fill="E4F2E0"/>
        </w:tcPr>
        <w:p w14:paraId="1A45BE90" w14:textId="77777777" w:rsidR="00E96D49" w:rsidRPr="00991D2F" w:rsidRDefault="00E96D49" w:rsidP="00E96D49">
          <w:pPr>
            <w:pStyle w:val="Footer"/>
            <w:rPr>
              <w:b/>
              <w:bCs/>
              <w:sz w:val="18"/>
              <w:szCs w:val="18"/>
            </w:rPr>
          </w:pPr>
          <w:bookmarkStart w:id="17" w:name="_Hlk176859503"/>
          <w:bookmarkStart w:id="18" w:name="_Hlk109054010"/>
          <w:proofErr w:type="spellStart"/>
          <w:r w:rsidRPr="00991D2F">
            <w:rPr>
              <w:b/>
              <w:bCs/>
              <w:sz w:val="18"/>
              <w:szCs w:val="18"/>
            </w:rPr>
            <w:t>AusPAR</w:t>
          </w:r>
          <w:proofErr w:type="spellEnd"/>
          <w:r w:rsidRPr="00991D2F">
            <w:rPr>
              <w:b/>
              <w:bCs/>
              <w:sz w:val="18"/>
              <w:szCs w:val="18"/>
            </w:rPr>
            <w:t xml:space="preserve"> – </w:t>
          </w:r>
          <w:proofErr w:type="spellStart"/>
          <w:r w:rsidRPr="00991D2F">
            <w:rPr>
              <w:b/>
              <w:bCs/>
              <w:sz w:val="18"/>
              <w:szCs w:val="18"/>
            </w:rPr>
            <w:t>Vaxchora</w:t>
          </w:r>
          <w:proofErr w:type="spellEnd"/>
          <w:r w:rsidRPr="00991D2F">
            <w:rPr>
              <w:b/>
              <w:bCs/>
              <w:sz w:val="18"/>
              <w:szCs w:val="18"/>
            </w:rPr>
            <w:t xml:space="preserve"> – cholera vaccine, recombinant, live, oral – </w:t>
          </w:r>
          <w:proofErr w:type="spellStart"/>
          <w:r w:rsidRPr="00991D2F">
            <w:rPr>
              <w:b/>
              <w:bCs/>
              <w:sz w:val="18"/>
              <w:szCs w:val="18"/>
            </w:rPr>
            <w:t>Biocelect</w:t>
          </w:r>
          <w:proofErr w:type="spellEnd"/>
          <w:r w:rsidRPr="00991D2F">
            <w:rPr>
              <w:b/>
              <w:bCs/>
              <w:sz w:val="18"/>
              <w:szCs w:val="18"/>
            </w:rPr>
            <w:t xml:space="preserve"> Australia Pty Ltd – PM</w:t>
          </w:r>
          <w:r w:rsidRPr="00991D2F">
            <w:rPr>
              <w:b/>
              <w:bCs/>
              <w:sz w:val="18"/>
              <w:szCs w:val="18"/>
            </w:rPr>
            <w:noBreakHyphen/>
            <w:t>2021-04064-1-2</w:t>
          </w:r>
        </w:p>
        <w:p w14:paraId="00AC62B3" w14:textId="77777777" w:rsidR="00E96D49" w:rsidRPr="000E4791" w:rsidRDefault="00E96D49" w:rsidP="00E96D49">
          <w:pPr>
            <w:pStyle w:val="Footer"/>
            <w:rPr>
              <w:b/>
              <w:sz w:val="18"/>
              <w:szCs w:val="18"/>
            </w:rPr>
          </w:pPr>
          <w:r w:rsidRPr="00991D2F">
            <w:rPr>
              <w:b/>
              <w:bCs/>
              <w:sz w:val="18"/>
              <w:szCs w:val="18"/>
            </w:rPr>
            <w:t>Date of finalisation: 31 October 2024.</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7"/>
    <w:bookmarkEnd w:id="18"/>
  </w:tbl>
  <w:p w14:paraId="7966A006" w14:textId="77777777" w:rsidR="00CA6CCF" w:rsidRDefault="00CA6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F3D35"/>
    <w:multiLevelType w:val="hybridMultilevel"/>
    <w:tmpl w:val="7F22A9F6"/>
    <w:lvl w:ilvl="0" w:tplc="D81C374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20DA6"/>
    <w:multiLevelType w:val="hybridMultilevel"/>
    <w:tmpl w:val="3CE0B0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499529">
    <w:abstractNumId w:val="8"/>
  </w:num>
  <w:num w:numId="2" w16cid:durableId="1003094396">
    <w:abstractNumId w:val="2"/>
  </w:num>
  <w:num w:numId="3" w16cid:durableId="832186567">
    <w:abstractNumId w:val="0"/>
  </w:num>
  <w:num w:numId="4" w16cid:durableId="253560262">
    <w:abstractNumId w:val="5"/>
  </w:num>
  <w:num w:numId="5" w16cid:durableId="647588755">
    <w:abstractNumId w:val="11"/>
  </w:num>
  <w:num w:numId="6" w16cid:durableId="1188324807">
    <w:abstractNumId w:val="9"/>
  </w:num>
  <w:num w:numId="7" w16cid:durableId="1108965646">
    <w:abstractNumId w:val="7"/>
  </w:num>
  <w:num w:numId="8" w16cid:durableId="1521309612">
    <w:abstractNumId w:val="10"/>
  </w:num>
  <w:num w:numId="9" w16cid:durableId="795369996">
    <w:abstractNumId w:val="4"/>
  </w:num>
  <w:num w:numId="10" w16cid:durableId="822545766">
    <w:abstractNumId w:val="6"/>
  </w:num>
  <w:num w:numId="11" w16cid:durableId="1124695697">
    <w:abstractNumId w:val="1"/>
  </w:num>
  <w:num w:numId="12" w16cid:durableId="1120103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C0"/>
    <w:rsid w:val="000015E3"/>
    <w:rsid w:val="00002663"/>
    <w:rsid w:val="00003A8E"/>
    <w:rsid w:val="000119C3"/>
    <w:rsid w:val="00011B8B"/>
    <w:rsid w:val="00012301"/>
    <w:rsid w:val="00014009"/>
    <w:rsid w:val="00016282"/>
    <w:rsid w:val="000163CC"/>
    <w:rsid w:val="00021511"/>
    <w:rsid w:val="00024005"/>
    <w:rsid w:val="00025199"/>
    <w:rsid w:val="00027DC7"/>
    <w:rsid w:val="00032797"/>
    <w:rsid w:val="00035776"/>
    <w:rsid w:val="00035D6D"/>
    <w:rsid w:val="000374FE"/>
    <w:rsid w:val="00041646"/>
    <w:rsid w:val="00047511"/>
    <w:rsid w:val="0005171A"/>
    <w:rsid w:val="000549C1"/>
    <w:rsid w:val="00054B3B"/>
    <w:rsid w:val="00067C4E"/>
    <w:rsid w:val="0007062A"/>
    <w:rsid w:val="00072AFC"/>
    <w:rsid w:val="000731DE"/>
    <w:rsid w:val="00073833"/>
    <w:rsid w:val="00073B30"/>
    <w:rsid w:val="000771AA"/>
    <w:rsid w:val="00080758"/>
    <w:rsid w:val="00080A35"/>
    <w:rsid w:val="00083855"/>
    <w:rsid w:val="000860AF"/>
    <w:rsid w:val="00090E0D"/>
    <w:rsid w:val="00091AA0"/>
    <w:rsid w:val="00093066"/>
    <w:rsid w:val="00096979"/>
    <w:rsid w:val="000972D9"/>
    <w:rsid w:val="000A4A8F"/>
    <w:rsid w:val="000A5A45"/>
    <w:rsid w:val="000A6788"/>
    <w:rsid w:val="000A7B79"/>
    <w:rsid w:val="000B100A"/>
    <w:rsid w:val="000B54A3"/>
    <w:rsid w:val="000C0CCA"/>
    <w:rsid w:val="000C0D71"/>
    <w:rsid w:val="000D1FC0"/>
    <w:rsid w:val="000D255D"/>
    <w:rsid w:val="000D5D6F"/>
    <w:rsid w:val="000D7314"/>
    <w:rsid w:val="000D7A63"/>
    <w:rsid w:val="000E2352"/>
    <w:rsid w:val="000E2970"/>
    <w:rsid w:val="000E69AB"/>
    <w:rsid w:val="000E7A98"/>
    <w:rsid w:val="000F0E7C"/>
    <w:rsid w:val="000F3CB4"/>
    <w:rsid w:val="000F4426"/>
    <w:rsid w:val="000F487D"/>
    <w:rsid w:val="000F582E"/>
    <w:rsid w:val="000F71C2"/>
    <w:rsid w:val="00103183"/>
    <w:rsid w:val="00104A13"/>
    <w:rsid w:val="00105062"/>
    <w:rsid w:val="00115B01"/>
    <w:rsid w:val="00120C33"/>
    <w:rsid w:val="0012314B"/>
    <w:rsid w:val="0012337E"/>
    <w:rsid w:val="001239A9"/>
    <w:rsid w:val="0012418D"/>
    <w:rsid w:val="0012633F"/>
    <w:rsid w:val="00127F98"/>
    <w:rsid w:val="00133D33"/>
    <w:rsid w:val="00134B78"/>
    <w:rsid w:val="0013785A"/>
    <w:rsid w:val="00141FE1"/>
    <w:rsid w:val="00142E77"/>
    <w:rsid w:val="0014344F"/>
    <w:rsid w:val="00147066"/>
    <w:rsid w:val="00151D49"/>
    <w:rsid w:val="00154109"/>
    <w:rsid w:val="001559F2"/>
    <w:rsid w:val="00163712"/>
    <w:rsid w:val="00164963"/>
    <w:rsid w:val="00165FED"/>
    <w:rsid w:val="0016602E"/>
    <w:rsid w:val="001701E3"/>
    <w:rsid w:val="001724F3"/>
    <w:rsid w:val="00172A80"/>
    <w:rsid w:val="001747A3"/>
    <w:rsid w:val="001773C1"/>
    <w:rsid w:val="00180EB9"/>
    <w:rsid w:val="00182177"/>
    <w:rsid w:val="00184347"/>
    <w:rsid w:val="001862A6"/>
    <w:rsid w:val="00187FA7"/>
    <w:rsid w:val="00190113"/>
    <w:rsid w:val="0019320A"/>
    <w:rsid w:val="00196963"/>
    <w:rsid w:val="00196D10"/>
    <w:rsid w:val="00197C89"/>
    <w:rsid w:val="001A1145"/>
    <w:rsid w:val="001A3992"/>
    <w:rsid w:val="001A5C74"/>
    <w:rsid w:val="001A6798"/>
    <w:rsid w:val="001B0C2F"/>
    <w:rsid w:val="001B11CD"/>
    <w:rsid w:val="001B1CA0"/>
    <w:rsid w:val="001B6610"/>
    <w:rsid w:val="001C3102"/>
    <w:rsid w:val="001C44D2"/>
    <w:rsid w:val="001C760D"/>
    <w:rsid w:val="001C7C0B"/>
    <w:rsid w:val="001C7EC1"/>
    <w:rsid w:val="001D0A88"/>
    <w:rsid w:val="001D3115"/>
    <w:rsid w:val="001D5E5F"/>
    <w:rsid w:val="001E4C2C"/>
    <w:rsid w:val="001E54B4"/>
    <w:rsid w:val="001F2D32"/>
    <w:rsid w:val="00200F27"/>
    <w:rsid w:val="00201CF7"/>
    <w:rsid w:val="00202DE2"/>
    <w:rsid w:val="0020340D"/>
    <w:rsid w:val="00204142"/>
    <w:rsid w:val="00204BBD"/>
    <w:rsid w:val="002168CF"/>
    <w:rsid w:val="002169A9"/>
    <w:rsid w:val="002175A3"/>
    <w:rsid w:val="00220D59"/>
    <w:rsid w:val="002210F7"/>
    <w:rsid w:val="002229D6"/>
    <w:rsid w:val="0022310F"/>
    <w:rsid w:val="00223A9B"/>
    <w:rsid w:val="00230C44"/>
    <w:rsid w:val="002327EC"/>
    <w:rsid w:val="00232F9A"/>
    <w:rsid w:val="0023326F"/>
    <w:rsid w:val="00236434"/>
    <w:rsid w:val="00236E91"/>
    <w:rsid w:val="00237609"/>
    <w:rsid w:val="00241803"/>
    <w:rsid w:val="00242F38"/>
    <w:rsid w:val="00242FC1"/>
    <w:rsid w:val="0024631D"/>
    <w:rsid w:val="002463E3"/>
    <w:rsid w:val="002466C7"/>
    <w:rsid w:val="00250E11"/>
    <w:rsid w:val="00250F0E"/>
    <w:rsid w:val="002514F7"/>
    <w:rsid w:val="002540C3"/>
    <w:rsid w:val="002550DF"/>
    <w:rsid w:val="002555F0"/>
    <w:rsid w:val="00265487"/>
    <w:rsid w:val="002679BB"/>
    <w:rsid w:val="00270113"/>
    <w:rsid w:val="00270C91"/>
    <w:rsid w:val="0027185E"/>
    <w:rsid w:val="00274EE2"/>
    <w:rsid w:val="00280824"/>
    <w:rsid w:val="002817DF"/>
    <w:rsid w:val="00283768"/>
    <w:rsid w:val="00283E6E"/>
    <w:rsid w:val="00285047"/>
    <w:rsid w:val="002852C8"/>
    <w:rsid w:val="002872FF"/>
    <w:rsid w:val="00287F1F"/>
    <w:rsid w:val="002928A1"/>
    <w:rsid w:val="00292D5A"/>
    <w:rsid w:val="0029386C"/>
    <w:rsid w:val="00293DDD"/>
    <w:rsid w:val="002945CA"/>
    <w:rsid w:val="00295D50"/>
    <w:rsid w:val="002961D3"/>
    <w:rsid w:val="002A1BB2"/>
    <w:rsid w:val="002A35AF"/>
    <w:rsid w:val="002A445D"/>
    <w:rsid w:val="002A613B"/>
    <w:rsid w:val="002B424E"/>
    <w:rsid w:val="002B4979"/>
    <w:rsid w:val="002B7B00"/>
    <w:rsid w:val="002B7CAC"/>
    <w:rsid w:val="002C0BAA"/>
    <w:rsid w:val="002C12C2"/>
    <w:rsid w:val="002C23C6"/>
    <w:rsid w:val="002C347A"/>
    <w:rsid w:val="002C55D3"/>
    <w:rsid w:val="002C5C98"/>
    <w:rsid w:val="002C6D64"/>
    <w:rsid w:val="002D1226"/>
    <w:rsid w:val="002D70C0"/>
    <w:rsid w:val="002D76AE"/>
    <w:rsid w:val="002E277D"/>
    <w:rsid w:val="002E2949"/>
    <w:rsid w:val="002E333A"/>
    <w:rsid w:val="002E3476"/>
    <w:rsid w:val="002E56C0"/>
    <w:rsid w:val="002F128F"/>
    <w:rsid w:val="002F2B40"/>
    <w:rsid w:val="002F40C3"/>
    <w:rsid w:val="002F787B"/>
    <w:rsid w:val="003026FF"/>
    <w:rsid w:val="0030382B"/>
    <w:rsid w:val="00306C92"/>
    <w:rsid w:val="00311471"/>
    <w:rsid w:val="00311985"/>
    <w:rsid w:val="00316650"/>
    <w:rsid w:val="003167E5"/>
    <w:rsid w:val="00317992"/>
    <w:rsid w:val="00320481"/>
    <w:rsid w:val="00320E24"/>
    <w:rsid w:val="003212F3"/>
    <w:rsid w:val="00321B4C"/>
    <w:rsid w:val="00321D56"/>
    <w:rsid w:val="00323240"/>
    <w:rsid w:val="00325449"/>
    <w:rsid w:val="00332926"/>
    <w:rsid w:val="003345ED"/>
    <w:rsid w:val="00343E72"/>
    <w:rsid w:val="00344242"/>
    <w:rsid w:val="00347B0C"/>
    <w:rsid w:val="003500A8"/>
    <w:rsid w:val="00352926"/>
    <w:rsid w:val="0035379B"/>
    <w:rsid w:val="003553CC"/>
    <w:rsid w:val="00357789"/>
    <w:rsid w:val="003612E5"/>
    <w:rsid w:val="00362C5B"/>
    <w:rsid w:val="0036375D"/>
    <w:rsid w:val="00365009"/>
    <w:rsid w:val="00366167"/>
    <w:rsid w:val="00366BC3"/>
    <w:rsid w:val="00366DA9"/>
    <w:rsid w:val="00367BFF"/>
    <w:rsid w:val="00370CA3"/>
    <w:rsid w:val="003717CB"/>
    <w:rsid w:val="0037303A"/>
    <w:rsid w:val="00373C8D"/>
    <w:rsid w:val="00374BC9"/>
    <w:rsid w:val="00374C55"/>
    <w:rsid w:val="003829E4"/>
    <w:rsid w:val="00383179"/>
    <w:rsid w:val="00383446"/>
    <w:rsid w:val="003904AA"/>
    <w:rsid w:val="003A5F64"/>
    <w:rsid w:val="003A772D"/>
    <w:rsid w:val="003B2917"/>
    <w:rsid w:val="003B494C"/>
    <w:rsid w:val="003B50F5"/>
    <w:rsid w:val="003C0D7E"/>
    <w:rsid w:val="003C3204"/>
    <w:rsid w:val="003C34D9"/>
    <w:rsid w:val="003C67CC"/>
    <w:rsid w:val="003C68C9"/>
    <w:rsid w:val="003D008A"/>
    <w:rsid w:val="003D47B1"/>
    <w:rsid w:val="003D6150"/>
    <w:rsid w:val="003E1C98"/>
    <w:rsid w:val="003E2AD9"/>
    <w:rsid w:val="003E4887"/>
    <w:rsid w:val="003E74B8"/>
    <w:rsid w:val="003F1140"/>
    <w:rsid w:val="003F15BD"/>
    <w:rsid w:val="003F2E12"/>
    <w:rsid w:val="003F6139"/>
    <w:rsid w:val="003F7753"/>
    <w:rsid w:val="00400C8E"/>
    <w:rsid w:val="00401059"/>
    <w:rsid w:val="00403236"/>
    <w:rsid w:val="004032BD"/>
    <w:rsid w:val="00404EA3"/>
    <w:rsid w:val="00407447"/>
    <w:rsid w:val="00407867"/>
    <w:rsid w:val="004126FD"/>
    <w:rsid w:val="00412DF7"/>
    <w:rsid w:val="00420BA2"/>
    <w:rsid w:val="00424C73"/>
    <w:rsid w:val="004264A6"/>
    <w:rsid w:val="0043024D"/>
    <w:rsid w:val="004310C8"/>
    <w:rsid w:val="00431439"/>
    <w:rsid w:val="00431ACD"/>
    <w:rsid w:val="0043254B"/>
    <w:rsid w:val="00434C50"/>
    <w:rsid w:val="004362EE"/>
    <w:rsid w:val="00436938"/>
    <w:rsid w:val="00436A61"/>
    <w:rsid w:val="00440AF6"/>
    <w:rsid w:val="004411A1"/>
    <w:rsid w:val="00442807"/>
    <w:rsid w:val="00442B68"/>
    <w:rsid w:val="00442DEB"/>
    <w:rsid w:val="004465BC"/>
    <w:rsid w:val="0044770A"/>
    <w:rsid w:val="004519C0"/>
    <w:rsid w:val="0045565E"/>
    <w:rsid w:val="00455BE1"/>
    <w:rsid w:val="004563FF"/>
    <w:rsid w:val="00460294"/>
    <w:rsid w:val="00463A8A"/>
    <w:rsid w:val="00463DCD"/>
    <w:rsid w:val="004641B4"/>
    <w:rsid w:val="0047019C"/>
    <w:rsid w:val="00471BCA"/>
    <w:rsid w:val="00471C83"/>
    <w:rsid w:val="0047210F"/>
    <w:rsid w:val="0047609F"/>
    <w:rsid w:val="00477E4A"/>
    <w:rsid w:val="0048309D"/>
    <w:rsid w:val="00483872"/>
    <w:rsid w:val="00487A23"/>
    <w:rsid w:val="00491B40"/>
    <w:rsid w:val="0049260E"/>
    <w:rsid w:val="00492E0E"/>
    <w:rsid w:val="00493EFF"/>
    <w:rsid w:val="004947EB"/>
    <w:rsid w:val="00494EF7"/>
    <w:rsid w:val="00494FF6"/>
    <w:rsid w:val="00497C85"/>
    <w:rsid w:val="004A00BE"/>
    <w:rsid w:val="004A07F7"/>
    <w:rsid w:val="004A0E78"/>
    <w:rsid w:val="004A2903"/>
    <w:rsid w:val="004A2D78"/>
    <w:rsid w:val="004A5A65"/>
    <w:rsid w:val="004B06C1"/>
    <w:rsid w:val="004B0DD1"/>
    <w:rsid w:val="004B1E8B"/>
    <w:rsid w:val="004B7167"/>
    <w:rsid w:val="004C06C9"/>
    <w:rsid w:val="004C16CB"/>
    <w:rsid w:val="004C7E69"/>
    <w:rsid w:val="004D255D"/>
    <w:rsid w:val="004D575A"/>
    <w:rsid w:val="004E11DA"/>
    <w:rsid w:val="004E1887"/>
    <w:rsid w:val="004E28CC"/>
    <w:rsid w:val="004E33F5"/>
    <w:rsid w:val="004E6FB9"/>
    <w:rsid w:val="004F29AF"/>
    <w:rsid w:val="004F2E94"/>
    <w:rsid w:val="004F3512"/>
    <w:rsid w:val="004F554C"/>
    <w:rsid w:val="004F5DA1"/>
    <w:rsid w:val="004F6784"/>
    <w:rsid w:val="00500229"/>
    <w:rsid w:val="005029E1"/>
    <w:rsid w:val="00504897"/>
    <w:rsid w:val="00506F6A"/>
    <w:rsid w:val="0050783C"/>
    <w:rsid w:val="00507F45"/>
    <w:rsid w:val="005103A7"/>
    <w:rsid w:val="00510A42"/>
    <w:rsid w:val="00511400"/>
    <w:rsid w:val="00511F4C"/>
    <w:rsid w:val="00512BA0"/>
    <w:rsid w:val="00517075"/>
    <w:rsid w:val="00520D53"/>
    <w:rsid w:val="00522305"/>
    <w:rsid w:val="00532911"/>
    <w:rsid w:val="0053387A"/>
    <w:rsid w:val="00537D97"/>
    <w:rsid w:val="00540CB3"/>
    <w:rsid w:val="0054125F"/>
    <w:rsid w:val="00543DE6"/>
    <w:rsid w:val="00544DB1"/>
    <w:rsid w:val="005457B9"/>
    <w:rsid w:val="00552230"/>
    <w:rsid w:val="005522C3"/>
    <w:rsid w:val="00557513"/>
    <w:rsid w:val="00557C29"/>
    <w:rsid w:val="005700EF"/>
    <w:rsid w:val="0057114E"/>
    <w:rsid w:val="005718BD"/>
    <w:rsid w:val="00573B40"/>
    <w:rsid w:val="00576F0E"/>
    <w:rsid w:val="005774EB"/>
    <w:rsid w:val="00581D5F"/>
    <w:rsid w:val="005830C3"/>
    <w:rsid w:val="00583E10"/>
    <w:rsid w:val="00585966"/>
    <w:rsid w:val="00595509"/>
    <w:rsid w:val="00597F59"/>
    <w:rsid w:val="005A10AB"/>
    <w:rsid w:val="005A153F"/>
    <w:rsid w:val="005A1748"/>
    <w:rsid w:val="005A5FE2"/>
    <w:rsid w:val="005A6AD4"/>
    <w:rsid w:val="005A6C61"/>
    <w:rsid w:val="005A755D"/>
    <w:rsid w:val="005B0EAB"/>
    <w:rsid w:val="005C216C"/>
    <w:rsid w:val="005C2187"/>
    <w:rsid w:val="005D277C"/>
    <w:rsid w:val="005D698E"/>
    <w:rsid w:val="005D71E7"/>
    <w:rsid w:val="005E1178"/>
    <w:rsid w:val="005E3C16"/>
    <w:rsid w:val="005F0DA4"/>
    <w:rsid w:val="005F24AA"/>
    <w:rsid w:val="006038BB"/>
    <w:rsid w:val="006038D5"/>
    <w:rsid w:val="00603B73"/>
    <w:rsid w:val="00607FD0"/>
    <w:rsid w:val="0061260C"/>
    <w:rsid w:val="00612F15"/>
    <w:rsid w:val="00613322"/>
    <w:rsid w:val="00614400"/>
    <w:rsid w:val="0061610A"/>
    <w:rsid w:val="00616A28"/>
    <w:rsid w:val="00622308"/>
    <w:rsid w:val="00626D53"/>
    <w:rsid w:val="006322F0"/>
    <w:rsid w:val="006347D2"/>
    <w:rsid w:val="006363B4"/>
    <w:rsid w:val="0064261B"/>
    <w:rsid w:val="0064496E"/>
    <w:rsid w:val="00651286"/>
    <w:rsid w:val="00651C7F"/>
    <w:rsid w:val="0065409E"/>
    <w:rsid w:val="00655688"/>
    <w:rsid w:val="00657C28"/>
    <w:rsid w:val="00662B6F"/>
    <w:rsid w:val="00663996"/>
    <w:rsid w:val="006758DC"/>
    <w:rsid w:val="00675E8B"/>
    <w:rsid w:val="00677840"/>
    <w:rsid w:val="0068439B"/>
    <w:rsid w:val="006844B2"/>
    <w:rsid w:val="00684BBF"/>
    <w:rsid w:val="0068502C"/>
    <w:rsid w:val="00686FFF"/>
    <w:rsid w:val="00687606"/>
    <w:rsid w:val="00687DA7"/>
    <w:rsid w:val="00687F9B"/>
    <w:rsid w:val="00690A31"/>
    <w:rsid w:val="00690F61"/>
    <w:rsid w:val="00692D6F"/>
    <w:rsid w:val="00694498"/>
    <w:rsid w:val="00695B17"/>
    <w:rsid w:val="00696243"/>
    <w:rsid w:val="006A14B0"/>
    <w:rsid w:val="006A3B23"/>
    <w:rsid w:val="006B0807"/>
    <w:rsid w:val="006B5051"/>
    <w:rsid w:val="006B6D2B"/>
    <w:rsid w:val="006C1566"/>
    <w:rsid w:val="006C1C0F"/>
    <w:rsid w:val="006C2E45"/>
    <w:rsid w:val="006C3464"/>
    <w:rsid w:val="006C56F0"/>
    <w:rsid w:val="006C5721"/>
    <w:rsid w:val="006C6B3F"/>
    <w:rsid w:val="006C7AEB"/>
    <w:rsid w:val="006C7C9F"/>
    <w:rsid w:val="006D165C"/>
    <w:rsid w:val="006D311D"/>
    <w:rsid w:val="006D6B67"/>
    <w:rsid w:val="006E1983"/>
    <w:rsid w:val="006E32E6"/>
    <w:rsid w:val="006E4854"/>
    <w:rsid w:val="006E506D"/>
    <w:rsid w:val="006E6946"/>
    <w:rsid w:val="006F138F"/>
    <w:rsid w:val="006F32FC"/>
    <w:rsid w:val="006F5C3E"/>
    <w:rsid w:val="006F63F4"/>
    <w:rsid w:val="006F7118"/>
    <w:rsid w:val="007016DB"/>
    <w:rsid w:val="0070464E"/>
    <w:rsid w:val="0070517A"/>
    <w:rsid w:val="00706EFC"/>
    <w:rsid w:val="00707E8E"/>
    <w:rsid w:val="00711354"/>
    <w:rsid w:val="00714941"/>
    <w:rsid w:val="0071625D"/>
    <w:rsid w:val="00722DF1"/>
    <w:rsid w:val="00724AB1"/>
    <w:rsid w:val="0072549E"/>
    <w:rsid w:val="00727CAD"/>
    <w:rsid w:val="00731BB7"/>
    <w:rsid w:val="00732178"/>
    <w:rsid w:val="00735C1E"/>
    <w:rsid w:val="00741A65"/>
    <w:rsid w:val="0074262B"/>
    <w:rsid w:val="007439EA"/>
    <w:rsid w:val="00743CB6"/>
    <w:rsid w:val="007460AF"/>
    <w:rsid w:val="00746384"/>
    <w:rsid w:val="00750E00"/>
    <w:rsid w:val="00751F1B"/>
    <w:rsid w:val="00751F87"/>
    <w:rsid w:val="00752DE6"/>
    <w:rsid w:val="00753296"/>
    <w:rsid w:val="00760FDF"/>
    <w:rsid w:val="007634B3"/>
    <w:rsid w:val="00764B38"/>
    <w:rsid w:val="00764E1F"/>
    <w:rsid w:val="007652F9"/>
    <w:rsid w:val="00767708"/>
    <w:rsid w:val="00767D3A"/>
    <w:rsid w:val="00767FDF"/>
    <w:rsid w:val="007706D8"/>
    <w:rsid w:val="007763CE"/>
    <w:rsid w:val="00780DBF"/>
    <w:rsid w:val="00780E3A"/>
    <w:rsid w:val="0078151F"/>
    <w:rsid w:val="00782440"/>
    <w:rsid w:val="00782E58"/>
    <w:rsid w:val="007830A9"/>
    <w:rsid w:val="0078313B"/>
    <w:rsid w:val="00783D07"/>
    <w:rsid w:val="00784630"/>
    <w:rsid w:val="00786FCE"/>
    <w:rsid w:val="00794196"/>
    <w:rsid w:val="007A6749"/>
    <w:rsid w:val="007A7B64"/>
    <w:rsid w:val="007B0058"/>
    <w:rsid w:val="007B1072"/>
    <w:rsid w:val="007B1655"/>
    <w:rsid w:val="007B3CFC"/>
    <w:rsid w:val="007B5D3F"/>
    <w:rsid w:val="007B72C3"/>
    <w:rsid w:val="007B798F"/>
    <w:rsid w:val="007C2A5A"/>
    <w:rsid w:val="007C446B"/>
    <w:rsid w:val="007C4953"/>
    <w:rsid w:val="007C5EE5"/>
    <w:rsid w:val="007C6A89"/>
    <w:rsid w:val="007C7319"/>
    <w:rsid w:val="007D053E"/>
    <w:rsid w:val="007D1B23"/>
    <w:rsid w:val="007D2936"/>
    <w:rsid w:val="007E0D51"/>
    <w:rsid w:val="007E1ACF"/>
    <w:rsid w:val="007E693C"/>
    <w:rsid w:val="007E78F6"/>
    <w:rsid w:val="007F040F"/>
    <w:rsid w:val="007F0F4E"/>
    <w:rsid w:val="007F19E4"/>
    <w:rsid w:val="007F4877"/>
    <w:rsid w:val="00800C4B"/>
    <w:rsid w:val="008015FE"/>
    <w:rsid w:val="00806CA1"/>
    <w:rsid w:val="0080728D"/>
    <w:rsid w:val="008112E5"/>
    <w:rsid w:val="0081163C"/>
    <w:rsid w:val="008217B2"/>
    <w:rsid w:val="008223BF"/>
    <w:rsid w:val="0082355F"/>
    <w:rsid w:val="00833405"/>
    <w:rsid w:val="008348A8"/>
    <w:rsid w:val="00835D3B"/>
    <w:rsid w:val="00837118"/>
    <w:rsid w:val="00840993"/>
    <w:rsid w:val="00841E69"/>
    <w:rsid w:val="0084298D"/>
    <w:rsid w:val="00843B5C"/>
    <w:rsid w:val="00844EA9"/>
    <w:rsid w:val="008458B2"/>
    <w:rsid w:val="008505AE"/>
    <w:rsid w:val="00851C56"/>
    <w:rsid w:val="00852C13"/>
    <w:rsid w:val="00853CDC"/>
    <w:rsid w:val="008548D7"/>
    <w:rsid w:val="008554E7"/>
    <w:rsid w:val="008575E9"/>
    <w:rsid w:val="008575FA"/>
    <w:rsid w:val="00860282"/>
    <w:rsid w:val="00861BE9"/>
    <w:rsid w:val="00862143"/>
    <w:rsid w:val="0086597D"/>
    <w:rsid w:val="00866259"/>
    <w:rsid w:val="00870B7E"/>
    <w:rsid w:val="00875AF9"/>
    <w:rsid w:val="008805C2"/>
    <w:rsid w:val="008810C7"/>
    <w:rsid w:val="00881758"/>
    <w:rsid w:val="00883C2A"/>
    <w:rsid w:val="00885E51"/>
    <w:rsid w:val="008914C2"/>
    <w:rsid w:val="008915E7"/>
    <w:rsid w:val="008931FF"/>
    <w:rsid w:val="0089424B"/>
    <w:rsid w:val="00894663"/>
    <w:rsid w:val="008A429E"/>
    <w:rsid w:val="008A724F"/>
    <w:rsid w:val="008B4D70"/>
    <w:rsid w:val="008B67F1"/>
    <w:rsid w:val="008D0478"/>
    <w:rsid w:val="008D2BD6"/>
    <w:rsid w:val="008D5619"/>
    <w:rsid w:val="008E0DCB"/>
    <w:rsid w:val="008E244A"/>
    <w:rsid w:val="008E3E8D"/>
    <w:rsid w:val="008E62EB"/>
    <w:rsid w:val="008E7356"/>
    <w:rsid w:val="008F2811"/>
    <w:rsid w:val="008F28D3"/>
    <w:rsid w:val="008F67C7"/>
    <w:rsid w:val="00906818"/>
    <w:rsid w:val="009126A7"/>
    <w:rsid w:val="00916226"/>
    <w:rsid w:val="00916B60"/>
    <w:rsid w:val="00916BCD"/>
    <w:rsid w:val="0091773B"/>
    <w:rsid w:val="009233D7"/>
    <w:rsid w:val="009256D0"/>
    <w:rsid w:val="00925B85"/>
    <w:rsid w:val="0092626B"/>
    <w:rsid w:val="00926D37"/>
    <w:rsid w:val="009276B1"/>
    <w:rsid w:val="00927C85"/>
    <w:rsid w:val="00931EC4"/>
    <w:rsid w:val="00932E77"/>
    <w:rsid w:val="0093418E"/>
    <w:rsid w:val="00934954"/>
    <w:rsid w:val="00934D9A"/>
    <w:rsid w:val="00936CC8"/>
    <w:rsid w:val="00937F60"/>
    <w:rsid w:val="00940FE6"/>
    <w:rsid w:val="009413D5"/>
    <w:rsid w:val="00943EBE"/>
    <w:rsid w:val="009442BD"/>
    <w:rsid w:val="0094617F"/>
    <w:rsid w:val="009471C2"/>
    <w:rsid w:val="009532C4"/>
    <w:rsid w:val="009536D7"/>
    <w:rsid w:val="00953A74"/>
    <w:rsid w:val="00955001"/>
    <w:rsid w:val="0095521C"/>
    <w:rsid w:val="00956881"/>
    <w:rsid w:val="00960CAA"/>
    <w:rsid w:val="00960CD5"/>
    <w:rsid w:val="00962D86"/>
    <w:rsid w:val="00962E74"/>
    <w:rsid w:val="009650DC"/>
    <w:rsid w:val="00966EB1"/>
    <w:rsid w:val="009703E1"/>
    <w:rsid w:val="00970945"/>
    <w:rsid w:val="00971FA5"/>
    <w:rsid w:val="0097248E"/>
    <w:rsid w:val="009738EB"/>
    <w:rsid w:val="00981109"/>
    <w:rsid w:val="00981CA1"/>
    <w:rsid w:val="0098219E"/>
    <w:rsid w:val="00983459"/>
    <w:rsid w:val="00985DA6"/>
    <w:rsid w:val="00986071"/>
    <w:rsid w:val="00990B38"/>
    <w:rsid w:val="009914E7"/>
    <w:rsid w:val="00991955"/>
    <w:rsid w:val="00991CF7"/>
    <w:rsid w:val="00993518"/>
    <w:rsid w:val="0099434D"/>
    <w:rsid w:val="00996FB7"/>
    <w:rsid w:val="009A0621"/>
    <w:rsid w:val="009A11E6"/>
    <w:rsid w:val="009A6A74"/>
    <w:rsid w:val="009A6E12"/>
    <w:rsid w:val="009B12EC"/>
    <w:rsid w:val="009B1882"/>
    <w:rsid w:val="009B4B1F"/>
    <w:rsid w:val="009B6D03"/>
    <w:rsid w:val="009B764F"/>
    <w:rsid w:val="009C5822"/>
    <w:rsid w:val="009D1778"/>
    <w:rsid w:val="009D3A9B"/>
    <w:rsid w:val="009D3DC6"/>
    <w:rsid w:val="009D4116"/>
    <w:rsid w:val="009D54B9"/>
    <w:rsid w:val="009D6828"/>
    <w:rsid w:val="009D787C"/>
    <w:rsid w:val="009E0F3B"/>
    <w:rsid w:val="009E286C"/>
    <w:rsid w:val="009E438C"/>
    <w:rsid w:val="009F0758"/>
    <w:rsid w:val="009F0B9F"/>
    <w:rsid w:val="009F2054"/>
    <w:rsid w:val="009F23C9"/>
    <w:rsid w:val="009F674D"/>
    <w:rsid w:val="009F7271"/>
    <w:rsid w:val="009F7813"/>
    <w:rsid w:val="00A0024A"/>
    <w:rsid w:val="00A0264C"/>
    <w:rsid w:val="00A02B93"/>
    <w:rsid w:val="00A040E0"/>
    <w:rsid w:val="00A10B30"/>
    <w:rsid w:val="00A12BB0"/>
    <w:rsid w:val="00A161B6"/>
    <w:rsid w:val="00A171CC"/>
    <w:rsid w:val="00A22611"/>
    <w:rsid w:val="00A22E0F"/>
    <w:rsid w:val="00A242DB"/>
    <w:rsid w:val="00A26870"/>
    <w:rsid w:val="00A32797"/>
    <w:rsid w:val="00A32C07"/>
    <w:rsid w:val="00A35176"/>
    <w:rsid w:val="00A36844"/>
    <w:rsid w:val="00A368C6"/>
    <w:rsid w:val="00A36D7A"/>
    <w:rsid w:val="00A41C7F"/>
    <w:rsid w:val="00A42F47"/>
    <w:rsid w:val="00A43860"/>
    <w:rsid w:val="00A50ABB"/>
    <w:rsid w:val="00A53BE0"/>
    <w:rsid w:val="00A53D01"/>
    <w:rsid w:val="00A6111B"/>
    <w:rsid w:val="00A65767"/>
    <w:rsid w:val="00A6719F"/>
    <w:rsid w:val="00A717EE"/>
    <w:rsid w:val="00A77372"/>
    <w:rsid w:val="00A81C7C"/>
    <w:rsid w:val="00A8641A"/>
    <w:rsid w:val="00A87124"/>
    <w:rsid w:val="00A876CC"/>
    <w:rsid w:val="00A87F50"/>
    <w:rsid w:val="00A90003"/>
    <w:rsid w:val="00A906FE"/>
    <w:rsid w:val="00A925EA"/>
    <w:rsid w:val="00A9270F"/>
    <w:rsid w:val="00A928D2"/>
    <w:rsid w:val="00A934D9"/>
    <w:rsid w:val="00A93E9D"/>
    <w:rsid w:val="00A97161"/>
    <w:rsid w:val="00AA1896"/>
    <w:rsid w:val="00AA28CD"/>
    <w:rsid w:val="00AA61CE"/>
    <w:rsid w:val="00AB10E3"/>
    <w:rsid w:val="00AB29E6"/>
    <w:rsid w:val="00AB2C1C"/>
    <w:rsid w:val="00AB3734"/>
    <w:rsid w:val="00AB3B59"/>
    <w:rsid w:val="00AB4115"/>
    <w:rsid w:val="00AB4995"/>
    <w:rsid w:val="00AB69E9"/>
    <w:rsid w:val="00AC1603"/>
    <w:rsid w:val="00AC502A"/>
    <w:rsid w:val="00AC5A0F"/>
    <w:rsid w:val="00AD3364"/>
    <w:rsid w:val="00AD4291"/>
    <w:rsid w:val="00AD6D90"/>
    <w:rsid w:val="00AE0D99"/>
    <w:rsid w:val="00AE1544"/>
    <w:rsid w:val="00AE2B2C"/>
    <w:rsid w:val="00AE4853"/>
    <w:rsid w:val="00AE681F"/>
    <w:rsid w:val="00AE7A32"/>
    <w:rsid w:val="00AF2430"/>
    <w:rsid w:val="00AF3D95"/>
    <w:rsid w:val="00AF5438"/>
    <w:rsid w:val="00AF5803"/>
    <w:rsid w:val="00AF6285"/>
    <w:rsid w:val="00B01427"/>
    <w:rsid w:val="00B026C5"/>
    <w:rsid w:val="00B06051"/>
    <w:rsid w:val="00B12898"/>
    <w:rsid w:val="00B1336A"/>
    <w:rsid w:val="00B137AB"/>
    <w:rsid w:val="00B1633F"/>
    <w:rsid w:val="00B23BD1"/>
    <w:rsid w:val="00B3033C"/>
    <w:rsid w:val="00B32DDB"/>
    <w:rsid w:val="00B33DA5"/>
    <w:rsid w:val="00B34169"/>
    <w:rsid w:val="00B34B93"/>
    <w:rsid w:val="00B35A99"/>
    <w:rsid w:val="00B37B7E"/>
    <w:rsid w:val="00B403CD"/>
    <w:rsid w:val="00B40DE6"/>
    <w:rsid w:val="00B4159A"/>
    <w:rsid w:val="00B43A51"/>
    <w:rsid w:val="00B455C0"/>
    <w:rsid w:val="00B46A81"/>
    <w:rsid w:val="00B61DB6"/>
    <w:rsid w:val="00B62A06"/>
    <w:rsid w:val="00B62FC7"/>
    <w:rsid w:val="00B635AA"/>
    <w:rsid w:val="00B641F6"/>
    <w:rsid w:val="00B66FE5"/>
    <w:rsid w:val="00B67407"/>
    <w:rsid w:val="00B71EAE"/>
    <w:rsid w:val="00B740E2"/>
    <w:rsid w:val="00B75289"/>
    <w:rsid w:val="00B777EA"/>
    <w:rsid w:val="00B821FB"/>
    <w:rsid w:val="00B8277A"/>
    <w:rsid w:val="00B83EAB"/>
    <w:rsid w:val="00B84274"/>
    <w:rsid w:val="00B84BD2"/>
    <w:rsid w:val="00B90D4A"/>
    <w:rsid w:val="00B9139B"/>
    <w:rsid w:val="00B9176F"/>
    <w:rsid w:val="00B92728"/>
    <w:rsid w:val="00B97BF0"/>
    <w:rsid w:val="00BA5C47"/>
    <w:rsid w:val="00BB1698"/>
    <w:rsid w:val="00BB1A84"/>
    <w:rsid w:val="00BB3F31"/>
    <w:rsid w:val="00BB50C2"/>
    <w:rsid w:val="00BB6EBD"/>
    <w:rsid w:val="00BC0235"/>
    <w:rsid w:val="00BD0E7C"/>
    <w:rsid w:val="00BD1E28"/>
    <w:rsid w:val="00BD5E51"/>
    <w:rsid w:val="00BD6768"/>
    <w:rsid w:val="00BD758F"/>
    <w:rsid w:val="00BE310A"/>
    <w:rsid w:val="00BE3C32"/>
    <w:rsid w:val="00BE4136"/>
    <w:rsid w:val="00BE480A"/>
    <w:rsid w:val="00BE4B03"/>
    <w:rsid w:val="00BE5F99"/>
    <w:rsid w:val="00BE69EB"/>
    <w:rsid w:val="00BF07C3"/>
    <w:rsid w:val="00BF1992"/>
    <w:rsid w:val="00BF2F06"/>
    <w:rsid w:val="00BF3D34"/>
    <w:rsid w:val="00BF57A0"/>
    <w:rsid w:val="00BF6A02"/>
    <w:rsid w:val="00BF7138"/>
    <w:rsid w:val="00C001E0"/>
    <w:rsid w:val="00C006C2"/>
    <w:rsid w:val="00C02156"/>
    <w:rsid w:val="00C027C2"/>
    <w:rsid w:val="00C02A21"/>
    <w:rsid w:val="00C04920"/>
    <w:rsid w:val="00C05EBA"/>
    <w:rsid w:val="00C05EEA"/>
    <w:rsid w:val="00C10AB5"/>
    <w:rsid w:val="00C11400"/>
    <w:rsid w:val="00C1394F"/>
    <w:rsid w:val="00C139DE"/>
    <w:rsid w:val="00C1797D"/>
    <w:rsid w:val="00C20CED"/>
    <w:rsid w:val="00C22618"/>
    <w:rsid w:val="00C2341E"/>
    <w:rsid w:val="00C25040"/>
    <w:rsid w:val="00C3160E"/>
    <w:rsid w:val="00C32C65"/>
    <w:rsid w:val="00C338E7"/>
    <w:rsid w:val="00C37B30"/>
    <w:rsid w:val="00C40CA7"/>
    <w:rsid w:val="00C4151F"/>
    <w:rsid w:val="00C429D1"/>
    <w:rsid w:val="00C439B1"/>
    <w:rsid w:val="00C47010"/>
    <w:rsid w:val="00C475A1"/>
    <w:rsid w:val="00C5090A"/>
    <w:rsid w:val="00C540E6"/>
    <w:rsid w:val="00C63F73"/>
    <w:rsid w:val="00C64CB0"/>
    <w:rsid w:val="00C65347"/>
    <w:rsid w:val="00C67926"/>
    <w:rsid w:val="00C67B59"/>
    <w:rsid w:val="00C71E0E"/>
    <w:rsid w:val="00C724A8"/>
    <w:rsid w:val="00C727CD"/>
    <w:rsid w:val="00C74405"/>
    <w:rsid w:val="00C746BD"/>
    <w:rsid w:val="00C76B40"/>
    <w:rsid w:val="00C82BDC"/>
    <w:rsid w:val="00CA1F30"/>
    <w:rsid w:val="00CA2517"/>
    <w:rsid w:val="00CA312D"/>
    <w:rsid w:val="00CA41CA"/>
    <w:rsid w:val="00CA4D2D"/>
    <w:rsid w:val="00CA6CCF"/>
    <w:rsid w:val="00CD1B06"/>
    <w:rsid w:val="00CD576A"/>
    <w:rsid w:val="00CE0279"/>
    <w:rsid w:val="00CE3652"/>
    <w:rsid w:val="00CE7A7E"/>
    <w:rsid w:val="00CF086A"/>
    <w:rsid w:val="00CF09D4"/>
    <w:rsid w:val="00CF20CF"/>
    <w:rsid w:val="00CF3AB3"/>
    <w:rsid w:val="00CF78FC"/>
    <w:rsid w:val="00D03C2E"/>
    <w:rsid w:val="00D040D1"/>
    <w:rsid w:val="00D0480D"/>
    <w:rsid w:val="00D04CA5"/>
    <w:rsid w:val="00D10839"/>
    <w:rsid w:val="00D144BE"/>
    <w:rsid w:val="00D208FB"/>
    <w:rsid w:val="00D2160D"/>
    <w:rsid w:val="00D22D58"/>
    <w:rsid w:val="00D2523B"/>
    <w:rsid w:val="00D25479"/>
    <w:rsid w:val="00D264EF"/>
    <w:rsid w:val="00D27160"/>
    <w:rsid w:val="00D301D6"/>
    <w:rsid w:val="00D33E30"/>
    <w:rsid w:val="00D348A4"/>
    <w:rsid w:val="00D364CD"/>
    <w:rsid w:val="00D415D3"/>
    <w:rsid w:val="00D43542"/>
    <w:rsid w:val="00D44BA0"/>
    <w:rsid w:val="00D46C5E"/>
    <w:rsid w:val="00D54728"/>
    <w:rsid w:val="00D54782"/>
    <w:rsid w:val="00D54CCE"/>
    <w:rsid w:val="00D60AE9"/>
    <w:rsid w:val="00D60D05"/>
    <w:rsid w:val="00D6242F"/>
    <w:rsid w:val="00D677D4"/>
    <w:rsid w:val="00D71819"/>
    <w:rsid w:val="00D720D4"/>
    <w:rsid w:val="00D72C59"/>
    <w:rsid w:val="00D807A4"/>
    <w:rsid w:val="00D81946"/>
    <w:rsid w:val="00D83956"/>
    <w:rsid w:val="00D84217"/>
    <w:rsid w:val="00D848D5"/>
    <w:rsid w:val="00D86856"/>
    <w:rsid w:val="00D9224E"/>
    <w:rsid w:val="00D93187"/>
    <w:rsid w:val="00D93F56"/>
    <w:rsid w:val="00D951BB"/>
    <w:rsid w:val="00D95F46"/>
    <w:rsid w:val="00DA4309"/>
    <w:rsid w:val="00DA569E"/>
    <w:rsid w:val="00DA59D7"/>
    <w:rsid w:val="00DA7CBA"/>
    <w:rsid w:val="00DA7DCE"/>
    <w:rsid w:val="00DB62E7"/>
    <w:rsid w:val="00DB6DCB"/>
    <w:rsid w:val="00DB7065"/>
    <w:rsid w:val="00DC2E5F"/>
    <w:rsid w:val="00DC57CA"/>
    <w:rsid w:val="00DD1712"/>
    <w:rsid w:val="00DD333F"/>
    <w:rsid w:val="00DD366E"/>
    <w:rsid w:val="00DD40F8"/>
    <w:rsid w:val="00DD4F7B"/>
    <w:rsid w:val="00DD5629"/>
    <w:rsid w:val="00DD5D59"/>
    <w:rsid w:val="00DE022E"/>
    <w:rsid w:val="00DE1DCB"/>
    <w:rsid w:val="00DE2396"/>
    <w:rsid w:val="00DE54BE"/>
    <w:rsid w:val="00DE553A"/>
    <w:rsid w:val="00DE6925"/>
    <w:rsid w:val="00DE79CC"/>
    <w:rsid w:val="00DE7CDE"/>
    <w:rsid w:val="00DF18AC"/>
    <w:rsid w:val="00DF2AF9"/>
    <w:rsid w:val="00DF5E99"/>
    <w:rsid w:val="00E008AA"/>
    <w:rsid w:val="00E15656"/>
    <w:rsid w:val="00E16AE9"/>
    <w:rsid w:val="00E22AF7"/>
    <w:rsid w:val="00E23057"/>
    <w:rsid w:val="00E32687"/>
    <w:rsid w:val="00E32DE7"/>
    <w:rsid w:val="00E35031"/>
    <w:rsid w:val="00E41393"/>
    <w:rsid w:val="00E425CB"/>
    <w:rsid w:val="00E43A7E"/>
    <w:rsid w:val="00E43D44"/>
    <w:rsid w:val="00E459B4"/>
    <w:rsid w:val="00E47384"/>
    <w:rsid w:val="00E557B7"/>
    <w:rsid w:val="00E55C80"/>
    <w:rsid w:val="00E56AFC"/>
    <w:rsid w:val="00E57E9D"/>
    <w:rsid w:val="00E62EA3"/>
    <w:rsid w:val="00E736DA"/>
    <w:rsid w:val="00E73722"/>
    <w:rsid w:val="00E74A56"/>
    <w:rsid w:val="00E777DB"/>
    <w:rsid w:val="00E8236D"/>
    <w:rsid w:val="00E83278"/>
    <w:rsid w:val="00E84339"/>
    <w:rsid w:val="00E84DCC"/>
    <w:rsid w:val="00E86299"/>
    <w:rsid w:val="00E862CD"/>
    <w:rsid w:val="00E86D92"/>
    <w:rsid w:val="00E87D63"/>
    <w:rsid w:val="00E927E5"/>
    <w:rsid w:val="00E92A1A"/>
    <w:rsid w:val="00E93D6F"/>
    <w:rsid w:val="00E9401A"/>
    <w:rsid w:val="00E96D49"/>
    <w:rsid w:val="00E971BE"/>
    <w:rsid w:val="00EA1FC0"/>
    <w:rsid w:val="00EA21B9"/>
    <w:rsid w:val="00EA4F80"/>
    <w:rsid w:val="00EA510D"/>
    <w:rsid w:val="00EB1487"/>
    <w:rsid w:val="00EB2F9E"/>
    <w:rsid w:val="00EB50AC"/>
    <w:rsid w:val="00EB6A6F"/>
    <w:rsid w:val="00EC01B3"/>
    <w:rsid w:val="00EC0236"/>
    <w:rsid w:val="00EC1745"/>
    <w:rsid w:val="00EC307E"/>
    <w:rsid w:val="00EC4B59"/>
    <w:rsid w:val="00EC54F9"/>
    <w:rsid w:val="00ED0290"/>
    <w:rsid w:val="00ED0937"/>
    <w:rsid w:val="00ED269D"/>
    <w:rsid w:val="00ED46B7"/>
    <w:rsid w:val="00ED64C7"/>
    <w:rsid w:val="00EE0894"/>
    <w:rsid w:val="00EE2B86"/>
    <w:rsid w:val="00EE37A8"/>
    <w:rsid w:val="00EE560B"/>
    <w:rsid w:val="00EE7FE7"/>
    <w:rsid w:val="00EF0210"/>
    <w:rsid w:val="00EF750B"/>
    <w:rsid w:val="00F031AE"/>
    <w:rsid w:val="00F077CD"/>
    <w:rsid w:val="00F124F4"/>
    <w:rsid w:val="00F14C27"/>
    <w:rsid w:val="00F15FB5"/>
    <w:rsid w:val="00F16C54"/>
    <w:rsid w:val="00F2013A"/>
    <w:rsid w:val="00F23DB1"/>
    <w:rsid w:val="00F265C1"/>
    <w:rsid w:val="00F26CE2"/>
    <w:rsid w:val="00F27055"/>
    <w:rsid w:val="00F274E7"/>
    <w:rsid w:val="00F3006D"/>
    <w:rsid w:val="00F32087"/>
    <w:rsid w:val="00F32622"/>
    <w:rsid w:val="00F339FA"/>
    <w:rsid w:val="00F41186"/>
    <w:rsid w:val="00F42FD2"/>
    <w:rsid w:val="00F44DC9"/>
    <w:rsid w:val="00F537EC"/>
    <w:rsid w:val="00F55A61"/>
    <w:rsid w:val="00F56091"/>
    <w:rsid w:val="00F5768C"/>
    <w:rsid w:val="00F61826"/>
    <w:rsid w:val="00F61FD5"/>
    <w:rsid w:val="00F64BEF"/>
    <w:rsid w:val="00F66325"/>
    <w:rsid w:val="00F66E02"/>
    <w:rsid w:val="00F67426"/>
    <w:rsid w:val="00F70036"/>
    <w:rsid w:val="00F72740"/>
    <w:rsid w:val="00F72F38"/>
    <w:rsid w:val="00F7421D"/>
    <w:rsid w:val="00F7485F"/>
    <w:rsid w:val="00F74C3F"/>
    <w:rsid w:val="00F75207"/>
    <w:rsid w:val="00F769F4"/>
    <w:rsid w:val="00F82612"/>
    <w:rsid w:val="00F848A3"/>
    <w:rsid w:val="00F84A53"/>
    <w:rsid w:val="00F85394"/>
    <w:rsid w:val="00F855CC"/>
    <w:rsid w:val="00F971CB"/>
    <w:rsid w:val="00F97718"/>
    <w:rsid w:val="00FA0B88"/>
    <w:rsid w:val="00FA0C08"/>
    <w:rsid w:val="00FA15C4"/>
    <w:rsid w:val="00FA3A44"/>
    <w:rsid w:val="00FA4EC6"/>
    <w:rsid w:val="00FB31F7"/>
    <w:rsid w:val="00FB4277"/>
    <w:rsid w:val="00FB57F1"/>
    <w:rsid w:val="00FB655F"/>
    <w:rsid w:val="00FB771B"/>
    <w:rsid w:val="00FB7AFF"/>
    <w:rsid w:val="00FC1FEC"/>
    <w:rsid w:val="00FC2144"/>
    <w:rsid w:val="00FC4404"/>
    <w:rsid w:val="00FC4AAE"/>
    <w:rsid w:val="00FC7D12"/>
    <w:rsid w:val="00FD2B78"/>
    <w:rsid w:val="00FD2E31"/>
    <w:rsid w:val="00FD5443"/>
    <w:rsid w:val="00FD6B33"/>
    <w:rsid w:val="00FE340F"/>
    <w:rsid w:val="00FE36B7"/>
    <w:rsid w:val="00FE37A8"/>
    <w:rsid w:val="00FE3DDA"/>
    <w:rsid w:val="00FE4A96"/>
    <w:rsid w:val="00FE4E3F"/>
    <w:rsid w:val="00FE5476"/>
    <w:rsid w:val="00FE5B95"/>
    <w:rsid w:val="00FE6528"/>
    <w:rsid w:val="00FF2E9E"/>
    <w:rsid w:val="00FF3A95"/>
    <w:rsid w:val="00FF4F67"/>
    <w:rsid w:val="00FF610F"/>
    <w:rsid w:val="03798042"/>
    <w:rsid w:val="05381D52"/>
    <w:rsid w:val="06049C29"/>
    <w:rsid w:val="07DDABE4"/>
    <w:rsid w:val="07FE716A"/>
    <w:rsid w:val="0A472BB1"/>
    <w:rsid w:val="0A96DDDF"/>
    <w:rsid w:val="0CA1DF64"/>
    <w:rsid w:val="0FABBAD2"/>
    <w:rsid w:val="12D5727A"/>
    <w:rsid w:val="13972D40"/>
    <w:rsid w:val="1398B0E6"/>
    <w:rsid w:val="151E4E42"/>
    <w:rsid w:val="1695458A"/>
    <w:rsid w:val="19D1101F"/>
    <w:rsid w:val="1C1A1361"/>
    <w:rsid w:val="1CD995F6"/>
    <w:rsid w:val="1E04B4C1"/>
    <w:rsid w:val="1F1A8BA1"/>
    <w:rsid w:val="1F97C0E7"/>
    <w:rsid w:val="20331637"/>
    <w:rsid w:val="2074F044"/>
    <w:rsid w:val="233EBC8F"/>
    <w:rsid w:val="23869F02"/>
    <w:rsid w:val="24DE7F6F"/>
    <w:rsid w:val="25226F63"/>
    <w:rsid w:val="25654BAF"/>
    <w:rsid w:val="25AA2053"/>
    <w:rsid w:val="282B0D80"/>
    <w:rsid w:val="28F2A9F5"/>
    <w:rsid w:val="33F8B492"/>
    <w:rsid w:val="340A82EE"/>
    <w:rsid w:val="34C31070"/>
    <w:rsid w:val="35122E89"/>
    <w:rsid w:val="3590EF5B"/>
    <w:rsid w:val="35B53141"/>
    <w:rsid w:val="37B168CA"/>
    <w:rsid w:val="3BCF4743"/>
    <w:rsid w:val="3C7E9FDA"/>
    <w:rsid w:val="3D0A2037"/>
    <w:rsid w:val="3E68F473"/>
    <w:rsid w:val="3F70811F"/>
    <w:rsid w:val="3FFE773D"/>
    <w:rsid w:val="423ED547"/>
    <w:rsid w:val="42719D63"/>
    <w:rsid w:val="42DA7019"/>
    <w:rsid w:val="43383003"/>
    <w:rsid w:val="43E3BA7B"/>
    <w:rsid w:val="493B168E"/>
    <w:rsid w:val="4AE62595"/>
    <w:rsid w:val="4BDC4960"/>
    <w:rsid w:val="4D6B7851"/>
    <w:rsid w:val="4DA1346D"/>
    <w:rsid w:val="4DE59371"/>
    <w:rsid w:val="4FC4558E"/>
    <w:rsid w:val="5144AFCB"/>
    <w:rsid w:val="520DFC16"/>
    <w:rsid w:val="538DBF1D"/>
    <w:rsid w:val="5492970C"/>
    <w:rsid w:val="55B613A3"/>
    <w:rsid w:val="56C1D278"/>
    <w:rsid w:val="57B4D3FB"/>
    <w:rsid w:val="5B01ABA3"/>
    <w:rsid w:val="5C3DF95F"/>
    <w:rsid w:val="5F717AF9"/>
    <w:rsid w:val="5F7853ED"/>
    <w:rsid w:val="5F833F4C"/>
    <w:rsid w:val="5FB60A6A"/>
    <w:rsid w:val="60DA2C78"/>
    <w:rsid w:val="60F54735"/>
    <w:rsid w:val="612E1FCB"/>
    <w:rsid w:val="639DFEFD"/>
    <w:rsid w:val="63E7A8F6"/>
    <w:rsid w:val="666B5EA6"/>
    <w:rsid w:val="67574A11"/>
    <w:rsid w:val="67DECED8"/>
    <w:rsid w:val="68020695"/>
    <w:rsid w:val="6826A92A"/>
    <w:rsid w:val="686F77E2"/>
    <w:rsid w:val="6B581470"/>
    <w:rsid w:val="6E3C4086"/>
    <w:rsid w:val="72015048"/>
    <w:rsid w:val="7316BEA0"/>
    <w:rsid w:val="754B645D"/>
    <w:rsid w:val="77158B52"/>
    <w:rsid w:val="7730025A"/>
    <w:rsid w:val="77A9D5D7"/>
    <w:rsid w:val="789602A0"/>
    <w:rsid w:val="78AEFC94"/>
    <w:rsid w:val="7A232E82"/>
    <w:rsid w:val="7AC4D77A"/>
    <w:rsid w:val="7BEDF896"/>
    <w:rsid w:val="7E3C5D57"/>
    <w:rsid w:val="7F2301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5323C"/>
  <w15:docId w15:val="{CC330DB3-DAF4-41E0-BAAF-BBDBAF66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BodyTextSPC">
    <w:name w:val="Body Text SPC"/>
    <w:basedOn w:val="Normal"/>
    <w:rsid w:val="00367BFF"/>
    <w:pPr>
      <w:tabs>
        <w:tab w:val="left" w:pos="567"/>
      </w:tabs>
      <w:spacing w:after="0" w:line="240" w:lineRule="auto"/>
    </w:pPr>
    <w:rPr>
      <w:rFonts w:ascii="Times New Roman" w:eastAsia="Times New Roman" w:hAnsi="Times New Roman" w:cs="Times New Roman"/>
      <w:szCs w:val="20"/>
      <w:lang w:val="en-GB"/>
    </w:rPr>
  </w:style>
  <w:style w:type="paragraph" w:styleId="Caption">
    <w:name w:val="caption"/>
    <w:aliases w:val="Lisiting"/>
    <w:next w:val="Normal"/>
    <w:uiPriority w:val="99"/>
    <w:qFormat/>
    <w:rsid w:val="00694498"/>
    <w:pPr>
      <w:keepNext/>
      <w:keepLines/>
      <w:tabs>
        <w:tab w:val="left" w:pos="2160"/>
      </w:tabs>
      <w:spacing w:before="240" w:after="240" w:line="240" w:lineRule="auto"/>
      <w:ind w:left="2160" w:hanging="2160"/>
      <w:outlineLvl w:val="7"/>
    </w:pPr>
    <w:rPr>
      <w:rFonts w:ascii="Times New Roman" w:eastAsia="Times New Roman" w:hAnsi="Times New Roman" w:cs="Times New Roman"/>
      <w:b/>
      <w:bCs/>
      <w:sz w:val="24"/>
      <w:szCs w:val="18"/>
      <w:lang w:val="en-US"/>
    </w:rPr>
  </w:style>
  <w:style w:type="paragraph" w:customStyle="1" w:styleId="ParaText">
    <w:name w:val="Para Text"/>
    <w:basedOn w:val="Normal"/>
    <w:qFormat/>
    <w:rsid w:val="00694498"/>
    <w:pPr>
      <w:spacing w:before="160" w:line="320" w:lineRule="exact"/>
    </w:pPr>
    <w:rPr>
      <w:rFonts w:ascii="Times New Roman" w:eastAsia="Calibri" w:hAnsi="Times New Roman" w:cs="Times New Roman"/>
      <w:sz w:val="24"/>
      <w:szCs w:val="24"/>
      <w:lang w:val="en-US"/>
    </w:rPr>
  </w:style>
  <w:style w:type="paragraph" w:customStyle="1" w:styleId="TableFigureNote">
    <w:name w:val="Table/Figure Note"/>
    <w:basedOn w:val="Normal"/>
    <w:link w:val="TableFigureNoteChar"/>
    <w:rsid w:val="00694498"/>
    <w:pPr>
      <w:spacing w:before="40" w:after="0" w:line="220" w:lineRule="exact"/>
      <w:ind w:left="144" w:hanging="144"/>
      <w:jc w:val="both"/>
    </w:pPr>
    <w:rPr>
      <w:rFonts w:ascii="Times New Roman" w:eastAsia="Times New Roman" w:hAnsi="Times New Roman" w:cs="Times New Roman"/>
      <w:sz w:val="20"/>
      <w:szCs w:val="24"/>
      <w:lang w:val="en-US"/>
    </w:rPr>
  </w:style>
  <w:style w:type="character" w:customStyle="1" w:styleId="TableFigureNoteChar">
    <w:name w:val="Table/Figure Note Char"/>
    <w:link w:val="TableFigureNote"/>
    <w:locked/>
    <w:rsid w:val="00694498"/>
    <w:rPr>
      <w:rFonts w:ascii="Times New Roman" w:eastAsia="Times New Roman" w:hAnsi="Times New Roman" w:cs="Times New Roman"/>
      <w:sz w:val="20"/>
      <w:szCs w:val="24"/>
      <w:lang w:val="en-US"/>
    </w:rPr>
  </w:style>
  <w:style w:type="paragraph" w:customStyle="1" w:styleId="TableColumnHead">
    <w:name w:val="Table Column Head"/>
    <w:basedOn w:val="Normal"/>
    <w:next w:val="Normal"/>
    <w:uiPriority w:val="99"/>
    <w:rsid w:val="00694498"/>
    <w:pPr>
      <w:keepNext/>
      <w:keepLines/>
      <w:widowControl w:val="0"/>
      <w:spacing w:after="0" w:line="240" w:lineRule="exact"/>
      <w:jc w:val="center"/>
    </w:pPr>
    <w:rPr>
      <w:rFonts w:ascii="Times New Roman" w:eastAsia="Times New Roman" w:hAnsi="Times New Roman" w:cs="Times New Roman"/>
      <w:b/>
      <w:sz w:val="20"/>
      <w:szCs w:val="24"/>
      <w:lang w:val="en-US"/>
    </w:rPr>
  </w:style>
  <w:style w:type="paragraph" w:customStyle="1" w:styleId="TableFootnote">
    <w:name w:val="Table Footnote"/>
    <w:rsid w:val="00694498"/>
    <w:pPr>
      <w:tabs>
        <w:tab w:val="left" w:pos="360"/>
      </w:tabs>
      <w:spacing w:after="0" w:line="240" w:lineRule="auto"/>
      <w:ind w:left="360" w:hanging="360"/>
    </w:pPr>
    <w:rPr>
      <w:rFonts w:ascii="Times New Roman" w:eastAsia="Times New Roman" w:hAnsi="Times New Roman" w:cs="Times New Roman"/>
      <w:sz w:val="20"/>
      <w:szCs w:val="24"/>
      <w:lang w:val="en-US"/>
    </w:rPr>
  </w:style>
  <w:style w:type="character" w:customStyle="1" w:styleId="CommentTextChar2">
    <w:name w:val="Comment Text Char2"/>
    <w:semiHidden/>
    <w:rsid w:val="00EE7FE7"/>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15656"/>
    <w:rPr>
      <w:rFonts w:asciiTheme="minorHAnsi" w:hAnsiTheme="minorHAnsi"/>
      <w:b/>
      <w:bCs/>
    </w:rPr>
  </w:style>
  <w:style w:type="character" w:customStyle="1" w:styleId="CommentSubjectChar">
    <w:name w:val="Comment Subject Char"/>
    <w:basedOn w:val="CommentTextChar"/>
    <w:link w:val="CommentSubject"/>
    <w:uiPriority w:val="99"/>
    <w:semiHidden/>
    <w:rsid w:val="00E15656"/>
    <w:rPr>
      <w:rFonts w:ascii="Cambria" w:hAnsi="Cambria"/>
      <w:b/>
      <w:bCs/>
      <w:sz w:val="20"/>
      <w:szCs w:val="20"/>
    </w:rPr>
  </w:style>
  <w:style w:type="character" w:styleId="UnresolvedMention">
    <w:name w:val="Unresolved Mention"/>
    <w:basedOn w:val="DefaultParagraphFont"/>
    <w:uiPriority w:val="99"/>
    <w:unhideWhenUsed/>
    <w:rsid w:val="00A161B6"/>
    <w:rPr>
      <w:color w:val="605E5C"/>
      <w:shd w:val="clear" w:color="auto" w:fill="E1DFDD"/>
    </w:rPr>
  </w:style>
  <w:style w:type="character" w:styleId="Mention">
    <w:name w:val="Mention"/>
    <w:basedOn w:val="DefaultParagraphFont"/>
    <w:uiPriority w:val="99"/>
    <w:unhideWhenUsed/>
    <w:rsid w:val="00FE3DDA"/>
    <w:rPr>
      <w:color w:val="2B579A"/>
      <w:shd w:val="clear" w:color="auto" w:fill="E1DFDD"/>
    </w:rPr>
  </w:style>
  <w:style w:type="table" w:styleId="TableGrid">
    <w:name w:val="Table Grid"/>
    <w:basedOn w:val="TableNormal"/>
    <w:uiPriority w:val="59"/>
    <w:rsid w:val="006B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CAC"/>
    <w:pPr>
      <w:spacing w:after="0" w:line="240" w:lineRule="auto"/>
    </w:pPr>
  </w:style>
  <w:style w:type="character" w:customStyle="1" w:styleId="normaltextrun">
    <w:name w:val="normaltextrun"/>
    <w:basedOn w:val="DefaultParagraphFont"/>
    <w:rsid w:val="00AC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082">
      <w:bodyDiv w:val="1"/>
      <w:marLeft w:val="0"/>
      <w:marRight w:val="0"/>
      <w:marTop w:val="0"/>
      <w:marBottom w:val="0"/>
      <w:divBdr>
        <w:top w:val="none" w:sz="0" w:space="0" w:color="auto"/>
        <w:left w:val="none" w:sz="0" w:space="0" w:color="auto"/>
        <w:bottom w:val="none" w:sz="0" w:space="0" w:color="auto"/>
        <w:right w:val="none" w:sz="0" w:space="0" w:color="auto"/>
      </w:divBdr>
    </w:div>
    <w:div w:id="697242797">
      <w:bodyDiv w:val="1"/>
      <w:marLeft w:val="0"/>
      <w:marRight w:val="0"/>
      <w:marTop w:val="0"/>
      <w:marBottom w:val="0"/>
      <w:divBdr>
        <w:top w:val="none" w:sz="0" w:space="0" w:color="auto"/>
        <w:left w:val="none" w:sz="0" w:space="0" w:color="auto"/>
        <w:bottom w:val="none" w:sz="0" w:space="0" w:color="auto"/>
        <w:right w:val="none" w:sz="0" w:space="0" w:color="auto"/>
      </w:divBdr>
    </w:div>
    <w:div w:id="953250612">
      <w:bodyDiv w:val="1"/>
      <w:marLeft w:val="0"/>
      <w:marRight w:val="0"/>
      <w:marTop w:val="0"/>
      <w:marBottom w:val="0"/>
      <w:divBdr>
        <w:top w:val="none" w:sz="0" w:space="0" w:color="auto"/>
        <w:left w:val="none" w:sz="0" w:space="0" w:color="auto"/>
        <w:bottom w:val="none" w:sz="0" w:space="0" w:color="auto"/>
        <w:right w:val="none" w:sz="0" w:space="0" w:color="auto"/>
      </w:divBdr>
    </w:div>
    <w:div w:id="1318922335">
      <w:bodyDiv w:val="1"/>
      <w:marLeft w:val="0"/>
      <w:marRight w:val="0"/>
      <w:marTop w:val="0"/>
      <w:marBottom w:val="0"/>
      <w:divBdr>
        <w:top w:val="none" w:sz="0" w:space="0" w:color="auto"/>
        <w:left w:val="none" w:sz="0" w:space="0" w:color="auto"/>
        <w:bottom w:val="none" w:sz="0" w:space="0" w:color="auto"/>
        <w:right w:val="none" w:sz="0" w:space="0" w:color="auto"/>
      </w:divBdr>
    </w:div>
    <w:div w:id="16368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celect.com/products/kodate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7fd9b5-5afd-4883-9fa9-9a9218dbf443">V7X6HHWQFPZW-1138668739-5486</_dlc_DocId>
    <_dlc_DocIdUrl xmlns="a77fd9b5-5afd-4883-9fa9-9a9218dbf443">
      <Url>https://emergentbiosolutions.sharepoint.com/sites/veevacollaborationauthoring/_layouts/15/DocIdRedir.aspx?ID=V7X6HHWQFPZW-1138668739-5486</Url>
      <Description>V7X6HHWQFPZW-1138668739-5486</Description>
    </_dlc_DocIdUrl>
    <SharedWithUsers xmlns="a77fd9b5-5afd-4883-9fa9-9a9218dbf44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9BCBB2F995143BECF06933A857597" ma:contentTypeVersion="6" ma:contentTypeDescription="Create a new document." ma:contentTypeScope="" ma:versionID="c2518a6e7d4a3c7e8576d83ce016e803">
  <xsd:schema xmlns:xsd="http://www.w3.org/2001/XMLSchema" xmlns:xs="http://www.w3.org/2001/XMLSchema" xmlns:p="http://schemas.microsoft.com/office/2006/metadata/properties" xmlns:ns2="a77fd9b5-5afd-4883-9fa9-9a9218dbf443" xmlns:ns3="13102e63-8df2-463d-b456-b153fd94878f" xmlns:ns4="b074d69b-e462-431c-900a-dc5c9d84513b" targetNamespace="http://schemas.microsoft.com/office/2006/metadata/properties" ma:root="true" ma:fieldsID="5ef144a21ead028617713d01a1a3fcb4" ns2:_="" ns3:_="" ns4:_="">
    <xsd:import namespace="a77fd9b5-5afd-4883-9fa9-9a9218dbf443"/>
    <xsd:import namespace="13102e63-8df2-463d-b456-b153fd94878f"/>
    <xsd:import namespace="b074d69b-e462-431c-900a-dc5c9d84513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d9b5-5afd-4883-9fa9-9a9218dbf4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02e63-8df2-463d-b456-b153fd94878f"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4d69b-e462-431c-900a-dc5c9d84513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DE78-3FC8-4970-A5F8-D978A3F9E901}">
  <ds:schemaRefs>
    <ds:schemaRef ds:uri="http://schemas.microsoft.com/office/2006/metadata/properties"/>
    <ds:schemaRef ds:uri="http://schemas.microsoft.com/office/infopath/2007/PartnerControls"/>
    <ds:schemaRef ds:uri="a77fd9b5-5afd-4883-9fa9-9a9218dbf443"/>
  </ds:schemaRefs>
</ds:datastoreItem>
</file>

<file path=customXml/itemProps2.xml><?xml version="1.0" encoding="utf-8"?>
<ds:datastoreItem xmlns:ds="http://schemas.openxmlformats.org/officeDocument/2006/customXml" ds:itemID="{18402671-6FDF-4B7D-A6A9-A2F073BBF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fd9b5-5afd-4883-9fa9-9a9218dbf443"/>
    <ds:schemaRef ds:uri="13102e63-8df2-463d-b456-b153fd94878f"/>
    <ds:schemaRef ds:uri="b074d69b-e462-431c-900a-dc5c9d845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3D7C7-E30D-46D0-A489-C29146ED20E5}">
  <ds:schemaRefs>
    <ds:schemaRef ds:uri="http://schemas.microsoft.com/sharepoint/v3/contenttype/forms"/>
  </ds:schemaRefs>
</ds:datastoreItem>
</file>

<file path=customXml/itemProps4.xml><?xml version="1.0" encoding="utf-8"?>
<ds:datastoreItem xmlns:ds="http://schemas.openxmlformats.org/officeDocument/2006/customXml" ds:itemID="{017843AC-22CB-48E8-8B14-718303196181}">
  <ds:schemaRefs>
    <ds:schemaRef ds:uri="http://schemas.microsoft.com/sharepoint/events"/>
  </ds:schemaRefs>
</ds:datastoreItem>
</file>

<file path=customXml/itemProps5.xml><?xml version="1.0" encoding="utf-8"?>
<ds:datastoreItem xmlns:ds="http://schemas.openxmlformats.org/officeDocument/2006/customXml" ds:itemID="{AE483C31-48D8-4C6E-9169-9CB30446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Vaxchora</dc:title>
  <dc:subject>Prescription medicines regulation</dc:subject>
  <dc:creator>Biocelect Australia Pty Ltd</dc:creator>
  <cp:keywords/>
  <cp:lastPrinted>2017-09-06T15:25:00Z</cp:lastPrinted>
  <dcterms:created xsi:type="dcterms:W3CDTF">2024-11-18T04:07:00Z</dcterms:created>
  <dcterms:modified xsi:type="dcterms:W3CDTF">2024-11-18T04:12:00Z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0x0101003A49BCBB2F995143BECF06933A857597</vt:lpwstr>
  </property>
  <property fmtid="{D5CDD505-2E9C-101B-9397-08002B2CF9AE}" pid="3" name="_dlc_DocIdItemGuid">
    <vt:lpwstr>87d2be72-57d9-4fe3-b768-bd491a2d3160</vt:lpwstr>
  </property>
</Properties>
</file>